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D6DF6">
      <w:pPr>
        <w:tabs>
          <w:tab w:val="left" w:pos="8400"/>
        </w:tabs>
        <w:spacing w:line="360" w:lineRule="auto"/>
        <w:jc w:val="center"/>
        <w:rPr>
          <w:rFonts w:hint="eastAsia" w:ascii="仿宋" w:hAnsi="仿宋" w:eastAsia="仿宋" w:cs="仿宋"/>
          <w:b/>
          <w:sz w:val="24"/>
        </w:rPr>
      </w:pPr>
    </w:p>
    <w:p w14:paraId="3CF139FC">
      <w:pPr>
        <w:spacing w:line="360" w:lineRule="auto"/>
        <w:jc w:val="center"/>
        <w:rPr>
          <w:rFonts w:hint="eastAsia" w:ascii="仿宋" w:hAnsi="仿宋" w:eastAsia="仿宋" w:cs="仿宋"/>
          <w:b/>
          <w:sz w:val="24"/>
        </w:rPr>
      </w:pPr>
    </w:p>
    <w:p w14:paraId="682EB1E2">
      <w:pPr>
        <w:adjustRightInd/>
        <w:spacing w:line="360" w:lineRule="auto"/>
        <w:rPr>
          <w:rFonts w:hint="eastAsia" w:ascii="仿宋" w:hAnsi="仿宋" w:eastAsia="仿宋" w:cs="仿宋"/>
          <w:b/>
          <w:sz w:val="44"/>
          <w:szCs w:val="44"/>
        </w:rPr>
      </w:pPr>
    </w:p>
    <w:p w14:paraId="27833AA6">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浙江省教育考试院网络安全运维服务项目</w:t>
      </w:r>
    </w:p>
    <w:p w14:paraId="227A3658">
      <w:pPr>
        <w:adjustRightInd/>
        <w:spacing w:line="360" w:lineRule="auto"/>
        <w:jc w:val="center"/>
        <w:rPr>
          <w:rFonts w:hint="eastAsia" w:ascii="仿宋" w:hAnsi="仿宋" w:eastAsia="仿宋" w:cs="仿宋"/>
          <w:b/>
          <w:sz w:val="44"/>
          <w:szCs w:val="44"/>
        </w:rPr>
      </w:pPr>
    </w:p>
    <w:p w14:paraId="086DB0BA">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25773765">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1E7C4A4A">
      <w:pPr>
        <w:snapToGrid w:val="0"/>
        <w:spacing w:line="360" w:lineRule="auto"/>
        <w:jc w:val="center"/>
        <w:rPr>
          <w:rFonts w:hint="eastAsia" w:ascii="仿宋" w:hAnsi="仿宋" w:eastAsia="仿宋" w:cs="仿宋"/>
          <w:sz w:val="30"/>
          <w:szCs w:val="30"/>
        </w:rPr>
      </w:pPr>
    </w:p>
    <w:p w14:paraId="7E58AA7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ZJ-2442723</w:t>
      </w:r>
    </w:p>
    <w:p w14:paraId="5DE9CB37">
      <w:pPr>
        <w:adjustRightInd/>
        <w:spacing w:line="360" w:lineRule="auto"/>
        <w:rPr>
          <w:rFonts w:hint="eastAsia" w:ascii="仿宋" w:hAnsi="仿宋" w:eastAsia="仿宋" w:cs="仿宋"/>
          <w:sz w:val="28"/>
          <w:szCs w:val="20"/>
        </w:rPr>
      </w:pPr>
    </w:p>
    <w:p w14:paraId="03AE13D5">
      <w:pPr>
        <w:spacing w:line="360" w:lineRule="auto"/>
        <w:jc w:val="center"/>
        <w:rPr>
          <w:rFonts w:hint="eastAsia" w:ascii="仿宋" w:hAnsi="仿宋" w:eastAsia="仿宋" w:cs="仿宋"/>
          <w:sz w:val="24"/>
        </w:rPr>
      </w:pPr>
    </w:p>
    <w:p w14:paraId="322FE72C">
      <w:pPr>
        <w:spacing w:line="360" w:lineRule="auto"/>
        <w:jc w:val="center"/>
        <w:rPr>
          <w:rFonts w:hint="eastAsia" w:ascii="仿宋" w:hAnsi="仿宋" w:eastAsia="仿宋" w:cs="仿宋"/>
          <w:sz w:val="24"/>
        </w:rPr>
      </w:pPr>
    </w:p>
    <w:p w14:paraId="220FD8BE">
      <w:pPr>
        <w:pStyle w:val="183"/>
        <w:widowControl w:val="0"/>
        <w:spacing w:before="0" w:beforeAutospacing="0" w:after="0" w:afterAutospacing="0" w:line="360" w:lineRule="auto"/>
        <w:textAlignment w:val="auto"/>
        <w:rPr>
          <w:rFonts w:hint="eastAsia" w:ascii="仿宋" w:hAnsi="仿宋" w:eastAsia="仿宋" w:cs="仿宋"/>
          <w:kern w:val="2"/>
        </w:rPr>
      </w:pPr>
    </w:p>
    <w:p w14:paraId="454F57F8">
      <w:pPr>
        <w:pStyle w:val="183"/>
        <w:widowControl w:val="0"/>
        <w:spacing w:before="0" w:beforeAutospacing="0" w:after="0" w:afterAutospacing="0" w:line="360" w:lineRule="auto"/>
        <w:textAlignment w:val="auto"/>
        <w:rPr>
          <w:rFonts w:hint="eastAsia" w:ascii="仿宋" w:hAnsi="仿宋" w:eastAsia="仿宋" w:cs="仿宋"/>
          <w:kern w:val="2"/>
        </w:rPr>
      </w:pPr>
    </w:p>
    <w:p w14:paraId="19AD1849">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674773C0">
      <w:pPr>
        <w:snapToGrid w:val="0"/>
        <w:spacing w:line="360" w:lineRule="auto"/>
        <w:jc w:val="center"/>
        <w:rPr>
          <w:rFonts w:hint="eastAsia" w:ascii="仿宋" w:hAnsi="仿宋" w:eastAsia="仿宋" w:cs="仿宋"/>
          <w:sz w:val="32"/>
          <w:szCs w:val="32"/>
        </w:rPr>
      </w:pPr>
    </w:p>
    <w:p w14:paraId="6BBD654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浙江省教育考试院</w:t>
      </w:r>
    </w:p>
    <w:p w14:paraId="666CDB88">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浙江国际招投标有限公司</w:t>
      </w:r>
    </w:p>
    <w:p w14:paraId="7681BB7B">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四</w:t>
      </w:r>
      <w:r>
        <w:rPr>
          <w:rFonts w:hint="eastAsia" w:ascii="仿宋" w:hAnsi="仿宋" w:eastAsia="仿宋" w:cs="仿宋"/>
          <w:bCs/>
          <w:sz w:val="32"/>
          <w:szCs w:val="32"/>
        </w:rPr>
        <w:t>年</w:t>
      </w:r>
      <w:r>
        <w:rPr>
          <w:rFonts w:hint="eastAsia" w:ascii="仿宋" w:hAnsi="仿宋" w:eastAsia="仿宋" w:cs="仿宋"/>
          <w:bCs/>
          <w:sz w:val="32"/>
          <w:szCs w:val="32"/>
          <w:lang w:eastAsia="zh-CN"/>
        </w:rPr>
        <w:t>九</w:t>
      </w:r>
      <w:r>
        <w:rPr>
          <w:rFonts w:hint="eastAsia" w:ascii="仿宋" w:hAnsi="仿宋" w:eastAsia="仿宋" w:cs="仿宋"/>
          <w:bCs/>
          <w:sz w:val="32"/>
          <w:szCs w:val="32"/>
        </w:rPr>
        <w:t>月</w:t>
      </w:r>
    </w:p>
    <w:p w14:paraId="3B407D09">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C54B73A">
      <w:pPr>
        <w:tabs>
          <w:tab w:val="left" w:pos="2268"/>
        </w:tabs>
        <w:spacing w:line="360" w:lineRule="auto"/>
        <w:jc w:val="center"/>
        <w:rPr>
          <w:rFonts w:hint="eastAsia" w:ascii="仿宋" w:hAnsi="仿宋" w:eastAsia="仿宋" w:cs="仿宋"/>
          <w:sz w:val="24"/>
        </w:rPr>
      </w:pPr>
    </w:p>
    <w:p w14:paraId="042D8B0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77E6975">
      <w:pPr>
        <w:spacing w:line="360" w:lineRule="auto"/>
        <w:rPr>
          <w:rFonts w:hint="eastAsia" w:ascii="仿宋" w:hAnsi="仿宋" w:eastAsia="仿宋" w:cs="仿宋"/>
          <w:sz w:val="32"/>
          <w:szCs w:val="32"/>
        </w:rPr>
      </w:pPr>
    </w:p>
    <w:p w14:paraId="1C2E9646">
      <w:pPr>
        <w:spacing w:line="360" w:lineRule="auto"/>
        <w:rPr>
          <w:rFonts w:hint="eastAsia" w:ascii="仿宋" w:hAnsi="仿宋" w:eastAsia="仿宋" w:cs="仿宋"/>
          <w:sz w:val="32"/>
          <w:szCs w:val="32"/>
        </w:rPr>
      </w:pPr>
    </w:p>
    <w:p w14:paraId="242418F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1AE559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4574D03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55A0F2E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4D32741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7E1C084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1622521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26D54EF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6EF78C2E">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78DD149">
      <w:pPr>
        <w:spacing w:line="360" w:lineRule="auto"/>
        <w:ind w:firstLine="549" w:firstLineChars="229"/>
        <w:rPr>
          <w:rFonts w:hint="eastAsia" w:ascii="仿宋" w:hAnsi="仿宋" w:eastAsia="仿宋" w:cs="仿宋"/>
          <w:sz w:val="24"/>
        </w:rPr>
      </w:pPr>
    </w:p>
    <w:p w14:paraId="10442680">
      <w:pPr>
        <w:spacing w:line="360" w:lineRule="auto"/>
        <w:ind w:firstLine="549" w:firstLineChars="229"/>
        <w:rPr>
          <w:rFonts w:hint="eastAsia" w:ascii="仿宋" w:hAnsi="仿宋" w:eastAsia="仿宋" w:cs="仿宋"/>
          <w:sz w:val="24"/>
        </w:rPr>
      </w:pPr>
    </w:p>
    <w:p w14:paraId="62141B64">
      <w:pPr>
        <w:spacing w:line="360" w:lineRule="auto"/>
        <w:ind w:firstLine="549" w:firstLineChars="229"/>
        <w:rPr>
          <w:rFonts w:hint="eastAsia" w:ascii="仿宋" w:hAnsi="仿宋" w:eastAsia="仿宋" w:cs="仿宋"/>
          <w:sz w:val="24"/>
        </w:rPr>
      </w:pPr>
    </w:p>
    <w:p w14:paraId="7C4A3385">
      <w:pPr>
        <w:spacing w:line="360" w:lineRule="auto"/>
        <w:ind w:firstLine="549" w:firstLineChars="229"/>
        <w:rPr>
          <w:rFonts w:hint="eastAsia" w:ascii="仿宋" w:hAnsi="仿宋" w:eastAsia="仿宋" w:cs="仿宋"/>
          <w:sz w:val="24"/>
        </w:rPr>
      </w:pPr>
    </w:p>
    <w:p w14:paraId="26A69CB1">
      <w:pPr>
        <w:spacing w:line="360" w:lineRule="auto"/>
        <w:ind w:firstLine="549" w:firstLineChars="229"/>
        <w:rPr>
          <w:rFonts w:hint="eastAsia" w:ascii="仿宋" w:hAnsi="仿宋" w:eastAsia="仿宋" w:cs="仿宋"/>
          <w:sz w:val="24"/>
        </w:rPr>
      </w:pPr>
    </w:p>
    <w:p w14:paraId="7DF4B38E">
      <w:pPr>
        <w:spacing w:line="360" w:lineRule="auto"/>
        <w:ind w:firstLine="549" w:firstLineChars="229"/>
        <w:rPr>
          <w:rFonts w:hint="eastAsia" w:ascii="仿宋" w:hAnsi="仿宋" w:eastAsia="仿宋" w:cs="仿宋"/>
          <w:sz w:val="24"/>
        </w:rPr>
      </w:pPr>
    </w:p>
    <w:p w14:paraId="1CCC4D38">
      <w:pPr>
        <w:spacing w:line="360" w:lineRule="auto"/>
        <w:ind w:firstLine="549" w:firstLineChars="229"/>
        <w:rPr>
          <w:rFonts w:hint="eastAsia" w:ascii="仿宋" w:hAnsi="仿宋" w:eastAsia="仿宋" w:cs="仿宋"/>
          <w:sz w:val="24"/>
        </w:rPr>
      </w:pPr>
    </w:p>
    <w:p w14:paraId="662439EA">
      <w:pPr>
        <w:spacing w:line="360" w:lineRule="auto"/>
        <w:ind w:firstLine="549" w:firstLineChars="229"/>
        <w:rPr>
          <w:rFonts w:hint="eastAsia" w:ascii="仿宋" w:hAnsi="仿宋" w:eastAsia="仿宋" w:cs="仿宋"/>
          <w:sz w:val="24"/>
        </w:rPr>
      </w:pPr>
    </w:p>
    <w:p w14:paraId="423057C1">
      <w:pPr>
        <w:spacing w:line="360" w:lineRule="auto"/>
        <w:ind w:firstLine="549" w:firstLineChars="229"/>
        <w:rPr>
          <w:rFonts w:hint="eastAsia" w:ascii="仿宋" w:hAnsi="仿宋" w:eastAsia="仿宋" w:cs="仿宋"/>
          <w:sz w:val="24"/>
        </w:rPr>
      </w:pPr>
    </w:p>
    <w:p w14:paraId="71B18728">
      <w:pPr>
        <w:spacing w:line="360" w:lineRule="auto"/>
        <w:ind w:firstLine="549" w:firstLineChars="229"/>
        <w:rPr>
          <w:rFonts w:hint="eastAsia" w:ascii="仿宋" w:hAnsi="仿宋" w:eastAsia="仿宋" w:cs="仿宋"/>
          <w:sz w:val="24"/>
        </w:rPr>
      </w:pPr>
    </w:p>
    <w:p w14:paraId="11F0DCCA">
      <w:pPr>
        <w:spacing w:line="360" w:lineRule="auto"/>
        <w:ind w:firstLine="549" w:firstLineChars="229"/>
        <w:rPr>
          <w:rFonts w:hint="eastAsia" w:ascii="仿宋" w:hAnsi="仿宋" w:eastAsia="仿宋" w:cs="仿宋"/>
          <w:sz w:val="24"/>
        </w:rPr>
      </w:pPr>
    </w:p>
    <w:p w14:paraId="6C42BBC9">
      <w:pPr>
        <w:spacing w:line="360" w:lineRule="auto"/>
        <w:ind w:firstLine="549" w:firstLineChars="229"/>
        <w:rPr>
          <w:rFonts w:hint="eastAsia" w:ascii="仿宋" w:hAnsi="仿宋" w:eastAsia="仿宋" w:cs="仿宋"/>
          <w:sz w:val="24"/>
        </w:rPr>
      </w:pPr>
    </w:p>
    <w:p w14:paraId="4127C810">
      <w:pPr>
        <w:spacing w:line="360" w:lineRule="auto"/>
        <w:rPr>
          <w:rFonts w:hint="eastAsia" w:ascii="仿宋" w:hAnsi="仿宋" w:eastAsia="仿宋" w:cs="仿宋"/>
          <w:sz w:val="24"/>
        </w:rPr>
      </w:pPr>
    </w:p>
    <w:p w14:paraId="7949A776">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14:paraId="42ACB14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7A61064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CCF86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浙江省教育考试院网络安全运维服务</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2024年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1420A1A5">
      <w:pPr>
        <w:pStyle w:val="5"/>
        <w:numPr>
          <w:ilvl w:val="0"/>
          <w:numId w:val="0"/>
        </w:numPr>
        <w:ind w:left="432" w:hanging="432"/>
        <w:rPr>
          <w:rFonts w:hint="eastAsia" w:ascii="仿宋" w:hAnsi="仿宋" w:eastAsia="仿宋" w:cs="仿宋"/>
          <w:sz w:val="24"/>
          <w:szCs w:val="24"/>
        </w:rPr>
      </w:pPr>
      <w:bookmarkStart w:id="11" w:name="_Toc35393629"/>
      <w:bookmarkStart w:id="12" w:name="_Toc28359089"/>
      <w:bookmarkStart w:id="13" w:name="_Toc35393798"/>
      <w:bookmarkStart w:id="14" w:name="_Toc28359012"/>
      <w:r>
        <w:rPr>
          <w:rFonts w:hint="eastAsia" w:ascii="仿宋" w:hAnsi="仿宋" w:eastAsia="仿宋" w:cs="仿宋"/>
          <w:sz w:val="24"/>
          <w:szCs w:val="24"/>
        </w:rPr>
        <w:t>一、项目基本情况</w:t>
      </w:r>
      <w:bookmarkEnd w:id="11"/>
      <w:bookmarkEnd w:id="12"/>
      <w:bookmarkEnd w:id="13"/>
      <w:bookmarkEnd w:id="14"/>
    </w:p>
    <w:p w14:paraId="02648930">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ZJ-2442723</w:t>
      </w:r>
    </w:p>
    <w:p w14:paraId="2BF022AA">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浙江省教育考试院网络安全运维服务项目</w:t>
      </w:r>
    </w:p>
    <w:p w14:paraId="092ACE1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42C6A67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sz w:val="24"/>
        </w:rPr>
        <w:t>570000.00</w:t>
      </w:r>
    </w:p>
    <w:p w14:paraId="26FAF96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sz w:val="24"/>
        </w:rPr>
        <w:t>570000.00</w:t>
      </w:r>
    </w:p>
    <w:p w14:paraId="4034818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rPr>
        <w:t>网络安全运维服务。详见磋商文件第三部分</w:t>
      </w:r>
      <w:r>
        <w:rPr>
          <w:rFonts w:hint="eastAsia" w:ascii="仿宋" w:hAnsi="仿宋" w:eastAsia="仿宋" w:cs="仿宋"/>
          <w:bCs/>
          <w:sz w:val="24"/>
        </w:rPr>
        <w:t>。</w:t>
      </w:r>
    </w:p>
    <w:p w14:paraId="5E3BC9E8">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：详见磋商文件。</w:t>
      </w:r>
    </w:p>
    <w:p w14:paraId="156C74D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是，</w:t>
      </w:r>
      <w:sdt>
        <w:sdtPr>
          <w:rPr>
            <w:rFonts w:hint="eastAsia" w:ascii="仿宋" w:hAnsi="仿宋" w:eastAsia="仿宋" w:cs="仿宋"/>
            <w:b/>
            <w:sz w:val="24"/>
          </w:rPr>
          <w:id w:val="147459860"/>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kern w:val="2"/>
              <w:sz w:val="24"/>
              <w:szCs w:val="24"/>
              <w:lang w:val="en-US" w:eastAsia="zh-CN" w:bidi="ar-SA"/>
            </w:rPr>
            <w:t>☐</w:t>
          </w:r>
        </w:sdtContent>
      </w:sdt>
      <w:r>
        <w:rPr>
          <w:rFonts w:hint="eastAsia" w:ascii="仿宋" w:hAnsi="仿宋" w:eastAsia="仿宋" w:cs="仿宋"/>
          <w:b/>
          <w:sz w:val="24"/>
        </w:rPr>
        <w:t>否。</w:t>
      </w:r>
    </w:p>
    <w:p w14:paraId="0E43E8BA">
      <w:pPr>
        <w:pStyle w:val="5"/>
        <w:numPr>
          <w:ilvl w:val="0"/>
          <w:numId w:val="0"/>
        </w:numPr>
        <w:ind w:left="432" w:hanging="432"/>
        <w:rPr>
          <w:rFonts w:hint="eastAsia" w:ascii="仿宋" w:hAnsi="仿宋" w:eastAsia="仿宋" w:cs="仿宋"/>
          <w:sz w:val="24"/>
          <w:szCs w:val="24"/>
        </w:rPr>
      </w:pPr>
      <w:bookmarkStart w:id="15" w:name="_Toc28359013"/>
      <w:bookmarkStart w:id="16" w:name="_Toc28359090"/>
      <w:bookmarkStart w:id="17" w:name="_Toc35393799"/>
      <w:bookmarkStart w:id="18" w:name="_Toc35393630"/>
      <w:r>
        <w:rPr>
          <w:rFonts w:hint="eastAsia" w:ascii="仿宋" w:hAnsi="仿宋" w:eastAsia="仿宋" w:cs="仿宋"/>
          <w:sz w:val="24"/>
          <w:szCs w:val="24"/>
        </w:rPr>
        <w:t>二、申请人的资格要求：</w:t>
      </w:r>
      <w:bookmarkEnd w:id="15"/>
      <w:bookmarkEnd w:id="16"/>
      <w:bookmarkEnd w:id="17"/>
      <w:bookmarkEnd w:id="18"/>
    </w:p>
    <w:p w14:paraId="654BC8A2">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15E3429">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2.落实政府采购政策需满足的资格要求：无。</w:t>
      </w:r>
    </w:p>
    <w:p w14:paraId="73205B6D">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679F6E89">
      <w:pPr>
        <w:pStyle w:val="5"/>
        <w:numPr>
          <w:ilvl w:val="0"/>
          <w:numId w:val="0"/>
        </w:numPr>
        <w:ind w:left="432" w:hanging="432"/>
        <w:rPr>
          <w:rFonts w:hint="eastAsia" w:ascii="仿宋" w:hAnsi="仿宋" w:eastAsia="仿宋" w:cs="仿宋"/>
          <w:sz w:val="24"/>
          <w:szCs w:val="24"/>
        </w:rPr>
      </w:pPr>
      <w:bookmarkStart w:id="19" w:name="_Toc28359014"/>
      <w:bookmarkStart w:id="20" w:name="_Toc35393800"/>
      <w:bookmarkStart w:id="21" w:name="_Toc28359091"/>
      <w:bookmarkStart w:id="22" w:name="_Toc35393631"/>
      <w:r>
        <w:rPr>
          <w:rFonts w:hint="eastAsia" w:ascii="仿宋" w:hAnsi="仿宋" w:eastAsia="仿宋" w:cs="仿宋"/>
          <w:sz w:val="24"/>
          <w:szCs w:val="24"/>
        </w:rPr>
        <w:t>三、获取（下载）采购文件</w:t>
      </w:r>
      <w:bookmarkEnd w:id="19"/>
      <w:bookmarkEnd w:id="20"/>
      <w:bookmarkEnd w:id="21"/>
      <w:bookmarkEnd w:id="22"/>
    </w:p>
    <w:p w14:paraId="5E2D328B">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日，每天上午00:00至12:00 ，下午12:00至23:59（北京时间，线上获取法定节假日均可，线下获取文件法定节假日除外）；</w:t>
      </w:r>
    </w:p>
    <w:p w14:paraId="6EB38BE1">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2381A79C">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3533477F">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68A3CA7">
      <w:pPr>
        <w:pStyle w:val="5"/>
        <w:numPr>
          <w:ilvl w:val="0"/>
          <w:numId w:val="0"/>
        </w:numPr>
        <w:ind w:left="432" w:hanging="432"/>
        <w:rPr>
          <w:rFonts w:hint="eastAsia" w:ascii="仿宋" w:hAnsi="仿宋" w:eastAsia="仿宋" w:cs="仿宋"/>
          <w:sz w:val="24"/>
          <w:szCs w:val="24"/>
        </w:rPr>
      </w:pPr>
      <w:bookmarkStart w:id="23" w:name="_Toc35393801"/>
      <w:bookmarkStart w:id="24" w:name="_Toc28359092"/>
      <w:bookmarkStart w:id="25" w:name="_Toc35393632"/>
      <w:bookmarkStart w:id="26" w:name="_Toc28359015"/>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4D4D6675">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2024年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2D857758">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6152069F">
      <w:pPr>
        <w:pStyle w:val="5"/>
        <w:numPr>
          <w:ilvl w:val="0"/>
          <w:numId w:val="0"/>
        </w:numPr>
        <w:ind w:left="432" w:hanging="432"/>
        <w:rPr>
          <w:rFonts w:hint="eastAsia" w:ascii="仿宋" w:hAnsi="仿宋" w:eastAsia="仿宋" w:cs="仿宋"/>
          <w:sz w:val="24"/>
          <w:szCs w:val="24"/>
        </w:rPr>
      </w:pPr>
      <w:bookmarkStart w:id="27" w:name="_Toc28359016"/>
      <w:bookmarkStart w:id="28" w:name="_Toc28359093"/>
      <w:bookmarkStart w:id="29" w:name="_Toc35393633"/>
      <w:bookmarkStart w:id="30" w:name="_Toc35393802"/>
      <w:r>
        <w:rPr>
          <w:rFonts w:hint="eastAsia" w:ascii="仿宋" w:hAnsi="仿宋" w:eastAsia="仿宋" w:cs="仿宋"/>
          <w:sz w:val="24"/>
          <w:szCs w:val="24"/>
        </w:rPr>
        <w:t>五、响应文件开启</w:t>
      </w:r>
      <w:bookmarkEnd w:id="27"/>
      <w:bookmarkEnd w:id="28"/>
      <w:bookmarkEnd w:id="29"/>
      <w:bookmarkEnd w:id="30"/>
    </w:p>
    <w:p w14:paraId="74EA4D12">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2024年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19D57B30">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r>
        <w:rPr>
          <w:rFonts w:hint="eastAsia" w:ascii="仿宋" w:hAnsi="仿宋" w:eastAsia="仿宋" w:cs="仿宋"/>
          <w:sz w:val="24"/>
        </w:rPr>
        <w:t>。</w:t>
      </w:r>
    </w:p>
    <w:p w14:paraId="69458A0F">
      <w:pPr>
        <w:pStyle w:val="5"/>
        <w:numPr>
          <w:ilvl w:val="0"/>
          <w:numId w:val="0"/>
        </w:numPr>
        <w:ind w:left="432" w:hanging="432"/>
        <w:rPr>
          <w:rFonts w:hint="eastAsia" w:ascii="仿宋" w:hAnsi="仿宋" w:eastAsia="仿宋" w:cs="仿宋"/>
          <w:sz w:val="24"/>
          <w:szCs w:val="24"/>
        </w:rPr>
      </w:pPr>
      <w:bookmarkStart w:id="31" w:name="_Toc35393803"/>
      <w:bookmarkStart w:id="32" w:name="_Toc28359017"/>
      <w:bookmarkStart w:id="33" w:name="_Toc28359094"/>
      <w:bookmarkStart w:id="34" w:name="_Toc35393634"/>
      <w:r>
        <w:rPr>
          <w:rFonts w:hint="eastAsia" w:ascii="仿宋" w:hAnsi="仿宋" w:eastAsia="仿宋" w:cs="仿宋"/>
          <w:sz w:val="24"/>
          <w:szCs w:val="24"/>
        </w:rPr>
        <w:t>六、公告期限</w:t>
      </w:r>
      <w:bookmarkEnd w:id="31"/>
      <w:bookmarkEnd w:id="32"/>
      <w:bookmarkEnd w:id="33"/>
      <w:bookmarkEnd w:id="34"/>
    </w:p>
    <w:p w14:paraId="58AD808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0A5C5655">
      <w:pPr>
        <w:pStyle w:val="5"/>
        <w:numPr>
          <w:ilvl w:val="0"/>
          <w:numId w:val="0"/>
        </w:numPr>
        <w:ind w:left="432" w:hanging="432"/>
        <w:rPr>
          <w:rFonts w:hint="eastAsia" w:ascii="仿宋" w:hAnsi="仿宋" w:eastAsia="仿宋" w:cs="仿宋"/>
          <w:sz w:val="24"/>
          <w:szCs w:val="24"/>
        </w:rPr>
      </w:pPr>
      <w:bookmarkStart w:id="35" w:name="_Toc35393635"/>
      <w:bookmarkStart w:id="36" w:name="_Toc35393804"/>
      <w:r>
        <w:rPr>
          <w:rFonts w:hint="eastAsia" w:ascii="仿宋" w:hAnsi="仿宋" w:eastAsia="仿宋" w:cs="仿宋"/>
          <w:sz w:val="24"/>
          <w:szCs w:val="24"/>
        </w:rPr>
        <w:t>七、其他补充事宜</w:t>
      </w:r>
      <w:bookmarkEnd w:id="35"/>
      <w:bookmarkEnd w:id="36"/>
    </w:p>
    <w:p w14:paraId="200E3C4D">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D7EF1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D24CBD">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EB6E20">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6A52B043">
      <w:pPr>
        <w:pStyle w:val="5"/>
        <w:numPr>
          <w:ilvl w:val="0"/>
          <w:numId w:val="0"/>
        </w:numPr>
        <w:ind w:left="432" w:hanging="432"/>
        <w:rPr>
          <w:rFonts w:hint="eastAsia" w:ascii="仿宋" w:hAnsi="仿宋" w:eastAsia="仿宋" w:cs="仿宋"/>
          <w:sz w:val="24"/>
          <w:szCs w:val="24"/>
        </w:rPr>
      </w:pPr>
      <w:bookmarkStart w:id="37" w:name="_Toc35393805"/>
      <w:bookmarkStart w:id="38" w:name="_Toc28359018"/>
      <w:bookmarkStart w:id="39" w:name="_Toc35393636"/>
      <w:bookmarkStart w:id="40" w:name="_Toc2835909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7"/>
      <w:bookmarkEnd w:id="38"/>
      <w:bookmarkEnd w:id="39"/>
      <w:bookmarkEnd w:id="40"/>
    </w:p>
    <w:p w14:paraId="5EF772F5">
      <w:pPr>
        <w:pStyle w:val="5"/>
        <w:numPr>
          <w:ilvl w:val="0"/>
          <w:numId w:val="0"/>
        </w:numPr>
        <w:ind w:left="432" w:hanging="432"/>
        <w:rPr>
          <w:rFonts w:hint="eastAsia" w:ascii="仿宋" w:hAnsi="仿宋" w:eastAsia="仿宋" w:cs="仿宋"/>
          <w:sz w:val="24"/>
          <w:szCs w:val="24"/>
        </w:rPr>
      </w:pPr>
      <w:bookmarkStart w:id="41" w:name="_Toc35393637"/>
      <w:bookmarkStart w:id="42" w:name="_Toc28359019"/>
      <w:bookmarkStart w:id="43" w:name="_Toc28359096"/>
      <w:bookmarkStart w:id="44" w:name="_Toc35393806"/>
      <w:r>
        <w:rPr>
          <w:rFonts w:hint="eastAsia" w:ascii="仿宋" w:hAnsi="仿宋" w:eastAsia="仿宋" w:cs="仿宋"/>
          <w:sz w:val="24"/>
          <w:szCs w:val="24"/>
        </w:rPr>
        <w:t>1.采购人信息</w:t>
      </w:r>
      <w:bookmarkEnd w:id="41"/>
      <w:bookmarkEnd w:id="42"/>
      <w:bookmarkEnd w:id="43"/>
      <w:bookmarkEnd w:id="44"/>
      <w:r>
        <w:rPr>
          <w:rFonts w:hint="eastAsia" w:ascii="仿宋" w:hAnsi="仿宋" w:eastAsia="仿宋" w:cs="仿宋"/>
          <w:sz w:val="24"/>
          <w:szCs w:val="24"/>
        </w:rPr>
        <w:t>：</w:t>
      </w:r>
    </w:p>
    <w:p w14:paraId="510A6CE6">
      <w:pPr>
        <w:spacing w:line="360" w:lineRule="auto"/>
        <w:ind w:firstLine="480" w:firstLineChars="200"/>
        <w:rPr>
          <w:rFonts w:hint="eastAsia" w:ascii="仿宋" w:hAnsi="仿宋" w:eastAsia="仿宋" w:cs="仿宋"/>
          <w:sz w:val="24"/>
        </w:rPr>
      </w:pPr>
      <w:bookmarkStart w:id="45" w:name="_Toc28359097"/>
      <w:bookmarkStart w:id="46" w:name="_Toc28359020"/>
      <w:bookmarkStart w:id="47" w:name="_Toc35393638"/>
      <w:bookmarkStart w:id="48" w:name="_Toc35393807"/>
      <w:r>
        <w:rPr>
          <w:rFonts w:hint="eastAsia" w:ascii="仿宋" w:hAnsi="仿宋" w:eastAsia="仿宋" w:cs="仿宋"/>
          <w:sz w:val="24"/>
        </w:rPr>
        <w:t>名    称：浙江省教育考试院</w:t>
      </w:r>
    </w:p>
    <w:p w14:paraId="6E83619F">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址：浙江省杭州市西湖区蔷薇弄6号</w:t>
      </w:r>
    </w:p>
    <w:p w14:paraId="5CDEB274">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2D512624">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项目联系人（询问）：程老师</w:t>
      </w:r>
    </w:p>
    <w:p w14:paraId="5B9F02A2">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项目联系方式（询问）：0571-88907509</w:t>
      </w:r>
    </w:p>
    <w:p w14:paraId="17E4CA8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质疑联系人：李老师</w:t>
      </w:r>
    </w:p>
    <w:p w14:paraId="07767308">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质疑联系方式：0571-88907626</w:t>
      </w:r>
    </w:p>
    <w:p w14:paraId="4F6D4C8D">
      <w:pPr>
        <w:pStyle w:val="5"/>
        <w:numPr>
          <w:ilvl w:val="0"/>
          <w:numId w:val="0"/>
        </w:numPr>
        <w:ind w:left="432" w:hanging="432"/>
        <w:rPr>
          <w:rFonts w:hint="eastAsia" w:ascii="仿宋" w:hAnsi="仿宋" w:eastAsia="仿宋" w:cs="仿宋"/>
          <w:sz w:val="24"/>
        </w:rPr>
      </w:pPr>
      <w:r>
        <w:rPr>
          <w:rFonts w:hint="eastAsia" w:ascii="仿宋" w:hAnsi="仿宋" w:eastAsia="仿宋" w:cs="仿宋"/>
          <w:sz w:val="24"/>
          <w:szCs w:val="24"/>
        </w:rPr>
        <w:t>2.采购代理机构信息</w:t>
      </w:r>
      <w:bookmarkEnd w:id="45"/>
      <w:bookmarkEnd w:id="46"/>
      <w:bookmarkEnd w:id="47"/>
      <w:bookmarkEnd w:id="48"/>
      <w:r>
        <w:rPr>
          <w:rFonts w:hint="eastAsia" w:ascii="仿宋" w:hAnsi="仿宋" w:eastAsia="仿宋" w:cs="仿宋"/>
          <w:sz w:val="24"/>
          <w:szCs w:val="24"/>
        </w:rPr>
        <w:t>：</w:t>
      </w:r>
    </w:p>
    <w:p w14:paraId="221D62F0">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称：浙江国际招投标有限公司 </w:t>
      </w:r>
    </w:p>
    <w:p w14:paraId="3EA3EC78">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址：杭州市文三路90号东部软件园1号楼3楼</w:t>
      </w:r>
    </w:p>
    <w:p w14:paraId="02CB7DBA">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真：0571-88473411</w:t>
      </w:r>
    </w:p>
    <w:p w14:paraId="2145A774">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eastAsia="zh-CN"/>
        </w:rPr>
        <w:t>阮锦洋</w:t>
      </w:r>
    </w:p>
    <w:p w14:paraId="49C7055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项目联系方式（询问）：0571-</w:t>
      </w:r>
      <w:r>
        <w:rPr>
          <w:rFonts w:hint="eastAsia" w:ascii="仿宋" w:hAnsi="仿宋" w:eastAsia="仿宋" w:cs="仿宋"/>
          <w:sz w:val="24"/>
          <w:lang w:eastAsia="zh-CN"/>
        </w:rPr>
        <w:t>81061823</w:t>
      </w:r>
    </w:p>
    <w:p w14:paraId="702E6601">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质疑联系人：赵娟</w:t>
      </w:r>
    </w:p>
    <w:p w14:paraId="4BE0980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质疑联系方式：0571-81061819</w:t>
      </w:r>
    </w:p>
    <w:p w14:paraId="2C9216A5">
      <w:pPr>
        <w:spacing w:line="360" w:lineRule="auto"/>
        <w:rPr>
          <w:rFonts w:hint="eastAsia" w:ascii="仿宋" w:hAnsi="仿宋" w:eastAsia="仿宋" w:cs="仿宋"/>
          <w:sz w:val="24"/>
        </w:rPr>
      </w:pPr>
      <w:bookmarkStart w:id="49" w:name="_Toc28359098"/>
      <w:bookmarkStart w:id="50" w:name="_Toc28359021"/>
      <w:bookmarkStart w:id="51" w:name="_Toc35393808"/>
      <w:bookmarkStart w:id="52" w:name="_Toc35393639"/>
      <w:r>
        <w:rPr>
          <w:rFonts w:hint="eastAsia" w:ascii="仿宋" w:hAnsi="仿宋" w:eastAsia="仿宋" w:cs="仿宋"/>
          <w:b/>
          <w:bCs/>
          <w:sz w:val="24"/>
        </w:rPr>
        <w:t>3.</w:t>
      </w:r>
      <w:r>
        <w:rPr>
          <w:rFonts w:hint="eastAsia" w:ascii="仿宋" w:hAnsi="仿宋" w:eastAsia="仿宋" w:cs="仿宋"/>
          <w:b/>
          <w:sz w:val="24"/>
        </w:rPr>
        <w:t xml:space="preserve"> 该项目由采购人处理采购争议。质疑环节，采购人委托采购代理机构处理的，可由采购代理机构答复。对质疑答复不满意的，向采购人内部设置的采购监督机构反映。</w:t>
      </w:r>
      <w:bookmarkEnd w:id="49"/>
      <w:bookmarkEnd w:id="50"/>
      <w:bookmarkEnd w:id="51"/>
      <w:bookmarkEnd w:id="52"/>
    </w:p>
    <w:p w14:paraId="1116DEF6">
      <w:pPr>
        <w:spacing w:line="360" w:lineRule="auto"/>
        <w:ind w:firstLine="480" w:firstLineChars="200"/>
        <w:rPr>
          <w:rFonts w:hint="eastAsia" w:ascii="仿宋" w:hAnsi="仿宋" w:eastAsia="仿宋" w:cs="仿宋"/>
          <w:sz w:val="24"/>
        </w:rPr>
      </w:pPr>
      <w:r>
        <w:rPr>
          <w:rFonts w:hint="eastAsia" w:ascii="仿宋" w:hAnsi="仿宋" w:eastAsia="仿宋" w:cs="仿宋"/>
          <w:sz w:val="24"/>
        </w:rPr>
        <w:t>政策咨询：何一平、冯华，0571-87058424、87055741</w:t>
      </w:r>
    </w:p>
    <w:p w14:paraId="276B6F6B">
      <w:pPr>
        <w:spacing w:line="360" w:lineRule="auto"/>
        <w:ind w:firstLine="480" w:firstLineChars="200"/>
        <w:rPr>
          <w:rFonts w:hint="eastAsia" w:ascii="仿宋" w:hAnsi="仿宋" w:eastAsia="仿宋" w:cs="仿宋"/>
          <w:sz w:val="24"/>
        </w:rPr>
      </w:pPr>
      <w:r>
        <w:rPr>
          <w:rFonts w:hint="eastAsia" w:ascii="仿宋" w:hAnsi="仿宋" w:eastAsia="仿宋" w:cs="仿宋"/>
          <w:sz w:val="24"/>
        </w:rPr>
        <w:t>预算金额未达100万元的采购项目，由采购人处理采购争议。</w:t>
      </w:r>
    </w:p>
    <w:p w14:paraId="6C0D1500">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2552AB2D">
      <w:pPr>
        <w:spacing w:line="360" w:lineRule="auto"/>
        <w:ind w:firstLine="480" w:firstLineChars="20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p>
    <w:p w14:paraId="3BB4176B">
      <w:pPr>
        <w:rPr>
          <w:rFonts w:hint="eastAsia" w:ascii="仿宋" w:hAnsi="仿宋" w:eastAsia="仿宋" w:cs="仿宋"/>
          <w:b/>
          <w:sz w:val="36"/>
          <w:szCs w:val="20"/>
        </w:rPr>
      </w:pPr>
      <w:r>
        <w:rPr>
          <w:rFonts w:hint="eastAsia" w:ascii="仿宋" w:hAnsi="仿宋" w:eastAsia="仿宋" w:cs="仿宋"/>
          <w:b/>
          <w:sz w:val="36"/>
          <w:szCs w:val="20"/>
        </w:rPr>
        <w:br w:type="page"/>
      </w:r>
    </w:p>
    <w:p w14:paraId="25E9C06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5A8F1A07">
      <w:pPr>
        <w:pStyle w:val="393"/>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567B119E">
      <w:pPr>
        <w:pStyle w:val="393"/>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7448097E">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14:paraId="140067D3">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14:paraId="1E20EEE2">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CC71686">
      <w:pPr>
        <w:pStyle w:val="393"/>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074743D4">
      <w:pPr>
        <w:pStyle w:val="393"/>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3475CA83">
      <w:pPr>
        <w:pStyle w:val="393"/>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22867DF5">
      <w:pPr>
        <w:pStyle w:val="393"/>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0CCB789C">
      <w:pPr>
        <w:pStyle w:val="393"/>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014690E2">
      <w:pPr>
        <w:pStyle w:val="393"/>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22A0386C">
      <w:pPr>
        <w:pStyle w:val="393"/>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1E4F4F90">
      <w:pPr>
        <w:pStyle w:val="393"/>
        <w:spacing w:before="0"/>
        <w:ind w:firstLine="0" w:firstLineChars="0"/>
        <w:rPr>
          <w:rFonts w:hint="eastAsia" w:ascii="仿宋" w:hAnsi="仿宋" w:eastAsia="仿宋" w:cs="仿宋"/>
          <w:b/>
        </w:rPr>
      </w:pPr>
      <w:r>
        <w:rPr>
          <w:rFonts w:hint="eastAsia" w:ascii="仿宋" w:hAnsi="仿宋" w:eastAsia="仿宋" w:cs="仿宋"/>
          <w:b/>
        </w:rPr>
        <w:t>3.磋商与评审</w:t>
      </w:r>
    </w:p>
    <w:p w14:paraId="51ECB34C">
      <w:pPr>
        <w:pStyle w:val="393"/>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7DC7D8AF">
      <w:pPr>
        <w:pStyle w:val="393"/>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14:paraId="50A7E87E">
      <w:pPr>
        <w:pStyle w:val="393"/>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14:paraId="130ED7F3">
      <w:pPr>
        <w:pStyle w:val="393"/>
        <w:spacing w:before="0"/>
        <w:ind w:firstLine="480"/>
        <w:rPr>
          <w:rFonts w:hint="eastAsia" w:ascii="仿宋" w:hAnsi="仿宋" w:eastAsia="仿宋" w:cs="仿宋"/>
          <w:szCs w:val="24"/>
        </w:rPr>
      </w:pPr>
      <w:r>
        <w:rPr>
          <w:rFonts w:hint="eastAsia" w:ascii="仿宋" w:hAnsi="仿宋" w:eastAsia="仿宋" w:cs="仿宋"/>
          <w:szCs w:val="24"/>
        </w:rPr>
        <w:t>3.4资格审查小组对供应商的资格进行审查。</w:t>
      </w:r>
    </w:p>
    <w:p w14:paraId="5AC43AAB">
      <w:pPr>
        <w:pStyle w:val="393"/>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23CD8998">
      <w:pPr>
        <w:pStyle w:val="393"/>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36D95B75">
      <w:pPr>
        <w:pStyle w:val="393"/>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169E7A9">
      <w:pPr>
        <w:pStyle w:val="393"/>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3E3A6156">
      <w:pPr>
        <w:pStyle w:val="393"/>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2004F949">
      <w:pPr>
        <w:pStyle w:val="393"/>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1EFFFCB">
      <w:pPr>
        <w:pStyle w:val="393"/>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5B4E966A">
      <w:pPr>
        <w:pStyle w:val="393"/>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F168118">
      <w:pPr>
        <w:pStyle w:val="393"/>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BDF88A4">
      <w:pPr>
        <w:pStyle w:val="393"/>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6763FA7E">
      <w:pPr>
        <w:pStyle w:val="393"/>
        <w:spacing w:before="0"/>
        <w:ind w:firstLine="480"/>
        <w:rPr>
          <w:rFonts w:hint="eastAsia" w:ascii="仿宋" w:hAnsi="仿宋" w:eastAsia="仿宋" w:cs="仿宋"/>
          <w:szCs w:val="24"/>
        </w:rPr>
      </w:pPr>
      <w:r>
        <w:rPr>
          <w:rFonts w:hint="eastAsia" w:ascii="仿宋" w:hAnsi="仿宋" w:eastAsia="仿宋" w:cs="仿宋"/>
          <w:szCs w:val="24"/>
        </w:rPr>
        <w:t>3.13采购机构唱价。</w:t>
      </w:r>
    </w:p>
    <w:p w14:paraId="70923915">
      <w:pPr>
        <w:pStyle w:val="393"/>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71047F9">
      <w:pPr>
        <w:pStyle w:val="393"/>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5D7C33EF">
      <w:pPr>
        <w:pStyle w:val="393"/>
        <w:spacing w:before="0"/>
        <w:ind w:firstLine="0" w:firstLineChars="0"/>
        <w:rPr>
          <w:rFonts w:hint="eastAsia" w:ascii="仿宋" w:hAnsi="仿宋" w:eastAsia="仿宋" w:cs="仿宋"/>
          <w:b/>
        </w:rPr>
      </w:pPr>
      <w:r>
        <w:rPr>
          <w:rFonts w:hint="eastAsia" w:ascii="仿宋" w:hAnsi="仿宋" w:eastAsia="仿宋" w:cs="仿宋"/>
          <w:b/>
        </w:rPr>
        <w:t>4. 成交</w:t>
      </w:r>
    </w:p>
    <w:p w14:paraId="6F047DDE">
      <w:pPr>
        <w:pStyle w:val="393"/>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1FEC664">
      <w:pPr>
        <w:pStyle w:val="393"/>
        <w:spacing w:before="0"/>
        <w:ind w:firstLine="480"/>
        <w:rPr>
          <w:rFonts w:hint="eastAsia" w:ascii="仿宋" w:hAnsi="仿宋" w:eastAsia="仿宋" w:cs="仿宋"/>
          <w:szCs w:val="24"/>
        </w:rPr>
      </w:pPr>
      <w:r>
        <w:rPr>
          <w:rFonts w:hint="eastAsia" w:ascii="仿宋" w:hAnsi="仿宋" w:eastAsia="仿宋" w:cs="仿宋"/>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4C7FBB1">
      <w:pPr>
        <w:pStyle w:val="393"/>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1F4E7527">
      <w:pPr>
        <w:pStyle w:val="393"/>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218AB58B">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7F44F133">
      <w:pPr>
        <w:pStyle w:val="393"/>
        <w:spacing w:before="0"/>
        <w:ind w:firstLine="480"/>
        <w:rPr>
          <w:rFonts w:hint="eastAsia" w:ascii="仿宋" w:hAnsi="仿宋" w:eastAsia="仿宋" w:cs="仿宋"/>
          <w:szCs w:val="24"/>
        </w:rPr>
      </w:pPr>
      <w:r>
        <w:rPr>
          <w:rFonts w:hint="eastAsia" w:ascii="仿宋" w:hAnsi="仿宋" w:eastAsia="仿宋" w:cs="仿宋"/>
          <w:szCs w:val="24"/>
        </w:rPr>
        <w:t>5.3合同履约。</w:t>
      </w:r>
    </w:p>
    <w:p w14:paraId="76CE387F">
      <w:pPr>
        <w:pStyle w:val="393"/>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304E21FD">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4D3EFE2E">
      <w:pPr>
        <w:pStyle w:val="393"/>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3E8F65C0">
      <w:pPr>
        <w:pStyle w:val="393"/>
        <w:spacing w:before="0"/>
        <w:ind w:firstLine="0" w:firstLineChars="0"/>
        <w:rPr>
          <w:rFonts w:hint="eastAsia" w:ascii="仿宋" w:hAnsi="仿宋" w:eastAsia="仿宋" w:cs="仿宋"/>
          <w:b/>
        </w:rPr>
      </w:pPr>
    </w:p>
    <w:p w14:paraId="59686FB0">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7AA30A3A">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EB5CF">
                            <w:pPr>
                              <w:rPr>
                                <w:rFonts w:asciiTheme="minorEastAsia" w:hAnsiTheme="minorEastAsia" w:eastAsiaTheme="minorEastAsia"/>
                              </w:rPr>
                            </w:pPr>
                            <w:r>
                              <w:rPr>
                                <w:rFonts w:hint="eastAsia" w:asciiTheme="minorEastAsia" w:hAnsiTheme="minorEastAsia" w:eastAsiaTheme="minorEastAsia"/>
                              </w:rPr>
                              <w:t>验收</w:t>
                            </w:r>
                          </w:p>
                          <w:p w14:paraId="236F3B6B">
                            <w:pPr>
                              <w:rPr>
                                <w:rFonts w:ascii="仿宋_GB2312" w:eastAsia="仿宋_GB2312"/>
                              </w:rPr>
                            </w:pPr>
                            <w:r>
                              <w:rPr>
                                <w:rFonts w:hint="eastAsia" w:ascii="仿宋_GB2312" w:eastAsia="仿宋_GB2312"/>
                              </w:rPr>
                              <w:t>立项</w:t>
                            </w:r>
                          </w:p>
                          <w:p w14:paraId="146B01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9DEB5CF">
                      <w:pPr>
                        <w:rPr>
                          <w:rFonts w:asciiTheme="minorEastAsia" w:hAnsiTheme="minorEastAsia" w:eastAsiaTheme="minorEastAsia"/>
                        </w:rPr>
                      </w:pPr>
                      <w:r>
                        <w:rPr>
                          <w:rFonts w:hint="eastAsia" w:asciiTheme="minorEastAsia" w:hAnsiTheme="minorEastAsia" w:eastAsiaTheme="minorEastAsia"/>
                        </w:rPr>
                        <w:t>验收</w:t>
                      </w:r>
                    </w:p>
                    <w:p w14:paraId="236F3B6B">
                      <w:pPr>
                        <w:rPr>
                          <w:rFonts w:ascii="仿宋_GB2312" w:eastAsia="仿宋_GB2312"/>
                        </w:rPr>
                      </w:pPr>
                      <w:r>
                        <w:rPr>
                          <w:rFonts w:hint="eastAsia" w:ascii="仿宋_GB2312" w:eastAsia="仿宋_GB2312"/>
                        </w:rPr>
                        <w:t>立项</w:t>
                      </w:r>
                    </w:p>
                    <w:p w14:paraId="146B01F5">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AA6D3">
                            <w:pPr>
                              <w:rPr>
                                <w:rFonts w:asciiTheme="minorEastAsia" w:hAnsiTheme="minorEastAsia" w:eastAsiaTheme="minorEastAsia"/>
                              </w:rPr>
                            </w:pPr>
                            <w:r>
                              <w:rPr>
                                <w:rFonts w:hint="eastAsia" w:asciiTheme="minorEastAsia" w:hAnsiTheme="minorEastAsia" w:eastAsiaTheme="minorEastAsia"/>
                              </w:rPr>
                              <w:t>履约</w:t>
                            </w:r>
                          </w:p>
                          <w:p w14:paraId="4F9D5CA1">
                            <w:pPr>
                              <w:rPr>
                                <w:rFonts w:ascii="仿宋_GB2312" w:eastAsia="仿宋_GB2312"/>
                              </w:rPr>
                            </w:pPr>
                            <w:r>
                              <w:rPr>
                                <w:rFonts w:hint="eastAsia" w:ascii="仿宋_GB2312" w:eastAsia="仿宋_GB2312"/>
                              </w:rPr>
                              <w:t>立项</w:t>
                            </w:r>
                          </w:p>
                          <w:p w14:paraId="55FC0B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3FAA6D3">
                      <w:pPr>
                        <w:rPr>
                          <w:rFonts w:asciiTheme="minorEastAsia" w:hAnsiTheme="minorEastAsia" w:eastAsiaTheme="minorEastAsia"/>
                        </w:rPr>
                      </w:pPr>
                      <w:r>
                        <w:rPr>
                          <w:rFonts w:hint="eastAsia" w:asciiTheme="minorEastAsia" w:hAnsiTheme="minorEastAsia" w:eastAsiaTheme="minorEastAsia"/>
                        </w:rPr>
                        <w:t>履约</w:t>
                      </w:r>
                    </w:p>
                    <w:p w14:paraId="4F9D5CA1">
                      <w:pPr>
                        <w:rPr>
                          <w:rFonts w:ascii="仿宋_GB2312" w:eastAsia="仿宋_GB2312"/>
                        </w:rPr>
                      </w:pPr>
                      <w:r>
                        <w:rPr>
                          <w:rFonts w:hint="eastAsia" w:ascii="仿宋_GB2312" w:eastAsia="仿宋_GB2312"/>
                        </w:rPr>
                        <w:t>立项</w:t>
                      </w:r>
                    </w:p>
                    <w:p w14:paraId="55FC0B7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1224F">
                            <w:pPr>
                              <w:jc w:val="center"/>
                              <w:rPr>
                                <w:rFonts w:asciiTheme="minorEastAsia" w:hAnsiTheme="minorEastAsia" w:eastAsiaTheme="minorEastAsia"/>
                              </w:rPr>
                            </w:pPr>
                            <w:r>
                              <w:rPr>
                                <w:rFonts w:hint="eastAsia" w:asciiTheme="minorEastAsia" w:hAnsiTheme="minorEastAsia" w:eastAsiaTheme="minorEastAsia"/>
                              </w:rPr>
                              <w:t>签订合同</w:t>
                            </w:r>
                          </w:p>
                          <w:p w14:paraId="259E8F88">
                            <w:pPr>
                              <w:rPr>
                                <w:rFonts w:ascii="仿宋_GB2312" w:eastAsia="仿宋_GB2312"/>
                              </w:rPr>
                            </w:pPr>
                            <w:r>
                              <w:rPr>
                                <w:rFonts w:hint="eastAsia" w:ascii="仿宋_GB2312" w:eastAsia="仿宋_GB2312"/>
                              </w:rPr>
                              <w:t>立项</w:t>
                            </w:r>
                          </w:p>
                          <w:p w14:paraId="2739013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AE1224F">
                      <w:pPr>
                        <w:jc w:val="center"/>
                        <w:rPr>
                          <w:rFonts w:asciiTheme="minorEastAsia" w:hAnsiTheme="minorEastAsia" w:eastAsiaTheme="minorEastAsia"/>
                        </w:rPr>
                      </w:pPr>
                      <w:r>
                        <w:rPr>
                          <w:rFonts w:hint="eastAsia" w:asciiTheme="minorEastAsia" w:hAnsiTheme="minorEastAsia" w:eastAsiaTheme="minorEastAsia"/>
                        </w:rPr>
                        <w:t>签订合同</w:t>
                      </w:r>
                    </w:p>
                    <w:p w14:paraId="259E8F88">
                      <w:pPr>
                        <w:rPr>
                          <w:rFonts w:ascii="仿宋_GB2312" w:eastAsia="仿宋_GB2312"/>
                        </w:rPr>
                      </w:pPr>
                      <w:r>
                        <w:rPr>
                          <w:rFonts w:hint="eastAsia" w:ascii="仿宋_GB2312" w:eastAsia="仿宋_GB2312"/>
                        </w:rPr>
                        <w:t>立项</w:t>
                      </w:r>
                    </w:p>
                    <w:p w14:paraId="2739013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8C33A">
                            <w:pPr>
                              <w:rPr>
                                <w:rFonts w:asciiTheme="minorEastAsia" w:hAnsiTheme="minorEastAsia" w:eastAsiaTheme="minorEastAsia"/>
                              </w:rPr>
                            </w:pPr>
                            <w:r>
                              <w:rPr>
                                <w:rFonts w:hint="eastAsia" w:asciiTheme="minorEastAsia" w:hAnsiTheme="minorEastAsia" w:eastAsiaTheme="minorEastAsia"/>
                              </w:rPr>
                              <w:t>成交公告；成交通知书</w:t>
                            </w:r>
                          </w:p>
                          <w:p w14:paraId="418E2058">
                            <w:pPr>
                              <w:rPr>
                                <w:rFonts w:ascii="仿宋_GB2312" w:eastAsia="仿宋_GB2312"/>
                              </w:rPr>
                            </w:pPr>
                            <w:r>
                              <w:rPr>
                                <w:rFonts w:hint="eastAsia" w:ascii="仿宋_GB2312" w:eastAsia="仿宋_GB2312"/>
                              </w:rPr>
                              <w:t>立项</w:t>
                            </w:r>
                          </w:p>
                          <w:p w14:paraId="5584494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468C33A">
                      <w:pPr>
                        <w:rPr>
                          <w:rFonts w:asciiTheme="minorEastAsia" w:hAnsiTheme="minorEastAsia" w:eastAsiaTheme="minorEastAsia"/>
                        </w:rPr>
                      </w:pPr>
                      <w:r>
                        <w:rPr>
                          <w:rFonts w:hint="eastAsia" w:asciiTheme="minorEastAsia" w:hAnsiTheme="minorEastAsia" w:eastAsiaTheme="minorEastAsia"/>
                        </w:rPr>
                        <w:t>成交公告；成交通知书</w:t>
                      </w:r>
                    </w:p>
                    <w:p w14:paraId="418E2058">
                      <w:pPr>
                        <w:rPr>
                          <w:rFonts w:ascii="仿宋_GB2312" w:eastAsia="仿宋_GB2312"/>
                        </w:rPr>
                      </w:pPr>
                      <w:r>
                        <w:rPr>
                          <w:rFonts w:hint="eastAsia" w:ascii="仿宋_GB2312" w:eastAsia="仿宋_GB2312"/>
                        </w:rPr>
                        <w:t>立项</w:t>
                      </w:r>
                    </w:p>
                    <w:p w14:paraId="5584494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A694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72D1897">
                            <w:pPr>
                              <w:rPr>
                                <w:rFonts w:ascii="仿宋_GB2312" w:eastAsia="仿宋_GB2312"/>
                              </w:rPr>
                            </w:pPr>
                            <w:r>
                              <w:rPr>
                                <w:rFonts w:hint="eastAsia" w:ascii="仿宋_GB2312" w:eastAsia="仿宋_GB2312"/>
                              </w:rPr>
                              <w:t>立项</w:t>
                            </w:r>
                          </w:p>
                          <w:p w14:paraId="28FAA6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B1A694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72D1897">
                      <w:pPr>
                        <w:rPr>
                          <w:rFonts w:ascii="仿宋_GB2312" w:eastAsia="仿宋_GB2312"/>
                        </w:rPr>
                      </w:pPr>
                      <w:r>
                        <w:rPr>
                          <w:rFonts w:hint="eastAsia" w:ascii="仿宋_GB2312" w:eastAsia="仿宋_GB2312"/>
                        </w:rPr>
                        <w:t>立项</w:t>
                      </w:r>
                    </w:p>
                    <w:p w14:paraId="28FAA63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B95904">
                            <w:pPr>
                              <w:jc w:val="center"/>
                              <w:rPr>
                                <w:rFonts w:asciiTheme="minorEastAsia" w:hAnsiTheme="minorEastAsia" w:eastAsiaTheme="minorEastAsia"/>
                              </w:rPr>
                            </w:pPr>
                            <w:r>
                              <w:rPr>
                                <w:rFonts w:hint="eastAsia" w:asciiTheme="minorEastAsia" w:hAnsiTheme="minorEastAsia" w:eastAsiaTheme="minorEastAsia"/>
                              </w:rPr>
                              <w:t>评审打分</w:t>
                            </w:r>
                          </w:p>
                          <w:p w14:paraId="5911FE2F">
                            <w:pPr>
                              <w:rPr>
                                <w:rFonts w:ascii="仿宋_GB2312" w:eastAsia="仿宋_GB2312"/>
                              </w:rPr>
                            </w:pPr>
                            <w:r>
                              <w:rPr>
                                <w:rFonts w:hint="eastAsia" w:ascii="仿宋_GB2312" w:eastAsia="仿宋_GB2312"/>
                              </w:rPr>
                              <w:t>立项</w:t>
                            </w:r>
                          </w:p>
                          <w:p w14:paraId="17C6D89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4B95904">
                      <w:pPr>
                        <w:jc w:val="center"/>
                        <w:rPr>
                          <w:rFonts w:asciiTheme="minorEastAsia" w:hAnsiTheme="minorEastAsia" w:eastAsiaTheme="minorEastAsia"/>
                        </w:rPr>
                      </w:pPr>
                      <w:r>
                        <w:rPr>
                          <w:rFonts w:hint="eastAsia" w:asciiTheme="minorEastAsia" w:hAnsiTheme="minorEastAsia" w:eastAsiaTheme="minorEastAsia"/>
                        </w:rPr>
                        <w:t>评审打分</w:t>
                      </w:r>
                    </w:p>
                    <w:p w14:paraId="5911FE2F">
                      <w:pPr>
                        <w:rPr>
                          <w:rFonts w:ascii="仿宋_GB2312" w:eastAsia="仿宋_GB2312"/>
                        </w:rPr>
                      </w:pPr>
                      <w:r>
                        <w:rPr>
                          <w:rFonts w:hint="eastAsia" w:ascii="仿宋_GB2312" w:eastAsia="仿宋_GB2312"/>
                        </w:rPr>
                        <w:t>立项</w:t>
                      </w:r>
                    </w:p>
                    <w:p w14:paraId="17C6D896">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D8E2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00FCEC">
                            <w:pPr>
                              <w:rPr>
                                <w:rFonts w:ascii="仿宋_GB2312" w:eastAsia="仿宋_GB2312"/>
                              </w:rPr>
                            </w:pPr>
                            <w:r>
                              <w:rPr>
                                <w:rFonts w:hint="eastAsia" w:ascii="仿宋_GB2312" w:eastAsia="仿宋_GB2312"/>
                              </w:rPr>
                              <w:t>立项</w:t>
                            </w:r>
                          </w:p>
                          <w:p w14:paraId="69A7FC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4D8E2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00FCEC">
                      <w:pPr>
                        <w:rPr>
                          <w:rFonts w:ascii="仿宋_GB2312" w:eastAsia="仿宋_GB2312"/>
                        </w:rPr>
                      </w:pPr>
                      <w:r>
                        <w:rPr>
                          <w:rFonts w:hint="eastAsia" w:ascii="仿宋_GB2312" w:eastAsia="仿宋_GB2312"/>
                        </w:rPr>
                        <w:t>立项</w:t>
                      </w:r>
                    </w:p>
                    <w:p w14:paraId="69A7FC8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126D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0B126D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0DDE2">
                            <w:pPr>
                              <w:jc w:val="center"/>
                              <w:rPr>
                                <w:rFonts w:asciiTheme="minorEastAsia" w:hAnsiTheme="minorEastAsia" w:eastAsiaTheme="minorEastAsia"/>
                              </w:rPr>
                            </w:pPr>
                            <w:r>
                              <w:rPr>
                                <w:rFonts w:hint="eastAsia" w:asciiTheme="minorEastAsia" w:hAnsiTheme="minorEastAsia" w:eastAsiaTheme="minorEastAsia"/>
                              </w:rPr>
                              <w:t>资格审查</w:t>
                            </w:r>
                          </w:p>
                          <w:p w14:paraId="0C673EF6">
                            <w:pPr>
                              <w:jc w:val="center"/>
                              <w:rPr>
                                <w:rFonts w:ascii="仿宋_GB2312" w:eastAsia="仿宋_GB2312"/>
                              </w:rPr>
                            </w:pPr>
                          </w:p>
                          <w:p w14:paraId="6F24A9E6">
                            <w:pPr>
                              <w:rPr>
                                <w:rFonts w:ascii="仿宋_GB2312" w:eastAsia="仿宋_GB2312"/>
                              </w:rPr>
                            </w:pPr>
                            <w:r>
                              <w:rPr>
                                <w:rFonts w:hint="eastAsia" w:ascii="仿宋_GB2312" w:eastAsia="仿宋_GB2312"/>
                              </w:rPr>
                              <w:t>立项</w:t>
                            </w:r>
                          </w:p>
                          <w:p w14:paraId="006EC74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CF0DDE2">
                      <w:pPr>
                        <w:jc w:val="center"/>
                        <w:rPr>
                          <w:rFonts w:asciiTheme="minorEastAsia" w:hAnsiTheme="minorEastAsia" w:eastAsiaTheme="minorEastAsia"/>
                        </w:rPr>
                      </w:pPr>
                      <w:r>
                        <w:rPr>
                          <w:rFonts w:hint="eastAsia" w:asciiTheme="minorEastAsia" w:hAnsiTheme="minorEastAsia" w:eastAsiaTheme="minorEastAsia"/>
                        </w:rPr>
                        <w:t>资格审查</w:t>
                      </w:r>
                    </w:p>
                    <w:p w14:paraId="0C673EF6">
                      <w:pPr>
                        <w:jc w:val="center"/>
                        <w:rPr>
                          <w:rFonts w:ascii="仿宋_GB2312" w:eastAsia="仿宋_GB2312"/>
                        </w:rPr>
                      </w:pPr>
                    </w:p>
                    <w:p w14:paraId="6F24A9E6">
                      <w:pPr>
                        <w:rPr>
                          <w:rFonts w:ascii="仿宋_GB2312" w:eastAsia="仿宋_GB2312"/>
                        </w:rPr>
                      </w:pPr>
                      <w:r>
                        <w:rPr>
                          <w:rFonts w:hint="eastAsia" w:ascii="仿宋_GB2312" w:eastAsia="仿宋_GB2312"/>
                        </w:rPr>
                        <w:t>立项</w:t>
                      </w:r>
                    </w:p>
                    <w:p w14:paraId="006EC746">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EA36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D5EA36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B5D9B">
                            <w:pPr>
                              <w:jc w:val="center"/>
                              <w:rPr>
                                <w:rFonts w:asciiTheme="minorEastAsia" w:hAnsiTheme="minorEastAsia" w:eastAsiaTheme="minorEastAsia"/>
                              </w:rPr>
                            </w:pPr>
                            <w:r>
                              <w:rPr>
                                <w:rFonts w:hint="eastAsia" w:asciiTheme="minorEastAsia" w:hAnsiTheme="minorEastAsia" w:eastAsiaTheme="minorEastAsia"/>
                              </w:rPr>
                              <w:t>开启响应文件</w:t>
                            </w:r>
                          </w:p>
                          <w:p w14:paraId="6E817800">
                            <w:pPr>
                              <w:rPr>
                                <w:rFonts w:ascii="仿宋_GB2312" w:eastAsia="仿宋_GB2312"/>
                              </w:rPr>
                            </w:pPr>
                            <w:r>
                              <w:rPr>
                                <w:rFonts w:hint="eastAsia" w:ascii="仿宋_GB2312" w:eastAsia="仿宋_GB2312"/>
                              </w:rPr>
                              <w:t>立项</w:t>
                            </w:r>
                          </w:p>
                          <w:p w14:paraId="1952FA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79B5D9B">
                      <w:pPr>
                        <w:jc w:val="center"/>
                        <w:rPr>
                          <w:rFonts w:asciiTheme="minorEastAsia" w:hAnsiTheme="minorEastAsia" w:eastAsiaTheme="minorEastAsia"/>
                        </w:rPr>
                      </w:pPr>
                      <w:r>
                        <w:rPr>
                          <w:rFonts w:hint="eastAsia" w:asciiTheme="minorEastAsia" w:hAnsiTheme="minorEastAsia" w:eastAsiaTheme="minorEastAsia"/>
                        </w:rPr>
                        <w:t>开启响应文件</w:t>
                      </w:r>
                    </w:p>
                    <w:p w14:paraId="6E817800">
                      <w:pPr>
                        <w:rPr>
                          <w:rFonts w:ascii="仿宋_GB2312" w:eastAsia="仿宋_GB2312"/>
                        </w:rPr>
                      </w:pPr>
                      <w:r>
                        <w:rPr>
                          <w:rFonts w:hint="eastAsia" w:ascii="仿宋_GB2312" w:eastAsia="仿宋_GB2312"/>
                        </w:rPr>
                        <w:t>立项</w:t>
                      </w:r>
                    </w:p>
                    <w:p w14:paraId="1952FAC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1747C">
                            <w:pPr>
                              <w:jc w:val="center"/>
                              <w:rPr>
                                <w:rFonts w:asciiTheme="minorEastAsia" w:hAnsiTheme="minorEastAsia" w:eastAsiaTheme="minorEastAsia"/>
                              </w:rPr>
                            </w:pPr>
                            <w:r>
                              <w:rPr>
                                <w:rFonts w:hint="eastAsia" w:asciiTheme="minorEastAsia" w:hAnsiTheme="minorEastAsia" w:eastAsiaTheme="minorEastAsia"/>
                              </w:rPr>
                              <w:t>邀请供应商</w:t>
                            </w:r>
                          </w:p>
                          <w:p w14:paraId="0306965C">
                            <w:pPr>
                              <w:rPr>
                                <w:rFonts w:ascii="仿宋_GB2312" w:eastAsia="仿宋_GB2312"/>
                              </w:rPr>
                            </w:pPr>
                            <w:r>
                              <w:rPr>
                                <w:rFonts w:hint="eastAsia" w:ascii="仿宋_GB2312" w:eastAsia="仿宋_GB2312"/>
                              </w:rPr>
                              <w:t>立项</w:t>
                            </w:r>
                          </w:p>
                          <w:p w14:paraId="4D1EE07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1C1747C">
                      <w:pPr>
                        <w:jc w:val="center"/>
                        <w:rPr>
                          <w:rFonts w:asciiTheme="minorEastAsia" w:hAnsiTheme="minorEastAsia" w:eastAsiaTheme="minorEastAsia"/>
                        </w:rPr>
                      </w:pPr>
                      <w:r>
                        <w:rPr>
                          <w:rFonts w:hint="eastAsia" w:asciiTheme="minorEastAsia" w:hAnsiTheme="minorEastAsia" w:eastAsiaTheme="minorEastAsia"/>
                        </w:rPr>
                        <w:t>邀请供应商</w:t>
                      </w:r>
                    </w:p>
                    <w:p w14:paraId="0306965C">
                      <w:pPr>
                        <w:rPr>
                          <w:rFonts w:ascii="仿宋_GB2312" w:eastAsia="仿宋_GB2312"/>
                        </w:rPr>
                      </w:pPr>
                      <w:r>
                        <w:rPr>
                          <w:rFonts w:hint="eastAsia" w:ascii="仿宋_GB2312" w:eastAsia="仿宋_GB2312"/>
                        </w:rPr>
                        <w:t>立项</w:t>
                      </w:r>
                    </w:p>
                    <w:p w14:paraId="4D1EE07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567BD8E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2B1721E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808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B66C584">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29236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DB12F">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2C52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3BD8E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A2C280">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F3E7">
            <w:pPr>
              <w:spacing w:line="360" w:lineRule="auto"/>
              <w:rPr>
                <w:rFonts w:hint="eastAsia" w:ascii="仿宋" w:hAnsi="仿宋" w:eastAsia="仿宋" w:cs="仿宋"/>
                <w:sz w:val="24"/>
              </w:rPr>
            </w:pPr>
            <w:r>
              <w:rPr>
                <w:rFonts w:hint="eastAsia" w:ascii="仿宋" w:hAnsi="仿宋" w:eastAsia="仿宋" w:cs="仿宋"/>
                <w:sz w:val="24"/>
              </w:rPr>
              <w:t>服务类。</w:t>
            </w:r>
          </w:p>
        </w:tc>
      </w:tr>
      <w:tr w14:paraId="4D3D2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A4D8418">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95A5BE">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7130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浙江省教育考试院网络安全运维服务项目</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rPr>
              <w:t>行业；</w:t>
            </w:r>
          </w:p>
        </w:tc>
      </w:tr>
      <w:tr w14:paraId="527B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230418E">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B81BF7">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4A879">
            <w:pPr>
              <w:spacing w:line="360" w:lineRule="auto"/>
              <w:rPr>
                <w:rFonts w:hint="eastAsia" w:ascii="仿宋" w:hAnsi="仿宋" w:eastAsia="仿宋" w:cs="仿宋"/>
                <w:kern w:val="0"/>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本项目不允许采购进口产品。</w:t>
            </w:r>
          </w:p>
          <w:p w14:paraId="71AC528B">
            <w:pPr>
              <w:spacing w:line="360" w:lineRule="auto"/>
              <w:rPr>
                <w:rFonts w:hint="eastAsia"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13AEF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D7182C2">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5D66F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56D94">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培训 </w:t>
            </w:r>
            <w:r>
              <w:rPr>
                <w:rFonts w:hint="eastAsia" w:ascii="仿宋" w:hAnsi="仿宋" w:eastAsia="仿宋" w:cs="仿宋"/>
                <w:kern w:val="0"/>
                <w:sz w:val="24"/>
              </w:rPr>
              <w:t>工作分包</w:t>
            </w:r>
            <w:r>
              <w:rPr>
                <w:rFonts w:hint="eastAsia" w:ascii="仿宋" w:hAnsi="仿宋" w:eastAsia="仿宋" w:cs="仿宋"/>
                <w:sz w:val="24"/>
              </w:rPr>
              <w:t>。</w:t>
            </w:r>
          </w:p>
          <w:p w14:paraId="546761BC">
            <w:pPr>
              <w:spacing w:line="360" w:lineRule="auto"/>
              <w:rPr>
                <w:rFonts w:hint="eastAsia" w:ascii="仿宋" w:hAnsi="仿宋" w:eastAsia="仿宋" w:cs="仿宋"/>
                <w:sz w:val="24"/>
                <w:highlight w:val="yellow"/>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35072999">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6A0D4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9C53188">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CFF1B7">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77A3D">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不组织。</w:t>
            </w:r>
          </w:p>
          <w:p w14:paraId="4A1D3730">
            <w:pPr>
              <w:spacing w:line="360" w:lineRule="auto"/>
              <w:rPr>
                <w:rFonts w:hint="eastAsia"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E6E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9E9C9D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547993">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1E2AD">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不要求提供。</w:t>
            </w:r>
          </w:p>
          <w:p w14:paraId="26BB4D34">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5A1FA090">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FBE64F1">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D56674C">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69A0F406">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43AEA57">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6FB04E12">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7684C310">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7E498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D4B9667">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540D95">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4953">
            <w:pPr>
              <w:spacing w:line="360" w:lineRule="auto"/>
              <w:rPr>
                <w:rFonts w:hint="eastAsia" w:ascii="仿宋" w:hAnsi="仿宋" w:eastAsia="仿宋" w:cs="仿宋"/>
                <w:sz w:val="24"/>
              </w:rPr>
            </w:pPr>
            <w:r>
              <w:rPr>
                <w:rFonts w:hint="eastAsia" w:ascii="宋体" w:hAnsi="宋体" w:eastAsia="宋体" w:cs="宋体"/>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不组织。</w:t>
            </w:r>
          </w:p>
          <w:p w14:paraId="1D4D0EDD">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A1E987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（1）在评审时安排每个供应商进行陈述及答辩。每个供应商时间不超过/分钟，讲解次序以响应文件解密时间先后次序为准，陈述及答辩人员不超过/人。讲解演示结束后按要求解答评标委员会提问。</w:t>
            </w:r>
          </w:p>
          <w:p w14:paraId="09E0DF4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（2）现场讲解演示。现场讲解地点为</w:t>
            </w:r>
            <w:r>
              <w:rPr>
                <w:rFonts w:hint="eastAsia" w:ascii="仿宋" w:hAnsi="仿宋" w:eastAsia="仿宋" w:cs="仿宋"/>
                <w:sz w:val="24"/>
                <w:u w:val="single"/>
              </w:rPr>
              <w:t>/</w:t>
            </w:r>
            <w:r>
              <w:rPr>
                <w:rFonts w:hint="eastAsia" w:ascii="仿宋" w:hAnsi="仿宋" w:eastAsia="仿宋" w:cs="仿宋"/>
                <w:kern w:val="0"/>
                <w:sz w:val="24"/>
              </w:rPr>
              <w:t>，讲解演示所用电脑等设备由供应商自备。</w:t>
            </w:r>
          </w:p>
          <w:p w14:paraId="01F7C8DE">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w:t>
            </w:r>
          </w:p>
        </w:tc>
      </w:tr>
      <w:tr w14:paraId="2603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3D9C4193">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11F7CA90">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D13D1F">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63B0D63D">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5EBD7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6C4B895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6285349">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7F1CCF">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0AF0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76538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8E5C0">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002F4">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050A6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D2AFF59">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7711B">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D650C">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0013D120">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36F20DAF">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3EDABACE">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69CB175C">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64D6DE9">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488FA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14:paraId="5470489F">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6785FAB9">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285A4BA">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6ABF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7EB31D">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642DCD">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300B9">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杭州市文三路90号东部软件园1号楼319室</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0571-</w:t>
            </w:r>
            <w:r>
              <w:rPr>
                <w:rFonts w:hint="eastAsia" w:ascii="仿宋" w:hAnsi="仿宋" w:eastAsia="仿宋" w:cs="仿宋"/>
                <w:kern w:val="28"/>
                <w:sz w:val="24"/>
                <w:szCs w:val="24"/>
                <w:u w:val="single"/>
                <w:lang w:eastAsia="zh-CN"/>
              </w:rPr>
              <w:t>81061823</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采购人、采购机构不强制或变相强制供应商提交备份响应文件。</w:t>
            </w:r>
          </w:p>
        </w:tc>
      </w:tr>
      <w:tr w14:paraId="4AA08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14:paraId="71ADC50E">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09165FE8">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6C24F">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2846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right w:val="single" w:color="000000" w:sz="2" w:space="0"/>
            </w:tcBorders>
            <w:vAlign w:val="center"/>
          </w:tcPr>
          <w:p w14:paraId="20ADE67A">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7E63333B">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BAE7B8F">
            <w:pPr>
              <w:spacing w:line="360" w:lineRule="auto"/>
              <w:rPr>
                <w:rFonts w:hint="eastAsia" w:ascii="仿宋" w:hAnsi="仿宋" w:eastAsia="仿宋" w:cs="仿宋"/>
                <w:snapToGrid w:val="0"/>
                <w:kern w:val="28"/>
                <w:sz w:val="24"/>
              </w:rPr>
            </w:pPr>
            <w:r>
              <w:rPr>
                <w:rFonts w:hint="eastAsia" w:ascii="MS Gothic" w:hAnsi="MS Gothic" w:eastAsia="仿宋" w:cs="仿宋"/>
                <w:kern w:val="0"/>
                <w:sz w:val="24"/>
                <w:szCs w:val="24"/>
                <w:lang w:val="en-US" w:eastAsia="zh-CN" w:bidi="ar-SA"/>
              </w:rPr>
              <w:t>☐</w:t>
            </w:r>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21749B70">
            <w:pPr>
              <w:spacing w:line="360" w:lineRule="auto"/>
              <w:rPr>
                <w:rFonts w:hint="eastAsia" w:ascii="仿宋" w:hAnsi="仿宋" w:eastAsia="仿宋" w:cs="仿宋"/>
                <w:snapToGrid w:val="0"/>
                <w:kern w:val="28"/>
                <w:sz w:val="24"/>
              </w:rPr>
            </w:pPr>
            <w:r>
              <w:rPr>
                <w:rFonts w:hint="eastAsia" w:ascii="宋体" w:hAnsi="宋体" w:eastAsia="宋体" w:cs="宋体"/>
                <w:kern w:val="0"/>
                <w:sz w:val="24"/>
                <w:szCs w:val="24"/>
                <w:lang w:val="en-US" w:eastAsia="zh-CN" w:bidi="ar-SA"/>
              </w:rPr>
              <w:t>■</w:t>
            </w:r>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14:paraId="7758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left w:val="single" w:color="000000" w:sz="8" w:space="0"/>
              <w:bottom w:val="single" w:color="auto" w:sz="4" w:space="0"/>
              <w:right w:val="single" w:color="000000" w:sz="2" w:space="0"/>
            </w:tcBorders>
            <w:vAlign w:val="center"/>
          </w:tcPr>
          <w:p w14:paraId="2C2FE4B5">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left w:val="single" w:color="000000" w:sz="2" w:space="0"/>
              <w:bottom w:val="single" w:color="auto" w:sz="4" w:space="0"/>
              <w:right w:val="single" w:color="000000" w:sz="8" w:space="0"/>
            </w:tcBorders>
            <w:vAlign w:val="center"/>
          </w:tcPr>
          <w:p w14:paraId="548D79DE">
            <w:pPr>
              <w:snapToGrid w:val="0"/>
              <w:jc w:val="center"/>
              <w:rPr>
                <w:rFonts w:hint="eastAsia" w:ascii="仿宋" w:hAnsi="仿宋" w:eastAsia="仿宋" w:cs="仿宋"/>
                <w:b/>
                <w:sz w:val="24"/>
              </w:rPr>
            </w:pPr>
            <w:r>
              <w:rPr>
                <w:rFonts w:hint="eastAsia" w:ascii="仿宋" w:hAnsi="仿宋" w:eastAsia="仿宋" w:cs="仿宋"/>
                <w:b/>
                <w:sz w:val="24"/>
              </w:rPr>
              <w:t>中标服务费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58D063AF">
            <w:pPr>
              <w:rPr>
                <w:rFonts w:hint="eastAsia" w:ascii="仿宋" w:hAnsi="仿宋" w:eastAsia="仿宋" w:cs="仿宋"/>
                <w:sz w:val="24"/>
              </w:rPr>
            </w:pPr>
            <w:r>
              <w:rPr>
                <w:rFonts w:hint="eastAsia" w:ascii="仿宋" w:hAnsi="仿宋" w:eastAsia="仿宋" w:cs="仿宋"/>
                <w:sz w:val="24"/>
              </w:rPr>
              <w:t>本项目的中标服务费由成交供应商支付。计费标准：</w:t>
            </w:r>
          </w:p>
          <w:p w14:paraId="59693BAC">
            <w:pPr>
              <w:numPr>
                <w:ilvl w:val="0"/>
                <w:numId w:val="8"/>
              </w:numPr>
              <w:rPr>
                <w:rFonts w:hint="eastAsia" w:ascii="仿宋" w:hAnsi="仿宋" w:eastAsia="仿宋" w:cs="仿宋"/>
                <w:sz w:val="24"/>
              </w:rPr>
            </w:pPr>
            <w:r>
              <w:rPr>
                <w:rFonts w:hint="eastAsia" w:ascii="仿宋" w:hAnsi="仿宋" w:eastAsia="仿宋" w:cs="仿宋"/>
                <w:sz w:val="24"/>
              </w:rPr>
              <w:t>中标服务费以成交金额为计费基准，计费标准按原《计价格［2002］1980号》及《发改办价格［2003］857号》规定的服务类收费标准的八折，不足2000元的按2000元计取。</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69C8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1AB28B1C">
                  <w:pPr>
                    <w:jc w:val="center"/>
                    <w:rPr>
                      <w:rFonts w:hint="eastAsia" w:ascii="仿宋" w:hAnsi="仿宋" w:eastAsia="仿宋" w:cs="仿宋"/>
                      <w:sz w:val="24"/>
                    </w:rPr>
                  </w:pPr>
                  <w:r>
                    <w:rPr>
                      <w:rFonts w:hint="eastAsia" w:ascii="仿宋" w:hAnsi="仿宋" w:eastAsia="仿宋" w:cs="仿宋"/>
                      <w:sz w:val="24"/>
                    </w:rPr>
                    <w:t>中标金额</w:t>
                  </w:r>
                </w:p>
              </w:tc>
              <w:tc>
                <w:tcPr>
                  <w:tcW w:w="1288" w:type="dxa"/>
                </w:tcPr>
                <w:p w14:paraId="16BB9E62">
                  <w:pPr>
                    <w:jc w:val="center"/>
                    <w:rPr>
                      <w:rFonts w:hint="eastAsia" w:ascii="仿宋" w:hAnsi="仿宋" w:eastAsia="仿宋" w:cs="仿宋"/>
                      <w:sz w:val="24"/>
                    </w:rPr>
                  </w:pPr>
                  <w:r>
                    <w:rPr>
                      <w:rFonts w:hint="eastAsia" w:ascii="仿宋" w:hAnsi="仿宋" w:eastAsia="仿宋" w:cs="仿宋"/>
                      <w:sz w:val="24"/>
                    </w:rPr>
                    <w:t>标准费率</w:t>
                  </w:r>
                </w:p>
              </w:tc>
              <w:tc>
                <w:tcPr>
                  <w:tcW w:w="1925" w:type="dxa"/>
                </w:tcPr>
                <w:p w14:paraId="35B94785">
                  <w:pPr>
                    <w:jc w:val="center"/>
                    <w:rPr>
                      <w:rFonts w:hint="eastAsia" w:ascii="仿宋" w:hAnsi="仿宋" w:eastAsia="仿宋" w:cs="仿宋"/>
                      <w:sz w:val="24"/>
                    </w:rPr>
                  </w:pPr>
                  <w:r>
                    <w:rPr>
                      <w:rFonts w:hint="eastAsia" w:ascii="仿宋" w:hAnsi="仿宋" w:eastAsia="仿宋" w:cs="仿宋"/>
                      <w:sz w:val="24"/>
                    </w:rPr>
                    <w:t>八折费率</w:t>
                  </w:r>
                </w:p>
              </w:tc>
            </w:tr>
            <w:tr w14:paraId="743D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3A7F0E5F">
                  <w:pPr>
                    <w:jc w:val="center"/>
                    <w:rPr>
                      <w:rFonts w:hint="eastAsia" w:ascii="仿宋" w:hAnsi="仿宋" w:eastAsia="仿宋" w:cs="仿宋"/>
                      <w:sz w:val="24"/>
                    </w:rPr>
                  </w:pPr>
                  <w:r>
                    <w:rPr>
                      <w:rFonts w:hint="eastAsia" w:ascii="仿宋" w:hAnsi="仿宋" w:eastAsia="仿宋" w:cs="仿宋"/>
                      <w:sz w:val="24"/>
                    </w:rPr>
                    <w:t>≤100万元</w:t>
                  </w:r>
                </w:p>
              </w:tc>
              <w:tc>
                <w:tcPr>
                  <w:tcW w:w="1288" w:type="dxa"/>
                </w:tcPr>
                <w:p w14:paraId="38A6336C">
                  <w:pPr>
                    <w:jc w:val="center"/>
                    <w:rPr>
                      <w:rFonts w:hint="eastAsia" w:ascii="仿宋" w:hAnsi="仿宋" w:eastAsia="仿宋" w:cs="仿宋"/>
                      <w:sz w:val="24"/>
                    </w:rPr>
                  </w:pPr>
                  <w:r>
                    <w:rPr>
                      <w:rFonts w:hint="eastAsia" w:ascii="仿宋" w:hAnsi="仿宋" w:eastAsia="仿宋" w:cs="仿宋"/>
                      <w:sz w:val="24"/>
                    </w:rPr>
                    <w:t>1.5%</w:t>
                  </w:r>
                </w:p>
              </w:tc>
              <w:tc>
                <w:tcPr>
                  <w:tcW w:w="1925" w:type="dxa"/>
                  <w:vAlign w:val="center"/>
                </w:tcPr>
                <w:p w14:paraId="59351FEF">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1.2%</w:t>
                  </w:r>
                </w:p>
              </w:tc>
            </w:tr>
            <w:tr w14:paraId="18E6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6365B651">
                  <w:pPr>
                    <w:jc w:val="center"/>
                    <w:rPr>
                      <w:rFonts w:hint="eastAsia" w:ascii="仿宋" w:hAnsi="仿宋" w:eastAsia="仿宋" w:cs="仿宋"/>
                      <w:sz w:val="24"/>
                    </w:rPr>
                  </w:pPr>
                  <w:r>
                    <w:rPr>
                      <w:rFonts w:hint="eastAsia" w:ascii="仿宋" w:hAnsi="仿宋" w:eastAsia="仿宋" w:cs="仿宋"/>
                      <w:sz w:val="24"/>
                    </w:rPr>
                    <w:t>100-500</w:t>
                  </w:r>
                </w:p>
              </w:tc>
              <w:tc>
                <w:tcPr>
                  <w:tcW w:w="1288" w:type="dxa"/>
                </w:tcPr>
                <w:p w14:paraId="7D541547">
                  <w:pPr>
                    <w:jc w:val="center"/>
                    <w:rPr>
                      <w:rFonts w:hint="eastAsia" w:ascii="仿宋" w:hAnsi="仿宋" w:eastAsia="仿宋" w:cs="仿宋"/>
                      <w:sz w:val="24"/>
                    </w:rPr>
                  </w:pPr>
                  <w:r>
                    <w:rPr>
                      <w:rFonts w:hint="eastAsia" w:ascii="仿宋" w:hAnsi="仿宋" w:eastAsia="仿宋" w:cs="仿宋"/>
                      <w:sz w:val="24"/>
                    </w:rPr>
                    <w:t>0.8%</w:t>
                  </w:r>
                </w:p>
              </w:tc>
              <w:tc>
                <w:tcPr>
                  <w:tcW w:w="1925" w:type="dxa"/>
                  <w:vAlign w:val="center"/>
                </w:tcPr>
                <w:p w14:paraId="588B7B41">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0.64%</w:t>
                  </w:r>
                </w:p>
              </w:tc>
            </w:tr>
          </w:tbl>
          <w:p w14:paraId="111F1918">
            <w:pPr>
              <w:rPr>
                <w:rFonts w:hint="eastAsia" w:ascii="仿宋" w:hAnsi="仿宋" w:eastAsia="仿宋" w:cs="仿宋"/>
                <w:sz w:val="24"/>
              </w:rPr>
            </w:pPr>
            <w:r>
              <w:rPr>
                <w:rFonts w:hint="eastAsia" w:ascii="仿宋" w:hAnsi="仿宋" w:eastAsia="仿宋" w:cs="仿宋"/>
                <w:sz w:val="24"/>
              </w:rPr>
              <w:t>中标服务费收费按照差额定率累进法计取。</w:t>
            </w:r>
          </w:p>
          <w:p w14:paraId="53D3911C">
            <w:pPr>
              <w:rPr>
                <w:rFonts w:hint="eastAsia" w:ascii="仿宋" w:hAnsi="仿宋" w:eastAsia="仿宋" w:cs="仿宋"/>
                <w:sz w:val="24"/>
              </w:rPr>
            </w:pPr>
            <w:r>
              <w:rPr>
                <w:rFonts w:hint="eastAsia" w:ascii="仿宋" w:hAnsi="仿宋" w:eastAsia="仿宋" w:cs="仿宋"/>
                <w:sz w:val="24"/>
              </w:rPr>
              <w:t>2、结算方式及时间为：</w:t>
            </w:r>
            <w:r>
              <w:rPr>
                <w:rFonts w:hint="eastAsia" w:ascii="仿宋" w:hAnsi="仿宋" w:eastAsia="仿宋" w:cs="仿宋"/>
                <w:color w:val="000000"/>
                <w:sz w:val="24"/>
              </w:rPr>
              <w:t>成交结果公告发布之日起7个工作日内</w:t>
            </w:r>
            <w:r>
              <w:rPr>
                <w:rFonts w:hint="eastAsia" w:ascii="仿宋" w:hAnsi="仿宋" w:eastAsia="仿宋" w:cs="仿宋"/>
                <w:sz w:val="24"/>
              </w:rPr>
              <w:t>，成交供应商按成交结果公告上的服务费金额缴纳至如下账号：</w:t>
            </w:r>
          </w:p>
          <w:p w14:paraId="4F074E2B">
            <w:pPr>
              <w:rPr>
                <w:rFonts w:hint="eastAsia" w:ascii="仿宋" w:hAnsi="仿宋" w:eastAsia="仿宋" w:cs="仿宋"/>
                <w:sz w:val="24"/>
              </w:rPr>
            </w:pPr>
            <w:r>
              <w:rPr>
                <w:rFonts w:hint="eastAsia" w:ascii="仿宋" w:hAnsi="仿宋" w:eastAsia="仿宋" w:cs="仿宋"/>
                <w:sz w:val="24"/>
              </w:rPr>
              <w:t>（1）收 款 人：浙江国际招投标有限公司</w:t>
            </w:r>
          </w:p>
          <w:p w14:paraId="62AD2363">
            <w:pPr>
              <w:rPr>
                <w:rFonts w:hint="eastAsia" w:ascii="仿宋" w:hAnsi="仿宋" w:eastAsia="仿宋" w:cs="仿宋"/>
                <w:sz w:val="24"/>
              </w:rPr>
            </w:pPr>
            <w:r>
              <w:rPr>
                <w:rFonts w:hint="eastAsia" w:ascii="仿宋" w:hAnsi="仿宋" w:eastAsia="仿宋" w:cs="仿宋"/>
                <w:sz w:val="24"/>
              </w:rPr>
              <w:t>（2）开户银行：中国工商银行杭州武林支行</w:t>
            </w:r>
          </w:p>
          <w:p w14:paraId="535E4A57">
            <w:pPr>
              <w:snapToGrid w:val="0"/>
              <w:spacing w:line="320" w:lineRule="exact"/>
              <w:rPr>
                <w:rFonts w:hint="eastAsia" w:ascii="仿宋" w:hAnsi="仿宋" w:eastAsia="仿宋" w:cs="仿宋"/>
                <w:kern w:val="0"/>
                <w:sz w:val="24"/>
              </w:rPr>
            </w:pPr>
            <w:r>
              <w:rPr>
                <w:rFonts w:hint="eastAsia" w:ascii="仿宋" w:hAnsi="仿宋" w:eastAsia="仿宋" w:cs="仿宋"/>
                <w:sz w:val="24"/>
              </w:rPr>
              <w:t>（3）账    号：1202 0212 0990 6782 015</w:t>
            </w:r>
          </w:p>
        </w:tc>
      </w:tr>
      <w:tr w14:paraId="5C60D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3E8B3C2D">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6B0D09CD">
            <w:pPr>
              <w:snapToGrid w:val="0"/>
              <w:jc w:val="center"/>
              <w:rPr>
                <w:rFonts w:hint="eastAsia" w:ascii="仿宋" w:hAnsi="仿宋" w:eastAsia="仿宋" w:cs="仿宋"/>
                <w:b/>
                <w:sz w:val="24"/>
              </w:rPr>
            </w:pPr>
            <w:r>
              <w:rPr>
                <w:rFonts w:hint="eastAsia" w:ascii="仿宋" w:hAnsi="仿宋" w:eastAsia="仿宋" w:cs="仿宋"/>
                <w:b/>
                <w:sz w:val="24"/>
              </w:rPr>
              <w:t>其他</w:t>
            </w:r>
          </w:p>
        </w:tc>
        <w:tc>
          <w:tcPr>
            <w:tcW w:w="6095" w:type="dxa"/>
            <w:tcBorders>
              <w:top w:val="single" w:color="auto" w:sz="4" w:space="0"/>
              <w:left w:val="single" w:color="000000" w:sz="2" w:space="0"/>
              <w:bottom w:val="single" w:color="auto" w:sz="4" w:space="0"/>
              <w:right w:val="single" w:color="auto" w:sz="4" w:space="0"/>
            </w:tcBorders>
            <w:vAlign w:val="center"/>
          </w:tcPr>
          <w:p w14:paraId="19EBB985">
            <w:pPr>
              <w:snapToGrid w:val="0"/>
              <w:spacing w:line="320" w:lineRule="exact"/>
              <w:rPr>
                <w:rFonts w:hint="eastAsia" w:ascii="仿宋" w:hAnsi="仿宋" w:eastAsia="仿宋" w:cs="仿宋"/>
                <w:sz w:val="24"/>
              </w:rPr>
            </w:pPr>
            <w:r>
              <w:rPr>
                <w:rFonts w:hint="eastAsia" w:ascii="仿宋" w:hAnsi="仿宋" w:eastAsia="仿宋" w:cs="仿宋"/>
                <w:sz w:val="24"/>
              </w:rPr>
              <w:t>成交供应商放弃成交资格导致重新采购的，应当承担支付代理费和专家评审费等费用在内的赔偿责任。</w:t>
            </w:r>
          </w:p>
        </w:tc>
      </w:tr>
    </w:tbl>
    <w:p w14:paraId="09923F87">
      <w:pPr>
        <w:snapToGrid w:val="0"/>
        <w:jc w:val="center"/>
        <w:rPr>
          <w:rFonts w:hint="eastAsia" w:ascii="仿宋" w:hAnsi="仿宋" w:eastAsia="仿宋" w:cs="仿宋"/>
          <w:b/>
          <w:sz w:val="32"/>
          <w:szCs w:val="20"/>
        </w:rPr>
      </w:pPr>
    </w:p>
    <w:p w14:paraId="197A4544">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6DCC60EF">
      <w:pPr>
        <w:snapToGrid w:val="0"/>
        <w:spacing w:line="360" w:lineRule="auto"/>
        <w:jc w:val="left"/>
        <w:outlineLvl w:val="9"/>
        <w:rPr>
          <w:rFonts w:hint="eastAsia" w:ascii="仿宋" w:hAnsi="仿宋" w:eastAsia="仿宋" w:cs="仿宋"/>
          <w:b/>
          <w:sz w:val="24"/>
        </w:rPr>
      </w:pPr>
      <w:r>
        <w:rPr>
          <w:rFonts w:hint="eastAsia" w:ascii="仿宋" w:hAnsi="仿宋" w:eastAsia="仿宋" w:cs="仿宋"/>
          <w:b/>
          <w:sz w:val="24"/>
        </w:rPr>
        <w:t>1. 适用范围</w:t>
      </w:r>
    </w:p>
    <w:p w14:paraId="6EE3EE9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42900013">
      <w:pPr>
        <w:adjustRightInd/>
        <w:spacing w:line="360" w:lineRule="auto"/>
        <w:outlineLvl w:val="9"/>
        <w:rPr>
          <w:rFonts w:hint="eastAsia" w:ascii="仿宋" w:hAnsi="仿宋" w:eastAsia="仿宋" w:cs="仿宋"/>
          <w:b/>
          <w:sz w:val="24"/>
        </w:rPr>
      </w:pPr>
      <w:r>
        <w:rPr>
          <w:rFonts w:hint="eastAsia" w:ascii="仿宋" w:hAnsi="仿宋" w:eastAsia="仿宋" w:cs="仿宋"/>
          <w:b/>
          <w:sz w:val="24"/>
        </w:rPr>
        <w:t>2.定义</w:t>
      </w:r>
    </w:p>
    <w:p w14:paraId="377FC55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7FA97E10">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14:paraId="7B906D1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70BA6785">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5F0AD09">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4497560F">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62B3387F">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kern w:val="2"/>
          <w:sz w:val="24"/>
          <w:szCs w:val="24"/>
        </w:rPr>
        <w:t>https://www.zcygov.cn/</w:t>
      </w:r>
      <w:r>
        <w:rPr>
          <w:rStyle w:val="68"/>
          <w:rFonts w:hint="eastAsia" w:ascii="仿宋" w:hAnsi="仿宋" w:eastAsia="仿宋" w:cs="仿宋"/>
          <w:color w:val="auto"/>
          <w:kern w:val="2"/>
          <w:sz w:val="24"/>
          <w:szCs w:val="24"/>
        </w:rPr>
        <w:fldChar w:fldCharType="end"/>
      </w:r>
      <w:r>
        <w:rPr>
          <w:rFonts w:hint="eastAsia" w:ascii="仿宋" w:hAnsi="仿宋" w:eastAsia="仿宋" w:cs="仿宋"/>
          <w:sz w:val="24"/>
        </w:rPr>
        <w:t>）。</w:t>
      </w:r>
    </w:p>
    <w:p w14:paraId="2924655A">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0E1854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602AC73A">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”或“■”系指适用本项目的要求，“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451B3596">
      <w:pPr>
        <w:adjustRightInd/>
        <w:spacing w:line="360" w:lineRule="auto"/>
        <w:outlineLvl w:val="9"/>
        <w:rPr>
          <w:rFonts w:hint="eastAsia" w:ascii="仿宋" w:hAnsi="仿宋" w:eastAsia="仿宋" w:cs="仿宋"/>
          <w:b/>
          <w:sz w:val="24"/>
        </w:rPr>
      </w:pPr>
      <w:r>
        <w:rPr>
          <w:rFonts w:hint="eastAsia" w:ascii="仿宋" w:hAnsi="仿宋" w:eastAsia="仿宋" w:cs="仿宋"/>
          <w:b/>
          <w:sz w:val="24"/>
        </w:rPr>
        <w:t>3. 响应有效期</w:t>
      </w:r>
    </w:p>
    <w:p w14:paraId="4B689F37">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24EE6320">
      <w:pPr>
        <w:pStyle w:val="393"/>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2460A425">
      <w:pPr>
        <w:pStyle w:val="393"/>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5900666B">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78E4648F">
      <w:pPr>
        <w:pStyle w:val="32"/>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7483E990">
      <w:pPr>
        <w:spacing w:line="360" w:lineRule="auto"/>
        <w:jc w:val="center"/>
        <w:rPr>
          <w:rFonts w:hint="eastAsia" w:ascii="仿宋" w:hAnsi="仿宋" w:eastAsia="仿宋" w:cs="仿宋"/>
          <w:b/>
          <w:sz w:val="24"/>
        </w:rPr>
      </w:pPr>
    </w:p>
    <w:p w14:paraId="1E1AD0C4">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08D8751B">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60564D81">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1797336">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29D10506">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6C4AC588">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0825D646">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23B5C3B">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5496D826">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E31A133">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F7B8CC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0159C51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4387C39">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0ECE0AE">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79F55C96">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F13D6B">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F42846D">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8625B36">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37116A6A">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4A9B8A4E">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991297">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5566B48E">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3A79DAC3">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14:paraId="745E0468">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291000EE">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67D26A">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0D62BCF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DE220">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185694CF">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33C586D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610D151">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DD3F499">
      <w:pPr>
        <w:pStyle w:val="6"/>
        <w:spacing w:line="360" w:lineRule="auto"/>
        <w:ind w:firstLine="434" w:firstLineChars="181"/>
        <w:rPr>
          <w:rFonts w:hint="eastAsia" w:ascii="仿宋" w:hAnsi="仿宋" w:eastAsia="仿宋" w:cs="仿宋"/>
          <w:color w:val="auto"/>
          <w:kern w:val="2"/>
          <w:sz w:val="24"/>
        </w:rPr>
      </w:pPr>
      <w:r>
        <w:rPr>
          <w:rFonts w:hint="eastAsia" w:ascii="仿宋" w:hAnsi="仿宋" w:eastAsia="仿宋" w:cs="仿宋"/>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D2339E7">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9BD19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62612CE5">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08B74A8A">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5EC7E949">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50691684">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2.2询问或者质疑事项可能影响采购结果的，采购人应当暂停签订合同，已经签订合同的，应当中止履行合同。</w:t>
      </w:r>
    </w:p>
    <w:p w14:paraId="077EB504">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7193890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73D2774A">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694B02E6">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81001E8">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0F40E721">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41708940">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769E6574">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092D3167">
      <w:pPr>
        <w:pStyle w:val="32"/>
        <w:spacing w:line="360" w:lineRule="auto"/>
        <w:ind w:firstLine="480" w:firstLineChars="200"/>
        <w:rPr>
          <w:rFonts w:hint="eastAsia" w:ascii="仿宋" w:hAnsi="仿宋" w:eastAsia="仿宋" w:cs="仿宋"/>
          <w:b/>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22BEAEBB">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4B30F8C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机构的答复不满意或者采购人、采购机构未在规定的时间内作出答复的，可以在答复期满后十五个工作日内向同级政府采购监督管理部门提出投诉。预算金额未达100万元的采购项目，由采购人处理采购争议。</w:t>
      </w:r>
    </w:p>
    <w:p w14:paraId="2578552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134628F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3667E7C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3BDC5E15">
      <w:pPr>
        <w:adjustRightInd/>
        <w:jc w:val="left"/>
        <w:rPr>
          <w:rFonts w:hint="eastAsia" w:ascii="仿宋" w:hAnsi="仿宋" w:eastAsia="仿宋" w:cs="仿宋"/>
        </w:rPr>
      </w:pPr>
    </w:p>
    <w:p w14:paraId="147990E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3FD53F8B">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23917202">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37FF9C31">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646E2C51">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4C9A3D50">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23B64A7E">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1B0ABB2E">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6E5DAF97">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785AF0BA">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2FE22B65">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20270BD8">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0509BF3A">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3692C83F">
      <w:pPr>
        <w:pStyle w:val="393"/>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2.1已获取磋商文件的潜在供应商，若有问题需要澄清，应于提交首次响应文件截止时间前，以书面形式向采购机构提出。</w:t>
      </w:r>
    </w:p>
    <w:p w14:paraId="1D7AA136">
      <w:pPr>
        <w:pStyle w:val="393"/>
        <w:snapToGrid w:val="0"/>
        <w:spacing w:before="0"/>
        <w:ind w:firstLine="480"/>
        <w:rPr>
          <w:rFonts w:hint="eastAsia" w:ascii="仿宋" w:hAnsi="仿宋" w:eastAsia="仿宋" w:cs="仿宋"/>
        </w:rPr>
      </w:pPr>
      <w:r>
        <w:rPr>
          <w:rFonts w:hint="eastAsia" w:ascii="仿宋" w:hAnsi="仿宋" w:eastAsia="仿宋" w:cs="仿宋"/>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2564AFE">
      <w:pPr>
        <w:pStyle w:val="393"/>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10F28E48">
      <w:pPr>
        <w:pStyle w:val="393"/>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6C726D48">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5CEB0A7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086357B4">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1EB87FD5">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00DA80FF">
      <w:pPr>
        <w:pStyle w:val="3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6FEACC6B">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052AD06E">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0332988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4D762DEF">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17A02B2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2641C959">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；无。</w:t>
      </w:r>
    </w:p>
    <w:p w14:paraId="2524EC05">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p>
    <w:p w14:paraId="245D516B">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（3）授权委托书或法定代表人（单位负责人、自然人本人）身份证明及最近一个月的社保缴纳证明；</w:t>
      </w:r>
    </w:p>
    <w:p w14:paraId="225CA46F">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（4）所有资信文件</w:t>
      </w:r>
      <w:r>
        <w:rPr>
          <w:rFonts w:hint="eastAsia" w:ascii="仿宋" w:hAnsi="仿宋" w:eastAsia="仿宋" w:cs="仿宋"/>
          <w:kern w:val="0"/>
          <w:sz w:val="24"/>
        </w:rPr>
        <w:t>（如果有）；</w:t>
      </w:r>
    </w:p>
    <w:p w14:paraId="61976D6C">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（5）</w:t>
      </w:r>
      <w:r>
        <w:rPr>
          <w:rFonts w:hint="eastAsia" w:ascii="仿宋" w:hAnsi="仿宋" w:eastAsia="仿宋" w:cs="仿宋"/>
          <w:sz w:val="24"/>
        </w:rPr>
        <w:t>自202</w:t>
      </w:r>
      <w:r>
        <w:rPr>
          <w:rFonts w:hint="eastAsia" w:ascii="仿宋" w:hAnsi="仿宋" w:eastAsia="仿宋" w:cs="仿宋"/>
          <w:sz w:val="24"/>
          <w:lang w:val="en-US" w:eastAsia="zh-CN"/>
        </w:rPr>
        <w:t>1</w:t>
      </w:r>
      <w:r>
        <w:rPr>
          <w:rFonts w:hint="eastAsia" w:ascii="仿宋" w:hAnsi="仿宋" w:eastAsia="仿宋" w:cs="仿宋"/>
          <w:sz w:val="24"/>
        </w:rPr>
        <w:t>年1月1日以来（以合同签订时间为准）供应商已完成的类似网络安全运维服务项目情况（需同时提供合同复印件与项目验收合格证明材料并加盖公章）；</w:t>
      </w:r>
    </w:p>
    <w:p w14:paraId="686E9677">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（6）</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38F2EEB2">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（7）</w:t>
      </w:r>
      <w:r>
        <w:rPr>
          <w:rFonts w:hint="eastAsia" w:ascii="仿宋" w:hAnsi="仿宋" w:eastAsia="仿宋" w:cs="仿宋"/>
          <w:kern w:val="0"/>
          <w:sz w:val="24"/>
          <w:lang w:val="zh-CN"/>
        </w:rPr>
        <w:t>认为需要的其他商务文件或说明 (如果有) ；</w:t>
      </w:r>
    </w:p>
    <w:p w14:paraId="701B1CFA">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8</w:t>
      </w:r>
      <w:r>
        <w:rPr>
          <w:rFonts w:hint="eastAsia" w:ascii="仿宋" w:hAnsi="仿宋" w:eastAsia="仿宋" w:cs="仿宋"/>
          <w:kern w:val="0"/>
          <w:sz w:val="24"/>
          <w:lang w:val="zh-CN"/>
        </w:rPr>
        <w:t>）项目方案计划</w:t>
      </w:r>
      <w:r>
        <w:rPr>
          <w:rFonts w:hint="eastAsia" w:ascii="仿宋" w:hAnsi="仿宋" w:eastAsia="仿宋" w:cs="仿宋"/>
          <w:sz w:val="24"/>
          <w:lang w:val="zh-CN"/>
        </w:rPr>
        <w:t>。针对本项目的完整</w:t>
      </w:r>
      <w:r>
        <w:rPr>
          <w:rFonts w:hint="eastAsia" w:ascii="仿宋" w:hAnsi="仿宋" w:eastAsia="仿宋" w:cs="仿宋"/>
          <w:sz w:val="24"/>
        </w:rPr>
        <w:t>方案计划</w:t>
      </w:r>
      <w:r>
        <w:rPr>
          <w:rFonts w:hint="eastAsia" w:ascii="仿宋" w:hAnsi="仿宋" w:eastAsia="仿宋" w:cs="仿宋"/>
          <w:sz w:val="24"/>
          <w:lang w:val="zh-CN"/>
        </w:rPr>
        <w:t>；详细阐述项目方案的实现思路及关键技术；符合本项目对当前和未来发展的要求；以及对功能设计和实施计划的建议；</w:t>
      </w:r>
    </w:p>
    <w:p w14:paraId="79011116">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w:t>
      </w:r>
      <w:r>
        <w:rPr>
          <w:rFonts w:hint="eastAsia" w:ascii="仿宋" w:hAnsi="仿宋" w:eastAsia="仿宋" w:cs="仿宋"/>
          <w:kern w:val="0"/>
          <w:sz w:val="24"/>
        </w:rPr>
        <w:t>9</w:t>
      </w:r>
      <w:r>
        <w:rPr>
          <w:rFonts w:hint="eastAsia" w:ascii="仿宋" w:hAnsi="仿宋" w:eastAsia="仿宋" w:cs="仿宋"/>
          <w:kern w:val="0"/>
          <w:sz w:val="24"/>
          <w:lang w:val="zh-CN"/>
        </w:rPr>
        <w:t>）组织实施方案。本项目详细工作实施组织方案，包括(但不限于)以下内容：组织机构、工作时间进度表、工作程序和步骤、管理和协调方法、关键步骤的思路和要点；</w:t>
      </w:r>
    </w:p>
    <w:p w14:paraId="61377790">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）项目小组人员名单。每个专业人员的情况和人员数应该明确表示，明确各阶段投入人数；在提交的响应文件中安排的人员，须为公司的固定职员（</w:t>
      </w:r>
      <w:r>
        <w:rPr>
          <w:rFonts w:hint="eastAsia" w:ascii="仿宋" w:hAnsi="仿宋" w:eastAsia="仿宋" w:cs="仿宋"/>
          <w:kern w:val="0"/>
          <w:sz w:val="24"/>
        </w:rPr>
        <w:t>除采购文件明确允许外聘的岗位）</w:t>
      </w:r>
      <w:r>
        <w:rPr>
          <w:rFonts w:hint="eastAsia" w:ascii="仿宋" w:hAnsi="仿宋" w:eastAsia="仿宋" w:cs="仿宋"/>
          <w:kern w:val="0"/>
          <w:sz w:val="24"/>
          <w:lang w:val="zh-CN"/>
        </w:rPr>
        <w:t>；每个参加项目人员的履历表应随响应文件一并提交，主要内容包括学历、技术职称、工作特长、经验与业绩(包括从事相关项目的经验，该人员参与的时间以及在项目中的责任)，资质情况等；</w:t>
      </w:r>
    </w:p>
    <w:p w14:paraId="0FE85F72">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）优惠条件及特殊承诺；</w:t>
      </w:r>
    </w:p>
    <w:p w14:paraId="4B18A5E5">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（12）</w:t>
      </w:r>
      <w:r>
        <w:rPr>
          <w:rFonts w:hint="eastAsia" w:ascii="仿宋" w:hAnsi="仿宋" w:eastAsia="仿宋" w:cs="仿宋"/>
          <w:kern w:val="0"/>
          <w:sz w:val="24"/>
          <w:lang w:val="zh-CN"/>
        </w:rPr>
        <w:t>培训计划（如果有）；</w:t>
      </w:r>
    </w:p>
    <w:p w14:paraId="2F26064F">
      <w:pPr>
        <w:pStyle w:val="3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（13）</w:t>
      </w:r>
      <w:r>
        <w:rPr>
          <w:rFonts w:hint="eastAsia" w:ascii="仿宋" w:hAnsi="仿宋" w:eastAsia="仿宋" w:cs="仿宋"/>
          <w:kern w:val="0"/>
          <w:sz w:val="24"/>
          <w:szCs w:val="24"/>
          <w:lang w:val="zh-CN"/>
        </w:rPr>
        <w:t>供应商认为需要的其他技术文件或说明（如果有）；</w:t>
      </w:r>
    </w:p>
    <w:p w14:paraId="0036B82A">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（14）</w:t>
      </w:r>
      <w:r>
        <w:rPr>
          <w:rFonts w:hint="eastAsia" w:ascii="仿宋" w:hAnsi="仿宋" w:eastAsia="仿宋" w:cs="仿宋"/>
          <w:kern w:val="0"/>
          <w:sz w:val="24"/>
          <w:lang w:val="zh-CN"/>
        </w:rPr>
        <w:t>政府采购供应商廉洁自律承诺书。</w:t>
      </w:r>
    </w:p>
    <w:p w14:paraId="11B43CD7">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3933A4C3">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7D534B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2411C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7015C73E">
      <w:pPr>
        <w:pStyle w:val="393"/>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085F350">
      <w:pPr>
        <w:pStyle w:val="393"/>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0AE1B47C">
      <w:pPr>
        <w:pStyle w:val="393"/>
        <w:snapToGrid w:val="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7B1A52B8">
      <w:pPr>
        <w:adjustRightInd/>
        <w:jc w:val="left"/>
        <w:rPr>
          <w:rFonts w:hint="eastAsia" w:ascii="仿宋" w:hAnsi="仿宋" w:eastAsia="仿宋" w:cs="仿宋"/>
        </w:rPr>
      </w:pPr>
    </w:p>
    <w:p w14:paraId="607140D2">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2F9717A1">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6BC30175">
      <w:pPr>
        <w:pStyle w:val="393"/>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F32238D">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50705293">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655E1DB7">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05748F4E">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采购机构可以视情况延长提交响应文件的截止时间。在上述情况下，采购机构与供应商以前在响应截止期方面的全部权利、责任和义务，将适用于延长至新的响应截止期。</w:t>
      </w:r>
    </w:p>
    <w:p w14:paraId="240419AF">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73FD56C9">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14:paraId="0DAC0BBA">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B188FE9">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1321939E">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15FA5A4">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1D7A4B63">
      <w:pPr>
        <w:adjustRightInd/>
        <w:jc w:val="left"/>
        <w:rPr>
          <w:rFonts w:hint="eastAsia" w:ascii="仿宋" w:hAnsi="仿宋" w:eastAsia="仿宋" w:cs="仿宋"/>
        </w:rPr>
      </w:pPr>
    </w:p>
    <w:p w14:paraId="31C508F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70AE3503">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2328AD1C">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4A4391A5">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383C5322">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1F5C04C">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0B946D83">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6251B5F2">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000E1A98">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2AC01D76">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55773F">
      <w:pPr>
        <w:pStyle w:val="32"/>
        <w:spacing w:line="360" w:lineRule="auto"/>
        <w:rPr>
          <w:rFonts w:hint="eastAsia" w:ascii="仿宋" w:hAnsi="仿宋" w:eastAsia="仿宋" w:cs="仿宋"/>
          <w:b/>
          <w:sz w:val="24"/>
          <w:szCs w:val="24"/>
        </w:rPr>
      </w:pPr>
    </w:p>
    <w:p w14:paraId="1C31B0F7">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68351787">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68FF3940">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r>
        <w:rPr>
          <w:rFonts w:hint="eastAsia" w:ascii="仿宋" w:hAnsi="仿宋" w:eastAsia="仿宋" w:cs="仿宋"/>
          <w:snapToGrid w:val="0"/>
          <w:kern w:val="28"/>
          <w:sz w:val="24"/>
        </w:rPr>
        <w:t>；</w:t>
      </w:r>
    </w:p>
    <w:p w14:paraId="2E662C37">
      <w:pPr>
        <w:adjustRightInd/>
        <w:snapToGrid w:val="0"/>
        <w:spacing w:line="360" w:lineRule="auto"/>
        <w:ind w:firstLine="480" w:firstLineChars="200"/>
        <w:outlineLvl w:val="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1.2中小企业声明函（如果有）</w:t>
      </w:r>
    </w:p>
    <w:p w14:paraId="21B431DD">
      <w:pPr>
        <w:adjustRightInd/>
        <w:snapToGrid w:val="0"/>
        <w:spacing w:line="360" w:lineRule="auto"/>
        <w:ind w:firstLine="480" w:firstLineChars="200"/>
        <w:outlineLvl w:val="0"/>
        <w:rPr>
          <w:rFonts w:hint="eastAsia" w:ascii="仿宋" w:hAnsi="仿宋" w:eastAsia="仿宋" w:cs="仿宋"/>
          <w:snapToGrid w:val="0"/>
          <w:kern w:val="28"/>
          <w:sz w:val="24"/>
        </w:rPr>
      </w:pPr>
      <w:r>
        <w:rPr>
          <w:rFonts w:hint="eastAsia" w:ascii="仿宋" w:hAnsi="仿宋" w:eastAsia="仿宋" w:cs="仿宋"/>
          <w:snapToGrid w:val="0"/>
          <w:kern w:val="28"/>
          <w:sz w:val="24"/>
          <w:szCs w:val="20"/>
        </w:rPr>
        <w:t>1.3中标服务费支付承诺书</w:t>
      </w:r>
      <w:r>
        <w:rPr>
          <w:rFonts w:hint="eastAsia" w:ascii="仿宋" w:hAnsi="仿宋" w:eastAsia="仿宋" w:cs="仿宋"/>
          <w:sz w:val="24"/>
        </w:rPr>
        <w:t>。</w:t>
      </w:r>
    </w:p>
    <w:p w14:paraId="16B0EE69">
      <w:pPr>
        <w:adjustRightInd/>
        <w:jc w:val="left"/>
        <w:rPr>
          <w:rFonts w:hint="eastAsia" w:ascii="仿宋" w:hAnsi="仿宋" w:eastAsia="仿宋" w:cs="仿宋"/>
        </w:rPr>
      </w:pPr>
    </w:p>
    <w:p w14:paraId="59F27475">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6FDE0D7D">
      <w:pPr>
        <w:pStyle w:val="393"/>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409217B2">
      <w:pPr>
        <w:pStyle w:val="393"/>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BBC8F43">
      <w:pPr>
        <w:pStyle w:val="393"/>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1EB114F7">
      <w:pPr>
        <w:adjustRightInd/>
        <w:jc w:val="left"/>
        <w:rPr>
          <w:rFonts w:hint="eastAsia" w:ascii="仿宋" w:hAnsi="仿宋" w:eastAsia="仿宋" w:cs="仿宋"/>
        </w:rPr>
      </w:pPr>
    </w:p>
    <w:p w14:paraId="71577D3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6605A428">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1099900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69B8993">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661EF2C1">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16BE194F">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77F18997">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采购机构也可以以纸质形式进行成交通知。</w:t>
      </w:r>
    </w:p>
    <w:p w14:paraId="12C105B8">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14:paraId="46CD6A4C">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06EC4E6D">
      <w:pPr>
        <w:jc w:val="left"/>
        <w:rPr>
          <w:rFonts w:hint="eastAsia" w:ascii="仿宋" w:hAnsi="仿宋" w:eastAsia="仿宋" w:cs="仿宋"/>
        </w:rPr>
      </w:pPr>
    </w:p>
    <w:p w14:paraId="74EB8F8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7A61E495">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54647E9B">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16F71AB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0547A63A">
      <w:pPr>
        <w:pStyle w:val="393"/>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937898E">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2885959">
      <w:pPr>
        <w:spacing w:line="360" w:lineRule="auto"/>
        <w:ind w:firstLine="465" w:firstLineChars="194"/>
        <w:jc w:val="left"/>
        <w:rPr>
          <w:rFonts w:hint="eastAsia" w:ascii="仿宋" w:hAnsi="仿宋" w:eastAsia="仿宋" w:cs="仿宋"/>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1A0DA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74479D26">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14:paraId="3693D78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2BE39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40E1DFB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79AD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2D3F8F">
      <w:pPr>
        <w:jc w:val="left"/>
        <w:rPr>
          <w:rFonts w:hint="eastAsia" w:ascii="仿宋" w:hAnsi="仿宋" w:eastAsia="仿宋" w:cs="仿宋"/>
        </w:rPr>
      </w:pPr>
    </w:p>
    <w:p w14:paraId="27BE326A">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670C60EE">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68F0448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14:paraId="7F8AAB6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26A17CC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5F00397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26D383E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1D53054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139EF909">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29768"/>
      <w:bookmarkEnd w:id="55"/>
      <w:bookmarkStart w:id="56" w:name="_Hlt75236290"/>
      <w:bookmarkEnd w:id="56"/>
      <w:bookmarkStart w:id="57" w:name="_Hlt74714665"/>
      <w:bookmarkEnd w:id="57"/>
      <w:bookmarkStart w:id="58" w:name="_Hlt68057669"/>
      <w:bookmarkEnd w:id="58"/>
      <w:bookmarkStart w:id="59" w:name="_Hlt75236101"/>
      <w:bookmarkEnd w:id="59"/>
      <w:bookmarkStart w:id="60" w:name="_Hlt74707468"/>
      <w:bookmarkEnd w:id="60"/>
      <w:bookmarkStart w:id="61" w:name="_Hlt74730295"/>
      <w:bookmarkEnd w:id="61"/>
      <w:bookmarkStart w:id="62" w:name="_Hlt68072990"/>
      <w:bookmarkEnd w:id="62"/>
      <w:bookmarkStart w:id="63" w:name="第三部分"/>
      <w:bookmarkStart w:id="64" w:name="_Toc164416483"/>
      <w:r>
        <w:rPr>
          <w:rFonts w:hint="eastAsia" w:ascii="仿宋" w:hAnsi="仿宋" w:eastAsia="仿宋" w:cs="仿宋"/>
          <w:b/>
          <w:sz w:val="36"/>
          <w:szCs w:val="36"/>
        </w:rPr>
        <w:br w:type="page"/>
      </w:r>
    </w:p>
    <w:p w14:paraId="290E3469">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138B5DD0">
      <w:pPr>
        <w:pStyle w:val="5"/>
        <w:numPr>
          <w:ilvl w:val="0"/>
          <w:numId w:val="0"/>
        </w:numPr>
        <w:adjustRightInd w:val="0"/>
        <w:snapToGrid w:val="0"/>
        <w:rPr>
          <w:rFonts w:hint="eastAsia" w:ascii="仿宋" w:hAnsi="仿宋" w:eastAsia="仿宋" w:cs="仿宋"/>
          <w:color w:val="000000"/>
          <w:sz w:val="28"/>
          <w:szCs w:val="28"/>
        </w:rPr>
      </w:pPr>
      <w:bookmarkStart w:id="65" w:name="_Toc11664"/>
      <w:bookmarkStart w:id="66" w:name="_Toc15331"/>
      <w:bookmarkStart w:id="67" w:name="_Toc23450"/>
      <w:r>
        <w:rPr>
          <w:rFonts w:hint="eastAsia" w:ascii="仿宋" w:hAnsi="仿宋" w:eastAsia="仿宋" w:cs="仿宋"/>
          <w:color w:val="000000"/>
          <w:sz w:val="28"/>
          <w:szCs w:val="28"/>
        </w:rPr>
        <w:t>一、</w:t>
      </w:r>
      <w:bookmarkEnd w:id="65"/>
      <w:r>
        <w:rPr>
          <w:rFonts w:hint="eastAsia" w:ascii="仿宋" w:hAnsi="仿宋" w:eastAsia="仿宋" w:cs="仿宋"/>
          <w:color w:val="000000"/>
          <w:sz w:val="28"/>
          <w:szCs w:val="28"/>
        </w:rPr>
        <w:t>项目概况</w:t>
      </w:r>
      <w:bookmarkEnd w:id="66"/>
      <w:bookmarkEnd w:id="67"/>
    </w:p>
    <w:p w14:paraId="390C0EB6">
      <w:pPr>
        <w:snapToGrid w:val="0"/>
        <w:spacing w:line="360" w:lineRule="auto"/>
        <w:ind w:firstLine="480" w:firstLineChars="200"/>
        <w:rPr>
          <w:rFonts w:hint="eastAsia" w:ascii="仿宋" w:hAnsi="仿宋" w:eastAsia="仿宋" w:cs="仿宋"/>
          <w:sz w:val="32"/>
          <w:szCs w:val="32"/>
        </w:rPr>
      </w:pPr>
      <w:r>
        <w:rPr>
          <w:rFonts w:hint="eastAsia" w:ascii="仿宋" w:hAnsi="仿宋" w:eastAsia="仿宋" w:cs="仿宋"/>
          <w:sz w:val="24"/>
        </w:rPr>
        <w:t>为更好地落实《中华人民共和国国家安全法》、《中华人民共和国网络安全法》、《中华人民共和国密码法》、《中华人民共和国数据安全法》、《中华人民共和国个人信息保护法》、《关键信息基础设施保护条例》、《网络安全等级保护条例》以及《商用密码管理条例》等安全法律法规，提升浙江省教育考试院网络体系安全基础框架的保密性、完整性、可用性，匹配信息化建设中的安全要求，保证整个系统生态安全。</w:t>
      </w:r>
    </w:p>
    <w:p w14:paraId="78BA450C">
      <w:pPr>
        <w:pStyle w:val="5"/>
        <w:numPr>
          <w:ilvl w:val="0"/>
          <w:numId w:val="0"/>
        </w:numPr>
        <w:adjustRightInd w:val="0"/>
        <w:snapToGrid w:val="0"/>
        <w:rPr>
          <w:rFonts w:hint="eastAsia" w:ascii="仿宋" w:hAnsi="仿宋" w:eastAsia="仿宋" w:cs="仿宋"/>
          <w:color w:val="000000"/>
          <w:sz w:val="28"/>
          <w:szCs w:val="28"/>
        </w:rPr>
      </w:pPr>
      <w:bookmarkStart w:id="68" w:name="_Toc9049"/>
      <w:bookmarkStart w:id="69" w:name="_Toc5899"/>
      <w:bookmarkStart w:id="70" w:name="_Toc31955"/>
      <w:r>
        <w:rPr>
          <w:rFonts w:hint="eastAsia" w:ascii="仿宋" w:hAnsi="仿宋" w:eastAsia="仿宋" w:cs="仿宋"/>
          <w:color w:val="000000"/>
          <w:sz w:val="28"/>
          <w:szCs w:val="28"/>
        </w:rPr>
        <w:t>二、项目服务周期及地点</w:t>
      </w:r>
    </w:p>
    <w:p w14:paraId="24D87C7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服务周期：一年。</w:t>
      </w:r>
    </w:p>
    <w:p w14:paraId="032F99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服务地点：浙江省教育考试院。</w:t>
      </w:r>
    </w:p>
    <w:p w14:paraId="47A435B1">
      <w:pPr>
        <w:pStyle w:val="5"/>
        <w:numPr>
          <w:ilvl w:val="0"/>
          <w:numId w:val="0"/>
        </w:num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三、服务内容</w:t>
      </w:r>
    </w:p>
    <w:p w14:paraId="75B365DF">
      <w:pPr>
        <w:spacing w:line="360" w:lineRule="auto"/>
        <w:ind w:firstLine="480" w:firstLineChars="200"/>
        <w:rPr>
          <w:rFonts w:hint="eastAsia" w:ascii="仿宋" w:hAnsi="仿宋" w:eastAsia="仿宋" w:cs="仿宋"/>
          <w:sz w:val="24"/>
        </w:rPr>
      </w:pPr>
      <w:r>
        <w:rPr>
          <w:rFonts w:hint="eastAsia" w:ascii="仿宋" w:hAnsi="仿宋" w:eastAsia="仿宋" w:cs="仿宋"/>
          <w:sz w:val="24"/>
        </w:rPr>
        <w:t>总体目标：提升整体安全预警、监测、防护、加固以及应急响应处置能力；确保不发生网络安全事件，不被各级网络安全监管部门或上级部门通报。</w:t>
      </w:r>
    </w:p>
    <w:p w14:paraId="2E44D56C">
      <w:pPr>
        <w:spacing w:line="360" w:lineRule="auto"/>
        <w:ind w:firstLine="480" w:firstLineChars="200"/>
        <w:rPr>
          <w:rFonts w:hint="eastAsia" w:ascii="仿宋" w:hAnsi="仿宋" w:eastAsia="仿宋" w:cs="仿宋"/>
          <w:sz w:val="24"/>
        </w:rPr>
      </w:pPr>
      <w:r>
        <w:rPr>
          <w:rFonts w:hint="eastAsia" w:ascii="仿宋" w:hAnsi="仿宋" w:eastAsia="仿宋" w:cs="仿宋"/>
          <w:sz w:val="24"/>
        </w:rPr>
        <w:t>结合考试院安全建设现状，安全服务工作主要包含如下方面：</w:t>
      </w:r>
    </w:p>
    <w:p w14:paraId="04110A4F">
      <w:pPr>
        <w:spacing w:line="360" w:lineRule="auto"/>
        <w:ind w:firstLine="480" w:firstLineChars="200"/>
        <w:rPr>
          <w:rFonts w:hint="eastAsia" w:ascii="仿宋" w:hAnsi="仿宋" w:eastAsia="仿宋" w:cs="仿宋"/>
          <w:sz w:val="24"/>
        </w:rPr>
      </w:pPr>
      <w:r>
        <w:rPr>
          <w:rFonts w:hint="eastAsia" w:ascii="仿宋" w:hAnsi="仿宋" w:eastAsia="仿宋" w:cs="仿宋"/>
          <w:sz w:val="24"/>
        </w:rPr>
        <w:t>1、高级威胁防护能力建设：通过态势感知平台建立全流量分析能力，使考试院具备API恶意调用攻击检测、WEB入侵检测、恶意代码检测、木马病毒检测、政务外网流量监测、异常流量检测、数据违规操作检测以及未知威胁分析、溯源、响应、阻断和恢复等技术能力。</w:t>
      </w:r>
    </w:p>
    <w:p w14:paraId="6BC87153">
      <w:pPr>
        <w:spacing w:line="360" w:lineRule="auto"/>
        <w:ind w:firstLine="480" w:firstLineChars="200"/>
        <w:rPr>
          <w:rFonts w:hint="eastAsia" w:ascii="仿宋" w:hAnsi="仿宋" w:eastAsia="仿宋" w:cs="仿宋"/>
          <w:sz w:val="24"/>
        </w:rPr>
      </w:pPr>
      <w:r>
        <w:rPr>
          <w:rFonts w:hint="eastAsia" w:ascii="仿宋" w:hAnsi="仿宋" w:eastAsia="仿宋" w:cs="仿宋"/>
          <w:sz w:val="24"/>
        </w:rPr>
        <w:t>2、监管能力建设：依托态势感知平台、应用防火墙、日志审计、数据库审计以及流量回溯系统等的高级威胁识别能力，及时发现问题并提出安全整改建议，对误报漏报问题形成反馈机制，对实际发生的安全问题形成闭环处理机制。</w:t>
      </w:r>
    </w:p>
    <w:p w14:paraId="3FE270B5">
      <w:pPr>
        <w:spacing w:line="360" w:lineRule="auto"/>
        <w:ind w:firstLine="480" w:firstLineChars="200"/>
        <w:rPr>
          <w:rFonts w:hint="eastAsia" w:ascii="仿宋" w:hAnsi="仿宋" w:eastAsia="仿宋" w:cs="仿宋"/>
          <w:sz w:val="24"/>
        </w:rPr>
      </w:pPr>
      <w:r>
        <w:rPr>
          <w:rFonts w:hint="eastAsia" w:ascii="仿宋" w:hAnsi="仿宋" w:eastAsia="仿宋" w:cs="仿宋"/>
          <w:sz w:val="24"/>
        </w:rPr>
        <w:t>3、安全运营建设：监督并配合安全漏洞整改工作，定期对全网系统及设备进行安全扫描及渗透测试，包含新上线系统，并系统性地对漏洞的处置进行跟踪，及时提出整改建议并复测；开展安全日志审计工作，对安全设备上的安全日志定期进行审计，发现并统计违反安全策略的行为和潜在的安全风险，联动网络运维及应用开发进行处置；开展安全策略梳理工作，对于各类安全设备及信息系统定期开展安全策略梳理，如防火墙规则、规则库版本、防护策略以及访问控制策略等；实时监控远程运维状况，完成应用远程运维的规则配置、访问审批及操作审计；完成信息资产登记及更新，对信息系统所使用的虚拟机及其配套资产进行整理，对资产的服务、端口、中间件使用情况、访问策略、漏洞情况等数字信息进行梳理整合，实现信息资产的全流程管理监督；完成相关安全制度的制定、梳理和完善，根据相关安全法律的要求以及实际建设中的遇到的问题制定，同时需要符合我院实际情况，不可生搬硬套，并根据国家标准，制定相应的相关安全规范。</w:t>
      </w:r>
    </w:p>
    <w:p w14:paraId="15F69523">
      <w:pPr>
        <w:spacing w:line="360" w:lineRule="auto"/>
        <w:ind w:firstLine="480" w:firstLineChars="200"/>
        <w:rPr>
          <w:rFonts w:hint="eastAsia" w:ascii="仿宋" w:hAnsi="仿宋" w:eastAsia="仿宋" w:cs="仿宋"/>
          <w:sz w:val="24"/>
        </w:rPr>
      </w:pPr>
      <w:r>
        <w:rPr>
          <w:rFonts w:hint="eastAsia" w:ascii="仿宋" w:hAnsi="仿宋" w:eastAsia="仿宋" w:cs="仿宋"/>
          <w:sz w:val="24"/>
        </w:rPr>
        <w:t>4、应急处置能力建设：结合考试院信息系统网络架构、组织架构、运维团队情况，针对于各类招生考试评估中可能出现的网络安全事件，编制应急预案；建立安全事件分级分类方法；建立事件响应流程、事件上报流程、应急处置流程；对发现的安全事件及时做出响应，避免事件影响进一步扩大。</w:t>
      </w:r>
    </w:p>
    <w:p w14:paraId="533B7EEF">
      <w:pPr>
        <w:spacing w:line="360" w:lineRule="auto"/>
        <w:ind w:firstLine="480" w:firstLineChars="200"/>
        <w:rPr>
          <w:rFonts w:hint="eastAsia" w:ascii="仿宋" w:hAnsi="仿宋" w:eastAsia="仿宋" w:cs="仿宋"/>
          <w:sz w:val="24"/>
        </w:rPr>
      </w:pPr>
      <w:r>
        <w:rPr>
          <w:rFonts w:hint="eastAsia" w:ascii="仿宋" w:hAnsi="仿宋" w:eastAsia="仿宋" w:cs="仿宋"/>
          <w:sz w:val="24"/>
        </w:rPr>
        <w:t>5、安全保障技术支撑：招生考试评估重要时期、重要会议或活动期间、攻防演练时期的安全保障技术支撑。</w:t>
      </w:r>
    </w:p>
    <w:p w14:paraId="1BC3797F">
      <w:pPr>
        <w:pStyle w:val="5"/>
        <w:numPr>
          <w:ilvl w:val="0"/>
          <w:numId w:val="0"/>
        </w:num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四、</w:t>
      </w:r>
      <w:bookmarkEnd w:id="68"/>
      <w:bookmarkEnd w:id="69"/>
      <w:bookmarkEnd w:id="70"/>
      <w:r>
        <w:rPr>
          <w:rFonts w:hint="eastAsia" w:ascii="仿宋" w:hAnsi="仿宋" w:eastAsia="仿宋" w:cs="仿宋"/>
          <w:color w:val="000000"/>
          <w:sz w:val="28"/>
          <w:szCs w:val="28"/>
        </w:rPr>
        <w:t>服务原则</w:t>
      </w:r>
    </w:p>
    <w:p w14:paraId="7E849CC4">
      <w:pPr>
        <w:spacing w:line="360" w:lineRule="auto"/>
        <w:ind w:firstLine="480" w:firstLineChars="200"/>
        <w:rPr>
          <w:rFonts w:hint="eastAsia" w:ascii="仿宋" w:hAnsi="仿宋" w:eastAsia="仿宋" w:cs="仿宋"/>
          <w:sz w:val="24"/>
        </w:rPr>
      </w:pPr>
      <w:r>
        <w:rPr>
          <w:rFonts w:hint="eastAsia" w:ascii="仿宋" w:hAnsi="仿宋" w:eastAsia="仿宋" w:cs="仿宋"/>
          <w:sz w:val="24"/>
        </w:rPr>
        <w:t>为实现预期目标，在本项目的方案设计与具体实施需满足以下原则要求：</w:t>
      </w:r>
    </w:p>
    <w:p w14:paraId="26F5D69E">
      <w:pPr>
        <w:spacing w:line="360" w:lineRule="auto"/>
        <w:ind w:firstLine="480" w:firstLineChars="200"/>
        <w:rPr>
          <w:rFonts w:hint="eastAsia" w:ascii="仿宋" w:hAnsi="仿宋" w:eastAsia="仿宋" w:cs="仿宋"/>
          <w:sz w:val="24"/>
        </w:rPr>
      </w:pPr>
      <w:r>
        <w:rPr>
          <w:rFonts w:hint="eastAsia" w:ascii="仿宋" w:hAnsi="仿宋" w:eastAsia="仿宋" w:cs="仿宋"/>
          <w:sz w:val="24"/>
        </w:rPr>
        <w:t>1、最小影响原则：安全评估和测试工作应尽可能小的影响系统和网络的正常运行，不能对现有网络的运行和业务的正常运行产生明显影响（包括系统性能明显下降、网络拥塞、服务中断等）；</w:t>
      </w:r>
    </w:p>
    <w:p w14:paraId="479F64FE">
      <w:pPr>
        <w:spacing w:line="360" w:lineRule="auto"/>
        <w:ind w:firstLine="480" w:firstLineChars="200"/>
        <w:rPr>
          <w:rFonts w:hint="eastAsia" w:ascii="仿宋" w:hAnsi="仿宋" w:eastAsia="仿宋" w:cs="仿宋"/>
          <w:sz w:val="24"/>
        </w:rPr>
      </w:pPr>
      <w:r>
        <w:rPr>
          <w:rFonts w:hint="eastAsia" w:ascii="仿宋" w:hAnsi="仿宋" w:eastAsia="仿宋" w:cs="仿宋"/>
          <w:sz w:val="24"/>
        </w:rPr>
        <w:t>2、可控性原则：实施方法和过程需要在双方认同（认可）的范围之内，项目进度要严格按照项目工作计划执行，保证对安全评估工作的可控性；</w:t>
      </w:r>
    </w:p>
    <w:p w14:paraId="463928DB">
      <w:pPr>
        <w:spacing w:line="360" w:lineRule="auto"/>
        <w:ind w:firstLine="480" w:firstLineChars="200"/>
        <w:rPr>
          <w:rFonts w:hint="eastAsia" w:ascii="仿宋" w:hAnsi="仿宋" w:eastAsia="仿宋" w:cs="仿宋"/>
          <w:sz w:val="24"/>
        </w:rPr>
      </w:pPr>
      <w:r>
        <w:rPr>
          <w:rFonts w:hint="eastAsia" w:ascii="仿宋" w:hAnsi="仿宋" w:eastAsia="仿宋" w:cs="仿宋"/>
          <w:sz w:val="24"/>
        </w:rPr>
        <w:t>3、整体性原则：安全评估工作内容要求做到完整全面；</w:t>
      </w:r>
    </w:p>
    <w:p w14:paraId="3741248F">
      <w:pPr>
        <w:spacing w:line="360" w:lineRule="auto"/>
        <w:ind w:firstLine="480" w:firstLineChars="200"/>
        <w:rPr>
          <w:rFonts w:hint="eastAsia" w:ascii="仿宋" w:hAnsi="仿宋" w:eastAsia="仿宋" w:cs="仿宋"/>
          <w:sz w:val="24"/>
        </w:rPr>
      </w:pPr>
      <w:r>
        <w:rPr>
          <w:rFonts w:hint="eastAsia" w:ascii="仿宋" w:hAnsi="仿宋" w:eastAsia="仿宋" w:cs="仿宋"/>
          <w:sz w:val="24"/>
        </w:rPr>
        <w:t>4、标准性原则：安全规划方案的设计与实施应依据国内或国际的相关标准进行；</w:t>
      </w:r>
    </w:p>
    <w:p w14:paraId="3E24D1C2">
      <w:pPr>
        <w:spacing w:line="360" w:lineRule="auto"/>
        <w:ind w:firstLine="480" w:firstLineChars="200"/>
        <w:rPr>
          <w:rFonts w:hint="eastAsia" w:ascii="仿宋" w:hAnsi="仿宋" w:eastAsia="仿宋" w:cs="仿宋"/>
          <w:sz w:val="24"/>
        </w:rPr>
      </w:pPr>
      <w:r>
        <w:rPr>
          <w:rFonts w:hint="eastAsia" w:ascii="仿宋" w:hAnsi="仿宋" w:eastAsia="仿宋" w:cs="仿宋"/>
          <w:sz w:val="24"/>
        </w:rPr>
        <w:t>5、规范性原则：项目实施过程和交付物文档，要求具有标准规范性，便于项目的跟踪与控制；</w:t>
      </w:r>
    </w:p>
    <w:p w14:paraId="0761FAAC">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6、保密原则：对项目实施中产生的数据和结果数据严格保密，未经授权不得泄露给任何单位和个人，不得利用此数据进行任何侵害行为，否则将追究责任。</w:t>
      </w:r>
    </w:p>
    <w:p w14:paraId="029FCB60">
      <w:pPr>
        <w:pStyle w:val="5"/>
        <w:numPr>
          <w:ilvl w:val="0"/>
          <w:numId w:val="0"/>
        </w:num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lang w:val="en-US"/>
        </w:rPr>
        <w:t>五、项目采购内容</w:t>
      </w:r>
    </w:p>
    <w:tbl>
      <w:tblPr>
        <w:tblStyle w:val="6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5245"/>
        <w:gridCol w:w="1134"/>
        <w:gridCol w:w="1417"/>
      </w:tblGrid>
      <w:tr w14:paraId="52B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3BB12543">
            <w:pPr>
              <w:snapToGrid w:val="0"/>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3C30B329">
            <w:pPr>
              <w:snapToGrid w:val="0"/>
              <w:spacing w:line="240" w:lineRule="atLeast"/>
              <w:jc w:val="center"/>
              <w:rPr>
                <w:rFonts w:hint="eastAsia" w:ascii="仿宋" w:hAnsi="仿宋" w:eastAsia="仿宋" w:cs="仿宋"/>
                <w:sz w:val="24"/>
              </w:rPr>
            </w:pPr>
            <w:r>
              <w:rPr>
                <w:rFonts w:hint="eastAsia" w:ascii="仿宋" w:hAnsi="仿宋" w:eastAsia="仿宋" w:cs="仿宋"/>
                <w:sz w:val="24"/>
              </w:rPr>
              <w:t>名称</w:t>
            </w:r>
          </w:p>
        </w:tc>
        <w:tc>
          <w:tcPr>
            <w:tcW w:w="5245" w:type="dxa"/>
            <w:tcBorders>
              <w:top w:val="single" w:color="auto" w:sz="4" w:space="0"/>
              <w:left w:val="single" w:color="auto" w:sz="4" w:space="0"/>
              <w:bottom w:val="single" w:color="auto" w:sz="4" w:space="0"/>
              <w:right w:val="single" w:color="auto" w:sz="4" w:space="0"/>
            </w:tcBorders>
            <w:vAlign w:val="center"/>
          </w:tcPr>
          <w:p w14:paraId="790D9599">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服务描述</w:t>
            </w:r>
          </w:p>
        </w:tc>
        <w:tc>
          <w:tcPr>
            <w:tcW w:w="1134" w:type="dxa"/>
            <w:tcBorders>
              <w:top w:val="single" w:color="auto" w:sz="4" w:space="0"/>
              <w:left w:val="single" w:color="auto" w:sz="4" w:space="0"/>
              <w:bottom w:val="single" w:color="auto" w:sz="4" w:space="0"/>
              <w:right w:val="single" w:color="auto" w:sz="4" w:space="0"/>
            </w:tcBorders>
            <w:vAlign w:val="center"/>
          </w:tcPr>
          <w:p w14:paraId="2CC4A6FD">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服务周期及频次</w:t>
            </w:r>
          </w:p>
        </w:tc>
        <w:tc>
          <w:tcPr>
            <w:tcW w:w="1417" w:type="dxa"/>
            <w:tcBorders>
              <w:top w:val="single" w:color="auto" w:sz="4" w:space="0"/>
              <w:left w:val="single" w:color="auto" w:sz="4" w:space="0"/>
              <w:bottom w:val="single" w:color="auto" w:sz="4" w:space="0"/>
              <w:right w:val="single" w:color="auto" w:sz="4" w:space="0"/>
            </w:tcBorders>
            <w:vAlign w:val="center"/>
          </w:tcPr>
          <w:p w14:paraId="54D245BD">
            <w:pPr>
              <w:snapToGrid w:val="0"/>
              <w:spacing w:line="240" w:lineRule="atLeast"/>
              <w:jc w:val="center"/>
              <w:rPr>
                <w:rFonts w:hint="eastAsia" w:ascii="仿宋" w:hAnsi="仿宋" w:eastAsia="仿宋" w:cs="仿宋"/>
                <w:sz w:val="24"/>
              </w:rPr>
            </w:pPr>
            <w:r>
              <w:rPr>
                <w:rFonts w:hint="eastAsia" w:ascii="仿宋" w:hAnsi="仿宋" w:eastAsia="仿宋" w:cs="仿宋"/>
                <w:sz w:val="24"/>
              </w:rPr>
              <w:t>交付成果</w:t>
            </w:r>
          </w:p>
        </w:tc>
      </w:tr>
      <w:tr w14:paraId="65A9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3A60869F">
            <w:pPr>
              <w:snapToGrid w:val="0"/>
              <w:spacing w:line="240" w:lineRule="atLeast"/>
              <w:jc w:val="center"/>
              <w:rPr>
                <w:rFonts w:hint="eastAsia" w:ascii="仿宋" w:hAnsi="仿宋" w:eastAsia="仿宋" w:cs="仿宋"/>
                <w:sz w:val="24"/>
              </w:rPr>
            </w:pPr>
            <w:r>
              <w:rPr>
                <w:rFonts w:hint="eastAsia" w:ascii="仿宋" w:hAnsi="仿宋" w:eastAsia="仿宋" w:cs="仿宋"/>
                <w:sz w:val="24"/>
              </w:rPr>
              <w:t>1</w:t>
            </w:r>
          </w:p>
        </w:tc>
        <w:tc>
          <w:tcPr>
            <w:tcW w:w="1271" w:type="dxa"/>
            <w:tcBorders>
              <w:top w:val="single" w:color="auto" w:sz="4" w:space="0"/>
              <w:left w:val="single" w:color="auto" w:sz="4" w:space="0"/>
              <w:bottom w:val="single" w:color="auto" w:sz="4" w:space="0"/>
              <w:right w:val="single" w:color="auto" w:sz="4" w:space="0"/>
            </w:tcBorders>
            <w:vAlign w:val="center"/>
          </w:tcPr>
          <w:p w14:paraId="2AAEE939">
            <w:pPr>
              <w:snapToGrid w:val="0"/>
              <w:spacing w:line="240" w:lineRule="atLeast"/>
              <w:jc w:val="center"/>
              <w:rPr>
                <w:rFonts w:hint="eastAsia" w:ascii="仿宋" w:hAnsi="仿宋" w:eastAsia="仿宋" w:cs="仿宋"/>
                <w:sz w:val="24"/>
              </w:rPr>
            </w:pPr>
            <w:r>
              <w:rPr>
                <w:rFonts w:hint="eastAsia" w:ascii="仿宋" w:hAnsi="仿宋" w:eastAsia="仿宋" w:cs="仿宋"/>
                <w:sz w:val="24"/>
              </w:rPr>
              <w:t>态势感知实时防护服务</w:t>
            </w:r>
          </w:p>
        </w:tc>
        <w:tc>
          <w:tcPr>
            <w:tcW w:w="5245" w:type="dxa"/>
            <w:tcBorders>
              <w:top w:val="single" w:color="auto" w:sz="4" w:space="0"/>
              <w:left w:val="single" w:color="auto" w:sz="4" w:space="0"/>
              <w:bottom w:val="single" w:color="auto" w:sz="4" w:space="0"/>
              <w:right w:val="single" w:color="auto" w:sz="4" w:space="0"/>
            </w:tcBorders>
            <w:vAlign w:val="center"/>
          </w:tcPr>
          <w:p w14:paraId="441F263D">
            <w:pPr>
              <w:snapToGrid w:val="0"/>
              <w:spacing w:line="240" w:lineRule="atLeast"/>
              <w:rPr>
                <w:rFonts w:hint="eastAsia" w:ascii="仿宋" w:hAnsi="仿宋" w:eastAsia="仿宋" w:cs="仿宋"/>
                <w:sz w:val="24"/>
              </w:rPr>
            </w:pPr>
            <w:r>
              <w:rPr>
                <w:rFonts w:hint="eastAsia" w:ascii="仿宋" w:hAnsi="仿宋" w:eastAsia="仿宋" w:cs="仿宋"/>
                <w:color w:val="000000"/>
                <w:sz w:val="24"/>
              </w:rPr>
              <w:t>依托态势感知平台、应用防火墙、日志审计、数据库审计以及流量回溯系统等建立7*24小时高级威胁识别能力，进行API恶意调用攻击检测、WEB入侵检测、恶意代码检测、政务外网流量监测、异常流量检测、数据违规操作检测、日志分析以及未知威胁分析、溯源、响应、阻断和恢复等，及时发现问题并提出安全整改建议，对误报漏报问题进行反馈，对整改后的安全问题进行闭环。</w:t>
            </w:r>
          </w:p>
        </w:tc>
        <w:tc>
          <w:tcPr>
            <w:tcW w:w="1134" w:type="dxa"/>
            <w:tcBorders>
              <w:top w:val="single" w:color="auto" w:sz="4" w:space="0"/>
              <w:left w:val="single" w:color="auto" w:sz="4" w:space="0"/>
              <w:bottom w:val="single" w:color="auto" w:sz="4" w:space="0"/>
              <w:right w:val="single" w:color="auto" w:sz="4" w:space="0"/>
            </w:tcBorders>
            <w:vAlign w:val="center"/>
          </w:tcPr>
          <w:p w14:paraId="4DBE7088">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24D90EFE">
            <w:pPr>
              <w:snapToGrid w:val="0"/>
              <w:spacing w:line="240" w:lineRule="atLeast"/>
              <w:rPr>
                <w:rFonts w:hint="eastAsia" w:ascii="仿宋" w:hAnsi="仿宋" w:eastAsia="仿宋" w:cs="仿宋"/>
                <w:sz w:val="24"/>
              </w:rPr>
            </w:pPr>
            <w:r>
              <w:rPr>
                <w:rFonts w:hint="eastAsia" w:ascii="仿宋" w:hAnsi="仿宋" w:eastAsia="仿宋" w:cs="仿宋"/>
                <w:sz w:val="24"/>
              </w:rPr>
              <w:t>《浙江省教育考试院威胁分析及处置整改报告》</w:t>
            </w:r>
          </w:p>
        </w:tc>
      </w:tr>
      <w:tr w14:paraId="5937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136D8FA6">
            <w:pPr>
              <w:snapToGrid w:val="0"/>
              <w:spacing w:line="240" w:lineRule="atLeast"/>
              <w:jc w:val="center"/>
              <w:rPr>
                <w:rFonts w:hint="eastAsia" w:ascii="仿宋" w:hAnsi="仿宋" w:eastAsia="仿宋" w:cs="仿宋"/>
                <w:sz w:val="24"/>
              </w:rPr>
            </w:pPr>
            <w:r>
              <w:rPr>
                <w:rFonts w:hint="eastAsia" w:ascii="仿宋" w:hAnsi="仿宋" w:eastAsia="仿宋" w:cs="仿宋"/>
                <w:sz w:val="24"/>
              </w:rPr>
              <w:t>2</w:t>
            </w:r>
          </w:p>
        </w:tc>
        <w:tc>
          <w:tcPr>
            <w:tcW w:w="1271" w:type="dxa"/>
            <w:tcBorders>
              <w:top w:val="single" w:color="auto" w:sz="4" w:space="0"/>
              <w:left w:val="single" w:color="auto" w:sz="4" w:space="0"/>
              <w:bottom w:val="single" w:color="auto" w:sz="4" w:space="0"/>
              <w:right w:val="single" w:color="auto" w:sz="4" w:space="0"/>
            </w:tcBorders>
            <w:vAlign w:val="center"/>
          </w:tcPr>
          <w:p w14:paraId="45BB8723">
            <w:pPr>
              <w:snapToGrid w:val="0"/>
              <w:spacing w:line="240" w:lineRule="atLeast"/>
              <w:jc w:val="center"/>
              <w:rPr>
                <w:rFonts w:hint="eastAsia" w:ascii="仿宋" w:hAnsi="仿宋" w:eastAsia="仿宋" w:cs="仿宋"/>
                <w:sz w:val="24"/>
              </w:rPr>
            </w:pPr>
            <w:r>
              <w:rPr>
                <w:rFonts w:hint="eastAsia" w:ascii="仿宋" w:hAnsi="仿宋" w:eastAsia="仿宋" w:cs="仿宋"/>
                <w:sz w:val="24"/>
              </w:rPr>
              <w:t>驻场安全运维服务</w:t>
            </w:r>
          </w:p>
        </w:tc>
        <w:tc>
          <w:tcPr>
            <w:tcW w:w="5245" w:type="dxa"/>
            <w:tcBorders>
              <w:top w:val="single" w:color="auto" w:sz="4" w:space="0"/>
              <w:left w:val="single" w:color="auto" w:sz="4" w:space="0"/>
              <w:bottom w:val="single" w:color="auto" w:sz="4" w:space="0"/>
              <w:right w:val="single" w:color="auto" w:sz="4" w:space="0"/>
            </w:tcBorders>
            <w:vAlign w:val="center"/>
          </w:tcPr>
          <w:p w14:paraId="08D41108">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 xml:space="preserve">驻场安全运维服务以威胁发现为基础，以分析验证为核心，以通报处置为关键，以优化策略为抓手，以推动提升为目标。发现考试招生评估相关网络安全事件、威胁来源和组织，全面掌握网络安全情况、威胁情报线索，输出考试院所需的相关数据监测和分析溯源报告，帮助考试院更全面、更准确、更高效地掌握整体系统安全。  </w:t>
            </w:r>
          </w:p>
          <w:p w14:paraId="7B6A5A66">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驻场安全运维服务内容包括：提供1人安全驻场服务，实施资产清单系统搭建和梳理、安全事件监测、网站漏洞验证、漏洞流程管理及下发、参与事件应急处置、协助应用加固系统、配置安全策略、应用端口服务开放及互通情况梳理、完成安全相关审批、参与制定修改安全规范、输出安全标准配置文档、整理优化系统安全架构、协助编写密码应用方案、协助处理密评和等保相关工作、配合完成安全检查、督促签订保密协议以及考试院要求的其他安全相关任务等工作。</w:t>
            </w:r>
          </w:p>
        </w:tc>
        <w:tc>
          <w:tcPr>
            <w:tcW w:w="1134" w:type="dxa"/>
            <w:tcBorders>
              <w:top w:val="single" w:color="auto" w:sz="4" w:space="0"/>
              <w:left w:val="single" w:color="auto" w:sz="4" w:space="0"/>
              <w:bottom w:val="single" w:color="auto" w:sz="4" w:space="0"/>
              <w:right w:val="single" w:color="auto" w:sz="4" w:space="0"/>
            </w:tcBorders>
            <w:vAlign w:val="center"/>
          </w:tcPr>
          <w:p w14:paraId="639ACA6D">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02052417">
            <w:pPr>
              <w:snapToGrid w:val="0"/>
              <w:spacing w:line="240" w:lineRule="atLeast"/>
              <w:jc w:val="center"/>
              <w:rPr>
                <w:rFonts w:hint="eastAsia" w:ascii="仿宋" w:hAnsi="仿宋" w:eastAsia="仿宋" w:cs="仿宋"/>
                <w:sz w:val="24"/>
              </w:rPr>
            </w:pPr>
            <w:r>
              <w:rPr>
                <w:rFonts w:hint="eastAsia" w:ascii="仿宋" w:hAnsi="仿宋" w:eastAsia="仿宋" w:cs="仿宋"/>
                <w:color w:val="000000"/>
                <w:sz w:val="24"/>
              </w:rPr>
              <w:t>《安全运维总结报告》、《日常安全运维日志》、《xx安全配置规范》、《防火墙安全策略》、《xx系统端口矩阵》、《浙江省考试院整体网络安全架构拓扑图》等</w:t>
            </w:r>
          </w:p>
        </w:tc>
      </w:tr>
      <w:tr w14:paraId="3A9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467DCC13">
            <w:pPr>
              <w:snapToGrid w:val="0"/>
              <w:spacing w:line="240" w:lineRule="atLeast"/>
              <w:jc w:val="center"/>
              <w:rPr>
                <w:rFonts w:hint="eastAsia" w:ascii="仿宋" w:hAnsi="仿宋" w:eastAsia="仿宋" w:cs="仿宋"/>
                <w:sz w:val="24"/>
              </w:rPr>
            </w:pPr>
            <w:r>
              <w:rPr>
                <w:rFonts w:hint="eastAsia" w:ascii="仿宋" w:hAnsi="仿宋" w:eastAsia="仿宋" w:cs="仿宋"/>
                <w:sz w:val="24"/>
              </w:rPr>
              <w:t>3</w:t>
            </w:r>
          </w:p>
        </w:tc>
        <w:tc>
          <w:tcPr>
            <w:tcW w:w="1271" w:type="dxa"/>
            <w:tcBorders>
              <w:top w:val="single" w:color="auto" w:sz="4" w:space="0"/>
              <w:left w:val="single" w:color="auto" w:sz="4" w:space="0"/>
              <w:bottom w:val="single" w:color="auto" w:sz="4" w:space="0"/>
              <w:right w:val="single" w:color="auto" w:sz="4" w:space="0"/>
            </w:tcBorders>
            <w:vAlign w:val="center"/>
          </w:tcPr>
          <w:p w14:paraId="4445B24C">
            <w:pPr>
              <w:snapToGrid w:val="0"/>
              <w:spacing w:line="240" w:lineRule="atLeast"/>
              <w:jc w:val="center"/>
              <w:rPr>
                <w:rFonts w:hint="eastAsia" w:ascii="仿宋" w:hAnsi="仿宋" w:eastAsia="仿宋" w:cs="仿宋"/>
                <w:sz w:val="24"/>
              </w:rPr>
            </w:pPr>
            <w:r>
              <w:rPr>
                <w:rFonts w:hint="eastAsia" w:ascii="仿宋" w:hAnsi="仿宋" w:eastAsia="仿宋" w:cs="仿宋"/>
                <w:sz w:val="24"/>
              </w:rPr>
              <w:t>资产发现与管理服务</w:t>
            </w:r>
          </w:p>
        </w:tc>
        <w:tc>
          <w:tcPr>
            <w:tcW w:w="5245" w:type="dxa"/>
            <w:tcBorders>
              <w:top w:val="single" w:color="auto" w:sz="4" w:space="0"/>
              <w:left w:val="single" w:color="auto" w:sz="4" w:space="0"/>
              <w:bottom w:val="single" w:color="auto" w:sz="4" w:space="0"/>
              <w:right w:val="single" w:color="auto" w:sz="4" w:space="0"/>
            </w:tcBorders>
            <w:vAlign w:val="center"/>
          </w:tcPr>
          <w:p w14:paraId="34D622ED">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针对考试院院内信息资产和对考试院互联网暴露面资产进行全面的发现和梳理，建立考试院内部信息资产清单及考试院互联网信息资产清单，同时协助考试院建立资产与责任人的对应，为后续的漏洞、事件推送提供数据基础。</w:t>
            </w:r>
          </w:p>
        </w:tc>
        <w:tc>
          <w:tcPr>
            <w:tcW w:w="1134" w:type="dxa"/>
            <w:tcBorders>
              <w:top w:val="single" w:color="auto" w:sz="4" w:space="0"/>
              <w:left w:val="single" w:color="auto" w:sz="4" w:space="0"/>
              <w:bottom w:val="single" w:color="auto" w:sz="4" w:space="0"/>
              <w:right w:val="single" w:color="auto" w:sz="4" w:space="0"/>
            </w:tcBorders>
            <w:vAlign w:val="center"/>
          </w:tcPr>
          <w:p w14:paraId="41F8E11B">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4779C62B">
            <w:pPr>
              <w:snapToGrid w:val="0"/>
              <w:spacing w:line="240" w:lineRule="atLeast"/>
              <w:jc w:val="center"/>
              <w:rPr>
                <w:rFonts w:hint="eastAsia" w:ascii="仿宋" w:hAnsi="仿宋" w:eastAsia="仿宋" w:cs="仿宋"/>
                <w:sz w:val="24"/>
              </w:rPr>
            </w:pPr>
            <w:r>
              <w:rPr>
                <w:rFonts w:hint="eastAsia" w:ascii="仿宋" w:hAnsi="仿宋" w:eastAsia="仿宋" w:cs="仿宋"/>
                <w:sz w:val="24"/>
              </w:rPr>
              <w:t>《内部信息资产清单》、《互联网信息资产清单》</w:t>
            </w:r>
          </w:p>
        </w:tc>
      </w:tr>
      <w:tr w14:paraId="3C4E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74C898C6">
            <w:pPr>
              <w:snapToGrid w:val="0"/>
              <w:spacing w:line="240" w:lineRule="atLeast"/>
              <w:jc w:val="center"/>
              <w:rPr>
                <w:rFonts w:hint="eastAsia" w:ascii="仿宋" w:hAnsi="仿宋" w:eastAsia="仿宋" w:cs="仿宋"/>
                <w:sz w:val="24"/>
              </w:rPr>
            </w:pPr>
            <w:r>
              <w:rPr>
                <w:rFonts w:hint="eastAsia" w:ascii="仿宋" w:hAnsi="仿宋" w:eastAsia="仿宋" w:cs="仿宋"/>
                <w:sz w:val="24"/>
              </w:rPr>
              <w:t>4</w:t>
            </w:r>
          </w:p>
        </w:tc>
        <w:tc>
          <w:tcPr>
            <w:tcW w:w="1271" w:type="dxa"/>
            <w:tcBorders>
              <w:top w:val="single" w:color="auto" w:sz="4" w:space="0"/>
              <w:left w:val="single" w:color="auto" w:sz="4" w:space="0"/>
              <w:bottom w:val="single" w:color="auto" w:sz="4" w:space="0"/>
              <w:right w:val="single" w:color="auto" w:sz="4" w:space="0"/>
            </w:tcBorders>
            <w:vAlign w:val="center"/>
          </w:tcPr>
          <w:p w14:paraId="63845A57">
            <w:pPr>
              <w:snapToGrid w:val="0"/>
              <w:spacing w:line="240" w:lineRule="atLeast"/>
              <w:jc w:val="center"/>
              <w:rPr>
                <w:rFonts w:hint="eastAsia" w:ascii="仿宋" w:hAnsi="仿宋" w:eastAsia="仿宋" w:cs="仿宋"/>
                <w:sz w:val="24"/>
              </w:rPr>
            </w:pPr>
            <w:r>
              <w:rPr>
                <w:rFonts w:hint="eastAsia" w:ascii="仿宋" w:hAnsi="仿宋" w:eastAsia="仿宋" w:cs="仿宋"/>
                <w:sz w:val="24"/>
              </w:rPr>
              <w:t>网站安全监测服务</w:t>
            </w:r>
          </w:p>
        </w:tc>
        <w:tc>
          <w:tcPr>
            <w:tcW w:w="5245" w:type="dxa"/>
            <w:tcBorders>
              <w:top w:val="single" w:color="auto" w:sz="4" w:space="0"/>
              <w:left w:val="single" w:color="auto" w:sz="4" w:space="0"/>
              <w:bottom w:val="single" w:color="auto" w:sz="4" w:space="0"/>
              <w:right w:val="single" w:color="auto" w:sz="4" w:space="0"/>
            </w:tcBorders>
            <w:vAlign w:val="center"/>
          </w:tcPr>
          <w:p w14:paraId="05BECD6D">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对服务范围内各类网站（系统）进行7*24小时安全监控管理，支持安全漏洞监测、</w:t>
            </w:r>
            <w:r>
              <w:rPr>
                <w:rFonts w:hint="eastAsia" w:ascii="仿宋" w:hAnsi="仿宋" w:eastAsia="仿宋" w:cs="仿宋"/>
                <w:sz w:val="24"/>
              </w:rPr>
              <w:t>安全威胁预警、</w:t>
            </w:r>
            <w:r>
              <w:rPr>
                <w:rFonts w:hint="eastAsia" w:ascii="仿宋" w:hAnsi="仿宋" w:eastAsia="仿宋" w:cs="仿宋"/>
                <w:color w:val="000000"/>
                <w:sz w:val="24"/>
              </w:rPr>
              <w:t>安全事件监测、可用性监测、内容篡改监测、专项威胁监测等功能，通过系统、短信、邮箱等方式实时反馈监测数据。</w:t>
            </w:r>
          </w:p>
        </w:tc>
        <w:tc>
          <w:tcPr>
            <w:tcW w:w="1134" w:type="dxa"/>
            <w:tcBorders>
              <w:top w:val="single" w:color="auto" w:sz="4" w:space="0"/>
              <w:left w:val="single" w:color="auto" w:sz="4" w:space="0"/>
              <w:bottom w:val="single" w:color="auto" w:sz="4" w:space="0"/>
              <w:right w:val="single" w:color="auto" w:sz="4" w:space="0"/>
            </w:tcBorders>
            <w:vAlign w:val="center"/>
          </w:tcPr>
          <w:p w14:paraId="012B46C7">
            <w:pPr>
              <w:snapToGrid w:val="0"/>
              <w:spacing w:line="240" w:lineRule="atLeast"/>
              <w:jc w:val="center"/>
              <w:rPr>
                <w:rFonts w:hint="eastAsia" w:ascii="仿宋" w:hAnsi="仿宋" w:eastAsia="仿宋" w:cs="仿宋"/>
                <w:sz w:val="24"/>
              </w:rPr>
            </w:pPr>
            <w:r>
              <w:rPr>
                <w:rFonts w:hint="eastAsia" w:ascii="仿宋" w:hAnsi="仿宋" w:eastAsia="仿宋" w:cs="仿宋"/>
                <w:sz w:val="24"/>
              </w:rPr>
              <w:t>365天*24小时</w:t>
            </w:r>
          </w:p>
        </w:tc>
        <w:tc>
          <w:tcPr>
            <w:tcW w:w="1417" w:type="dxa"/>
            <w:tcBorders>
              <w:top w:val="single" w:color="auto" w:sz="4" w:space="0"/>
              <w:left w:val="single" w:color="auto" w:sz="4" w:space="0"/>
              <w:bottom w:val="single" w:color="auto" w:sz="4" w:space="0"/>
              <w:right w:val="single" w:color="auto" w:sz="4" w:space="0"/>
            </w:tcBorders>
            <w:vAlign w:val="center"/>
          </w:tcPr>
          <w:p w14:paraId="2873F014">
            <w:pPr>
              <w:snapToGrid w:val="0"/>
              <w:spacing w:line="240" w:lineRule="atLeast"/>
              <w:jc w:val="center"/>
              <w:rPr>
                <w:rFonts w:hint="eastAsia" w:ascii="仿宋" w:hAnsi="仿宋" w:eastAsia="仿宋" w:cs="仿宋"/>
                <w:sz w:val="24"/>
              </w:rPr>
            </w:pPr>
            <w:r>
              <w:rPr>
                <w:rFonts w:hint="eastAsia" w:ascii="仿宋" w:hAnsi="仿宋" w:eastAsia="仿宋" w:cs="仿宋"/>
                <w:sz w:val="24"/>
              </w:rPr>
              <w:t>《网站安全监测报告》</w:t>
            </w:r>
          </w:p>
        </w:tc>
      </w:tr>
      <w:tr w14:paraId="24B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1F4B03A9">
            <w:pPr>
              <w:snapToGrid w:val="0"/>
              <w:spacing w:line="240" w:lineRule="atLeast"/>
              <w:jc w:val="center"/>
              <w:rPr>
                <w:rFonts w:hint="eastAsia" w:ascii="仿宋" w:hAnsi="仿宋" w:eastAsia="仿宋" w:cs="仿宋"/>
                <w:sz w:val="24"/>
              </w:rPr>
            </w:pPr>
            <w:r>
              <w:rPr>
                <w:rFonts w:hint="eastAsia" w:ascii="仿宋" w:hAnsi="仿宋" w:eastAsia="仿宋" w:cs="仿宋"/>
                <w:sz w:val="24"/>
              </w:rPr>
              <w:t>5</w:t>
            </w:r>
          </w:p>
        </w:tc>
        <w:tc>
          <w:tcPr>
            <w:tcW w:w="1271" w:type="dxa"/>
            <w:tcBorders>
              <w:top w:val="single" w:color="auto" w:sz="4" w:space="0"/>
              <w:left w:val="single" w:color="auto" w:sz="4" w:space="0"/>
              <w:bottom w:val="single" w:color="auto" w:sz="4" w:space="0"/>
              <w:right w:val="single" w:color="auto" w:sz="4" w:space="0"/>
            </w:tcBorders>
            <w:vAlign w:val="center"/>
          </w:tcPr>
          <w:p w14:paraId="5E8AC37C">
            <w:pPr>
              <w:snapToGrid w:val="0"/>
              <w:spacing w:line="240" w:lineRule="atLeast"/>
              <w:jc w:val="center"/>
              <w:rPr>
                <w:rFonts w:hint="eastAsia" w:ascii="仿宋" w:hAnsi="仿宋" w:eastAsia="仿宋" w:cs="仿宋"/>
                <w:sz w:val="24"/>
              </w:rPr>
            </w:pPr>
            <w:r>
              <w:rPr>
                <w:rFonts w:hint="eastAsia" w:ascii="仿宋" w:hAnsi="仿宋" w:eastAsia="仿宋" w:cs="仿宋"/>
                <w:sz w:val="24"/>
              </w:rPr>
              <w:t>周期性安全扫描及渗透测试服务</w:t>
            </w:r>
          </w:p>
        </w:tc>
        <w:tc>
          <w:tcPr>
            <w:tcW w:w="5245" w:type="dxa"/>
            <w:tcBorders>
              <w:top w:val="single" w:color="auto" w:sz="4" w:space="0"/>
              <w:left w:val="single" w:color="auto" w:sz="4" w:space="0"/>
              <w:bottom w:val="single" w:color="auto" w:sz="4" w:space="0"/>
              <w:right w:val="single" w:color="auto" w:sz="4" w:space="0"/>
            </w:tcBorders>
            <w:vAlign w:val="center"/>
          </w:tcPr>
          <w:p w14:paraId="69A3F896">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通过信息资产梳理及系统侧提供的信息，安全专家采用模拟黑客攻击的技术和方法，采用自动化工具和人工测试结合的方式，全面检测应用系统、终端及设备可能存在的各类型安全漏洞和安全隐患，并提供修复建议、指导漏洞修复工作，以避免安全漏洞被黑客恶意利用、攻击，最终保障信息系统的安全、平稳、可靠运行。具体测试内容包括如弱口令爆破、SQL 注入、XSS（跨站脚本）、CRLF 注入、CSRF、未授权访问、默认密码、目录遍历、文件包含、命令执行、WebShell网页木马上传等技术漏洞，各类如任意密码重置、越权查询以及功能绕过等各类逻辑漏洞等，各种中间件的安全问题检测以及数据传输中涉及到的接口安全检查等，同时须提供测试清单包含测试信息系统详细信息以及测试项清单。</w:t>
            </w:r>
          </w:p>
        </w:tc>
        <w:tc>
          <w:tcPr>
            <w:tcW w:w="1134" w:type="dxa"/>
            <w:tcBorders>
              <w:top w:val="single" w:color="auto" w:sz="4" w:space="0"/>
              <w:left w:val="single" w:color="auto" w:sz="4" w:space="0"/>
              <w:bottom w:val="single" w:color="auto" w:sz="4" w:space="0"/>
              <w:right w:val="single" w:color="auto" w:sz="4" w:space="0"/>
            </w:tcBorders>
            <w:vAlign w:val="center"/>
          </w:tcPr>
          <w:p w14:paraId="64AAB66E">
            <w:pPr>
              <w:snapToGrid w:val="0"/>
              <w:spacing w:line="240" w:lineRule="atLeast"/>
              <w:jc w:val="center"/>
              <w:rPr>
                <w:rFonts w:hint="eastAsia" w:ascii="仿宋" w:hAnsi="仿宋" w:eastAsia="仿宋" w:cs="仿宋"/>
                <w:sz w:val="24"/>
              </w:rPr>
            </w:pPr>
            <w:r>
              <w:rPr>
                <w:rFonts w:hint="eastAsia" w:ascii="仿宋" w:hAnsi="仿宋" w:eastAsia="仿宋" w:cs="仿宋"/>
                <w:sz w:val="24"/>
              </w:rPr>
              <w:t>至少12次/年</w:t>
            </w:r>
          </w:p>
        </w:tc>
        <w:tc>
          <w:tcPr>
            <w:tcW w:w="1417" w:type="dxa"/>
            <w:tcBorders>
              <w:top w:val="single" w:color="auto" w:sz="4" w:space="0"/>
              <w:left w:val="single" w:color="auto" w:sz="4" w:space="0"/>
              <w:bottom w:val="single" w:color="auto" w:sz="4" w:space="0"/>
              <w:right w:val="single" w:color="auto" w:sz="4" w:space="0"/>
            </w:tcBorders>
            <w:vAlign w:val="center"/>
          </w:tcPr>
          <w:p w14:paraId="4E0EAE21">
            <w:pPr>
              <w:snapToGrid w:val="0"/>
              <w:spacing w:line="240" w:lineRule="atLeast"/>
              <w:jc w:val="center"/>
              <w:rPr>
                <w:rFonts w:hint="eastAsia" w:ascii="仿宋" w:hAnsi="仿宋" w:eastAsia="仿宋" w:cs="仿宋"/>
                <w:sz w:val="24"/>
              </w:rPr>
            </w:pPr>
            <w:r>
              <w:rPr>
                <w:rFonts w:hint="eastAsia" w:ascii="仿宋" w:hAnsi="仿宋" w:eastAsia="仿宋" w:cs="仿宋"/>
                <w:sz w:val="24"/>
              </w:rPr>
              <w:t>《xx系统漏洞扫描报告》、《xx系统渗透测试报告》、《中间件排查清单》、《WebShell查杀报告》、《xx系统渗透测试Checklist》</w:t>
            </w:r>
          </w:p>
        </w:tc>
      </w:tr>
      <w:tr w14:paraId="337B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67CD918B">
            <w:pPr>
              <w:snapToGrid w:val="0"/>
              <w:spacing w:line="240" w:lineRule="atLeast"/>
              <w:jc w:val="center"/>
              <w:rPr>
                <w:rFonts w:hint="eastAsia" w:ascii="仿宋" w:hAnsi="仿宋" w:eastAsia="仿宋" w:cs="仿宋"/>
                <w:sz w:val="24"/>
              </w:rPr>
            </w:pPr>
            <w:r>
              <w:rPr>
                <w:rFonts w:hint="eastAsia" w:ascii="仿宋" w:hAnsi="仿宋" w:eastAsia="仿宋" w:cs="仿宋"/>
                <w:sz w:val="24"/>
              </w:rPr>
              <w:t>6</w:t>
            </w:r>
          </w:p>
        </w:tc>
        <w:tc>
          <w:tcPr>
            <w:tcW w:w="1271" w:type="dxa"/>
            <w:tcBorders>
              <w:top w:val="single" w:color="auto" w:sz="4" w:space="0"/>
              <w:left w:val="single" w:color="auto" w:sz="4" w:space="0"/>
              <w:bottom w:val="single" w:color="auto" w:sz="4" w:space="0"/>
              <w:right w:val="single" w:color="auto" w:sz="4" w:space="0"/>
            </w:tcBorders>
            <w:vAlign w:val="center"/>
          </w:tcPr>
          <w:p w14:paraId="230469A7">
            <w:pPr>
              <w:snapToGrid w:val="0"/>
              <w:spacing w:line="240" w:lineRule="atLeast"/>
              <w:jc w:val="center"/>
              <w:rPr>
                <w:rFonts w:hint="eastAsia" w:ascii="仿宋" w:hAnsi="仿宋" w:eastAsia="仿宋" w:cs="仿宋"/>
                <w:sz w:val="24"/>
              </w:rPr>
            </w:pPr>
            <w:r>
              <w:rPr>
                <w:rFonts w:hint="eastAsia" w:ascii="仿宋" w:hAnsi="仿宋" w:eastAsia="仿宋" w:cs="仿宋"/>
                <w:sz w:val="24"/>
              </w:rPr>
              <w:t>风险评估</w:t>
            </w:r>
          </w:p>
        </w:tc>
        <w:tc>
          <w:tcPr>
            <w:tcW w:w="5245" w:type="dxa"/>
            <w:tcBorders>
              <w:top w:val="single" w:color="auto" w:sz="4" w:space="0"/>
              <w:left w:val="single" w:color="auto" w:sz="4" w:space="0"/>
              <w:bottom w:val="single" w:color="auto" w:sz="4" w:space="0"/>
              <w:right w:val="single" w:color="auto" w:sz="4" w:space="0"/>
            </w:tcBorders>
            <w:vAlign w:val="center"/>
          </w:tcPr>
          <w:p w14:paraId="1EC965BD">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根据需求对本项目服务范围进行深度评估和分析，并提出相应解决方案，风险评估需包含网络架构安全评估、主机系统安全评估、数据安全评估、应用安全评估、整体安全策略评估、安全配置及渗透测试等内容。</w:t>
            </w:r>
          </w:p>
        </w:tc>
        <w:tc>
          <w:tcPr>
            <w:tcW w:w="1134" w:type="dxa"/>
            <w:tcBorders>
              <w:top w:val="single" w:color="auto" w:sz="4" w:space="0"/>
              <w:left w:val="single" w:color="auto" w:sz="4" w:space="0"/>
              <w:bottom w:val="single" w:color="auto" w:sz="4" w:space="0"/>
              <w:right w:val="single" w:color="auto" w:sz="4" w:space="0"/>
            </w:tcBorders>
            <w:vAlign w:val="center"/>
          </w:tcPr>
          <w:p w14:paraId="007E6B15">
            <w:pPr>
              <w:snapToGrid w:val="0"/>
              <w:spacing w:line="240" w:lineRule="atLeast"/>
              <w:jc w:val="center"/>
              <w:rPr>
                <w:rFonts w:hint="eastAsia" w:ascii="仿宋" w:hAnsi="仿宋" w:eastAsia="仿宋" w:cs="仿宋"/>
                <w:sz w:val="24"/>
              </w:rPr>
            </w:pPr>
            <w:r>
              <w:rPr>
                <w:rFonts w:hint="eastAsia" w:ascii="仿宋" w:hAnsi="仿宋" w:eastAsia="仿宋" w:cs="仿宋"/>
                <w:sz w:val="24"/>
              </w:rPr>
              <w:t>至少1次/年</w:t>
            </w:r>
          </w:p>
        </w:tc>
        <w:tc>
          <w:tcPr>
            <w:tcW w:w="1417" w:type="dxa"/>
            <w:tcBorders>
              <w:top w:val="single" w:color="auto" w:sz="4" w:space="0"/>
              <w:left w:val="single" w:color="auto" w:sz="4" w:space="0"/>
              <w:bottom w:val="single" w:color="auto" w:sz="4" w:space="0"/>
              <w:right w:val="single" w:color="auto" w:sz="4" w:space="0"/>
            </w:tcBorders>
            <w:vAlign w:val="center"/>
          </w:tcPr>
          <w:p w14:paraId="194E3B14">
            <w:pPr>
              <w:snapToGrid w:val="0"/>
              <w:spacing w:line="240" w:lineRule="atLeast"/>
              <w:jc w:val="center"/>
              <w:rPr>
                <w:rFonts w:hint="eastAsia" w:ascii="仿宋" w:hAnsi="仿宋" w:eastAsia="仿宋" w:cs="仿宋"/>
                <w:sz w:val="24"/>
              </w:rPr>
            </w:pPr>
            <w:r>
              <w:rPr>
                <w:rFonts w:hint="eastAsia" w:ascii="仿宋" w:hAnsi="仿宋" w:eastAsia="仿宋" w:cs="仿宋"/>
                <w:sz w:val="24"/>
              </w:rPr>
              <w:t>《浙江省教育考试院风险评估报告》</w:t>
            </w:r>
          </w:p>
        </w:tc>
      </w:tr>
      <w:tr w14:paraId="6DE9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7E796E58">
            <w:pPr>
              <w:snapToGrid w:val="0"/>
              <w:spacing w:line="240" w:lineRule="atLeast"/>
              <w:jc w:val="center"/>
              <w:rPr>
                <w:rFonts w:hint="eastAsia" w:ascii="仿宋" w:hAnsi="仿宋" w:eastAsia="仿宋" w:cs="仿宋"/>
                <w:sz w:val="24"/>
              </w:rPr>
            </w:pPr>
            <w:r>
              <w:rPr>
                <w:rFonts w:hint="eastAsia" w:ascii="仿宋" w:hAnsi="仿宋" w:eastAsia="仿宋" w:cs="仿宋"/>
                <w:sz w:val="24"/>
              </w:rPr>
              <w:t>7</w:t>
            </w:r>
          </w:p>
        </w:tc>
        <w:tc>
          <w:tcPr>
            <w:tcW w:w="1271" w:type="dxa"/>
            <w:tcBorders>
              <w:top w:val="single" w:color="auto" w:sz="4" w:space="0"/>
              <w:left w:val="single" w:color="auto" w:sz="4" w:space="0"/>
              <w:bottom w:val="single" w:color="auto" w:sz="4" w:space="0"/>
              <w:right w:val="single" w:color="auto" w:sz="4" w:space="0"/>
            </w:tcBorders>
            <w:vAlign w:val="center"/>
          </w:tcPr>
          <w:p w14:paraId="395F61A3">
            <w:pPr>
              <w:snapToGrid w:val="0"/>
              <w:spacing w:line="240" w:lineRule="atLeast"/>
              <w:jc w:val="center"/>
              <w:rPr>
                <w:rFonts w:hint="eastAsia" w:ascii="仿宋" w:hAnsi="仿宋" w:eastAsia="仿宋" w:cs="仿宋"/>
                <w:sz w:val="24"/>
              </w:rPr>
            </w:pPr>
            <w:r>
              <w:rPr>
                <w:rFonts w:hint="eastAsia" w:ascii="仿宋" w:hAnsi="仿宋" w:eastAsia="仿宋" w:cs="仿宋"/>
                <w:sz w:val="24"/>
              </w:rPr>
              <w:t>重要时期值守保障服务</w:t>
            </w:r>
          </w:p>
        </w:tc>
        <w:tc>
          <w:tcPr>
            <w:tcW w:w="5245" w:type="dxa"/>
            <w:tcBorders>
              <w:top w:val="single" w:color="auto" w:sz="4" w:space="0"/>
              <w:left w:val="single" w:color="auto" w:sz="4" w:space="0"/>
              <w:bottom w:val="single" w:color="auto" w:sz="4" w:space="0"/>
              <w:right w:val="single" w:color="auto" w:sz="4" w:space="0"/>
            </w:tcBorders>
            <w:vAlign w:val="center"/>
          </w:tcPr>
          <w:p w14:paraId="2EFEAEEC">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 xml:space="preserve">重要时期安全保障服务是在重要考试期间、攻防演练、重要会议活动或临时突发事件期间提供重保组织架构设计、安全检查、积极防御、实时检测、响应处置、攻击预测等安全服务，发现重要保障时期信息系统可能存在的安全风险，安全防御体系可能存在的薄弱环节，指导修复，提升安全防御能力，保障信息系统和数据资产安全，确保考试招生评估业务平稳正常。 </w:t>
            </w:r>
          </w:p>
          <w:p w14:paraId="05EA7E5D">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重要时期安全保障服务内容包括：网络安全的监测、应急值守、应急处突、攻防演习等。现场服务时间依据重保要求制定。</w:t>
            </w:r>
          </w:p>
        </w:tc>
        <w:tc>
          <w:tcPr>
            <w:tcW w:w="1134" w:type="dxa"/>
            <w:tcBorders>
              <w:top w:val="single" w:color="auto" w:sz="4" w:space="0"/>
              <w:left w:val="single" w:color="auto" w:sz="4" w:space="0"/>
              <w:bottom w:val="single" w:color="auto" w:sz="4" w:space="0"/>
              <w:right w:val="single" w:color="auto" w:sz="4" w:space="0"/>
            </w:tcBorders>
            <w:vAlign w:val="center"/>
          </w:tcPr>
          <w:p w14:paraId="5E24C092">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按需提供人员的现场服务，重要时期期限全年不少于80天</w:t>
            </w:r>
          </w:p>
        </w:tc>
        <w:tc>
          <w:tcPr>
            <w:tcW w:w="1417" w:type="dxa"/>
            <w:tcBorders>
              <w:top w:val="single" w:color="auto" w:sz="4" w:space="0"/>
              <w:left w:val="single" w:color="auto" w:sz="4" w:space="0"/>
              <w:bottom w:val="single" w:color="auto" w:sz="4" w:space="0"/>
              <w:right w:val="single" w:color="auto" w:sz="4" w:space="0"/>
            </w:tcBorders>
            <w:vAlign w:val="center"/>
          </w:tcPr>
          <w:p w14:paraId="54CE8DA1">
            <w:pPr>
              <w:snapToGrid w:val="0"/>
              <w:spacing w:line="240" w:lineRule="atLeast"/>
              <w:jc w:val="center"/>
              <w:rPr>
                <w:rFonts w:hint="eastAsia" w:ascii="仿宋" w:hAnsi="仿宋" w:eastAsia="仿宋" w:cs="仿宋"/>
                <w:sz w:val="24"/>
              </w:rPr>
            </w:pPr>
            <w:r>
              <w:rPr>
                <w:rFonts w:hint="eastAsia" w:ascii="仿宋" w:hAnsi="仿宋" w:eastAsia="仿宋" w:cs="仿宋"/>
                <w:sz w:val="24"/>
              </w:rPr>
              <w:t>《浙江省考试院年度重保方案》、《重保值守总结报告》</w:t>
            </w:r>
          </w:p>
        </w:tc>
      </w:tr>
      <w:tr w14:paraId="501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4CD5B660">
            <w:pPr>
              <w:snapToGrid w:val="0"/>
              <w:spacing w:line="240" w:lineRule="atLeast"/>
              <w:jc w:val="center"/>
              <w:rPr>
                <w:rFonts w:hint="eastAsia" w:ascii="仿宋" w:hAnsi="仿宋" w:eastAsia="仿宋" w:cs="仿宋"/>
                <w:sz w:val="24"/>
              </w:rPr>
            </w:pPr>
            <w:r>
              <w:rPr>
                <w:rFonts w:hint="eastAsia" w:ascii="仿宋" w:hAnsi="仿宋" w:eastAsia="仿宋" w:cs="仿宋"/>
                <w:sz w:val="24"/>
              </w:rPr>
              <w:t>8</w:t>
            </w:r>
          </w:p>
        </w:tc>
        <w:tc>
          <w:tcPr>
            <w:tcW w:w="1271" w:type="dxa"/>
            <w:tcBorders>
              <w:top w:val="single" w:color="auto" w:sz="4" w:space="0"/>
              <w:left w:val="single" w:color="auto" w:sz="4" w:space="0"/>
              <w:bottom w:val="single" w:color="auto" w:sz="4" w:space="0"/>
              <w:right w:val="single" w:color="auto" w:sz="4" w:space="0"/>
            </w:tcBorders>
            <w:vAlign w:val="center"/>
          </w:tcPr>
          <w:p w14:paraId="67343175">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安全加固</w:t>
            </w:r>
          </w:p>
        </w:tc>
        <w:tc>
          <w:tcPr>
            <w:tcW w:w="5245" w:type="dxa"/>
            <w:tcBorders>
              <w:top w:val="single" w:color="auto" w:sz="4" w:space="0"/>
              <w:left w:val="single" w:color="auto" w:sz="4" w:space="0"/>
              <w:bottom w:val="single" w:color="auto" w:sz="4" w:space="0"/>
              <w:right w:val="single" w:color="auto" w:sz="4" w:space="0"/>
            </w:tcBorders>
            <w:vAlign w:val="center"/>
          </w:tcPr>
          <w:p w14:paraId="21963BB1">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根据风险评估和渗透测试结果，对涉及的信息资产（含信息系统、网络设备、网络安全设备、数据库、操作系统、中间件等）提出安全加固并实施安全加固，并在加固过程中对网络安全整改方案进行指导与评估。</w:t>
            </w:r>
          </w:p>
        </w:tc>
        <w:tc>
          <w:tcPr>
            <w:tcW w:w="1134" w:type="dxa"/>
            <w:tcBorders>
              <w:top w:val="single" w:color="auto" w:sz="4" w:space="0"/>
              <w:left w:val="single" w:color="auto" w:sz="4" w:space="0"/>
              <w:bottom w:val="single" w:color="auto" w:sz="4" w:space="0"/>
              <w:right w:val="single" w:color="auto" w:sz="4" w:space="0"/>
            </w:tcBorders>
            <w:vAlign w:val="center"/>
          </w:tcPr>
          <w:p w14:paraId="47009967">
            <w:pPr>
              <w:snapToGrid w:val="0"/>
              <w:spacing w:line="240" w:lineRule="atLeast"/>
              <w:jc w:val="center"/>
              <w:rPr>
                <w:rFonts w:hint="eastAsia" w:ascii="仿宋" w:hAnsi="仿宋" w:eastAsia="仿宋" w:cs="仿宋"/>
                <w:sz w:val="24"/>
              </w:rPr>
            </w:pPr>
            <w:r>
              <w:rPr>
                <w:rFonts w:hint="eastAsia" w:ascii="仿宋" w:hAnsi="仿宋" w:eastAsia="仿宋" w:cs="仿宋"/>
                <w:sz w:val="24"/>
              </w:rPr>
              <w:t>根据系统变化及漏洞情况按需/年</w:t>
            </w:r>
          </w:p>
        </w:tc>
        <w:tc>
          <w:tcPr>
            <w:tcW w:w="1417" w:type="dxa"/>
            <w:tcBorders>
              <w:top w:val="single" w:color="auto" w:sz="4" w:space="0"/>
              <w:left w:val="single" w:color="auto" w:sz="4" w:space="0"/>
              <w:bottom w:val="single" w:color="auto" w:sz="4" w:space="0"/>
              <w:right w:val="single" w:color="auto" w:sz="4" w:space="0"/>
            </w:tcBorders>
            <w:vAlign w:val="center"/>
          </w:tcPr>
          <w:p w14:paraId="09C65D03">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《安全加固报告》</w:t>
            </w:r>
          </w:p>
        </w:tc>
      </w:tr>
      <w:tr w14:paraId="3A14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01AC168A">
            <w:pPr>
              <w:snapToGrid w:val="0"/>
              <w:spacing w:line="240" w:lineRule="atLeast"/>
              <w:jc w:val="center"/>
              <w:rPr>
                <w:rFonts w:hint="eastAsia" w:ascii="仿宋" w:hAnsi="仿宋" w:eastAsia="仿宋" w:cs="仿宋"/>
                <w:sz w:val="24"/>
              </w:rPr>
            </w:pPr>
            <w:r>
              <w:rPr>
                <w:rFonts w:hint="eastAsia" w:ascii="仿宋" w:hAnsi="仿宋" w:eastAsia="仿宋" w:cs="仿宋"/>
                <w:sz w:val="24"/>
              </w:rPr>
              <w:t>9</w:t>
            </w:r>
          </w:p>
        </w:tc>
        <w:tc>
          <w:tcPr>
            <w:tcW w:w="1271" w:type="dxa"/>
            <w:tcBorders>
              <w:top w:val="single" w:color="auto" w:sz="4" w:space="0"/>
              <w:left w:val="single" w:color="auto" w:sz="4" w:space="0"/>
              <w:bottom w:val="single" w:color="auto" w:sz="4" w:space="0"/>
              <w:right w:val="single" w:color="auto" w:sz="4" w:space="0"/>
            </w:tcBorders>
            <w:vAlign w:val="center"/>
          </w:tcPr>
          <w:p w14:paraId="00C7DE63">
            <w:pPr>
              <w:snapToGrid w:val="0"/>
              <w:spacing w:line="240" w:lineRule="atLeast"/>
              <w:jc w:val="center"/>
              <w:rPr>
                <w:rFonts w:hint="eastAsia" w:ascii="仿宋" w:hAnsi="仿宋" w:eastAsia="仿宋" w:cs="仿宋"/>
                <w:sz w:val="24"/>
              </w:rPr>
            </w:pPr>
            <w:r>
              <w:rPr>
                <w:rFonts w:hint="eastAsia" w:ascii="仿宋" w:hAnsi="仿宋" w:eastAsia="仿宋" w:cs="仿宋"/>
                <w:sz w:val="24"/>
              </w:rPr>
              <w:t>应用上线安全检查</w:t>
            </w:r>
          </w:p>
        </w:tc>
        <w:tc>
          <w:tcPr>
            <w:tcW w:w="5245" w:type="dxa"/>
            <w:tcBorders>
              <w:top w:val="single" w:color="auto" w:sz="4" w:space="0"/>
              <w:left w:val="single" w:color="auto" w:sz="4" w:space="0"/>
              <w:bottom w:val="single" w:color="auto" w:sz="4" w:space="0"/>
              <w:right w:val="single" w:color="auto" w:sz="4" w:space="0"/>
            </w:tcBorders>
            <w:vAlign w:val="center"/>
          </w:tcPr>
          <w:p w14:paraId="1ECB7E76">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完成新应用（包含系统新模块）上线前的安全检查工作，排查安全漏洞及潜在的隐患风险。</w:t>
            </w:r>
          </w:p>
        </w:tc>
        <w:tc>
          <w:tcPr>
            <w:tcW w:w="1134" w:type="dxa"/>
            <w:tcBorders>
              <w:top w:val="single" w:color="auto" w:sz="4" w:space="0"/>
              <w:left w:val="single" w:color="auto" w:sz="4" w:space="0"/>
              <w:bottom w:val="single" w:color="auto" w:sz="4" w:space="0"/>
              <w:right w:val="single" w:color="auto" w:sz="4" w:space="0"/>
            </w:tcBorders>
            <w:vAlign w:val="center"/>
          </w:tcPr>
          <w:p w14:paraId="7072EA0C">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1386C498">
            <w:pPr>
              <w:snapToGrid w:val="0"/>
              <w:spacing w:line="240" w:lineRule="atLeast"/>
              <w:jc w:val="center"/>
              <w:rPr>
                <w:rFonts w:hint="eastAsia" w:ascii="仿宋" w:hAnsi="仿宋" w:eastAsia="仿宋" w:cs="仿宋"/>
                <w:sz w:val="24"/>
              </w:rPr>
            </w:pPr>
            <w:r>
              <w:rPr>
                <w:rFonts w:hint="eastAsia" w:ascii="仿宋" w:hAnsi="仿宋" w:eastAsia="仿宋" w:cs="仿宋"/>
                <w:sz w:val="24"/>
              </w:rPr>
              <w:t>《xx应用上线安全检查报告》</w:t>
            </w:r>
          </w:p>
        </w:tc>
      </w:tr>
      <w:tr w14:paraId="7D52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3CE9AE64">
            <w:pPr>
              <w:snapToGrid w:val="0"/>
              <w:spacing w:line="240" w:lineRule="atLeast"/>
              <w:jc w:val="center"/>
              <w:rPr>
                <w:rFonts w:hint="eastAsia" w:ascii="仿宋" w:hAnsi="仿宋" w:eastAsia="仿宋" w:cs="仿宋"/>
                <w:sz w:val="24"/>
              </w:rPr>
            </w:pPr>
            <w:r>
              <w:rPr>
                <w:rFonts w:hint="eastAsia" w:ascii="仿宋" w:hAnsi="仿宋" w:eastAsia="仿宋" w:cs="仿宋"/>
                <w:sz w:val="24"/>
              </w:rPr>
              <w:t xml:space="preserve"> 10</w:t>
            </w:r>
          </w:p>
        </w:tc>
        <w:tc>
          <w:tcPr>
            <w:tcW w:w="1271" w:type="dxa"/>
            <w:tcBorders>
              <w:top w:val="single" w:color="auto" w:sz="4" w:space="0"/>
              <w:left w:val="single" w:color="auto" w:sz="4" w:space="0"/>
              <w:bottom w:val="single" w:color="auto" w:sz="4" w:space="0"/>
              <w:right w:val="single" w:color="auto" w:sz="4" w:space="0"/>
            </w:tcBorders>
            <w:vAlign w:val="center"/>
          </w:tcPr>
          <w:p w14:paraId="43721151">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安全配置检查服务</w:t>
            </w:r>
          </w:p>
        </w:tc>
        <w:tc>
          <w:tcPr>
            <w:tcW w:w="5245" w:type="dxa"/>
            <w:tcBorders>
              <w:top w:val="single" w:color="auto" w:sz="4" w:space="0"/>
              <w:left w:val="single" w:color="auto" w:sz="4" w:space="0"/>
              <w:bottom w:val="single" w:color="auto" w:sz="4" w:space="0"/>
              <w:right w:val="single" w:color="auto" w:sz="4" w:space="0"/>
            </w:tcBorders>
            <w:vAlign w:val="center"/>
          </w:tcPr>
          <w:p w14:paraId="2F0D99B9">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完成服务范围内的安全配置检查服务，包括对主机操作系统、数据库、中间件及网络等相关安全配置的检查服务。</w:t>
            </w:r>
          </w:p>
        </w:tc>
        <w:tc>
          <w:tcPr>
            <w:tcW w:w="1134" w:type="dxa"/>
            <w:tcBorders>
              <w:top w:val="single" w:color="auto" w:sz="4" w:space="0"/>
              <w:left w:val="single" w:color="auto" w:sz="4" w:space="0"/>
              <w:bottom w:val="single" w:color="auto" w:sz="4" w:space="0"/>
              <w:right w:val="single" w:color="auto" w:sz="4" w:space="0"/>
            </w:tcBorders>
            <w:vAlign w:val="center"/>
          </w:tcPr>
          <w:p w14:paraId="0BC18AB9">
            <w:pPr>
              <w:snapToGrid w:val="0"/>
              <w:spacing w:line="240" w:lineRule="atLeast"/>
              <w:jc w:val="center"/>
              <w:rPr>
                <w:rFonts w:hint="eastAsia" w:ascii="仿宋" w:hAnsi="仿宋" w:eastAsia="仿宋" w:cs="仿宋"/>
                <w:sz w:val="24"/>
              </w:rPr>
            </w:pPr>
            <w:r>
              <w:rPr>
                <w:rFonts w:hint="eastAsia" w:ascii="仿宋" w:hAnsi="仿宋" w:eastAsia="仿宋" w:cs="仿宋"/>
                <w:sz w:val="24"/>
              </w:rPr>
              <w:t>至少2次/年</w:t>
            </w:r>
          </w:p>
        </w:tc>
        <w:tc>
          <w:tcPr>
            <w:tcW w:w="1417" w:type="dxa"/>
            <w:tcBorders>
              <w:top w:val="single" w:color="auto" w:sz="4" w:space="0"/>
              <w:left w:val="single" w:color="auto" w:sz="4" w:space="0"/>
              <w:bottom w:val="single" w:color="auto" w:sz="4" w:space="0"/>
              <w:right w:val="single" w:color="auto" w:sz="4" w:space="0"/>
            </w:tcBorders>
            <w:vAlign w:val="center"/>
          </w:tcPr>
          <w:p w14:paraId="5574EA97">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《安全基线核查报告》</w:t>
            </w:r>
          </w:p>
        </w:tc>
      </w:tr>
      <w:tr w14:paraId="0ACB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055B2FD8">
            <w:pPr>
              <w:snapToGrid w:val="0"/>
              <w:spacing w:line="240" w:lineRule="atLeast"/>
              <w:jc w:val="center"/>
              <w:rPr>
                <w:rFonts w:hint="eastAsia" w:ascii="仿宋" w:hAnsi="仿宋" w:eastAsia="仿宋" w:cs="仿宋"/>
                <w:sz w:val="24"/>
              </w:rPr>
            </w:pPr>
            <w:r>
              <w:rPr>
                <w:rFonts w:hint="eastAsia" w:ascii="仿宋" w:hAnsi="仿宋" w:eastAsia="仿宋" w:cs="仿宋"/>
                <w:sz w:val="24"/>
              </w:rPr>
              <w:t>11</w:t>
            </w:r>
          </w:p>
        </w:tc>
        <w:tc>
          <w:tcPr>
            <w:tcW w:w="1271" w:type="dxa"/>
            <w:tcBorders>
              <w:top w:val="single" w:color="auto" w:sz="4" w:space="0"/>
              <w:left w:val="single" w:color="auto" w:sz="4" w:space="0"/>
              <w:bottom w:val="single" w:color="auto" w:sz="4" w:space="0"/>
              <w:right w:val="single" w:color="auto" w:sz="4" w:space="0"/>
            </w:tcBorders>
            <w:vAlign w:val="center"/>
          </w:tcPr>
          <w:p w14:paraId="118FAC65">
            <w:pPr>
              <w:snapToGrid w:val="0"/>
              <w:spacing w:line="240" w:lineRule="atLeast"/>
              <w:jc w:val="center"/>
              <w:rPr>
                <w:rFonts w:hint="eastAsia" w:ascii="仿宋" w:hAnsi="仿宋" w:eastAsia="仿宋" w:cs="仿宋"/>
                <w:sz w:val="24"/>
              </w:rPr>
            </w:pPr>
            <w:r>
              <w:rPr>
                <w:rFonts w:hint="eastAsia" w:ascii="仿宋" w:hAnsi="仿宋" w:eastAsia="仿宋" w:cs="仿宋"/>
                <w:sz w:val="24"/>
              </w:rPr>
              <w:t>源代码审计服务</w:t>
            </w:r>
          </w:p>
        </w:tc>
        <w:tc>
          <w:tcPr>
            <w:tcW w:w="5245" w:type="dxa"/>
            <w:tcBorders>
              <w:top w:val="single" w:color="auto" w:sz="4" w:space="0"/>
              <w:left w:val="single" w:color="auto" w:sz="4" w:space="0"/>
              <w:bottom w:val="single" w:color="auto" w:sz="4" w:space="0"/>
              <w:right w:val="single" w:color="auto" w:sz="4" w:space="0"/>
            </w:tcBorders>
            <w:vAlign w:val="center"/>
          </w:tcPr>
          <w:p w14:paraId="65B1FF97">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从安全的角度对代码进行安全测试和评估，检测源代码中存在的安全漏洞和缺陷隐患，降低业务系统代码的安全风险。</w:t>
            </w:r>
          </w:p>
        </w:tc>
        <w:tc>
          <w:tcPr>
            <w:tcW w:w="1134" w:type="dxa"/>
            <w:tcBorders>
              <w:top w:val="single" w:color="auto" w:sz="4" w:space="0"/>
              <w:left w:val="single" w:color="auto" w:sz="4" w:space="0"/>
              <w:bottom w:val="single" w:color="auto" w:sz="4" w:space="0"/>
              <w:right w:val="single" w:color="auto" w:sz="4" w:space="0"/>
            </w:tcBorders>
            <w:vAlign w:val="center"/>
          </w:tcPr>
          <w:p w14:paraId="01307F6B">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3B84CD85">
            <w:pPr>
              <w:snapToGrid w:val="0"/>
              <w:spacing w:line="240" w:lineRule="atLeast"/>
              <w:jc w:val="center"/>
              <w:rPr>
                <w:rFonts w:hint="eastAsia" w:ascii="仿宋" w:hAnsi="仿宋" w:eastAsia="仿宋" w:cs="仿宋"/>
                <w:sz w:val="24"/>
              </w:rPr>
            </w:pPr>
            <w:r>
              <w:rPr>
                <w:rFonts w:hint="eastAsia" w:ascii="仿宋" w:hAnsi="仿宋" w:eastAsia="仿宋" w:cs="仿宋"/>
                <w:sz w:val="24"/>
              </w:rPr>
              <w:t>《xx系统代码安全检测报告》</w:t>
            </w:r>
          </w:p>
        </w:tc>
      </w:tr>
      <w:tr w14:paraId="7410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063698D8">
            <w:pPr>
              <w:snapToGrid w:val="0"/>
              <w:spacing w:line="240" w:lineRule="atLeast"/>
              <w:jc w:val="center"/>
              <w:rPr>
                <w:rFonts w:hint="eastAsia" w:ascii="仿宋" w:hAnsi="仿宋" w:eastAsia="仿宋" w:cs="仿宋"/>
                <w:sz w:val="24"/>
              </w:rPr>
            </w:pPr>
            <w:r>
              <w:rPr>
                <w:rFonts w:hint="eastAsia" w:ascii="仿宋" w:hAnsi="仿宋" w:eastAsia="仿宋" w:cs="仿宋"/>
                <w:sz w:val="24"/>
              </w:rPr>
              <w:t>12</w:t>
            </w:r>
          </w:p>
        </w:tc>
        <w:tc>
          <w:tcPr>
            <w:tcW w:w="1271" w:type="dxa"/>
            <w:tcBorders>
              <w:top w:val="single" w:color="auto" w:sz="4" w:space="0"/>
              <w:left w:val="single" w:color="auto" w:sz="4" w:space="0"/>
              <w:bottom w:val="single" w:color="auto" w:sz="4" w:space="0"/>
              <w:right w:val="single" w:color="auto" w:sz="4" w:space="0"/>
            </w:tcBorders>
            <w:vAlign w:val="center"/>
          </w:tcPr>
          <w:p w14:paraId="27C775DA">
            <w:pPr>
              <w:snapToGrid w:val="0"/>
              <w:spacing w:line="240" w:lineRule="atLeast"/>
              <w:jc w:val="center"/>
              <w:rPr>
                <w:rFonts w:hint="eastAsia" w:ascii="仿宋" w:hAnsi="仿宋" w:eastAsia="仿宋" w:cs="仿宋"/>
                <w:sz w:val="24"/>
              </w:rPr>
            </w:pPr>
            <w:r>
              <w:rPr>
                <w:rFonts w:hint="eastAsia" w:ascii="仿宋" w:hAnsi="仿宋" w:eastAsia="仿宋" w:cs="仿宋"/>
                <w:sz w:val="24"/>
              </w:rPr>
              <w:t>设备巡检服务</w:t>
            </w:r>
          </w:p>
        </w:tc>
        <w:tc>
          <w:tcPr>
            <w:tcW w:w="5245" w:type="dxa"/>
            <w:tcBorders>
              <w:top w:val="single" w:color="auto" w:sz="4" w:space="0"/>
              <w:left w:val="single" w:color="auto" w:sz="4" w:space="0"/>
              <w:bottom w:val="single" w:color="auto" w:sz="4" w:space="0"/>
              <w:right w:val="single" w:color="auto" w:sz="4" w:space="0"/>
            </w:tcBorders>
            <w:vAlign w:val="center"/>
          </w:tcPr>
          <w:p w14:paraId="018E4CBF">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对服务范围内所有安全设备、网络设备及主机设备进行巡检，并对设备日志进行分析，并形成分析报告</w:t>
            </w:r>
          </w:p>
        </w:tc>
        <w:tc>
          <w:tcPr>
            <w:tcW w:w="1134" w:type="dxa"/>
            <w:tcBorders>
              <w:top w:val="single" w:color="auto" w:sz="4" w:space="0"/>
              <w:left w:val="single" w:color="auto" w:sz="4" w:space="0"/>
              <w:bottom w:val="single" w:color="auto" w:sz="4" w:space="0"/>
              <w:right w:val="single" w:color="auto" w:sz="4" w:space="0"/>
            </w:tcBorders>
            <w:vAlign w:val="center"/>
          </w:tcPr>
          <w:p w14:paraId="4D414EB2">
            <w:pPr>
              <w:snapToGrid w:val="0"/>
              <w:spacing w:line="240" w:lineRule="atLeast"/>
              <w:jc w:val="center"/>
              <w:rPr>
                <w:rFonts w:hint="eastAsia" w:ascii="仿宋" w:hAnsi="仿宋" w:eastAsia="仿宋" w:cs="仿宋"/>
                <w:sz w:val="24"/>
              </w:rPr>
            </w:pPr>
            <w:r>
              <w:rPr>
                <w:rFonts w:hint="eastAsia" w:ascii="仿宋" w:hAnsi="仿宋" w:eastAsia="仿宋" w:cs="仿宋"/>
                <w:sz w:val="24"/>
              </w:rPr>
              <w:t>一次/每周</w:t>
            </w:r>
          </w:p>
        </w:tc>
        <w:tc>
          <w:tcPr>
            <w:tcW w:w="1417" w:type="dxa"/>
            <w:tcBorders>
              <w:top w:val="single" w:color="auto" w:sz="4" w:space="0"/>
              <w:left w:val="single" w:color="auto" w:sz="4" w:space="0"/>
              <w:bottom w:val="single" w:color="auto" w:sz="4" w:space="0"/>
              <w:right w:val="single" w:color="auto" w:sz="4" w:space="0"/>
            </w:tcBorders>
            <w:vAlign w:val="center"/>
          </w:tcPr>
          <w:p w14:paraId="4161DC20">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《安全巡检报告》、《安全设备日志分析报告》</w:t>
            </w:r>
          </w:p>
        </w:tc>
      </w:tr>
      <w:tr w14:paraId="658A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45E5CEC1">
            <w:pPr>
              <w:snapToGrid w:val="0"/>
              <w:spacing w:line="240" w:lineRule="atLeast"/>
              <w:jc w:val="center"/>
              <w:rPr>
                <w:rFonts w:hint="eastAsia" w:ascii="仿宋" w:hAnsi="仿宋" w:eastAsia="仿宋" w:cs="仿宋"/>
                <w:sz w:val="24"/>
              </w:rPr>
            </w:pPr>
            <w:r>
              <w:rPr>
                <w:rFonts w:hint="eastAsia" w:ascii="仿宋" w:hAnsi="仿宋" w:eastAsia="仿宋" w:cs="仿宋"/>
                <w:sz w:val="24"/>
              </w:rPr>
              <w:t>13</w:t>
            </w:r>
          </w:p>
        </w:tc>
        <w:tc>
          <w:tcPr>
            <w:tcW w:w="1271" w:type="dxa"/>
            <w:tcBorders>
              <w:top w:val="single" w:color="auto" w:sz="4" w:space="0"/>
              <w:left w:val="single" w:color="auto" w:sz="4" w:space="0"/>
              <w:bottom w:val="single" w:color="auto" w:sz="4" w:space="0"/>
              <w:right w:val="single" w:color="auto" w:sz="4" w:space="0"/>
            </w:tcBorders>
            <w:vAlign w:val="center"/>
          </w:tcPr>
          <w:p w14:paraId="23D1CB45">
            <w:pPr>
              <w:snapToGrid w:val="0"/>
              <w:spacing w:line="240" w:lineRule="atLeast"/>
              <w:jc w:val="center"/>
              <w:rPr>
                <w:rFonts w:hint="eastAsia" w:ascii="仿宋" w:hAnsi="仿宋" w:eastAsia="仿宋" w:cs="仿宋"/>
                <w:sz w:val="24"/>
              </w:rPr>
            </w:pPr>
            <w:r>
              <w:rPr>
                <w:rFonts w:hint="eastAsia" w:ascii="仿宋" w:hAnsi="仿宋" w:eastAsia="仿宋" w:cs="仿宋"/>
                <w:sz w:val="24"/>
              </w:rPr>
              <w:t>合规性咨询及检查服务</w:t>
            </w:r>
          </w:p>
        </w:tc>
        <w:tc>
          <w:tcPr>
            <w:tcW w:w="5245" w:type="dxa"/>
            <w:tcBorders>
              <w:top w:val="single" w:color="auto" w:sz="4" w:space="0"/>
              <w:left w:val="single" w:color="auto" w:sz="4" w:space="0"/>
              <w:bottom w:val="single" w:color="auto" w:sz="4" w:space="0"/>
              <w:right w:val="single" w:color="auto" w:sz="4" w:space="0"/>
            </w:tcBorders>
            <w:vAlign w:val="center"/>
          </w:tcPr>
          <w:p w14:paraId="13D0284A">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提供等级保护、商用密码安全评估咨询服务以及密码改造合规性咨询服务等安全相关咨询服务，每年按照等级保护测评标准和商用密码应用安全性评估规范标准按各项要求进行检查，并形成检查报告，同时配合考试院完成等保测评和商用密码应用安全性评估。</w:t>
            </w:r>
          </w:p>
        </w:tc>
        <w:tc>
          <w:tcPr>
            <w:tcW w:w="1134" w:type="dxa"/>
            <w:tcBorders>
              <w:top w:val="single" w:color="auto" w:sz="4" w:space="0"/>
              <w:left w:val="single" w:color="auto" w:sz="4" w:space="0"/>
              <w:bottom w:val="single" w:color="auto" w:sz="4" w:space="0"/>
              <w:right w:val="single" w:color="auto" w:sz="4" w:space="0"/>
            </w:tcBorders>
            <w:vAlign w:val="center"/>
          </w:tcPr>
          <w:p w14:paraId="2BD5ADE4">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0BEE91E2">
            <w:pPr>
              <w:snapToGrid w:val="0"/>
              <w:spacing w:line="240" w:lineRule="atLeast"/>
              <w:jc w:val="center"/>
              <w:rPr>
                <w:rFonts w:hint="eastAsia" w:ascii="仿宋" w:hAnsi="仿宋" w:eastAsia="仿宋" w:cs="仿宋"/>
                <w:sz w:val="24"/>
              </w:rPr>
            </w:pPr>
            <w:r>
              <w:rPr>
                <w:rFonts w:hint="eastAsia" w:ascii="仿宋" w:hAnsi="仿宋" w:eastAsia="仿宋" w:cs="仿宋"/>
                <w:sz w:val="24"/>
              </w:rPr>
              <w:t>《合规性检查报告》</w:t>
            </w:r>
          </w:p>
        </w:tc>
      </w:tr>
      <w:tr w14:paraId="5A54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6218EE82">
            <w:pPr>
              <w:snapToGrid w:val="0"/>
              <w:spacing w:line="240" w:lineRule="atLeast"/>
              <w:jc w:val="center"/>
              <w:rPr>
                <w:rFonts w:hint="eastAsia" w:ascii="仿宋" w:hAnsi="仿宋" w:eastAsia="仿宋" w:cs="仿宋"/>
                <w:sz w:val="24"/>
              </w:rPr>
            </w:pPr>
            <w:r>
              <w:rPr>
                <w:rFonts w:hint="eastAsia" w:ascii="仿宋" w:hAnsi="仿宋" w:eastAsia="仿宋" w:cs="仿宋"/>
                <w:sz w:val="24"/>
              </w:rPr>
              <w:t>14</w:t>
            </w:r>
          </w:p>
        </w:tc>
        <w:tc>
          <w:tcPr>
            <w:tcW w:w="1271" w:type="dxa"/>
            <w:tcBorders>
              <w:top w:val="single" w:color="auto" w:sz="4" w:space="0"/>
              <w:left w:val="single" w:color="auto" w:sz="4" w:space="0"/>
              <w:bottom w:val="single" w:color="auto" w:sz="4" w:space="0"/>
              <w:right w:val="single" w:color="auto" w:sz="4" w:space="0"/>
            </w:tcBorders>
            <w:vAlign w:val="center"/>
          </w:tcPr>
          <w:p w14:paraId="7976A6A3">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安全产品集成与验证服务</w:t>
            </w:r>
          </w:p>
        </w:tc>
        <w:tc>
          <w:tcPr>
            <w:tcW w:w="5245" w:type="dxa"/>
            <w:tcBorders>
              <w:top w:val="single" w:color="auto" w:sz="4" w:space="0"/>
              <w:left w:val="single" w:color="auto" w:sz="4" w:space="0"/>
              <w:bottom w:val="single" w:color="auto" w:sz="4" w:space="0"/>
              <w:right w:val="single" w:color="auto" w:sz="4" w:space="0"/>
            </w:tcBorders>
            <w:vAlign w:val="center"/>
          </w:tcPr>
          <w:p w14:paraId="4AE68999">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根据安全建设总体方案设计和技术策略设计的结果，对浙江省教育考试院采购的各类安全产品提供集成与验证服务，指导考试院完善信息安全保障体系。</w:t>
            </w:r>
          </w:p>
        </w:tc>
        <w:tc>
          <w:tcPr>
            <w:tcW w:w="1134" w:type="dxa"/>
            <w:tcBorders>
              <w:top w:val="single" w:color="auto" w:sz="4" w:space="0"/>
              <w:left w:val="single" w:color="auto" w:sz="4" w:space="0"/>
              <w:bottom w:val="single" w:color="auto" w:sz="4" w:space="0"/>
              <w:right w:val="single" w:color="auto" w:sz="4" w:space="0"/>
            </w:tcBorders>
            <w:vAlign w:val="center"/>
          </w:tcPr>
          <w:p w14:paraId="1761C29B">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766E3BEB">
            <w:pPr>
              <w:snapToGrid w:val="0"/>
              <w:spacing w:line="240" w:lineRule="atLeast"/>
              <w:jc w:val="center"/>
              <w:rPr>
                <w:rFonts w:hint="eastAsia" w:ascii="仿宋" w:hAnsi="仿宋" w:eastAsia="仿宋" w:cs="仿宋"/>
                <w:sz w:val="24"/>
              </w:rPr>
            </w:pPr>
            <w:r>
              <w:rPr>
                <w:rFonts w:hint="eastAsia" w:ascii="仿宋" w:hAnsi="仿宋" w:eastAsia="仿宋" w:cs="仿宋"/>
                <w:sz w:val="24"/>
              </w:rPr>
              <w:t>《集成实施方案》</w:t>
            </w:r>
          </w:p>
        </w:tc>
      </w:tr>
      <w:tr w14:paraId="003E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3" w:hRule="atLeast"/>
          <w:jc w:val="center"/>
        </w:trPr>
        <w:tc>
          <w:tcPr>
            <w:tcW w:w="709" w:type="dxa"/>
            <w:tcBorders>
              <w:left w:val="single" w:color="auto" w:sz="4" w:space="0"/>
              <w:right w:val="single" w:color="auto" w:sz="4" w:space="0"/>
            </w:tcBorders>
            <w:vAlign w:val="center"/>
          </w:tcPr>
          <w:p w14:paraId="39F97E4C">
            <w:pPr>
              <w:snapToGrid w:val="0"/>
              <w:spacing w:line="240" w:lineRule="atLeast"/>
              <w:jc w:val="center"/>
              <w:rPr>
                <w:rFonts w:hint="eastAsia" w:ascii="仿宋" w:hAnsi="仿宋" w:eastAsia="仿宋" w:cs="仿宋"/>
                <w:sz w:val="24"/>
              </w:rPr>
            </w:pPr>
            <w:r>
              <w:rPr>
                <w:rFonts w:hint="eastAsia" w:ascii="仿宋" w:hAnsi="仿宋" w:eastAsia="仿宋" w:cs="仿宋"/>
                <w:sz w:val="24"/>
              </w:rPr>
              <w:t>15</w:t>
            </w:r>
          </w:p>
        </w:tc>
        <w:tc>
          <w:tcPr>
            <w:tcW w:w="1271" w:type="dxa"/>
            <w:tcBorders>
              <w:top w:val="single" w:color="auto" w:sz="4" w:space="0"/>
              <w:left w:val="single" w:color="auto" w:sz="4" w:space="0"/>
              <w:bottom w:val="single" w:color="auto" w:sz="4" w:space="0"/>
              <w:right w:val="single" w:color="auto" w:sz="4" w:space="0"/>
            </w:tcBorders>
            <w:vAlign w:val="center"/>
          </w:tcPr>
          <w:p w14:paraId="5F1F16CE">
            <w:pPr>
              <w:snapToGrid w:val="0"/>
              <w:spacing w:line="240" w:lineRule="atLeast"/>
              <w:jc w:val="center"/>
              <w:rPr>
                <w:rFonts w:hint="eastAsia" w:ascii="仿宋" w:hAnsi="仿宋" w:eastAsia="仿宋" w:cs="仿宋"/>
                <w:sz w:val="24"/>
              </w:rPr>
            </w:pPr>
            <w:r>
              <w:rPr>
                <w:rFonts w:hint="eastAsia" w:ascii="仿宋" w:hAnsi="仿宋" w:eastAsia="仿宋" w:cs="仿宋"/>
                <w:sz w:val="24"/>
              </w:rPr>
              <w:t>网络信息安全管理制度完善</w:t>
            </w:r>
          </w:p>
        </w:tc>
        <w:tc>
          <w:tcPr>
            <w:tcW w:w="5245" w:type="dxa"/>
            <w:tcBorders>
              <w:top w:val="single" w:color="auto" w:sz="4" w:space="0"/>
              <w:left w:val="single" w:color="auto" w:sz="4" w:space="0"/>
              <w:bottom w:val="single" w:color="auto" w:sz="4" w:space="0"/>
              <w:right w:val="single" w:color="auto" w:sz="4" w:space="0"/>
            </w:tcBorders>
            <w:vAlign w:val="center"/>
          </w:tcPr>
          <w:p w14:paraId="5F74BEF1">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依据《网络安全法》、《中华人民共和国密码法》、《个人信息保护法》、《数据安全法》、《关键信息基础设施保护条例》、《商用密码管理条例》、《国家教育管理信息系统信息安全保障体系建设设指南》及有关标准、规范要求，结合用户单位实际，进一步制订完善《浙江省教育考试院网络信息安全保障体系建设方案》，包含网络安全、数据安全、关键信息基础设施安全以及商用密码安全等。</w:t>
            </w:r>
          </w:p>
        </w:tc>
        <w:tc>
          <w:tcPr>
            <w:tcW w:w="1134" w:type="dxa"/>
            <w:tcBorders>
              <w:top w:val="single" w:color="auto" w:sz="4" w:space="0"/>
              <w:left w:val="single" w:color="auto" w:sz="4" w:space="0"/>
              <w:bottom w:val="single" w:color="auto" w:sz="4" w:space="0"/>
              <w:right w:val="single" w:color="auto" w:sz="4" w:space="0"/>
            </w:tcBorders>
            <w:vAlign w:val="center"/>
          </w:tcPr>
          <w:p w14:paraId="6C82F768">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3A157B86">
            <w:pPr>
              <w:snapToGrid w:val="0"/>
              <w:spacing w:line="240" w:lineRule="atLeast"/>
              <w:jc w:val="center"/>
              <w:rPr>
                <w:rFonts w:hint="eastAsia" w:ascii="仿宋" w:hAnsi="仿宋" w:eastAsia="仿宋" w:cs="仿宋"/>
                <w:sz w:val="24"/>
              </w:rPr>
            </w:pPr>
            <w:r>
              <w:rPr>
                <w:rFonts w:hint="eastAsia" w:ascii="仿宋" w:hAnsi="仿宋" w:eastAsia="仿宋" w:cs="仿宋"/>
                <w:color w:val="000000"/>
                <w:sz w:val="24"/>
              </w:rPr>
              <w:t>《浙江省教育考试院网络信息安全保障体系建设方案》</w:t>
            </w:r>
          </w:p>
        </w:tc>
      </w:tr>
      <w:tr w14:paraId="6B9B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59E4E669">
            <w:pPr>
              <w:snapToGrid w:val="0"/>
              <w:spacing w:line="240" w:lineRule="atLeast"/>
              <w:jc w:val="center"/>
              <w:rPr>
                <w:rFonts w:hint="eastAsia" w:ascii="仿宋" w:hAnsi="仿宋" w:eastAsia="仿宋" w:cs="仿宋"/>
                <w:sz w:val="24"/>
              </w:rPr>
            </w:pPr>
            <w:r>
              <w:rPr>
                <w:rFonts w:hint="eastAsia" w:ascii="仿宋" w:hAnsi="仿宋" w:eastAsia="仿宋" w:cs="仿宋"/>
                <w:sz w:val="24"/>
              </w:rPr>
              <w:t>16</w:t>
            </w:r>
          </w:p>
        </w:tc>
        <w:tc>
          <w:tcPr>
            <w:tcW w:w="1271" w:type="dxa"/>
            <w:tcBorders>
              <w:top w:val="single" w:color="auto" w:sz="4" w:space="0"/>
              <w:left w:val="single" w:color="auto" w:sz="4" w:space="0"/>
              <w:bottom w:val="single" w:color="auto" w:sz="4" w:space="0"/>
              <w:right w:val="single" w:color="auto" w:sz="4" w:space="0"/>
            </w:tcBorders>
            <w:vAlign w:val="center"/>
          </w:tcPr>
          <w:p w14:paraId="77E22131">
            <w:pPr>
              <w:snapToGrid w:val="0"/>
              <w:spacing w:line="240" w:lineRule="atLeast"/>
              <w:jc w:val="center"/>
              <w:rPr>
                <w:rFonts w:hint="eastAsia" w:ascii="仿宋" w:hAnsi="仿宋" w:eastAsia="仿宋" w:cs="仿宋"/>
                <w:sz w:val="24"/>
              </w:rPr>
            </w:pPr>
            <w:r>
              <w:rPr>
                <w:rFonts w:hint="eastAsia" w:ascii="仿宋" w:hAnsi="仿宋" w:eastAsia="仿宋" w:cs="仿宋"/>
                <w:sz w:val="24"/>
              </w:rPr>
              <w:t>数据安全服务</w:t>
            </w:r>
          </w:p>
        </w:tc>
        <w:tc>
          <w:tcPr>
            <w:tcW w:w="5245" w:type="dxa"/>
            <w:tcBorders>
              <w:top w:val="single" w:color="auto" w:sz="4" w:space="0"/>
              <w:left w:val="single" w:color="auto" w:sz="4" w:space="0"/>
              <w:bottom w:val="single" w:color="auto" w:sz="4" w:space="0"/>
              <w:right w:val="single" w:color="auto" w:sz="4" w:space="0"/>
            </w:tcBorders>
            <w:vAlign w:val="center"/>
          </w:tcPr>
          <w:p w14:paraId="21287F59">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数据安全服务包括数据访问行为核查、数据泄露事件溯源等工作。</w:t>
            </w:r>
          </w:p>
        </w:tc>
        <w:tc>
          <w:tcPr>
            <w:tcW w:w="1134" w:type="dxa"/>
            <w:tcBorders>
              <w:top w:val="single" w:color="auto" w:sz="4" w:space="0"/>
              <w:left w:val="single" w:color="auto" w:sz="4" w:space="0"/>
              <w:bottom w:val="single" w:color="auto" w:sz="4" w:space="0"/>
              <w:right w:val="single" w:color="auto" w:sz="4" w:space="0"/>
            </w:tcBorders>
            <w:vAlign w:val="center"/>
          </w:tcPr>
          <w:p w14:paraId="39D999D0">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51175122">
            <w:pPr>
              <w:snapToGrid w:val="0"/>
              <w:spacing w:line="240" w:lineRule="atLeast"/>
              <w:jc w:val="center"/>
              <w:rPr>
                <w:rFonts w:hint="eastAsia" w:ascii="仿宋" w:hAnsi="仿宋" w:eastAsia="仿宋" w:cs="仿宋"/>
                <w:sz w:val="24"/>
              </w:rPr>
            </w:pPr>
            <w:r>
              <w:rPr>
                <w:rFonts w:hint="eastAsia" w:ascii="仿宋" w:hAnsi="仿宋" w:eastAsia="仿宋" w:cs="仿宋"/>
                <w:sz w:val="24"/>
              </w:rPr>
              <w:t>《数据安全服务报告》</w:t>
            </w:r>
          </w:p>
        </w:tc>
      </w:tr>
      <w:tr w14:paraId="329B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0E6903A4">
            <w:pPr>
              <w:snapToGrid w:val="0"/>
              <w:spacing w:line="240" w:lineRule="atLeast"/>
              <w:jc w:val="center"/>
              <w:rPr>
                <w:rFonts w:hint="eastAsia" w:ascii="仿宋" w:hAnsi="仿宋" w:eastAsia="仿宋" w:cs="仿宋"/>
                <w:sz w:val="24"/>
              </w:rPr>
            </w:pPr>
            <w:r>
              <w:rPr>
                <w:rFonts w:hint="eastAsia" w:ascii="仿宋" w:hAnsi="仿宋" w:eastAsia="仿宋" w:cs="仿宋"/>
                <w:sz w:val="24"/>
              </w:rPr>
              <w:t>17</w:t>
            </w:r>
          </w:p>
        </w:tc>
        <w:tc>
          <w:tcPr>
            <w:tcW w:w="1271" w:type="dxa"/>
            <w:tcBorders>
              <w:top w:val="single" w:color="auto" w:sz="4" w:space="0"/>
              <w:left w:val="single" w:color="auto" w:sz="4" w:space="0"/>
              <w:bottom w:val="single" w:color="auto" w:sz="4" w:space="0"/>
              <w:right w:val="single" w:color="auto" w:sz="4" w:space="0"/>
            </w:tcBorders>
            <w:vAlign w:val="center"/>
          </w:tcPr>
          <w:p w14:paraId="7E1A55DF">
            <w:pPr>
              <w:snapToGrid w:val="0"/>
              <w:spacing w:line="240" w:lineRule="atLeast"/>
              <w:jc w:val="center"/>
              <w:rPr>
                <w:rFonts w:hint="eastAsia" w:ascii="仿宋" w:hAnsi="仿宋" w:eastAsia="仿宋" w:cs="仿宋"/>
                <w:sz w:val="24"/>
              </w:rPr>
            </w:pPr>
            <w:r>
              <w:rPr>
                <w:rFonts w:hint="eastAsia" w:ascii="仿宋" w:hAnsi="仿宋" w:eastAsia="仿宋" w:cs="仿宋"/>
                <w:sz w:val="24"/>
              </w:rPr>
              <w:t>网站云安全防护服务</w:t>
            </w:r>
          </w:p>
        </w:tc>
        <w:tc>
          <w:tcPr>
            <w:tcW w:w="5245" w:type="dxa"/>
            <w:tcBorders>
              <w:top w:val="single" w:color="auto" w:sz="4" w:space="0"/>
              <w:left w:val="single" w:color="auto" w:sz="4" w:space="0"/>
              <w:bottom w:val="single" w:color="auto" w:sz="4" w:space="0"/>
              <w:right w:val="single" w:color="auto" w:sz="4" w:space="0"/>
            </w:tcBorders>
            <w:vAlign w:val="center"/>
          </w:tcPr>
          <w:p w14:paraId="04AFDBC5">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提供指定站点的云安全防护服务，具备各类攻击防护功能，能够阻截各种针对Web应用系统的攻击行为，防止黑客进行违规资产扫描，支持对业务配置访问控制策略。</w:t>
            </w:r>
          </w:p>
        </w:tc>
        <w:tc>
          <w:tcPr>
            <w:tcW w:w="1134" w:type="dxa"/>
            <w:tcBorders>
              <w:top w:val="single" w:color="auto" w:sz="4" w:space="0"/>
              <w:left w:val="single" w:color="auto" w:sz="4" w:space="0"/>
              <w:bottom w:val="single" w:color="auto" w:sz="4" w:space="0"/>
              <w:right w:val="single" w:color="auto" w:sz="4" w:space="0"/>
            </w:tcBorders>
            <w:vAlign w:val="center"/>
          </w:tcPr>
          <w:p w14:paraId="0D512C6F">
            <w:pPr>
              <w:snapToGrid w:val="0"/>
              <w:spacing w:line="240" w:lineRule="atLeast"/>
              <w:jc w:val="center"/>
              <w:rPr>
                <w:rFonts w:hint="eastAsia" w:ascii="仿宋" w:hAnsi="仿宋" w:eastAsia="仿宋" w:cs="仿宋"/>
                <w:sz w:val="24"/>
              </w:rPr>
            </w:pPr>
            <w:r>
              <w:rPr>
                <w:rFonts w:hint="eastAsia" w:ascii="仿宋" w:hAnsi="仿宋" w:eastAsia="仿宋" w:cs="仿宋"/>
                <w:sz w:val="24"/>
              </w:rPr>
              <w:t xml:space="preserve">365天*24小时 </w:t>
            </w:r>
          </w:p>
        </w:tc>
        <w:tc>
          <w:tcPr>
            <w:tcW w:w="1417" w:type="dxa"/>
            <w:tcBorders>
              <w:top w:val="single" w:color="auto" w:sz="4" w:space="0"/>
              <w:left w:val="single" w:color="auto" w:sz="4" w:space="0"/>
              <w:bottom w:val="single" w:color="auto" w:sz="4" w:space="0"/>
              <w:right w:val="single" w:color="auto" w:sz="4" w:space="0"/>
            </w:tcBorders>
            <w:vAlign w:val="center"/>
          </w:tcPr>
          <w:p w14:paraId="04495978">
            <w:pPr>
              <w:snapToGrid w:val="0"/>
              <w:spacing w:line="240" w:lineRule="atLeast"/>
              <w:jc w:val="center"/>
              <w:rPr>
                <w:rFonts w:hint="eastAsia" w:ascii="仿宋" w:hAnsi="仿宋" w:eastAsia="仿宋" w:cs="仿宋"/>
                <w:sz w:val="24"/>
              </w:rPr>
            </w:pPr>
            <w:r>
              <w:rPr>
                <w:rFonts w:hint="eastAsia" w:ascii="仿宋" w:hAnsi="仿宋" w:eastAsia="仿宋" w:cs="仿宋"/>
                <w:sz w:val="24"/>
              </w:rPr>
              <w:t>《网站云安全防护报告》</w:t>
            </w:r>
          </w:p>
        </w:tc>
      </w:tr>
      <w:tr w14:paraId="63DD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205EAC40">
            <w:pPr>
              <w:snapToGrid w:val="0"/>
              <w:spacing w:line="240" w:lineRule="atLeast"/>
              <w:jc w:val="center"/>
              <w:rPr>
                <w:rFonts w:hint="eastAsia" w:ascii="仿宋" w:hAnsi="仿宋" w:eastAsia="仿宋" w:cs="仿宋"/>
                <w:sz w:val="24"/>
              </w:rPr>
            </w:pPr>
            <w:r>
              <w:rPr>
                <w:rFonts w:hint="eastAsia" w:ascii="仿宋" w:hAnsi="仿宋" w:eastAsia="仿宋" w:cs="仿宋"/>
                <w:sz w:val="24"/>
              </w:rPr>
              <w:t>18</w:t>
            </w:r>
          </w:p>
        </w:tc>
        <w:tc>
          <w:tcPr>
            <w:tcW w:w="1271" w:type="dxa"/>
            <w:tcBorders>
              <w:top w:val="single" w:color="auto" w:sz="4" w:space="0"/>
              <w:left w:val="single" w:color="auto" w:sz="4" w:space="0"/>
              <w:bottom w:val="single" w:color="auto" w:sz="4" w:space="0"/>
              <w:right w:val="single" w:color="auto" w:sz="4" w:space="0"/>
            </w:tcBorders>
            <w:vAlign w:val="center"/>
          </w:tcPr>
          <w:p w14:paraId="37880C92">
            <w:pPr>
              <w:snapToGrid w:val="0"/>
              <w:spacing w:line="240" w:lineRule="atLeast"/>
              <w:jc w:val="center"/>
              <w:rPr>
                <w:rFonts w:hint="eastAsia" w:ascii="仿宋" w:hAnsi="仿宋" w:eastAsia="仿宋" w:cs="仿宋"/>
                <w:sz w:val="24"/>
              </w:rPr>
            </w:pPr>
            <w:r>
              <w:rPr>
                <w:rFonts w:hint="eastAsia" w:ascii="仿宋" w:hAnsi="仿宋" w:eastAsia="仿宋" w:cs="仿宋"/>
                <w:sz w:val="24"/>
              </w:rPr>
              <w:t>应急响应</w:t>
            </w:r>
          </w:p>
        </w:tc>
        <w:tc>
          <w:tcPr>
            <w:tcW w:w="5245" w:type="dxa"/>
            <w:tcBorders>
              <w:top w:val="single" w:color="auto" w:sz="4" w:space="0"/>
              <w:left w:val="single" w:color="auto" w:sz="4" w:space="0"/>
              <w:bottom w:val="single" w:color="auto" w:sz="4" w:space="0"/>
              <w:right w:val="single" w:color="auto" w:sz="4" w:space="0"/>
            </w:tcBorders>
            <w:vAlign w:val="center"/>
          </w:tcPr>
          <w:p w14:paraId="16AF69C0">
            <w:pPr>
              <w:snapToGrid w:val="0"/>
              <w:spacing w:line="240" w:lineRule="atLeast"/>
              <w:rPr>
                <w:rFonts w:hint="eastAsia" w:ascii="仿宋" w:hAnsi="仿宋" w:eastAsia="仿宋" w:cs="仿宋"/>
                <w:sz w:val="24"/>
              </w:rPr>
            </w:pPr>
            <w:r>
              <w:rPr>
                <w:rFonts w:hint="eastAsia" w:ascii="仿宋" w:hAnsi="仿宋" w:eastAsia="仿宋" w:cs="仿宋"/>
                <w:sz w:val="24"/>
              </w:rPr>
              <w:t>针对考试院发生的安全事件提供7*24小时应急响应服务，包括恢复业务、排查问题以及事件取证等。</w:t>
            </w:r>
          </w:p>
        </w:tc>
        <w:tc>
          <w:tcPr>
            <w:tcW w:w="1134" w:type="dxa"/>
            <w:tcBorders>
              <w:top w:val="single" w:color="auto" w:sz="4" w:space="0"/>
              <w:left w:val="single" w:color="auto" w:sz="4" w:space="0"/>
              <w:bottom w:val="single" w:color="auto" w:sz="4" w:space="0"/>
              <w:right w:val="single" w:color="auto" w:sz="4" w:space="0"/>
            </w:tcBorders>
            <w:vAlign w:val="center"/>
          </w:tcPr>
          <w:p w14:paraId="79F53994">
            <w:pPr>
              <w:snapToGrid w:val="0"/>
              <w:spacing w:line="240" w:lineRule="atLeast"/>
              <w:jc w:val="center"/>
              <w:rPr>
                <w:rFonts w:hint="eastAsia" w:ascii="仿宋" w:hAnsi="仿宋" w:eastAsia="仿宋" w:cs="仿宋"/>
                <w:sz w:val="24"/>
              </w:rPr>
            </w:pPr>
            <w:r>
              <w:rPr>
                <w:rFonts w:hint="eastAsia" w:ascii="仿宋" w:hAnsi="仿宋" w:eastAsia="仿宋" w:cs="仿宋"/>
                <w:sz w:val="24"/>
              </w:rPr>
              <w:t>按需/年</w:t>
            </w:r>
          </w:p>
        </w:tc>
        <w:tc>
          <w:tcPr>
            <w:tcW w:w="1417" w:type="dxa"/>
            <w:tcBorders>
              <w:top w:val="single" w:color="auto" w:sz="4" w:space="0"/>
              <w:left w:val="single" w:color="auto" w:sz="4" w:space="0"/>
              <w:bottom w:val="single" w:color="auto" w:sz="4" w:space="0"/>
              <w:right w:val="single" w:color="auto" w:sz="4" w:space="0"/>
            </w:tcBorders>
            <w:vAlign w:val="center"/>
          </w:tcPr>
          <w:p w14:paraId="4CAF2B23">
            <w:pPr>
              <w:snapToGrid w:val="0"/>
              <w:spacing w:line="240" w:lineRule="atLeast"/>
              <w:jc w:val="center"/>
              <w:rPr>
                <w:rFonts w:hint="eastAsia" w:ascii="仿宋" w:hAnsi="仿宋" w:eastAsia="仿宋" w:cs="仿宋"/>
                <w:sz w:val="24"/>
              </w:rPr>
            </w:pPr>
            <w:r>
              <w:rPr>
                <w:rFonts w:hint="eastAsia" w:ascii="仿宋" w:hAnsi="仿宋" w:eastAsia="仿宋" w:cs="仿宋"/>
                <w:sz w:val="24"/>
              </w:rPr>
              <w:t>《信息安全应急响应预案》、《xx事件应急响应报告》</w:t>
            </w:r>
          </w:p>
        </w:tc>
      </w:tr>
      <w:tr w14:paraId="194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585635A6">
            <w:pPr>
              <w:snapToGrid w:val="0"/>
              <w:spacing w:line="240" w:lineRule="atLeast"/>
              <w:jc w:val="center"/>
              <w:rPr>
                <w:rFonts w:hint="eastAsia" w:ascii="仿宋" w:hAnsi="仿宋" w:eastAsia="仿宋" w:cs="仿宋"/>
                <w:sz w:val="24"/>
              </w:rPr>
            </w:pPr>
            <w:r>
              <w:rPr>
                <w:rFonts w:hint="eastAsia" w:ascii="仿宋" w:hAnsi="仿宋" w:eastAsia="仿宋" w:cs="仿宋"/>
                <w:sz w:val="24"/>
              </w:rPr>
              <w:t xml:space="preserve">19 </w:t>
            </w:r>
          </w:p>
        </w:tc>
        <w:tc>
          <w:tcPr>
            <w:tcW w:w="1271" w:type="dxa"/>
            <w:tcBorders>
              <w:top w:val="single" w:color="auto" w:sz="4" w:space="0"/>
              <w:left w:val="single" w:color="auto" w:sz="4" w:space="0"/>
              <w:bottom w:val="single" w:color="auto" w:sz="4" w:space="0"/>
              <w:right w:val="single" w:color="auto" w:sz="4" w:space="0"/>
            </w:tcBorders>
            <w:vAlign w:val="center"/>
          </w:tcPr>
          <w:p w14:paraId="3EAC5A92">
            <w:pPr>
              <w:snapToGrid w:val="0"/>
              <w:spacing w:line="240" w:lineRule="atLeast"/>
              <w:jc w:val="center"/>
              <w:rPr>
                <w:rFonts w:hint="eastAsia" w:ascii="仿宋" w:hAnsi="仿宋" w:eastAsia="仿宋" w:cs="仿宋"/>
                <w:sz w:val="24"/>
              </w:rPr>
            </w:pPr>
            <w:r>
              <w:rPr>
                <w:rFonts w:hint="eastAsia" w:ascii="仿宋" w:hAnsi="仿宋" w:eastAsia="仿宋" w:cs="仿宋"/>
                <w:sz w:val="24"/>
              </w:rPr>
              <w:t>安全培训</w:t>
            </w:r>
          </w:p>
        </w:tc>
        <w:tc>
          <w:tcPr>
            <w:tcW w:w="5245" w:type="dxa"/>
            <w:tcBorders>
              <w:top w:val="single" w:color="auto" w:sz="4" w:space="0"/>
              <w:left w:val="single" w:color="auto" w:sz="4" w:space="0"/>
              <w:bottom w:val="single" w:color="auto" w:sz="4" w:space="0"/>
              <w:right w:val="single" w:color="auto" w:sz="4" w:space="0"/>
            </w:tcBorders>
            <w:vAlign w:val="center"/>
          </w:tcPr>
          <w:p w14:paraId="30F1BEF2">
            <w:pPr>
              <w:snapToGrid w:val="0"/>
              <w:spacing w:line="240" w:lineRule="atLeast"/>
              <w:rPr>
                <w:rFonts w:hint="eastAsia" w:ascii="仿宋" w:hAnsi="仿宋" w:eastAsia="仿宋" w:cs="仿宋"/>
                <w:sz w:val="24"/>
              </w:rPr>
            </w:pPr>
            <w:r>
              <w:rPr>
                <w:rFonts w:hint="eastAsia" w:ascii="仿宋" w:hAnsi="仿宋" w:eastAsia="仿宋" w:cs="仿宋"/>
                <w:sz w:val="24"/>
              </w:rPr>
              <w:t>安全培训内容包括应用安全认证培训、安全意识培训、攻防技术等技能培训，通过安全培训，能够提升单位人员的安全意识、安全技能等，同时提高系统开发运维的建设水平以及网络运维水平。</w:t>
            </w:r>
          </w:p>
        </w:tc>
        <w:tc>
          <w:tcPr>
            <w:tcW w:w="1134" w:type="dxa"/>
            <w:tcBorders>
              <w:top w:val="single" w:color="auto" w:sz="4" w:space="0"/>
              <w:left w:val="single" w:color="auto" w:sz="4" w:space="0"/>
              <w:bottom w:val="single" w:color="auto" w:sz="4" w:space="0"/>
              <w:right w:val="single" w:color="auto" w:sz="4" w:space="0"/>
            </w:tcBorders>
            <w:vAlign w:val="center"/>
          </w:tcPr>
          <w:p w14:paraId="08208FB2">
            <w:pPr>
              <w:snapToGrid w:val="0"/>
              <w:spacing w:line="240" w:lineRule="atLeast"/>
              <w:jc w:val="center"/>
              <w:rPr>
                <w:rFonts w:hint="eastAsia" w:ascii="仿宋" w:hAnsi="仿宋" w:eastAsia="仿宋" w:cs="仿宋"/>
                <w:sz w:val="24"/>
              </w:rPr>
            </w:pPr>
            <w:r>
              <w:rPr>
                <w:rFonts w:hint="eastAsia" w:ascii="仿宋" w:hAnsi="仿宋" w:eastAsia="仿宋" w:cs="仿宋"/>
                <w:sz w:val="24"/>
              </w:rPr>
              <w:t>至少1次/年</w:t>
            </w:r>
          </w:p>
        </w:tc>
        <w:tc>
          <w:tcPr>
            <w:tcW w:w="1417" w:type="dxa"/>
            <w:tcBorders>
              <w:top w:val="single" w:color="auto" w:sz="4" w:space="0"/>
              <w:left w:val="single" w:color="auto" w:sz="4" w:space="0"/>
              <w:bottom w:val="single" w:color="auto" w:sz="4" w:space="0"/>
              <w:right w:val="single" w:color="auto" w:sz="4" w:space="0"/>
            </w:tcBorders>
            <w:vAlign w:val="center"/>
          </w:tcPr>
          <w:p w14:paraId="7A97E9A7">
            <w:pPr>
              <w:snapToGrid w:val="0"/>
              <w:spacing w:line="240" w:lineRule="atLeast"/>
              <w:jc w:val="center"/>
              <w:rPr>
                <w:rFonts w:hint="eastAsia" w:ascii="仿宋" w:hAnsi="仿宋" w:eastAsia="仿宋" w:cs="仿宋"/>
                <w:sz w:val="24"/>
              </w:rPr>
            </w:pPr>
            <w:r>
              <w:rPr>
                <w:rFonts w:hint="eastAsia" w:ascii="仿宋" w:hAnsi="仿宋" w:eastAsia="仿宋" w:cs="仿宋"/>
                <w:sz w:val="24"/>
              </w:rPr>
              <w:t>《培训方案》、《培训签到表》</w:t>
            </w:r>
          </w:p>
        </w:tc>
      </w:tr>
      <w:tr w14:paraId="3D3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0B85130B">
            <w:pPr>
              <w:snapToGrid w:val="0"/>
              <w:spacing w:line="240" w:lineRule="atLeast"/>
              <w:jc w:val="center"/>
              <w:rPr>
                <w:rFonts w:hint="eastAsia" w:ascii="仿宋" w:hAnsi="仿宋" w:eastAsia="仿宋" w:cs="仿宋"/>
                <w:sz w:val="24"/>
              </w:rPr>
            </w:pPr>
            <w:r>
              <w:rPr>
                <w:rFonts w:hint="eastAsia" w:ascii="仿宋" w:hAnsi="仿宋" w:eastAsia="仿宋" w:cs="仿宋"/>
                <w:sz w:val="24"/>
              </w:rPr>
              <w:t>20</w:t>
            </w:r>
          </w:p>
        </w:tc>
        <w:tc>
          <w:tcPr>
            <w:tcW w:w="1271" w:type="dxa"/>
            <w:tcBorders>
              <w:top w:val="single" w:color="auto" w:sz="4" w:space="0"/>
              <w:left w:val="single" w:color="auto" w:sz="4" w:space="0"/>
              <w:bottom w:val="single" w:color="auto" w:sz="4" w:space="0"/>
              <w:right w:val="single" w:color="auto" w:sz="4" w:space="0"/>
            </w:tcBorders>
            <w:vAlign w:val="center"/>
          </w:tcPr>
          <w:p w14:paraId="4CA634F0">
            <w:pPr>
              <w:snapToGrid w:val="0"/>
              <w:spacing w:line="240" w:lineRule="atLeast"/>
              <w:jc w:val="center"/>
              <w:rPr>
                <w:rFonts w:hint="eastAsia" w:ascii="仿宋" w:hAnsi="仿宋" w:eastAsia="仿宋" w:cs="仿宋"/>
                <w:sz w:val="24"/>
              </w:rPr>
            </w:pPr>
            <w:r>
              <w:rPr>
                <w:rFonts w:hint="eastAsia" w:ascii="仿宋" w:hAnsi="仿宋" w:eastAsia="仿宋" w:cs="仿宋"/>
                <w:sz w:val="24"/>
              </w:rPr>
              <w:t>应急演练</w:t>
            </w:r>
          </w:p>
        </w:tc>
        <w:tc>
          <w:tcPr>
            <w:tcW w:w="5245" w:type="dxa"/>
            <w:tcBorders>
              <w:top w:val="single" w:color="auto" w:sz="4" w:space="0"/>
              <w:left w:val="single" w:color="auto" w:sz="4" w:space="0"/>
              <w:bottom w:val="single" w:color="auto" w:sz="4" w:space="0"/>
              <w:right w:val="single" w:color="auto" w:sz="4" w:space="0"/>
            </w:tcBorders>
            <w:vAlign w:val="center"/>
          </w:tcPr>
          <w:p w14:paraId="66C8CDD1">
            <w:pPr>
              <w:snapToGrid w:val="0"/>
              <w:spacing w:line="240" w:lineRule="atLeast"/>
              <w:rPr>
                <w:rFonts w:hint="eastAsia" w:ascii="仿宋" w:hAnsi="仿宋" w:eastAsia="仿宋" w:cs="仿宋"/>
                <w:sz w:val="24"/>
              </w:rPr>
            </w:pPr>
            <w:r>
              <w:rPr>
                <w:rFonts w:hint="eastAsia" w:ascii="仿宋" w:hAnsi="仿宋" w:eastAsia="仿宋" w:cs="仿宋"/>
                <w:sz w:val="24"/>
              </w:rPr>
              <w:t>针对可能的网络攻击行为，开展针对性的模拟演习活动。</w:t>
            </w:r>
          </w:p>
        </w:tc>
        <w:tc>
          <w:tcPr>
            <w:tcW w:w="1134" w:type="dxa"/>
            <w:tcBorders>
              <w:top w:val="single" w:color="auto" w:sz="4" w:space="0"/>
              <w:left w:val="single" w:color="auto" w:sz="4" w:space="0"/>
              <w:bottom w:val="single" w:color="auto" w:sz="4" w:space="0"/>
              <w:right w:val="single" w:color="auto" w:sz="4" w:space="0"/>
            </w:tcBorders>
            <w:vAlign w:val="center"/>
          </w:tcPr>
          <w:p w14:paraId="60C7D52A">
            <w:pPr>
              <w:snapToGrid w:val="0"/>
              <w:spacing w:line="240" w:lineRule="atLeast"/>
              <w:jc w:val="center"/>
              <w:rPr>
                <w:rFonts w:hint="eastAsia" w:ascii="仿宋" w:hAnsi="仿宋" w:eastAsia="仿宋" w:cs="仿宋"/>
                <w:sz w:val="24"/>
              </w:rPr>
            </w:pPr>
            <w:r>
              <w:rPr>
                <w:rFonts w:hint="eastAsia" w:ascii="仿宋" w:hAnsi="仿宋" w:eastAsia="仿宋" w:cs="仿宋"/>
                <w:sz w:val="24"/>
              </w:rPr>
              <w:t>至少1次/年</w:t>
            </w:r>
          </w:p>
        </w:tc>
        <w:tc>
          <w:tcPr>
            <w:tcW w:w="1417" w:type="dxa"/>
            <w:tcBorders>
              <w:top w:val="single" w:color="auto" w:sz="4" w:space="0"/>
              <w:left w:val="single" w:color="auto" w:sz="4" w:space="0"/>
              <w:bottom w:val="single" w:color="auto" w:sz="4" w:space="0"/>
              <w:right w:val="single" w:color="auto" w:sz="4" w:space="0"/>
            </w:tcBorders>
            <w:vAlign w:val="center"/>
          </w:tcPr>
          <w:p w14:paraId="727FA030">
            <w:pPr>
              <w:snapToGrid w:val="0"/>
              <w:spacing w:line="240" w:lineRule="atLeast"/>
              <w:jc w:val="center"/>
              <w:rPr>
                <w:rFonts w:hint="eastAsia" w:ascii="仿宋" w:hAnsi="仿宋" w:eastAsia="仿宋" w:cs="仿宋"/>
                <w:sz w:val="24"/>
              </w:rPr>
            </w:pPr>
            <w:r>
              <w:rPr>
                <w:rFonts w:hint="eastAsia" w:ascii="仿宋" w:hAnsi="仿宋" w:eastAsia="仿宋" w:cs="仿宋"/>
                <w:sz w:val="24"/>
              </w:rPr>
              <w:t>《应急演练方案》、《应急演练报告》</w:t>
            </w:r>
          </w:p>
        </w:tc>
      </w:tr>
      <w:tr w14:paraId="1035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1AD12C43">
            <w:pPr>
              <w:snapToGrid w:val="0"/>
              <w:spacing w:line="240" w:lineRule="atLeast"/>
              <w:jc w:val="center"/>
              <w:rPr>
                <w:rFonts w:hint="eastAsia" w:ascii="仿宋" w:hAnsi="仿宋" w:eastAsia="仿宋" w:cs="仿宋"/>
                <w:sz w:val="24"/>
              </w:rPr>
            </w:pPr>
            <w:r>
              <w:rPr>
                <w:rFonts w:hint="eastAsia" w:ascii="仿宋" w:hAnsi="仿宋" w:eastAsia="仿宋" w:cs="仿宋"/>
                <w:sz w:val="24"/>
              </w:rPr>
              <w:t>21</w:t>
            </w:r>
          </w:p>
        </w:tc>
        <w:tc>
          <w:tcPr>
            <w:tcW w:w="1271" w:type="dxa"/>
            <w:tcBorders>
              <w:top w:val="single" w:color="auto" w:sz="4" w:space="0"/>
              <w:left w:val="single" w:color="auto" w:sz="4" w:space="0"/>
              <w:bottom w:val="single" w:color="auto" w:sz="4" w:space="0"/>
              <w:right w:val="single" w:color="auto" w:sz="4" w:space="0"/>
            </w:tcBorders>
            <w:vAlign w:val="center"/>
          </w:tcPr>
          <w:p w14:paraId="79496BB9">
            <w:pPr>
              <w:snapToGrid w:val="0"/>
              <w:spacing w:line="240" w:lineRule="atLeast"/>
              <w:jc w:val="center"/>
              <w:rPr>
                <w:rFonts w:hint="eastAsia" w:ascii="仿宋" w:hAnsi="仿宋" w:eastAsia="仿宋" w:cs="仿宋"/>
                <w:sz w:val="24"/>
              </w:rPr>
            </w:pPr>
            <w:r>
              <w:rPr>
                <w:rFonts w:hint="eastAsia" w:ascii="仿宋" w:hAnsi="仿宋" w:eastAsia="仿宋" w:cs="仿宋"/>
                <w:sz w:val="24"/>
              </w:rPr>
              <w:t>违规外联检查服务</w:t>
            </w:r>
          </w:p>
        </w:tc>
        <w:tc>
          <w:tcPr>
            <w:tcW w:w="5245" w:type="dxa"/>
            <w:tcBorders>
              <w:top w:val="single" w:color="auto" w:sz="4" w:space="0"/>
              <w:left w:val="single" w:color="auto" w:sz="4" w:space="0"/>
              <w:bottom w:val="single" w:color="auto" w:sz="4" w:space="0"/>
              <w:right w:val="single" w:color="auto" w:sz="4" w:space="0"/>
            </w:tcBorders>
            <w:vAlign w:val="center"/>
          </w:tcPr>
          <w:p w14:paraId="51C6776E">
            <w:pPr>
              <w:snapToGrid w:val="0"/>
              <w:spacing w:line="240" w:lineRule="atLeast"/>
              <w:rPr>
                <w:rFonts w:hint="eastAsia" w:ascii="仿宋" w:hAnsi="仿宋" w:eastAsia="仿宋" w:cs="仿宋"/>
                <w:sz w:val="24"/>
              </w:rPr>
            </w:pPr>
            <w:r>
              <w:rPr>
                <w:rFonts w:hint="eastAsia" w:ascii="仿宋" w:hAnsi="仿宋" w:eastAsia="仿宋" w:cs="仿宋"/>
                <w:sz w:val="24"/>
              </w:rPr>
              <w:t>对考试院内网开展违规外联检查工作，并完成相应整治。</w:t>
            </w:r>
          </w:p>
        </w:tc>
        <w:tc>
          <w:tcPr>
            <w:tcW w:w="1134" w:type="dxa"/>
            <w:tcBorders>
              <w:top w:val="single" w:color="auto" w:sz="4" w:space="0"/>
              <w:left w:val="single" w:color="auto" w:sz="4" w:space="0"/>
              <w:bottom w:val="single" w:color="auto" w:sz="4" w:space="0"/>
              <w:right w:val="single" w:color="auto" w:sz="4" w:space="0"/>
            </w:tcBorders>
            <w:vAlign w:val="center"/>
          </w:tcPr>
          <w:p w14:paraId="4A69014A">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071AED0E">
            <w:pPr>
              <w:snapToGrid w:val="0"/>
              <w:spacing w:line="240" w:lineRule="atLeast"/>
              <w:jc w:val="center"/>
              <w:rPr>
                <w:rFonts w:hint="eastAsia" w:ascii="仿宋" w:hAnsi="仿宋" w:eastAsia="仿宋" w:cs="仿宋"/>
                <w:sz w:val="24"/>
              </w:rPr>
            </w:pPr>
            <w:r>
              <w:rPr>
                <w:rFonts w:hint="eastAsia" w:ascii="仿宋" w:hAnsi="仿宋" w:eastAsia="仿宋" w:cs="仿宋"/>
                <w:sz w:val="24"/>
              </w:rPr>
              <w:t>《违规外联检查记录》</w:t>
            </w:r>
          </w:p>
        </w:tc>
      </w:tr>
      <w:tr w14:paraId="770F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9" w:type="dxa"/>
            <w:tcBorders>
              <w:left w:val="single" w:color="auto" w:sz="4" w:space="0"/>
              <w:right w:val="single" w:color="auto" w:sz="4" w:space="0"/>
            </w:tcBorders>
            <w:vAlign w:val="center"/>
          </w:tcPr>
          <w:p w14:paraId="70E525EB">
            <w:pPr>
              <w:snapToGrid w:val="0"/>
              <w:spacing w:line="240" w:lineRule="atLeast"/>
              <w:jc w:val="center"/>
              <w:rPr>
                <w:rFonts w:hint="eastAsia" w:ascii="仿宋" w:hAnsi="仿宋" w:eastAsia="仿宋" w:cs="仿宋"/>
                <w:sz w:val="24"/>
              </w:rPr>
            </w:pPr>
            <w:r>
              <w:rPr>
                <w:rFonts w:hint="eastAsia" w:ascii="仿宋" w:hAnsi="仿宋" w:eastAsia="仿宋" w:cs="仿宋"/>
                <w:sz w:val="24"/>
              </w:rPr>
              <w:t>22</w:t>
            </w:r>
          </w:p>
        </w:tc>
        <w:tc>
          <w:tcPr>
            <w:tcW w:w="1271" w:type="dxa"/>
            <w:tcBorders>
              <w:top w:val="single" w:color="auto" w:sz="4" w:space="0"/>
              <w:left w:val="single" w:color="auto" w:sz="4" w:space="0"/>
              <w:bottom w:val="single" w:color="auto" w:sz="4" w:space="0"/>
              <w:right w:val="single" w:color="auto" w:sz="4" w:space="0"/>
            </w:tcBorders>
            <w:vAlign w:val="center"/>
          </w:tcPr>
          <w:p w14:paraId="065DBA1F">
            <w:pPr>
              <w:snapToGrid w:val="0"/>
              <w:spacing w:line="240" w:lineRule="atLeast"/>
              <w:jc w:val="center"/>
              <w:rPr>
                <w:rFonts w:hint="eastAsia" w:ascii="仿宋" w:hAnsi="仿宋" w:eastAsia="仿宋" w:cs="仿宋"/>
                <w:sz w:val="24"/>
              </w:rPr>
            </w:pPr>
            <w:r>
              <w:rPr>
                <w:rFonts w:hint="eastAsia" w:ascii="仿宋" w:hAnsi="仿宋" w:eastAsia="仿宋" w:cs="仿宋"/>
                <w:sz w:val="24"/>
              </w:rPr>
              <w:t>CA数字证书</w:t>
            </w:r>
          </w:p>
        </w:tc>
        <w:tc>
          <w:tcPr>
            <w:tcW w:w="5245" w:type="dxa"/>
            <w:tcBorders>
              <w:top w:val="single" w:color="auto" w:sz="4" w:space="0"/>
              <w:left w:val="single" w:color="auto" w:sz="4" w:space="0"/>
              <w:bottom w:val="single" w:color="auto" w:sz="4" w:space="0"/>
              <w:right w:val="single" w:color="auto" w:sz="4" w:space="0"/>
            </w:tcBorders>
            <w:vAlign w:val="center"/>
          </w:tcPr>
          <w:p w14:paraId="2FA7B57A">
            <w:pPr>
              <w:snapToGrid w:val="0"/>
              <w:spacing w:line="240" w:lineRule="atLeast"/>
              <w:rPr>
                <w:rFonts w:hint="eastAsia" w:ascii="仿宋" w:hAnsi="仿宋" w:eastAsia="仿宋" w:cs="仿宋"/>
                <w:sz w:val="24"/>
              </w:rPr>
            </w:pPr>
            <w:r>
              <w:rPr>
                <w:rFonts w:hint="eastAsia" w:ascii="仿宋" w:hAnsi="仿宋" w:eastAsia="仿宋" w:cs="仿宋"/>
                <w:sz w:val="24"/>
              </w:rPr>
              <w:t>为*.zjzs.net和*.zjks.net以及其他需要使用云防护的特定域名提供数字证书授权服务</w:t>
            </w:r>
          </w:p>
        </w:tc>
        <w:tc>
          <w:tcPr>
            <w:tcW w:w="1134" w:type="dxa"/>
            <w:tcBorders>
              <w:top w:val="single" w:color="auto" w:sz="4" w:space="0"/>
              <w:left w:val="single" w:color="auto" w:sz="4" w:space="0"/>
              <w:bottom w:val="single" w:color="auto" w:sz="4" w:space="0"/>
              <w:right w:val="single" w:color="auto" w:sz="4" w:space="0"/>
            </w:tcBorders>
            <w:vAlign w:val="center"/>
          </w:tcPr>
          <w:p w14:paraId="600EE367">
            <w:pPr>
              <w:snapToGrid w:val="0"/>
              <w:spacing w:line="240" w:lineRule="atLeast"/>
              <w:jc w:val="center"/>
              <w:rPr>
                <w:rFonts w:hint="eastAsia" w:ascii="仿宋" w:hAnsi="仿宋" w:eastAsia="仿宋" w:cs="仿宋"/>
                <w:sz w:val="24"/>
              </w:rPr>
            </w:pPr>
            <w:r>
              <w:rPr>
                <w:rFonts w:hint="eastAsia" w:ascii="仿宋" w:hAnsi="仿宋" w:eastAsia="仿宋" w:cs="仿宋"/>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14:paraId="66251784">
            <w:pPr>
              <w:snapToGrid w:val="0"/>
              <w:spacing w:line="240" w:lineRule="atLeast"/>
              <w:jc w:val="center"/>
              <w:rPr>
                <w:rFonts w:hint="eastAsia" w:ascii="仿宋" w:hAnsi="仿宋" w:eastAsia="仿宋" w:cs="仿宋"/>
                <w:sz w:val="24"/>
              </w:rPr>
            </w:pPr>
            <w:r>
              <w:rPr>
                <w:rFonts w:hint="eastAsia" w:ascii="仿宋" w:hAnsi="仿宋" w:eastAsia="仿宋" w:cs="仿宋"/>
                <w:sz w:val="24"/>
              </w:rPr>
              <w:t>相关申请或授权材料</w:t>
            </w:r>
          </w:p>
        </w:tc>
      </w:tr>
    </w:tbl>
    <w:p w14:paraId="4C7B6092">
      <w:pPr>
        <w:pStyle w:val="631"/>
        <w:rPr>
          <w:rFonts w:hint="eastAsia" w:ascii="仿宋" w:hAnsi="仿宋" w:eastAsia="仿宋" w:cs="仿宋"/>
          <w:sz w:val="24"/>
          <w:szCs w:val="21"/>
        </w:rPr>
      </w:pPr>
      <w:r>
        <w:rPr>
          <w:rFonts w:hint="eastAsia" w:ascii="仿宋" w:hAnsi="仿宋" w:eastAsia="仿宋" w:cs="仿宋"/>
          <w:sz w:val="24"/>
          <w:szCs w:val="21"/>
        </w:rPr>
        <w:t>具体服务标准如下：</w:t>
      </w:r>
    </w:p>
    <w:p w14:paraId="76FF29EF">
      <w:pPr>
        <w:pStyle w:val="631"/>
        <w:rPr>
          <w:rFonts w:hint="eastAsia" w:ascii="仿宋" w:hAnsi="仿宋" w:eastAsia="仿宋" w:cs="仿宋"/>
          <w:sz w:val="24"/>
        </w:rPr>
      </w:pPr>
      <w:r>
        <w:rPr>
          <w:rFonts w:hint="eastAsia" w:ascii="仿宋" w:hAnsi="仿宋" w:eastAsia="仿宋" w:cs="仿宋"/>
          <w:sz w:val="24"/>
        </w:rPr>
        <w:t>（一）态势感知实时防护服务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704A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3E8442A">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10A8897E">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3B923C11">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5997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5403991">
            <w:pPr>
              <w:snapToGrid w:val="0"/>
              <w:spacing w:line="240" w:lineRule="atLeast"/>
              <w:rPr>
                <w:rFonts w:hint="eastAsia" w:ascii="仿宋" w:hAnsi="仿宋" w:eastAsia="仿宋" w:cs="仿宋"/>
                <w:sz w:val="24"/>
              </w:rPr>
            </w:pPr>
            <w:r>
              <w:rPr>
                <w:rFonts w:hint="eastAsia" w:ascii="仿宋" w:hAnsi="仿宋" w:eastAsia="仿宋" w:cs="仿宋"/>
                <w:sz w:val="24"/>
              </w:rPr>
              <w:t>态势感知实时防护服务</w:t>
            </w:r>
          </w:p>
        </w:tc>
        <w:tc>
          <w:tcPr>
            <w:tcW w:w="1418" w:type="dxa"/>
            <w:tcBorders>
              <w:top w:val="single" w:color="auto" w:sz="4" w:space="0"/>
              <w:left w:val="nil"/>
              <w:bottom w:val="single" w:color="auto" w:sz="4" w:space="0"/>
              <w:right w:val="single" w:color="auto" w:sz="4" w:space="0"/>
            </w:tcBorders>
            <w:vAlign w:val="center"/>
          </w:tcPr>
          <w:p w14:paraId="24A5538A">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7CC21AB3">
            <w:pPr>
              <w:widowControl/>
              <w:snapToGrid w:val="0"/>
              <w:spacing w:line="240" w:lineRule="atLeast"/>
              <w:rPr>
                <w:rFonts w:hint="eastAsia" w:ascii="仿宋" w:hAnsi="仿宋" w:eastAsia="仿宋" w:cs="仿宋"/>
                <w:sz w:val="24"/>
              </w:rPr>
            </w:pPr>
            <w:r>
              <w:rPr>
                <w:rFonts w:hint="eastAsia" w:ascii="仿宋" w:hAnsi="仿宋" w:eastAsia="仿宋" w:cs="仿宋"/>
                <w:sz w:val="24"/>
              </w:rPr>
              <w:t>依托态势感知平台、应用防火墙、日志审计、数据库审计以及流量回溯系统等建立7*24小时高级威胁识别能力，进行API恶意调用攻击检测、WEB入侵检测、恶意代码检测、政务外网流量监测、异常流量检测、数据违规操作检测、日志分析以及未知威胁分析、溯源、响应、阻断和恢复等，及时发现问题并提出安全整改建议，对误报漏报问题进行反馈，对整改后的安全问题进行闭环，告警需要在当日内处置完毕，分析处置结果需按天、周、月、年等不同要求给出。</w:t>
            </w:r>
          </w:p>
        </w:tc>
      </w:tr>
      <w:tr w14:paraId="312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DF0FE66">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0BDE39D">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0E788938">
            <w:pPr>
              <w:snapToGrid w:val="0"/>
              <w:spacing w:line="240" w:lineRule="atLeast"/>
              <w:rPr>
                <w:rFonts w:hint="eastAsia" w:ascii="仿宋" w:hAnsi="仿宋" w:eastAsia="仿宋" w:cs="仿宋"/>
                <w:sz w:val="24"/>
              </w:rPr>
            </w:pPr>
            <w:r>
              <w:rPr>
                <w:rFonts w:hint="eastAsia" w:ascii="仿宋" w:hAnsi="仿宋" w:eastAsia="仿宋" w:cs="仿宋"/>
                <w:sz w:val="24"/>
              </w:rPr>
              <w:t>API恶意调用攻击检测分析：针对考试招生评估业务系统和因数据共享需求开放的API接口进行分析梳理，发现调用异常或攻击行为。</w:t>
            </w:r>
          </w:p>
          <w:p w14:paraId="52ECEFF2">
            <w:pPr>
              <w:snapToGrid w:val="0"/>
              <w:spacing w:line="240" w:lineRule="atLeast"/>
              <w:rPr>
                <w:rFonts w:hint="eastAsia" w:ascii="仿宋" w:hAnsi="仿宋" w:eastAsia="仿宋" w:cs="仿宋"/>
                <w:sz w:val="24"/>
              </w:rPr>
            </w:pPr>
            <w:r>
              <w:rPr>
                <w:rFonts w:hint="eastAsia" w:ascii="仿宋" w:hAnsi="仿宋" w:eastAsia="仿宋" w:cs="仿宋"/>
                <w:sz w:val="24"/>
              </w:rPr>
              <w:t>WEB入侵检测分析：针对服务范围内业务系统的攻击进行分析梳理，发现并确认攻击行为并及时阻断。</w:t>
            </w:r>
          </w:p>
          <w:p w14:paraId="70BAAE29">
            <w:pPr>
              <w:snapToGrid w:val="0"/>
              <w:spacing w:line="240" w:lineRule="atLeast"/>
              <w:rPr>
                <w:rFonts w:hint="eastAsia" w:ascii="仿宋" w:hAnsi="仿宋" w:eastAsia="仿宋" w:cs="仿宋"/>
                <w:sz w:val="24"/>
              </w:rPr>
            </w:pPr>
            <w:r>
              <w:rPr>
                <w:rFonts w:hint="eastAsia" w:ascii="仿宋" w:hAnsi="仿宋" w:eastAsia="仿宋" w:cs="仿宋"/>
                <w:sz w:val="24"/>
              </w:rPr>
              <w:t>恶意代码检测分析：对服务器及设备的恶意代码进行分析梳理，发现异常恶意代码并处置。</w:t>
            </w:r>
          </w:p>
          <w:p w14:paraId="391575D1">
            <w:pPr>
              <w:snapToGrid w:val="0"/>
              <w:spacing w:line="240" w:lineRule="atLeast"/>
              <w:rPr>
                <w:rFonts w:hint="eastAsia" w:ascii="仿宋" w:hAnsi="仿宋" w:eastAsia="仿宋" w:cs="仿宋"/>
                <w:sz w:val="24"/>
              </w:rPr>
            </w:pPr>
            <w:r>
              <w:rPr>
                <w:rFonts w:hint="eastAsia" w:ascii="仿宋" w:hAnsi="仿宋" w:eastAsia="仿宋" w:cs="仿宋"/>
                <w:sz w:val="24"/>
              </w:rPr>
              <w:t>政务外网及异常流量监测分析：监测政务外网终端是否存在违规外联情况，同时对超出正常访问频次或非授权访问流量进行阻断并记录。</w:t>
            </w:r>
          </w:p>
          <w:p w14:paraId="46D3B548">
            <w:pPr>
              <w:snapToGrid w:val="0"/>
              <w:spacing w:line="240" w:lineRule="atLeast"/>
              <w:rPr>
                <w:rFonts w:hint="eastAsia" w:ascii="仿宋" w:hAnsi="仿宋" w:eastAsia="仿宋" w:cs="仿宋"/>
                <w:sz w:val="24"/>
              </w:rPr>
            </w:pPr>
            <w:r>
              <w:rPr>
                <w:rFonts w:hint="eastAsia" w:ascii="仿宋" w:hAnsi="仿宋" w:eastAsia="仿宋" w:cs="仿宋"/>
                <w:sz w:val="24"/>
              </w:rPr>
              <w:t>非常规检测分析：对服务范围内终端存在的非常规类代理、非常规服务以及非法外联进行梳理分析，及时阻断异常终端。</w:t>
            </w:r>
          </w:p>
          <w:p w14:paraId="150D2045">
            <w:pPr>
              <w:snapToGrid w:val="0"/>
              <w:spacing w:line="240" w:lineRule="atLeast"/>
              <w:rPr>
                <w:rFonts w:hint="eastAsia" w:ascii="仿宋" w:hAnsi="仿宋" w:eastAsia="仿宋" w:cs="仿宋"/>
                <w:sz w:val="24"/>
              </w:rPr>
            </w:pPr>
            <w:r>
              <w:rPr>
                <w:rFonts w:hint="eastAsia" w:ascii="仿宋" w:hAnsi="仿宋" w:eastAsia="仿宋" w:cs="仿宋"/>
                <w:sz w:val="24"/>
              </w:rPr>
              <w:t>数据违规操作检测分析：对业务系统数据库服务器敏感操作梳理，发现数据库安全风险。</w:t>
            </w:r>
          </w:p>
          <w:p w14:paraId="0326D2D7">
            <w:pPr>
              <w:snapToGrid w:val="0"/>
              <w:spacing w:line="240" w:lineRule="atLeast"/>
              <w:rPr>
                <w:rFonts w:hint="eastAsia" w:ascii="仿宋" w:hAnsi="仿宋" w:eastAsia="仿宋" w:cs="仿宋"/>
                <w:sz w:val="24"/>
              </w:rPr>
            </w:pPr>
            <w:r>
              <w:rPr>
                <w:rFonts w:hint="eastAsia" w:ascii="仿宋" w:hAnsi="仿宋" w:eastAsia="仿宋" w:cs="仿宋"/>
                <w:sz w:val="24"/>
              </w:rPr>
              <w:t>服务器危险行为分析：服务器危险行为分析服务主要针对单位内网服务器存在的高危漏洞服务进行梳理，发现服务器安全风险。</w:t>
            </w:r>
          </w:p>
          <w:p w14:paraId="5F729F8F">
            <w:pPr>
              <w:snapToGrid w:val="0"/>
              <w:spacing w:line="240" w:lineRule="atLeast"/>
              <w:rPr>
                <w:rFonts w:hint="eastAsia" w:ascii="仿宋" w:hAnsi="仿宋" w:eastAsia="仿宋" w:cs="仿宋"/>
                <w:sz w:val="24"/>
              </w:rPr>
            </w:pPr>
            <w:r>
              <w:rPr>
                <w:rFonts w:hint="eastAsia" w:ascii="仿宋" w:hAnsi="仿宋" w:eastAsia="仿宋" w:cs="仿宋"/>
                <w:sz w:val="24"/>
              </w:rPr>
              <w:t>威胁情报：威胁情报可对APT攻击、新型木马、特种免杀木马等进行规则化描述，从多个维度特征还原出攻击者的全貌。</w:t>
            </w:r>
          </w:p>
        </w:tc>
      </w:tr>
      <w:tr w14:paraId="33A8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485D4FD8">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075D3255">
            <w:pPr>
              <w:snapToGrid w:val="0"/>
              <w:spacing w:line="240" w:lineRule="atLeast"/>
              <w:rPr>
                <w:rFonts w:hint="eastAsia" w:ascii="仿宋" w:hAnsi="仿宋" w:eastAsia="仿宋" w:cs="仿宋"/>
                <w:color w:val="000000"/>
                <w:sz w:val="24"/>
              </w:rPr>
            </w:pPr>
            <w:r>
              <w:rPr>
                <w:rFonts w:hint="eastAsia" w:ascii="仿宋" w:hAnsi="仿宋" w:eastAsia="仿宋" w:cs="仿宋"/>
                <w:sz w:val="24"/>
              </w:rPr>
              <w:t>《浙江省教育考试院威胁分析及处置整改报告》</w:t>
            </w:r>
          </w:p>
        </w:tc>
      </w:tr>
    </w:tbl>
    <w:p w14:paraId="1C0609CD">
      <w:pPr>
        <w:pStyle w:val="631"/>
        <w:rPr>
          <w:rFonts w:hint="eastAsia" w:ascii="仿宋" w:hAnsi="仿宋" w:eastAsia="仿宋" w:cs="仿宋"/>
          <w:sz w:val="24"/>
        </w:rPr>
      </w:pPr>
      <w:r>
        <w:rPr>
          <w:rFonts w:hint="eastAsia" w:ascii="仿宋" w:hAnsi="仿宋" w:eastAsia="仿宋" w:cs="仿宋"/>
          <w:sz w:val="24"/>
        </w:rPr>
        <w:t>（二）驻场安全运维服务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13DC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1AFA5D">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5E0C8AFF">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281E7A39">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612F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778A22D">
            <w:pPr>
              <w:snapToGrid w:val="0"/>
              <w:spacing w:line="240" w:lineRule="atLeast"/>
              <w:rPr>
                <w:rFonts w:hint="eastAsia" w:ascii="仿宋" w:hAnsi="仿宋" w:eastAsia="仿宋" w:cs="仿宋"/>
                <w:sz w:val="24"/>
              </w:rPr>
            </w:pPr>
            <w:r>
              <w:rPr>
                <w:rFonts w:hint="eastAsia" w:ascii="仿宋" w:hAnsi="仿宋" w:eastAsia="仿宋" w:cs="仿宋"/>
                <w:sz w:val="24"/>
              </w:rPr>
              <w:t>驻场安全运维服务</w:t>
            </w:r>
          </w:p>
        </w:tc>
        <w:tc>
          <w:tcPr>
            <w:tcW w:w="1418" w:type="dxa"/>
            <w:tcBorders>
              <w:top w:val="single" w:color="auto" w:sz="4" w:space="0"/>
              <w:left w:val="nil"/>
              <w:bottom w:val="single" w:color="auto" w:sz="4" w:space="0"/>
              <w:right w:val="single" w:color="auto" w:sz="4" w:space="0"/>
            </w:tcBorders>
            <w:vAlign w:val="center"/>
          </w:tcPr>
          <w:p w14:paraId="51CC6F5F">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67A854DF">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驻场安全运维服务以威胁发现为基础，以分析验证为核心，以通报处置为关键，以优化策略为抓手，以推动提升为目标。发现考试招生评估相关网络安全事件、威胁来源和组织，全面掌握网络安全情况、威胁情报线索，输出考试院所需的相关数据监测和分析溯源报告，帮助考试院更全面、更准确、更高效地掌握整体系统安全，提供1名驻场人员执行为期一年的驻场服务，常驻考试院承担安全运维日常工作，同时根据用户要做好值班值守工作。</w:t>
            </w:r>
          </w:p>
        </w:tc>
      </w:tr>
      <w:tr w14:paraId="3486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020532F">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057E68F2">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006CC6D1">
            <w:pPr>
              <w:snapToGrid w:val="0"/>
              <w:spacing w:line="240" w:lineRule="atLeast"/>
              <w:rPr>
                <w:rFonts w:hint="eastAsia" w:ascii="仿宋" w:hAnsi="仿宋" w:eastAsia="仿宋" w:cs="仿宋"/>
                <w:sz w:val="24"/>
              </w:rPr>
            </w:pPr>
            <w:r>
              <w:rPr>
                <w:rFonts w:hint="eastAsia" w:ascii="仿宋" w:hAnsi="仿宋" w:eastAsia="仿宋" w:cs="仿宋"/>
                <w:color w:val="000000"/>
                <w:sz w:val="24"/>
              </w:rPr>
              <w:t>驻场安全运维人员须遵守考试院工作管理规定，工作时间同考试院同步，公司可提供远程技术支持，重要业务时期需要临时增加1人辅助进行运维保障工作，拟派驻驻场人员需要经采购人确认，若派驻驻场人员无法按要求完成驻场服务时，采购人可要求进行更换，由于供应商原因确需更换驻场工程师的，替换人员需经采购人同意，并保证至少3周的工作并行交接期，服务期间，供应商需要为驻场人员配置专用工作设备，该设备未经采购人允许不可带出驻场服务区域，设备上涉及项目服务内容未经采购人允许不可外传。驻场服务内容包括：完成资产清单系统搭建和梳理，并在资产信息变更后及时更新、完成安全事件及网络攻击的监测、对网站漏洞进行验证、搭建平台梳理各系统漏洞，实现漏洞全流程管理及对应下发复验、参与事件应急处置、协助应用加固系统、配置设备安全策略、完成应用端口服务开放及互通情况梳理、协同网络运维梳理防火墙安全策略，完成堡垒机访问等安全设备接入审批、参与制定修改安全规范、输出安全标准配置文档或操作手册、整理优化系统安全架构、协助编写密码应用方案、协助处理密评和等保相关工作、配合完成安全检查、督促签订保密协议以及考试院要求的其他安全相关任务等工作。</w:t>
            </w:r>
          </w:p>
        </w:tc>
      </w:tr>
      <w:tr w14:paraId="270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211BBE00">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351F1A77">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《安全运维总结报告》、《日常安全运维日志》、《xx安全配置规范》、《防火墙安全策略》、《xx系统端口矩阵》、《浙江省考试院整体网络安全架构拓扑图》等</w:t>
            </w:r>
          </w:p>
        </w:tc>
      </w:tr>
    </w:tbl>
    <w:p w14:paraId="5EB416D4">
      <w:pPr>
        <w:pStyle w:val="631"/>
        <w:rPr>
          <w:rFonts w:hint="eastAsia" w:ascii="仿宋" w:hAnsi="仿宋" w:eastAsia="仿宋" w:cs="仿宋"/>
          <w:sz w:val="24"/>
        </w:rPr>
      </w:pPr>
      <w:r>
        <w:rPr>
          <w:rFonts w:hint="eastAsia" w:ascii="仿宋" w:hAnsi="仿宋" w:eastAsia="仿宋" w:cs="仿宋"/>
          <w:sz w:val="24"/>
        </w:rPr>
        <w:t>（三）资产发现与管理服务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2867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F3E4845">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50071F88">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196C133F">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5709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1F0B05A4">
            <w:pPr>
              <w:snapToGrid w:val="0"/>
              <w:spacing w:line="240" w:lineRule="atLeast"/>
              <w:rPr>
                <w:rFonts w:hint="eastAsia" w:ascii="仿宋" w:hAnsi="仿宋" w:eastAsia="仿宋" w:cs="仿宋"/>
                <w:sz w:val="24"/>
              </w:rPr>
            </w:pPr>
            <w:r>
              <w:rPr>
                <w:rFonts w:hint="eastAsia" w:ascii="仿宋" w:hAnsi="仿宋" w:eastAsia="仿宋" w:cs="仿宋"/>
                <w:sz w:val="24"/>
              </w:rPr>
              <w:t>资产发现与管理服务</w:t>
            </w:r>
          </w:p>
        </w:tc>
        <w:tc>
          <w:tcPr>
            <w:tcW w:w="1418" w:type="dxa"/>
            <w:tcBorders>
              <w:top w:val="single" w:color="auto" w:sz="4" w:space="0"/>
              <w:left w:val="nil"/>
              <w:bottom w:val="single" w:color="auto" w:sz="4" w:space="0"/>
              <w:right w:val="single" w:color="auto" w:sz="4" w:space="0"/>
            </w:tcBorders>
            <w:vAlign w:val="center"/>
          </w:tcPr>
          <w:p w14:paraId="307A7718">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2D19C28D">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针对考试院院内信息资产和对考试院互联网暴露面资产进行全面的发现和梳理，建立考试院内部信息资产清单及考试院互联网信息资产清单，同时协助考试院建立资产与责任人的对应，为后续的漏洞、事件推送提供数据基础。对于内部信息资产和互联网信息资产进行梳理分析，并通过搭建本地化系统的形式进行储存和更新，支持信息资产的按需导出。</w:t>
            </w:r>
          </w:p>
        </w:tc>
      </w:tr>
      <w:tr w14:paraId="6F2C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66521ACE">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71C11D0F">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1A967C13">
            <w:pPr>
              <w:snapToGrid w:val="0"/>
              <w:spacing w:line="240" w:lineRule="atLeast"/>
              <w:rPr>
                <w:rFonts w:hint="eastAsia" w:ascii="仿宋" w:hAnsi="仿宋" w:eastAsia="仿宋" w:cs="仿宋"/>
                <w:sz w:val="24"/>
              </w:rPr>
            </w:pPr>
            <w:r>
              <w:rPr>
                <w:rFonts w:hint="eastAsia" w:ascii="仿宋" w:hAnsi="仿宋" w:eastAsia="仿宋" w:cs="仿宋"/>
                <w:sz w:val="24"/>
              </w:rPr>
              <w:t>内部信息资产管理：在考试院提供的原有台账基础上，通过多种扫描器进行系统探测，梳理指纹、服务、端口、设备类型、CMS、应用等多种信息，同时添加系统互通情况、等保完成情况、安全漏洞、加固信息、隐患点等多个标识字段，梳理完成后筛选出核心业务资产进行重点保护，对于安</w:t>
            </w:r>
            <w:r>
              <w:rPr>
                <w:rStyle w:val="632"/>
                <w:rFonts w:hint="eastAsia" w:ascii="仿宋" w:hAnsi="仿宋" w:eastAsia="仿宋" w:cs="仿宋"/>
                <w:sz w:val="24"/>
                <w:szCs w:val="24"/>
              </w:rPr>
              <w:t>全性较差资产进行重点加固。协助考试院完成资产管理制度的建设，完成资产的新增、变更、下线等流程化工作，并在此过程中明确资产的主要负责人。定期对资产进行扫描探测，检验是否有遗漏资产情况，对于信息资产的信息变更要及时予以</w:t>
            </w:r>
            <w:r>
              <w:rPr>
                <w:rFonts w:hint="eastAsia" w:ascii="仿宋" w:hAnsi="仿宋" w:eastAsia="仿宋" w:cs="仿宋"/>
                <w:sz w:val="24"/>
              </w:rPr>
              <w:t>更新。</w:t>
            </w:r>
          </w:p>
          <w:p w14:paraId="0F6131F9">
            <w:pPr>
              <w:pStyle w:val="633"/>
              <w:rPr>
                <w:rFonts w:hint="eastAsia" w:ascii="仿宋" w:hAnsi="仿宋" w:eastAsia="仿宋" w:cs="仿宋"/>
                <w:sz w:val="24"/>
                <w:szCs w:val="24"/>
              </w:rPr>
            </w:pPr>
            <w:r>
              <w:rPr>
                <w:rFonts w:hint="eastAsia" w:ascii="仿宋" w:hAnsi="仿宋" w:eastAsia="仿宋" w:cs="仿宋"/>
                <w:sz w:val="24"/>
                <w:szCs w:val="24"/>
              </w:rPr>
              <w:t xml:space="preserve">互联网信息资产管理：从攻击者视角自动周期性监控并对互联网资产暴露面的边界梳理，协助采购人精准管控暴露的盲区资产，通过访问控制、关闭互联网访问、减少高危端口等手段，减少不需要的暴露面减低入侵风险，满足安全需求。互联网信息资产的梳理范围包括但不限于子域名、c 段、服务、邮箱、github 敏感信息、waf指纹、红队高关注的cms指纹、网盘、文档、app 资产、微信公众号等资产等敏感信息的搜集，以发现排查考试院目前在互联网上的资产情况，并完成互联网资产的梳理。 </w:t>
            </w:r>
          </w:p>
        </w:tc>
      </w:tr>
      <w:tr w14:paraId="14D9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54B4B8F6">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6B2C45F8">
            <w:pPr>
              <w:snapToGrid w:val="0"/>
              <w:spacing w:line="240" w:lineRule="atLeast"/>
              <w:rPr>
                <w:rFonts w:hint="eastAsia" w:ascii="仿宋" w:hAnsi="仿宋" w:eastAsia="仿宋" w:cs="仿宋"/>
                <w:color w:val="000000"/>
                <w:sz w:val="24"/>
              </w:rPr>
            </w:pPr>
            <w:r>
              <w:rPr>
                <w:rFonts w:hint="eastAsia" w:ascii="仿宋" w:hAnsi="仿宋" w:eastAsia="仿宋" w:cs="仿宋"/>
                <w:sz w:val="24"/>
              </w:rPr>
              <w:t>《内部信息资产清单》、《互联网信息资产清单》</w:t>
            </w:r>
          </w:p>
        </w:tc>
      </w:tr>
    </w:tbl>
    <w:p w14:paraId="17FB322F">
      <w:pPr>
        <w:pStyle w:val="631"/>
        <w:rPr>
          <w:rFonts w:hint="eastAsia" w:ascii="仿宋" w:hAnsi="仿宋" w:eastAsia="仿宋" w:cs="仿宋"/>
          <w:sz w:val="24"/>
        </w:rPr>
      </w:pPr>
      <w:r>
        <w:rPr>
          <w:rFonts w:hint="eastAsia" w:ascii="仿宋" w:hAnsi="仿宋" w:eastAsia="仿宋" w:cs="仿宋"/>
          <w:sz w:val="24"/>
        </w:rPr>
        <w:t>（四）网站安全监测服务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D0F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5447DC4">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341EBADA">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1196B1E9">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743D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2EF3DF69">
            <w:pPr>
              <w:snapToGrid w:val="0"/>
              <w:spacing w:line="240" w:lineRule="atLeast"/>
              <w:rPr>
                <w:rFonts w:hint="eastAsia" w:ascii="仿宋" w:hAnsi="仿宋" w:eastAsia="仿宋" w:cs="仿宋"/>
                <w:sz w:val="24"/>
              </w:rPr>
            </w:pPr>
            <w:r>
              <w:rPr>
                <w:rFonts w:hint="eastAsia" w:ascii="仿宋" w:hAnsi="仿宋" w:eastAsia="仿宋" w:cs="仿宋"/>
                <w:sz w:val="24"/>
              </w:rPr>
              <w:t>网站安全监测服务</w:t>
            </w:r>
          </w:p>
        </w:tc>
        <w:tc>
          <w:tcPr>
            <w:tcW w:w="1418" w:type="dxa"/>
            <w:tcBorders>
              <w:top w:val="single" w:color="auto" w:sz="4" w:space="0"/>
              <w:left w:val="nil"/>
              <w:bottom w:val="single" w:color="auto" w:sz="4" w:space="0"/>
              <w:right w:val="single" w:color="auto" w:sz="4" w:space="0"/>
            </w:tcBorders>
            <w:vAlign w:val="center"/>
          </w:tcPr>
          <w:p w14:paraId="67D22DC1">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7FBBA6E3">
            <w:pPr>
              <w:pStyle w:val="633"/>
              <w:rPr>
                <w:rFonts w:hint="eastAsia" w:ascii="仿宋" w:hAnsi="仿宋" w:eastAsia="仿宋" w:cs="仿宋"/>
                <w:sz w:val="24"/>
                <w:szCs w:val="24"/>
              </w:rPr>
            </w:pPr>
            <w:r>
              <w:rPr>
                <w:rFonts w:hint="eastAsia" w:ascii="仿宋" w:hAnsi="仿宋" w:eastAsia="仿宋" w:cs="仿宋"/>
                <w:sz w:val="24"/>
                <w:szCs w:val="24"/>
              </w:rPr>
              <w:t>对服务范围内各类网站（系统）进行7*24小时安全监控管理，支持安全漏洞监测、安全威胁预警、安全事件监测、可用性监测、内容篡改监测、专项威胁监测等功能，通过系统、短信、邮箱等方式实时反馈监测数据（经验证后应在24小时内提供系统漏洞检测报告），每周反馈监测周报。在服务期内发现的系统被篡改事件应及时通过系统、电话、短信、邮件等方式进行预警。实时向采购人提供最新网络安全威胁预警信息，同时排查系统是否有相应漏洞，并持续跟踪漏洞修复情况。提供严重漏洞的人工渗透审核与取证服务，确保漏洞误报率为0% 。</w:t>
            </w:r>
          </w:p>
        </w:tc>
      </w:tr>
      <w:tr w14:paraId="78CD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930EDF5">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4C342821">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372B91AA">
            <w:pPr>
              <w:snapToGrid w:val="0"/>
              <w:spacing w:line="240" w:lineRule="atLeast"/>
              <w:rPr>
                <w:rFonts w:hint="eastAsia" w:ascii="仿宋" w:hAnsi="仿宋" w:eastAsia="仿宋" w:cs="仿宋"/>
                <w:sz w:val="24"/>
              </w:rPr>
            </w:pPr>
            <w:r>
              <w:rPr>
                <w:rFonts w:hint="eastAsia" w:ascii="仿宋" w:hAnsi="仿宋" w:eastAsia="仿宋" w:cs="仿宋"/>
                <w:sz w:val="24"/>
              </w:rPr>
              <w:t>安全漏洞监测：安全漏洞监测支持包括但不局限于以下类型：常见的Web应用漏洞， OWASP TOP 10等主流安全漏洞，如：SQL注入、Cookie注入、Base64注入、XSS跨站脚本、框架注入、链接注入、隐藏字段、CSRF跨站伪造请求、命令注入、命令执行、代码注入、遍历目录、弱口令、表单绕过、文件包含、管理后台、敏感信息泄漏、第三方组件、其他各类CGI漏洞等各种类型；系统层漏洞，如：windows扫描、linux扫描（CentOS、ubuntu、Debian等）、类unix扫描、数据库扫描、思科设备扫描、CVE漏洞扫描等；0day漏洞等重大漏洞；须具备基于JAVA的网页动态安全漏洞检测方法或技术。</w:t>
            </w:r>
          </w:p>
          <w:p w14:paraId="119B7B0A">
            <w:pPr>
              <w:pStyle w:val="633"/>
              <w:rPr>
                <w:rFonts w:hint="eastAsia" w:ascii="仿宋" w:hAnsi="仿宋" w:eastAsia="仿宋" w:cs="仿宋"/>
                <w:sz w:val="24"/>
                <w:szCs w:val="24"/>
              </w:rPr>
            </w:pPr>
            <w:r>
              <w:rPr>
                <w:rFonts w:hint="eastAsia" w:ascii="仿宋" w:hAnsi="仿宋" w:eastAsia="仿宋" w:cs="仿宋"/>
                <w:sz w:val="24"/>
                <w:szCs w:val="24"/>
              </w:rPr>
              <w:t>安全威胁预警：通过对国内外最新网络安全威胁情报的实时监控，第一时间获取最新安全威胁，确认最新安全威胁（尤其是0day）所利用的安全漏洞及影响的系统类型以及恶意攻击对象，根据信息系统基础数据服务中所建立的信息系统资产数据库与指纹库进行精确比对，协助考试院排查当前网络环境中是否有受影响的资产，同时协助考试院开启相关防护策略，并持续跟踪威胁最新进展。</w:t>
            </w:r>
          </w:p>
          <w:p w14:paraId="25A7961C">
            <w:pPr>
              <w:pStyle w:val="633"/>
              <w:rPr>
                <w:rFonts w:hint="eastAsia" w:ascii="仿宋" w:hAnsi="仿宋" w:eastAsia="仿宋" w:cs="仿宋"/>
                <w:sz w:val="24"/>
                <w:szCs w:val="24"/>
              </w:rPr>
            </w:pPr>
            <w:r>
              <w:rPr>
                <w:rFonts w:hint="eastAsia" w:ascii="仿宋" w:hAnsi="仿宋" w:eastAsia="仿宋" w:cs="仿宋"/>
                <w:sz w:val="24"/>
                <w:szCs w:val="24"/>
              </w:rPr>
              <w:t>内容篡改监测：实现对业务系统网站内容篡改监测功能，并提供智能识别篡改的类型，如标签的篡改、关键内容的篡改等，并能够提供标识是哪部分内容遭到篡改。对广告、游戏、博彩、色情、医疗、推广等类型的暗链进行监测、对网站黑页进行监测、对网页敏感内容进行监测，如“博彩”、“色情”等、对网站链接进行监测；要求支持对标签的智能识别、标签管理、对篡改前后页面的代码改动内容突出显示等。</w:t>
            </w:r>
          </w:p>
          <w:p w14:paraId="4B56129D">
            <w:pPr>
              <w:pStyle w:val="633"/>
              <w:rPr>
                <w:rFonts w:hint="eastAsia" w:ascii="仿宋" w:hAnsi="仿宋" w:eastAsia="仿宋" w:cs="仿宋"/>
                <w:sz w:val="24"/>
                <w:szCs w:val="24"/>
              </w:rPr>
            </w:pPr>
            <w:r>
              <w:rPr>
                <w:rFonts w:hint="eastAsia" w:ascii="仿宋" w:hAnsi="仿宋" w:eastAsia="仿宋" w:cs="仿宋"/>
                <w:sz w:val="24"/>
                <w:szCs w:val="24"/>
              </w:rPr>
              <w:t>可用性监测：主要实现包含域名解析可用性、网站服务可用性以及网站内容可用性的不间断实时监测，通过监测权威DNS服务器的可用性、以及权威DNS服务器解析IP地址是否与历史基准一致来判断域名是否发生安全问题，出现问题后会立即审核并进行通告；自动监听网站指定的TCP端口，通过HTTP协议访问网站，通过返回的响应状态码，来判断网站是否能够提供正常的服务；通过发送HTTP请求，核对响应页面内容是否有基准文本或数据，根据基准信息是否匹配，进而判断网站内容是否发生异常。</w:t>
            </w:r>
          </w:p>
          <w:p w14:paraId="3C36A5AB">
            <w:pPr>
              <w:pStyle w:val="633"/>
              <w:rPr>
                <w:rFonts w:hint="eastAsia" w:ascii="仿宋" w:hAnsi="仿宋" w:eastAsia="仿宋" w:cs="仿宋"/>
                <w:sz w:val="24"/>
                <w:szCs w:val="24"/>
              </w:rPr>
            </w:pPr>
            <w:r>
              <w:rPr>
                <w:rFonts w:hint="eastAsia" w:ascii="仿宋" w:hAnsi="仿宋" w:eastAsia="仿宋" w:cs="仿宋"/>
                <w:sz w:val="24"/>
                <w:szCs w:val="24"/>
              </w:rPr>
              <w:t>专项威胁监测服务：完成包含挂马监测、webshell后门检查、Javascript恶意代码的检测、弱口令监测、JS挖矿脚本、</w:t>
            </w:r>
          </w:p>
          <w:p w14:paraId="00AC793E">
            <w:pPr>
              <w:pStyle w:val="633"/>
              <w:rPr>
                <w:rFonts w:hint="eastAsia" w:ascii="仿宋" w:hAnsi="仿宋" w:eastAsia="仿宋" w:cs="仿宋"/>
                <w:sz w:val="24"/>
                <w:szCs w:val="24"/>
              </w:rPr>
            </w:pPr>
            <w:r>
              <w:rPr>
                <w:rFonts w:hint="eastAsia" w:ascii="仿宋" w:hAnsi="仿宋" w:eastAsia="仿宋" w:cs="仿宋"/>
                <w:sz w:val="24"/>
                <w:szCs w:val="24"/>
              </w:rPr>
              <w:t>个人信息泄露、DDoS攻击以及其它指定的专项威胁监测。</w:t>
            </w:r>
          </w:p>
        </w:tc>
      </w:tr>
      <w:tr w14:paraId="366D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3025B031">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6FB4158F">
            <w:pPr>
              <w:snapToGrid w:val="0"/>
              <w:spacing w:line="240" w:lineRule="atLeast"/>
              <w:rPr>
                <w:rFonts w:hint="eastAsia" w:ascii="仿宋" w:hAnsi="仿宋" w:eastAsia="仿宋" w:cs="仿宋"/>
                <w:color w:val="000000"/>
                <w:sz w:val="24"/>
              </w:rPr>
            </w:pPr>
            <w:r>
              <w:rPr>
                <w:rFonts w:hint="eastAsia" w:ascii="仿宋" w:hAnsi="仿宋" w:eastAsia="仿宋" w:cs="仿宋"/>
                <w:sz w:val="24"/>
              </w:rPr>
              <w:t>《网站安全监测报告》</w:t>
            </w:r>
          </w:p>
        </w:tc>
      </w:tr>
    </w:tbl>
    <w:p w14:paraId="738CAA06">
      <w:pPr>
        <w:pStyle w:val="631"/>
        <w:rPr>
          <w:rFonts w:hint="eastAsia" w:ascii="仿宋" w:hAnsi="仿宋" w:eastAsia="仿宋" w:cs="仿宋"/>
          <w:sz w:val="24"/>
        </w:rPr>
      </w:pPr>
      <w:r>
        <w:rPr>
          <w:rFonts w:hint="eastAsia" w:ascii="仿宋" w:hAnsi="仿宋" w:eastAsia="仿宋" w:cs="仿宋"/>
          <w:sz w:val="24"/>
        </w:rPr>
        <w:t>（五）周期性安全扫描及渗透测试服务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34A7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B771E24">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159D1B9F">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71DAF31C">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0521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6675BC2F">
            <w:pPr>
              <w:snapToGrid w:val="0"/>
              <w:spacing w:line="240" w:lineRule="atLeast"/>
              <w:rPr>
                <w:rFonts w:hint="eastAsia" w:ascii="仿宋" w:hAnsi="仿宋" w:eastAsia="仿宋" w:cs="仿宋"/>
                <w:sz w:val="24"/>
              </w:rPr>
            </w:pPr>
            <w:r>
              <w:rPr>
                <w:rFonts w:hint="eastAsia" w:ascii="仿宋" w:hAnsi="仿宋" w:eastAsia="仿宋" w:cs="仿宋"/>
                <w:sz w:val="24"/>
              </w:rPr>
              <w:t>周期性安全扫描及渗透测试服务</w:t>
            </w:r>
          </w:p>
        </w:tc>
        <w:tc>
          <w:tcPr>
            <w:tcW w:w="1418" w:type="dxa"/>
            <w:tcBorders>
              <w:top w:val="single" w:color="auto" w:sz="4" w:space="0"/>
              <w:left w:val="nil"/>
              <w:bottom w:val="single" w:color="auto" w:sz="4" w:space="0"/>
              <w:right w:val="single" w:color="auto" w:sz="4" w:space="0"/>
            </w:tcBorders>
            <w:vAlign w:val="center"/>
          </w:tcPr>
          <w:p w14:paraId="64E82BBD">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6355D83A">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通过信息资产梳理及系统侧提供的信息，安全专家采用模拟黑客攻击的技术和方法，采用自动化工具和人工测试结合的方式，全面检测应用系统、终端及设备可能存在的各类型安全漏洞和安全隐患，并提供修复建议、指导漏洞修复工作，以避免安全漏洞被黑客恶意利用、攻击，最终保障信息系统的安全、平稳、可靠运行。本项工作须由非驻场工程师完成，驻场工程师可提供信息收集方面的协助，服务期内为同一信息资产安排的渗透测试人员应定期（至少每半年）更换，且测试人数至少保持在三个以上，以避免因人员技能或测试方式固定导致的漏测，同时所有渗透测试均须提供详细的Checklist及检查结果以保障测试的全面性及深度。</w:t>
            </w:r>
          </w:p>
        </w:tc>
      </w:tr>
      <w:tr w14:paraId="1A44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443F88AB">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255B211F">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4D5A8745">
            <w:pPr>
              <w:snapToGrid w:val="0"/>
              <w:spacing w:line="240" w:lineRule="atLeast"/>
              <w:rPr>
                <w:rFonts w:hint="eastAsia" w:ascii="仿宋" w:hAnsi="仿宋" w:eastAsia="仿宋" w:cs="仿宋"/>
                <w:sz w:val="24"/>
              </w:rPr>
            </w:pPr>
            <w:r>
              <w:rPr>
                <w:rFonts w:hint="eastAsia" w:ascii="仿宋" w:hAnsi="仿宋" w:eastAsia="仿宋" w:cs="仿宋"/>
                <w:color w:val="000000"/>
                <w:sz w:val="24"/>
              </w:rPr>
              <w:t>具体测试内容包括如弱口令爆破、SQL 注入、XSS（跨站脚本）、CRLF 注入、CSRF、未授权访问、默认密码、目录遍历、文件包含、命令执行、WebShell网页木马上传等技术漏洞，各类如任意密码重置、越权查询以及功能绕过等各类逻辑漏洞等，各种中间件的安全问题检测以及数据传输中涉及到的接口安全检查等，同时须提供测试清单包含测试信息系统详细信息以及测试项清单。此处测试清单需要按系统给出，全年测试此系统的多名测试人员共同维护此文档，该文档要按主要攻击及测试覆盖业务模块（接口）两个维度记录所有测试过的范围，以供后续漏洞反查、增加测试范围并提高测试深度，具体要求及执行需满足采购人要求并根据采购人制定规范进行相应修改。</w:t>
            </w:r>
          </w:p>
        </w:tc>
      </w:tr>
      <w:tr w14:paraId="236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3D331E26">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13699B8D">
            <w:pPr>
              <w:snapToGrid w:val="0"/>
              <w:spacing w:line="240" w:lineRule="atLeast"/>
              <w:rPr>
                <w:rFonts w:hint="eastAsia" w:ascii="仿宋" w:hAnsi="仿宋" w:eastAsia="仿宋" w:cs="仿宋"/>
                <w:color w:val="000000"/>
                <w:sz w:val="24"/>
              </w:rPr>
            </w:pPr>
            <w:r>
              <w:rPr>
                <w:rFonts w:hint="eastAsia" w:ascii="仿宋" w:hAnsi="仿宋" w:eastAsia="仿宋" w:cs="仿宋"/>
                <w:sz w:val="24"/>
              </w:rPr>
              <w:t>《xx系统漏洞扫描报告》、《xx系统渗透测试报告》、《中间件排查清单》、《WebShell查杀报告》、《xx系统渗透测试Checklist》</w:t>
            </w:r>
          </w:p>
        </w:tc>
      </w:tr>
    </w:tbl>
    <w:p w14:paraId="33E65A83">
      <w:pPr>
        <w:pStyle w:val="631"/>
        <w:rPr>
          <w:rFonts w:hint="eastAsia" w:ascii="仿宋" w:hAnsi="仿宋" w:eastAsia="仿宋" w:cs="仿宋"/>
          <w:sz w:val="24"/>
        </w:rPr>
      </w:pPr>
      <w:r>
        <w:rPr>
          <w:rFonts w:hint="eastAsia" w:ascii="仿宋" w:hAnsi="仿宋" w:eastAsia="仿宋" w:cs="仿宋"/>
          <w:sz w:val="24"/>
        </w:rPr>
        <w:t>（六）风险评估</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1FB8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EC3E835">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3FBF8A53">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77E28324">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DFF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5D2506E0">
            <w:pPr>
              <w:snapToGrid w:val="0"/>
              <w:spacing w:line="240" w:lineRule="atLeast"/>
              <w:rPr>
                <w:rFonts w:hint="eastAsia" w:ascii="仿宋" w:hAnsi="仿宋" w:eastAsia="仿宋" w:cs="仿宋"/>
                <w:sz w:val="24"/>
              </w:rPr>
            </w:pPr>
            <w:r>
              <w:rPr>
                <w:rFonts w:hint="eastAsia" w:ascii="仿宋" w:hAnsi="仿宋" w:eastAsia="仿宋" w:cs="仿宋"/>
                <w:sz w:val="24"/>
              </w:rPr>
              <w:t>风险评估</w:t>
            </w:r>
          </w:p>
        </w:tc>
        <w:tc>
          <w:tcPr>
            <w:tcW w:w="1418" w:type="dxa"/>
            <w:tcBorders>
              <w:top w:val="single" w:color="auto" w:sz="4" w:space="0"/>
              <w:left w:val="nil"/>
              <w:bottom w:val="single" w:color="auto" w:sz="4" w:space="0"/>
              <w:right w:val="single" w:color="auto" w:sz="4" w:space="0"/>
            </w:tcBorders>
            <w:vAlign w:val="center"/>
          </w:tcPr>
          <w:p w14:paraId="7B9E574A">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1C601DA2">
            <w:pPr>
              <w:pStyle w:val="633"/>
              <w:rPr>
                <w:rFonts w:hint="eastAsia" w:ascii="仿宋" w:hAnsi="仿宋" w:eastAsia="仿宋" w:cs="仿宋"/>
                <w:sz w:val="24"/>
                <w:szCs w:val="24"/>
              </w:rPr>
            </w:pPr>
            <w:r>
              <w:rPr>
                <w:rFonts w:hint="eastAsia" w:ascii="仿宋" w:hAnsi="仿宋" w:eastAsia="仿宋" w:cs="仿宋"/>
                <w:sz w:val="24"/>
                <w:szCs w:val="24"/>
              </w:rPr>
              <w:t>根据需求对本项目服务范围进行深度评估和分析，并提出相应解决方案，风险评估需包含网络架构安全评估、主机系统安全评估、数据安全评估、应用安全评估、整体安全策略评估、安全配置及渗透测试等内容。风险评估范围应覆盖服务范围内所有应用系统软硬件，如在服务期内有新系统上线、网络或安全结构调整，都需做安全检查。服务期内评估次数按需提供，首次全面评估开始时间为签订合同后10个工作日。</w:t>
            </w:r>
          </w:p>
        </w:tc>
      </w:tr>
      <w:tr w14:paraId="53D6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320C1030">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73FFD51F">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0A77F4DE">
            <w:pPr>
              <w:pStyle w:val="633"/>
              <w:rPr>
                <w:rFonts w:hint="eastAsia" w:ascii="仿宋" w:hAnsi="仿宋" w:eastAsia="仿宋" w:cs="仿宋"/>
                <w:sz w:val="24"/>
                <w:szCs w:val="24"/>
              </w:rPr>
            </w:pPr>
            <w:r>
              <w:rPr>
                <w:rFonts w:hint="eastAsia" w:ascii="仿宋" w:hAnsi="仿宋" w:eastAsia="仿宋" w:cs="仿宋"/>
                <w:sz w:val="24"/>
                <w:szCs w:val="24"/>
              </w:rPr>
              <w:t>通过安全评估，把握信息系统的整体安全情况，除做基础评估内容外，还需对各应用系统进行渗透测试，在各种强度的模拟攻击下，深入了解系统的坚固程度和脆弱点。</w:t>
            </w:r>
          </w:p>
          <w:p w14:paraId="17FD48D7">
            <w:pPr>
              <w:snapToGrid w:val="0"/>
              <w:spacing w:line="240" w:lineRule="atLeast"/>
              <w:rPr>
                <w:rFonts w:hint="eastAsia" w:ascii="仿宋" w:hAnsi="仿宋" w:eastAsia="仿宋" w:cs="仿宋"/>
                <w:sz w:val="24"/>
              </w:rPr>
            </w:pPr>
            <w:r>
              <w:rPr>
                <w:rFonts w:hint="eastAsia" w:ascii="仿宋" w:hAnsi="仿宋" w:eastAsia="仿宋" w:cs="仿宋"/>
                <w:sz w:val="24"/>
              </w:rPr>
              <w:t>网络架构安全评估：包括结构安全与网段划分评估、网络访问控制评估、接入访问控制评估、网络安全审计评估、边界完整性检查评估、网络入侵防范评估、恶意代码防范评估、网络设备自身防护评估。</w:t>
            </w:r>
          </w:p>
          <w:p w14:paraId="140624A8">
            <w:pPr>
              <w:pStyle w:val="633"/>
              <w:rPr>
                <w:rFonts w:hint="eastAsia" w:ascii="仿宋" w:hAnsi="仿宋" w:eastAsia="仿宋" w:cs="仿宋"/>
                <w:sz w:val="24"/>
                <w:szCs w:val="24"/>
              </w:rPr>
            </w:pPr>
            <w:r>
              <w:rPr>
                <w:rFonts w:hint="eastAsia" w:ascii="仿宋" w:hAnsi="仿宋" w:eastAsia="仿宋" w:cs="仿宋"/>
                <w:sz w:val="24"/>
                <w:szCs w:val="24"/>
              </w:rPr>
              <w:t>主机系统安全评估：包括身份鉴别、自主访问控制、安全审计、系统保护、剩余信息保护、恶意代码防范、资源控制等方面评估。</w:t>
            </w:r>
          </w:p>
          <w:p w14:paraId="74964A54">
            <w:pPr>
              <w:snapToGrid w:val="0"/>
              <w:spacing w:line="240" w:lineRule="atLeast"/>
              <w:rPr>
                <w:rFonts w:hint="eastAsia" w:ascii="仿宋" w:hAnsi="仿宋" w:eastAsia="仿宋" w:cs="仿宋"/>
                <w:sz w:val="24"/>
              </w:rPr>
            </w:pPr>
            <w:r>
              <w:rPr>
                <w:rFonts w:hint="eastAsia" w:ascii="仿宋" w:hAnsi="仿宋" w:eastAsia="仿宋" w:cs="仿宋"/>
                <w:sz w:val="24"/>
              </w:rPr>
              <w:t>数据安全评估：包括数据保护评估、数据完整性评估、数据保密性评估、安全备份评估。</w:t>
            </w:r>
          </w:p>
          <w:p w14:paraId="69A246B6">
            <w:pPr>
              <w:snapToGrid w:val="0"/>
              <w:spacing w:line="240" w:lineRule="atLeast"/>
              <w:rPr>
                <w:rFonts w:hint="eastAsia" w:ascii="仿宋" w:hAnsi="仿宋" w:eastAsia="仿宋" w:cs="仿宋"/>
                <w:sz w:val="24"/>
              </w:rPr>
            </w:pPr>
            <w:r>
              <w:rPr>
                <w:rFonts w:hint="eastAsia" w:ascii="仿宋" w:hAnsi="仿宋" w:eastAsia="仿宋" w:cs="仿宋"/>
                <w:sz w:val="24"/>
              </w:rPr>
              <w:t>应用安全评估：包括身份鉴别、访问控制、安全审计、剩余信息保护、通信完整性、通信保密性、软件容错、资源控制、代码安全等方面。</w:t>
            </w:r>
          </w:p>
          <w:p w14:paraId="61A6ED06">
            <w:pPr>
              <w:pStyle w:val="633"/>
              <w:rPr>
                <w:rFonts w:hint="eastAsia" w:ascii="仿宋" w:hAnsi="仿宋" w:eastAsia="仿宋" w:cs="仿宋"/>
                <w:sz w:val="24"/>
                <w:szCs w:val="24"/>
              </w:rPr>
            </w:pPr>
            <w:r>
              <w:rPr>
                <w:rFonts w:hint="eastAsia" w:ascii="仿宋" w:hAnsi="仿宋" w:eastAsia="仿宋" w:cs="仿宋"/>
                <w:sz w:val="24"/>
                <w:szCs w:val="24"/>
              </w:rPr>
              <w:t>整体安全策略评估：依据物理安全、网络安全、主机安全、应用安全、数据安全等五个方面评估结果，同时考虑在信息安全管理体系等其他互补因素，然后进行全面的安全策略有效性评估。评估结果作为后期加固依据。</w:t>
            </w:r>
          </w:p>
          <w:p w14:paraId="117FEC20">
            <w:pPr>
              <w:snapToGrid w:val="0"/>
              <w:spacing w:line="240" w:lineRule="atLeast"/>
              <w:rPr>
                <w:rFonts w:hint="eastAsia" w:ascii="仿宋" w:hAnsi="仿宋" w:eastAsia="仿宋" w:cs="仿宋"/>
                <w:sz w:val="24"/>
              </w:rPr>
            </w:pPr>
            <w:r>
              <w:rPr>
                <w:rFonts w:hint="eastAsia" w:ascii="仿宋" w:hAnsi="仿宋" w:eastAsia="仿宋" w:cs="仿宋"/>
                <w:sz w:val="24"/>
              </w:rPr>
              <w:t>渗透测试：渗透测试涉及的范围仅限于采购人提供的范围，不包含其它未授权的渗透范围。不对任何超出授权范围的内容进行评估，渗透前需签定相关保密协议。</w:t>
            </w:r>
          </w:p>
        </w:tc>
      </w:tr>
      <w:tr w14:paraId="375D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36CA674D">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2120186A">
            <w:pPr>
              <w:snapToGrid w:val="0"/>
              <w:spacing w:line="240" w:lineRule="atLeast"/>
              <w:rPr>
                <w:rFonts w:hint="eastAsia" w:ascii="仿宋" w:hAnsi="仿宋" w:eastAsia="仿宋" w:cs="仿宋"/>
                <w:color w:val="000000"/>
                <w:sz w:val="24"/>
              </w:rPr>
            </w:pPr>
            <w:r>
              <w:rPr>
                <w:rFonts w:hint="eastAsia" w:ascii="仿宋" w:hAnsi="仿宋" w:eastAsia="仿宋" w:cs="仿宋"/>
                <w:sz w:val="24"/>
              </w:rPr>
              <w:t>《浙江省教育考试院风险评估报告》</w:t>
            </w:r>
          </w:p>
        </w:tc>
      </w:tr>
    </w:tbl>
    <w:p w14:paraId="36137339">
      <w:pPr>
        <w:pStyle w:val="631"/>
        <w:rPr>
          <w:rFonts w:hint="eastAsia" w:ascii="仿宋" w:hAnsi="仿宋" w:eastAsia="仿宋" w:cs="仿宋"/>
          <w:sz w:val="24"/>
        </w:rPr>
      </w:pPr>
      <w:r>
        <w:rPr>
          <w:rFonts w:hint="eastAsia" w:ascii="仿宋" w:hAnsi="仿宋" w:eastAsia="仿宋" w:cs="仿宋"/>
          <w:sz w:val="24"/>
        </w:rPr>
        <w:t>（七）重要时期值守保障服务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19F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AD11E7">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729FB962">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12DF4DE2">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2439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05DF0C04">
            <w:pPr>
              <w:snapToGrid w:val="0"/>
              <w:spacing w:line="240" w:lineRule="atLeast"/>
              <w:rPr>
                <w:rFonts w:hint="eastAsia" w:ascii="仿宋" w:hAnsi="仿宋" w:eastAsia="仿宋" w:cs="仿宋"/>
                <w:sz w:val="24"/>
              </w:rPr>
            </w:pPr>
            <w:r>
              <w:rPr>
                <w:rFonts w:hint="eastAsia" w:ascii="仿宋" w:hAnsi="仿宋" w:eastAsia="仿宋" w:cs="仿宋"/>
                <w:sz w:val="24"/>
              </w:rPr>
              <w:t>重要时期值守保障服务</w:t>
            </w:r>
          </w:p>
        </w:tc>
        <w:tc>
          <w:tcPr>
            <w:tcW w:w="1418" w:type="dxa"/>
            <w:tcBorders>
              <w:top w:val="single" w:color="auto" w:sz="4" w:space="0"/>
              <w:left w:val="nil"/>
              <w:bottom w:val="single" w:color="auto" w:sz="4" w:space="0"/>
              <w:right w:val="single" w:color="auto" w:sz="4" w:space="0"/>
            </w:tcBorders>
            <w:vAlign w:val="center"/>
          </w:tcPr>
          <w:p w14:paraId="537F043F">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5CFBA45A">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 xml:space="preserve">重要时期安全保障服务是在重要考试期间、攻防演练、重要会议活动或临时突发事件期间提供重保组织架构设计、安全检查、积极防御、实时检测、响应处置、攻击预测等安全服务，发现重要保障时期信息系统可能存在的安全风险，安全防御体系可能存在的薄弱环节，指导修复，提升安全防御能力，保障信息系统和数据资产安全，确保考试招生评估业务平稳正常。 </w:t>
            </w:r>
          </w:p>
        </w:tc>
      </w:tr>
      <w:tr w14:paraId="1640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4E666BCD">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263E442">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52946A1D">
            <w:pPr>
              <w:snapToGrid w:val="0"/>
              <w:spacing w:line="240" w:lineRule="atLeast"/>
              <w:rPr>
                <w:rFonts w:hint="eastAsia" w:ascii="仿宋" w:hAnsi="仿宋" w:eastAsia="仿宋" w:cs="仿宋"/>
                <w:sz w:val="24"/>
              </w:rPr>
            </w:pPr>
            <w:r>
              <w:rPr>
                <w:rFonts w:hint="eastAsia" w:ascii="仿宋" w:hAnsi="仿宋" w:eastAsia="仿宋" w:cs="仿宋"/>
                <w:color w:val="000000"/>
                <w:sz w:val="24"/>
              </w:rPr>
              <w:t>重要时期安全保障服务内容包括：网络安全的监测、应急值守、应急处突、攻防演习等。现场服务时间依据重保要求制定。</w:t>
            </w:r>
            <w:r>
              <w:rPr>
                <w:rFonts w:hint="eastAsia" w:ascii="仿宋" w:hAnsi="仿宋" w:eastAsia="仿宋" w:cs="仿宋"/>
                <w:sz w:val="24"/>
              </w:rPr>
              <w:t>重保服务整体工作需分阶段（事前、事中、事后）完成，提前制订每阶段的工作方案。按采购人要求提供采购人办公现场的不少于两人的驻场值守服务，人员可复用安全运维服务驻场人员，根据考试重要程度和具体突发情况，采购人可要求增派运维人员和运维支撑资源，全年重要时期期限不少于80天。</w:t>
            </w:r>
          </w:p>
        </w:tc>
      </w:tr>
      <w:tr w14:paraId="637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1BC6E644">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361DCA34">
            <w:pPr>
              <w:snapToGrid w:val="0"/>
              <w:spacing w:line="240" w:lineRule="atLeast"/>
              <w:rPr>
                <w:rFonts w:hint="eastAsia" w:ascii="仿宋" w:hAnsi="仿宋" w:eastAsia="仿宋" w:cs="仿宋"/>
                <w:color w:val="000000"/>
                <w:sz w:val="24"/>
              </w:rPr>
            </w:pPr>
            <w:r>
              <w:rPr>
                <w:rFonts w:hint="eastAsia" w:ascii="仿宋" w:hAnsi="仿宋" w:eastAsia="仿宋" w:cs="仿宋"/>
                <w:sz w:val="24"/>
              </w:rPr>
              <w:t>《浙江省考试院年度重保方案》、《重保值守总结报告》</w:t>
            </w:r>
          </w:p>
        </w:tc>
      </w:tr>
    </w:tbl>
    <w:p w14:paraId="7C29354F">
      <w:pPr>
        <w:pStyle w:val="631"/>
        <w:rPr>
          <w:rFonts w:hint="eastAsia" w:ascii="仿宋" w:hAnsi="仿宋" w:eastAsia="仿宋" w:cs="仿宋"/>
          <w:sz w:val="24"/>
        </w:rPr>
      </w:pPr>
      <w:r>
        <w:rPr>
          <w:rFonts w:hint="eastAsia" w:ascii="仿宋" w:hAnsi="仿宋" w:eastAsia="仿宋" w:cs="仿宋"/>
          <w:sz w:val="24"/>
        </w:rPr>
        <w:t>（八）安全加固服务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74AA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0BC9A7">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7738CE22">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7BFC1AFD">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E4A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3BB68894">
            <w:pPr>
              <w:snapToGrid w:val="0"/>
              <w:spacing w:line="240" w:lineRule="atLeast"/>
              <w:rPr>
                <w:rFonts w:hint="eastAsia" w:ascii="仿宋" w:hAnsi="仿宋" w:eastAsia="仿宋" w:cs="仿宋"/>
                <w:sz w:val="24"/>
              </w:rPr>
            </w:pPr>
            <w:r>
              <w:rPr>
                <w:rFonts w:hint="eastAsia" w:ascii="仿宋" w:hAnsi="仿宋" w:eastAsia="仿宋" w:cs="仿宋"/>
                <w:sz w:val="24"/>
              </w:rPr>
              <w:t>驻场安全运维服务</w:t>
            </w:r>
          </w:p>
        </w:tc>
        <w:tc>
          <w:tcPr>
            <w:tcW w:w="1418" w:type="dxa"/>
            <w:tcBorders>
              <w:top w:val="single" w:color="auto" w:sz="4" w:space="0"/>
              <w:left w:val="nil"/>
              <w:bottom w:val="single" w:color="auto" w:sz="4" w:space="0"/>
              <w:right w:val="single" w:color="auto" w:sz="4" w:space="0"/>
            </w:tcBorders>
            <w:vAlign w:val="center"/>
          </w:tcPr>
          <w:p w14:paraId="5170AA54">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01419FAD">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根据风险评估和渗透测试结果，对涉及的信息资产（含信息系统、网络设备、网络安全设备、数据库、操作系统、中间件等）提出安全加固并实施安全加固，并在加固过程中对网络安全整改方案进行指导与评估。</w:t>
            </w:r>
          </w:p>
        </w:tc>
      </w:tr>
      <w:tr w14:paraId="0D12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7AB228C">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30E2A3BB">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56ABEFFC">
            <w:pPr>
              <w:snapToGrid w:val="0"/>
              <w:spacing w:line="240" w:lineRule="atLeast"/>
              <w:rPr>
                <w:rFonts w:hint="eastAsia" w:ascii="仿宋" w:hAnsi="仿宋" w:eastAsia="仿宋" w:cs="仿宋"/>
                <w:sz w:val="24"/>
              </w:rPr>
            </w:pPr>
            <w:r>
              <w:rPr>
                <w:rFonts w:hint="eastAsia" w:ascii="仿宋" w:hAnsi="仿宋" w:eastAsia="仿宋" w:cs="仿宋"/>
                <w:sz w:val="24"/>
              </w:rPr>
              <w:t>制定安全加固实施计划表，明确加固范围、时间安排、人员分工等事项；实施前协同相关人员做好系统、数据、配置文件以及系统设置的备份工作，以便出现异常问题可以回退到加固前状态；对可能影响系统正常运行的安全加固措施应与采购人协商确定加固方案实施人员根据最终版《安全加固实施方案》确定的加固措施实施加固，完成后检查是否已启到安全加固的效果，填写加固实施记录；对于加固异常的现象，应启用回退措施，修改为加固前状态。分析加固方案是否合适，重新制定安全加固方案，重新进行加固。</w:t>
            </w:r>
          </w:p>
        </w:tc>
      </w:tr>
      <w:tr w14:paraId="7FCF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nil"/>
              <w:left w:val="single" w:color="auto" w:sz="4" w:space="0"/>
              <w:bottom w:val="single" w:color="auto" w:sz="4" w:space="0"/>
              <w:right w:val="single" w:color="auto" w:sz="4" w:space="0"/>
            </w:tcBorders>
            <w:vAlign w:val="center"/>
          </w:tcPr>
          <w:p w14:paraId="1B5EC68A">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11F13706">
            <w:pPr>
              <w:snapToGrid w:val="0"/>
              <w:spacing w:line="240" w:lineRule="atLeast"/>
              <w:rPr>
                <w:rFonts w:hint="eastAsia" w:ascii="仿宋" w:hAnsi="仿宋" w:eastAsia="仿宋" w:cs="仿宋"/>
                <w:color w:val="000000"/>
                <w:sz w:val="24"/>
              </w:rPr>
            </w:pPr>
            <w:r>
              <w:rPr>
                <w:rFonts w:hint="eastAsia" w:ascii="仿宋" w:hAnsi="仿宋" w:eastAsia="仿宋" w:cs="仿宋"/>
                <w:sz w:val="24"/>
              </w:rPr>
              <w:t>《安全加固报告》</w:t>
            </w:r>
          </w:p>
        </w:tc>
      </w:tr>
    </w:tbl>
    <w:p w14:paraId="1B8F0672">
      <w:pPr>
        <w:pStyle w:val="631"/>
        <w:rPr>
          <w:rFonts w:hint="eastAsia" w:ascii="仿宋" w:hAnsi="仿宋" w:eastAsia="仿宋" w:cs="仿宋"/>
          <w:sz w:val="24"/>
        </w:rPr>
      </w:pPr>
      <w:r>
        <w:rPr>
          <w:rFonts w:hint="eastAsia" w:ascii="仿宋" w:hAnsi="仿宋" w:eastAsia="仿宋" w:cs="仿宋"/>
          <w:sz w:val="24"/>
        </w:rPr>
        <w:t>（九）应用上线安全检查</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40C8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4217B6">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2A81EE99">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2ECA8E5">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2798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9D74F22">
            <w:pPr>
              <w:snapToGrid w:val="0"/>
              <w:spacing w:line="240" w:lineRule="atLeast"/>
              <w:rPr>
                <w:rFonts w:hint="eastAsia" w:ascii="仿宋" w:hAnsi="仿宋" w:eastAsia="仿宋" w:cs="仿宋"/>
                <w:sz w:val="24"/>
              </w:rPr>
            </w:pPr>
            <w:r>
              <w:rPr>
                <w:rFonts w:hint="eastAsia" w:ascii="仿宋" w:hAnsi="仿宋" w:eastAsia="仿宋" w:cs="仿宋"/>
                <w:sz w:val="24"/>
              </w:rPr>
              <w:t>应用上线安全检查</w:t>
            </w:r>
          </w:p>
        </w:tc>
        <w:tc>
          <w:tcPr>
            <w:tcW w:w="1418" w:type="dxa"/>
            <w:tcBorders>
              <w:top w:val="single" w:color="auto" w:sz="4" w:space="0"/>
              <w:left w:val="nil"/>
              <w:bottom w:val="single" w:color="auto" w:sz="4" w:space="0"/>
              <w:right w:val="single" w:color="auto" w:sz="4" w:space="0"/>
            </w:tcBorders>
            <w:vAlign w:val="center"/>
          </w:tcPr>
          <w:p w14:paraId="54A0B4A8">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1E4AA8B7">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完成新应用（包含系统新模块）上线前的安全检查工作，排查安全漏洞及潜在的隐患风险。</w:t>
            </w:r>
          </w:p>
        </w:tc>
      </w:tr>
      <w:tr w14:paraId="11A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4D20AFB7">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0278A81A">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7559E1C3">
            <w:pPr>
              <w:pStyle w:val="633"/>
              <w:rPr>
                <w:rFonts w:hint="eastAsia" w:ascii="仿宋" w:hAnsi="仿宋" w:eastAsia="仿宋" w:cs="仿宋"/>
                <w:sz w:val="24"/>
                <w:szCs w:val="24"/>
              </w:rPr>
            </w:pPr>
            <w:r>
              <w:rPr>
                <w:rFonts w:hint="eastAsia" w:ascii="仿宋" w:hAnsi="仿宋" w:eastAsia="仿宋" w:cs="仿宋"/>
                <w:sz w:val="24"/>
                <w:szCs w:val="24"/>
              </w:rPr>
              <w:t>弱口令核查：检查应用是否可规避弱口令风险。</w:t>
            </w:r>
          </w:p>
          <w:p w14:paraId="6465AA16">
            <w:pPr>
              <w:pStyle w:val="633"/>
              <w:rPr>
                <w:rFonts w:hint="eastAsia" w:ascii="仿宋" w:hAnsi="仿宋" w:eastAsia="仿宋" w:cs="仿宋"/>
                <w:sz w:val="24"/>
                <w:szCs w:val="24"/>
              </w:rPr>
            </w:pPr>
            <w:r>
              <w:rPr>
                <w:rFonts w:hint="eastAsia" w:ascii="仿宋" w:hAnsi="仿宋" w:eastAsia="仿宋" w:cs="仿宋"/>
                <w:sz w:val="24"/>
                <w:szCs w:val="24"/>
              </w:rPr>
              <w:t>中间件检查：检查应用配套使用的中间件是否存在低版本、弱口令、默认密码及配置及其它已知或未知的漏洞。</w:t>
            </w:r>
          </w:p>
          <w:p w14:paraId="5F7D8BE1">
            <w:pPr>
              <w:pStyle w:val="633"/>
              <w:rPr>
                <w:rFonts w:hint="eastAsia" w:ascii="仿宋" w:hAnsi="仿宋" w:eastAsia="仿宋" w:cs="仿宋"/>
                <w:sz w:val="24"/>
                <w:szCs w:val="24"/>
              </w:rPr>
            </w:pPr>
            <w:r>
              <w:rPr>
                <w:rFonts w:hint="eastAsia" w:ascii="仿宋" w:hAnsi="仿宋" w:eastAsia="仿宋" w:cs="仿宋"/>
                <w:sz w:val="24"/>
                <w:szCs w:val="24"/>
              </w:rPr>
              <w:t>端口服务检查：检查应用是否开启无关或危险服务。</w:t>
            </w:r>
          </w:p>
          <w:p w14:paraId="0092E289">
            <w:pPr>
              <w:pStyle w:val="633"/>
              <w:rPr>
                <w:rFonts w:hint="eastAsia" w:ascii="仿宋" w:hAnsi="仿宋" w:eastAsia="仿宋" w:cs="仿宋"/>
                <w:sz w:val="24"/>
                <w:szCs w:val="24"/>
              </w:rPr>
            </w:pPr>
            <w:r>
              <w:rPr>
                <w:rFonts w:hint="eastAsia" w:ascii="仿宋" w:hAnsi="仿宋" w:eastAsia="仿宋" w:cs="仿宋"/>
                <w:sz w:val="24"/>
                <w:szCs w:val="24"/>
              </w:rPr>
              <w:t>权限检查：检查应用接口是否存在未授权或越权情况。</w:t>
            </w:r>
          </w:p>
          <w:p w14:paraId="22E89B3F">
            <w:pPr>
              <w:pStyle w:val="633"/>
              <w:rPr>
                <w:rFonts w:hint="eastAsia" w:ascii="仿宋" w:hAnsi="仿宋" w:eastAsia="仿宋" w:cs="仿宋"/>
                <w:sz w:val="24"/>
                <w:szCs w:val="24"/>
              </w:rPr>
            </w:pPr>
            <w:r>
              <w:rPr>
                <w:rFonts w:hint="eastAsia" w:ascii="仿宋" w:hAnsi="仿宋" w:eastAsia="仿宋" w:cs="仿宋"/>
                <w:sz w:val="24"/>
                <w:szCs w:val="24"/>
              </w:rPr>
              <w:t>服务器配置检查：检查服务器各项配置是否符合安全基线要求。</w:t>
            </w:r>
          </w:p>
          <w:p w14:paraId="369CE10C">
            <w:pPr>
              <w:pStyle w:val="633"/>
              <w:rPr>
                <w:rFonts w:hint="eastAsia" w:ascii="仿宋" w:hAnsi="仿宋" w:eastAsia="仿宋" w:cs="仿宋"/>
                <w:sz w:val="24"/>
                <w:szCs w:val="24"/>
              </w:rPr>
            </w:pPr>
            <w:r>
              <w:rPr>
                <w:rFonts w:hint="eastAsia" w:ascii="仿宋" w:hAnsi="仿宋" w:eastAsia="仿宋" w:cs="仿宋"/>
                <w:sz w:val="24"/>
                <w:szCs w:val="24"/>
              </w:rPr>
              <w:t>测试信息检查：检查是否存在未删除的测试账号、测试端口、测试页面以及其他为测试所遗留的信息。</w:t>
            </w:r>
          </w:p>
          <w:p w14:paraId="2C4C5B6F">
            <w:pPr>
              <w:pStyle w:val="633"/>
              <w:rPr>
                <w:rFonts w:hint="eastAsia" w:ascii="仿宋" w:hAnsi="仿宋" w:eastAsia="仿宋" w:cs="仿宋"/>
                <w:sz w:val="24"/>
                <w:szCs w:val="24"/>
              </w:rPr>
            </w:pPr>
            <w:r>
              <w:rPr>
                <w:rFonts w:hint="eastAsia" w:ascii="仿宋" w:hAnsi="仿宋" w:eastAsia="仿宋" w:cs="仿宋"/>
                <w:sz w:val="24"/>
                <w:szCs w:val="24"/>
              </w:rPr>
              <w:t>其它安全检查。</w:t>
            </w:r>
          </w:p>
        </w:tc>
      </w:tr>
      <w:tr w14:paraId="2776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239BFB43">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1836C422">
            <w:pPr>
              <w:snapToGrid w:val="0"/>
              <w:spacing w:line="240" w:lineRule="atLeast"/>
              <w:rPr>
                <w:rFonts w:hint="eastAsia" w:ascii="仿宋" w:hAnsi="仿宋" w:eastAsia="仿宋" w:cs="仿宋"/>
                <w:color w:val="000000"/>
                <w:sz w:val="24"/>
              </w:rPr>
            </w:pPr>
            <w:r>
              <w:rPr>
                <w:rFonts w:hint="eastAsia" w:ascii="仿宋" w:hAnsi="仿宋" w:eastAsia="仿宋" w:cs="仿宋"/>
                <w:sz w:val="24"/>
              </w:rPr>
              <w:t>《xx应用上线安全检查报告》</w:t>
            </w:r>
          </w:p>
        </w:tc>
      </w:tr>
    </w:tbl>
    <w:p w14:paraId="15F34F66">
      <w:pPr>
        <w:pStyle w:val="631"/>
        <w:rPr>
          <w:rFonts w:hint="eastAsia" w:ascii="仿宋" w:hAnsi="仿宋" w:eastAsia="仿宋" w:cs="仿宋"/>
          <w:sz w:val="24"/>
        </w:rPr>
      </w:pPr>
      <w:r>
        <w:rPr>
          <w:rFonts w:hint="eastAsia" w:ascii="仿宋" w:hAnsi="仿宋" w:eastAsia="仿宋" w:cs="仿宋"/>
          <w:sz w:val="24"/>
        </w:rPr>
        <w:t>（十）安全配置检查服务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4CF2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893ADEA">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118D85DF">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325670D6">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47F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215A35CB">
            <w:pPr>
              <w:snapToGrid w:val="0"/>
              <w:spacing w:line="240" w:lineRule="atLeast"/>
              <w:rPr>
                <w:rFonts w:hint="eastAsia" w:ascii="仿宋" w:hAnsi="仿宋" w:eastAsia="仿宋" w:cs="仿宋"/>
                <w:sz w:val="24"/>
              </w:rPr>
            </w:pPr>
            <w:r>
              <w:rPr>
                <w:rFonts w:hint="eastAsia" w:ascii="仿宋" w:hAnsi="仿宋" w:eastAsia="仿宋" w:cs="仿宋"/>
                <w:sz w:val="24"/>
              </w:rPr>
              <w:t>安全配置检查服务</w:t>
            </w:r>
          </w:p>
        </w:tc>
        <w:tc>
          <w:tcPr>
            <w:tcW w:w="1418" w:type="dxa"/>
            <w:tcBorders>
              <w:top w:val="single" w:color="auto" w:sz="4" w:space="0"/>
              <w:left w:val="nil"/>
              <w:bottom w:val="single" w:color="auto" w:sz="4" w:space="0"/>
              <w:right w:val="single" w:color="auto" w:sz="4" w:space="0"/>
            </w:tcBorders>
            <w:vAlign w:val="center"/>
          </w:tcPr>
          <w:p w14:paraId="1C36C860">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588063C5">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完成服务范围内的安全配置检查服务，包括对主机操作系统、数据库、中间件及网络等相关安全配置的检查服务。</w:t>
            </w:r>
          </w:p>
        </w:tc>
      </w:tr>
      <w:tr w14:paraId="10C9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037279DE">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C69B9CC">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029C350D">
            <w:pPr>
              <w:pStyle w:val="633"/>
              <w:rPr>
                <w:rFonts w:hint="eastAsia" w:ascii="仿宋" w:hAnsi="仿宋" w:eastAsia="仿宋" w:cs="仿宋"/>
                <w:sz w:val="24"/>
                <w:szCs w:val="24"/>
              </w:rPr>
            </w:pPr>
            <w:r>
              <w:rPr>
                <w:rFonts w:hint="eastAsia" w:ascii="仿宋" w:hAnsi="仿宋" w:eastAsia="仿宋" w:cs="仿宋"/>
                <w:sz w:val="24"/>
                <w:szCs w:val="24"/>
                <w:lang w:bidi="ar"/>
              </w:rPr>
              <w:t>主机操作系统安全配置检查：账号安全，是否关闭不必要的启动项，口令安全策略，是否关闭自动播放，日志审核详细配置，审核HOST是否存在可疑条例，防火墙运行情况，是否关闭默认共享，是否启用NTP服务，删除可匿名访问共享，是否关闭不必要的服务，关闭远程注册表，IP协议安全要求，取消Telnet改换SSH，配置登录失败次数限制，禁止超级管理员远程登录，敏感文件权限安全配置，记录登录日志以及权限变更事件，启用FTP日志，设置日志服务器，FTP权限管控，FTP的banner配置以及是否启用SFTP等。</w:t>
            </w:r>
          </w:p>
          <w:p w14:paraId="6102CC50">
            <w:pPr>
              <w:pStyle w:val="633"/>
              <w:rPr>
                <w:rFonts w:hint="eastAsia" w:ascii="仿宋" w:hAnsi="仿宋" w:eastAsia="仿宋" w:cs="仿宋"/>
                <w:sz w:val="24"/>
                <w:szCs w:val="24"/>
              </w:rPr>
            </w:pPr>
            <w:r>
              <w:rPr>
                <w:rFonts w:hint="eastAsia" w:ascii="仿宋" w:hAnsi="仿宋" w:eastAsia="仿宋" w:cs="仿宋"/>
                <w:sz w:val="24"/>
                <w:szCs w:val="24"/>
                <w:lang w:bidi="ar"/>
              </w:rPr>
              <w:t>数据库安全配置检查：根据帐户需求分配最小权限，设置合适的非管理员账户权限，账号口令复杂度，是否更改默认帐户的密码，是否重命名ROOT用户，重命名默认root账户，限制连接用户的数量，日志配置要求，禁止MySQL存取本地文件，收集错误日志文件记录，限制远程IP和用户访问数据库，记录用户对数据库的操作，删除test数据库，设置LOG文件读写权限，为空口令账户添加密码，其它配置要求，根据帐户需求分配最小权限，数据目录权限设置，授权表忽略权限校验，历史命令记录保护（仅限Linux），设置LOG文件读写权限以及安装最新的安全补丁等。</w:t>
            </w:r>
          </w:p>
          <w:p w14:paraId="77958579">
            <w:pPr>
              <w:pStyle w:val="633"/>
              <w:rPr>
                <w:rFonts w:hint="eastAsia" w:ascii="仿宋" w:hAnsi="仿宋" w:eastAsia="仿宋" w:cs="仿宋"/>
                <w:sz w:val="24"/>
                <w:szCs w:val="24"/>
              </w:rPr>
            </w:pPr>
            <w:r>
              <w:rPr>
                <w:rFonts w:hint="eastAsia" w:ascii="仿宋" w:hAnsi="仿宋" w:eastAsia="仿宋" w:cs="仿宋"/>
                <w:sz w:val="24"/>
                <w:szCs w:val="24"/>
                <w:lang w:bidi="ar"/>
              </w:rPr>
              <w:t>中间件及网络安全配置检查：设置帐号密码复杂度，限制应用服务器Socket数量，WebLogic启动帐号，更改WebLogic默认管理端口，检查是否设置账号锁定时间，服务配置要求，帐号多次登录失败锁定，错误页面处理，日志配置要求，禁用Send Server Header，启用审计管理控制台事件，WebLogic定时登出，检查是否记录登录日志，添加Apache运行时的属主账户，设置日志文件权限，设置启动文件权限，IP协议安全配置，设置httpd.conf文件权限，设置可远程登录控制台的IP范围，配置日志文件访问权限，启用SSL加密协议以及配置日志级别等。</w:t>
            </w:r>
          </w:p>
        </w:tc>
      </w:tr>
      <w:tr w14:paraId="4931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1D65EE92">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65958674">
            <w:pPr>
              <w:snapToGrid w:val="0"/>
              <w:spacing w:line="240" w:lineRule="atLeast"/>
              <w:rPr>
                <w:rFonts w:hint="eastAsia" w:ascii="仿宋" w:hAnsi="仿宋" w:eastAsia="仿宋" w:cs="仿宋"/>
                <w:color w:val="000000"/>
                <w:sz w:val="24"/>
              </w:rPr>
            </w:pPr>
            <w:r>
              <w:rPr>
                <w:rFonts w:hint="eastAsia" w:ascii="仿宋" w:hAnsi="仿宋" w:eastAsia="仿宋" w:cs="仿宋"/>
                <w:sz w:val="24"/>
                <w:lang w:bidi="ar"/>
              </w:rPr>
              <w:t>《安全基线核查报告》</w:t>
            </w:r>
          </w:p>
        </w:tc>
      </w:tr>
    </w:tbl>
    <w:p w14:paraId="67B803ED">
      <w:pPr>
        <w:pStyle w:val="631"/>
        <w:rPr>
          <w:rFonts w:hint="eastAsia" w:ascii="仿宋" w:hAnsi="仿宋" w:eastAsia="仿宋" w:cs="仿宋"/>
          <w:sz w:val="24"/>
        </w:rPr>
      </w:pPr>
      <w:r>
        <w:rPr>
          <w:rFonts w:hint="eastAsia" w:ascii="仿宋" w:hAnsi="仿宋" w:eastAsia="仿宋" w:cs="仿宋"/>
          <w:sz w:val="24"/>
        </w:rPr>
        <w:t>（十一）源代码审计服务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2C0A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F41205A">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0123233C">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4B28EF4F">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E97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6A1F579D">
            <w:pPr>
              <w:snapToGrid w:val="0"/>
              <w:spacing w:line="240" w:lineRule="atLeast"/>
              <w:rPr>
                <w:rFonts w:hint="eastAsia" w:ascii="仿宋" w:hAnsi="仿宋" w:eastAsia="仿宋" w:cs="仿宋"/>
                <w:sz w:val="24"/>
              </w:rPr>
            </w:pPr>
            <w:r>
              <w:rPr>
                <w:rFonts w:hint="eastAsia" w:ascii="仿宋" w:hAnsi="仿宋" w:eastAsia="仿宋" w:cs="仿宋"/>
                <w:sz w:val="24"/>
              </w:rPr>
              <w:t>源代码审计服务</w:t>
            </w:r>
          </w:p>
        </w:tc>
        <w:tc>
          <w:tcPr>
            <w:tcW w:w="1418" w:type="dxa"/>
            <w:tcBorders>
              <w:top w:val="single" w:color="auto" w:sz="4" w:space="0"/>
              <w:left w:val="nil"/>
              <w:bottom w:val="single" w:color="auto" w:sz="4" w:space="0"/>
              <w:right w:val="single" w:color="auto" w:sz="4" w:space="0"/>
            </w:tcBorders>
            <w:vAlign w:val="center"/>
          </w:tcPr>
          <w:p w14:paraId="5A589AFE">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2C782B16">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从安全的角度对代码进行安全测试和评估，检测源代码中存在的安全漏洞和缺陷隐患，降低业务系统代码的安全风险。审计范围包括采购人新上线业务系统或维护期业务系统的迭代升级更新模块。</w:t>
            </w:r>
          </w:p>
        </w:tc>
      </w:tr>
      <w:tr w14:paraId="0F61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0B82EF4B">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249A19CD">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4622F53A">
            <w:pPr>
              <w:snapToGrid w:val="0"/>
              <w:spacing w:line="240" w:lineRule="atLeast"/>
              <w:rPr>
                <w:rFonts w:hint="eastAsia" w:ascii="仿宋" w:hAnsi="仿宋" w:eastAsia="仿宋" w:cs="仿宋"/>
                <w:sz w:val="24"/>
              </w:rPr>
            </w:pPr>
            <w:r>
              <w:rPr>
                <w:rFonts w:hint="eastAsia" w:ascii="仿宋" w:hAnsi="仿宋" w:eastAsia="仿宋" w:cs="仿宋"/>
                <w:sz w:val="24"/>
              </w:rPr>
              <w:t>要求专业实施人员从安全的角度对代码进行安全测试和评估，结合丰富的安全知识、编程经验和测试技术，采用静态分析、人工审查等方法，检测源代码中存在的安全漏洞和缺陷隐患，降低业务系统代码的安全风险。</w:t>
            </w:r>
          </w:p>
        </w:tc>
      </w:tr>
      <w:tr w14:paraId="211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77E57648">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22D60E82">
            <w:pPr>
              <w:snapToGrid w:val="0"/>
              <w:spacing w:line="240" w:lineRule="atLeast"/>
              <w:rPr>
                <w:rFonts w:hint="eastAsia" w:ascii="仿宋" w:hAnsi="仿宋" w:eastAsia="仿宋" w:cs="仿宋"/>
                <w:color w:val="000000"/>
                <w:sz w:val="24"/>
              </w:rPr>
            </w:pPr>
            <w:r>
              <w:rPr>
                <w:rFonts w:hint="eastAsia" w:ascii="仿宋" w:hAnsi="仿宋" w:eastAsia="仿宋" w:cs="仿宋"/>
                <w:sz w:val="24"/>
              </w:rPr>
              <w:t>《xx系统代码安全检测报告》</w:t>
            </w:r>
          </w:p>
        </w:tc>
      </w:tr>
    </w:tbl>
    <w:p w14:paraId="627480B1">
      <w:pPr>
        <w:pStyle w:val="631"/>
        <w:rPr>
          <w:rFonts w:hint="eastAsia" w:ascii="仿宋" w:hAnsi="仿宋" w:eastAsia="仿宋" w:cs="仿宋"/>
          <w:sz w:val="24"/>
        </w:rPr>
      </w:pPr>
      <w:r>
        <w:rPr>
          <w:rFonts w:hint="eastAsia" w:ascii="仿宋" w:hAnsi="仿宋" w:eastAsia="仿宋" w:cs="仿宋"/>
          <w:sz w:val="24"/>
        </w:rPr>
        <w:t>（十二）设备巡检服务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73D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4D86349">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54ABD639">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EC62E54">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574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3C9CB97">
            <w:pPr>
              <w:snapToGrid w:val="0"/>
              <w:spacing w:line="240" w:lineRule="atLeast"/>
              <w:rPr>
                <w:rFonts w:hint="eastAsia" w:ascii="仿宋" w:hAnsi="仿宋" w:eastAsia="仿宋" w:cs="仿宋"/>
                <w:sz w:val="24"/>
              </w:rPr>
            </w:pPr>
            <w:r>
              <w:rPr>
                <w:rFonts w:hint="eastAsia" w:ascii="仿宋" w:hAnsi="仿宋" w:eastAsia="仿宋" w:cs="仿宋"/>
                <w:sz w:val="24"/>
              </w:rPr>
              <w:t>设备巡检服务</w:t>
            </w:r>
          </w:p>
        </w:tc>
        <w:tc>
          <w:tcPr>
            <w:tcW w:w="1418" w:type="dxa"/>
            <w:tcBorders>
              <w:top w:val="single" w:color="auto" w:sz="4" w:space="0"/>
              <w:left w:val="nil"/>
              <w:bottom w:val="single" w:color="auto" w:sz="4" w:space="0"/>
              <w:right w:val="single" w:color="auto" w:sz="4" w:space="0"/>
            </w:tcBorders>
            <w:vAlign w:val="center"/>
          </w:tcPr>
          <w:p w14:paraId="38D71DDD">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08411236">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对服务范围内所有安全设备、网络设备及主机设备进行巡检，并对设备日志进行分析，并形成分析报告</w:t>
            </w:r>
          </w:p>
        </w:tc>
      </w:tr>
      <w:tr w14:paraId="5984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1E4F8390">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0D753831">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4D23BCD9">
            <w:pPr>
              <w:pStyle w:val="633"/>
              <w:rPr>
                <w:rFonts w:hint="eastAsia" w:ascii="仿宋" w:hAnsi="仿宋" w:eastAsia="仿宋" w:cs="仿宋"/>
                <w:sz w:val="24"/>
                <w:szCs w:val="24"/>
              </w:rPr>
            </w:pPr>
            <w:r>
              <w:rPr>
                <w:rFonts w:hint="eastAsia" w:ascii="仿宋" w:hAnsi="仿宋" w:eastAsia="仿宋" w:cs="仿宋"/>
                <w:sz w:val="24"/>
                <w:szCs w:val="24"/>
              </w:rPr>
              <w:t>设备巡检：每日协同网络运维对设备进行巡检，对设备的日常运行状态进行监控，完成各种设备的日志检查，对重点事件进行记录，对安全事件的产生原因进行判断和解决，及时发现问题，防患于未然。</w:t>
            </w:r>
          </w:p>
          <w:p w14:paraId="1BB7EEB3">
            <w:pPr>
              <w:pStyle w:val="633"/>
              <w:rPr>
                <w:rFonts w:hint="eastAsia" w:ascii="仿宋" w:hAnsi="仿宋" w:eastAsia="仿宋" w:cs="仿宋"/>
                <w:sz w:val="24"/>
                <w:szCs w:val="24"/>
              </w:rPr>
            </w:pPr>
            <w:r>
              <w:rPr>
                <w:rFonts w:hint="eastAsia" w:ascii="仿宋" w:hAnsi="仿宋" w:eastAsia="仿宋" w:cs="仿宋"/>
                <w:sz w:val="24"/>
                <w:szCs w:val="24"/>
              </w:rPr>
              <w:t>设备日志分析：根据考试院的现场安全设备，进行定期的安全设备日志分析和检查，发现可能存在的安全风险和安全事件，并将分析结果记录在《安全设备日志分析报告》上，按周对采购人指定的安全设备进行分析服务。同时，须针对性地对安全风险提出解决建议，协助进行安全设备策略配置，使招标方能够提早预防，最大限度降低安全运营风险。</w:t>
            </w:r>
          </w:p>
        </w:tc>
      </w:tr>
      <w:tr w14:paraId="6BD6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7B0B67FC">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27339B29">
            <w:pPr>
              <w:snapToGrid w:val="0"/>
              <w:spacing w:line="240" w:lineRule="atLeast"/>
              <w:rPr>
                <w:rFonts w:hint="eastAsia" w:ascii="仿宋" w:hAnsi="仿宋" w:eastAsia="仿宋" w:cs="仿宋"/>
                <w:color w:val="000000"/>
                <w:sz w:val="24"/>
              </w:rPr>
            </w:pPr>
            <w:r>
              <w:rPr>
                <w:rFonts w:hint="eastAsia" w:ascii="仿宋" w:hAnsi="仿宋" w:eastAsia="仿宋" w:cs="仿宋"/>
                <w:sz w:val="24"/>
              </w:rPr>
              <w:t>《安全巡检报告》、《安全设备日志分析报告》</w:t>
            </w:r>
          </w:p>
        </w:tc>
      </w:tr>
    </w:tbl>
    <w:p w14:paraId="74E18C73">
      <w:pPr>
        <w:pStyle w:val="631"/>
        <w:rPr>
          <w:rFonts w:hint="eastAsia" w:ascii="仿宋" w:hAnsi="仿宋" w:eastAsia="仿宋" w:cs="仿宋"/>
          <w:sz w:val="24"/>
        </w:rPr>
      </w:pPr>
      <w:r>
        <w:rPr>
          <w:rFonts w:hint="eastAsia" w:ascii="仿宋" w:hAnsi="仿宋" w:eastAsia="仿宋" w:cs="仿宋"/>
          <w:sz w:val="24"/>
        </w:rPr>
        <w:t>（十三）合规性咨询及检查服务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8F1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BA5D5F6">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1FFFF5C9">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9DABD9A">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128D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47E57AC1">
            <w:pPr>
              <w:snapToGrid w:val="0"/>
              <w:spacing w:line="240" w:lineRule="atLeast"/>
              <w:rPr>
                <w:rFonts w:hint="eastAsia" w:ascii="仿宋" w:hAnsi="仿宋" w:eastAsia="仿宋" w:cs="仿宋"/>
                <w:sz w:val="24"/>
              </w:rPr>
            </w:pPr>
            <w:r>
              <w:rPr>
                <w:rFonts w:hint="eastAsia" w:ascii="仿宋" w:hAnsi="仿宋" w:eastAsia="仿宋" w:cs="仿宋"/>
                <w:sz w:val="24"/>
              </w:rPr>
              <w:t>合规性咨询及检查服务</w:t>
            </w:r>
          </w:p>
        </w:tc>
        <w:tc>
          <w:tcPr>
            <w:tcW w:w="1418" w:type="dxa"/>
            <w:tcBorders>
              <w:top w:val="single" w:color="auto" w:sz="4" w:space="0"/>
              <w:left w:val="nil"/>
              <w:bottom w:val="single" w:color="auto" w:sz="4" w:space="0"/>
              <w:right w:val="single" w:color="auto" w:sz="4" w:space="0"/>
            </w:tcBorders>
            <w:vAlign w:val="center"/>
          </w:tcPr>
          <w:p w14:paraId="548D317B">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50C656EA">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提供等级保护、商用密码安全评估咨询服务以及密码改造合规性咨询服务等安全相关咨询服务，每年按照等级保护测评标准和商用密码应用安全性评估规范标准按各项要求进行检查，并形成检查报告，同时配合考试院完成等保测评和商用密码应用安全性评估。</w:t>
            </w:r>
          </w:p>
        </w:tc>
      </w:tr>
      <w:tr w14:paraId="47C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47C45EA4">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07C49FC3">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1E0E2654">
            <w:pPr>
              <w:pStyle w:val="633"/>
              <w:rPr>
                <w:rFonts w:hint="eastAsia" w:ascii="仿宋" w:hAnsi="仿宋" w:eastAsia="仿宋" w:cs="仿宋"/>
                <w:sz w:val="24"/>
                <w:szCs w:val="24"/>
              </w:rPr>
            </w:pPr>
            <w:r>
              <w:rPr>
                <w:rFonts w:hint="eastAsia" w:ascii="仿宋" w:hAnsi="仿宋" w:eastAsia="仿宋" w:cs="仿宋"/>
                <w:sz w:val="24"/>
                <w:szCs w:val="24"/>
              </w:rPr>
              <w:t>等级保护及商用密码安全评估咨询：供应商需提供对采购人各类业务系统的网络安全等级保护、商用密码安全性评估咨询服务，主要但不限于等保定级咨询、等保测评整改咨询、商用密码安全评估合规性咨询、密码改造合规性咨询等内容。</w:t>
            </w:r>
          </w:p>
          <w:p w14:paraId="7FE46941">
            <w:pPr>
              <w:pStyle w:val="633"/>
              <w:rPr>
                <w:rFonts w:hint="eastAsia" w:ascii="仿宋" w:hAnsi="仿宋" w:eastAsia="仿宋" w:cs="仿宋"/>
                <w:sz w:val="24"/>
                <w:szCs w:val="24"/>
                <w:lang w:val="zh-CN"/>
              </w:rPr>
            </w:pPr>
            <w:r>
              <w:rPr>
                <w:rFonts w:hint="eastAsia" w:ascii="仿宋" w:hAnsi="仿宋" w:eastAsia="仿宋" w:cs="仿宋"/>
                <w:sz w:val="24"/>
                <w:szCs w:val="24"/>
              </w:rPr>
              <w:t>等级保护及商用密码安全评估合规性检查：对采购人定级的三级等保系统按等保和密评标准，对照检查项进行合规性检查，并形成检查结果和初步修改意见，协同采购人完成整改。</w:t>
            </w:r>
          </w:p>
        </w:tc>
      </w:tr>
      <w:tr w14:paraId="79D5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1207C416">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0A66C419">
            <w:pPr>
              <w:snapToGrid w:val="0"/>
              <w:spacing w:line="240" w:lineRule="atLeast"/>
              <w:rPr>
                <w:rFonts w:hint="eastAsia" w:ascii="仿宋" w:hAnsi="仿宋" w:eastAsia="仿宋" w:cs="仿宋"/>
                <w:color w:val="000000"/>
                <w:sz w:val="24"/>
              </w:rPr>
            </w:pPr>
            <w:r>
              <w:rPr>
                <w:rFonts w:hint="eastAsia" w:ascii="仿宋" w:hAnsi="仿宋" w:eastAsia="仿宋" w:cs="仿宋"/>
                <w:sz w:val="24"/>
              </w:rPr>
              <w:t>《合规性检查报告》</w:t>
            </w:r>
          </w:p>
        </w:tc>
      </w:tr>
    </w:tbl>
    <w:p w14:paraId="44E93846">
      <w:pPr>
        <w:pStyle w:val="631"/>
        <w:rPr>
          <w:rFonts w:hint="eastAsia" w:ascii="仿宋" w:hAnsi="仿宋" w:eastAsia="仿宋" w:cs="仿宋"/>
          <w:sz w:val="24"/>
        </w:rPr>
      </w:pPr>
      <w:r>
        <w:rPr>
          <w:rFonts w:hint="eastAsia" w:ascii="仿宋" w:hAnsi="仿宋" w:eastAsia="仿宋" w:cs="仿宋"/>
          <w:sz w:val="24"/>
        </w:rPr>
        <w:t>（十四）安全产品集成与验证服务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378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B70B8C6">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5D53D537">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AD0C6A0">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6F7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31FD1776">
            <w:pPr>
              <w:snapToGrid w:val="0"/>
              <w:spacing w:line="240" w:lineRule="atLeast"/>
              <w:rPr>
                <w:rFonts w:hint="eastAsia" w:ascii="仿宋" w:hAnsi="仿宋" w:eastAsia="仿宋" w:cs="仿宋"/>
                <w:sz w:val="24"/>
              </w:rPr>
            </w:pPr>
            <w:r>
              <w:rPr>
                <w:rFonts w:hint="eastAsia" w:ascii="仿宋" w:hAnsi="仿宋" w:eastAsia="仿宋" w:cs="仿宋"/>
                <w:sz w:val="24"/>
              </w:rPr>
              <w:t>安全产品集成与验证服务</w:t>
            </w:r>
          </w:p>
        </w:tc>
        <w:tc>
          <w:tcPr>
            <w:tcW w:w="1418" w:type="dxa"/>
            <w:tcBorders>
              <w:top w:val="single" w:color="auto" w:sz="4" w:space="0"/>
              <w:left w:val="nil"/>
              <w:bottom w:val="single" w:color="auto" w:sz="4" w:space="0"/>
              <w:right w:val="single" w:color="auto" w:sz="4" w:space="0"/>
            </w:tcBorders>
            <w:vAlign w:val="center"/>
          </w:tcPr>
          <w:p w14:paraId="75BA59B3">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176EBB2F">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根据安全建设总体方案设计和技术策略设计的结果，对浙江省教育考试院采购的各类安全产品提供集成与验证服务，指导考试院完善信息安全保障体系。</w:t>
            </w:r>
          </w:p>
        </w:tc>
      </w:tr>
      <w:tr w14:paraId="0215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94479CF">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711DF61D">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1D65FC66">
            <w:pPr>
              <w:snapToGrid w:val="0"/>
              <w:spacing w:line="240" w:lineRule="atLeast"/>
              <w:rPr>
                <w:rFonts w:hint="eastAsia" w:ascii="仿宋" w:hAnsi="仿宋" w:eastAsia="仿宋" w:cs="仿宋"/>
                <w:sz w:val="24"/>
              </w:rPr>
            </w:pPr>
            <w:r>
              <w:rPr>
                <w:rFonts w:hint="eastAsia" w:ascii="仿宋" w:hAnsi="仿宋" w:eastAsia="仿宋" w:cs="仿宋"/>
                <w:sz w:val="24"/>
              </w:rPr>
              <w:t>集成与验证工作包括但不限于以下工作内容：安全设备进场到货验收、安装、调试、策略配置、试运行、验收工作任务；进行详细工程实施方案设计，指导安全产品集成实施的具体工作；按照前期安全技术设计中的安全配置规则，对安全产品进行配置；提交相关技术文件，包括集成设计文档、系统逻辑连接图、设备物理连接图、配置文档、安装指南、系统测试要求、验收技术标准等；按照应用系统部署规范，在应用系统部署前进行安全检查；进行安全产品上线实施工作；协同测试网络、主机和应用系统等，确保各类安全策略有效运行；对于检查中发现的安全隐患，对能通过配置安全设备解决的，在用户方采购设备前由供应商免费提供备用设备；供应商应根据上述内容，提出相应集成实施方案，内容包括但不限于：集成方法论、总体进度计划及保障措施，质量保证措施等。</w:t>
            </w:r>
          </w:p>
        </w:tc>
      </w:tr>
      <w:tr w14:paraId="424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38FAC9E2">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3F62D421">
            <w:pPr>
              <w:snapToGrid w:val="0"/>
              <w:spacing w:line="240" w:lineRule="atLeast"/>
              <w:rPr>
                <w:rFonts w:hint="eastAsia" w:ascii="仿宋" w:hAnsi="仿宋" w:eastAsia="仿宋" w:cs="仿宋"/>
                <w:color w:val="000000"/>
                <w:sz w:val="24"/>
              </w:rPr>
            </w:pPr>
            <w:r>
              <w:rPr>
                <w:rFonts w:hint="eastAsia" w:ascii="仿宋" w:hAnsi="仿宋" w:eastAsia="仿宋" w:cs="仿宋"/>
                <w:sz w:val="24"/>
              </w:rPr>
              <w:t>《集成实施方案》</w:t>
            </w:r>
          </w:p>
        </w:tc>
      </w:tr>
    </w:tbl>
    <w:p w14:paraId="50BDB3EA">
      <w:pPr>
        <w:pStyle w:val="631"/>
        <w:rPr>
          <w:rFonts w:hint="eastAsia" w:ascii="仿宋" w:hAnsi="仿宋" w:eastAsia="仿宋" w:cs="仿宋"/>
          <w:sz w:val="24"/>
        </w:rPr>
      </w:pPr>
      <w:r>
        <w:rPr>
          <w:rFonts w:hint="eastAsia" w:ascii="仿宋" w:hAnsi="仿宋" w:eastAsia="仿宋" w:cs="仿宋"/>
          <w:sz w:val="24"/>
        </w:rPr>
        <w:t>（十五）网络信息安全管理制度完善</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718A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F5E3613">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5D20BC8A">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6C6704CD">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1650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62740FD3">
            <w:pPr>
              <w:snapToGrid w:val="0"/>
              <w:spacing w:line="240" w:lineRule="atLeast"/>
              <w:rPr>
                <w:rFonts w:hint="eastAsia" w:ascii="仿宋" w:hAnsi="仿宋" w:eastAsia="仿宋" w:cs="仿宋"/>
                <w:sz w:val="24"/>
              </w:rPr>
            </w:pPr>
            <w:r>
              <w:rPr>
                <w:rFonts w:hint="eastAsia" w:ascii="仿宋" w:hAnsi="仿宋" w:eastAsia="仿宋" w:cs="仿宋"/>
                <w:sz w:val="24"/>
              </w:rPr>
              <w:t>网络信息安全管理制度完善</w:t>
            </w:r>
          </w:p>
        </w:tc>
        <w:tc>
          <w:tcPr>
            <w:tcW w:w="1418" w:type="dxa"/>
            <w:tcBorders>
              <w:top w:val="single" w:color="auto" w:sz="4" w:space="0"/>
              <w:left w:val="nil"/>
              <w:bottom w:val="single" w:color="auto" w:sz="4" w:space="0"/>
              <w:right w:val="single" w:color="auto" w:sz="4" w:space="0"/>
            </w:tcBorders>
            <w:vAlign w:val="center"/>
          </w:tcPr>
          <w:p w14:paraId="48AFBB7E">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696B83E4">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依据《网络安全法》、《中华人民共和国密码法》、《个人信息保护法》、《数据安全法》、《关键信息基础设施保护条例》、《商用密码管理条例》、《国家教育管理信息系统信息安全保障体系建设设指南》及有关标准、规范要求，结合用户单位实际，进一步制订完善《浙江省教育考试院网络信息安全保障体系建设方案》，包含网络安全、数据安全、关键信息基础设施安全以及商用密码安全等内容。</w:t>
            </w:r>
          </w:p>
        </w:tc>
      </w:tr>
      <w:tr w14:paraId="3FD1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13E8F608">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30970565">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18BB7887">
            <w:pPr>
              <w:pStyle w:val="633"/>
              <w:rPr>
                <w:rFonts w:hint="eastAsia" w:ascii="仿宋" w:hAnsi="仿宋" w:eastAsia="仿宋" w:cs="仿宋"/>
                <w:sz w:val="24"/>
                <w:szCs w:val="24"/>
              </w:rPr>
            </w:pPr>
            <w:r>
              <w:rPr>
                <w:rFonts w:hint="eastAsia" w:ascii="仿宋" w:hAnsi="仿宋" w:eastAsia="仿宋" w:cs="仿宋"/>
                <w:sz w:val="24"/>
                <w:szCs w:val="24"/>
              </w:rPr>
              <w:t>安全管理体系完善：安全管理体系应覆盖安全管理制度、安全管理机构、安全管理人员、安全建设管理、安全运维管理五个层面，同时充分结合采购人的实际需求，在安全管理体系建设过程中，重点做好信息安全组织、安全管理制度等方面完善。</w:t>
            </w:r>
          </w:p>
          <w:p w14:paraId="4805C6A5">
            <w:pPr>
              <w:pStyle w:val="633"/>
              <w:rPr>
                <w:rFonts w:hint="eastAsia" w:ascii="仿宋" w:hAnsi="仿宋" w:eastAsia="仿宋" w:cs="仿宋"/>
                <w:sz w:val="24"/>
                <w:szCs w:val="24"/>
              </w:rPr>
            </w:pPr>
            <w:r>
              <w:rPr>
                <w:rFonts w:hint="eastAsia" w:ascii="仿宋" w:hAnsi="仿宋" w:eastAsia="仿宋" w:cs="仿宋"/>
                <w:sz w:val="24"/>
                <w:szCs w:val="24"/>
              </w:rPr>
              <w:t>安全技术体系完善：安全技术体系应覆盖安全物理环境、安全通信网络、安全区域边界、安全计算环境及安全管理中心五个层面，根据安全保障需求，结合实际情况，从基础设施安全和应用系统安全等方面进行安全技术体系的完善。安全技术体系建设由安全标准、安全技术和管理应用指南等组成。安全标准包括各个网络设备、主机操作系统和主要应用程序的应遵守的安全配置和管理的技术标准和规范。安全技术和管理应用指南是指导具体执行人员操作和使用的详细文档。</w:t>
            </w:r>
          </w:p>
        </w:tc>
      </w:tr>
      <w:tr w14:paraId="6C98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2E761384">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58FF9D2B">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《浙江省教育考试院网络信息安全保障体系建设方案》</w:t>
            </w:r>
          </w:p>
        </w:tc>
      </w:tr>
    </w:tbl>
    <w:p w14:paraId="6CF6FAED">
      <w:pPr>
        <w:pStyle w:val="631"/>
        <w:rPr>
          <w:rFonts w:hint="eastAsia" w:ascii="仿宋" w:hAnsi="仿宋" w:eastAsia="仿宋" w:cs="仿宋"/>
          <w:sz w:val="24"/>
        </w:rPr>
      </w:pPr>
      <w:r>
        <w:rPr>
          <w:rFonts w:hint="eastAsia" w:ascii="仿宋" w:hAnsi="仿宋" w:eastAsia="仿宋" w:cs="仿宋"/>
          <w:sz w:val="24"/>
        </w:rPr>
        <w:t>（十六）数据安全服务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D9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337F4B">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1F8BF571">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9EA4993">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2516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ACA58C3">
            <w:pPr>
              <w:snapToGrid w:val="0"/>
              <w:spacing w:line="240" w:lineRule="atLeast"/>
              <w:rPr>
                <w:rFonts w:hint="eastAsia" w:ascii="仿宋" w:hAnsi="仿宋" w:eastAsia="仿宋" w:cs="仿宋"/>
                <w:sz w:val="24"/>
              </w:rPr>
            </w:pPr>
            <w:r>
              <w:rPr>
                <w:rFonts w:hint="eastAsia" w:ascii="仿宋" w:hAnsi="仿宋" w:eastAsia="仿宋" w:cs="仿宋"/>
                <w:sz w:val="24"/>
              </w:rPr>
              <w:t>数据安全服务</w:t>
            </w:r>
          </w:p>
        </w:tc>
        <w:tc>
          <w:tcPr>
            <w:tcW w:w="1418" w:type="dxa"/>
            <w:tcBorders>
              <w:top w:val="single" w:color="auto" w:sz="4" w:space="0"/>
              <w:left w:val="nil"/>
              <w:bottom w:val="single" w:color="auto" w:sz="4" w:space="0"/>
              <w:right w:val="single" w:color="auto" w:sz="4" w:space="0"/>
            </w:tcBorders>
            <w:vAlign w:val="center"/>
          </w:tcPr>
          <w:p w14:paraId="601D99F2">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4390822C">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数据安全服务包括数据访问行为核查、数据泄露事件溯源等工作。</w:t>
            </w:r>
          </w:p>
        </w:tc>
      </w:tr>
      <w:tr w14:paraId="496C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1EEEA2F0">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7056420">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52AEE76C">
            <w:pPr>
              <w:pStyle w:val="633"/>
              <w:rPr>
                <w:rFonts w:hint="eastAsia" w:ascii="仿宋" w:hAnsi="仿宋" w:eastAsia="仿宋" w:cs="仿宋"/>
                <w:sz w:val="24"/>
                <w:szCs w:val="24"/>
              </w:rPr>
            </w:pPr>
            <w:r>
              <w:rPr>
                <w:rFonts w:hint="eastAsia" w:ascii="仿宋" w:hAnsi="仿宋" w:eastAsia="仿宋" w:cs="仿宋"/>
                <w:sz w:val="24"/>
                <w:szCs w:val="24"/>
                <w:lang w:bidi="ar"/>
              </w:rPr>
              <w:t>数据访问行为核查：对人员访问行为进行审查，及时发现没有业务需求的数据访问行为，并通知安全管理人员进行处理。</w:t>
            </w:r>
          </w:p>
          <w:p w14:paraId="6499933B">
            <w:pPr>
              <w:pStyle w:val="633"/>
              <w:rPr>
                <w:rFonts w:hint="eastAsia" w:ascii="仿宋" w:hAnsi="仿宋" w:eastAsia="仿宋" w:cs="仿宋"/>
                <w:sz w:val="24"/>
                <w:szCs w:val="24"/>
              </w:rPr>
            </w:pPr>
            <w:r>
              <w:rPr>
                <w:rFonts w:hint="eastAsia" w:ascii="仿宋" w:hAnsi="仿宋" w:eastAsia="仿宋" w:cs="仿宋"/>
                <w:sz w:val="24"/>
                <w:szCs w:val="24"/>
                <w:lang w:bidi="ar"/>
              </w:rPr>
              <w:t>数据泄露事件溯源：当监管机构通告或安全系统发现数据批量泄露时，通过查看各安全系统日志，定位泄露数据在什么时候被谁在什么环境下访问过，同时分析还原数据访问路径，快速定位高危的可疑人员，快速定位问题。</w:t>
            </w:r>
          </w:p>
        </w:tc>
      </w:tr>
      <w:tr w14:paraId="6496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504A9937">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1AD5C304">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《数据安全服务报告》</w:t>
            </w:r>
          </w:p>
        </w:tc>
      </w:tr>
    </w:tbl>
    <w:p w14:paraId="5A030B2C">
      <w:pPr>
        <w:pStyle w:val="631"/>
        <w:rPr>
          <w:rFonts w:hint="eastAsia" w:ascii="仿宋" w:hAnsi="仿宋" w:eastAsia="仿宋" w:cs="仿宋"/>
          <w:sz w:val="24"/>
        </w:rPr>
      </w:pPr>
      <w:r>
        <w:rPr>
          <w:rFonts w:hint="eastAsia" w:ascii="仿宋" w:hAnsi="仿宋" w:eastAsia="仿宋" w:cs="仿宋"/>
          <w:sz w:val="24"/>
        </w:rPr>
        <w:t>（十七）网站云安全防护服务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404A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7F9DA0C">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05CB8E2F">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23A821A2">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1670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2D9D5468">
            <w:pPr>
              <w:snapToGrid w:val="0"/>
              <w:spacing w:line="240" w:lineRule="atLeast"/>
              <w:rPr>
                <w:rFonts w:hint="eastAsia" w:ascii="仿宋" w:hAnsi="仿宋" w:eastAsia="仿宋" w:cs="仿宋"/>
                <w:sz w:val="24"/>
              </w:rPr>
            </w:pPr>
            <w:r>
              <w:rPr>
                <w:rFonts w:hint="eastAsia" w:ascii="仿宋" w:hAnsi="仿宋" w:eastAsia="仿宋" w:cs="仿宋"/>
                <w:sz w:val="24"/>
              </w:rPr>
              <w:t>网站云安全防护服务</w:t>
            </w:r>
          </w:p>
        </w:tc>
        <w:tc>
          <w:tcPr>
            <w:tcW w:w="1418" w:type="dxa"/>
            <w:tcBorders>
              <w:top w:val="single" w:color="auto" w:sz="4" w:space="0"/>
              <w:left w:val="nil"/>
              <w:bottom w:val="single" w:color="auto" w:sz="4" w:space="0"/>
              <w:right w:val="single" w:color="auto" w:sz="4" w:space="0"/>
            </w:tcBorders>
            <w:vAlign w:val="center"/>
          </w:tcPr>
          <w:p w14:paraId="62BE1577">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281B710D">
            <w:pPr>
              <w:widowControl/>
              <w:snapToGrid w:val="0"/>
              <w:spacing w:line="240" w:lineRule="atLeast"/>
              <w:rPr>
                <w:rFonts w:hint="eastAsia" w:ascii="仿宋" w:hAnsi="仿宋" w:eastAsia="仿宋" w:cs="仿宋"/>
                <w:sz w:val="24"/>
              </w:rPr>
            </w:pPr>
            <w:r>
              <w:rPr>
                <w:rFonts w:hint="eastAsia" w:ascii="仿宋" w:hAnsi="仿宋" w:eastAsia="仿宋" w:cs="仿宋"/>
                <w:color w:val="000000"/>
                <w:sz w:val="24"/>
              </w:rPr>
              <w:t>提供指定站点的云安全防护服务，具备各类攻击防护功能，能够阻截各种针对Web应用系统的攻击行为，防止黑客进行违规资产扫描，支持对业务配置访问控制策略。</w:t>
            </w:r>
          </w:p>
        </w:tc>
      </w:tr>
      <w:tr w14:paraId="2718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B670CE2">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DBFC41C">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4EC6A0EA">
            <w:pPr>
              <w:snapToGrid w:val="0"/>
              <w:spacing w:line="240" w:lineRule="atLeast"/>
              <w:rPr>
                <w:rFonts w:hint="eastAsia" w:ascii="仿宋" w:hAnsi="仿宋" w:eastAsia="仿宋" w:cs="仿宋"/>
                <w:sz w:val="24"/>
              </w:rPr>
            </w:pPr>
            <w:r>
              <w:rPr>
                <w:rFonts w:hint="eastAsia" w:ascii="仿宋" w:hAnsi="仿宋" w:eastAsia="仿宋" w:cs="仿宋"/>
                <w:sz w:val="24"/>
              </w:rPr>
              <w:t>提供包括入侵、篡改、漏洞、WebShell、业务安全等类型的网络防护；提供定时关启应用服务及静态页面替身服务；重要时期应对云安全服务的带宽进行升级，保障各类应用支撑的需要。供应商需提供接入云防护站点的SSL证书服务，证书应为</w:t>
            </w:r>
            <w:r>
              <w:rPr>
                <w:rFonts w:hint="eastAsia" w:ascii="仿宋" w:hAnsi="仿宋" w:eastAsia="仿宋" w:cs="仿宋"/>
                <w:kern w:val="0"/>
                <w:sz w:val="24"/>
              </w:rPr>
              <w:t>符合国家密码管理局要求的第三方CA机构数字证书。</w:t>
            </w:r>
          </w:p>
        </w:tc>
      </w:tr>
      <w:tr w14:paraId="4870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51FB5454">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7DD55109">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《网站云安全防护报告》</w:t>
            </w:r>
          </w:p>
        </w:tc>
      </w:tr>
    </w:tbl>
    <w:p w14:paraId="1EB7ED56">
      <w:pPr>
        <w:pStyle w:val="631"/>
        <w:rPr>
          <w:rFonts w:hint="eastAsia" w:ascii="仿宋" w:hAnsi="仿宋" w:eastAsia="仿宋" w:cs="仿宋"/>
          <w:sz w:val="24"/>
        </w:rPr>
      </w:pPr>
      <w:r>
        <w:rPr>
          <w:rFonts w:hint="eastAsia" w:ascii="仿宋" w:hAnsi="仿宋" w:eastAsia="仿宋" w:cs="仿宋"/>
          <w:sz w:val="24"/>
        </w:rPr>
        <w:t>（十八）应急响应</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1B45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4763616">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6EA847C4">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3FCF7ADA">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3EAB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6750E308">
            <w:pPr>
              <w:snapToGrid w:val="0"/>
              <w:spacing w:line="240" w:lineRule="atLeast"/>
              <w:rPr>
                <w:rFonts w:hint="eastAsia" w:ascii="仿宋" w:hAnsi="仿宋" w:eastAsia="仿宋" w:cs="仿宋"/>
                <w:sz w:val="24"/>
              </w:rPr>
            </w:pPr>
            <w:r>
              <w:rPr>
                <w:rFonts w:hint="eastAsia" w:ascii="仿宋" w:hAnsi="仿宋" w:eastAsia="仿宋" w:cs="仿宋"/>
                <w:sz w:val="24"/>
              </w:rPr>
              <w:t>应急响应</w:t>
            </w:r>
          </w:p>
        </w:tc>
        <w:tc>
          <w:tcPr>
            <w:tcW w:w="1418" w:type="dxa"/>
            <w:tcBorders>
              <w:top w:val="single" w:color="auto" w:sz="4" w:space="0"/>
              <w:left w:val="nil"/>
              <w:bottom w:val="single" w:color="auto" w:sz="4" w:space="0"/>
              <w:right w:val="single" w:color="auto" w:sz="4" w:space="0"/>
            </w:tcBorders>
            <w:vAlign w:val="center"/>
          </w:tcPr>
          <w:p w14:paraId="758DBBDD">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0975E4DD">
            <w:pPr>
              <w:widowControl/>
              <w:snapToGrid w:val="0"/>
              <w:spacing w:line="240" w:lineRule="atLeast"/>
              <w:rPr>
                <w:rFonts w:hint="eastAsia" w:ascii="仿宋" w:hAnsi="仿宋" w:eastAsia="仿宋" w:cs="仿宋"/>
                <w:sz w:val="24"/>
              </w:rPr>
            </w:pPr>
            <w:r>
              <w:rPr>
                <w:rFonts w:hint="eastAsia" w:ascii="仿宋" w:hAnsi="仿宋" w:eastAsia="仿宋" w:cs="仿宋"/>
                <w:sz w:val="24"/>
              </w:rPr>
              <w:t>针对考试院发生的安全事件提供7*24小时应急响应服务，包括恢复业务、排查问题以及事件取证等。</w:t>
            </w:r>
          </w:p>
        </w:tc>
      </w:tr>
      <w:tr w14:paraId="406C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6B4CE6AE">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1930C7B8">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7CB3D87B">
            <w:pPr>
              <w:pStyle w:val="633"/>
              <w:rPr>
                <w:rFonts w:hint="eastAsia" w:ascii="仿宋" w:hAnsi="仿宋" w:eastAsia="仿宋" w:cs="仿宋"/>
                <w:sz w:val="24"/>
                <w:szCs w:val="24"/>
              </w:rPr>
            </w:pPr>
            <w:r>
              <w:rPr>
                <w:rFonts w:hint="eastAsia" w:ascii="仿宋" w:hAnsi="仿宋" w:eastAsia="仿宋" w:cs="仿宋"/>
                <w:sz w:val="24"/>
                <w:szCs w:val="24"/>
              </w:rPr>
              <w:t>制订信息安全应急响应预案，建立应急响应机制，提供7*24小时安全应急响应服务，除日常应急响应外，还需提供节假日保障服务。当安全威胁事件发生或安全问题严重影响业务平稳运行时，需在接到应急响应需求后半小时做出响应，一小时内到达现场，初步判断安全事件类型及严重性，并采取措施和行动以最快速度恢复系统的保密性、完整性和可用性，阻止和降低相关事件带来的严重性影响，恢复业务到正常服务状态。在应急响应服务完成后的1个工作日内，提供详细的安全应急响应报告，内容包括安全事件现象和原因分析、已造成的影响、处理办法、处理结果、相似事件排查、预防和改进建议等。安全应急响应报告应由供应商签字、盖章确认后提交采购人，并得到采购人认可。</w:t>
            </w:r>
          </w:p>
        </w:tc>
      </w:tr>
      <w:tr w14:paraId="40A1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748E75D1">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30782137">
            <w:pPr>
              <w:pStyle w:val="633"/>
              <w:rPr>
                <w:rFonts w:hint="eastAsia" w:ascii="仿宋" w:hAnsi="仿宋" w:eastAsia="仿宋" w:cs="仿宋"/>
                <w:color w:val="000000"/>
                <w:sz w:val="24"/>
                <w:szCs w:val="24"/>
              </w:rPr>
            </w:pPr>
            <w:r>
              <w:rPr>
                <w:rFonts w:hint="eastAsia" w:ascii="仿宋" w:hAnsi="仿宋" w:eastAsia="仿宋" w:cs="仿宋"/>
                <w:sz w:val="24"/>
                <w:szCs w:val="24"/>
              </w:rPr>
              <w:t>《信息安全应急响应预案》、《xx事件应急响应报告》</w:t>
            </w:r>
          </w:p>
        </w:tc>
      </w:tr>
    </w:tbl>
    <w:p w14:paraId="1476D0F1">
      <w:pPr>
        <w:pStyle w:val="631"/>
        <w:rPr>
          <w:rFonts w:hint="eastAsia" w:ascii="仿宋" w:hAnsi="仿宋" w:eastAsia="仿宋" w:cs="仿宋"/>
          <w:sz w:val="24"/>
        </w:rPr>
      </w:pPr>
      <w:r>
        <w:rPr>
          <w:rFonts w:hint="eastAsia" w:ascii="仿宋" w:hAnsi="仿宋" w:eastAsia="仿宋" w:cs="仿宋"/>
          <w:sz w:val="24"/>
        </w:rPr>
        <w:t>（十九）安全培训</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F0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3B135C">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346F0140">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0552089E">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46E0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53B82B9E">
            <w:pPr>
              <w:snapToGrid w:val="0"/>
              <w:spacing w:line="240" w:lineRule="atLeast"/>
              <w:rPr>
                <w:rFonts w:hint="eastAsia" w:ascii="仿宋" w:hAnsi="仿宋" w:eastAsia="仿宋" w:cs="仿宋"/>
                <w:sz w:val="24"/>
              </w:rPr>
            </w:pPr>
            <w:r>
              <w:rPr>
                <w:rFonts w:hint="eastAsia" w:ascii="仿宋" w:hAnsi="仿宋" w:eastAsia="仿宋" w:cs="仿宋"/>
                <w:sz w:val="24"/>
              </w:rPr>
              <w:t>安全培训</w:t>
            </w:r>
          </w:p>
        </w:tc>
        <w:tc>
          <w:tcPr>
            <w:tcW w:w="1418" w:type="dxa"/>
            <w:tcBorders>
              <w:top w:val="single" w:color="auto" w:sz="4" w:space="0"/>
              <w:left w:val="nil"/>
              <w:bottom w:val="single" w:color="auto" w:sz="4" w:space="0"/>
              <w:right w:val="single" w:color="auto" w:sz="4" w:space="0"/>
            </w:tcBorders>
            <w:vAlign w:val="center"/>
          </w:tcPr>
          <w:p w14:paraId="437CD3B7">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78CC03D9">
            <w:pPr>
              <w:widowControl/>
              <w:snapToGrid w:val="0"/>
              <w:spacing w:line="240" w:lineRule="atLeast"/>
              <w:rPr>
                <w:rFonts w:hint="eastAsia" w:ascii="仿宋" w:hAnsi="仿宋" w:eastAsia="仿宋" w:cs="仿宋"/>
                <w:sz w:val="24"/>
              </w:rPr>
            </w:pPr>
            <w:r>
              <w:rPr>
                <w:rFonts w:hint="eastAsia" w:ascii="仿宋" w:hAnsi="仿宋" w:eastAsia="仿宋" w:cs="仿宋"/>
                <w:sz w:val="24"/>
              </w:rPr>
              <w:t>安全培训内容包括应用安全认证培训、安全意识培训、攻防技术等技能培训，通过安全培训，能够提升单位人员的安全意识、安全技能等，同时提高系统开发运维的建设水平以及网络运维水平。</w:t>
            </w:r>
          </w:p>
        </w:tc>
      </w:tr>
      <w:tr w14:paraId="383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F28D24D">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6DFBCB4C">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57A4DBE8">
            <w:pPr>
              <w:pStyle w:val="633"/>
              <w:rPr>
                <w:rFonts w:hint="eastAsia" w:ascii="仿宋" w:hAnsi="仿宋" w:eastAsia="仿宋" w:cs="仿宋"/>
                <w:sz w:val="24"/>
                <w:szCs w:val="24"/>
              </w:rPr>
            </w:pPr>
            <w:r>
              <w:rPr>
                <w:rFonts w:hint="eastAsia" w:ascii="仿宋" w:hAnsi="仿宋" w:eastAsia="仿宋" w:cs="仿宋"/>
                <w:sz w:val="24"/>
                <w:szCs w:val="24"/>
              </w:rPr>
              <w:t>安全培训对象包含系统建设方、使用方、供应链（包含开发、测试以及运维方）以及其他需要进行安全宣贯的对象，针对不同培训对象需制定不同培训策略，通过剖析最新安全事件以及典型安全漏洞，结合最新的攻击技术及安全理论，讲解信息安全理念与技术知识，提高个人隐私保护、常规攻击防护、信息安全管理等能力，增强个人网络安全防护意识，规避网络攻击风险。供应商需支持现场培训、视频教学、网络直播以及书籍阅读等多种培训方式。</w:t>
            </w:r>
          </w:p>
        </w:tc>
      </w:tr>
      <w:tr w14:paraId="7234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1A795CD6">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58FE7E55">
            <w:pPr>
              <w:snapToGrid w:val="0"/>
              <w:spacing w:line="240" w:lineRule="atLeast"/>
              <w:rPr>
                <w:rFonts w:hint="eastAsia" w:ascii="仿宋" w:hAnsi="仿宋" w:eastAsia="仿宋" w:cs="仿宋"/>
                <w:color w:val="000000"/>
                <w:sz w:val="24"/>
              </w:rPr>
            </w:pPr>
            <w:r>
              <w:rPr>
                <w:rFonts w:hint="eastAsia" w:ascii="仿宋" w:hAnsi="仿宋" w:eastAsia="仿宋" w:cs="仿宋"/>
                <w:sz w:val="24"/>
              </w:rPr>
              <w:t>《培训方案》、《培训签到表》</w:t>
            </w:r>
          </w:p>
        </w:tc>
      </w:tr>
    </w:tbl>
    <w:p w14:paraId="7AFC0FB5">
      <w:pPr>
        <w:pStyle w:val="631"/>
        <w:rPr>
          <w:rFonts w:hint="eastAsia" w:ascii="仿宋" w:hAnsi="仿宋" w:eastAsia="仿宋" w:cs="仿宋"/>
          <w:sz w:val="24"/>
        </w:rPr>
      </w:pPr>
      <w:r>
        <w:rPr>
          <w:rFonts w:hint="eastAsia" w:ascii="仿宋" w:hAnsi="仿宋" w:eastAsia="仿宋" w:cs="仿宋"/>
          <w:sz w:val="24"/>
        </w:rPr>
        <w:t>（二十）应急演练</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2CF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B3A1968">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28C4F70C">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64F5DA99">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624C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1C330218">
            <w:pPr>
              <w:snapToGrid w:val="0"/>
              <w:spacing w:line="240" w:lineRule="atLeast"/>
              <w:rPr>
                <w:rFonts w:hint="eastAsia" w:ascii="仿宋" w:hAnsi="仿宋" w:eastAsia="仿宋" w:cs="仿宋"/>
                <w:sz w:val="24"/>
              </w:rPr>
            </w:pPr>
            <w:r>
              <w:rPr>
                <w:rFonts w:hint="eastAsia" w:ascii="仿宋" w:hAnsi="仿宋" w:eastAsia="仿宋" w:cs="仿宋"/>
                <w:sz w:val="24"/>
              </w:rPr>
              <w:t>应急演练</w:t>
            </w:r>
          </w:p>
        </w:tc>
        <w:tc>
          <w:tcPr>
            <w:tcW w:w="1418" w:type="dxa"/>
            <w:tcBorders>
              <w:top w:val="single" w:color="auto" w:sz="4" w:space="0"/>
              <w:left w:val="nil"/>
              <w:bottom w:val="single" w:color="auto" w:sz="4" w:space="0"/>
              <w:right w:val="single" w:color="auto" w:sz="4" w:space="0"/>
            </w:tcBorders>
            <w:vAlign w:val="center"/>
          </w:tcPr>
          <w:p w14:paraId="209183CD">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25930452">
            <w:pPr>
              <w:widowControl/>
              <w:snapToGrid w:val="0"/>
              <w:spacing w:line="240" w:lineRule="atLeast"/>
              <w:rPr>
                <w:rFonts w:hint="eastAsia" w:ascii="仿宋" w:hAnsi="仿宋" w:eastAsia="仿宋" w:cs="仿宋"/>
                <w:sz w:val="24"/>
              </w:rPr>
            </w:pPr>
            <w:r>
              <w:rPr>
                <w:rFonts w:hint="eastAsia" w:ascii="仿宋" w:hAnsi="仿宋" w:eastAsia="仿宋" w:cs="仿宋"/>
                <w:sz w:val="24"/>
              </w:rPr>
              <w:t>针对可能的网络攻击行为，开展针对性的模拟演习活动。</w:t>
            </w:r>
          </w:p>
        </w:tc>
      </w:tr>
      <w:tr w14:paraId="3E79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E3CBF30">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3593AA57">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239957F7">
            <w:pPr>
              <w:pStyle w:val="633"/>
              <w:rPr>
                <w:rFonts w:hint="eastAsia" w:ascii="仿宋" w:hAnsi="仿宋" w:eastAsia="仿宋" w:cs="仿宋"/>
                <w:sz w:val="24"/>
                <w:szCs w:val="24"/>
              </w:rPr>
            </w:pPr>
            <w:r>
              <w:rPr>
                <w:rFonts w:hint="eastAsia" w:ascii="仿宋" w:hAnsi="仿宋" w:eastAsia="仿宋" w:cs="仿宋"/>
                <w:sz w:val="24"/>
                <w:szCs w:val="24"/>
              </w:rPr>
              <w:t>每年组织不少于1次网络安全攻防实战演练，要求贴合实际，有针对性，不影响、破坏业务系统的正常运行。制订演练方案。演练方案原则上包括主题、时间、人员、思路、步骤、预期效果等内容，通过采购人审核后，开展演练活动。演练期间需要专业技术人员为演练现场提供支撑服务，确保演练过程有序进行。</w:t>
            </w:r>
          </w:p>
        </w:tc>
      </w:tr>
      <w:tr w14:paraId="57FC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1C2677BF">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1A12EE71">
            <w:pPr>
              <w:snapToGrid w:val="0"/>
              <w:spacing w:line="240" w:lineRule="atLeast"/>
              <w:rPr>
                <w:rFonts w:hint="eastAsia" w:ascii="仿宋" w:hAnsi="仿宋" w:eastAsia="仿宋" w:cs="仿宋"/>
                <w:color w:val="000000"/>
                <w:sz w:val="24"/>
              </w:rPr>
            </w:pPr>
            <w:r>
              <w:rPr>
                <w:rFonts w:hint="eastAsia" w:ascii="仿宋" w:hAnsi="仿宋" w:eastAsia="仿宋" w:cs="仿宋"/>
                <w:sz w:val="24"/>
              </w:rPr>
              <w:t>《应急演练方案》、《应急演练报告》</w:t>
            </w:r>
          </w:p>
        </w:tc>
      </w:tr>
    </w:tbl>
    <w:p w14:paraId="70690A6C">
      <w:pPr>
        <w:pStyle w:val="631"/>
        <w:rPr>
          <w:rFonts w:hint="eastAsia" w:ascii="仿宋" w:hAnsi="仿宋" w:eastAsia="仿宋" w:cs="仿宋"/>
          <w:sz w:val="24"/>
        </w:rPr>
      </w:pPr>
      <w:r>
        <w:rPr>
          <w:rFonts w:hint="eastAsia" w:ascii="仿宋" w:hAnsi="仿宋" w:eastAsia="仿宋" w:cs="仿宋"/>
          <w:sz w:val="24"/>
        </w:rPr>
        <w:t>（二十一）违规外联检查服务</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7F63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901C72">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0E662B42">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74A9A277">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3C23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197A2FBA">
            <w:pPr>
              <w:snapToGrid w:val="0"/>
              <w:spacing w:line="240" w:lineRule="atLeast"/>
              <w:rPr>
                <w:rFonts w:hint="eastAsia" w:ascii="仿宋" w:hAnsi="仿宋" w:eastAsia="仿宋" w:cs="仿宋"/>
                <w:sz w:val="24"/>
              </w:rPr>
            </w:pPr>
            <w:r>
              <w:rPr>
                <w:rFonts w:hint="eastAsia" w:ascii="仿宋" w:hAnsi="仿宋" w:eastAsia="仿宋" w:cs="仿宋"/>
                <w:sz w:val="24"/>
              </w:rPr>
              <w:t>违规外联检查服务</w:t>
            </w:r>
          </w:p>
        </w:tc>
        <w:tc>
          <w:tcPr>
            <w:tcW w:w="1418" w:type="dxa"/>
            <w:tcBorders>
              <w:top w:val="single" w:color="auto" w:sz="4" w:space="0"/>
              <w:left w:val="nil"/>
              <w:bottom w:val="single" w:color="auto" w:sz="4" w:space="0"/>
              <w:right w:val="single" w:color="auto" w:sz="4" w:space="0"/>
            </w:tcBorders>
            <w:vAlign w:val="center"/>
          </w:tcPr>
          <w:p w14:paraId="32D33076">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6025C9B0">
            <w:pPr>
              <w:widowControl/>
              <w:snapToGrid w:val="0"/>
              <w:spacing w:line="240" w:lineRule="atLeast"/>
              <w:rPr>
                <w:rFonts w:hint="eastAsia" w:ascii="仿宋" w:hAnsi="仿宋" w:eastAsia="仿宋" w:cs="仿宋"/>
                <w:sz w:val="24"/>
              </w:rPr>
            </w:pPr>
            <w:r>
              <w:rPr>
                <w:rFonts w:hint="eastAsia" w:ascii="仿宋" w:hAnsi="仿宋" w:eastAsia="仿宋" w:cs="仿宋"/>
                <w:sz w:val="24"/>
              </w:rPr>
              <w:t>对考试院内网开展违规外联检查工作，并完成相应整治。</w:t>
            </w:r>
          </w:p>
        </w:tc>
      </w:tr>
      <w:tr w14:paraId="588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1DF5A6F6">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45E09E80">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315743DC">
            <w:pPr>
              <w:snapToGrid w:val="0"/>
              <w:spacing w:line="240" w:lineRule="atLeast"/>
              <w:rPr>
                <w:rFonts w:hint="eastAsia" w:ascii="仿宋" w:hAnsi="仿宋" w:eastAsia="仿宋" w:cs="仿宋"/>
                <w:sz w:val="24"/>
              </w:rPr>
            </w:pPr>
            <w:r>
              <w:rPr>
                <w:rFonts w:hint="eastAsia" w:ascii="仿宋" w:hAnsi="仿宋" w:eastAsia="仿宋" w:cs="仿宋"/>
                <w:sz w:val="24"/>
              </w:rPr>
              <w:t>通过已的部署软硬件安全设施，建立违规外联监测机制，实时监测终端的违规外联行为并加以处置。一旦发生违规外联行为，应及时定位追溯，封禁问题IP，并告知相关人员。开展问题IP的排查、处置工作，处理完成后解除封禁IP，并做好相关记录。</w:t>
            </w:r>
          </w:p>
        </w:tc>
      </w:tr>
      <w:tr w14:paraId="7A05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71A733FE">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0D813B65">
            <w:pPr>
              <w:snapToGrid w:val="0"/>
              <w:spacing w:line="240" w:lineRule="atLeast"/>
              <w:rPr>
                <w:rFonts w:hint="eastAsia" w:ascii="仿宋" w:hAnsi="仿宋" w:eastAsia="仿宋" w:cs="仿宋"/>
                <w:color w:val="000000"/>
                <w:sz w:val="24"/>
              </w:rPr>
            </w:pPr>
            <w:r>
              <w:rPr>
                <w:rFonts w:hint="eastAsia" w:ascii="仿宋" w:hAnsi="仿宋" w:eastAsia="仿宋" w:cs="仿宋"/>
                <w:sz w:val="24"/>
              </w:rPr>
              <w:t>《违规外联检查记录》</w:t>
            </w:r>
          </w:p>
        </w:tc>
      </w:tr>
    </w:tbl>
    <w:p w14:paraId="5ACB8DAE">
      <w:pPr>
        <w:pStyle w:val="631"/>
        <w:rPr>
          <w:rFonts w:hint="eastAsia" w:ascii="仿宋" w:hAnsi="仿宋" w:eastAsia="仿宋" w:cs="仿宋"/>
          <w:sz w:val="24"/>
        </w:rPr>
      </w:pPr>
      <w:r>
        <w:rPr>
          <w:rFonts w:hint="eastAsia" w:ascii="仿宋" w:hAnsi="仿宋" w:eastAsia="仿宋" w:cs="仿宋"/>
          <w:sz w:val="24"/>
        </w:rPr>
        <w:t>（二十二）CA数字证书</w:t>
      </w:r>
    </w:p>
    <w:tbl>
      <w:tblPr>
        <w:tblStyle w:val="60"/>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988"/>
      </w:tblGrid>
      <w:tr w14:paraId="5C4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C30C120">
            <w:pPr>
              <w:snapToGrid w:val="0"/>
              <w:spacing w:line="240" w:lineRule="atLeast"/>
              <w:jc w:val="center"/>
              <w:rPr>
                <w:rFonts w:hint="eastAsia" w:ascii="仿宋" w:hAnsi="仿宋" w:eastAsia="仿宋" w:cs="仿宋"/>
                <w:sz w:val="24"/>
              </w:rPr>
            </w:pPr>
            <w:r>
              <w:rPr>
                <w:rFonts w:hint="eastAsia" w:ascii="仿宋" w:hAnsi="仿宋" w:eastAsia="仿宋" w:cs="仿宋"/>
                <w:sz w:val="24"/>
              </w:rPr>
              <w:t>服务类</w:t>
            </w:r>
          </w:p>
        </w:tc>
        <w:tc>
          <w:tcPr>
            <w:tcW w:w="1418" w:type="dxa"/>
            <w:tcBorders>
              <w:top w:val="single" w:color="auto" w:sz="4" w:space="0"/>
              <w:left w:val="nil"/>
              <w:bottom w:val="single" w:color="auto" w:sz="4" w:space="0"/>
              <w:right w:val="single" w:color="auto" w:sz="4" w:space="0"/>
            </w:tcBorders>
            <w:vAlign w:val="center"/>
          </w:tcPr>
          <w:p w14:paraId="6E0BF6C3">
            <w:pPr>
              <w:snapToGrid w:val="0"/>
              <w:spacing w:line="240" w:lineRule="atLeast"/>
              <w:jc w:val="center"/>
              <w:rPr>
                <w:rFonts w:hint="eastAsia" w:ascii="仿宋" w:hAnsi="仿宋" w:eastAsia="仿宋" w:cs="仿宋"/>
                <w:sz w:val="24"/>
              </w:rPr>
            </w:pPr>
            <w:r>
              <w:rPr>
                <w:rFonts w:hint="eastAsia" w:ascii="仿宋" w:hAnsi="仿宋" w:eastAsia="仿宋" w:cs="仿宋"/>
                <w:sz w:val="24"/>
              </w:rPr>
              <w:t>技术类型</w:t>
            </w:r>
          </w:p>
        </w:tc>
        <w:tc>
          <w:tcPr>
            <w:tcW w:w="5988" w:type="dxa"/>
            <w:tcBorders>
              <w:top w:val="single" w:color="auto" w:sz="4" w:space="0"/>
              <w:left w:val="nil"/>
              <w:bottom w:val="single" w:color="auto" w:sz="4" w:space="0"/>
              <w:right w:val="single" w:color="auto" w:sz="4" w:space="0"/>
            </w:tcBorders>
            <w:vAlign w:val="center"/>
          </w:tcPr>
          <w:p w14:paraId="5C59784C">
            <w:pPr>
              <w:snapToGrid w:val="0"/>
              <w:spacing w:line="240" w:lineRule="atLeast"/>
              <w:jc w:val="center"/>
              <w:rPr>
                <w:rFonts w:hint="eastAsia" w:ascii="仿宋" w:hAnsi="仿宋" w:eastAsia="仿宋" w:cs="仿宋"/>
                <w:sz w:val="24"/>
              </w:rPr>
            </w:pPr>
            <w:r>
              <w:rPr>
                <w:rFonts w:hint="eastAsia" w:ascii="仿宋" w:hAnsi="仿宋" w:eastAsia="仿宋" w:cs="仿宋"/>
                <w:sz w:val="24"/>
              </w:rPr>
              <w:t>内容及要求</w:t>
            </w:r>
          </w:p>
        </w:tc>
      </w:tr>
      <w:tr w14:paraId="003C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7ADEC022">
            <w:pPr>
              <w:snapToGrid w:val="0"/>
              <w:spacing w:line="240" w:lineRule="atLeast"/>
              <w:rPr>
                <w:rFonts w:hint="eastAsia" w:ascii="仿宋" w:hAnsi="仿宋" w:eastAsia="仿宋" w:cs="仿宋"/>
                <w:sz w:val="24"/>
              </w:rPr>
            </w:pPr>
            <w:r>
              <w:rPr>
                <w:rFonts w:hint="eastAsia" w:ascii="仿宋" w:hAnsi="仿宋" w:eastAsia="仿宋" w:cs="仿宋"/>
                <w:sz w:val="24"/>
              </w:rPr>
              <w:t>CA数字证书</w:t>
            </w:r>
          </w:p>
        </w:tc>
        <w:tc>
          <w:tcPr>
            <w:tcW w:w="1418" w:type="dxa"/>
            <w:tcBorders>
              <w:top w:val="single" w:color="auto" w:sz="4" w:space="0"/>
              <w:left w:val="nil"/>
              <w:bottom w:val="single" w:color="auto" w:sz="4" w:space="0"/>
              <w:right w:val="single" w:color="auto" w:sz="4" w:space="0"/>
            </w:tcBorders>
            <w:vAlign w:val="center"/>
          </w:tcPr>
          <w:p w14:paraId="158DD6EB">
            <w:pPr>
              <w:widowControl/>
              <w:snapToGrid w:val="0"/>
              <w:spacing w:line="240" w:lineRule="atLeast"/>
              <w:rPr>
                <w:rFonts w:hint="eastAsia" w:ascii="仿宋" w:hAnsi="仿宋" w:eastAsia="仿宋" w:cs="仿宋"/>
                <w:sz w:val="24"/>
              </w:rPr>
            </w:pPr>
            <w:r>
              <w:rPr>
                <w:rFonts w:hint="eastAsia" w:ascii="仿宋" w:hAnsi="仿宋" w:eastAsia="仿宋" w:cs="仿宋"/>
                <w:sz w:val="24"/>
              </w:rPr>
              <w:t>服务内容</w:t>
            </w:r>
          </w:p>
        </w:tc>
        <w:tc>
          <w:tcPr>
            <w:tcW w:w="5988" w:type="dxa"/>
            <w:tcBorders>
              <w:top w:val="single" w:color="auto" w:sz="4" w:space="0"/>
              <w:left w:val="nil"/>
              <w:bottom w:val="single" w:color="auto" w:sz="4" w:space="0"/>
              <w:right w:val="single" w:color="auto" w:sz="4" w:space="0"/>
            </w:tcBorders>
            <w:vAlign w:val="center"/>
          </w:tcPr>
          <w:p w14:paraId="0BB9BEDA">
            <w:pPr>
              <w:widowControl/>
              <w:snapToGrid w:val="0"/>
              <w:spacing w:line="240" w:lineRule="atLeast"/>
              <w:rPr>
                <w:rFonts w:hint="eastAsia" w:ascii="仿宋" w:hAnsi="仿宋" w:eastAsia="仿宋" w:cs="仿宋"/>
                <w:sz w:val="24"/>
              </w:rPr>
            </w:pPr>
            <w:r>
              <w:rPr>
                <w:rFonts w:hint="eastAsia" w:ascii="仿宋" w:hAnsi="仿宋" w:eastAsia="仿宋" w:cs="仿宋"/>
                <w:sz w:val="24"/>
              </w:rPr>
              <w:t>为*.zjzs.net和*.zjks.net以及其他需要使用云防护的特定域名提供数字证书授权服务。</w:t>
            </w:r>
          </w:p>
        </w:tc>
      </w:tr>
      <w:tr w14:paraId="68C0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368909EB">
            <w:pPr>
              <w:snapToGrid w:val="0"/>
              <w:spacing w:line="240" w:lineRule="atLeast"/>
              <w:rPr>
                <w:rFonts w:hint="eastAsia"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510D048F">
            <w:pPr>
              <w:snapToGrid w:val="0"/>
              <w:spacing w:line="240" w:lineRule="atLeast"/>
              <w:rPr>
                <w:rFonts w:hint="eastAsia" w:ascii="仿宋" w:hAnsi="仿宋" w:eastAsia="仿宋" w:cs="仿宋"/>
                <w:sz w:val="24"/>
              </w:rPr>
            </w:pPr>
            <w:r>
              <w:rPr>
                <w:rFonts w:hint="eastAsia" w:ascii="仿宋" w:hAnsi="仿宋" w:eastAsia="仿宋" w:cs="仿宋"/>
                <w:sz w:val="24"/>
              </w:rPr>
              <w:t>服务要求</w:t>
            </w:r>
          </w:p>
        </w:tc>
        <w:tc>
          <w:tcPr>
            <w:tcW w:w="5988" w:type="dxa"/>
            <w:tcBorders>
              <w:top w:val="single" w:color="auto" w:sz="4" w:space="0"/>
              <w:left w:val="nil"/>
              <w:bottom w:val="single" w:color="auto" w:sz="4" w:space="0"/>
              <w:right w:val="single" w:color="auto" w:sz="4" w:space="0"/>
            </w:tcBorders>
            <w:vAlign w:val="center"/>
          </w:tcPr>
          <w:p w14:paraId="4317F775">
            <w:pPr>
              <w:pStyle w:val="633"/>
              <w:rPr>
                <w:rFonts w:hint="eastAsia" w:ascii="仿宋" w:hAnsi="仿宋" w:eastAsia="仿宋" w:cs="仿宋"/>
                <w:sz w:val="24"/>
                <w:szCs w:val="24"/>
              </w:rPr>
            </w:pPr>
            <w:r>
              <w:rPr>
                <w:rFonts w:hint="eastAsia" w:ascii="仿宋" w:hAnsi="仿宋" w:eastAsia="仿宋" w:cs="仿宋"/>
                <w:sz w:val="24"/>
                <w:szCs w:val="24"/>
              </w:rPr>
              <w:t>做好相关服务的申请工作，证书应为符合国家密码管理局要求的第三方CA机构数字证书。</w:t>
            </w:r>
          </w:p>
        </w:tc>
      </w:tr>
      <w:tr w14:paraId="1CDC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tcBorders>
              <w:top w:val="nil"/>
              <w:left w:val="single" w:color="auto" w:sz="4" w:space="0"/>
              <w:bottom w:val="single" w:color="auto" w:sz="4" w:space="0"/>
              <w:right w:val="single" w:color="auto" w:sz="4" w:space="0"/>
            </w:tcBorders>
            <w:vAlign w:val="center"/>
          </w:tcPr>
          <w:p w14:paraId="525A18EC">
            <w:pPr>
              <w:snapToGrid w:val="0"/>
              <w:spacing w:line="240" w:lineRule="atLeast"/>
              <w:rPr>
                <w:rFonts w:hint="eastAsia" w:ascii="仿宋" w:hAnsi="仿宋" w:eastAsia="仿宋" w:cs="仿宋"/>
                <w:sz w:val="24"/>
              </w:rPr>
            </w:pPr>
            <w:r>
              <w:rPr>
                <w:rFonts w:hint="eastAsia" w:ascii="仿宋" w:hAnsi="仿宋" w:eastAsia="仿宋" w:cs="仿宋"/>
                <w:sz w:val="24"/>
              </w:rPr>
              <w:t>服务交付物</w:t>
            </w:r>
          </w:p>
        </w:tc>
        <w:tc>
          <w:tcPr>
            <w:tcW w:w="7406" w:type="dxa"/>
            <w:gridSpan w:val="2"/>
            <w:tcBorders>
              <w:top w:val="single" w:color="auto" w:sz="4" w:space="0"/>
              <w:left w:val="nil"/>
              <w:bottom w:val="single" w:color="auto" w:sz="4" w:space="0"/>
              <w:right w:val="single" w:color="auto" w:sz="4" w:space="0"/>
            </w:tcBorders>
            <w:vAlign w:val="center"/>
          </w:tcPr>
          <w:p w14:paraId="7B120469">
            <w:pPr>
              <w:snapToGrid w:val="0"/>
              <w:spacing w:line="240" w:lineRule="atLeast"/>
              <w:rPr>
                <w:rFonts w:hint="eastAsia" w:ascii="仿宋" w:hAnsi="仿宋" w:eastAsia="仿宋" w:cs="仿宋"/>
                <w:color w:val="000000"/>
                <w:sz w:val="24"/>
              </w:rPr>
            </w:pPr>
            <w:r>
              <w:rPr>
                <w:rFonts w:hint="eastAsia" w:ascii="仿宋" w:hAnsi="仿宋" w:eastAsia="仿宋" w:cs="仿宋"/>
                <w:color w:val="000000"/>
                <w:sz w:val="24"/>
              </w:rPr>
              <w:t>相关申请或授权材料</w:t>
            </w:r>
          </w:p>
        </w:tc>
      </w:tr>
    </w:tbl>
    <w:p w14:paraId="040406CF">
      <w:pPr>
        <w:spacing w:line="360" w:lineRule="auto"/>
        <w:ind w:firstLine="480" w:firstLineChars="200"/>
        <w:rPr>
          <w:rFonts w:hint="eastAsia" w:ascii="仿宋" w:hAnsi="仿宋" w:eastAsia="仿宋" w:cs="仿宋"/>
          <w:sz w:val="24"/>
        </w:rPr>
      </w:pPr>
    </w:p>
    <w:p w14:paraId="3FE8F2E1">
      <w:pPr>
        <w:pStyle w:val="5"/>
        <w:numPr>
          <w:ilvl w:val="0"/>
          <w:numId w:val="0"/>
        </w:numPr>
        <w:adjustRightInd w:val="0"/>
        <w:snapToGrid w:val="0"/>
        <w:rPr>
          <w:rFonts w:hint="eastAsia" w:ascii="仿宋" w:hAnsi="仿宋" w:eastAsia="仿宋" w:cs="仿宋"/>
          <w:color w:val="000000"/>
          <w:sz w:val="28"/>
          <w:szCs w:val="28"/>
        </w:rPr>
      </w:pPr>
      <w:bookmarkStart w:id="71" w:name="_Toc22642"/>
      <w:r>
        <w:rPr>
          <w:rFonts w:hint="eastAsia" w:ascii="仿宋" w:hAnsi="仿宋" w:eastAsia="仿宋" w:cs="仿宋"/>
          <w:color w:val="000000"/>
          <w:sz w:val="28"/>
          <w:szCs w:val="28"/>
        </w:rPr>
        <w:t>六、实施要求</w:t>
      </w:r>
    </w:p>
    <w:p w14:paraId="40124D5A">
      <w:pPr>
        <w:spacing w:line="360" w:lineRule="auto"/>
        <w:ind w:firstLine="480" w:firstLineChars="200"/>
        <w:rPr>
          <w:rFonts w:hint="eastAsia" w:ascii="仿宋" w:hAnsi="仿宋" w:eastAsia="仿宋" w:cs="仿宋"/>
          <w:sz w:val="24"/>
        </w:rPr>
      </w:pPr>
      <w:r>
        <w:rPr>
          <w:rFonts w:hint="eastAsia" w:ascii="仿宋" w:hAnsi="仿宋" w:eastAsia="仿宋" w:cs="仿宋"/>
          <w:sz w:val="24"/>
        </w:rPr>
        <w:t>（一）人员及团队要求</w:t>
      </w:r>
    </w:p>
    <w:p w14:paraId="5A8324EE">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必须组建稳定的、专业的、独立的安全服务项目组，健全保障项目顺利实施的各项管理制度和质量保证体系，安排获得信息安全相关资质人员参加本项目的建设。项目组成员应思想健康，政治立场坚定，具有保密意识，供应商中标后需提供</w:t>
      </w:r>
      <w:r>
        <w:rPr>
          <w:rFonts w:hint="eastAsia" w:ascii="仿宋" w:hAnsi="仿宋" w:eastAsia="仿宋" w:cs="仿宋"/>
          <w:sz w:val="24"/>
          <w:lang w:eastAsia="zh-CN"/>
        </w:rPr>
        <w:t>2024年</w:t>
      </w:r>
      <w:r>
        <w:rPr>
          <w:rFonts w:hint="eastAsia" w:ascii="仿宋" w:hAnsi="仿宋" w:eastAsia="仿宋" w:cs="仿宋"/>
          <w:sz w:val="24"/>
        </w:rPr>
        <w:t>公安机关开具的每名成员的无犯罪纪录证明，同时提供公司审定盖章的个人背景审查表。项目组成员应具备专业技术能力和丰富的安全运维服务经验，熟悉网络安全的法律法规和相关政策，具有安全漏洞的检测与验证技能，具有安全应急响应能力，熟悉安全事件规范处置流程，要求如下：</w:t>
      </w:r>
    </w:p>
    <w:p w14:paraId="72A93319">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1、供应商在服务期内应建立不少于7名技术人员的安全服务项目组（项目经理1名，驻场安全运维工程师1名，其他专业人员不少于5名）。</w:t>
      </w:r>
    </w:p>
    <w:p w14:paraId="4A32F54C">
      <w:pPr>
        <w:spacing w:line="360" w:lineRule="auto"/>
        <w:ind w:firstLine="480" w:firstLineChars="200"/>
        <w:rPr>
          <w:rFonts w:hint="eastAsia" w:ascii="仿宋" w:hAnsi="仿宋" w:eastAsia="仿宋" w:cs="仿宋"/>
          <w:sz w:val="24"/>
        </w:rPr>
      </w:pPr>
      <w:r>
        <w:rPr>
          <w:rFonts w:hint="eastAsia" w:ascii="仿宋" w:hAnsi="仿宋" w:eastAsia="仿宋" w:cs="仿宋"/>
          <w:sz w:val="24"/>
        </w:rPr>
        <w:t>2、项目经理应定期到场熟悉和了解业务情况，协调安排各项安全工作开展，须具有五年及以上信息安全行业工作经验和项目管理经验。项目经理应具有信息系统项目管理师（软考高级）认证证书、信息安全工程师（软考中级）证书、CISAW（信息安全保障人员）认证证书、CISP（注册信息安全专业人员）证书。项目组其他成员（除项目经理、驻场安全运维工程师外）需具备丰富的渗透测试能力、网络规划能力、安全警告处置能力、事件回溯能力、应急响应能力、安全加固能力、法律法规解读实施及安全配置检查能力，应具有系统分析师（软考高级）认证证书、系统架构设计师（软考高级）认证证书、网络规划设计师（软考高级）认证证书、系统规划与管理师（软考高级）认证证书、信息安全工程师（软考中级）认证证书、数据库系统工程师（软考中级）认证证书、CISP（注册信息安全专业人员）证书。</w:t>
      </w:r>
    </w:p>
    <w:p w14:paraId="6F6D4001">
      <w:pPr>
        <w:spacing w:line="360" w:lineRule="auto"/>
        <w:ind w:firstLine="480" w:firstLineChars="200"/>
        <w:rPr>
          <w:rFonts w:hint="eastAsia" w:ascii="仿宋" w:hAnsi="仿宋" w:eastAsia="仿宋" w:cs="仿宋"/>
          <w:sz w:val="24"/>
        </w:rPr>
      </w:pPr>
      <w:r>
        <w:rPr>
          <w:rFonts w:hint="eastAsia" w:ascii="仿宋" w:hAnsi="仿宋" w:eastAsia="仿宋" w:cs="仿宋"/>
          <w:sz w:val="24"/>
        </w:rPr>
        <w:t>3、驻场安全运维工程师须具有全面的信息安全专业知识背景、全面的信息安全相关技能、较强沟通能力、语言表达能力及文字撰写能力，具有良好的职业道德、敬业精神和解决问题的能力。驻场安全运维工程师需具备三年以上安全服务经验，具备CISP证书或信息安全工程师证书，在采购人指定地点提供相应服务。</w:t>
      </w:r>
    </w:p>
    <w:p w14:paraId="222ED229">
      <w:pPr>
        <w:spacing w:line="360" w:lineRule="auto"/>
        <w:ind w:firstLine="480" w:firstLineChars="200"/>
        <w:rPr>
          <w:rFonts w:hint="eastAsia" w:ascii="仿宋" w:hAnsi="仿宋" w:eastAsia="仿宋" w:cs="仿宋"/>
          <w:sz w:val="24"/>
        </w:rPr>
      </w:pPr>
      <w:r>
        <w:rPr>
          <w:rFonts w:hint="eastAsia" w:ascii="仿宋" w:hAnsi="仿宋" w:eastAsia="仿宋" w:cs="仿宋"/>
          <w:sz w:val="24"/>
        </w:rPr>
        <w:t>4、风险评估及安全加固服务期内，应保证安全服务团队中不少于5人全程在采购方现场提供服务。在安全保障体系完善以及风险评估安全加固服务完成之后，应保证组建的安全服务团队中不少于2人（具备三年以上安全服务经验，具备CISP证书或信息安全工程师证书，需提供相关证明资质）每周至少2天在采购人现场提供支撑服务。</w:t>
      </w:r>
    </w:p>
    <w:p w14:paraId="20B2958F">
      <w:pPr>
        <w:spacing w:line="360" w:lineRule="auto"/>
        <w:ind w:firstLine="480" w:firstLineChars="200"/>
        <w:rPr>
          <w:rFonts w:hint="eastAsia" w:ascii="仿宋" w:hAnsi="仿宋" w:eastAsia="仿宋" w:cs="仿宋"/>
          <w:sz w:val="24"/>
        </w:rPr>
      </w:pPr>
      <w:r>
        <w:rPr>
          <w:rFonts w:hint="eastAsia" w:ascii="仿宋" w:hAnsi="仿宋" w:eastAsia="仿宋" w:cs="仿宋"/>
          <w:sz w:val="24"/>
        </w:rPr>
        <w:t>5、驻场安全运维服务为本次采购的重要内容，驻场人员的业务能力、沟通能力、工作态度等需充分保证。供应商自收到中标通知书后10个工作日内，须提供拟驻场人员的详细信息，在得到采购人确认后，派遣驻场安全运维工程师到采购人指定办公场地提前熟悉业务系统及网络架构，了解详细工作内容及具体要求；派驻期间（至项目启动前），驻场安全运维工程师须与采购人的工作时间同步，并服从采购人的管理要求；派驻期间（至合同签订前），接受采购人对人员（驻场安全运维工程师）及相关资质证书的核验。如核验结果不符合招投标文件的要求，采购人有权按政府采购法律法规将相关情况提交至浙江省财政厅政府采购监管处处理。合同签订后，在执行过程中，如发现供应商派入的驻场工程师不符合要求的，采购人可要求供应商在3日之内更换合适的驻场工程师，如果供应商未在3日之内更换合适的驻场工程师的或者更换的驻场工程师不符合采购人要求的，采购人有权按政府采购法律法规将相关情况提交至浙江省财政厅政府采购监管处处理，由此引起的后果概由供应商承担。</w:t>
      </w:r>
    </w:p>
    <w:p w14:paraId="2DB7DE4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、供应商应承诺，如现场驻场人员无法解决问题，须100%确保调动公司其他资源即时处理，根据故障级别情况及时响应、并恢复系统正常。</w:t>
      </w:r>
    </w:p>
    <w:p w14:paraId="647DFA01">
      <w:pPr>
        <w:pStyle w:val="2"/>
        <w:rPr>
          <w:rFonts w:hint="eastAsia" w:ascii="仿宋" w:hAnsi="仿宋" w:eastAsia="仿宋" w:cs="仿宋"/>
          <w:sz w:val="24"/>
          <w:lang w:val="en-US" w:eastAsia="zh-CN"/>
        </w:rPr>
      </w:pPr>
      <w:r>
        <w:rPr>
          <w:rFonts w:hint="eastAsia" w:ascii="仿宋" w:hAnsi="仿宋" w:eastAsia="仿宋" w:cs="仿宋"/>
          <w:sz w:val="24"/>
          <w:lang w:val="en-US" w:eastAsia="zh-CN"/>
        </w:rPr>
        <w:t>7、自2021年1月1日起（以合同签订时间为准）至本项目磋商响应截止时间止，项目组成员具有网络安全运维工作经验（提供能体现项目组成员姓名的合同扫描件或业主盖章出具的证明）。</w:t>
      </w:r>
    </w:p>
    <w:p w14:paraId="3C5050BB">
      <w:pPr>
        <w:pStyle w:val="2"/>
        <w:rPr>
          <w:rFonts w:hint="eastAsia" w:ascii="仿宋" w:hAnsi="仿宋" w:eastAsia="仿宋" w:cs="仿宋"/>
          <w:lang w:val="en-US" w:eastAsia="zh-CN"/>
        </w:rPr>
      </w:pPr>
      <w:r>
        <w:rPr>
          <w:rFonts w:hint="eastAsia" w:ascii="仿宋" w:hAnsi="仿宋" w:eastAsia="仿宋" w:cs="仿宋"/>
          <w:sz w:val="24"/>
          <w:lang w:val="en-US" w:eastAsia="zh-CN"/>
        </w:rPr>
        <w:t>8、供应商须为项目组成员配置专业的软硬件配套，提供各安全检测、审计及防护的软硬件设备详细信息，包括设备型号、功能、性能、适用实施平台及环境要求、使用方法操作文档以及可能对物理环境和业务系统造成的风险等。</w:t>
      </w:r>
    </w:p>
    <w:p w14:paraId="6ADE2220">
      <w:pPr>
        <w:spacing w:line="360" w:lineRule="auto"/>
        <w:ind w:firstLine="480" w:firstLineChars="200"/>
        <w:rPr>
          <w:rFonts w:hint="eastAsia" w:ascii="仿宋" w:hAnsi="仿宋" w:eastAsia="仿宋" w:cs="仿宋"/>
          <w:sz w:val="24"/>
        </w:rPr>
      </w:pPr>
      <w:r>
        <w:rPr>
          <w:rFonts w:hint="eastAsia" w:ascii="仿宋" w:hAnsi="仿宋" w:eastAsia="仿宋" w:cs="仿宋"/>
          <w:sz w:val="24"/>
        </w:rPr>
        <w:t>（二）日常管理与考核</w:t>
      </w:r>
    </w:p>
    <w:p w14:paraId="6065A0C2">
      <w:pPr>
        <w:spacing w:line="360" w:lineRule="auto"/>
        <w:ind w:firstLine="480" w:firstLineChars="200"/>
        <w:rPr>
          <w:rFonts w:hint="eastAsia" w:ascii="仿宋" w:hAnsi="仿宋" w:eastAsia="仿宋" w:cs="仿宋"/>
          <w:sz w:val="24"/>
        </w:rPr>
      </w:pPr>
      <w:r>
        <w:rPr>
          <w:rFonts w:hint="eastAsia" w:ascii="仿宋" w:hAnsi="仿宋" w:eastAsia="仿宋" w:cs="仿宋"/>
          <w:sz w:val="24"/>
        </w:rPr>
        <w:t>1、因供应商人为因素造成的损失由供应商承担。</w:t>
      </w:r>
    </w:p>
    <w:p w14:paraId="1A682AFE">
      <w:pPr>
        <w:spacing w:line="360" w:lineRule="auto"/>
        <w:ind w:firstLine="480" w:firstLineChars="200"/>
        <w:rPr>
          <w:rFonts w:hint="eastAsia" w:ascii="仿宋" w:hAnsi="仿宋" w:eastAsia="仿宋" w:cs="仿宋"/>
          <w:sz w:val="24"/>
        </w:rPr>
      </w:pPr>
      <w:r>
        <w:rPr>
          <w:rFonts w:hint="eastAsia" w:ascii="仿宋" w:hAnsi="仿宋" w:eastAsia="仿宋" w:cs="仿宋"/>
          <w:sz w:val="24"/>
        </w:rPr>
        <w:t>2、所有进场服务人员须签订保密协议，服从采购人的领导和管理，包括制定工作制度、监督工作制度的执行质量、分配和调整工作资源等。</w:t>
      </w:r>
    </w:p>
    <w:p w14:paraId="69F439AC">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须提供7*24小时技术服务与支持电话，驻场安全运维工程师在驻场日需按照采购人日常办公时间制度在指定地点上班。下班或节假日时间若有工作计划的，须服从采购人安排，如有休假安排，供应商须提供资格相当的人员及时补充。</w:t>
      </w:r>
    </w:p>
    <w:p w14:paraId="71002C40">
      <w:pPr>
        <w:spacing w:line="360" w:lineRule="auto"/>
        <w:ind w:firstLine="480" w:firstLineChars="200"/>
        <w:rPr>
          <w:rFonts w:hint="eastAsia" w:ascii="仿宋" w:hAnsi="仿宋" w:eastAsia="仿宋" w:cs="仿宋"/>
          <w:sz w:val="24"/>
        </w:rPr>
      </w:pPr>
      <w:r>
        <w:rPr>
          <w:rFonts w:hint="eastAsia" w:ascii="仿宋" w:hAnsi="仿宋" w:eastAsia="仿宋" w:cs="仿宋"/>
          <w:sz w:val="24"/>
        </w:rPr>
        <w:t>4、驻场安全运维驻场工程师一旦确定，合同期内在未得到采购人允许前不得随意变更人员，否则采购人有权按政府采购法律法规将相关情况提交至浙江省财政厅政府采购监管处处理，供应商承担全部损失。由于供应商原因确需更换驻场工程师的，替换人员需经采购人同意，并保证至少三周的工作并行交接期。</w:t>
      </w:r>
    </w:p>
    <w:p w14:paraId="7497336C">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5、供应商在向采购人提供服务期间，其负责的防护区或协助防护区内，出现安全隐患，或发生安全事件（网络安全、数据安全、运维安全等），则按以下约定进行处罚：</w:t>
      </w:r>
    </w:p>
    <w:p w14:paraId="715FDECB">
      <w:pPr>
        <w:spacing w:line="360" w:lineRule="auto"/>
        <w:ind w:firstLine="480" w:firstLineChars="200"/>
        <w:rPr>
          <w:rFonts w:hint="eastAsia" w:ascii="仿宋" w:hAnsi="仿宋" w:eastAsia="仿宋" w:cs="仿宋"/>
          <w:sz w:val="24"/>
        </w:rPr>
      </w:pPr>
      <w:r>
        <w:rPr>
          <w:rFonts w:hint="eastAsia" w:ascii="仿宋" w:hAnsi="仿宋" w:eastAsia="仿宋" w:cs="仿宋"/>
          <w:sz w:val="24"/>
        </w:rPr>
        <w:t>（1）因安全隐患或安全事件造成采购人被各级网络安全监管部门或上级部门通报的，但未造成实际影响的，每发生一次采购人可扣除合同总金额的千分之五。</w:t>
      </w:r>
    </w:p>
    <w:p w14:paraId="6D8BC62F">
      <w:pPr>
        <w:spacing w:line="360" w:lineRule="auto"/>
        <w:ind w:firstLine="480" w:firstLineChars="200"/>
        <w:rPr>
          <w:rFonts w:hint="eastAsia" w:ascii="仿宋" w:hAnsi="仿宋" w:eastAsia="仿宋" w:cs="仿宋"/>
          <w:sz w:val="24"/>
        </w:rPr>
      </w:pPr>
      <w:r>
        <w:rPr>
          <w:rFonts w:hint="eastAsia" w:ascii="仿宋" w:hAnsi="仿宋" w:eastAsia="仿宋" w:cs="仿宋"/>
          <w:sz w:val="24"/>
        </w:rPr>
        <w:t>（2）因安全隐患或安全事件造成采购人被各级网络安全监管部门或上级部门通报的，且造成实际影响的，每发生一次采购人可扣除合同总金额的千分之十五。</w:t>
      </w:r>
    </w:p>
    <w:p w14:paraId="423244D7">
      <w:pPr>
        <w:spacing w:line="360" w:lineRule="auto"/>
        <w:ind w:firstLine="480" w:firstLineChars="200"/>
        <w:rPr>
          <w:rFonts w:hint="eastAsia" w:ascii="仿宋" w:hAnsi="仿宋" w:eastAsia="仿宋" w:cs="仿宋"/>
          <w:sz w:val="24"/>
        </w:rPr>
      </w:pPr>
      <w:r>
        <w:rPr>
          <w:rFonts w:hint="eastAsia" w:ascii="仿宋" w:hAnsi="仿宋" w:eastAsia="仿宋" w:cs="仿宋"/>
          <w:sz w:val="24"/>
        </w:rPr>
        <w:t>（3）因安全隐患或安全事件造成严重影响的，每发生一次采购人可扣除合同总金额的千分之三十，并保留进一步追究相关责任的权利。</w:t>
      </w:r>
    </w:p>
    <w:p w14:paraId="7C938C14">
      <w:pPr>
        <w:pStyle w:val="2"/>
        <w:rPr>
          <w:rFonts w:hint="eastAsia" w:ascii="仿宋" w:hAnsi="仿宋" w:eastAsia="仿宋" w:cs="仿宋"/>
          <w:lang w:eastAsia="zh-CN"/>
        </w:rPr>
      </w:pPr>
      <w:r>
        <w:rPr>
          <w:rFonts w:hint="eastAsia" w:ascii="仿宋" w:hAnsi="仿宋" w:eastAsia="仿宋" w:cs="仿宋"/>
          <w:sz w:val="24"/>
          <w:lang w:val="en-US" w:eastAsia="zh-CN"/>
        </w:rPr>
        <w:t>6、</w:t>
      </w:r>
      <w:r>
        <w:rPr>
          <w:rFonts w:hint="eastAsia" w:ascii="仿宋" w:hAnsi="仿宋" w:eastAsia="仿宋" w:cs="仿宋"/>
          <w:sz w:val="24"/>
        </w:rPr>
        <w:t>供应商具备特殊保障服务能力，提供特殊业务时期的组团式人员驻点服务，供应商需7*24小时响应，向采购人提供全面、有效、及时的技术支持和服务，包括紧急情况下的现场支持、热线电话支持、远程服务支持、电子邮件支持等</w:t>
      </w:r>
      <w:r>
        <w:rPr>
          <w:rFonts w:hint="eastAsia" w:ascii="仿宋" w:hAnsi="仿宋" w:eastAsia="仿宋" w:cs="仿宋"/>
          <w:sz w:val="24"/>
          <w:lang w:eastAsia="zh-CN"/>
        </w:rPr>
        <w:t>。</w:t>
      </w:r>
    </w:p>
    <w:p w14:paraId="5BEFDD60">
      <w:pPr>
        <w:pStyle w:val="5"/>
        <w:numPr>
          <w:ilvl w:val="0"/>
          <w:numId w:val="0"/>
        </w:num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七、商务要求</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2"/>
        <w:gridCol w:w="6673"/>
      </w:tblGrid>
      <w:tr w14:paraId="54D0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14:paraId="7262A841">
            <w:pPr>
              <w:snapToGrid w:val="0"/>
              <w:jc w:val="center"/>
              <w:rPr>
                <w:rFonts w:hint="eastAsia" w:ascii="仿宋" w:hAnsi="仿宋" w:eastAsia="仿宋" w:cs="仿宋"/>
                <w:b/>
                <w:sz w:val="24"/>
              </w:rPr>
            </w:pPr>
            <w:r>
              <w:rPr>
                <w:rFonts w:hint="eastAsia" w:ascii="仿宋" w:hAnsi="仿宋" w:eastAsia="仿宋" w:cs="仿宋"/>
                <w:b/>
                <w:sz w:val="24"/>
              </w:rPr>
              <w:t>序号</w:t>
            </w:r>
          </w:p>
        </w:tc>
        <w:tc>
          <w:tcPr>
            <w:tcW w:w="1362" w:type="dxa"/>
            <w:vAlign w:val="center"/>
          </w:tcPr>
          <w:p w14:paraId="305F4BB3">
            <w:pPr>
              <w:snapToGrid w:val="0"/>
              <w:jc w:val="center"/>
              <w:rPr>
                <w:rFonts w:hint="eastAsia" w:ascii="仿宋" w:hAnsi="仿宋" w:eastAsia="仿宋" w:cs="仿宋"/>
                <w:b/>
                <w:sz w:val="24"/>
              </w:rPr>
            </w:pPr>
            <w:r>
              <w:rPr>
                <w:rFonts w:hint="eastAsia" w:ascii="仿宋" w:hAnsi="仿宋" w:eastAsia="仿宋" w:cs="仿宋"/>
                <w:b/>
                <w:sz w:val="24"/>
              </w:rPr>
              <w:t>内容</w:t>
            </w:r>
          </w:p>
        </w:tc>
        <w:tc>
          <w:tcPr>
            <w:tcW w:w="6673" w:type="dxa"/>
            <w:vAlign w:val="center"/>
          </w:tcPr>
          <w:p w14:paraId="46C36063">
            <w:pPr>
              <w:snapToGrid w:val="0"/>
              <w:jc w:val="center"/>
              <w:rPr>
                <w:rFonts w:hint="eastAsia" w:ascii="仿宋" w:hAnsi="仿宋" w:eastAsia="仿宋" w:cs="仿宋"/>
                <w:b/>
                <w:sz w:val="24"/>
              </w:rPr>
            </w:pPr>
            <w:r>
              <w:rPr>
                <w:rFonts w:hint="eastAsia" w:ascii="仿宋" w:hAnsi="仿宋" w:eastAsia="仿宋" w:cs="仿宋"/>
                <w:b/>
                <w:sz w:val="24"/>
              </w:rPr>
              <w:t>要求</w:t>
            </w:r>
          </w:p>
        </w:tc>
      </w:tr>
      <w:tr w14:paraId="62F1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3E47837C">
            <w:pPr>
              <w:snapToGrid w:val="0"/>
              <w:jc w:val="center"/>
              <w:rPr>
                <w:rFonts w:hint="eastAsia" w:ascii="仿宋" w:hAnsi="仿宋" w:eastAsia="仿宋" w:cs="仿宋"/>
                <w:sz w:val="24"/>
              </w:rPr>
            </w:pPr>
            <w:r>
              <w:rPr>
                <w:rFonts w:hint="eastAsia" w:ascii="仿宋" w:hAnsi="仿宋" w:eastAsia="仿宋" w:cs="仿宋"/>
                <w:sz w:val="24"/>
              </w:rPr>
              <w:t>1</w:t>
            </w:r>
          </w:p>
        </w:tc>
        <w:tc>
          <w:tcPr>
            <w:tcW w:w="1362" w:type="dxa"/>
            <w:vAlign w:val="center"/>
          </w:tcPr>
          <w:p w14:paraId="0E692D5A">
            <w:pPr>
              <w:snapToGrid w:val="0"/>
              <w:jc w:val="center"/>
              <w:rPr>
                <w:rFonts w:hint="eastAsia" w:ascii="仿宋" w:hAnsi="仿宋" w:eastAsia="仿宋" w:cs="仿宋"/>
                <w:sz w:val="24"/>
              </w:rPr>
            </w:pPr>
            <w:r>
              <w:rPr>
                <w:rFonts w:hint="eastAsia" w:ascii="仿宋" w:hAnsi="仿宋" w:eastAsia="仿宋" w:cs="仿宋"/>
                <w:color w:val="000000"/>
                <w:sz w:val="24"/>
              </w:rPr>
              <w:t>付款方式和支付条件</w:t>
            </w:r>
          </w:p>
        </w:tc>
        <w:tc>
          <w:tcPr>
            <w:tcW w:w="6673" w:type="dxa"/>
            <w:vAlign w:val="center"/>
          </w:tcPr>
          <w:p w14:paraId="0DFFD971">
            <w:pPr>
              <w:snapToGrid w:val="0"/>
              <w:jc w:val="left"/>
              <w:rPr>
                <w:rFonts w:hint="eastAsia" w:ascii="仿宋" w:hAnsi="仿宋" w:eastAsia="仿宋" w:cs="仿宋"/>
                <w:color w:val="000000"/>
                <w:sz w:val="24"/>
              </w:rPr>
            </w:pPr>
            <w:r>
              <w:rPr>
                <w:rFonts w:hint="eastAsia" w:ascii="仿宋" w:hAnsi="仿宋" w:eastAsia="仿宋" w:cs="仿宋"/>
                <w:color w:val="000000"/>
                <w:sz w:val="24"/>
              </w:rPr>
              <w:t>1.合同生效并具备实施条件后7个工作日内，甲方预付合同总金额的70%给乙方；</w:t>
            </w:r>
          </w:p>
          <w:p w14:paraId="44BFEF3A">
            <w:pPr>
              <w:snapToGrid w:val="0"/>
              <w:jc w:val="left"/>
              <w:rPr>
                <w:rFonts w:hint="eastAsia" w:ascii="仿宋" w:hAnsi="仿宋" w:eastAsia="仿宋" w:cs="仿宋"/>
                <w:color w:val="000000"/>
                <w:sz w:val="24"/>
              </w:rPr>
            </w:pPr>
            <w:r>
              <w:rPr>
                <w:rFonts w:hint="eastAsia" w:ascii="仿宋" w:hAnsi="仿宋" w:eastAsia="仿宋" w:cs="仿宋"/>
                <w:color w:val="000000"/>
                <w:sz w:val="24"/>
              </w:rPr>
              <w:t>2.按要求完成信息安全管理制度完善、风险评估和安全加固服务后由采购人组织初步验收后7个工作日内甲方支付合同总金额的25%；</w:t>
            </w:r>
          </w:p>
          <w:p w14:paraId="69DB7669">
            <w:pPr>
              <w:snapToGrid w:val="0"/>
              <w:jc w:val="left"/>
              <w:rPr>
                <w:rFonts w:hint="eastAsia" w:ascii="仿宋" w:hAnsi="仿宋" w:eastAsia="仿宋" w:cs="仿宋"/>
                <w:sz w:val="24"/>
              </w:rPr>
            </w:pPr>
            <w:r>
              <w:rPr>
                <w:rFonts w:hint="eastAsia" w:ascii="仿宋" w:hAnsi="仿宋" w:eastAsia="仿宋" w:cs="仿宋"/>
                <w:color w:val="000000"/>
                <w:sz w:val="24"/>
              </w:rPr>
              <w:t>3.终验通过甲方验收合格后7个工作日内甲方支付合同总金额的5%并退还履约保证金。</w:t>
            </w:r>
          </w:p>
        </w:tc>
      </w:tr>
      <w:tr w14:paraId="62C2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635B09A6">
            <w:pPr>
              <w:snapToGrid w:val="0"/>
              <w:jc w:val="center"/>
              <w:rPr>
                <w:rFonts w:hint="eastAsia" w:ascii="仿宋" w:hAnsi="仿宋" w:eastAsia="仿宋" w:cs="仿宋"/>
                <w:sz w:val="24"/>
              </w:rPr>
            </w:pPr>
            <w:r>
              <w:rPr>
                <w:rFonts w:hint="eastAsia" w:ascii="仿宋" w:hAnsi="仿宋" w:eastAsia="仿宋" w:cs="仿宋"/>
                <w:sz w:val="24"/>
              </w:rPr>
              <w:t>2</w:t>
            </w:r>
          </w:p>
        </w:tc>
        <w:tc>
          <w:tcPr>
            <w:tcW w:w="1362" w:type="dxa"/>
            <w:vAlign w:val="center"/>
          </w:tcPr>
          <w:p w14:paraId="330A5E46">
            <w:pPr>
              <w:snapToGrid w:val="0"/>
              <w:jc w:val="center"/>
              <w:rPr>
                <w:rFonts w:hint="eastAsia" w:ascii="仿宋" w:hAnsi="仿宋" w:eastAsia="仿宋" w:cs="仿宋"/>
                <w:color w:val="000000"/>
                <w:sz w:val="24"/>
              </w:rPr>
            </w:pPr>
            <w:r>
              <w:rPr>
                <w:rFonts w:hint="eastAsia" w:ascii="仿宋" w:hAnsi="仿宋" w:eastAsia="仿宋" w:cs="仿宋"/>
                <w:color w:val="000000"/>
                <w:sz w:val="24"/>
              </w:rPr>
              <w:t>履约保证金</w:t>
            </w:r>
          </w:p>
        </w:tc>
        <w:tc>
          <w:tcPr>
            <w:tcW w:w="6673" w:type="dxa"/>
            <w:vAlign w:val="center"/>
          </w:tcPr>
          <w:p w14:paraId="3B0B8D46">
            <w:pPr>
              <w:snapToGrid w:val="0"/>
              <w:jc w:val="left"/>
              <w:rPr>
                <w:rFonts w:hint="eastAsia" w:ascii="仿宋" w:hAnsi="仿宋" w:eastAsia="仿宋" w:cs="仿宋"/>
                <w:color w:val="000000"/>
                <w:sz w:val="24"/>
              </w:rPr>
            </w:pPr>
            <w:r>
              <w:rPr>
                <w:rFonts w:hint="eastAsia" w:ascii="仿宋" w:hAnsi="仿宋" w:eastAsia="仿宋" w:cs="仿宋"/>
                <w:color w:val="000000"/>
                <w:sz w:val="24"/>
              </w:rPr>
              <w:t>1.履约保证金递交形式：电汇、汇票、支票或银行、保险公司出具的保函形式；</w:t>
            </w:r>
          </w:p>
          <w:p w14:paraId="41171C55">
            <w:pPr>
              <w:snapToGrid w:val="0"/>
              <w:jc w:val="left"/>
              <w:rPr>
                <w:rFonts w:hint="eastAsia" w:ascii="仿宋" w:hAnsi="仿宋" w:eastAsia="仿宋" w:cs="仿宋"/>
                <w:color w:val="000000"/>
                <w:sz w:val="24"/>
              </w:rPr>
            </w:pPr>
            <w:r>
              <w:rPr>
                <w:rFonts w:hint="eastAsia" w:ascii="仿宋" w:hAnsi="仿宋" w:eastAsia="仿宋" w:cs="仿宋"/>
                <w:color w:val="000000"/>
                <w:sz w:val="24"/>
              </w:rPr>
              <w:t>2.金额：合同总价的1%；</w:t>
            </w:r>
          </w:p>
          <w:p w14:paraId="1A4B2EB6">
            <w:pPr>
              <w:snapToGrid w:val="0"/>
              <w:jc w:val="left"/>
              <w:rPr>
                <w:rFonts w:hint="eastAsia" w:ascii="仿宋" w:hAnsi="仿宋" w:eastAsia="仿宋" w:cs="仿宋"/>
                <w:color w:val="000000"/>
                <w:sz w:val="24"/>
              </w:rPr>
            </w:pPr>
            <w:r>
              <w:rPr>
                <w:rFonts w:hint="eastAsia" w:ascii="仿宋" w:hAnsi="仿宋" w:eastAsia="仿宋" w:cs="仿宋"/>
                <w:color w:val="000000"/>
                <w:sz w:val="24"/>
              </w:rPr>
              <w:t>3.递交时间：合同签订后5日内。</w:t>
            </w:r>
          </w:p>
        </w:tc>
      </w:tr>
    </w:tbl>
    <w:p w14:paraId="1FF35F89">
      <w:pPr>
        <w:rPr>
          <w:rFonts w:hint="eastAsia" w:ascii="仿宋" w:hAnsi="仿宋" w:eastAsia="仿宋" w:cs="仿宋"/>
        </w:rPr>
      </w:pPr>
    </w:p>
    <w:p w14:paraId="388C7FAD">
      <w:pPr>
        <w:pStyle w:val="5"/>
        <w:numPr>
          <w:ilvl w:val="0"/>
          <w:numId w:val="0"/>
        </w:numPr>
        <w:snapToGrid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八、其他</w:t>
      </w:r>
    </w:p>
    <w:p w14:paraId="6A800355">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供应商应具有类似项目的运维经验，提供</w:t>
      </w:r>
      <w:r>
        <w:rPr>
          <w:rFonts w:hint="eastAsia" w:ascii="仿宋" w:hAnsi="仿宋" w:eastAsia="仿宋" w:cs="仿宋"/>
          <w:sz w:val="24"/>
        </w:rPr>
        <w:t>自202</w:t>
      </w:r>
      <w:r>
        <w:rPr>
          <w:rFonts w:hint="eastAsia" w:ascii="仿宋" w:hAnsi="仿宋" w:eastAsia="仿宋" w:cs="仿宋"/>
          <w:sz w:val="24"/>
          <w:lang w:val="en-US" w:eastAsia="zh-CN"/>
        </w:rPr>
        <w:t>1</w:t>
      </w:r>
      <w:r>
        <w:rPr>
          <w:rFonts w:hint="eastAsia" w:ascii="仿宋" w:hAnsi="仿宋" w:eastAsia="仿宋" w:cs="仿宋"/>
          <w:sz w:val="24"/>
        </w:rPr>
        <w:t>年1月1日以来（以合同签订时间为准）供应商已完成的类似网络安全运维服务项目情况</w:t>
      </w:r>
      <w:r>
        <w:rPr>
          <w:rFonts w:hint="eastAsia" w:ascii="仿宋" w:hAnsi="仿宋" w:eastAsia="仿宋" w:cs="仿宋"/>
          <w:sz w:val="24"/>
          <w:lang w:eastAsia="zh-CN"/>
        </w:rPr>
        <w:t>。</w:t>
      </w:r>
    </w:p>
    <w:p w14:paraId="40E9D9E8">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rPr>
        <w:t>供应商</w:t>
      </w:r>
      <w:r>
        <w:rPr>
          <w:rFonts w:hint="eastAsia" w:ascii="仿宋" w:hAnsi="仿宋" w:eastAsia="仿宋" w:cs="仿宋"/>
          <w:sz w:val="24"/>
          <w:lang w:val="en-US" w:eastAsia="zh-CN"/>
        </w:rPr>
        <w:t>应</w:t>
      </w:r>
      <w:r>
        <w:rPr>
          <w:rFonts w:hint="eastAsia" w:ascii="仿宋" w:hAnsi="仿宋" w:eastAsia="仿宋" w:cs="仿宋"/>
          <w:sz w:val="24"/>
        </w:rPr>
        <w:t>具有</w:t>
      </w:r>
      <w:r>
        <w:rPr>
          <w:rFonts w:hint="eastAsia" w:ascii="仿宋" w:hAnsi="仿宋" w:eastAsia="仿宋" w:cs="仿宋"/>
          <w:sz w:val="24"/>
          <w:lang w:val="en-US" w:eastAsia="zh-CN"/>
        </w:rPr>
        <w:t>完善的企业管理系统和专业的资质证书，提供</w:t>
      </w:r>
      <w:r>
        <w:rPr>
          <w:rFonts w:hint="eastAsia" w:ascii="仿宋" w:hAnsi="仿宋" w:eastAsia="仿宋" w:cs="仿宋"/>
          <w:sz w:val="24"/>
        </w:rPr>
        <w:t>有效的ISO9001质量管理体系认证证书、ISO27001信息安全管理体系认证证书、中国信息安全测评中心颁发的信息安全服务资质（安全工程类）证书、中国信息安全测评中心颁发的信息安全服务资质（风险评估类）证书</w:t>
      </w:r>
    </w:p>
    <w:p w14:paraId="4BD1FDE8">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提供</w:t>
      </w:r>
      <w:r>
        <w:rPr>
          <w:rFonts w:hint="eastAsia" w:ascii="仿宋" w:hAnsi="仿宋" w:eastAsia="仿宋" w:cs="仿宋"/>
          <w:sz w:val="24"/>
        </w:rPr>
        <w:t>对网络安全防护整体现状及需求的理解情况，包括不限于防护对象整体架构及信息系统情况、现阶段防护策略及薄弱环节、现行管理制度规范实施情况以及欠缺点</w:t>
      </w:r>
      <w:r>
        <w:rPr>
          <w:rFonts w:hint="eastAsia" w:ascii="仿宋" w:hAnsi="仿宋" w:eastAsia="仿宋" w:cs="仿宋"/>
          <w:sz w:val="24"/>
          <w:lang w:eastAsia="zh-CN"/>
        </w:rPr>
        <w:t>；</w:t>
      </w:r>
    </w:p>
    <w:p w14:paraId="5BB79EA4">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提供</w:t>
      </w:r>
      <w:r>
        <w:rPr>
          <w:rFonts w:hint="eastAsia" w:ascii="仿宋" w:hAnsi="仿宋" w:eastAsia="仿宋" w:cs="仿宋"/>
          <w:sz w:val="24"/>
        </w:rPr>
        <w:t>整体安全工作的目标方针的理解情况，包括不限于考试院业务安全性和可用性的平衡关系、遵循的方针政策以及短期、中远期和远期规划等</w:t>
      </w:r>
      <w:r>
        <w:rPr>
          <w:rFonts w:hint="eastAsia" w:ascii="仿宋" w:hAnsi="仿宋" w:eastAsia="仿宋" w:cs="仿宋"/>
          <w:sz w:val="24"/>
          <w:lang w:eastAsia="zh-CN"/>
        </w:rPr>
        <w:t>；</w:t>
      </w:r>
    </w:p>
    <w:p w14:paraId="4E43F25C">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提供</w:t>
      </w:r>
      <w:r>
        <w:rPr>
          <w:rFonts w:hint="eastAsia" w:ascii="仿宋" w:hAnsi="仿宋" w:eastAsia="仿宋" w:cs="仿宋"/>
          <w:sz w:val="24"/>
        </w:rPr>
        <w:t>关键难点问题的分析及解决思路，包括不限于应急事件的处置方法、保障渗透测试测试深度广度的方法论、风险评估的模型及方法选取、安全运维人员筛选条件及工作条件匹配度把控和人员保密把控等</w:t>
      </w:r>
    </w:p>
    <w:p w14:paraId="7AF32DB6">
      <w:pPr>
        <w:numPr>
          <w:ilvl w:val="0"/>
          <w:numId w:val="9"/>
        </w:numPr>
        <w:spacing w:line="360" w:lineRule="auto"/>
        <w:ind w:firstLineChars="200"/>
        <w:rPr>
          <w:rFonts w:hint="eastAsia" w:ascii="仿宋" w:hAnsi="仿宋" w:eastAsia="仿宋" w:cs="仿宋"/>
          <w:sz w:val="24"/>
          <w:lang w:val="en-US" w:eastAsia="zh-CN"/>
        </w:rPr>
      </w:pPr>
      <w:r>
        <w:rPr>
          <w:rFonts w:hint="eastAsia" w:ascii="仿宋" w:hAnsi="仿宋" w:eastAsia="仿宋" w:cs="仿宋"/>
          <w:sz w:val="24"/>
          <w:lang w:val="en-US" w:eastAsia="zh-CN"/>
        </w:rPr>
        <w:t>提供对</w:t>
      </w:r>
      <w:r>
        <w:rPr>
          <w:rFonts w:hint="eastAsia" w:ascii="仿宋" w:hAnsi="仿宋" w:eastAsia="仿宋" w:cs="仿宋"/>
          <w:sz w:val="24"/>
        </w:rPr>
        <w:t>项目质量、安全保密及验收</w:t>
      </w:r>
      <w:r>
        <w:rPr>
          <w:rFonts w:hint="eastAsia" w:ascii="仿宋" w:hAnsi="仿宋" w:eastAsia="仿宋" w:cs="仿宋"/>
          <w:sz w:val="24"/>
          <w:lang w:val="en-US" w:eastAsia="zh-CN"/>
        </w:rPr>
        <w:t>提供相应完善合理的措施和管理制度。</w:t>
      </w:r>
    </w:p>
    <w:bookmarkEnd w:id="71"/>
    <w:p w14:paraId="71835EE7">
      <w:pPr>
        <w:spacing w:line="360" w:lineRule="auto"/>
        <w:ind w:firstLine="723" w:firstLineChars="200"/>
        <w:rPr>
          <w:rFonts w:hint="eastAsia" w:ascii="仿宋" w:hAnsi="仿宋" w:eastAsia="仿宋" w:cs="仿宋"/>
          <w:b/>
          <w:sz w:val="36"/>
          <w:szCs w:val="36"/>
        </w:rPr>
      </w:pPr>
      <w:r>
        <w:rPr>
          <w:rFonts w:hint="eastAsia" w:ascii="仿宋" w:hAnsi="仿宋" w:eastAsia="仿宋" w:cs="仿宋"/>
          <w:b/>
          <w:sz w:val="36"/>
          <w:szCs w:val="36"/>
        </w:rPr>
        <w:br w:type="page"/>
      </w:r>
    </w:p>
    <w:p w14:paraId="5D2A5F84">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72" w:name="第四部分"/>
      <w:r>
        <w:rPr>
          <w:rFonts w:hint="eastAsia" w:ascii="仿宋" w:hAnsi="仿宋" w:eastAsia="仿宋" w:cs="仿宋"/>
          <w:b/>
          <w:sz w:val="36"/>
          <w:szCs w:val="36"/>
        </w:rPr>
        <w:t>评审方法及评审标准</w:t>
      </w:r>
    </w:p>
    <w:p w14:paraId="206D61E0">
      <w:pPr>
        <w:pStyle w:val="393"/>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361"/>
        <w:gridCol w:w="782"/>
        <w:gridCol w:w="997"/>
        <w:gridCol w:w="1185"/>
      </w:tblGrid>
      <w:tr w14:paraId="7D47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73CB09A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序号</w:t>
            </w:r>
          </w:p>
        </w:tc>
        <w:tc>
          <w:tcPr>
            <w:tcW w:w="5361" w:type="dxa"/>
            <w:vAlign w:val="center"/>
          </w:tcPr>
          <w:p w14:paraId="49FE918B">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评审标准</w:t>
            </w:r>
          </w:p>
        </w:tc>
        <w:tc>
          <w:tcPr>
            <w:tcW w:w="782" w:type="dxa"/>
            <w:vAlign w:val="center"/>
          </w:tcPr>
          <w:p w14:paraId="5B82FA0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权重</w:t>
            </w:r>
          </w:p>
        </w:tc>
        <w:tc>
          <w:tcPr>
            <w:tcW w:w="997" w:type="dxa"/>
            <w:vAlign w:val="center"/>
          </w:tcPr>
          <w:p w14:paraId="5CD64DE7">
            <w:pPr>
              <w:pStyle w:val="393"/>
              <w:spacing w:before="0" w:line="320" w:lineRule="exact"/>
              <w:ind w:firstLine="0" w:firstLineChars="0"/>
              <w:jc w:val="center"/>
              <w:rPr>
                <w:rFonts w:hint="eastAsia" w:ascii="仿宋" w:hAnsi="仿宋" w:eastAsia="仿宋" w:cs="仿宋"/>
                <w:bCs/>
              </w:rPr>
            </w:pPr>
            <w:r>
              <w:rPr>
                <w:rFonts w:hint="eastAsia" w:ascii="仿宋" w:hAnsi="仿宋" w:eastAsia="仿宋" w:cs="仿宋"/>
                <w:bCs/>
              </w:rPr>
              <w:t>主观分/客观分属性</w:t>
            </w:r>
          </w:p>
        </w:tc>
        <w:tc>
          <w:tcPr>
            <w:tcW w:w="1185" w:type="dxa"/>
            <w:vAlign w:val="center"/>
          </w:tcPr>
          <w:p w14:paraId="7249656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sz w:val="21"/>
                <w:szCs w:val="16"/>
              </w:rPr>
              <w:t>磋商文件中评审标准相应的商务技术资料目录</w:t>
            </w:r>
            <w:r>
              <w:rPr>
                <w:rFonts w:hint="eastAsia" w:ascii="仿宋" w:hAnsi="仿宋" w:eastAsia="仿宋" w:cs="仿宋"/>
                <w:sz w:val="21"/>
                <w:szCs w:val="16"/>
                <w:shd w:val="clear" w:color="auto" w:fill="FFFFFF"/>
              </w:rPr>
              <w:t> *</w:t>
            </w:r>
          </w:p>
        </w:tc>
      </w:tr>
      <w:tr w14:paraId="4231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51F872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1</w:t>
            </w:r>
          </w:p>
        </w:tc>
        <w:tc>
          <w:tcPr>
            <w:tcW w:w="5361" w:type="dxa"/>
            <w:vAlign w:val="center"/>
          </w:tcPr>
          <w:p w14:paraId="60B4D751">
            <w:pPr>
              <w:spacing w:line="320" w:lineRule="exact"/>
              <w:outlineLvl w:val="0"/>
              <w:rPr>
                <w:rFonts w:hint="eastAsia" w:ascii="仿宋" w:hAnsi="仿宋" w:eastAsia="仿宋" w:cs="仿宋"/>
                <w:sz w:val="24"/>
              </w:rPr>
            </w:pPr>
            <w:r>
              <w:rPr>
                <w:rFonts w:hint="eastAsia" w:ascii="仿宋" w:hAnsi="仿宋" w:eastAsia="仿宋" w:cs="仿宋"/>
                <w:sz w:val="24"/>
              </w:rPr>
              <w:t>自202</w:t>
            </w:r>
            <w:r>
              <w:rPr>
                <w:rFonts w:hint="eastAsia" w:ascii="仿宋" w:hAnsi="仿宋" w:eastAsia="仿宋" w:cs="仿宋"/>
                <w:sz w:val="24"/>
                <w:lang w:val="en-US" w:eastAsia="zh-CN"/>
              </w:rPr>
              <w:t>1</w:t>
            </w:r>
            <w:r>
              <w:rPr>
                <w:rFonts w:hint="eastAsia" w:ascii="仿宋" w:hAnsi="仿宋" w:eastAsia="仿宋" w:cs="仿宋"/>
                <w:sz w:val="24"/>
              </w:rPr>
              <w:t>年1月1日以来（以合同签订时间为准）供应商已完成的类似网络安全运维服务项目情况，每提供一个项目业绩得0.5分，最多得1分。（需提供合同复印件并加盖公章，否则不得分。）</w:t>
            </w:r>
          </w:p>
        </w:tc>
        <w:tc>
          <w:tcPr>
            <w:tcW w:w="782" w:type="dxa"/>
            <w:vAlign w:val="center"/>
          </w:tcPr>
          <w:p w14:paraId="64B8BF1B">
            <w:pPr>
              <w:snapToGrid w:val="0"/>
              <w:spacing w:line="320" w:lineRule="exact"/>
              <w:jc w:val="center"/>
              <w:rPr>
                <w:rFonts w:hint="eastAsia" w:ascii="仿宋" w:hAnsi="仿宋" w:eastAsia="仿宋" w:cs="仿宋"/>
                <w:sz w:val="24"/>
              </w:rPr>
            </w:pPr>
            <w:r>
              <w:rPr>
                <w:rFonts w:hint="eastAsia" w:ascii="仿宋" w:hAnsi="仿宋" w:eastAsia="仿宋" w:cs="仿宋"/>
                <w:sz w:val="24"/>
              </w:rPr>
              <w:t>1</w:t>
            </w:r>
          </w:p>
        </w:tc>
        <w:tc>
          <w:tcPr>
            <w:tcW w:w="997" w:type="dxa"/>
            <w:vAlign w:val="center"/>
          </w:tcPr>
          <w:p w14:paraId="1807BE07">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rPr>
              <w:t>客观分</w:t>
            </w:r>
          </w:p>
        </w:tc>
        <w:tc>
          <w:tcPr>
            <w:tcW w:w="1185" w:type="dxa"/>
            <w:vAlign w:val="center"/>
          </w:tcPr>
          <w:p w14:paraId="7691111B">
            <w:pPr>
              <w:pStyle w:val="393"/>
              <w:spacing w:before="0" w:line="320" w:lineRule="exact"/>
              <w:ind w:firstLine="0" w:firstLineChars="0"/>
              <w:jc w:val="center"/>
              <w:rPr>
                <w:rFonts w:hint="eastAsia" w:ascii="仿宋" w:hAnsi="仿宋" w:eastAsia="仿宋" w:cs="仿宋"/>
                <w:szCs w:val="24"/>
              </w:rPr>
            </w:pPr>
          </w:p>
        </w:tc>
      </w:tr>
      <w:tr w14:paraId="6D8F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vAlign w:val="center"/>
          </w:tcPr>
          <w:p w14:paraId="43FFC81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2</w:t>
            </w:r>
          </w:p>
        </w:tc>
        <w:tc>
          <w:tcPr>
            <w:tcW w:w="5361" w:type="dxa"/>
            <w:vAlign w:val="center"/>
          </w:tcPr>
          <w:p w14:paraId="0AAB8319">
            <w:pPr>
              <w:spacing w:line="320" w:lineRule="exact"/>
              <w:outlineLvl w:val="0"/>
              <w:rPr>
                <w:rFonts w:hint="eastAsia" w:ascii="仿宋" w:hAnsi="仿宋" w:eastAsia="仿宋" w:cs="仿宋"/>
                <w:sz w:val="24"/>
              </w:rPr>
            </w:pPr>
            <w:r>
              <w:rPr>
                <w:rFonts w:hint="eastAsia" w:ascii="仿宋" w:hAnsi="仿宋" w:eastAsia="仿宋" w:cs="仿宋"/>
                <w:sz w:val="24"/>
              </w:rPr>
              <w:t>供应商具有有效的ISO9001质量管理体系认证证书、ISO27001信息安全管理体系认证证书、中国信息安全测评中心颁发的信息安全服务资质（安全工程类）证书、中国信息安全测评中心颁发的信息安全服务资质（风险评估类）证书，每提供1类证书得1分，最高得4分。（提供证书扫描件）</w:t>
            </w:r>
          </w:p>
        </w:tc>
        <w:tc>
          <w:tcPr>
            <w:tcW w:w="782" w:type="dxa"/>
            <w:vAlign w:val="center"/>
          </w:tcPr>
          <w:p w14:paraId="2BD0BCEA">
            <w:pPr>
              <w:snapToGrid w:val="0"/>
              <w:spacing w:line="320" w:lineRule="exact"/>
              <w:jc w:val="center"/>
              <w:rPr>
                <w:rFonts w:hint="eastAsia" w:ascii="仿宋" w:hAnsi="仿宋" w:eastAsia="仿宋" w:cs="仿宋"/>
                <w:sz w:val="24"/>
              </w:rPr>
            </w:pPr>
            <w:r>
              <w:rPr>
                <w:rFonts w:hint="eastAsia" w:ascii="仿宋" w:hAnsi="仿宋" w:eastAsia="仿宋" w:cs="仿宋"/>
                <w:sz w:val="24"/>
              </w:rPr>
              <w:t>4</w:t>
            </w:r>
          </w:p>
        </w:tc>
        <w:tc>
          <w:tcPr>
            <w:tcW w:w="997" w:type="dxa"/>
            <w:vAlign w:val="center"/>
          </w:tcPr>
          <w:p w14:paraId="5ECE009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185" w:type="dxa"/>
            <w:vAlign w:val="center"/>
          </w:tcPr>
          <w:p w14:paraId="12B0A930">
            <w:pPr>
              <w:pStyle w:val="393"/>
              <w:spacing w:before="0" w:line="320" w:lineRule="exact"/>
              <w:ind w:firstLine="0" w:firstLineChars="0"/>
              <w:jc w:val="center"/>
              <w:rPr>
                <w:rFonts w:hint="eastAsia" w:ascii="仿宋" w:hAnsi="仿宋" w:eastAsia="仿宋" w:cs="仿宋"/>
                <w:szCs w:val="24"/>
              </w:rPr>
            </w:pPr>
          </w:p>
        </w:tc>
      </w:tr>
      <w:tr w14:paraId="4E9C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ED7063A">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3</w:t>
            </w:r>
          </w:p>
        </w:tc>
        <w:tc>
          <w:tcPr>
            <w:tcW w:w="5361" w:type="dxa"/>
            <w:vAlign w:val="center"/>
          </w:tcPr>
          <w:p w14:paraId="45425F19">
            <w:pPr>
              <w:spacing w:line="320" w:lineRule="exact"/>
              <w:outlineLvl w:val="0"/>
              <w:rPr>
                <w:rFonts w:hint="eastAsia" w:ascii="仿宋" w:hAnsi="仿宋" w:eastAsia="仿宋" w:cs="仿宋"/>
                <w:sz w:val="24"/>
              </w:rPr>
            </w:pPr>
            <w:r>
              <w:rPr>
                <w:rFonts w:hint="eastAsia" w:ascii="仿宋" w:hAnsi="仿宋" w:eastAsia="仿宋" w:cs="仿宋"/>
                <w:sz w:val="24"/>
              </w:rPr>
              <w:t>业务服务需求及重难点思路</w:t>
            </w:r>
          </w:p>
        </w:tc>
        <w:tc>
          <w:tcPr>
            <w:tcW w:w="782" w:type="dxa"/>
            <w:vAlign w:val="center"/>
          </w:tcPr>
          <w:p w14:paraId="692F775B">
            <w:pPr>
              <w:snapToGrid w:val="0"/>
              <w:spacing w:line="320" w:lineRule="exact"/>
              <w:jc w:val="center"/>
              <w:rPr>
                <w:rFonts w:hint="eastAsia" w:ascii="仿宋" w:hAnsi="仿宋" w:eastAsia="仿宋" w:cs="仿宋"/>
                <w:sz w:val="24"/>
              </w:rPr>
            </w:pPr>
            <w:r>
              <w:rPr>
                <w:rFonts w:hint="eastAsia" w:ascii="仿宋" w:hAnsi="仿宋" w:eastAsia="仿宋" w:cs="仿宋"/>
                <w:sz w:val="24"/>
              </w:rPr>
              <w:t>/</w:t>
            </w:r>
          </w:p>
        </w:tc>
        <w:tc>
          <w:tcPr>
            <w:tcW w:w="997" w:type="dxa"/>
            <w:vAlign w:val="center"/>
          </w:tcPr>
          <w:p w14:paraId="536AA39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c>
          <w:tcPr>
            <w:tcW w:w="1185" w:type="dxa"/>
            <w:vAlign w:val="center"/>
          </w:tcPr>
          <w:p w14:paraId="0EA6288B">
            <w:pPr>
              <w:pStyle w:val="393"/>
              <w:spacing w:before="0" w:line="320" w:lineRule="exact"/>
              <w:ind w:firstLine="0" w:firstLineChars="0"/>
              <w:jc w:val="center"/>
              <w:rPr>
                <w:rFonts w:hint="eastAsia" w:ascii="仿宋" w:hAnsi="仿宋" w:eastAsia="仿宋" w:cs="仿宋"/>
                <w:szCs w:val="24"/>
              </w:rPr>
            </w:pPr>
          </w:p>
        </w:tc>
      </w:tr>
      <w:tr w14:paraId="5FC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54B2B7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3.1</w:t>
            </w:r>
          </w:p>
        </w:tc>
        <w:tc>
          <w:tcPr>
            <w:tcW w:w="5361" w:type="dxa"/>
            <w:vAlign w:val="center"/>
          </w:tcPr>
          <w:p w14:paraId="051BF590">
            <w:pPr>
              <w:spacing w:line="320" w:lineRule="exact"/>
              <w:outlineLvl w:val="0"/>
              <w:rPr>
                <w:rFonts w:hint="eastAsia" w:ascii="仿宋" w:hAnsi="仿宋" w:eastAsia="仿宋" w:cs="仿宋"/>
                <w:sz w:val="24"/>
              </w:rPr>
            </w:pPr>
            <w:r>
              <w:rPr>
                <w:rFonts w:hint="eastAsia" w:ascii="仿宋" w:hAnsi="仿宋" w:eastAsia="仿宋" w:cs="仿宋"/>
                <w:sz w:val="24"/>
              </w:rPr>
              <w:t>对网络安全防护整体现状及需求的理解情况，包括不限于防护对象整体架构及信息系统情况、现阶段防护策略及薄弱环节、现行管理制度规范实施情况以及欠缺点等</w:t>
            </w:r>
            <w:r>
              <w:rPr>
                <w:rFonts w:hint="eastAsia" w:ascii="仿宋" w:hAnsi="仿宋" w:eastAsia="仿宋" w:cs="仿宋"/>
                <w:sz w:val="24"/>
                <w:lang w:eastAsia="zh-CN"/>
              </w:rPr>
              <w:t>进行评分。</w:t>
            </w:r>
            <w:r>
              <w:rPr>
                <w:rFonts w:hint="eastAsia" w:ascii="仿宋" w:hAnsi="仿宋" w:eastAsia="仿宋" w:cs="仿宋"/>
                <w:sz w:val="24"/>
              </w:rPr>
              <w:t>分值（3.0、2.0、1.0、0）。</w:t>
            </w:r>
          </w:p>
        </w:tc>
        <w:tc>
          <w:tcPr>
            <w:tcW w:w="782" w:type="dxa"/>
            <w:vAlign w:val="center"/>
          </w:tcPr>
          <w:p w14:paraId="14CF4DA4">
            <w:pPr>
              <w:snapToGrid w:val="0"/>
              <w:spacing w:line="320" w:lineRule="exact"/>
              <w:jc w:val="center"/>
              <w:rPr>
                <w:rFonts w:hint="eastAsia" w:ascii="仿宋" w:hAnsi="仿宋" w:eastAsia="仿宋" w:cs="仿宋"/>
                <w:sz w:val="24"/>
              </w:rPr>
            </w:pPr>
            <w:r>
              <w:rPr>
                <w:rFonts w:hint="eastAsia" w:ascii="仿宋" w:hAnsi="仿宋" w:eastAsia="仿宋" w:cs="仿宋"/>
                <w:sz w:val="24"/>
              </w:rPr>
              <w:t>3</w:t>
            </w:r>
          </w:p>
        </w:tc>
        <w:tc>
          <w:tcPr>
            <w:tcW w:w="997" w:type="dxa"/>
            <w:vAlign w:val="center"/>
          </w:tcPr>
          <w:p w14:paraId="18B56D45">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466478A8">
            <w:pPr>
              <w:pStyle w:val="393"/>
              <w:spacing w:before="0" w:line="320" w:lineRule="exact"/>
              <w:ind w:firstLine="0" w:firstLineChars="0"/>
              <w:jc w:val="center"/>
              <w:rPr>
                <w:rFonts w:hint="eastAsia" w:ascii="仿宋" w:hAnsi="仿宋" w:eastAsia="仿宋" w:cs="仿宋"/>
                <w:szCs w:val="24"/>
              </w:rPr>
            </w:pPr>
          </w:p>
        </w:tc>
      </w:tr>
      <w:tr w14:paraId="70D2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F4EEED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3.2</w:t>
            </w:r>
          </w:p>
        </w:tc>
        <w:tc>
          <w:tcPr>
            <w:tcW w:w="5361" w:type="dxa"/>
            <w:vAlign w:val="center"/>
          </w:tcPr>
          <w:p w14:paraId="409F03A8">
            <w:pPr>
              <w:spacing w:line="320" w:lineRule="exact"/>
              <w:outlineLvl w:val="0"/>
              <w:rPr>
                <w:rFonts w:hint="eastAsia" w:ascii="仿宋" w:hAnsi="仿宋" w:eastAsia="仿宋" w:cs="仿宋"/>
                <w:sz w:val="24"/>
                <w:lang w:eastAsia="zh-CN"/>
              </w:rPr>
            </w:pPr>
            <w:r>
              <w:rPr>
                <w:rFonts w:hint="eastAsia" w:ascii="仿宋" w:hAnsi="仿宋" w:eastAsia="仿宋" w:cs="仿宋"/>
                <w:sz w:val="24"/>
              </w:rPr>
              <w:t>整体安全工作的目标方针的理解情况，包括不限于考试院业务安全性和可用性的平衡关系、遵循的方针政策以及短期、中远期和远期规划等</w:t>
            </w:r>
            <w:r>
              <w:rPr>
                <w:rFonts w:hint="eastAsia" w:ascii="仿宋" w:hAnsi="仿宋" w:eastAsia="仿宋" w:cs="仿宋"/>
                <w:sz w:val="24"/>
                <w:lang w:eastAsia="zh-CN"/>
              </w:rPr>
              <w:t>进行评分。</w:t>
            </w:r>
            <w:r>
              <w:rPr>
                <w:rFonts w:hint="eastAsia" w:ascii="仿宋" w:hAnsi="仿宋" w:eastAsia="仿宋" w:cs="仿宋"/>
                <w:sz w:val="24"/>
              </w:rPr>
              <w:t>分值（3.0、2.0、1.0、0）。</w:t>
            </w:r>
          </w:p>
        </w:tc>
        <w:tc>
          <w:tcPr>
            <w:tcW w:w="782" w:type="dxa"/>
            <w:vAlign w:val="center"/>
          </w:tcPr>
          <w:p w14:paraId="22ED90A9">
            <w:pPr>
              <w:snapToGrid w:val="0"/>
              <w:spacing w:line="320" w:lineRule="exact"/>
              <w:jc w:val="center"/>
              <w:rPr>
                <w:rFonts w:hint="eastAsia" w:ascii="仿宋" w:hAnsi="仿宋" w:eastAsia="仿宋" w:cs="仿宋"/>
                <w:sz w:val="24"/>
              </w:rPr>
            </w:pPr>
            <w:r>
              <w:rPr>
                <w:rFonts w:hint="eastAsia" w:ascii="仿宋" w:hAnsi="仿宋" w:eastAsia="仿宋" w:cs="仿宋"/>
                <w:sz w:val="24"/>
              </w:rPr>
              <w:t>3</w:t>
            </w:r>
          </w:p>
        </w:tc>
        <w:tc>
          <w:tcPr>
            <w:tcW w:w="997" w:type="dxa"/>
            <w:vAlign w:val="center"/>
          </w:tcPr>
          <w:p w14:paraId="6564342D">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350D348E">
            <w:pPr>
              <w:pStyle w:val="393"/>
              <w:spacing w:before="0" w:line="320" w:lineRule="exact"/>
              <w:ind w:firstLine="0" w:firstLineChars="0"/>
              <w:jc w:val="center"/>
              <w:rPr>
                <w:rFonts w:hint="eastAsia" w:ascii="仿宋" w:hAnsi="仿宋" w:eastAsia="仿宋" w:cs="仿宋"/>
                <w:szCs w:val="24"/>
              </w:rPr>
            </w:pPr>
          </w:p>
        </w:tc>
      </w:tr>
      <w:tr w14:paraId="7964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65AC2F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3.3</w:t>
            </w:r>
          </w:p>
        </w:tc>
        <w:tc>
          <w:tcPr>
            <w:tcW w:w="5361" w:type="dxa"/>
            <w:vAlign w:val="center"/>
          </w:tcPr>
          <w:p w14:paraId="6B37B068">
            <w:pPr>
              <w:spacing w:line="320" w:lineRule="exact"/>
              <w:outlineLvl w:val="0"/>
              <w:rPr>
                <w:rFonts w:hint="eastAsia" w:ascii="仿宋" w:hAnsi="仿宋" w:eastAsia="仿宋" w:cs="仿宋"/>
                <w:sz w:val="24"/>
                <w:lang w:eastAsia="zh-CN"/>
              </w:rPr>
            </w:pPr>
            <w:r>
              <w:rPr>
                <w:rFonts w:hint="eastAsia" w:ascii="仿宋" w:hAnsi="仿宋" w:eastAsia="仿宋" w:cs="仿宋"/>
                <w:sz w:val="24"/>
              </w:rPr>
              <w:t>关键难点问题的分析及解决思路，包括不限于应急事件的处置方法、保障渗透测试测试深度广度的方法论、风险评估的模型及方法选取、安全运维人员筛选条件及工作条件匹配度把控和人员保密把控等</w:t>
            </w:r>
            <w:r>
              <w:rPr>
                <w:rFonts w:hint="eastAsia" w:ascii="仿宋" w:hAnsi="仿宋" w:eastAsia="仿宋" w:cs="仿宋"/>
                <w:sz w:val="24"/>
                <w:lang w:eastAsia="zh-CN"/>
              </w:rPr>
              <w:t>进行评分。分值（3.0、2.0、1.0、0）。</w:t>
            </w:r>
          </w:p>
        </w:tc>
        <w:tc>
          <w:tcPr>
            <w:tcW w:w="782" w:type="dxa"/>
            <w:vAlign w:val="center"/>
          </w:tcPr>
          <w:p w14:paraId="512EFB1C">
            <w:pPr>
              <w:snapToGrid w:val="0"/>
              <w:spacing w:line="320" w:lineRule="exact"/>
              <w:jc w:val="center"/>
              <w:rPr>
                <w:rFonts w:hint="eastAsia" w:ascii="仿宋" w:hAnsi="仿宋" w:eastAsia="仿宋" w:cs="仿宋"/>
                <w:sz w:val="24"/>
              </w:rPr>
            </w:pPr>
            <w:r>
              <w:rPr>
                <w:rFonts w:hint="eastAsia" w:ascii="仿宋" w:hAnsi="仿宋" w:eastAsia="仿宋" w:cs="仿宋"/>
                <w:sz w:val="24"/>
              </w:rPr>
              <w:t>3</w:t>
            </w:r>
          </w:p>
        </w:tc>
        <w:tc>
          <w:tcPr>
            <w:tcW w:w="997" w:type="dxa"/>
            <w:vAlign w:val="center"/>
          </w:tcPr>
          <w:p w14:paraId="7600713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19D678D6">
            <w:pPr>
              <w:pStyle w:val="393"/>
              <w:spacing w:before="0" w:line="320" w:lineRule="exact"/>
              <w:ind w:firstLine="0" w:firstLineChars="0"/>
              <w:jc w:val="center"/>
              <w:rPr>
                <w:rFonts w:hint="eastAsia" w:ascii="仿宋" w:hAnsi="仿宋" w:eastAsia="仿宋" w:cs="仿宋"/>
                <w:szCs w:val="24"/>
              </w:rPr>
            </w:pPr>
          </w:p>
        </w:tc>
      </w:tr>
      <w:tr w14:paraId="5093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9EB683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w:t>
            </w:r>
          </w:p>
        </w:tc>
        <w:tc>
          <w:tcPr>
            <w:tcW w:w="5361" w:type="dxa"/>
            <w:vAlign w:val="center"/>
          </w:tcPr>
          <w:p w14:paraId="576D7C4A">
            <w:pPr>
              <w:spacing w:line="320" w:lineRule="exact"/>
              <w:outlineLvl w:val="0"/>
              <w:rPr>
                <w:rFonts w:hint="eastAsia" w:ascii="仿宋" w:hAnsi="仿宋" w:eastAsia="仿宋" w:cs="仿宋"/>
                <w:sz w:val="24"/>
              </w:rPr>
            </w:pPr>
            <w:r>
              <w:rPr>
                <w:rFonts w:hint="eastAsia" w:ascii="仿宋" w:hAnsi="仿宋" w:eastAsia="仿宋" w:cs="仿宋"/>
                <w:sz w:val="24"/>
              </w:rPr>
              <w:t>针对采购人每个采购内容制定对应的项目方案，方案内容包括但不限于内容要求理解、方案执行人员配置、方案执行关键点、实施计划、实施质量把控、实施设备管控以及方案执行技术手段等，根据方案的完整性、合规性、规范性、可操作性、技术手段多样性、实施承诺、与采购人实际需求的符合程度等方面进行评分</w:t>
            </w:r>
          </w:p>
        </w:tc>
        <w:tc>
          <w:tcPr>
            <w:tcW w:w="782" w:type="dxa"/>
            <w:vAlign w:val="center"/>
          </w:tcPr>
          <w:p w14:paraId="15A0B210">
            <w:pPr>
              <w:snapToGrid w:val="0"/>
              <w:spacing w:line="320" w:lineRule="exact"/>
              <w:jc w:val="center"/>
              <w:rPr>
                <w:rFonts w:hint="eastAsia" w:ascii="仿宋" w:hAnsi="仿宋" w:eastAsia="仿宋" w:cs="仿宋"/>
                <w:sz w:val="24"/>
              </w:rPr>
            </w:pPr>
            <w:r>
              <w:rPr>
                <w:rFonts w:hint="eastAsia" w:ascii="仿宋" w:hAnsi="仿宋" w:eastAsia="仿宋" w:cs="仿宋"/>
                <w:sz w:val="24"/>
              </w:rPr>
              <w:t>/</w:t>
            </w:r>
          </w:p>
        </w:tc>
        <w:tc>
          <w:tcPr>
            <w:tcW w:w="997" w:type="dxa"/>
            <w:vAlign w:val="center"/>
          </w:tcPr>
          <w:p w14:paraId="7510806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c>
          <w:tcPr>
            <w:tcW w:w="1185" w:type="dxa"/>
            <w:vAlign w:val="center"/>
          </w:tcPr>
          <w:p w14:paraId="46F433DB">
            <w:pPr>
              <w:pStyle w:val="393"/>
              <w:spacing w:before="0" w:line="320" w:lineRule="exact"/>
              <w:ind w:firstLine="0" w:firstLineChars="0"/>
              <w:jc w:val="center"/>
              <w:rPr>
                <w:rFonts w:hint="eastAsia" w:ascii="仿宋" w:hAnsi="仿宋" w:eastAsia="仿宋" w:cs="仿宋"/>
                <w:szCs w:val="24"/>
              </w:rPr>
            </w:pPr>
          </w:p>
        </w:tc>
      </w:tr>
      <w:tr w14:paraId="14D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61" w:type="dxa"/>
            <w:vAlign w:val="center"/>
          </w:tcPr>
          <w:p w14:paraId="0F9841D3">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4.1</w:t>
            </w:r>
          </w:p>
        </w:tc>
        <w:tc>
          <w:tcPr>
            <w:tcW w:w="5361" w:type="dxa"/>
            <w:vAlign w:val="center"/>
          </w:tcPr>
          <w:p w14:paraId="41C4A40F">
            <w:pPr>
              <w:spacing w:line="320" w:lineRule="exact"/>
              <w:outlineLvl w:val="0"/>
              <w:rPr>
                <w:rFonts w:hint="eastAsia" w:ascii="仿宋" w:hAnsi="仿宋" w:eastAsia="仿宋" w:cs="仿宋"/>
              </w:rPr>
            </w:pPr>
            <w:r>
              <w:rPr>
                <w:rFonts w:hint="eastAsia" w:ascii="仿宋" w:hAnsi="仿宋" w:eastAsia="仿宋" w:cs="仿宋"/>
                <w:sz w:val="24"/>
              </w:rPr>
              <w:t>根据供应商拟定的态势感知实时防护服务以及资产发现与管理服务方案进行评分。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782" w:type="dxa"/>
            <w:vAlign w:val="center"/>
          </w:tcPr>
          <w:p w14:paraId="7D00A731">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69E2B36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7DC33E5A">
            <w:pPr>
              <w:pStyle w:val="393"/>
              <w:spacing w:before="0" w:line="320" w:lineRule="exact"/>
              <w:ind w:firstLine="0" w:firstLineChars="0"/>
              <w:jc w:val="center"/>
              <w:rPr>
                <w:rFonts w:hint="eastAsia" w:ascii="仿宋" w:hAnsi="仿宋" w:eastAsia="仿宋" w:cs="仿宋"/>
                <w:szCs w:val="24"/>
              </w:rPr>
            </w:pPr>
          </w:p>
        </w:tc>
      </w:tr>
      <w:tr w14:paraId="4E34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61" w:type="dxa"/>
            <w:vAlign w:val="center"/>
          </w:tcPr>
          <w:p w14:paraId="373A42E0">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4.2</w:t>
            </w:r>
          </w:p>
        </w:tc>
        <w:tc>
          <w:tcPr>
            <w:tcW w:w="5361" w:type="dxa"/>
            <w:vAlign w:val="center"/>
          </w:tcPr>
          <w:p w14:paraId="2B8F5837">
            <w:pPr>
              <w:spacing w:line="320" w:lineRule="exact"/>
              <w:outlineLvl w:val="0"/>
              <w:rPr>
                <w:rFonts w:hint="eastAsia" w:ascii="仿宋" w:hAnsi="仿宋" w:eastAsia="仿宋" w:cs="仿宋"/>
              </w:rPr>
            </w:pPr>
            <w:r>
              <w:rPr>
                <w:rFonts w:hint="eastAsia" w:ascii="仿宋" w:hAnsi="仿宋" w:eastAsia="仿宋" w:cs="仿宋"/>
                <w:sz w:val="24"/>
              </w:rPr>
              <w:t>根据供应商拟定的驻场安全运维服务方案进行评分。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782" w:type="dxa"/>
            <w:vAlign w:val="center"/>
          </w:tcPr>
          <w:p w14:paraId="55571129">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267B90EB">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6B9FB8E8">
            <w:pPr>
              <w:pStyle w:val="393"/>
              <w:spacing w:before="0" w:line="320" w:lineRule="exact"/>
              <w:ind w:firstLine="0" w:firstLineChars="0"/>
              <w:jc w:val="center"/>
              <w:rPr>
                <w:rFonts w:hint="eastAsia" w:ascii="仿宋" w:hAnsi="仿宋" w:eastAsia="仿宋" w:cs="仿宋"/>
                <w:szCs w:val="24"/>
              </w:rPr>
            </w:pPr>
          </w:p>
        </w:tc>
      </w:tr>
      <w:tr w14:paraId="79DE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487AE2D">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4.3</w:t>
            </w:r>
          </w:p>
        </w:tc>
        <w:tc>
          <w:tcPr>
            <w:tcW w:w="5361" w:type="dxa"/>
            <w:vAlign w:val="center"/>
          </w:tcPr>
          <w:p w14:paraId="5678AC51">
            <w:pPr>
              <w:spacing w:line="320" w:lineRule="exact"/>
              <w:outlineLvl w:val="0"/>
              <w:rPr>
                <w:rFonts w:hint="eastAsia" w:ascii="仿宋" w:hAnsi="仿宋" w:eastAsia="仿宋" w:cs="仿宋"/>
              </w:rPr>
            </w:pPr>
            <w:r>
              <w:rPr>
                <w:rFonts w:hint="eastAsia" w:ascii="仿宋" w:hAnsi="仿宋" w:eastAsia="仿宋" w:cs="仿宋"/>
                <w:sz w:val="24"/>
              </w:rPr>
              <w:t>根据供应商拟定的周期性安全扫描及渗透测试服务方案进行评分。分值（5.0、4.0、3.0、2.0、1.0、0）。</w:t>
            </w:r>
          </w:p>
        </w:tc>
        <w:tc>
          <w:tcPr>
            <w:tcW w:w="782" w:type="dxa"/>
            <w:vAlign w:val="center"/>
          </w:tcPr>
          <w:p w14:paraId="04B274E0">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423EFAA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5EDF5B3B">
            <w:pPr>
              <w:pStyle w:val="393"/>
              <w:spacing w:before="0" w:line="320" w:lineRule="exact"/>
              <w:ind w:firstLine="0" w:firstLineChars="0"/>
              <w:jc w:val="center"/>
              <w:rPr>
                <w:rFonts w:hint="eastAsia" w:ascii="仿宋" w:hAnsi="仿宋" w:eastAsia="仿宋" w:cs="仿宋"/>
                <w:szCs w:val="24"/>
              </w:rPr>
            </w:pPr>
          </w:p>
        </w:tc>
      </w:tr>
      <w:tr w14:paraId="43B7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B6AEA6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4.4</w:t>
            </w:r>
          </w:p>
        </w:tc>
        <w:tc>
          <w:tcPr>
            <w:tcW w:w="5361" w:type="dxa"/>
            <w:vAlign w:val="center"/>
          </w:tcPr>
          <w:p w14:paraId="552A4753">
            <w:pPr>
              <w:spacing w:line="320" w:lineRule="exact"/>
              <w:outlineLvl w:val="0"/>
              <w:rPr>
                <w:rFonts w:hint="eastAsia" w:ascii="仿宋" w:hAnsi="仿宋" w:eastAsia="仿宋" w:cs="仿宋"/>
              </w:rPr>
            </w:pPr>
            <w:r>
              <w:rPr>
                <w:rFonts w:hint="eastAsia" w:ascii="仿宋" w:hAnsi="仿宋" w:eastAsia="仿宋" w:cs="仿宋"/>
                <w:sz w:val="24"/>
              </w:rPr>
              <w:t>根据供应商拟定的风险评估方案进行评分。分值（5.0、4.0、3.0、2.0、1.0、0）。</w:t>
            </w:r>
          </w:p>
        </w:tc>
        <w:tc>
          <w:tcPr>
            <w:tcW w:w="782" w:type="dxa"/>
            <w:vAlign w:val="center"/>
          </w:tcPr>
          <w:p w14:paraId="4F62E936">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61798BB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7939A336">
            <w:pPr>
              <w:pStyle w:val="393"/>
              <w:spacing w:before="0" w:line="320" w:lineRule="exact"/>
              <w:ind w:firstLine="0" w:firstLineChars="0"/>
              <w:jc w:val="center"/>
              <w:rPr>
                <w:rFonts w:hint="eastAsia" w:ascii="仿宋" w:hAnsi="仿宋" w:eastAsia="仿宋" w:cs="仿宋"/>
                <w:szCs w:val="24"/>
              </w:rPr>
            </w:pPr>
          </w:p>
        </w:tc>
      </w:tr>
      <w:tr w14:paraId="47E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62F9D5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4.5</w:t>
            </w:r>
          </w:p>
        </w:tc>
        <w:tc>
          <w:tcPr>
            <w:tcW w:w="5361" w:type="dxa"/>
            <w:vAlign w:val="center"/>
          </w:tcPr>
          <w:p w14:paraId="7E63D34C">
            <w:pPr>
              <w:spacing w:line="320" w:lineRule="exact"/>
              <w:outlineLvl w:val="0"/>
              <w:rPr>
                <w:rFonts w:hint="eastAsia" w:ascii="仿宋" w:hAnsi="仿宋" w:eastAsia="仿宋" w:cs="仿宋"/>
              </w:rPr>
            </w:pPr>
            <w:r>
              <w:rPr>
                <w:rFonts w:hint="eastAsia" w:ascii="仿宋" w:hAnsi="仿宋" w:eastAsia="仿宋" w:cs="仿宋"/>
                <w:sz w:val="24"/>
              </w:rPr>
              <w:t>根据供应商拟定的重要时期值守保障服务、违规外联检查服务以及网站安全监测服务方案进行评分。分值（5.0、4.0、3.0、2.0、1.0、0）。</w:t>
            </w:r>
          </w:p>
        </w:tc>
        <w:tc>
          <w:tcPr>
            <w:tcW w:w="782" w:type="dxa"/>
            <w:vAlign w:val="center"/>
          </w:tcPr>
          <w:p w14:paraId="340B8F86">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7CD1FD2D">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062D05AE">
            <w:pPr>
              <w:pStyle w:val="393"/>
              <w:spacing w:before="0" w:line="320" w:lineRule="exact"/>
              <w:ind w:firstLine="0" w:firstLineChars="0"/>
              <w:jc w:val="center"/>
              <w:rPr>
                <w:rFonts w:hint="eastAsia" w:ascii="仿宋" w:hAnsi="仿宋" w:eastAsia="仿宋" w:cs="仿宋"/>
                <w:szCs w:val="24"/>
              </w:rPr>
            </w:pPr>
          </w:p>
        </w:tc>
      </w:tr>
      <w:tr w14:paraId="7D07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3FAB36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4.6</w:t>
            </w:r>
          </w:p>
        </w:tc>
        <w:tc>
          <w:tcPr>
            <w:tcW w:w="5361" w:type="dxa"/>
            <w:vAlign w:val="center"/>
          </w:tcPr>
          <w:p w14:paraId="417BC590">
            <w:pPr>
              <w:spacing w:line="320" w:lineRule="exact"/>
              <w:outlineLvl w:val="0"/>
              <w:rPr>
                <w:rFonts w:hint="eastAsia" w:ascii="仿宋" w:hAnsi="仿宋" w:eastAsia="仿宋" w:cs="仿宋"/>
              </w:rPr>
            </w:pPr>
            <w:r>
              <w:rPr>
                <w:rFonts w:hint="eastAsia" w:ascii="仿宋" w:hAnsi="仿宋" w:eastAsia="仿宋" w:cs="仿宋"/>
                <w:sz w:val="24"/>
              </w:rPr>
              <w:t>根据供应商拟定的安全配置检查服务以及安全加固方案进行评分。分值（5.0、4.0、3.0、2.0、1.0、0）。</w:t>
            </w:r>
          </w:p>
        </w:tc>
        <w:tc>
          <w:tcPr>
            <w:tcW w:w="782" w:type="dxa"/>
            <w:vAlign w:val="center"/>
          </w:tcPr>
          <w:p w14:paraId="4C17B551">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0221AB6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7BE8817E">
            <w:pPr>
              <w:pStyle w:val="393"/>
              <w:spacing w:before="0" w:line="320" w:lineRule="exact"/>
              <w:ind w:firstLine="0" w:firstLineChars="0"/>
              <w:jc w:val="center"/>
              <w:rPr>
                <w:rFonts w:hint="eastAsia" w:ascii="仿宋" w:hAnsi="仿宋" w:eastAsia="仿宋" w:cs="仿宋"/>
                <w:szCs w:val="24"/>
              </w:rPr>
            </w:pPr>
          </w:p>
        </w:tc>
      </w:tr>
      <w:tr w14:paraId="036A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F2DF3C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4.7</w:t>
            </w:r>
          </w:p>
        </w:tc>
        <w:tc>
          <w:tcPr>
            <w:tcW w:w="5361" w:type="dxa"/>
            <w:vAlign w:val="center"/>
          </w:tcPr>
          <w:p w14:paraId="17883F58">
            <w:pPr>
              <w:spacing w:line="320" w:lineRule="exact"/>
              <w:outlineLvl w:val="0"/>
              <w:rPr>
                <w:rFonts w:hint="eastAsia" w:ascii="仿宋" w:hAnsi="仿宋" w:eastAsia="仿宋" w:cs="仿宋"/>
              </w:rPr>
            </w:pPr>
            <w:r>
              <w:rPr>
                <w:rFonts w:hint="eastAsia" w:ascii="仿宋" w:hAnsi="仿宋" w:eastAsia="仿宋" w:cs="仿宋"/>
                <w:sz w:val="24"/>
              </w:rPr>
              <w:t>根据供应商拟定的应用上线安全检查、源代码审计服务以及数据安全服务方案进行评分。分值（5.0、4.0、3.0、2.0、1.0、0）。</w:t>
            </w:r>
          </w:p>
        </w:tc>
        <w:tc>
          <w:tcPr>
            <w:tcW w:w="782" w:type="dxa"/>
            <w:vAlign w:val="center"/>
          </w:tcPr>
          <w:p w14:paraId="520448B4">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32EB4E0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4EEFF5AA">
            <w:pPr>
              <w:pStyle w:val="393"/>
              <w:spacing w:before="0" w:line="320" w:lineRule="exact"/>
              <w:ind w:firstLine="0" w:firstLineChars="0"/>
              <w:jc w:val="center"/>
              <w:rPr>
                <w:rFonts w:hint="eastAsia" w:ascii="仿宋" w:hAnsi="仿宋" w:eastAsia="仿宋" w:cs="仿宋"/>
                <w:szCs w:val="24"/>
              </w:rPr>
            </w:pPr>
          </w:p>
        </w:tc>
      </w:tr>
      <w:tr w14:paraId="4A0E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1" w:type="dxa"/>
            <w:vAlign w:val="center"/>
          </w:tcPr>
          <w:p w14:paraId="696C6CB5">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4.8</w:t>
            </w:r>
          </w:p>
        </w:tc>
        <w:tc>
          <w:tcPr>
            <w:tcW w:w="5361" w:type="dxa"/>
            <w:vAlign w:val="center"/>
          </w:tcPr>
          <w:p w14:paraId="112FF41A">
            <w:pPr>
              <w:spacing w:line="320" w:lineRule="exact"/>
              <w:outlineLvl w:val="0"/>
              <w:rPr>
                <w:rFonts w:hint="eastAsia" w:ascii="仿宋" w:hAnsi="仿宋" w:eastAsia="仿宋" w:cs="仿宋"/>
              </w:rPr>
            </w:pPr>
            <w:r>
              <w:rPr>
                <w:rFonts w:hint="eastAsia" w:ascii="仿宋" w:hAnsi="仿宋" w:eastAsia="仿宋" w:cs="仿宋"/>
                <w:sz w:val="24"/>
              </w:rPr>
              <w:t>根据供应商拟定的合规性咨询及检查服务以及网络信息安全管理制度完善方案进行评分。分值（5.0、4.0、3.0、2.0、1.0、0）。</w:t>
            </w:r>
          </w:p>
        </w:tc>
        <w:tc>
          <w:tcPr>
            <w:tcW w:w="782" w:type="dxa"/>
            <w:vAlign w:val="center"/>
          </w:tcPr>
          <w:p w14:paraId="270E99DC">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5422C5D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08F42C79">
            <w:pPr>
              <w:pStyle w:val="393"/>
              <w:spacing w:before="0" w:line="320" w:lineRule="exact"/>
              <w:ind w:firstLine="0" w:firstLineChars="0"/>
              <w:jc w:val="center"/>
              <w:rPr>
                <w:rFonts w:hint="eastAsia" w:ascii="仿宋" w:hAnsi="仿宋" w:eastAsia="仿宋" w:cs="仿宋"/>
                <w:szCs w:val="24"/>
              </w:rPr>
            </w:pPr>
          </w:p>
        </w:tc>
      </w:tr>
      <w:tr w14:paraId="32F9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5C931BD">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4.9</w:t>
            </w:r>
          </w:p>
        </w:tc>
        <w:tc>
          <w:tcPr>
            <w:tcW w:w="5361" w:type="dxa"/>
            <w:vAlign w:val="center"/>
          </w:tcPr>
          <w:p w14:paraId="0F769300">
            <w:pPr>
              <w:spacing w:line="320" w:lineRule="exact"/>
              <w:outlineLvl w:val="0"/>
              <w:rPr>
                <w:rFonts w:hint="eastAsia" w:ascii="仿宋" w:hAnsi="仿宋" w:eastAsia="仿宋" w:cs="仿宋"/>
              </w:rPr>
            </w:pPr>
            <w:r>
              <w:rPr>
                <w:rFonts w:hint="eastAsia" w:ascii="仿宋" w:hAnsi="仿宋" w:eastAsia="仿宋" w:cs="仿宋"/>
                <w:sz w:val="24"/>
              </w:rPr>
              <w:t>根据供应商拟定的设备巡检服务、安全产品集成与验证服务、网站云安全防护服务以及CA数字证书方案进行评分。分值（5.0、4.0、3.0、2.0、1.0、0）。</w:t>
            </w:r>
          </w:p>
        </w:tc>
        <w:tc>
          <w:tcPr>
            <w:tcW w:w="782" w:type="dxa"/>
            <w:vAlign w:val="center"/>
          </w:tcPr>
          <w:p w14:paraId="31B03E88">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518433E0">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2E91704D">
            <w:pPr>
              <w:pStyle w:val="393"/>
              <w:spacing w:before="0" w:line="320" w:lineRule="exact"/>
              <w:ind w:firstLine="0" w:firstLineChars="0"/>
              <w:jc w:val="center"/>
              <w:rPr>
                <w:rFonts w:hint="eastAsia" w:ascii="仿宋" w:hAnsi="仿宋" w:eastAsia="仿宋" w:cs="仿宋"/>
                <w:szCs w:val="24"/>
              </w:rPr>
            </w:pPr>
          </w:p>
        </w:tc>
      </w:tr>
      <w:tr w14:paraId="3733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5F8A728">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4.10</w:t>
            </w:r>
          </w:p>
        </w:tc>
        <w:tc>
          <w:tcPr>
            <w:tcW w:w="5361" w:type="dxa"/>
            <w:vAlign w:val="center"/>
          </w:tcPr>
          <w:p w14:paraId="06C1ACD9">
            <w:pPr>
              <w:spacing w:line="320" w:lineRule="exact"/>
              <w:outlineLvl w:val="0"/>
              <w:rPr>
                <w:rFonts w:hint="eastAsia" w:ascii="仿宋" w:hAnsi="仿宋" w:eastAsia="仿宋" w:cs="仿宋"/>
              </w:rPr>
            </w:pPr>
            <w:r>
              <w:rPr>
                <w:rFonts w:hint="eastAsia" w:ascii="仿宋" w:hAnsi="仿宋" w:eastAsia="仿宋" w:cs="仿宋"/>
                <w:sz w:val="24"/>
              </w:rPr>
              <w:t>根据供应商拟定的安全培训、应急演练方案、应急响应方案进行评分。分值（5.0、4.0、3.0、2.0、1.0、0）。</w:t>
            </w:r>
          </w:p>
        </w:tc>
        <w:tc>
          <w:tcPr>
            <w:tcW w:w="782" w:type="dxa"/>
            <w:vAlign w:val="center"/>
          </w:tcPr>
          <w:p w14:paraId="73C75E04">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48CB1E88">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4F600459">
            <w:pPr>
              <w:pStyle w:val="393"/>
              <w:spacing w:before="0" w:line="320" w:lineRule="exact"/>
              <w:ind w:firstLine="0" w:firstLineChars="0"/>
              <w:jc w:val="center"/>
              <w:rPr>
                <w:rFonts w:hint="eastAsia" w:ascii="仿宋" w:hAnsi="仿宋" w:eastAsia="仿宋" w:cs="仿宋"/>
                <w:szCs w:val="24"/>
              </w:rPr>
            </w:pPr>
          </w:p>
        </w:tc>
      </w:tr>
      <w:tr w14:paraId="39F5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61" w:type="dxa"/>
            <w:vAlign w:val="center"/>
          </w:tcPr>
          <w:p w14:paraId="4AD3FB8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5</w:t>
            </w:r>
          </w:p>
        </w:tc>
        <w:tc>
          <w:tcPr>
            <w:tcW w:w="5361" w:type="dxa"/>
            <w:vAlign w:val="center"/>
          </w:tcPr>
          <w:p w14:paraId="0D14E46F">
            <w:pPr>
              <w:spacing w:line="320" w:lineRule="exact"/>
              <w:outlineLvl w:val="0"/>
              <w:rPr>
                <w:rFonts w:hint="eastAsia" w:ascii="仿宋" w:hAnsi="仿宋" w:eastAsia="仿宋" w:cs="仿宋"/>
                <w:sz w:val="24"/>
              </w:rPr>
            </w:pPr>
            <w:r>
              <w:rPr>
                <w:rFonts w:hint="eastAsia" w:ascii="仿宋" w:hAnsi="仿宋" w:eastAsia="仿宋" w:cs="仿宋"/>
                <w:sz w:val="24"/>
              </w:rPr>
              <w:t>项目质量、安全保密及验收</w:t>
            </w:r>
          </w:p>
        </w:tc>
        <w:tc>
          <w:tcPr>
            <w:tcW w:w="782" w:type="dxa"/>
            <w:vAlign w:val="center"/>
          </w:tcPr>
          <w:p w14:paraId="370F6932">
            <w:pPr>
              <w:snapToGrid w:val="0"/>
              <w:spacing w:line="320" w:lineRule="exact"/>
              <w:jc w:val="center"/>
              <w:rPr>
                <w:rFonts w:hint="eastAsia" w:ascii="仿宋" w:hAnsi="仿宋" w:eastAsia="仿宋" w:cs="仿宋"/>
                <w:sz w:val="24"/>
              </w:rPr>
            </w:pPr>
            <w:r>
              <w:rPr>
                <w:rFonts w:hint="eastAsia" w:ascii="仿宋" w:hAnsi="仿宋" w:eastAsia="仿宋" w:cs="仿宋"/>
                <w:sz w:val="24"/>
              </w:rPr>
              <w:t>/</w:t>
            </w:r>
          </w:p>
        </w:tc>
        <w:tc>
          <w:tcPr>
            <w:tcW w:w="997" w:type="dxa"/>
            <w:vAlign w:val="center"/>
          </w:tcPr>
          <w:p w14:paraId="587033D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c>
          <w:tcPr>
            <w:tcW w:w="1185" w:type="dxa"/>
            <w:vAlign w:val="center"/>
          </w:tcPr>
          <w:p w14:paraId="148A00DE">
            <w:pPr>
              <w:pStyle w:val="393"/>
              <w:spacing w:before="0" w:line="320" w:lineRule="exact"/>
              <w:ind w:firstLine="0" w:firstLineChars="0"/>
              <w:jc w:val="center"/>
              <w:rPr>
                <w:rFonts w:hint="eastAsia" w:ascii="仿宋" w:hAnsi="仿宋" w:eastAsia="仿宋" w:cs="仿宋"/>
                <w:szCs w:val="24"/>
              </w:rPr>
            </w:pPr>
          </w:p>
        </w:tc>
      </w:tr>
      <w:tr w14:paraId="6347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E8927A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5.1</w:t>
            </w:r>
          </w:p>
        </w:tc>
        <w:tc>
          <w:tcPr>
            <w:tcW w:w="5361" w:type="dxa"/>
            <w:vAlign w:val="center"/>
          </w:tcPr>
          <w:p w14:paraId="2F6DFE68">
            <w:pPr>
              <w:spacing w:line="320" w:lineRule="exact"/>
              <w:outlineLvl w:val="0"/>
              <w:rPr>
                <w:rFonts w:hint="eastAsia" w:ascii="仿宋" w:hAnsi="仿宋" w:eastAsia="仿宋" w:cs="仿宋"/>
                <w:sz w:val="24"/>
              </w:rPr>
            </w:pPr>
            <w:r>
              <w:rPr>
                <w:rFonts w:hint="eastAsia" w:ascii="仿宋" w:hAnsi="仿宋" w:eastAsia="仿宋" w:cs="仿宋"/>
                <w:sz w:val="24"/>
              </w:rPr>
              <w:t>对项目质量进行严格把控，构建项目质量管理体系，制定实施流程规范和管理制度</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2A789453">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438F36F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4628DBD9">
            <w:pPr>
              <w:pStyle w:val="393"/>
              <w:spacing w:before="0" w:line="320" w:lineRule="exact"/>
              <w:ind w:firstLine="0" w:firstLineChars="0"/>
              <w:jc w:val="center"/>
              <w:rPr>
                <w:rFonts w:hint="eastAsia" w:ascii="仿宋" w:hAnsi="仿宋" w:eastAsia="仿宋" w:cs="仿宋"/>
                <w:szCs w:val="24"/>
              </w:rPr>
            </w:pPr>
          </w:p>
        </w:tc>
      </w:tr>
      <w:tr w14:paraId="471D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59F2D20">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5.2</w:t>
            </w:r>
          </w:p>
        </w:tc>
        <w:tc>
          <w:tcPr>
            <w:tcW w:w="5361" w:type="dxa"/>
            <w:vAlign w:val="center"/>
          </w:tcPr>
          <w:p w14:paraId="590A122B">
            <w:pPr>
              <w:spacing w:line="320" w:lineRule="exact"/>
              <w:outlineLvl w:val="0"/>
              <w:rPr>
                <w:rFonts w:hint="eastAsia" w:ascii="仿宋" w:hAnsi="仿宋" w:eastAsia="仿宋" w:cs="仿宋"/>
                <w:sz w:val="24"/>
              </w:rPr>
            </w:pPr>
            <w:r>
              <w:rPr>
                <w:rFonts w:hint="eastAsia" w:ascii="仿宋" w:hAnsi="仿宋" w:eastAsia="仿宋" w:cs="仿宋"/>
                <w:sz w:val="24"/>
              </w:rPr>
              <w:t>对项目安全进行精细化管理，制定实施质量安全控制方案，识别项目实施中的各类风险，做到风险可控，确保网络安全、数据安全，满足最小影响原则的措施等</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23711FAE">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690CD5D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07DD1C9E">
            <w:pPr>
              <w:pStyle w:val="393"/>
              <w:spacing w:before="0" w:line="320" w:lineRule="exact"/>
              <w:ind w:firstLine="0" w:firstLineChars="0"/>
              <w:jc w:val="center"/>
              <w:rPr>
                <w:rFonts w:hint="eastAsia" w:ascii="仿宋" w:hAnsi="仿宋" w:eastAsia="仿宋" w:cs="仿宋"/>
                <w:szCs w:val="24"/>
              </w:rPr>
            </w:pPr>
          </w:p>
        </w:tc>
      </w:tr>
      <w:tr w14:paraId="4956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Align w:val="center"/>
          </w:tcPr>
          <w:p w14:paraId="6E5E4191">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5.3</w:t>
            </w:r>
          </w:p>
        </w:tc>
        <w:tc>
          <w:tcPr>
            <w:tcW w:w="5361" w:type="dxa"/>
            <w:vAlign w:val="center"/>
          </w:tcPr>
          <w:p w14:paraId="256FCB71">
            <w:pPr>
              <w:spacing w:line="320" w:lineRule="exact"/>
              <w:outlineLvl w:val="0"/>
              <w:rPr>
                <w:rFonts w:hint="eastAsia" w:ascii="仿宋" w:hAnsi="仿宋" w:eastAsia="仿宋" w:cs="仿宋"/>
                <w:sz w:val="24"/>
              </w:rPr>
            </w:pPr>
            <w:r>
              <w:rPr>
                <w:rFonts w:hint="eastAsia" w:ascii="仿宋" w:hAnsi="仿宋" w:eastAsia="仿宋" w:cs="仿宋"/>
                <w:sz w:val="24"/>
              </w:rPr>
              <w:t>对项目最终安全落地进行自查式核对，质量和保密全过程自查自控自检，制定保密控制实施方案、质量检查监督方案、可具象化可量化的考核验收方案</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49D62A9E">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41936FA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59E21287">
            <w:pPr>
              <w:pStyle w:val="393"/>
              <w:spacing w:before="0" w:line="320" w:lineRule="exact"/>
              <w:ind w:firstLine="0" w:firstLineChars="0"/>
              <w:jc w:val="center"/>
              <w:rPr>
                <w:rFonts w:hint="eastAsia" w:ascii="仿宋" w:hAnsi="仿宋" w:eastAsia="仿宋" w:cs="仿宋"/>
                <w:szCs w:val="24"/>
              </w:rPr>
            </w:pPr>
          </w:p>
        </w:tc>
      </w:tr>
      <w:tr w14:paraId="2CA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1" w:type="dxa"/>
            <w:vAlign w:val="center"/>
          </w:tcPr>
          <w:p w14:paraId="1DC745E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6</w:t>
            </w:r>
          </w:p>
        </w:tc>
        <w:tc>
          <w:tcPr>
            <w:tcW w:w="5361" w:type="dxa"/>
            <w:vAlign w:val="center"/>
          </w:tcPr>
          <w:p w14:paraId="5AB9D435">
            <w:pPr>
              <w:spacing w:line="320" w:lineRule="exact"/>
              <w:outlineLvl w:val="0"/>
              <w:rPr>
                <w:rFonts w:hint="eastAsia" w:ascii="仿宋" w:hAnsi="仿宋" w:eastAsia="仿宋" w:cs="仿宋"/>
                <w:sz w:val="24"/>
              </w:rPr>
            </w:pPr>
            <w:r>
              <w:rPr>
                <w:rFonts w:hint="eastAsia" w:ascii="仿宋" w:hAnsi="仿宋" w:eastAsia="仿宋" w:cs="仿宋"/>
                <w:sz w:val="24"/>
              </w:rPr>
              <w:t>保障能力及应急服务承诺</w:t>
            </w:r>
          </w:p>
        </w:tc>
        <w:tc>
          <w:tcPr>
            <w:tcW w:w="782" w:type="dxa"/>
            <w:vAlign w:val="center"/>
          </w:tcPr>
          <w:p w14:paraId="16E5BB4F">
            <w:pPr>
              <w:snapToGrid w:val="0"/>
              <w:spacing w:line="320" w:lineRule="exact"/>
              <w:jc w:val="center"/>
              <w:rPr>
                <w:rFonts w:hint="eastAsia" w:ascii="仿宋" w:hAnsi="仿宋" w:eastAsia="仿宋" w:cs="仿宋"/>
                <w:sz w:val="24"/>
              </w:rPr>
            </w:pPr>
            <w:r>
              <w:rPr>
                <w:rFonts w:hint="eastAsia" w:ascii="仿宋" w:hAnsi="仿宋" w:eastAsia="仿宋" w:cs="仿宋"/>
                <w:sz w:val="24"/>
              </w:rPr>
              <w:t>/</w:t>
            </w:r>
          </w:p>
        </w:tc>
        <w:tc>
          <w:tcPr>
            <w:tcW w:w="997" w:type="dxa"/>
            <w:vAlign w:val="center"/>
          </w:tcPr>
          <w:p w14:paraId="5A9852C4">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c>
          <w:tcPr>
            <w:tcW w:w="1185" w:type="dxa"/>
            <w:vAlign w:val="center"/>
          </w:tcPr>
          <w:p w14:paraId="56B45ADC">
            <w:pPr>
              <w:pStyle w:val="393"/>
              <w:spacing w:before="0" w:line="320" w:lineRule="exact"/>
              <w:ind w:firstLine="0" w:firstLineChars="0"/>
              <w:jc w:val="center"/>
              <w:rPr>
                <w:rFonts w:hint="eastAsia" w:ascii="仿宋" w:hAnsi="仿宋" w:eastAsia="仿宋" w:cs="仿宋"/>
                <w:szCs w:val="24"/>
              </w:rPr>
            </w:pPr>
          </w:p>
        </w:tc>
      </w:tr>
      <w:tr w14:paraId="78C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F1AE9C2">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6.1</w:t>
            </w:r>
          </w:p>
        </w:tc>
        <w:tc>
          <w:tcPr>
            <w:tcW w:w="5361" w:type="dxa"/>
            <w:vAlign w:val="center"/>
          </w:tcPr>
          <w:p w14:paraId="72DED2F5">
            <w:pPr>
              <w:spacing w:line="320" w:lineRule="exact"/>
              <w:outlineLvl w:val="0"/>
              <w:rPr>
                <w:rFonts w:hint="eastAsia" w:ascii="仿宋" w:hAnsi="仿宋" w:eastAsia="仿宋" w:cs="仿宋"/>
                <w:sz w:val="24"/>
              </w:rPr>
            </w:pPr>
            <w:r>
              <w:rPr>
                <w:rFonts w:hint="eastAsia" w:ascii="仿宋" w:hAnsi="仿宋" w:eastAsia="仿宋" w:cs="仿宋"/>
                <w:sz w:val="24"/>
              </w:rPr>
              <w:t>供应商具备特殊保障服务能力，提供特殊业务时期的组团式人员驻点服务，供应商需7*24小时响应，向采购人提供全面、有效、及时的技术支持和服务，包括紧急情况下的现场支持、热线电话支持、远程服务支持、电子邮件支持等</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1C26807E">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3A3518A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57E2628F">
            <w:pPr>
              <w:pStyle w:val="393"/>
              <w:spacing w:before="0" w:line="320" w:lineRule="exact"/>
              <w:ind w:firstLine="0" w:firstLineChars="0"/>
              <w:jc w:val="center"/>
              <w:rPr>
                <w:rFonts w:hint="eastAsia" w:ascii="仿宋" w:hAnsi="仿宋" w:eastAsia="仿宋" w:cs="仿宋"/>
                <w:color w:val="0000FF"/>
                <w:szCs w:val="24"/>
              </w:rPr>
            </w:pPr>
          </w:p>
        </w:tc>
      </w:tr>
      <w:tr w14:paraId="744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61" w:type="dxa"/>
            <w:vAlign w:val="center"/>
          </w:tcPr>
          <w:p w14:paraId="6DAE41E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6.2</w:t>
            </w:r>
          </w:p>
        </w:tc>
        <w:tc>
          <w:tcPr>
            <w:tcW w:w="5361" w:type="dxa"/>
            <w:vAlign w:val="center"/>
          </w:tcPr>
          <w:p w14:paraId="1D793827">
            <w:pPr>
              <w:spacing w:line="320" w:lineRule="exact"/>
              <w:outlineLvl w:val="0"/>
              <w:rPr>
                <w:rFonts w:hint="eastAsia" w:ascii="仿宋" w:hAnsi="仿宋" w:eastAsia="仿宋" w:cs="仿宋"/>
                <w:sz w:val="24"/>
              </w:rPr>
            </w:pPr>
            <w:r>
              <w:rPr>
                <w:rFonts w:hint="eastAsia" w:ascii="仿宋" w:hAnsi="仿宋" w:eastAsia="仿宋" w:cs="仿宋"/>
                <w:sz w:val="24"/>
              </w:rPr>
              <w:t>服务承诺的可行性、完整性以及服务承诺落实的保障措施等</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649BE43A">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331FED4B">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75E2FEE3">
            <w:pPr>
              <w:pStyle w:val="393"/>
              <w:spacing w:before="0" w:line="320" w:lineRule="exact"/>
              <w:ind w:firstLine="0" w:firstLineChars="0"/>
              <w:jc w:val="center"/>
              <w:rPr>
                <w:rFonts w:hint="eastAsia" w:ascii="仿宋" w:hAnsi="仿宋" w:eastAsia="仿宋" w:cs="仿宋"/>
                <w:szCs w:val="24"/>
              </w:rPr>
            </w:pPr>
          </w:p>
        </w:tc>
      </w:tr>
      <w:tr w14:paraId="4EA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5F5F334">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6.3</w:t>
            </w:r>
          </w:p>
        </w:tc>
        <w:tc>
          <w:tcPr>
            <w:tcW w:w="5361" w:type="dxa"/>
            <w:vAlign w:val="center"/>
          </w:tcPr>
          <w:p w14:paraId="23B1891C">
            <w:pPr>
              <w:spacing w:line="320" w:lineRule="exact"/>
              <w:outlineLvl w:val="0"/>
              <w:rPr>
                <w:rFonts w:hint="eastAsia" w:ascii="仿宋" w:hAnsi="仿宋" w:eastAsia="仿宋" w:cs="仿宋"/>
                <w:sz w:val="24"/>
              </w:rPr>
            </w:pPr>
            <w:r>
              <w:rPr>
                <w:rFonts w:hint="eastAsia" w:ascii="仿宋" w:hAnsi="仿宋" w:eastAsia="仿宋" w:cs="仿宋"/>
                <w:sz w:val="24"/>
              </w:rPr>
              <w:t>供应商为项目组成员配置专业的软硬件配套，提供各安全检测、审计及防护的软硬件设备详细信息，包括设备型号、功能、性能、适用实施平台及环境要求、使用方法操作文档以及可能对物理环境和业务系统造成的风险等</w:t>
            </w:r>
            <w:r>
              <w:rPr>
                <w:rFonts w:hint="eastAsia" w:ascii="仿宋" w:hAnsi="仿宋" w:eastAsia="仿宋" w:cs="仿宋"/>
                <w:sz w:val="24"/>
                <w:lang w:eastAsia="zh-CN"/>
              </w:rPr>
              <w:t>进行评分。</w:t>
            </w:r>
            <w:r>
              <w:rPr>
                <w:rFonts w:hint="eastAsia" w:ascii="仿宋" w:hAnsi="仿宋" w:eastAsia="仿宋" w:cs="仿宋"/>
                <w:sz w:val="24"/>
              </w:rPr>
              <w:t>分值（2.0、1.0、0）。</w:t>
            </w:r>
          </w:p>
        </w:tc>
        <w:tc>
          <w:tcPr>
            <w:tcW w:w="782" w:type="dxa"/>
            <w:vAlign w:val="center"/>
          </w:tcPr>
          <w:p w14:paraId="00603811">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3D38C955">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185" w:type="dxa"/>
            <w:vAlign w:val="center"/>
          </w:tcPr>
          <w:p w14:paraId="4DEEA4B9">
            <w:pPr>
              <w:pStyle w:val="393"/>
              <w:spacing w:before="0" w:line="320" w:lineRule="exact"/>
              <w:ind w:firstLine="0" w:firstLineChars="0"/>
              <w:jc w:val="center"/>
              <w:rPr>
                <w:rFonts w:hint="eastAsia" w:ascii="仿宋" w:hAnsi="仿宋" w:eastAsia="仿宋" w:cs="仿宋"/>
                <w:szCs w:val="24"/>
              </w:rPr>
            </w:pPr>
          </w:p>
        </w:tc>
      </w:tr>
      <w:tr w14:paraId="48E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1" w:type="dxa"/>
            <w:vAlign w:val="center"/>
          </w:tcPr>
          <w:p w14:paraId="38BC9429">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7</w:t>
            </w:r>
          </w:p>
        </w:tc>
        <w:tc>
          <w:tcPr>
            <w:tcW w:w="5361" w:type="dxa"/>
            <w:vAlign w:val="center"/>
          </w:tcPr>
          <w:p w14:paraId="6917BF3A">
            <w:pPr>
              <w:spacing w:line="320" w:lineRule="exact"/>
              <w:outlineLvl w:val="0"/>
              <w:rPr>
                <w:rFonts w:hint="eastAsia" w:ascii="仿宋" w:hAnsi="仿宋" w:eastAsia="仿宋" w:cs="仿宋"/>
                <w:sz w:val="24"/>
              </w:rPr>
            </w:pPr>
            <w:r>
              <w:rPr>
                <w:rFonts w:hint="eastAsia" w:ascii="仿宋" w:hAnsi="仿宋" w:eastAsia="仿宋" w:cs="仿宋"/>
                <w:sz w:val="24"/>
              </w:rPr>
              <w:t>项目组实施人员组成、能力及工作经验</w:t>
            </w:r>
          </w:p>
        </w:tc>
        <w:tc>
          <w:tcPr>
            <w:tcW w:w="782" w:type="dxa"/>
            <w:vAlign w:val="center"/>
          </w:tcPr>
          <w:p w14:paraId="7526053D">
            <w:pPr>
              <w:snapToGrid w:val="0"/>
              <w:spacing w:line="320" w:lineRule="exact"/>
              <w:jc w:val="center"/>
              <w:rPr>
                <w:rFonts w:hint="eastAsia" w:ascii="仿宋" w:hAnsi="仿宋" w:eastAsia="仿宋" w:cs="仿宋"/>
                <w:sz w:val="24"/>
              </w:rPr>
            </w:pPr>
            <w:r>
              <w:rPr>
                <w:rFonts w:hint="eastAsia" w:ascii="仿宋" w:hAnsi="仿宋" w:eastAsia="仿宋" w:cs="仿宋"/>
                <w:sz w:val="24"/>
              </w:rPr>
              <w:t>/</w:t>
            </w:r>
          </w:p>
        </w:tc>
        <w:tc>
          <w:tcPr>
            <w:tcW w:w="997" w:type="dxa"/>
            <w:vAlign w:val="center"/>
          </w:tcPr>
          <w:p w14:paraId="0CB551A4">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c>
          <w:tcPr>
            <w:tcW w:w="1185" w:type="dxa"/>
            <w:vAlign w:val="center"/>
          </w:tcPr>
          <w:p w14:paraId="6C01F73A">
            <w:pPr>
              <w:pStyle w:val="393"/>
              <w:spacing w:before="0" w:line="320" w:lineRule="exact"/>
              <w:ind w:firstLine="0" w:firstLineChars="0"/>
              <w:jc w:val="center"/>
              <w:rPr>
                <w:rFonts w:hint="eastAsia" w:ascii="仿宋" w:hAnsi="仿宋" w:eastAsia="仿宋" w:cs="仿宋"/>
                <w:szCs w:val="24"/>
              </w:rPr>
            </w:pPr>
          </w:p>
        </w:tc>
      </w:tr>
      <w:tr w14:paraId="5126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961" w:type="dxa"/>
            <w:vAlign w:val="center"/>
          </w:tcPr>
          <w:p w14:paraId="15E801FD">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7.1</w:t>
            </w:r>
          </w:p>
        </w:tc>
        <w:tc>
          <w:tcPr>
            <w:tcW w:w="5361" w:type="dxa"/>
            <w:vAlign w:val="center"/>
          </w:tcPr>
          <w:p w14:paraId="7E78F958">
            <w:pPr>
              <w:spacing w:line="320" w:lineRule="exact"/>
              <w:outlineLvl w:val="0"/>
              <w:rPr>
                <w:rFonts w:hint="eastAsia" w:ascii="仿宋" w:hAnsi="仿宋" w:eastAsia="仿宋" w:cs="仿宋"/>
                <w:color w:val="auto"/>
                <w:sz w:val="24"/>
              </w:rPr>
            </w:pPr>
            <w:r>
              <w:rPr>
                <w:rFonts w:hint="eastAsia" w:ascii="仿宋" w:hAnsi="仿宋" w:eastAsia="仿宋" w:cs="仿宋"/>
                <w:color w:val="auto"/>
                <w:sz w:val="24"/>
              </w:rPr>
              <w:t>项目经理应具有信息系统项目管理师（软考高级）认证证书、信息安全工程师（软考中级）证书、CISAW（信息安全保障人员）认证证书、CISP（注册信息安全专业人员）证书，每具有一类证书得1分，最高得4分；（提供证书扫描件及供应商为其缴纳最近3个月社保的证明，入职不足3个月的，从入职月开始提供。）</w:t>
            </w:r>
          </w:p>
        </w:tc>
        <w:tc>
          <w:tcPr>
            <w:tcW w:w="782" w:type="dxa"/>
            <w:vAlign w:val="center"/>
          </w:tcPr>
          <w:p w14:paraId="31C72326">
            <w:pPr>
              <w:snapToGrid w:val="0"/>
              <w:spacing w:line="320" w:lineRule="exact"/>
              <w:jc w:val="center"/>
              <w:rPr>
                <w:rFonts w:hint="eastAsia" w:ascii="仿宋" w:hAnsi="仿宋" w:eastAsia="仿宋" w:cs="仿宋"/>
                <w:sz w:val="24"/>
              </w:rPr>
            </w:pPr>
            <w:r>
              <w:rPr>
                <w:rFonts w:hint="eastAsia" w:ascii="仿宋" w:hAnsi="仿宋" w:eastAsia="仿宋" w:cs="仿宋"/>
                <w:sz w:val="24"/>
              </w:rPr>
              <w:t>4</w:t>
            </w:r>
          </w:p>
        </w:tc>
        <w:tc>
          <w:tcPr>
            <w:tcW w:w="997" w:type="dxa"/>
            <w:vAlign w:val="center"/>
          </w:tcPr>
          <w:p w14:paraId="15C4B859">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185" w:type="dxa"/>
            <w:vAlign w:val="center"/>
          </w:tcPr>
          <w:p w14:paraId="6BD63DD9">
            <w:pPr>
              <w:pStyle w:val="393"/>
              <w:spacing w:before="0" w:line="320" w:lineRule="exact"/>
              <w:ind w:firstLine="0" w:firstLineChars="0"/>
              <w:jc w:val="center"/>
              <w:rPr>
                <w:rFonts w:hint="eastAsia" w:ascii="仿宋" w:hAnsi="仿宋" w:eastAsia="仿宋" w:cs="仿宋"/>
                <w:szCs w:val="24"/>
              </w:rPr>
            </w:pPr>
          </w:p>
        </w:tc>
      </w:tr>
      <w:tr w14:paraId="2116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00848D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7.2</w:t>
            </w:r>
          </w:p>
        </w:tc>
        <w:tc>
          <w:tcPr>
            <w:tcW w:w="5361" w:type="dxa"/>
            <w:vAlign w:val="center"/>
          </w:tcPr>
          <w:p w14:paraId="7C32C14E">
            <w:pPr>
              <w:spacing w:line="320" w:lineRule="exact"/>
              <w:outlineLvl w:val="0"/>
              <w:rPr>
                <w:rFonts w:hint="eastAsia" w:ascii="仿宋" w:hAnsi="仿宋" w:eastAsia="仿宋" w:cs="仿宋"/>
                <w:color w:val="auto"/>
                <w:sz w:val="24"/>
              </w:rPr>
            </w:pPr>
            <w:r>
              <w:rPr>
                <w:rFonts w:hint="eastAsia" w:ascii="仿宋" w:hAnsi="仿宋" w:eastAsia="仿宋" w:cs="仿宋"/>
                <w:color w:val="auto"/>
                <w:sz w:val="24"/>
              </w:rPr>
              <w:t>驻场安全运维人员应具有信息安全工程师（软考中级）证书、CISP（注册信息安全专业人员）证书，每具有一类证书得1分，最高得2分；（提供证书扫描件及供应商为其缴纳最近3个月社保的证明，入职不足3个月的，从入职月开始提供。）</w:t>
            </w:r>
          </w:p>
        </w:tc>
        <w:tc>
          <w:tcPr>
            <w:tcW w:w="782" w:type="dxa"/>
            <w:vAlign w:val="center"/>
          </w:tcPr>
          <w:p w14:paraId="1E4FFFE0">
            <w:pPr>
              <w:snapToGrid w:val="0"/>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997" w:type="dxa"/>
            <w:vAlign w:val="center"/>
          </w:tcPr>
          <w:p w14:paraId="0994EC2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185" w:type="dxa"/>
            <w:vAlign w:val="center"/>
          </w:tcPr>
          <w:p w14:paraId="529E1301">
            <w:pPr>
              <w:pStyle w:val="393"/>
              <w:spacing w:before="0" w:line="320" w:lineRule="exact"/>
              <w:ind w:firstLine="0" w:firstLineChars="0"/>
              <w:jc w:val="center"/>
              <w:rPr>
                <w:rFonts w:hint="eastAsia" w:ascii="仿宋" w:hAnsi="仿宋" w:eastAsia="仿宋" w:cs="仿宋"/>
                <w:szCs w:val="24"/>
              </w:rPr>
            </w:pPr>
          </w:p>
        </w:tc>
      </w:tr>
      <w:tr w14:paraId="122F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F3828E3">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7.3</w:t>
            </w:r>
          </w:p>
        </w:tc>
        <w:tc>
          <w:tcPr>
            <w:tcW w:w="5361" w:type="dxa"/>
            <w:vAlign w:val="center"/>
          </w:tcPr>
          <w:p w14:paraId="681A00D3">
            <w:pPr>
              <w:spacing w:line="320" w:lineRule="exact"/>
              <w:outlineLvl w:val="0"/>
              <w:rPr>
                <w:rFonts w:hint="eastAsia" w:ascii="仿宋" w:hAnsi="仿宋" w:eastAsia="仿宋" w:cs="仿宋"/>
                <w:color w:val="auto"/>
                <w:sz w:val="24"/>
              </w:rPr>
            </w:pPr>
            <w:r>
              <w:rPr>
                <w:rFonts w:hint="eastAsia" w:ascii="仿宋" w:hAnsi="仿宋" w:eastAsia="仿宋" w:cs="仿宋"/>
                <w:color w:val="auto"/>
                <w:sz w:val="24"/>
              </w:rPr>
              <w:t>项目组其他成员（除项目经理、驻场安全运维工程师外）不少于5人。项目组成员应具有系统分析师（软考高级）认证证书、系统架构设计师（软考高级）认证证书、网络规划设计师（软考高级）认证证书、系统规划与管理师（软考高级）认证证书、信息安全工程师（软考中级）认证证书、数据库系统工程师（软考中级）认证证书、CISP（注册信息安全专业人员）证书，每具有一类证书得1分，最高得5分；（提供证书扫描件及供应商为其缴纳最近3个月社保的证明，入职不足3个月的，从入职月开始提供。）</w:t>
            </w:r>
          </w:p>
        </w:tc>
        <w:tc>
          <w:tcPr>
            <w:tcW w:w="782" w:type="dxa"/>
            <w:vAlign w:val="center"/>
          </w:tcPr>
          <w:p w14:paraId="0805C9CD">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7" w:type="dxa"/>
            <w:vAlign w:val="center"/>
          </w:tcPr>
          <w:p w14:paraId="0F06F80C">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185" w:type="dxa"/>
            <w:vAlign w:val="center"/>
          </w:tcPr>
          <w:p w14:paraId="1F3CDC68">
            <w:pPr>
              <w:pStyle w:val="393"/>
              <w:spacing w:before="0" w:line="320" w:lineRule="exact"/>
              <w:ind w:firstLine="0" w:firstLineChars="0"/>
              <w:jc w:val="center"/>
              <w:rPr>
                <w:rFonts w:hint="eastAsia" w:ascii="仿宋" w:hAnsi="仿宋" w:eastAsia="仿宋" w:cs="仿宋"/>
                <w:szCs w:val="24"/>
              </w:rPr>
            </w:pPr>
          </w:p>
        </w:tc>
      </w:tr>
      <w:tr w14:paraId="43BF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1F4BB57">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7.4</w:t>
            </w:r>
          </w:p>
        </w:tc>
        <w:tc>
          <w:tcPr>
            <w:tcW w:w="5361" w:type="dxa"/>
            <w:vAlign w:val="center"/>
          </w:tcPr>
          <w:p w14:paraId="30E0D88C">
            <w:pPr>
              <w:spacing w:line="320" w:lineRule="exact"/>
              <w:outlineLvl w:val="0"/>
              <w:rPr>
                <w:rFonts w:hint="eastAsia" w:ascii="仿宋" w:hAnsi="仿宋" w:eastAsia="仿宋" w:cs="仿宋"/>
                <w:sz w:val="24"/>
              </w:rPr>
            </w:pPr>
            <w:r>
              <w:rPr>
                <w:rFonts w:hint="eastAsia" w:ascii="仿宋" w:hAnsi="仿宋" w:eastAsia="仿宋" w:cs="仿宋"/>
                <w:sz w:val="24"/>
              </w:rPr>
              <w:t>提供自202</w:t>
            </w:r>
            <w:r>
              <w:rPr>
                <w:rFonts w:hint="eastAsia" w:ascii="仿宋" w:hAnsi="仿宋" w:eastAsia="仿宋" w:cs="仿宋"/>
                <w:sz w:val="24"/>
                <w:lang w:val="en-US" w:eastAsia="zh-CN"/>
              </w:rPr>
              <w:t>1</w:t>
            </w:r>
            <w:r>
              <w:rPr>
                <w:rFonts w:hint="eastAsia" w:ascii="仿宋" w:hAnsi="仿宋" w:eastAsia="仿宋" w:cs="仿宋"/>
                <w:sz w:val="24"/>
              </w:rPr>
              <w:t>年1月1日起（以合同签订时间为准）至本项目磋商响应截止时间止，项目组成员具有网络安全运维工作经验（提供能体现项目组成员姓名的合同扫描件或业主盖章出具的证明），每人最多得1分，最高得3分。</w:t>
            </w:r>
          </w:p>
        </w:tc>
        <w:tc>
          <w:tcPr>
            <w:tcW w:w="782" w:type="dxa"/>
            <w:vAlign w:val="center"/>
          </w:tcPr>
          <w:p w14:paraId="02196445">
            <w:pPr>
              <w:snapToGrid w:val="0"/>
              <w:spacing w:line="320" w:lineRule="exact"/>
              <w:jc w:val="center"/>
              <w:rPr>
                <w:rFonts w:hint="eastAsia" w:ascii="仿宋" w:hAnsi="仿宋" w:eastAsia="仿宋" w:cs="仿宋"/>
                <w:sz w:val="24"/>
              </w:rPr>
            </w:pPr>
            <w:r>
              <w:rPr>
                <w:rFonts w:hint="eastAsia" w:ascii="仿宋" w:hAnsi="仿宋" w:eastAsia="仿宋" w:cs="仿宋"/>
                <w:sz w:val="24"/>
              </w:rPr>
              <w:t>3</w:t>
            </w:r>
          </w:p>
        </w:tc>
        <w:tc>
          <w:tcPr>
            <w:tcW w:w="997" w:type="dxa"/>
            <w:vAlign w:val="center"/>
          </w:tcPr>
          <w:p w14:paraId="75AD7E8F">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lang w:val="en-US" w:eastAsia="zh-CN"/>
              </w:rPr>
              <w:t>客</w:t>
            </w:r>
            <w:r>
              <w:rPr>
                <w:rFonts w:hint="eastAsia" w:ascii="仿宋" w:hAnsi="仿宋" w:eastAsia="仿宋" w:cs="仿宋"/>
                <w:szCs w:val="24"/>
              </w:rPr>
              <w:t>观分</w:t>
            </w:r>
          </w:p>
        </w:tc>
        <w:tc>
          <w:tcPr>
            <w:tcW w:w="1185" w:type="dxa"/>
            <w:vAlign w:val="center"/>
          </w:tcPr>
          <w:p w14:paraId="56B1FA60">
            <w:pPr>
              <w:pStyle w:val="393"/>
              <w:spacing w:before="0" w:line="320" w:lineRule="exact"/>
              <w:ind w:firstLine="0" w:firstLineChars="0"/>
              <w:jc w:val="center"/>
              <w:rPr>
                <w:rFonts w:hint="eastAsia" w:ascii="仿宋" w:hAnsi="仿宋" w:eastAsia="仿宋" w:cs="仿宋"/>
                <w:szCs w:val="24"/>
              </w:rPr>
            </w:pPr>
          </w:p>
        </w:tc>
      </w:tr>
      <w:tr w14:paraId="2EC3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7027B56">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8</w:t>
            </w:r>
          </w:p>
        </w:tc>
        <w:tc>
          <w:tcPr>
            <w:tcW w:w="5361" w:type="dxa"/>
            <w:vAlign w:val="center"/>
          </w:tcPr>
          <w:p w14:paraId="0BFEA3E9">
            <w:pPr>
              <w:spacing w:line="320" w:lineRule="exact"/>
              <w:outlineLvl w:val="0"/>
              <w:rPr>
                <w:rFonts w:hint="eastAsia"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有效最后报价的最低价作为评审基准价，其最低报价为满分；按［最后报价得分=（评审基准价/最后报价）*10］的计算公式计算。</w:t>
            </w:r>
          </w:p>
          <w:p w14:paraId="075E9FA5">
            <w:pPr>
              <w:spacing w:line="320" w:lineRule="exact"/>
              <w:outlineLvl w:val="0"/>
              <w:rPr>
                <w:rFonts w:hint="eastAsia" w:ascii="仿宋" w:hAnsi="仿宋" w:eastAsia="仿宋" w:cs="仿宋"/>
                <w:sz w:val="24"/>
              </w:rPr>
            </w:pPr>
            <w:r>
              <w:rPr>
                <w:rFonts w:hint="eastAsia" w:ascii="仿宋" w:hAnsi="仿宋" w:eastAsia="仿宋" w:cs="仿宋"/>
                <w:sz w:val="24"/>
              </w:rPr>
              <w:t>评审过程中，不得去掉报价中的最高报价和最低报价。</w:t>
            </w:r>
          </w:p>
          <w:p w14:paraId="5874181A">
            <w:pPr>
              <w:spacing w:line="320" w:lineRule="exact"/>
              <w:outlineLvl w:val="0"/>
              <w:rPr>
                <w:rFonts w:hint="eastAsia" w:ascii="仿宋" w:hAnsi="仿宋" w:eastAsia="仿宋" w:cs="仿宋"/>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u w:val="single"/>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u w:val="single"/>
              </w:rPr>
              <w:t xml:space="preserve">4 </w:t>
            </w:r>
            <w:r>
              <w:rPr>
                <w:rFonts w:hint="eastAsia" w:ascii="仿宋" w:hAnsi="仿宋" w:eastAsia="仿宋" w:cs="仿宋"/>
                <w:sz w:val="24"/>
              </w:rPr>
              <w:t>%的扣除，用扣除后的价格参加评审。</w:t>
            </w:r>
          </w:p>
        </w:tc>
        <w:tc>
          <w:tcPr>
            <w:tcW w:w="782" w:type="dxa"/>
            <w:vAlign w:val="center"/>
          </w:tcPr>
          <w:p w14:paraId="75E8D448">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10</w:t>
            </w:r>
          </w:p>
        </w:tc>
        <w:tc>
          <w:tcPr>
            <w:tcW w:w="997" w:type="dxa"/>
            <w:vAlign w:val="center"/>
          </w:tcPr>
          <w:p w14:paraId="0232258E">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bCs/>
              </w:rPr>
              <w:t>客观分</w:t>
            </w:r>
          </w:p>
        </w:tc>
        <w:tc>
          <w:tcPr>
            <w:tcW w:w="1185" w:type="dxa"/>
            <w:vAlign w:val="center"/>
          </w:tcPr>
          <w:p w14:paraId="0645C80A">
            <w:pPr>
              <w:pStyle w:val="393"/>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w:t>
            </w:r>
          </w:p>
        </w:tc>
      </w:tr>
    </w:tbl>
    <w:p w14:paraId="53E9692C">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402E7A41">
      <w:pPr>
        <w:adjustRightInd/>
        <w:spacing w:line="360" w:lineRule="auto"/>
        <w:ind w:firstLine="482" w:firstLineChars="200"/>
        <w:rPr>
          <w:rFonts w:hint="eastAsia" w:ascii="仿宋" w:hAnsi="仿宋" w:eastAsia="仿宋" w:cs="仿宋"/>
          <w:b/>
          <w:kern w:val="0"/>
          <w:sz w:val="24"/>
        </w:rPr>
      </w:pPr>
    </w:p>
    <w:p w14:paraId="3916FFDA">
      <w:pPr>
        <w:pStyle w:val="393"/>
        <w:spacing w:before="0"/>
        <w:ind w:firstLine="643"/>
        <w:jc w:val="center"/>
        <w:rPr>
          <w:rFonts w:hint="eastAsia" w:ascii="仿宋" w:hAnsi="仿宋" w:eastAsia="仿宋" w:cs="仿宋"/>
          <w:b/>
        </w:rPr>
      </w:pPr>
      <w:r>
        <w:rPr>
          <w:rFonts w:hint="eastAsia" w:ascii="仿宋" w:hAnsi="仿宋" w:eastAsia="仿宋" w:cs="仿宋"/>
          <w:b/>
          <w:sz w:val="32"/>
        </w:rPr>
        <w:t>一、评审方法</w:t>
      </w:r>
    </w:p>
    <w:p w14:paraId="1AD5B70C">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54C87EEE">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二、磋商小组的组成</w:t>
      </w:r>
    </w:p>
    <w:p w14:paraId="3DE9028B">
      <w:pPr>
        <w:pStyle w:val="393"/>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6082A75D">
      <w:pPr>
        <w:pStyle w:val="393"/>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2B7F67D">
      <w:pPr>
        <w:pStyle w:val="393"/>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CE23351">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093DF678">
      <w:pPr>
        <w:pStyle w:val="393"/>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32D214F7">
      <w:pPr>
        <w:pStyle w:val="393"/>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68016A74">
      <w:pPr>
        <w:pStyle w:val="393"/>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466D0B95">
      <w:pPr>
        <w:pStyle w:val="393"/>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58B28D7E">
      <w:pPr>
        <w:pStyle w:val="393"/>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0350D407">
      <w:pPr>
        <w:pStyle w:val="393"/>
        <w:ind w:firstLine="480" w:firstLineChars="0"/>
        <w:rPr>
          <w:rFonts w:hint="eastAsia" w:ascii="仿宋" w:hAnsi="仿宋" w:eastAsia="仿宋" w:cs="仿宋"/>
          <w:b/>
          <w:sz w:val="32"/>
        </w:rPr>
      </w:pPr>
      <w:r>
        <w:rPr>
          <w:rFonts w:hint="eastAsia" w:ascii="仿宋" w:hAnsi="仿宋" w:eastAsia="仿宋" w:cs="仿宋"/>
          <w:kern w:val="0"/>
        </w:rPr>
        <w:t>2.5与供应商有其他可能影响政府采购活动公平、公正进行的关系。</w:t>
      </w:r>
    </w:p>
    <w:p w14:paraId="74D72D52">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29939F38">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3FFD45F7">
      <w:pPr>
        <w:pStyle w:val="393"/>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2B1D4DF">
      <w:pPr>
        <w:pStyle w:val="393"/>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63AB5045">
      <w:pPr>
        <w:pStyle w:val="393"/>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61491DF5">
      <w:pPr>
        <w:pStyle w:val="393"/>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4673A3B3">
      <w:pPr>
        <w:pStyle w:val="393"/>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48CE26AC">
      <w:pPr>
        <w:pStyle w:val="393"/>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28450D97">
      <w:pPr>
        <w:pStyle w:val="393"/>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6E53CF20">
      <w:pPr>
        <w:pStyle w:val="393"/>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14:paraId="3FBD4CF8">
      <w:pPr>
        <w:pStyle w:val="393"/>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68548E67">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6930C73A">
      <w:pPr>
        <w:pStyle w:val="393"/>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277DB1F1">
      <w:pPr>
        <w:pStyle w:val="393"/>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22AAB99F">
      <w:pPr>
        <w:pStyle w:val="393"/>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18541DEA">
      <w:pPr>
        <w:pStyle w:val="393"/>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1EC4CF6C">
      <w:pPr>
        <w:pStyle w:val="393"/>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0D9FBCC4">
      <w:pPr>
        <w:pStyle w:val="393"/>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0718295B">
      <w:pPr>
        <w:pStyle w:val="393"/>
        <w:spacing w:before="0"/>
        <w:ind w:firstLine="480"/>
        <w:rPr>
          <w:rFonts w:hint="eastAsia" w:ascii="仿宋" w:hAnsi="仿宋" w:eastAsia="仿宋" w:cs="仿宋"/>
        </w:rPr>
      </w:pPr>
      <w:r>
        <w:rPr>
          <w:rFonts w:hint="eastAsia" w:ascii="仿宋" w:hAnsi="仿宋" w:eastAsia="仿宋" w:cs="仿宋"/>
        </w:rPr>
        <w:t>2.7其他不遵守评审纪律的行为。</w:t>
      </w:r>
    </w:p>
    <w:p w14:paraId="391A8A73">
      <w:pPr>
        <w:pStyle w:val="393"/>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1F033F42">
      <w:pPr>
        <w:pStyle w:val="393"/>
        <w:spacing w:before="0"/>
        <w:ind w:firstLine="0" w:firstLineChars="0"/>
        <w:rPr>
          <w:rFonts w:hint="eastAsia" w:ascii="仿宋" w:hAnsi="仿宋" w:eastAsia="仿宋" w:cs="仿宋"/>
          <w:b/>
        </w:rPr>
      </w:pPr>
    </w:p>
    <w:p w14:paraId="1FC04631">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1FAC6261">
      <w:pPr>
        <w:pStyle w:val="393"/>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595DE6FB">
      <w:pPr>
        <w:pStyle w:val="393"/>
        <w:spacing w:before="0"/>
        <w:ind w:firstLine="0" w:firstLineChars="0"/>
        <w:rPr>
          <w:rFonts w:hint="eastAsia" w:ascii="仿宋" w:hAnsi="仿宋" w:eastAsia="仿宋" w:cs="仿宋"/>
          <w:b/>
        </w:rPr>
      </w:pPr>
    </w:p>
    <w:p w14:paraId="293E6995">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6F7C725E">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25396612">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7633C0">
      <w:pPr>
        <w:pStyle w:val="393"/>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195D4DFB">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7B8FD38A">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r>
        <w:rPr>
          <w:rFonts w:hint="eastAsia" w:ascii="仿宋" w:hAnsi="仿宋" w:eastAsia="仿宋" w:cs="仿宋"/>
          <w:sz w:val="24"/>
          <w:lang w:eastAsia="zh-CN"/>
        </w:rPr>
        <w:t>，</w:t>
      </w:r>
      <w:r>
        <w:rPr>
          <w:rFonts w:hint="eastAsia" w:ascii="仿宋" w:hAnsi="仿宋" w:eastAsia="仿宋" w:cs="仿宋"/>
          <w:sz w:val="24"/>
          <w:lang w:val="en-US" w:eastAsia="zh-CN"/>
        </w:rPr>
        <w:t>明显单位有误的，可以按正确的方式进行修正</w:t>
      </w:r>
      <w:r>
        <w:rPr>
          <w:rFonts w:hint="eastAsia" w:ascii="仿宋" w:hAnsi="仿宋" w:eastAsia="仿宋" w:cs="仿宋"/>
          <w:sz w:val="24"/>
        </w:rPr>
        <w:t>;</w:t>
      </w:r>
    </w:p>
    <w:p w14:paraId="296D0D58">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04680856">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56C87377">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26D290E6">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7FF490AE">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2A0C5750">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78346619">
      <w:pPr>
        <w:pStyle w:val="393"/>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3A00AAB3">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196DED5F">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43E02F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17A83B97">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71138B68">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4215F857">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7B12C61D">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70D1CD35">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42108096">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1D41EBCD">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3.9响应文件含有采购人不能接受的附加条件的；</w:t>
      </w:r>
    </w:p>
    <w:p w14:paraId="50484945">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3.10响应文件中承诺的响应有效期少于磋商文件中载明的响应有效期的；</w:t>
      </w:r>
    </w:p>
    <w:p w14:paraId="728FE1E3">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3.11供应商所投内容不符合磋商文件中实质性要求的；</w:t>
      </w:r>
    </w:p>
    <w:p w14:paraId="54C64190">
      <w:pPr>
        <w:spacing w:line="360" w:lineRule="auto"/>
        <w:ind w:firstLine="480" w:firstLineChars="200"/>
        <w:rPr>
          <w:rFonts w:hint="eastAsia" w:ascii="仿宋" w:hAnsi="仿宋" w:eastAsia="仿宋" w:cs="仿宋"/>
          <w:sz w:val="24"/>
        </w:rPr>
      </w:pPr>
      <w:r>
        <w:rPr>
          <w:rFonts w:hint="eastAsia" w:ascii="仿宋" w:hAnsi="仿宋" w:eastAsia="仿宋" w:cs="仿宋"/>
          <w:sz w:val="24"/>
        </w:rPr>
        <w:t>3.12所提交的《最后报价一览表》中出现不是唯一的、有选择性的报价的;</w:t>
      </w:r>
    </w:p>
    <w:p w14:paraId="08F6EC7D">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3.13最后报价高于本项目采购预算或者最高限价的;</w:t>
      </w:r>
    </w:p>
    <w:p w14:paraId="44640219">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14:paraId="1071C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3.15《最后报价一览表》填写不完整或字迹不能辨认或有漏项的；</w:t>
      </w:r>
    </w:p>
    <w:p w14:paraId="4EBE82D3">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77FDF24D">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5BB284D6">
      <w:pPr>
        <w:pStyle w:val="71"/>
        <w:numPr>
          <w:ilvl w:val="0"/>
          <w:numId w:val="10"/>
        </w:numPr>
        <w:ind w:firstLineChars="0"/>
        <w:rPr>
          <w:rFonts w:hint="eastAsia" w:ascii="仿宋" w:hAnsi="仿宋" w:eastAsia="仿宋" w:cs="仿宋"/>
        </w:rPr>
      </w:pPr>
      <w:r>
        <w:rPr>
          <w:rFonts w:hint="eastAsia" w:ascii="仿宋" w:hAnsi="仿宋" w:eastAsia="仿宋" w:cs="仿宋"/>
        </w:rPr>
        <w:t>使用伪造、变造的许可证件；</w:t>
      </w:r>
    </w:p>
    <w:p w14:paraId="270C1F5E">
      <w:pPr>
        <w:pStyle w:val="71"/>
        <w:numPr>
          <w:ilvl w:val="0"/>
          <w:numId w:val="10"/>
        </w:numPr>
        <w:ind w:firstLineChars="0"/>
        <w:rPr>
          <w:rFonts w:hint="eastAsia" w:ascii="仿宋" w:hAnsi="仿宋" w:eastAsia="仿宋" w:cs="仿宋"/>
        </w:rPr>
      </w:pPr>
      <w:r>
        <w:rPr>
          <w:rFonts w:hint="eastAsia" w:ascii="仿宋" w:hAnsi="仿宋" w:eastAsia="仿宋" w:cs="仿宋"/>
        </w:rPr>
        <w:t>提供虚假的财务状况或者业绩；</w:t>
      </w:r>
    </w:p>
    <w:p w14:paraId="583A36A7">
      <w:pPr>
        <w:pStyle w:val="71"/>
        <w:numPr>
          <w:ilvl w:val="0"/>
          <w:numId w:val="10"/>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338792D9">
      <w:pPr>
        <w:pStyle w:val="71"/>
        <w:numPr>
          <w:ilvl w:val="0"/>
          <w:numId w:val="10"/>
        </w:numPr>
        <w:ind w:firstLineChars="0"/>
        <w:rPr>
          <w:rFonts w:hint="eastAsia" w:ascii="仿宋" w:hAnsi="仿宋" w:eastAsia="仿宋" w:cs="仿宋"/>
        </w:rPr>
      </w:pPr>
      <w:r>
        <w:rPr>
          <w:rFonts w:hint="eastAsia" w:ascii="仿宋" w:hAnsi="仿宋" w:eastAsia="仿宋" w:cs="仿宋"/>
        </w:rPr>
        <w:t>提供虚假的信用状况；</w:t>
      </w:r>
    </w:p>
    <w:p w14:paraId="7C7A7815">
      <w:pPr>
        <w:pStyle w:val="71"/>
        <w:numPr>
          <w:ilvl w:val="0"/>
          <w:numId w:val="10"/>
        </w:numPr>
        <w:ind w:firstLineChars="0"/>
        <w:rPr>
          <w:rFonts w:hint="eastAsia" w:ascii="仿宋" w:hAnsi="仿宋" w:eastAsia="仿宋" w:cs="仿宋"/>
        </w:rPr>
      </w:pPr>
      <w:r>
        <w:rPr>
          <w:rFonts w:hint="eastAsia" w:ascii="仿宋" w:hAnsi="仿宋" w:eastAsia="仿宋" w:cs="仿宋"/>
        </w:rPr>
        <w:t>其他弄虚作假的行为。</w:t>
      </w:r>
    </w:p>
    <w:p w14:paraId="30A0EFC3">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32C97920">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5D11AE36">
      <w:pPr>
        <w:pStyle w:val="71"/>
        <w:numPr>
          <w:ilvl w:val="0"/>
          <w:numId w:val="11"/>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14:paraId="366C3C74">
      <w:pPr>
        <w:pStyle w:val="71"/>
        <w:numPr>
          <w:ilvl w:val="0"/>
          <w:numId w:val="11"/>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14:paraId="6096C436">
      <w:pPr>
        <w:pStyle w:val="71"/>
        <w:numPr>
          <w:ilvl w:val="0"/>
          <w:numId w:val="11"/>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2F56A62D">
      <w:pPr>
        <w:pStyle w:val="71"/>
        <w:numPr>
          <w:ilvl w:val="0"/>
          <w:numId w:val="11"/>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01B880C6">
      <w:pPr>
        <w:pStyle w:val="71"/>
        <w:numPr>
          <w:ilvl w:val="0"/>
          <w:numId w:val="11"/>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14CF73D8">
      <w:pPr>
        <w:pStyle w:val="71"/>
        <w:numPr>
          <w:ilvl w:val="0"/>
          <w:numId w:val="11"/>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4B457D96">
      <w:pPr>
        <w:pStyle w:val="71"/>
        <w:numPr>
          <w:ilvl w:val="0"/>
          <w:numId w:val="11"/>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14:paraId="280CCF58">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379BFD53">
      <w:pPr>
        <w:pStyle w:val="71"/>
        <w:numPr>
          <w:ilvl w:val="0"/>
          <w:numId w:val="11"/>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670BFC95">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0ED40C02">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435D65A5">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不同供应商的响应文件相互混装。</w:t>
      </w:r>
    </w:p>
    <w:p w14:paraId="4F3F9F7C">
      <w:pPr>
        <w:pStyle w:val="71"/>
        <w:numPr>
          <w:ilvl w:val="0"/>
          <w:numId w:val="11"/>
        </w:numPr>
        <w:ind w:firstLineChars="0"/>
        <w:rPr>
          <w:rFonts w:hint="eastAsia" w:ascii="仿宋" w:hAnsi="仿宋" w:eastAsia="仿宋" w:cs="仿宋"/>
        </w:rPr>
      </w:pPr>
      <w:r>
        <w:rPr>
          <w:rFonts w:hint="eastAsia" w:ascii="仿宋" w:hAnsi="仿宋" w:eastAsia="仿宋" w:cs="仿宋"/>
        </w:rPr>
        <w:t>供应商之间IP地址、MAC地址或设备硬件号信息相同</w:t>
      </w:r>
      <w:bookmarkStart w:id="99" w:name="_GoBack"/>
      <w:bookmarkEnd w:id="99"/>
      <w:r>
        <w:rPr>
          <w:rFonts w:hint="eastAsia" w:ascii="仿宋" w:hAnsi="仿宋" w:eastAsia="仿宋" w:cs="仿宋"/>
        </w:rPr>
        <w:t>的，相关供应商均投标无效。</w:t>
      </w:r>
    </w:p>
    <w:p w14:paraId="666EDE3C">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14:paraId="60DC5AAB">
      <w:pPr>
        <w:spacing w:line="360" w:lineRule="auto"/>
        <w:ind w:firstLine="480" w:firstLineChars="200"/>
        <w:rPr>
          <w:rFonts w:hint="eastAsia" w:ascii="仿宋" w:hAnsi="仿宋" w:eastAsia="仿宋" w:cs="仿宋"/>
          <w:sz w:val="24"/>
        </w:rPr>
      </w:pPr>
      <w:r>
        <w:rPr>
          <w:rFonts w:hint="eastAsia" w:ascii="仿宋" w:hAnsi="仿宋" w:eastAsia="仿宋" w:cs="仿宋"/>
          <w:sz w:val="24"/>
        </w:rPr>
        <w:t>3.20法律、法规、规章及省级以上规范性文件规定的其他无效情形。</w:t>
      </w:r>
    </w:p>
    <w:p w14:paraId="1889B129">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7E60416E">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14:paraId="19D3E3D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0216CF2C">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051E348C">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2C8B4378">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41B5F0AA">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7BA66889">
      <w:pPr>
        <w:spacing w:line="360" w:lineRule="auto"/>
        <w:rPr>
          <w:rFonts w:hint="eastAsia" w:ascii="仿宋" w:hAnsi="仿宋" w:eastAsia="仿宋" w:cs="仿宋"/>
          <w:sz w:val="24"/>
        </w:rPr>
      </w:pPr>
      <w:r>
        <w:rPr>
          <w:rFonts w:hint="eastAsia" w:ascii="仿宋" w:hAnsi="仿宋" w:eastAsia="仿宋" w:cs="仿宋"/>
          <w:b/>
          <w:sz w:val="24"/>
        </w:rPr>
        <w:t>6. 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E5B8ED3">
      <w:pPr>
        <w:pStyle w:val="393"/>
        <w:spacing w:before="0"/>
        <w:ind w:firstLine="0" w:firstLineChars="0"/>
        <w:rPr>
          <w:rFonts w:hint="eastAsia" w:ascii="仿宋" w:hAnsi="仿宋" w:eastAsia="仿宋" w:cs="仿宋"/>
          <w:b/>
        </w:rPr>
      </w:pPr>
    </w:p>
    <w:p w14:paraId="47AF62BA">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4FD7C4DC">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5D8DC118">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14:paraId="23EFE292">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4B2C9A13">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72"/>
      <w:r>
        <w:rPr>
          <w:rFonts w:hint="eastAsia" w:ascii="仿宋" w:hAnsi="仿宋" w:eastAsia="仿宋" w:cs="仿宋"/>
          <w:b/>
          <w:sz w:val="36"/>
          <w:szCs w:val="36"/>
        </w:rPr>
        <w:t xml:space="preserve">  拟签订的合同文本</w:t>
      </w:r>
    </w:p>
    <w:p w14:paraId="7D361CAB">
      <w:pPr>
        <w:spacing w:line="360" w:lineRule="auto"/>
        <w:ind w:firstLine="538" w:firstLineChars="200"/>
        <w:jc w:val="center"/>
        <w:outlineLvl w:val="1"/>
        <w:rPr>
          <w:rFonts w:hint="eastAsia" w:ascii="仿宋" w:hAnsi="仿宋" w:eastAsia="仿宋" w:cs="仿宋"/>
          <w:b/>
          <w:spacing w:val="-6"/>
          <w:sz w:val="28"/>
          <w:szCs w:val="28"/>
        </w:rPr>
      </w:pPr>
      <w:bookmarkStart w:id="73" w:name="_Toc4370"/>
      <w:bookmarkStart w:id="74" w:name="_Toc27031"/>
      <w:bookmarkStart w:id="75" w:name="_Toc1226"/>
      <w:bookmarkStart w:id="76" w:name="_Toc331685783"/>
      <w:bookmarkStart w:id="77" w:name="第五部分"/>
      <w:bookmarkStart w:id="78" w:name="_Toc86217003"/>
      <w:r>
        <w:rPr>
          <w:rFonts w:hint="eastAsia" w:ascii="仿宋" w:hAnsi="仿宋" w:eastAsia="仿宋" w:cs="仿宋"/>
          <w:b/>
          <w:spacing w:val="-6"/>
          <w:sz w:val="28"/>
          <w:szCs w:val="28"/>
        </w:rPr>
        <w:t>浙江省教育考试院采购合同</w:t>
      </w:r>
      <w:bookmarkEnd w:id="73"/>
      <w:bookmarkEnd w:id="74"/>
      <w:bookmarkEnd w:id="75"/>
    </w:p>
    <w:p w14:paraId="38F2F337">
      <w:pPr>
        <w:tabs>
          <w:tab w:val="left" w:pos="540"/>
        </w:tabs>
        <w:snapToGrid w:val="0"/>
        <w:spacing w:line="360" w:lineRule="auto"/>
        <w:jc w:val="right"/>
        <w:rPr>
          <w:rFonts w:hint="eastAsia" w:ascii="仿宋" w:hAnsi="仿宋" w:eastAsia="仿宋" w:cs="仿宋"/>
          <w:b/>
          <w:sz w:val="24"/>
        </w:rPr>
      </w:pPr>
      <w:r>
        <w:rPr>
          <w:rFonts w:hint="eastAsia" w:ascii="仿宋" w:hAnsi="仿宋" w:eastAsia="仿宋" w:cs="仿宋"/>
          <w:b/>
          <w:sz w:val="24"/>
        </w:rPr>
        <w:t xml:space="preserve">   合同编号：</w:t>
      </w:r>
    </w:p>
    <w:p w14:paraId="6CA705E7">
      <w:pPr>
        <w:tabs>
          <w:tab w:val="left" w:pos="540"/>
        </w:tabs>
        <w:snapToGrid w:val="0"/>
        <w:spacing w:line="360" w:lineRule="auto"/>
        <w:jc w:val="right"/>
        <w:rPr>
          <w:rFonts w:hint="eastAsia" w:ascii="仿宋" w:hAnsi="仿宋" w:eastAsia="仿宋" w:cs="仿宋"/>
          <w:b/>
          <w:sz w:val="24"/>
          <w:lang w:val="en-US"/>
        </w:rPr>
      </w:pPr>
      <w:r>
        <w:rPr>
          <w:rFonts w:hint="eastAsia" w:ascii="仿宋" w:hAnsi="仿宋" w:eastAsia="仿宋" w:cs="仿宋"/>
          <w:b/>
          <w:sz w:val="24"/>
          <w:lang w:val="en-US"/>
        </w:rPr>
        <w:t xml:space="preserve">   确认书号：</w:t>
      </w:r>
    </w:p>
    <w:p w14:paraId="274DAF3D">
      <w:pPr>
        <w:pStyle w:val="32"/>
        <w:snapToGrid w:val="0"/>
        <w:spacing w:before="120" w:after="120" w:line="360" w:lineRule="auto"/>
        <w:jc w:val="center"/>
        <w:rPr>
          <w:rFonts w:hint="eastAsia" w:ascii="仿宋" w:hAnsi="仿宋" w:eastAsia="仿宋" w:cs="仿宋"/>
          <w:b/>
          <w:sz w:val="24"/>
          <w:szCs w:val="24"/>
        </w:rPr>
      </w:pPr>
      <w:r>
        <w:rPr>
          <w:rFonts w:hint="eastAsia" w:ascii="仿宋" w:hAnsi="仿宋" w:eastAsia="仿宋" w:cs="仿宋"/>
          <w:sz w:val="24"/>
          <w:szCs w:val="24"/>
        </w:rPr>
        <w:t>（本合同为合同样稿，最终稿由双方协商后根据相关制度确定）</w:t>
      </w:r>
    </w:p>
    <w:p w14:paraId="65F74EB4">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甲方:浙江省教育考试院</w:t>
      </w:r>
    </w:p>
    <w:p w14:paraId="286189E5">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乙方:___________________</w:t>
      </w:r>
    </w:p>
    <w:p w14:paraId="15D70DF3">
      <w:pPr>
        <w:tabs>
          <w:tab w:val="left" w:pos="540"/>
        </w:tabs>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甲、乙双方根据</w:t>
      </w:r>
      <w:r>
        <w:rPr>
          <w:rFonts w:hint="eastAsia" w:ascii="仿宋" w:hAnsi="仿宋" w:eastAsia="仿宋" w:cs="仿宋"/>
          <w:b/>
          <w:sz w:val="24"/>
          <w:lang w:val="en-US" w:eastAsia="zh-CN"/>
        </w:rPr>
        <w:t>浙江国际招投标有限公司</w:t>
      </w:r>
      <w:r>
        <w:rPr>
          <w:rFonts w:hint="eastAsia" w:ascii="仿宋" w:hAnsi="仿宋" w:eastAsia="仿宋" w:cs="仿宋"/>
          <w:b/>
          <w:sz w:val="24"/>
        </w:rPr>
        <w:t>关于项目编号为            的（            项目）项目</w:t>
      </w:r>
      <w:r>
        <w:rPr>
          <w:rFonts w:hint="eastAsia" w:ascii="仿宋" w:hAnsi="仿宋" w:eastAsia="仿宋" w:cs="仿宋"/>
          <w:b/>
          <w:sz w:val="24"/>
          <w:lang w:val="en-US" w:eastAsia="zh-CN"/>
        </w:rPr>
        <w:t>竞争性磋商</w:t>
      </w:r>
      <w:r>
        <w:rPr>
          <w:rFonts w:hint="eastAsia" w:ascii="仿宋" w:hAnsi="仿宋" w:eastAsia="仿宋" w:cs="仿宋"/>
          <w:b/>
          <w:sz w:val="24"/>
        </w:rPr>
        <w:t>的结果，签署本合同。</w:t>
      </w:r>
    </w:p>
    <w:p w14:paraId="757A6E63">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一、合同文件组成及解释顺序</w:t>
      </w:r>
    </w:p>
    <w:p w14:paraId="35891879">
      <w:pPr>
        <w:tabs>
          <w:tab w:val="left" w:pos="360"/>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14:paraId="71E0BFED">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1.合同补充协议书；</w:t>
      </w:r>
    </w:p>
    <w:p w14:paraId="3E9D0450">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2.本合同文本及附件；</w:t>
      </w:r>
    </w:p>
    <w:p w14:paraId="1629F025">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3.成交通知书；</w:t>
      </w:r>
    </w:p>
    <w:p w14:paraId="3C3F03CB">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4.询标答复及承诺；</w:t>
      </w:r>
    </w:p>
    <w:p w14:paraId="23425F58">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5.磋商响应文件及附件；</w:t>
      </w:r>
    </w:p>
    <w:p w14:paraId="0B4F0D81">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6.采购补充文件；</w:t>
      </w:r>
    </w:p>
    <w:p w14:paraId="6C239A6E">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7.磋商文件。</w:t>
      </w:r>
    </w:p>
    <w:p w14:paraId="42BECE91">
      <w:pPr>
        <w:snapToGrid w:val="0"/>
        <w:spacing w:line="360" w:lineRule="auto"/>
        <w:rPr>
          <w:rFonts w:hint="eastAsia" w:ascii="仿宋" w:hAnsi="仿宋" w:eastAsia="仿宋" w:cs="仿宋"/>
          <w:b/>
          <w:sz w:val="24"/>
          <w:u w:val="single"/>
        </w:rPr>
      </w:pPr>
      <w:bookmarkStart w:id="79" w:name="_Toc136511543"/>
      <w:bookmarkStart w:id="80" w:name="_Toc205610321"/>
      <w:bookmarkStart w:id="81" w:name="_Toc224873969"/>
      <w:bookmarkStart w:id="82" w:name="_Toc139621307"/>
      <w:bookmarkStart w:id="83" w:name="_Toc263776830"/>
      <w:bookmarkStart w:id="84" w:name="_Toc335302574"/>
      <w:bookmarkStart w:id="85" w:name="_Toc307304125"/>
      <w:bookmarkStart w:id="86" w:name="_Toc139881245"/>
      <w:bookmarkStart w:id="87" w:name="_Toc299912245"/>
      <w:bookmarkStart w:id="88" w:name="_Toc374095912"/>
      <w:bookmarkStart w:id="89" w:name="_Toc391883638"/>
      <w:bookmarkStart w:id="90" w:name="_Toc139621247"/>
      <w:bookmarkStart w:id="91" w:name="_Toc120437444"/>
      <w:r>
        <w:rPr>
          <w:rFonts w:hint="eastAsia" w:ascii="仿宋" w:hAnsi="仿宋" w:eastAsia="仿宋" w:cs="仿宋"/>
          <w:b/>
          <w:sz w:val="24"/>
        </w:rPr>
        <w:t>二、</w:t>
      </w:r>
      <w:bookmarkEnd w:id="79"/>
      <w:bookmarkEnd w:id="80"/>
      <w:bookmarkEnd w:id="81"/>
      <w:bookmarkEnd w:id="82"/>
      <w:bookmarkEnd w:id="83"/>
      <w:bookmarkEnd w:id="84"/>
      <w:bookmarkEnd w:id="85"/>
      <w:bookmarkEnd w:id="86"/>
      <w:bookmarkEnd w:id="87"/>
      <w:bookmarkEnd w:id="88"/>
      <w:bookmarkEnd w:id="89"/>
      <w:bookmarkEnd w:id="90"/>
      <w:r>
        <w:rPr>
          <w:rFonts w:hint="eastAsia" w:ascii="仿宋" w:hAnsi="仿宋" w:eastAsia="仿宋" w:cs="仿宋"/>
          <w:b/>
          <w:sz w:val="24"/>
        </w:rPr>
        <w:t>服务内容：</w:t>
      </w:r>
      <w:r>
        <w:rPr>
          <w:rFonts w:hint="eastAsia" w:ascii="仿宋" w:hAnsi="仿宋" w:eastAsia="仿宋" w:cs="仿宋"/>
          <w:b/>
          <w:sz w:val="24"/>
          <w:u w:val="single"/>
        </w:rPr>
        <w:t xml:space="preserve">                                             。</w:t>
      </w:r>
      <w:bookmarkEnd w:id="91"/>
    </w:p>
    <w:p w14:paraId="04461E67">
      <w:pPr>
        <w:tabs>
          <w:tab w:val="left" w:pos="540"/>
        </w:tabs>
        <w:snapToGrid w:val="0"/>
        <w:spacing w:line="360" w:lineRule="auto"/>
        <w:rPr>
          <w:rFonts w:hint="eastAsia" w:ascii="仿宋" w:hAnsi="仿宋" w:eastAsia="仿宋" w:cs="仿宋"/>
          <w:bCs/>
          <w:sz w:val="24"/>
        </w:rPr>
      </w:pPr>
      <w:bookmarkStart w:id="92" w:name="_Toc120437455"/>
      <w:r>
        <w:rPr>
          <w:rFonts w:hint="eastAsia" w:ascii="仿宋" w:hAnsi="仿宋" w:eastAsia="仿宋" w:cs="仿宋"/>
          <w:b/>
          <w:sz w:val="24"/>
        </w:rPr>
        <w:t>三、服务期：</w:t>
      </w:r>
      <w:r>
        <w:rPr>
          <w:rFonts w:hint="eastAsia" w:ascii="仿宋" w:hAnsi="仿宋" w:eastAsia="仿宋" w:cs="仿宋"/>
          <w:bCs/>
          <w:sz w:val="24"/>
          <w:lang w:val="zh-CN"/>
        </w:rPr>
        <w:t>自</w:t>
      </w:r>
      <w:r>
        <w:rPr>
          <w:rFonts w:hint="eastAsia" w:ascii="仿宋" w:hAnsi="仿宋" w:eastAsia="仿宋" w:cs="仿宋"/>
          <w:bCs/>
          <w:sz w:val="24"/>
          <w:lang w:eastAsia="zh-Hans"/>
        </w:rPr>
        <w:t>本</w:t>
      </w:r>
      <w:r>
        <w:rPr>
          <w:rFonts w:hint="eastAsia" w:ascii="仿宋" w:hAnsi="仿宋" w:eastAsia="仿宋" w:cs="仿宋"/>
          <w:bCs/>
          <w:sz w:val="24"/>
          <w:lang w:val="zh-CN"/>
        </w:rPr>
        <w:t>合同签订之日起</w:t>
      </w:r>
      <w:r>
        <w:rPr>
          <w:rFonts w:hint="eastAsia" w:ascii="仿宋" w:hAnsi="仿宋" w:eastAsia="仿宋" w:cs="仿宋"/>
          <w:bCs/>
          <w:sz w:val="24"/>
        </w:rPr>
        <w:t>1年。</w:t>
      </w:r>
    </w:p>
    <w:p w14:paraId="6A393E3D">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四、履约保证金</w:t>
      </w:r>
    </w:p>
    <w:p w14:paraId="420B8F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乙方在签订合同</w:t>
      </w:r>
      <w:r>
        <w:rPr>
          <w:rFonts w:hint="eastAsia" w:ascii="仿宋" w:hAnsi="仿宋" w:eastAsia="仿宋" w:cs="仿宋"/>
          <w:bCs/>
          <w:sz w:val="24"/>
        </w:rPr>
        <w:t>后5天内</w:t>
      </w:r>
      <w:r>
        <w:rPr>
          <w:rFonts w:hint="eastAsia" w:ascii="仿宋" w:hAnsi="仿宋" w:eastAsia="仿宋" w:cs="仿宋"/>
          <w:sz w:val="24"/>
        </w:rPr>
        <w:t>必须向甲方提交合同总额1%（计</w:t>
      </w:r>
      <w:r>
        <w:rPr>
          <w:rFonts w:hint="eastAsia" w:ascii="仿宋" w:hAnsi="仿宋" w:eastAsia="仿宋" w:cs="仿宋"/>
          <w:sz w:val="24"/>
          <w:u w:val="single"/>
        </w:rPr>
        <w:t xml:space="preserve">     </w:t>
      </w:r>
      <w:r>
        <w:rPr>
          <w:rFonts w:hint="eastAsia" w:ascii="仿宋" w:hAnsi="仿宋" w:eastAsia="仿宋" w:cs="仿宋"/>
          <w:sz w:val="24"/>
        </w:rPr>
        <w:t>元）的履约保证金。项目验收合格后一个月内未发现任何服务和质量问题，全额无息退还。</w:t>
      </w:r>
    </w:p>
    <w:p w14:paraId="7E74FA47">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五、费用及支付方式（暂定）</w:t>
      </w:r>
    </w:p>
    <w:p w14:paraId="576095E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1.本项目为固定合同总价，合同总金额为￥</w:t>
      </w:r>
      <w:r>
        <w:rPr>
          <w:rFonts w:hint="eastAsia" w:ascii="仿宋" w:hAnsi="仿宋" w:eastAsia="仿宋" w:cs="仿宋"/>
          <w:sz w:val="24"/>
          <w:u w:val="single"/>
        </w:rPr>
        <w:t xml:space="preserve">      </w:t>
      </w:r>
      <w:r>
        <w:rPr>
          <w:rFonts w:hint="eastAsia" w:ascii="仿宋" w:hAnsi="仿宋" w:eastAsia="仿宋" w:cs="仿宋"/>
          <w:sz w:val="24"/>
        </w:rPr>
        <w:t>元（大写：______元整）（</w:t>
      </w:r>
      <w:r>
        <w:rPr>
          <w:rFonts w:hint="eastAsia" w:ascii="仿宋" w:hAnsi="仿宋" w:eastAsia="仿宋" w:cs="仿宋"/>
          <w:sz w:val="24"/>
          <w:lang w:eastAsia="zh-Hans"/>
        </w:rPr>
        <w:t>含税）该费用已包含包括劳务费用、活动费等完成项目所需的一切费用</w:t>
      </w:r>
      <w:r>
        <w:rPr>
          <w:rFonts w:hint="eastAsia" w:ascii="仿宋" w:hAnsi="仿宋" w:eastAsia="仿宋" w:cs="仿宋"/>
          <w:sz w:val="24"/>
        </w:rPr>
        <w:t>。</w:t>
      </w:r>
    </w:p>
    <w:p w14:paraId="1903AD0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2.分三次支付，</w:t>
      </w:r>
      <w:bookmarkEnd w:id="92"/>
    </w:p>
    <w:p w14:paraId="19D37B7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第一次付款：合同生效并具备实施条件后7个工作日内支付合同总额的70%的预付款，计￥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14:paraId="3C46EB2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第二次付款：按要求完成信息安全管理制度完善、风险评估和安全加固服务后由甲方组织初步验收后7个工作日内甲方向乙方支付合同总价总额25%合同款，计￥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14:paraId="0ABF785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第三次付款：终验通过甲方验收合格后7个工作日甲方向乙方支付合同总价总额5%合同款，计￥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14:paraId="226652FD">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六、项目实施</w:t>
      </w:r>
    </w:p>
    <w:p w14:paraId="35BA88F5">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根据甲方要求制定并完善项目实施计划，经甲方同意后方可实施。乙方应按计划分阶段逐步抓好项目落实，实施过程中所涉及的方案及成果等均应根据甲方要求修改完善直至甲方满意为止。建立项目管理台帐，落实专人定期进行督促指导，确保项目按时、按标准完成。</w:t>
      </w:r>
    </w:p>
    <w:p w14:paraId="20701A9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2．乙方的项目实施活动须接受甲方的指导与监督，对甲方提出的合理意见须积极采纳，乙方在项目实施过程中如涉及项目组成员更换或流程调整等须及时向甲方报送并审核，甲方认可后方可调整。</w:t>
      </w:r>
    </w:p>
    <w:p w14:paraId="57C8954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3.项目成员一经甲方确定后，未经甲方许可不得擅自更换及调动现有项目成员。服务期内，如存在人员无法胜任或有违规违纪等现象的，甲方有权要求乙方更换项目成员直至满意为止。</w:t>
      </w:r>
    </w:p>
    <w:p w14:paraId="1590E33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4.违反上述约定的，每次扣款5000元，甲方有权在乙方的履约保证金中直接扣除。</w:t>
      </w:r>
    </w:p>
    <w:p w14:paraId="7ECE9C23">
      <w:pPr>
        <w:widowControl/>
        <w:tabs>
          <w:tab w:val="left" w:pos="540"/>
        </w:tabs>
        <w:snapToGrid w:val="0"/>
        <w:spacing w:line="360" w:lineRule="auto"/>
        <w:jc w:val="left"/>
        <w:rPr>
          <w:rFonts w:hint="eastAsia" w:ascii="仿宋" w:hAnsi="仿宋" w:eastAsia="仿宋" w:cs="仿宋"/>
          <w:b/>
          <w:sz w:val="24"/>
        </w:rPr>
      </w:pPr>
      <w:r>
        <w:rPr>
          <w:rFonts w:hint="eastAsia" w:ascii="仿宋" w:hAnsi="仿宋" w:eastAsia="仿宋" w:cs="仿宋"/>
          <w:b/>
          <w:sz w:val="24"/>
        </w:rPr>
        <w:t>七、验收</w:t>
      </w:r>
    </w:p>
    <w:p w14:paraId="5AB998E9">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1.验收主体：浙江省教育考试院。</w:t>
      </w:r>
    </w:p>
    <w:p w14:paraId="638C965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2.甲方在乙方提供服务的过程中，有权不定期对服务内容和质量进行考核。乙方应当配合进行。</w:t>
      </w:r>
    </w:p>
    <w:p w14:paraId="1B8E7342">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3.验收程序：乙方向甲方提出申请验收，甲方组织履约验收。乙方应将项目执行过程及时记录、收集、整理，向甲方递交验收申请资料。</w:t>
      </w:r>
    </w:p>
    <w:p w14:paraId="7D9EEB18">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4.验收内容：乙方实际完成的情况是否符合采购文件要求和乙方在磋商响应文件中的商务、技术承诺。</w:t>
      </w:r>
    </w:p>
    <w:p w14:paraId="0A9204B8">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5.验收标准：乙方已经按采购文件要求和乙方在磋商响应文件中的商务、技术承诺完成项目执行。</w:t>
      </w:r>
    </w:p>
    <w:p w14:paraId="6B97C5F7">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6.验收时乙方应在现场，</w:t>
      </w:r>
      <w:r>
        <w:rPr>
          <w:rFonts w:hint="eastAsia" w:ascii="仿宋" w:hAnsi="仿宋" w:eastAsia="仿宋" w:cs="仿宋"/>
          <w:sz w:val="24"/>
          <w:lang w:eastAsia="zh-Hans"/>
        </w:rPr>
        <w:t>验收产生的费用，属于首次验收过程中产生的，由甲方承担；属于首次验收不合格，重新验收过程中产生的，由乙方承担</w:t>
      </w:r>
      <w:r>
        <w:rPr>
          <w:rFonts w:hint="eastAsia" w:ascii="仿宋" w:hAnsi="仿宋" w:eastAsia="仿宋" w:cs="仿宋"/>
          <w:sz w:val="24"/>
        </w:rPr>
        <w:t>。</w:t>
      </w:r>
    </w:p>
    <w:p w14:paraId="52B8558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0AA8E625">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八、双方的权利与义务</w:t>
      </w:r>
    </w:p>
    <w:p w14:paraId="5C101696">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1.甲方的权利与义务</w:t>
      </w:r>
    </w:p>
    <w:p w14:paraId="1F64C5EF">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（1）甲方有权了解掌握并监督项目工作进度。</w:t>
      </w:r>
    </w:p>
    <w:p w14:paraId="4C92A0A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（2）甲方有按期支付合同价款的义务。</w:t>
      </w:r>
    </w:p>
    <w:p w14:paraId="7488263D">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（3）甲方有提出合理意见及建议的权利。</w:t>
      </w:r>
    </w:p>
    <w:p w14:paraId="1CBA026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（4）甲方有权对乙方进行考核。</w:t>
      </w:r>
    </w:p>
    <w:p w14:paraId="57191C4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（5）合同履行过程中，如有必要，甲方负责协调乙方与其他相关部门和单位的关系。</w:t>
      </w:r>
    </w:p>
    <w:p w14:paraId="1DF7D62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2.乙方的权利与义务</w:t>
      </w:r>
    </w:p>
    <w:p w14:paraId="2C5D4D04">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（1）乙方可要求甲方按本合同的规定按时足额支付项目经费。</w:t>
      </w:r>
    </w:p>
    <w:p w14:paraId="21F6BDFA">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（2）乙方在履行合同过程中，不得将项目转包给第三人。</w:t>
      </w:r>
    </w:p>
    <w:p w14:paraId="771B5516">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（3）乙方应如实向甲方汇报项目进展情况。</w:t>
      </w:r>
    </w:p>
    <w:p w14:paraId="37218654">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（4）乙方应按合同的约定按时、按标准完成项目任务。</w:t>
      </w:r>
    </w:p>
    <w:p w14:paraId="1F2E2A05">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（5）对甲方提出的合理意见和建议有采纳的义务。</w:t>
      </w:r>
    </w:p>
    <w:p w14:paraId="364AA637">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（6）乙方应在项目的执行过程中应遵守法律法规。</w:t>
      </w:r>
    </w:p>
    <w:p w14:paraId="5652C11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（7）乙方不得以甲方名义或在甲方所在办公楼开展任何形式的营利性经营活动。</w:t>
      </w:r>
    </w:p>
    <w:p w14:paraId="5D5EBB8F">
      <w:pPr>
        <w:autoSpaceDE w:val="0"/>
        <w:autoSpaceDN w:val="0"/>
        <w:snapToGrid w:val="0"/>
        <w:spacing w:line="360" w:lineRule="auto"/>
        <w:ind w:firstLine="480" w:firstLineChars="200"/>
        <w:rPr>
          <w:rFonts w:hint="eastAsia" w:ascii="仿宋" w:hAnsi="仿宋" w:eastAsia="仿宋" w:cs="仿宋"/>
        </w:rPr>
      </w:pPr>
      <w:r>
        <w:rPr>
          <w:rFonts w:hint="eastAsia" w:ascii="仿宋" w:hAnsi="仿宋" w:eastAsia="仿宋" w:cs="仿宋"/>
          <w:sz w:val="24"/>
        </w:rPr>
        <w:t>（8）项目涉及的所有文字、照片、视频等资料版权归甲方所有，未经甲方书面同意，乙方不得使用或保留。</w:t>
      </w:r>
    </w:p>
    <w:p w14:paraId="2C2A7B1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（9）乙方将本合同范围的部分服务分包给他人供应时，应提前告知甲方并经甲方同意。</w:t>
      </w:r>
    </w:p>
    <w:p w14:paraId="7C3C6C0D">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九、知识产权及保密协定</w:t>
      </w:r>
    </w:p>
    <w:p w14:paraId="16E5938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w:t>
      </w:r>
      <w:r>
        <w:rPr>
          <w:rFonts w:hint="eastAsia" w:ascii="仿宋" w:hAnsi="仿宋" w:eastAsia="仿宋" w:cs="仿宋"/>
          <w:sz w:val="24"/>
          <w:lang w:eastAsia="zh-Hans"/>
        </w:rPr>
        <w:t>承诺</w:t>
      </w:r>
      <w:r>
        <w:rPr>
          <w:rFonts w:hint="eastAsia" w:ascii="仿宋" w:hAnsi="仿宋" w:eastAsia="仿宋" w:cs="仿宋"/>
          <w:sz w:val="24"/>
        </w:rPr>
        <w:t>项目中</w:t>
      </w:r>
      <w:r>
        <w:rPr>
          <w:rFonts w:hint="eastAsia" w:ascii="仿宋" w:hAnsi="仿宋" w:eastAsia="仿宋" w:cs="仿宋"/>
          <w:sz w:val="24"/>
          <w:lang w:eastAsia="zh-Hans"/>
        </w:rPr>
        <w:t>涉及的</w:t>
      </w:r>
      <w:r>
        <w:rPr>
          <w:rFonts w:hint="eastAsia" w:ascii="仿宋" w:hAnsi="仿宋" w:eastAsia="仿宋" w:cs="仿宋"/>
          <w:sz w:val="24"/>
        </w:rPr>
        <w:t>所有文字、照片、视频、</w:t>
      </w:r>
      <w:r>
        <w:rPr>
          <w:rFonts w:hint="eastAsia" w:ascii="仿宋" w:hAnsi="仿宋" w:eastAsia="仿宋" w:cs="仿宋"/>
          <w:sz w:val="24"/>
          <w:lang w:eastAsia="zh-Hans"/>
        </w:rPr>
        <w:t>动画、效果、画面、音乐、配音等</w:t>
      </w:r>
      <w:r>
        <w:rPr>
          <w:rFonts w:hint="eastAsia" w:ascii="仿宋" w:hAnsi="仿宋" w:eastAsia="仿宋" w:cs="仿宋"/>
          <w:sz w:val="24"/>
        </w:rPr>
        <w:t>资料及服务内容</w:t>
      </w:r>
      <w:r>
        <w:rPr>
          <w:rFonts w:hint="eastAsia" w:ascii="仿宋" w:hAnsi="仿宋" w:eastAsia="仿宋" w:cs="仿宋"/>
          <w:sz w:val="24"/>
          <w:lang w:eastAsia="zh-Hans"/>
        </w:rPr>
        <w:t>，未侵犯他人</w:t>
      </w:r>
      <w:r>
        <w:rPr>
          <w:rFonts w:hint="eastAsia" w:ascii="仿宋" w:hAnsi="仿宋" w:eastAsia="仿宋" w:cs="仿宋"/>
          <w:sz w:val="24"/>
        </w:rPr>
        <w:t>知识产权和相关权益</w:t>
      </w:r>
      <w:r>
        <w:rPr>
          <w:rFonts w:hint="eastAsia" w:ascii="仿宋" w:hAnsi="仿宋" w:eastAsia="仿宋" w:cs="仿宋"/>
          <w:sz w:val="24"/>
          <w:lang w:eastAsia="zh-Hans"/>
        </w:rPr>
        <w:t>，否则因此产生的一切法律后果以及责任由</w:t>
      </w:r>
      <w:r>
        <w:rPr>
          <w:rFonts w:hint="eastAsia" w:ascii="仿宋" w:hAnsi="仿宋" w:eastAsia="仿宋" w:cs="仿宋"/>
          <w:sz w:val="24"/>
        </w:rPr>
        <w:t>乙方</w:t>
      </w:r>
      <w:r>
        <w:rPr>
          <w:rFonts w:hint="eastAsia" w:ascii="仿宋" w:hAnsi="仿宋" w:eastAsia="仿宋" w:cs="仿宋"/>
          <w:sz w:val="24"/>
          <w:lang w:eastAsia="zh-Hans"/>
        </w:rPr>
        <w:t>承担</w:t>
      </w:r>
      <w:r>
        <w:rPr>
          <w:rFonts w:hint="eastAsia" w:ascii="仿宋" w:hAnsi="仿宋" w:eastAsia="仿宋" w:cs="仿宋"/>
          <w:sz w:val="24"/>
        </w:rPr>
        <w:t>。</w:t>
      </w:r>
    </w:p>
    <w:p w14:paraId="1BBC6649">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2.乙方服务过程中所产生的所有资料的知识产权均归属于甲方。未经甲方书面同意，乙方不得擅自使用、保留，否则甲方将追究乙方的法律责任。</w:t>
      </w:r>
    </w:p>
    <w:p w14:paraId="4F60E484">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3.协议双方应对项目方案、报价、文件、资料履行保密责任，不得泄露给任意第三方，如一方违反此约定，违约方应向另一方支付合同总额20%的违约金。</w:t>
      </w:r>
    </w:p>
    <w:p w14:paraId="19E1D053">
      <w:pPr>
        <w:widowControl/>
        <w:spacing w:line="360" w:lineRule="auto"/>
        <w:ind w:firstLine="480" w:firstLineChars="200"/>
        <w:jc w:val="left"/>
        <w:rPr>
          <w:rFonts w:hint="eastAsia" w:ascii="仿宋" w:hAnsi="仿宋" w:eastAsia="仿宋" w:cs="仿宋"/>
          <w:sz w:val="20"/>
          <w:szCs w:val="20"/>
        </w:rPr>
      </w:pPr>
      <w:r>
        <w:rPr>
          <w:rFonts w:hint="eastAsia" w:ascii="仿宋" w:hAnsi="仿宋" w:eastAsia="仿宋" w:cs="仿宋"/>
          <w:sz w:val="24"/>
        </w:rPr>
        <w:t>4.本条规定自本合同生效之日起即应履行，并且不受本合同届满、提前终止或本合同中其他条款的无效或履行完毕等情形的影响。</w:t>
      </w:r>
    </w:p>
    <w:p w14:paraId="09C5F616">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十、违约责任</w:t>
      </w:r>
    </w:p>
    <w:p w14:paraId="01D09876">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1.乙方未按时完成项目或项目质量出现问题，甲方将根据验收结果报告，没收履约保证金并不予拨付尾款，并做延长服务期限或返还相应款项等处理。</w:t>
      </w:r>
    </w:p>
    <w:p w14:paraId="32A6806C">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2.乙方服务内容应保证不侵犯他人的知识产权和其他合法权益，如出现被其他人追究责任，则</w:t>
      </w:r>
      <w:r>
        <w:rPr>
          <w:rFonts w:hint="eastAsia" w:ascii="仿宋" w:hAnsi="仿宋" w:eastAsia="仿宋" w:cs="仿宋"/>
          <w:bCs/>
          <w:sz w:val="24"/>
          <w:lang w:eastAsia="zh-Hans"/>
        </w:rPr>
        <w:t>由乙方</w:t>
      </w:r>
      <w:r>
        <w:rPr>
          <w:rFonts w:hint="eastAsia" w:ascii="仿宋" w:hAnsi="仿宋" w:eastAsia="仿宋" w:cs="仿宋"/>
          <w:bCs/>
          <w:sz w:val="24"/>
        </w:rPr>
        <w:t>负责处理，</w:t>
      </w:r>
      <w:r>
        <w:rPr>
          <w:rFonts w:hint="eastAsia" w:ascii="仿宋" w:hAnsi="仿宋" w:eastAsia="仿宋" w:cs="仿宋"/>
          <w:bCs/>
          <w:sz w:val="24"/>
          <w:lang w:eastAsia="zh-Hans"/>
        </w:rPr>
        <w:t>由乙方</w:t>
      </w:r>
      <w:r>
        <w:rPr>
          <w:rFonts w:hint="eastAsia" w:ascii="仿宋" w:hAnsi="仿宋" w:eastAsia="仿宋" w:cs="仿宋"/>
          <w:bCs/>
          <w:sz w:val="24"/>
        </w:rPr>
        <w:t>承担所有责任。</w:t>
      </w:r>
    </w:p>
    <w:p w14:paraId="532ABBF6">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lang w:eastAsia="zh-Hans"/>
        </w:rPr>
        <w:t>十一</w:t>
      </w:r>
      <w:r>
        <w:rPr>
          <w:rFonts w:hint="eastAsia" w:ascii="仿宋" w:hAnsi="仿宋" w:eastAsia="仿宋" w:cs="仿宋"/>
          <w:b/>
          <w:sz w:val="24"/>
        </w:rPr>
        <w:t>、未尽事宜的解决方法</w:t>
      </w:r>
    </w:p>
    <w:p w14:paraId="707C13BC">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凡涉及本协议或因执行本协议而发生的一切争执，应通过友好协商解决。如果双方无法协商解决，双方同意提交杭州仲裁委员会裁决，由此产生的律师费、诉讼费、诉讼保全担保责任保险费用、公证费、差旅费等均由败诉方承担。</w:t>
      </w:r>
    </w:p>
    <w:p w14:paraId="46211249">
      <w:pPr>
        <w:tabs>
          <w:tab w:val="left" w:pos="540"/>
        </w:tabs>
        <w:snapToGrid w:val="0"/>
        <w:spacing w:line="360" w:lineRule="auto"/>
        <w:rPr>
          <w:rFonts w:hint="eastAsia" w:ascii="仿宋" w:hAnsi="仿宋" w:eastAsia="仿宋" w:cs="仿宋"/>
          <w:b/>
          <w:sz w:val="24"/>
          <w:lang w:eastAsia="zh-Hans"/>
        </w:rPr>
      </w:pPr>
      <w:r>
        <w:rPr>
          <w:rFonts w:hint="eastAsia" w:ascii="仿宋" w:hAnsi="仿宋" w:eastAsia="仿宋" w:cs="仿宋"/>
          <w:b/>
          <w:sz w:val="24"/>
        </w:rPr>
        <w:t>十</w:t>
      </w:r>
      <w:r>
        <w:rPr>
          <w:rFonts w:hint="eastAsia" w:ascii="仿宋" w:hAnsi="仿宋" w:eastAsia="仿宋" w:cs="仿宋"/>
          <w:b/>
          <w:sz w:val="24"/>
          <w:lang w:eastAsia="zh-Hans"/>
        </w:rPr>
        <w:t>二、 通知和送达</w:t>
      </w:r>
    </w:p>
    <w:p w14:paraId="0AA0817F">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1.与本合同有关的任何通知，应于以书面方式送达本合同尾页双方载明的联系方式。书面形式包括但不限于：快递、邮件、电子邮件、微信、短信。上述通知应被视为在下列时间送达：以快递或专人发送，在收件人签收之日或拒收之日；以挂号邮件发出，在发出之日起第7个工作日；以电子邮件发出，在电子邮件进入收件方电子邮箱服务器之日；以短信、微信发出的，在发出之日。</w:t>
      </w:r>
    </w:p>
    <w:p w14:paraId="647A8EE0">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2.本合同尾页如未确定各方的通讯地址的,自然人以其身份证记载的地址为其确定的通讯地址；法人以其工商登记注册的地址为其确定的通讯地址。如未书面通知变更的,有关文书送达前述地址即视为送达。</w:t>
      </w:r>
    </w:p>
    <w:p w14:paraId="621F1695">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3.任何一方指定的通讯地址发生变动的，应提前3日以书面形式通知其他方，否则视为其指定的通讯地址未发生变动。因一方未及时发出变更通知导致的法律后果，由该方自行全部承担。</w:t>
      </w:r>
    </w:p>
    <w:p w14:paraId="38E23CE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eastAsia="zh-Hans"/>
        </w:rPr>
        <w:t>4.各方应当及时签收其他方送达至通讯地址的来往信函。拒不签收的，由此导致的后果均由拒绝接收一方承担。</w:t>
      </w:r>
    </w:p>
    <w:p w14:paraId="453D0E6E">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Hans"/>
        </w:rPr>
        <w:t>三</w:t>
      </w:r>
      <w:r>
        <w:rPr>
          <w:rFonts w:hint="eastAsia" w:ascii="仿宋" w:hAnsi="仿宋" w:eastAsia="仿宋" w:cs="仿宋"/>
          <w:b/>
          <w:sz w:val="24"/>
        </w:rPr>
        <w:t>、其它</w:t>
      </w:r>
    </w:p>
    <w:p w14:paraId="660C19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1、本合同未尽事宜，双方应本着友好协商的精神，根据国家的有关法律、法规、规定和项目实际情况对合同条款进行补充或修改。</w:t>
      </w:r>
    </w:p>
    <w:p w14:paraId="2CF18C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2、磋商文件（编号：   ）、磋商响应文件及评标过程中形成的文字资料、询标纪要均作为本合同的组成部分，具有同等效力。</w:t>
      </w:r>
    </w:p>
    <w:p w14:paraId="2074ED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14:paraId="6DB47166">
      <w:pPr>
        <w:tabs>
          <w:tab w:val="left" w:pos="540"/>
        </w:tabs>
        <w:spacing w:line="500" w:lineRule="exact"/>
        <w:rPr>
          <w:rFonts w:hint="eastAsia" w:ascii="仿宋" w:hAnsi="仿宋" w:eastAsia="仿宋" w:cs="仿宋"/>
          <w:b/>
          <w:sz w:val="24"/>
          <w:u w:val="single"/>
        </w:rPr>
      </w:pPr>
      <w:r>
        <w:rPr>
          <w:rFonts w:hint="eastAsia" w:ascii="仿宋" w:hAnsi="仿宋" w:eastAsia="仿宋" w:cs="仿宋"/>
          <w:b/>
          <w:sz w:val="24"/>
        </w:rPr>
        <w:t>十四、本合同签订地点：</w:t>
      </w:r>
      <w:r>
        <w:rPr>
          <w:rFonts w:hint="eastAsia" w:ascii="仿宋" w:hAnsi="仿宋" w:eastAsia="仿宋" w:cs="仿宋"/>
          <w:b/>
          <w:sz w:val="24"/>
          <w:u w:val="single"/>
        </w:rPr>
        <w:t xml:space="preserve">                  </w:t>
      </w:r>
      <w:bookmarkEnd w:id="76"/>
    </w:p>
    <w:p w14:paraId="75416F42">
      <w:pPr>
        <w:pStyle w:val="2"/>
        <w:rPr>
          <w:rFonts w:hint="eastAsia" w:ascii="仿宋" w:hAnsi="仿宋" w:eastAsia="仿宋" w:cs="仿宋"/>
          <w:lang w:val="en-US"/>
        </w:rPr>
      </w:pPr>
    </w:p>
    <w:p w14:paraId="1261C69B">
      <w:pPr>
        <w:ind w:firstLine="420" w:firstLineChars="200"/>
        <w:rPr>
          <w:rFonts w:hint="eastAsia" w:ascii="仿宋" w:hAnsi="仿宋" w:eastAsia="仿宋" w:cs="仿宋"/>
        </w:rPr>
      </w:pPr>
      <w:r>
        <w:rPr>
          <w:rFonts w:hint="eastAsia" w:ascii="仿宋" w:hAnsi="仿宋" w:eastAsia="仿宋" w:cs="仿宋"/>
        </w:rPr>
        <w:t>附件1：服务机构信息安全保密协议</w:t>
      </w:r>
    </w:p>
    <w:p w14:paraId="09718270">
      <w:pPr>
        <w:spacing w:line="240" w:lineRule="auto"/>
        <w:ind w:firstLine="630" w:firstLineChars="300"/>
        <w:rPr>
          <w:rFonts w:hint="eastAsia" w:ascii="仿宋" w:hAnsi="仿宋" w:eastAsia="仿宋" w:cs="仿宋"/>
          <w:b w:val="0"/>
          <w:sz w:val="21"/>
          <w:u w:val="none"/>
        </w:rPr>
      </w:pPr>
      <w:r>
        <w:rPr>
          <w:rFonts w:hint="eastAsia" w:ascii="仿宋" w:hAnsi="仿宋" w:eastAsia="仿宋" w:cs="仿宋"/>
        </w:rPr>
        <w:t>（以下无正文）</w:t>
      </w:r>
    </w:p>
    <w:p w14:paraId="24EC9AEF">
      <w:pPr>
        <w:tabs>
          <w:tab w:val="left" w:pos="540"/>
        </w:tabs>
        <w:spacing w:line="500" w:lineRule="exact"/>
        <w:rPr>
          <w:rFonts w:hint="eastAsia" w:ascii="仿宋" w:hAnsi="仿宋" w:eastAsia="仿宋" w:cs="仿宋"/>
          <w:sz w:val="24"/>
          <w:u w:val="single"/>
        </w:rPr>
      </w:pPr>
    </w:p>
    <w:p w14:paraId="7C29AC8C">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 xml:space="preserve">甲方（盖章）：                          乙方（盖章）： </w:t>
      </w:r>
    </w:p>
    <w:p w14:paraId="3CF58943">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法定代表或授权代表（签章）：            法定代表或授权代表（签章）：</w:t>
      </w:r>
    </w:p>
    <w:p w14:paraId="4138BF52">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单位地址：                             单位地址：</w:t>
      </w:r>
    </w:p>
    <w:p w14:paraId="4FA0714E">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开户银行：                             开户银行：</w:t>
      </w:r>
    </w:p>
    <w:p w14:paraId="6983ECF5">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账    号：                             账    号：</w:t>
      </w:r>
    </w:p>
    <w:p w14:paraId="5D506123">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电    话：                             电    话：</w:t>
      </w:r>
    </w:p>
    <w:p w14:paraId="76C547DA">
      <w:pPr>
        <w:snapToGrid w:val="0"/>
        <w:spacing w:line="360" w:lineRule="auto"/>
        <w:rPr>
          <w:rFonts w:hint="eastAsia" w:ascii="仿宋" w:hAnsi="仿宋" w:eastAsia="仿宋" w:cs="仿宋"/>
          <w:sz w:val="24"/>
        </w:rPr>
      </w:pPr>
      <w:r>
        <w:rPr>
          <w:rFonts w:hint="eastAsia" w:ascii="仿宋" w:hAnsi="仿宋" w:eastAsia="仿宋" w:cs="仿宋"/>
          <w:sz w:val="24"/>
        </w:rPr>
        <w:t>合同签订日期：</w:t>
      </w:r>
    </w:p>
    <w:p w14:paraId="1F7EAA44">
      <w:pPr>
        <w:pStyle w:val="2"/>
        <w:rPr>
          <w:rFonts w:hint="eastAsia" w:ascii="仿宋" w:hAnsi="仿宋" w:eastAsia="仿宋" w:cs="仿宋"/>
          <w:szCs w:val="24"/>
        </w:rPr>
      </w:pPr>
    </w:p>
    <w:p w14:paraId="733EA110">
      <w:pPr>
        <w:rPr>
          <w:rFonts w:hint="eastAsia" w:ascii="仿宋" w:hAnsi="仿宋" w:eastAsia="仿宋" w:cs="仿宋"/>
        </w:rPr>
      </w:pPr>
    </w:p>
    <w:p w14:paraId="5793A3E2">
      <w:pPr>
        <w:pStyle w:val="2"/>
        <w:ind w:firstLine="0"/>
        <w:rPr>
          <w:rFonts w:hint="eastAsia" w:ascii="仿宋" w:hAnsi="仿宋" w:eastAsia="仿宋" w:cs="仿宋"/>
          <w:szCs w:val="24"/>
          <w:lang w:val="en-US"/>
        </w:rPr>
      </w:pPr>
      <w:r>
        <w:rPr>
          <w:rFonts w:hint="eastAsia" w:ascii="仿宋" w:hAnsi="仿宋" w:eastAsia="仿宋" w:cs="仿宋"/>
          <w:szCs w:val="24"/>
          <w:lang w:val="en-US"/>
        </w:rPr>
        <w:t>鉴证方：浙江国际招投标有限公司</w:t>
      </w:r>
    </w:p>
    <w:p w14:paraId="179BEEF5">
      <w:pPr>
        <w:pStyle w:val="2"/>
        <w:ind w:firstLine="0"/>
        <w:rPr>
          <w:rFonts w:hint="eastAsia" w:ascii="仿宋" w:hAnsi="仿宋" w:eastAsia="仿宋" w:cs="仿宋"/>
          <w:szCs w:val="24"/>
          <w:lang w:val="en-US"/>
        </w:rPr>
      </w:pPr>
      <w:r>
        <w:rPr>
          <w:rFonts w:hint="eastAsia" w:ascii="仿宋" w:hAnsi="仿宋" w:eastAsia="仿宋" w:cs="仿宋"/>
          <w:szCs w:val="24"/>
          <w:lang w:val="en-US"/>
        </w:rPr>
        <w:t>授权代表（签名）：</w:t>
      </w:r>
    </w:p>
    <w:p w14:paraId="3D464C72">
      <w:pPr>
        <w:pStyle w:val="2"/>
        <w:ind w:firstLine="0"/>
        <w:rPr>
          <w:rFonts w:hint="eastAsia" w:ascii="仿宋" w:hAnsi="仿宋" w:eastAsia="仿宋" w:cs="仿宋"/>
          <w:szCs w:val="24"/>
          <w:lang w:val="en-US"/>
        </w:rPr>
      </w:pPr>
      <w:r>
        <w:rPr>
          <w:rFonts w:hint="eastAsia" w:ascii="仿宋" w:hAnsi="仿宋" w:eastAsia="仿宋" w:cs="仿宋"/>
          <w:szCs w:val="24"/>
          <w:lang w:val="en-US"/>
        </w:rPr>
        <w:t>地址：杭州市</w:t>
      </w:r>
      <w:r>
        <w:rPr>
          <w:rFonts w:hint="eastAsia" w:ascii="仿宋" w:hAnsi="仿宋" w:eastAsia="仿宋" w:cs="仿宋"/>
          <w:szCs w:val="24"/>
          <w:lang w:val="en-US" w:eastAsia="zh-CN"/>
        </w:rPr>
        <w:t>西湖区</w:t>
      </w:r>
      <w:r>
        <w:rPr>
          <w:rFonts w:hint="eastAsia" w:ascii="仿宋" w:hAnsi="仿宋" w:eastAsia="仿宋" w:cs="仿宋"/>
          <w:szCs w:val="24"/>
          <w:lang w:val="en-US"/>
        </w:rPr>
        <w:t>文三路90号东部软件园1号楼3楼</w:t>
      </w:r>
    </w:p>
    <w:p w14:paraId="1434A861">
      <w:pPr>
        <w:pStyle w:val="2"/>
        <w:ind w:firstLine="0"/>
        <w:rPr>
          <w:rFonts w:hint="eastAsia" w:ascii="仿宋" w:hAnsi="仿宋" w:eastAsia="仿宋" w:cs="仿宋"/>
          <w:szCs w:val="24"/>
          <w:lang w:val="en-US"/>
        </w:rPr>
      </w:pPr>
      <w:r>
        <w:rPr>
          <w:rFonts w:hint="eastAsia" w:ascii="仿宋" w:hAnsi="仿宋" w:eastAsia="仿宋" w:cs="仿宋"/>
          <w:szCs w:val="24"/>
          <w:lang w:val="en-US"/>
        </w:rPr>
        <w:t>电话：0571-81061819</w:t>
      </w:r>
    </w:p>
    <w:p w14:paraId="6E934C3C">
      <w:pPr>
        <w:pStyle w:val="2"/>
        <w:ind w:firstLine="0"/>
        <w:rPr>
          <w:rFonts w:hint="eastAsia" w:ascii="仿宋" w:hAnsi="仿宋" w:eastAsia="仿宋" w:cs="仿宋"/>
          <w:szCs w:val="24"/>
          <w:lang w:val="en-US"/>
        </w:rPr>
      </w:pPr>
      <w:r>
        <w:rPr>
          <w:rFonts w:hint="eastAsia" w:ascii="仿宋" w:hAnsi="仿宋" w:eastAsia="仿宋" w:cs="仿宋"/>
          <w:szCs w:val="24"/>
          <w:lang w:val="en-US"/>
        </w:rPr>
        <w:t>鉴证日期：</w:t>
      </w:r>
    </w:p>
    <w:p w14:paraId="64C16315">
      <w:pPr>
        <w:pStyle w:val="2"/>
        <w:rPr>
          <w:rFonts w:hint="eastAsia" w:ascii="仿宋" w:hAnsi="仿宋" w:eastAsia="仿宋" w:cs="仿宋"/>
          <w:lang w:val="en-US"/>
        </w:rPr>
      </w:pPr>
    </w:p>
    <w:p w14:paraId="5DBA616A">
      <w:pPr>
        <w:rPr>
          <w:rFonts w:hint="eastAsia" w:ascii="仿宋" w:hAnsi="仿宋" w:eastAsia="仿宋" w:cs="仿宋"/>
          <w:snapToGrid w:val="0"/>
          <w:sz w:val="30"/>
          <w:szCs w:val="30"/>
        </w:rPr>
      </w:pPr>
      <w:r>
        <w:rPr>
          <w:rFonts w:hint="eastAsia" w:ascii="仿宋" w:hAnsi="仿宋" w:eastAsia="仿宋" w:cs="仿宋"/>
          <w:snapToGrid w:val="0"/>
          <w:sz w:val="30"/>
          <w:szCs w:val="30"/>
        </w:rPr>
        <w:br w:type="page"/>
      </w:r>
    </w:p>
    <w:p w14:paraId="05BE3CA6">
      <w:pPr>
        <w:pStyle w:val="32"/>
        <w:snapToGrid w:val="0"/>
        <w:spacing w:before="156" w:after="156" w:line="460" w:lineRule="exact"/>
        <w:rPr>
          <w:rFonts w:hint="eastAsia" w:ascii="仿宋" w:hAnsi="仿宋" w:eastAsia="仿宋" w:cs="仿宋"/>
          <w:snapToGrid w:val="0"/>
          <w:sz w:val="30"/>
          <w:szCs w:val="30"/>
        </w:rPr>
      </w:pPr>
      <w:r>
        <w:rPr>
          <w:rFonts w:hint="eastAsia" w:ascii="仿宋" w:hAnsi="仿宋" w:eastAsia="仿宋" w:cs="仿宋"/>
          <w:snapToGrid w:val="0"/>
          <w:sz w:val="30"/>
          <w:szCs w:val="30"/>
        </w:rPr>
        <w:t>附件1：</w:t>
      </w:r>
    </w:p>
    <w:p w14:paraId="3EFF0F20">
      <w:pPr>
        <w:pStyle w:val="4"/>
        <w:keepNext w:val="0"/>
        <w:keepLines w:val="0"/>
        <w:numPr>
          <w:ilvl w:val="0"/>
          <w:numId w:val="0"/>
        </w:numPr>
        <w:jc w:val="center"/>
        <w:rPr>
          <w:rStyle w:val="63"/>
          <w:rFonts w:hint="eastAsia" w:ascii="仿宋" w:hAnsi="仿宋" w:eastAsia="仿宋" w:cs="仿宋"/>
          <w:b/>
          <w:bCs w:val="0"/>
          <w:sz w:val="36"/>
          <w:szCs w:val="36"/>
        </w:rPr>
      </w:pPr>
      <w:bookmarkStart w:id="93" w:name="_Toc13672691"/>
      <w:r>
        <w:rPr>
          <w:rStyle w:val="63"/>
          <w:rFonts w:hint="eastAsia" w:ascii="仿宋" w:hAnsi="仿宋" w:eastAsia="仿宋" w:cs="仿宋"/>
          <w:b/>
          <w:bCs/>
          <w:sz w:val="36"/>
          <w:szCs w:val="36"/>
        </w:rPr>
        <w:t>服务机构信息安全保密协议</w:t>
      </w:r>
      <w:bookmarkEnd w:id="93"/>
    </w:p>
    <w:p w14:paraId="11775A78">
      <w:pPr>
        <w:tabs>
          <w:tab w:val="left" w:pos="4425"/>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甲方： </w:t>
      </w:r>
    </w:p>
    <w:p w14:paraId="20D640CA">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14:paraId="317DAD28">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乙方在为甲方提供</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服务期间</w:t>
      </w:r>
      <w:r>
        <w:rPr>
          <w:rFonts w:hint="eastAsia" w:ascii="仿宋" w:hAnsi="仿宋" w:eastAsia="仿宋" w:cs="仿宋"/>
          <w:sz w:val="24"/>
        </w:rPr>
        <w:t>，乙方员工已经（或将要）知悉甲方的工作秘密。为明确乙方的保密义务，经甲乙双方本着诚信原则平等协商，自愿签订如下保守工作秘密协议：</w:t>
      </w:r>
    </w:p>
    <w:p w14:paraId="3EB4B310">
      <w:pPr>
        <w:numPr>
          <w:ilvl w:val="0"/>
          <w:numId w:val="12"/>
        </w:numPr>
        <w:adjustRightInd/>
        <w:spacing w:line="360" w:lineRule="auto"/>
        <w:ind w:left="0" w:firstLine="567"/>
        <w:rPr>
          <w:rFonts w:hint="eastAsia" w:ascii="仿宋" w:hAnsi="仿宋" w:eastAsia="仿宋" w:cs="仿宋"/>
          <w:sz w:val="24"/>
        </w:rPr>
      </w:pPr>
      <w:r>
        <w:rPr>
          <w:rFonts w:hint="eastAsia" w:ascii="仿宋" w:hAnsi="仿宋" w:eastAsia="仿宋" w:cs="仿宋"/>
          <w:sz w:val="24"/>
        </w:rPr>
        <w:t>本协议所称的乙方为</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承建（服务）单位，承建（服务）单位</w:t>
      </w:r>
      <w:r>
        <w:rPr>
          <w:rFonts w:hint="eastAsia" w:ascii="仿宋" w:hAnsi="仿宋" w:eastAsia="仿宋" w:cs="仿宋"/>
          <w:sz w:val="24"/>
        </w:rPr>
        <w:t>有义务约束其参建员工履行此保密协议，如乙方员工违反保密协议条款，所造成损失及后果由乙方承担。</w:t>
      </w:r>
    </w:p>
    <w:p w14:paraId="7C464E4B">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所称工作秘密是国家敏感信息、不为公众所知悉的信息、个人隐私信息、因信息丢失或损坏对甲方的形象或工作职能造成损害的数据信息，以及其他双方约定或甲方内部规定保密的信息。本协议所称甲方的工作秘密不限于甲方单位本身的工作秘密，还包括因业务往来所知悉的合作单位的工作秘密，以及甲方依照法律规定（如在缔约过程中知悉的对方当事人的秘密）或有关协议的约定（如技术合同、合作协议等）对外承担保密义务的事项等。具体包括但不限于系统业务数据、技术方案、项目设计、技术指标、计算机软件、数据库、实验结果、图纸、技术资料、涉及工作秘密的业务函电、投资计划、合作计划、客户资料、采购资料、定价政策、不公开的财务资料、业务策略、技术方法等信息。</w:t>
      </w:r>
    </w:p>
    <w:p w14:paraId="1FCEC570">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乙方需无条件承担下列保守工作秘密义务：</w:t>
      </w:r>
    </w:p>
    <w:p w14:paraId="002297C1">
      <w:pPr>
        <w:spacing w:line="360" w:lineRule="auto"/>
        <w:ind w:firstLine="566" w:firstLineChars="236"/>
        <w:rPr>
          <w:rFonts w:hint="eastAsia" w:ascii="仿宋" w:hAnsi="仿宋" w:eastAsia="仿宋" w:cs="仿宋"/>
          <w:sz w:val="24"/>
        </w:rPr>
      </w:pPr>
      <w:r>
        <w:rPr>
          <w:rFonts w:hint="eastAsia" w:ascii="仿宋" w:hAnsi="仿宋" w:eastAsia="仿宋" w:cs="仿宋"/>
          <w:sz w:val="24"/>
        </w:rPr>
        <w:t>1、不刺探非本职工作所需要的工作秘密；</w:t>
      </w:r>
    </w:p>
    <w:p w14:paraId="1A68AF7C">
      <w:pPr>
        <w:spacing w:line="360" w:lineRule="auto"/>
        <w:ind w:firstLine="566" w:firstLineChars="236"/>
        <w:rPr>
          <w:rFonts w:hint="eastAsia" w:ascii="仿宋" w:hAnsi="仿宋" w:eastAsia="仿宋" w:cs="仿宋"/>
          <w:sz w:val="24"/>
        </w:rPr>
      </w:pPr>
      <w:r>
        <w:rPr>
          <w:rFonts w:hint="eastAsia" w:ascii="仿宋" w:hAnsi="仿宋" w:eastAsia="仿宋" w:cs="仿宋"/>
          <w:sz w:val="24"/>
        </w:rPr>
        <w:t>2、不向不承担相应保密义务的任何第三人披露甲方的工作秘密；</w:t>
      </w:r>
    </w:p>
    <w:p w14:paraId="59A67ADA">
      <w:pPr>
        <w:spacing w:line="360" w:lineRule="auto"/>
        <w:ind w:firstLine="566" w:firstLineChars="236"/>
        <w:rPr>
          <w:rFonts w:hint="eastAsia" w:ascii="仿宋" w:hAnsi="仿宋" w:eastAsia="仿宋" w:cs="仿宋"/>
          <w:sz w:val="24"/>
        </w:rPr>
      </w:pPr>
      <w:r>
        <w:rPr>
          <w:rFonts w:hint="eastAsia" w:ascii="仿宋" w:hAnsi="仿宋" w:eastAsia="仿宋" w:cs="仿宋"/>
          <w:sz w:val="24"/>
        </w:rPr>
        <w:t>3、不得允许（出借、赠与、出租、转让等处分甲方工作秘密的行为皆属于“允许”）或协助不承担相应保密义务的任何第三人使用甲方的工作秘密；</w:t>
      </w:r>
    </w:p>
    <w:p w14:paraId="6CACEE10">
      <w:pPr>
        <w:spacing w:line="360" w:lineRule="auto"/>
        <w:ind w:firstLine="566" w:firstLineChars="236"/>
        <w:rPr>
          <w:rFonts w:hint="eastAsia" w:ascii="仿宋" w:hAnsi="仿宋" w:eastAsia="仿宋" w:cs="仿宋"/>
          <w:sz w:val="24"/>
        </w:rPr>
      </w:pPr>
      <w:r>
        <w:rPr>
          <w:rFonts w:hint="eastAsia" w:ascii="仿宋" w:hAnsi="仿宋" w:eastAsia="仿宋" w:cs="仿宋"/>
          <w:sz w:val="24"/>
        </w:rPr>
        <w:t>4、不利用所知悉的甲方的工作秘密从事有损甲方或甲方关联单位利益的经营、交易等行为。</w:t>
      </w:r>
    </w:p>
    <w:p w14:paraId="0A081429">
      <w:pPr>
        <w:spacing w:line="360" w:lineRule="auto"/>
        <w:ind w:firstLine="566" w:firstLineChars="236"/>
        <w:rPr>
          <w:rFonts w:hint="eastAsia" w:ascii="仿宋" w:hAnsi="仿宋" w:eastAsia="仿宋" w:cs="仿宋"/>
          <w:sz w:val="24"/>
        </w:rPr>
      </w:pPr>
      <w:r>
        <w:rPr>
          <w:rFonts w:hint="eastAsia" w:ascii="仿宋" w:hAnsi="仿宋" w:eastAsia="仿宋" w:cs="仿宋"/>
          <w:sz w:val="24"/>
        </w:rPr>
        <w:t>5、如发现工作秘密被乙方或乙方员工泄露或者乙方过失泄露工作秘密，应当采取有效措施防止泄密进一步扩大，并及时向甲方的相关部门报告。</w:t>
      </w:r>
    </w:p>
    <w:p w14:paraId="24EDF043">
      <w:pPr>
        <w:spacing w:line="360" w:lineRule="auto"/>
        <w:ind w:firstLine="566" w:firstLineChars="236"/>
        <w:rPr>
          <w:rFonts w:hint="eastAsia" w:ascii="仿宋" w:hAnsi="仿宋" w:eastAsia="仿宋" w:cs="仿宋"/>
          <w:sz w:val="24"/>
        </w:rPr>
      </w:pPr>
      <w:r>
        <w:rPr>
          <w:rFonts w:hint="eastAsia" w:ascii="仿宋" w:hAnsi="仿宋" w:eastAsia="仿宋" w:cs="仿宋"/>
          <w:sz w:val="24"/>
        </w:rPr>
        <w:t>6、其他本着诚实信用原则应当承担的保守工作秘密义务。</w:t>
      </w:r>
    </w:p>
    <w:p w14:paraId="7BBD167B">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违反保密义务的法律责任：</w:t>
      </w:r>
    </w:p>
    <w:p w14:paraId="6F5B0CF7">
      <w:pPr>
        <w:spacing w:line="360" w:lineRule="auto"/>
        <w:ind w:firstLine="566" w:firstLineChars="236"/>
        <w:rPr>
          <w:rFonts w:hint="eastAsia" w:ascii="仿宋" w:hAnsi="仿宋" w:eastAsia="仿宋" w:cs="仿宋"/>
          <w:sz w:val="24"/>
        </w:rPr>
      </w:pPr>
      <w:r>
        <w:rPr>
          <w:rFonts w:hint="eastAsia" w:ascii="仿宋" w:hAnsi="仿宋" w:eastAsia="仿宋" w:cs="仿宋"/>
          <w:sz w:val="24"/>
        </w:rPr>
        <w:t>1、如乙方未履行本协议规定的保密义务，甲方有权追究乙方违约责任；</w:t>
      </w:r>
    </w:p>
    <w:p w14:paraId="2B3C5826">
      <w:pPr>
        <w:spacing w:line="360" w:lineRule="auto"/>
        <w:ind w:firstLine="566" w:firstLineChars="236"/>
        <w:rPr>
          <w:rFonts w:hint="eastAsia" w:ascii="仿宋" w:hAnsi="仿宋" w:eastAsia="仿宋" w:cs="仿宋"/>
          <w:sz w:val="24"/>
        </w:rPr>
      </w:pPr>
      <w:r>
        <w:rPr>
          <w:rFonts w:hint="eastAsia" w:ascii="仿宋" w:hAnsi="仿宋" w:eastAsia="仿宋" w:cs="仿宋"/>
          <w:sz w:val="24"/>
        </w:rPr>
        <w:t>2、如乙方因前款所称的违约行为造成甲方损失的，应当承担损失赔偿责任；</w:t>
      </w:r>
    </w:p>
    <w:p w14:paraId="09BDF2B5">
      <w:pPr>
        <w:spacing w:line="360" w:lineRule="auto"/>
        <w:ind w:firstLine="566" w:firstLineChars="236"/>
        <w:rPr>
          <w:rFonts w:hint="eastAsia" w:ascii="仿宋" w:hAnsi="仿宋" w:eastAsia="仿宋" w:cs="仿宋"/>
          <w:sz w:val="24"/>
        </w:rPr>
      </w:pPr>
      <w:r>
        <w:rPr>
          <w:rFonts w:hint="eastAsia" w:ascii="仿宋" w:hAnsi="仿宋" w:eastAsia="仿宋" w:cs="仿宋"/>
          <w:sz w:val="24"/>
        </w:rPr>
        <w:t>3、前款所述损失赔偿按照如下方式计算：</w:t>
      </w:r>
    </w:p>
    <w:p w14:paraId="6745FAE3">
      <w:pPr>
        <w:spacing w:line="360" w:lineRule="auto"/>
        <w:ind w:firstLine="566" w:firstLineChars="236"/>
        <w:rPr>
          <w:rFonts w:hint="eastAsia" w:ascii="仿宋" w:hAnsi="仿宋" w:eastAsia="仿宋" w:cs="仿宋"/>
          <w:sz w:val="24"/>
        </w:rPr>
      </w:pPr>
      <w:r>
        <w:rPr>
          <w:rFonts w:hint="eastAsia" w:ascii="仿宋" w:hAnsi="仿宋" w:eastAsia="仿宋" w:cs="仿宋"/>
          <w:sz w:val="24"/>
        </w:rPr>
        <w:t>①损失赔偿额为甲方因乙方的违约行为所受到的实际经济损失以及可举证之期待利益损失。</w:t>
      </w:r>
    </w:p>
    <w:p w14:paraId="54C24C82">
      <w:pPr>
        <w:spacing w:line="360" w:lineRule="auto"/>
        <w:ind w:firstLine="566" w:firstLineChars="236"/>
        <w:rPr>
          <w:rFonts w:hint="eastAsia" w:ascii="仿宋" w:hAnsi="仿宋" w:eastAsia="仿宋" w:cs="仿宋"/>
          <w:sz w:val="24"/>
        </w:rPr>
      </w:pPr>
      <w:r>
        <w:rPr>
          <w:rFonts w:hint="eastAsia" w:ascii="仿宋" w:hAnsi="仿宋" w:eastAsia="仿宋" w:cs="仿宋"/>
          <w:sz w:val="24"/>
        </w:rPr>
        <w:t>②如果甲方的损失依照本条①款所述的计算方法难以计算的，损失赔偿额为不低于乙方因违约行为所获得的全部利润的合理数额，或者不低于甲方工作秘密许可使用费的合理数额。</w:t>
      </w:r>
    </w:p>
    <w:p w14:paraId="677057B7">
      <w:pPr>
        <w:spacing w:line="360" w:lineRule="auto"/>
        <w:ind w:firstLine="566" w:firstLineChars="236"/>
        <w:rPr>
          <w:rFonts w:hint="eastAsia" w:ascii="仿宋" w:hAnsi="仿宋" w:eastAsia="仿宋" w:cs="仿宋"/>
          <w:sz w:val="24"/>
        </w:rPr>
      </w:pPr>
      <w:r>
        <w:rPr>
          <w:rFonts w:hint="eastAsia" w:ascii="仿宋" w:hAnsi="仿宋" w:eastAsia="仿宋" w:cs="仿宋"/>
          <w:sz w:val="24"/>
        </w:rPr>
        <w:t>4、因乙方的违约行为同时侵犯了甲方的工作秘密权利的，甲方可以选择根据本协议要求乙方承担违约责任，或者根据国家有关法律、法规要求乙方承担侵权责任。</w:t>
      </w:r>
    </w:p>
    <w:p w14:paraId="59B9214B">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本协议自甲乙双方签署完毕之日起生效。</w:t>
      </w:r>
    </w:p>
    <w:p w14:paraId="1F044B57">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本协议约定的保守工作秘密的义务并不限于甲乙双方保持合作关系期间，乙方应谨慎保守所知悉的甲方工作秘密，除非：</w:t>
      </w:r>
    </w:p>
    <w:p w14:paraId="5E1DC8AB">
      <w:pPr>
        <w:spacing w:line="360" w:lineRule="auto"/>
        <w:ind w:firstLine="566" w:firstLineChars="236"/>
        <w:rPr>
          <w:rFonts w:hint="eastAsia" w:ascii="仿宋" w:hAnsi="仿宋" w:eastAsia="仿宋" w:cs="仿宋"/>
          <w:sz w:val="24"/>
        </w:rPr>
      </w:pPr>
      <w:r>
        <w:rPr>
          <w:rFonts w:hint="eastAsia" w:ascii="仿宋" w:hAnsi="仿宋" w:eastAsia="仿宋" w:cs="仿宋"/>
          <w:sz w:val="24"/>
        </w:rPr>
        <w:t>1、乙方所知悉的甲方工作秘密已为公众所知悉。</w:t>
      </w:r>
    </w:p>
    <w:p w14:paraId="0522E658">
      <w:pPr>
        <w:spacing w:line="360" w:lineRule="auto"/>
        <w:ind w:firstLine="566" w:firstLineChars="236"/>
        <w:rPr>
          <w:rFonts w:hint="eastAsia" w:ascii="仿宋" w:hAnsi="仿宋" w:eastAsia="仿宋" w:cs="仿宋"/>
          <w:sz w:val="24"/>
        </w:rPr>
      </w:pPr>
      <w:r>
        <w:rPr>
          <w:rFonts w:hint="eastAsia" w:ascii="仿宋" w:hAnsi="仿宋" w:eastAsia="仿宋" w:cs="仿宋"/>
          <w:sz w:val="24"/>
        </w:rPr>
        <w:t>2、甲方明确公示已对该工作秘密进行了解密，该信息已不再具有工作秘密的特性。</w:t>
      </w:r>
    </w:p>
    <w:p w14:paraId="4BF7EBEE">
      <w:pPr>
        <w:spacing w:line="360" w:lineRule="auto"/>
        <w:ind w:firstLine="566" w:firstLineChars="236"/>
        <w:rPr>
          <w:rFonts w:hint="eastAsia" w:ascii="仿宋" w:hAnsi="仿宋" w:eastAsia="仿宋" w:cs="仿宋"/>
          <w:sz w:val="24"/>
        </w:rPr>
      </w:pPr>
      <w:r>
        <w:rPr>
          <w:rFonts w:hint="eastAsia" w:ascii="仿宋" w:hAnsi="仿宋" w:eastAsia="仿宋" w:cs="仿宋"/>
          <w:sz w:val="24"/>
        </w:rPr>
        <w:t>3、甲方的法人资格终止，且没有承受其权利义务的人或组织。</w:t>
      </w:r>
    </w:p>
    <w:p w14:paraId="242BE872">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因履行本协议发生争议的，甲乙双方可自愿平等协商解决。协商不成的，应当向原告住所地人民法院提起民事诉讼。</w:t>
      </w:r>
    </w:p>
    <w:p w14:paraId="6FF444AC">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本协议未尽事宜，按照国家法律或政府主管部门的有关规章、制度执行。</w:t>
      </w:r>
    </w:p>
    <w:p w14:paraId="0C419CBF">
      <w:pPr>
        <w:numPr>
          <w:ilvl w:val="0"/>
          <w:numId w:val="12"/>
        </w:numPr>
        <w:adjustRightInd/>
        <w:spacing w:line="360" w:lineRule="auto"/>
        <w:ind w:left="0" w:firstLine="484" w:firstLineChars="20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本协议一式二份，甲乙双方各执一份。</w:t>
      </w:r>
    </w:p>
    <w:p w14:paraId="16A06F80">
      <w:pPr>
        <w:spacing w:line="360" w:lineRule="auto"/>
        <w:ind w:left="5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（以下无正文）</w:t>
      </w:r>
    </w:p>
    <w:p w14:paraId="5EA0DE45">
      <w:pPr>
        <w:spacing w:line="360" w:lineRule="auto"/>
        <w:rPr>
          <w:rFonts w:hint="eastAsia" w:ascii="仿宋" w:hAnsi="仿宋" w:eastAsia="仿宋" w:cs="仿宋"/>
          <w:sz w:val="24"/>
        </w:rPr>
      </w:pPr>
      <w:r>
        <w:rPr>
          <w:rFonts w:hint="eastAsia" w:ascii="仿宋" w:hAnsi="仿宋" w:eastAsia="仿宋" w:cs="仿宋"/>
          <w:sz w:val="24"/>
        </w:rPr>
        <w:t xml:space="preserve">甲   方：                        乙   方： </w:t>
      </w:r>
    </w:p>
    <w:p w14:paraId="1A82BD8F">
      <w:pPr>
        <w:spacing w:line="360" w:lineRule="auto"/>
        <w:ind w:firstLine="480" w:firstLineChars="200"/>
        <w:rPr>
          <w:rFonts w:hint="eastAsia" w:ascii="仿宋" w:hAnsi="仿宋" w:eastAsia="仿宋" w:cs="仿宋"/>
          <w:sz w:val="24"/>
        </w:rPr>
      </w:pPr>
      <w:r>
        <w:rPr>
          <w:rFonts w:hint="eastAsia" w:ascii="仿宋" w:hAnsi="仿宋" w:eastAsia="仿宋" w:cs="仿宋"/>
          <w:sz w:val="24"/>
        </w:rPr>
        <w:t>（盖章）                         （盖章）</w:t>
      </w:r>
    </w:p>
    <w:p w14:paraId="1831587B">
      <w:pPr>
        <w:spacing w:line="360" w:lineRule="auto"/>
        <w:rPr>
          <w:rFonts w:hint="eastAsia" w:ascii="仿宋" w:hAnsi="仿宋" w:eastAsia="仿宋" w:cs="仿宋"/>
          <w:sz w:val="24"/>
        </w:rPr>
      </w:pPr>
      <w:r>
        <w:rPr>
          <w:rFonts w:hint="eastAsia" w:ascii="仿宋" w:hAnsi="仿宋" w:eastAsia="仿宋" w:cs="仿宋"/>
          <w:sz w:val="24"/>
        </w:rPr>
        <w:t>法定代表人或委托代理人：        法定代表人或委托代理人：</w:t>
      </w:r>
    </w:p>
    <w:p w14:paraId="2EC2645A">
      <w:pPr>
        <w:spacing w:line="360" w:lineRule="auto"/>
        <w:ind w:firstLine="480" w:firstLineChars="200"/>
        <w:rPr>
          <w:rFonts w:hint="eastAsia" w:ascii="仿宋" w:hAnsi="仿宋" w:eastAsia="仿宋" w:cs="仿宋"/>
          <w:sz w:val="24"/>
        </w:rPr>
      </w:pPr>
      <w:r>
        <w:rPr>
          <w:rFonts w:hint="eastAsia" w:ascii="仿宋" w:hAnsi="仿宋" w:eastAsia="仿宋" w:cs="仿宋"/>
          <w:sz w:val="24"/>
        </w:rPr>
        <w:t>（签章）                         （签章）</w:t>
      </w:r>
    </w:p>
    <w:p w14:paraId="1EFF944C">
      <w:pPr>
        <w:rPr>
          <w:rFonts w:hint="eastAsia" w:ascii="仿宋" w:hAnsi="仿宋" w:eastAsia="仿宋" w:cs="仿宋"/>
        </w:rPr>
      </w:pPr>
      <w:r>
        <w:rPr>
          <w:rFonts w:hint="eastAsia" w:ascii="仿宋" w:hAnsi="仿宋" w:eastAsia="仿宋" w:cs="仿宋"/>
          <w:sz w:val="24"/>
        </w:rPr>
        <w:t>签订日期：   年  月  日         签订日期：   年  月  日</w:t>
      </w:r>
    </w:p>
    <w:p w14:paraId="4BBA9754">
      <w:pPr>
        <w:rPr>
          <w:rFonts w:hint="eastAsia" w:ascii="仿宋" w:hAnsi="仿宋" w:eastAsia="仿宋" w:cs="仿宋"/>
        </w:rPr>
      </w:pPr>
    </w:p>
    <w:p w14:paraId="2ED24B6B">
      <w:pPr>
        <w:rPr>
          <w:rFonts w:hint="eastAsia" w:ascii="仿宋" w:hAnsi="仿宋" w:eastAsia="仿宋" w:cs="仿宋"/>
          <w:szCs w:val="24"/>
          <w:lang w:val="en-US"/>
        </w:rPr>
      </w:pPr>
    </w:p>
    <w:p w14:paraId="718A7A4E">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szCs w:val="21"/>
        </w:rPr>
        <w:br w:type="page"/>
      </w:r>
      <w:r>
        <w:rPr>
          <w:rFonts w:hint="eastAsia" w:ascii="仿宋" w:hAnsi="仿宋" w:eastAsia="仿宋" w:cs="仿宋"/>
          <w:b/>
          <w:sz w:val="36"/>
          <w:szCs w:val="20"/>
        </w:rPr>
        <w:t>第七部分</w:t>
      </w:r>
      <w:bookmarkEnd w:id="77"/>
      <w:r>
        <w:rPr>
          <w:rFonts w:hint="eastAsia" w:ascii="仿宋" w:hAnsi="仿宋" w:eastAsia="仿宋" w:cs="仿宋"/>
          <w:b/>
          <w:sz w:val="36"/>
          <w:szCs w:val="20"/>
        </w:rPr>
        <w:t xml:space="preserve">  </w:t>
      </w:r>
      <w:bookmarkEnd w:id="78"/>
      <w:r>
        <w:rPr>
          <w:rFonts w:hint="eastAsia" w:ascii="仿宋" w:hAnsi="仿宋" w:eastAsia="仿宋" w:cs="仿宋"/>
          <w:b/>
          <w:sz w:val="36"/>
          <w:szCs w:val="20"/>
        </w:rPr>
        <w:t>应提交的有关格式范例</w:t>
      </w:r>
    </w:p>
    <w:p w14:paraId="0C468D36">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5CB2A719">
      <w:pPr>
        <w:spacing w:line="360" w:lineRule="auto"/>
        <w:ind w:firstLine="480" w:firstLineChars="200"/>
        <w:rPr>
          <w:rFonts w:hint="eastAsia" w:ascii="仿宋" w:hAnsi="仿宋" w:eastAsia="仿宋" w:cs="仿宋"/>
          <w:sz w:val="24"/>
        </w:rPr>
      </w:pPr>
    </w:p>
    <w:p w14:paraId="76B08A78">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850F0A2">
      <w:pPr>
        <w:pStyle w:val="184"/>
        <w:spacing w:line="360" w:lineRule="auto"/>
        <w:rPr>
          <w:rFonts w:hint="eastAsia" w:ascii="仿宋" w:hAnsi="仿宋" w:eastAsia="仿宋" w:cs="仿宋"/>
        </w:rPr>
      </w:pPr>
      <w:r>
        <w:rPr>
          <w:rFonts w:hint="eastAsia" w:ascii="仿宋" w:hAnsi="仿宋" w:eastAsia="仿宋" w:cs="仿宋"/>
        </w:rPr>
        <w:t>（1）响应函………………………………………………………………………（页码）</w:t>
      </w:r>
    </w:p>
    <w:p w14:paraId="17D00600">
      <w:pPr>
        <w:pStyle w:val="184"/>
        <w:spacing w:line="360" w:lineRule="auto"/>
        <w:rPr>
          <w:rFonts w:hint="eastAsia" w:ascii="仿宋" w:hAnsi="仿宋" w:eastAsia="仿宋" w:cs="仿宋"/>
        </w:rPr>
      </w:pPr>
      <w:r>
        <w:rPr>
          <w:rFonts w:hint="eastAsia" w:ascii="仿宋" w:hAnsi="仿宋" w:eastAsia="仿宋" w:cs="仿宋"/>
        </w:rPr>
        <w:t>（2）资格文件……………………………………………………………………（页码）</w:t>
      </w:r>
    </w:p>
    <w:p w14:paraId="35713400">
      <w:pPr>
        <w:pStyle w:val="184"/>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31ACC070">
      <w:pPr>
        <w:pStyle w:val="184"/>
        <w:spacing w:line="360" w:lineRule="auto"/>
        <w:rPr>
          <w:rFonts w:hint="eastAsia" w:ascii="仿宋" w:hAnsi="仿宋" w:eastAsia="仿宋" w:cs="仿宋"/>
        </w:rPr>
      </w:pPr>
      <w:r>
        <w:rPr>
          <w:rFonts w:hint="eastAsia" w:ascii="仿宋" w:hAnsi="仿宋" w:eastAsia="仿宋" w:cs="仿宋"/>
        </w:rPr>
        <w:t>（4）分包意向协议………………………………………………………………（页码）</w:t>
      </w:r>
    </w:p>
    <w:p w14:paraId="63BB564B">
      <w:pPr>
        <w:pStyle w:val="184"/>
        <w:spacing w:line="360" w:lineRule="auto"/>
        <w:rPr>
          <w:rFonts w:hint="eastAsia" w:ascii="仿宋" w:hAnsi="仿宋" w:eastAsia="仿宋" w:cs="仿宋"/>
        </w:rPr>
      </w:pPr>
      <w:r>
        <w:rPr>
          <w:rFonts w:hint="eastAsia" w:ascii="仿宋" w:hAnsi="仿宋" w:eastAsia="仿宋" w:cs="仿宋"/>
        </w:rPr>
        <w:t>（5）所有资信文件（复印件）…………………………………………………（页码）</w:t>
      </w:r>
    </w:p>
    <w:p w14:paraId="1C3F7F44">
      <w:pPr>
        <w:pStyle w:val="184"/>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3F91DC90">
      <w:pPr>
        <w:pStyle w:val="184"/>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698FE632">
      <w:pPr>
        <w:pStyle w:val="184"/>
        <w:spacing w:line="360" w:lineRule="auto"/>
        <w:rPr>
          <w:rFonts w:hint="eastAsia" w:ascii="仿宋" w:hAnsi="仿宋" w:eastAsia="仿宋" w:cs="仿宋"/>
        </w:rPr>
      </w:pPr>
      <w:r>
        <w:rPr>
          <w:rFonts w:hint="eastAsia" w:ascii="仿宋" w:hAnsi="仿宋" w:eastAsia="仿宋" w:cs="仿宋"/>
        </w:rPr>
        <w:t>（8）认为需要的其他商务文件或说明…………………………………………（页码）</w:t>
      </w:r>
    </w:p>
    <w:p w14:paraId="3AF8728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（9）项目方案计划………………………………</w:t>
      </w:r>
      <w:r>
        <w:rPr>
          <w:rFonts w:hint="eastAsia" w:ascii="仿宋" w:hAnsi="仿宋" w:eastAsia="仿宋" w:cs="仿宋"/>
        </w:rPr>
        <w:t>………………</w:t>
      </w:r>
      <w:r>
        <w:rPr>
          <w:rFonts w:hint="eastAsia" w:ascii="仿宋" w:hAnsi="仿宋" w:eastAsia="仿宋" w:cs="仿宋"/>
          <w:kern w:val="0"/>
          <w:sz w:val="24"/>
        </w:rPr>
        <w:t>…………………（页码）</w:t>
      </w:r>
    </w:p>
    <w:p w14:paraId="62321C8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634E1BE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1D2FC21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6A6C98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5D3D226D">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（14）供应商认为需要的其他技术文件或说明</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5E4FCF4A">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（15）</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 xml:space="preserve"> </w:t>
      </w:r>
      <w:r>
        <w:rPr>
          <w:rFonts w:hint="eastAsia" w:ascii="仿宋" w:hAnsi="仿宋" w:eastAsia="仿宋" w:cs="仿宋"/>
          <w:kern w:val="0"/>
          <w:sz w:val="24"/>
          <w:lang w:val="zh-CN"/>
        </w:rPr>
        <w:t>……………………………</w:t>
      </w:r>
      <w:r>
        <w:rPr>
          <w:rFonts w:hint="eastAsia" w:ascii="仿宋" w:hAnsi="仿宋" w:eastAsia="仿宋" w:cs="仿宋"/>
          <w:kern w:val="0"/>
          <w:sz w:val="24"/>
        </w:rPr>
        <w:t>（页码）</w:t>
      </w:r>
    </w:p>
    <w:p w14:paraId="40CEE8E3">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A2F324">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26B57CA8">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0007DD31">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(职务、职称)为全权代表，参加贵方组织的（项目名称）【项目编号：】的有关活动，并对此项目进行响应。为此：</w:t>
      </w:r>
    </w:p>
    <w:p w14:paraId="1BBDDE24">
      <w:pPr>
        <w:pStyle w:val="71"/>
        <w:numPr>
          <w:ilvl w:val="0"/>
          <w:numId w:val="13"/>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61D86F98">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60EDB8B4">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14:paraId="736B1FCB">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2FA2C612">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0D65C331">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4F648240">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457BB2E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79D8344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321D25A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 </w:t>
      </w:r>
    </w:p>
    <w:p w14:paraId="53D998D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14:paraId="311F92B5">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14:paraId="24221BB8">
      <w:pPr>
        <w:autoSpaceDE w:val="0"/>
        <w:autoSpaceDN w:val="0"/>
        <w:spacing w:line="360" w:lineRule="auto"/>
        <w:ind w:firstLine="3960" w:firstLineChars="1650"/>
        <w:rPr>
          <w:rFonts w:hint="eastAsia" w:ascii="仿宋" w:hAnsi="仿宋" w:eastAsia="仿宋" w:cs="仿宋"/>
          <w:kern w:val="0"/>
          <w:sz w:val="24"/>
          <w:lang w:val="zh-CN"/>
        </w:rPr>
      </w:pPr>
    </w:p>
    <w:p w14:paraId="462A67A8">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D77B34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5E31A87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75A1440">
      <w:pPr>
        <w:autoSpaceDE w:val="0"/>
        <w:autoSpaceDN w:val="0"/>
        <w:spacing w:line="360" w:lineRule="auto"/>
        <w:rPr>
          <w:rFonts w:hint="eastAsia" w:ascii="仿宋" w:hAnsi="仿宋" w:eastAsia="仿宋" w:cs="仿宋"/>
          <w:kern w:val="0"/>
          <w:sz w:val="24"/>
        </w:rPr>
      </w:pPr>
    </w:p>
    <w:p w14:paraId="07CFF65A">
      <w:pPr>
        <w:pStyle w:val="115"/>
        <w:keepNext w:val="0"/>
        <w:pageBreakBefore w:val="0"/>
        <w:tabs>
          <w:tab w:val="clear" w:pos="720"/>
        </w:tabs>
        <w:jc w:val="both"/>
        <w:outlineLvl w:val="9"/>
        <w:rPr>
          <w:rFonts w:hint="eastAsia" w:ascii="仿宋" w:hAnsi="仿宋" w:eastAsia="仿宋" w:cs="仿宋"/>
          <w:sz w:val="24"/>
          <w:szCs w:val="24"/>
        </w:rPr>
      </w:pPr>
    </w:p>
    <w:p w14:paraId="03B4F452">
      <w:pPr>
        <w:spacing w:line="360" w:lineRule="auto"/>
        <w:rPr>
          <w:rFonts w:hint="eastAsia" w:ascii="仿宋" w:hAnsi="仿宋" w:eastAsia="仿宋" w:cs="仿宋"/>
          <w:sz w:val="24"/>
        </w:rPr>
      </w:pPr>
    </w:p>
    <w:p w14:paraId="4AB6D7E6">
      <w:pPr>
        <w:spacing w:line="360" w:lineRule="auto"/>
        <w:rPr>
          <w:rFonts w:hint="eastAsia" w:ascii="仿宋" w:hAnsi="仿宋" w:eastAsia="仿宋" w:cs="仿宋"/>
          <w:sz w:val="18"/>
          <w:szCs w:val="18"/>
        </w:rPr>
      </w:pPr>
    </w:p>
    <w:p w14:paraId="44E40078">
      <w:pPr>
        <w:spacing w:line="360" w:lineRule="auto"/>
        <w:rPr>
          <w:rFonts w:hint="eastAsia" w:ascii="仿宋" w:hAnsi="仿宋" w:eastAsia="仿宋" w:cs="仿宋"/>
          <w:sz w:val="18"/>
          <w:szCs w:val="18"/>
        </w:rPr>
      </w:pPr>
    </w:p>
    <w:p w14:paraId="574699E5">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5759C8E">
      <w:pPr>
        <w:widowControl/>
        <w:tabs>
          <w:tab w:val="left" w:pos="1200"/>
        </w:tabs>
        <w:adjustRightInd/>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14:paraId="2686923E">
      <w:pPr>
        <w:pStyle w:val="71"/>
        <w:widowControl/>
        <w:tabs>
          <w:tab w:val="left" w:pos="1200"/>
          <w:tab w:val="left" w:pos="1560"/>
        </w:tabs>
        <w:adjustRightInd/>
        <w:ind w:left="1560" w:firstLine="0" w:firstLineChars="0"/>
        <w:jc w:val="left"/>
        <w:rPr>
          <w:rFonts w:hint="eastAsia" w:ascii="仿宋" w:hAnsi="仿宋" w:eastAsia="仿宋" w:cs="仿宋"/>
          <w:b/>
          <w:sz w:val="30"/>
          <w:szCs w:val="30"/>
        </w:rPr>
      </w:pPr>
    </w:p>
    <w:p w14:paraId="445F2A8F">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7EFEB532">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1906F0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w:t>
      </w:r>
      <w:r>
        <w:rPr>
          <w:rFonts w:hint="eastAsia" w:ascii="仿宋" w:hAnsi="仿宋" w:eastAsia="仿宋" w:cs="仿宋"/>
          <w:sz w:val="24"/>
        </w:rPr>
        <w:t>政府采购活动，郑重承诺：</w:t>
      </w:r>
    </w:p>
    <w:p w14:paraId="34AC0E08">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007FB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509EB3D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352C11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52B71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1E7C53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093867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BA9A2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49828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1DE9AB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5F8D2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F0497A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0B722B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EFEDF82">
      <w:pPr>
        <w:snapToGrid w:val="0"/>
        <w:spacing w:line="360" w:lineRule="auto"/>
        <w:ind w:right="480"/>
        <w:jc w:val="center"/>
        <w:rPr>
          <w:rFonts w:hint="eastAsia" w:ascii="仿宋" w:hAnsi="仿宋" w:eastAsia="仿宋" w:cs="仿宋"/>
          <w:b/>
          <w:kern w:val="0"/>
          <w:sz w:val="32"/>
          <w:szCs w:val="32"/>
        </w:rPr>
      </w:pPr>
    </w:p>
    <w:p w14:paraId="55E701FA">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509F2F5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14:paraId="10F6F18A">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1303EF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【项目编号：】响应。 </w:t>
      </w:r>
    </w:p>
    <w:p w14:paraId="2003575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3E1B27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授权代表根据磋商文件规定及采购内容而对采购人、采购机构所作的任何合法承诺，包括书面澄清及相应等均对联合体各方产生约束力。</w:t>
      </w:r>
    </w:p>
    <w:p w14:paraId="55593F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605CA3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61B4A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FE180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7D4E3D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、如果成交，</w:t>
      </w:r>
      <w:r>
        <w:rPr>
          <w:rFonts w:hint="eastAsia" w:ascii="仿宋" w:hAnsi="仿宋" w:eastAsia="仿宋" w:cs="仿宋"/>
          <w:sz w:val="24"/>
        </w:rPr>
        <w:t>联合体各成员方共同与采购人签订合同，并就采购合同约定的事项对采购人承担连带责任。</w:t>
      </w:r>
    </w:p>
    <w:p w14:paraId="4BC0DE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、有关本次联合响应的其他事宜：</w:t>
      </w:r>
    </w:p>
    <w:p w14:paraId="6F8944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EA1C63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8805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6E304AE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77425D7">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415FF3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D2D2B5B">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4B44BF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5D0D01">
      <w:pPr>
        <w:snapToGrid w:val="0"/>
        <w:spacing w:line="360" w:lineRule="auto"/>
        <w:ind w:right="480"/>
        <w:jc w:val="center"/>
        <w:rPr>
          <w:rFonts w:hint="eastAsia" w:ascii="仿宋" w:hAnsi="仿宋" w:eastAsia="仿宋" w:cs="仿宋"/>
          <w:b/>
          <w:sz w:val="32"/>
          <w:szCs w:val="32"/>
        </w:rPr>
      </w:pPr>
    </w:p>
    <w:p w14:paraId="3737DB3B">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48C0E17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41E11473">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无。</w:t>
      </w:r>
    </w:p>
    <w:p w14:paraId="1EB1D680">
      <w:pPr>
        <w:spacing w:line="360" w:lineRule="auto"/>
        <w:jc w:val="center"/>
        <w:rPr>
          <w:rFonts w:hint="eastAsia" w:ascii="仿宋" w:hAnsi="仿宋" w:eastAsia="仿宋" w:cs="仿宋"/>
          <w:b/>
          <w:sz w:val="32"/>
          <w:szCs w:val="32"/>
        </w:rPr>
      </w:pPr>
    </w:p>
    <w:p w14:paraId="30119F8A">
      <w:pPr>
        <w:spacing w:line="360" w:lineRule="auto"/>
        <w:jc w:val="center"/>
        <w:rPr>
          <w:rFonts w:hint="eastAsia" w:ascii="仿宋" w:hAnsi="仿宋" w:eastAsia="仿宋" w:cs="仿宋"/>
          <w:b/>
          <w:sz w:val="32"/>
          <w:szCs w:val="32"/>
        </w:rPr>
      </w:pPr>
    </w:p>
    <w:p w14:paraId="061E2D3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4497A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6E3C624F">
      <w:pPr>
        <w:widowControl/>
        <w:spacing w:line="360" w:lineRule="auto"/>
        <w:ind w:firstLine="480" w:firstLineChars="200"/>
        <w:jc w:val="left"/>
        <w:rPr>
          <w:rFonts w:hint="eastAsia" w:ascii="仿宋" w:hAnsi="仿宋" w:eastAsia="仿宋" w:cs="仿宋"/>
          <w:sz w:val="24"/>
        </w:rPr>
      </w:pPr>
    </w:p>
    <w:p w14:paraId="08FC4807">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07076F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22045FD">
      <w:pPr>
        <w:snapToGrid w:val="0"/>
        <w:spacing w:line="360" w:lineRule="auto"/>
        <w:rPr>
          <w:rFonts w:hint="eastAsia" w:ascii="仿宋" w:hAnsi="仿宋" w:eastAsia="仿宋" w:cs="仿宋"/>
          <w:kern w:val="0"/>
          <w:sz w:val="24"/>
          <w:lang w:val="zh-CN"/>
        </w:rPr>
      </w:pPr>
    </w:p>
    <w:p w14:paraId="0853915C">
      <w:pPr>
        <w:snapToGrid w:val="0"/>
        <w:spacing w:line="360" w:lineRule="auto"/>
        <w:ind w:right="480"/>
        <w:jc w:val="center"/>
        <w:rPr>
          <w:rFonts w:hint="eastAsia"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C7DBF3">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w:t>
      </w:r>
      <w:r>
        <w:rPr>
          <w:rFonts w:hint="eastAsia" w:ascii="仿宋" w:hAnsi="仿宋" w:eastAsia="仿宋" w:cs="仿宋"/>
          <w:b/>
          <w:kern w:val="0"/>
          <w:sz w:val="32"/>
          <w:szCs w:val="32"/>
          <w:lang w:val="en-US" w:eastAsia="zh-CN"/>
        </w:rPr>
        <w:t>定代表</w:t>
      </w:r>
      <w:r>
        <w:rPr>
          <w:rFonts w:hint="eastAsia" w:ascii="仿宋" w:hAnsi="仿宋" w:eastAsia="仿宋" w:cs="仿宋"/>
          <w:b/>
          <w:kern w:val="0"/>
          <w:sz w:val="32"/>
          <w:szCs w:val="32"/>
          <w:lang w:val="zh-CN"/>
        </w:rPr>
        <w:t>人授权书</w:t>
      </w:r>
    </w:p>
    <w:p w14:paraId="0B570098">
      <w:pPr>
        <w:snapToGrid w:val="0"/>
        <w:spacing w:line="360" w:lineRule="auto"/>
        <w:jc w:val="left"/>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0A65844">
      <w:pPr>
        <w:snapToGrid w:val="0"/>
        <w:spacing w:line="360" w:lineRule="auto"/>
        <w:ind w:firstLine="576"/>
        <w:jc w:val="left"/>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150A8530">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4A12E4B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3070AE68">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22A4C76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82CD7B7">
      <w:pPr>
        <w:snapToGrid w:val="0"/>
        <w:spacing w:line="360" w:lineRule="auto"/>
        <w:rPr>
          <w:rFonts w:hint="eastAsia" w:ascii="仿宋" w:hAnsi="仿宋" w:eastAsia="仿宋" w:cs="仿宋"/>
          <w:kern w:val="0"/>
          <w:sz w:val="24"/>
          <w:lang w:val="zh-CN"/>
        </w:rPr>
      </w:pPr>
    </w:p>
    <w:p w14:paraId="3E121FB0">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0F73F9D">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7389CC12">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1CBC1FD8">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D289AE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【项目编号：】政府采购响应的一切事项，其法律后果由我方承担。。</w:t>
      </w:r>
    </w:p>
    <w:p w14:paraId="5E17EC9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66F9BC3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537680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822754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1D4AF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00394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BD3932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A857668">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6CAF0B5F">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2423407D">
      <w:pPr>
        <w:pStyle w:val="619"/>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53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18EA20E">
            <w:pPr>
              <w:pStyle w:val="619"/>
              <w:spacing w:line="360" w:lineRule="auto"/>
              <w:rPr>
                <w:rFonts w:hint="eastAsia" w:ascii="仿宋" w:hAnsi="仿宋" w:eastAsia="仿宋" w:cs="仿宋"/>
                <w:bCs/>
                <w:sz w:val="24"/>
              </w:rPr>
            </w:pPr>
            <w:r>
              <w:rPr>
                <w:rFonts w:hint="eastAsia" w:ascii="仿宋" w:hAnsi="仿宋" w:eastAsia="仿宋" w:cs="仿宋"/>
                <w:bCs/>
                <w:sz w:val="24"/>
              </w:rPr>
              <w:t>正面：                                 反面：</w:t>
            </w:r>
          </w:p>
          <w:p w14:paraId="1B9B8AC6">
            <w:pPr>
              <w:pStyle w:val="619"/>
              <w:spacing w:line="360" w:lineRule="auto"/>
              <w:rPr>
                <w:rFonts w:hint="eastAsia" w:ascii="仿宋" w:hAnsi="仿宋" w:eastAsia="仿宋" w:cs="仿宋"/>
                <w:bCs/>
                <w:sz w:val="24"/>
              </w:rPr>
            </w:pPr>
          </w:p>
        </w:tc>
      </w:tr>
    </w:tbl>
    <w:p w14:paraId="4C7487BA">
      <w:pPr>
        <w:snapToGrid w:val="0"/>
        <w:spacing w:line="360" w:lineRule="auto"/>
        <w:ind w:firstLine="576"/>
        <w:jc w:val="right"/>
        <w:rPr>
          <w:rFonts w:hint="eastAsia" w:ascii="仿宋" w:hAnsi="仿宋" w:eastAsia="仿宋" w:cs="仿宋"/>
          <w:kern w:val="0"/>
          <w:sz w:val="24"/>
          <w:lang w:val="zh-CN"/>
        </w:rPr>
      </w:pPr>
    </w:p>
    <w:p w14:paraId="32D09F7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0A458F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690051A1">
      <w:pPr>
        <w:snapToGrid w:val="0"/>
        <w:spacing w:line="360" w:lineRule="auto"/>
        <w:ind w:firstLine="576"/>
        <w:jc w:val="center"/>
        <w:rPr>
          <w:rFonts w:hint="eastAsia" w:ascii="仿宋" w:hAnsi="仿宋" w:eastAsia="仿宋" w:cs="仿宋"/>
          <w:sz w:val="28"/>
          <w:szCs w:val="28"/>
        </w:rPr>
      </w:pPr>
    </w:p>
    <w:p w14:paraId="29AA6F7F">
      <w:pPr>
        <w:widowControl/>
        <w:autoSpaceDE w:val="0"/>
        <w:autoSpaceDN w:val="0"/>
        <w:adjustRightInd/>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授权代表最近一个月的社保缴纳证明</w:t>
      </w:r>
    </w:p>
    <w:p w14:paraId="19EC27D7">
      <w:pPr>
        <w:widowControl/>
        <w:autoSpaceDE w:val="0"/>
        <w:autoSpaceDN w:val="0"/>
        <w:adjustRightInd/>
        <w:spacing w:line="360" w:lineRule="auto"/>
        <w:jc w:val="center"/>
        <w:rPr>
          <w:rFonts w:hint="eastAsia" w:ascii="仿宋" w:hAnsi="仿宋" w:eastAsia="仿宋" w:cs="仿宋"/>
          <w:b/>
          <w:sz w:val="30"/>
          <w:szCs w:val="30"/>
        </w:rPr>
      </w:pPr>
    </w:p>
    <w:p w14:paraId="3209DA21">
      <w:pPr>
        <w:widowControl/>
        <w:autoSpaceDE w:val="0"/>
        <w:autoSpaceDN w:val="0"/>
        <w:adjustRightInd/>
        <w:spacing w:line="360" w:lineRule="auto"/>
        <w:jc w:val="center"/>
        <w:rPr>
          <w:rFonts w:hint="eastAsia" w:ascii="仿宋" w:hAnsi="仿宋" w:eastAsia="仿宋" w:cs="仿宋"/>
          <w:b/>
          <w:sz w:val="30"/>
          <w:szCs w:val="30"/>
        </w:rPr>
      </w:pPr>
    </w:p>
    <w:p w14:paraId="6E0D7AC4">
      <w:pPr>
        <w:widowControl/>
        <w:autoSpaceDE w:val="0"/>
        <w:autoSpaceDN w:val="0"/>
        <w:adjustRightInd/>
        <w:spacing w:line="360" w:lineRule="auto"/>
        <w:jc w:val="cente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14:paraId="17DC463E">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0B8344B2">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713D5F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776ADC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DF568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464F47D">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3B857907">
      <w:pPr>
        <w:ind w:firstLine="305"/>
        <w:rPr>
          <w:rFonts w:hint="eastAsia" w:ascii="仿宋" w:hAnsi="仿宋" w:eastAsia="仿宋" w:cs="仿宋"/>
        </w:rPr>
      </w:pPr>
      <w:r>
        <w:rPr>
          <w:rFonts w:hint="eastAsia" w:ascii="仿宋" w:hAnsi="仿宋" w:eastAsia="仿宋" w:cs="仿宋"/>
          <w:lang w:val="zh-CN"/>
        </w:rPr>
        <w:t xml:space="preserve"> </w:t>
      </w:r>
    </w:p>
    <w:p w14:paraId="07B9377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19C2304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D1668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5925A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BF83C5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05B0F74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83AF83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1CD8976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123EE1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2072101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315CB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、其他</w:t>
      </w:r>
    </w:p>
    <w:p w14:paraId="2F2B056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40C95F4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041967F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976D71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FECD0CF">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E43E7FC">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3F74AACD">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6D9DCC1F">
      <w:pPr>
        <w:spacing w:line="360" w:lineRule="auto"/>
        <w:jc w:val="center"/>
        <w:rPr>
          <w:rFonts w:hint="eastAsia" w:ascii="仿宋" w:hAnsi="仿宋" w:eastAsia="仿宋" w:cs="仿宋"/>
          <w:b/>
          <w:sz w:val="30"/>
          <w:szCs w:val="30"/>
        </w:rPr>
      </w:pPr>
    </w:p>
    <w:p w14:paraId="059FD513">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7FBAF946">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FE3B692">
      <w:pPr>
        <w:spacing w:line="360" w:lineRule="auto"/>
        <w:jc w:val="center"/>
        <w:rPr>
          <w:rFonts w:hint="eastAsia" w:ascii="仿宋" w:hAnsi="仿宋" w:eastAsia="仿宋" w:cs="仿宋"/>
          <w:b/>
          <w:kern w:val="0"/>
          <w:sz w:val="32"/>
          <w:szCs w:val="32"/>
        </w:rPr>
      </w:pPr>
    </w:p>
    <w:p w14:paraId="2E330EC8">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197FA360">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14:paraId="5811D9FC">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14:paraId="50F804C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 号</w:t>
            </w:r>
          </w:p>
        </w:tc>
        <w:tc>
          <w:tcPr>
            <w:tcW w:w="1565" w:type="dxa"/>
            <w:tcBorders>
              <w:top w:val="single" w:color="auto" w:sz="6" w:space="0"/>
              <w:left w:val="single" w:color="auto" w:sz="6" w:space="0"/>
              <w:bottom w:val="single" w:color="auto" w:sz="6" w:space="0"/>
              <w:right w:val="single" w:color="auto" w:sz="6" w:space="0"/>
            </w:tcBorders>
            <w:vAlign w:val="center"/>
          </w:tcPr>
          <w:p w14:paraId="2D0AB6D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14:paraId="46C3A5C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14:paraId="61E2B1D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14:paraId="5623757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业主单位全称/联系人/联系电话</w:t>
            </w:r>
          </w:p>
        </w:tc>
      </w:tr>
      <w:tr w14:paraId="2B2AC67E">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14:paraId="1DB2BC74">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40D6383C">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0BEEEB06">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01C7246C">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16307F76">
            <w:pPr>
              <w:autoSpaceDE w:val="0"/>
              <w:autoSpaceDN w:val="0"/>
              <w:spacing w:line="360" w:lineRule="auto"/>
              <w:rPr>
                <w:rFonts w:hint="eastAsia" w:ascii="仿宋" w:hAnsi="仿宋" w:eastAsia="仿宋" w:cs="仿宋"/>
                <w:sz w:val="24"/>
              </w:rPr>
            </w:pPr>
          </w:p>
        </w:tc>
      </w:tr>
      <w:tr w14:paraId="383A9183">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14:paraId="65084E99">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46F62C78">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0980DAAA">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5865537E">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1A6509BF">
            <w:pPr>
              <w:autoSpaceDE w:val="0"/>
              <w:autoSpaceDN w:val="0"/>
              <w:spacing w:line="360" w:lineRule="auto"/>
              <w:rPr>
                <w:rFonts w:hint="eastAsia" w:ascii="仿宋" w:hAnsi="仿宋" w:eastAsia="仿宋" w:cs="仿宋"/>
                <w:sz w:val="24"/>
              </w:rPr>
            </w:pPr>
          </w:p>
        </w:tc>
      </w:tr>
      <w:tr w14:paraId="56DBC888">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45B52887">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06314C4B">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541B73D7">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663F978B">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31FA5FDE">
            <w:pPr>
              <w:autoSpaceDE w:val="0"/>
              <w:autoSpaceDN w:val="0"/>
              <w:spacing w:line="360" w:lineRule="auto"/>
              <w:rPr>
                <w:rFonts w:hint="eastAsia" w:ascii="仿宋" w:hAnsi="仿宋" w:eastAsia="仿宋" w:cs="仿宋"/>
                <w:sz w:val="24"/>
              </w:rPr>
            </w:pPr>
          </w:p>
        </w:tc>
      </w:tr>
      <w:tr w14:paraId="5FD78336">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7448F899">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3B7E4CED">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23969B95">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1809DDE2">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33F31369">
            <w:pPr>
              <w:autoSpaceDE w:val="0"/>
              <w:autoSpaceDN w:val="0"/>
              <w:spacing w:line="360" w:lineRule="auto"/>
              <w:rPr>
                <w:rFonts w:hint="eastAsia" w:ascii="仿宋" w:hAnsi="仿宋" w:eastAsia="仿宋" w:cs="仿宋"/>
                <w:sz w:val="24"/>
              </w:rPr>
            </w:pPr>
          </w:p>
        </w:tc>
      </w:tr>
      <w:tr w14:paraId="2833C4C5">
        <w:tblPrEx>
          <w:tblCellMar>
            <w:top w:w="0" w:type="dxa"/>
            <w:left w:w="108" w:type="dxa"/>
            <w:bottom w:w="0" w:type="dxa"/>
            <w:right w:w="108" w:type="dxa"/>
          </w:tblCellMar>
        </w:tblPrEx>
        <w:trPr>
          <w:trHeight w:val="927" w:hRule="atLeast"/>
        </w:trPr>
        <w:tc>
          <w:tcPr>
            <w:tcW w:w="1186" w:type="dxa"/>
            <w:tcBorders>
              <w:top w:val="single" w:color="auto" w:sz="6" w:space="0"/>
              <w:left w:val="single" w:color="auto" w:sz="6" w:space="0"/>
              <w:bottom w:val="single" w:color="auto" w:sz="6" w:space="0"/>
              <w:right w:val="single" w:color="auto" w:sz="6" w:space="0"/>
            </w:tcBorders>
          </w:tcPr>
          <w:p w14:paraId="7B719C96">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30703B34">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1DF168BE">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404EF602">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5277F5E9">
            <w:pPr>
              <w:autoSpaceDE w:val="0"/>
              <w:autoSpaceDN w:val="0"/>
              <w:spacing w:line="360" w:lineRule="auto"/>
              <w:rPr>
                <w:rFonts w:hint="eastAsia" w:ascii="仿宋" w:hAnsi="仿宋" w:eastAsia="仿宋" w:cs="仿宋"/>
                <w:sz w:val="24"/>
              </w:rPr>
            </w:pPr>
          </w:p>
        </w:tc>
      </w:tr>
    </w:tbl>
    <w:p w14:paraId="56FB5DF7">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14:paraId="5F03D458">
      <w:pPr>
        <w:autoSpaceDE w:val="0"/>
        <w:autoSpaceDN w:val="0"/>
        <w:spacing w:line="360" w:lineRule="auto"/>
        <w:rPr>
          <w:rFonts w:hint="eastAsia" w:ascii="仿宋" w:hAnsi="仿宋" w:eastAsia="仿宋" w:cs="仿宋"/>
          <w:sz w:val="24"/>
        </w:rPr>
      </w:pPr>
    </w:p>
    <w:p w14:paraId="729EB9A2">
      <w:pPr>
        <w:autoSpaceDE w:val="0"/>
        <w:autoSpaceDN w:val="0"/>
        <w:spacing w:line="360" w:lineRule="auto"/>
        <w:ind w:firstLine="5280" w:firstLineChars="2200"/>
        <w:rPr>
          <w:rFonts w:hint="eastAsia" w:ascii="仿宋" w:hAnsi="仿宋" w:eastAsia="仿宋" w:cs="仿宋"/>
          <w:kern w:val="0"/>
          <w:sz w:val="24"/>
        </w:rPr>
      </w:pPr>
    </w:p>
    <w:p w14:paraId="32E6E53D">
      <w:pPr>
        <w:autoSpaceDE w:val="0"/>
        <w:autoSpaceDN w:val="0"/>
        <w:spacing w:line="360" w:lineRule="auto"/>
        <w:ind w:firstLine="5280" w:firstLineChars="2200"/>
        <w:rPr>
          <w:rFonts w:hint="eastAsia" w:ascii="仿宋" w:hAnsi="仿宋" w:eastAsia="仿宋" w:cs="仿宋"/>
          <w:kern w:val="0"/>
          <w:sz w:val="24"/>
        </w:rPr>
      </w:pPr>
    </w:p>
    <w:p w14:paraId="158FCC93">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06A992A">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D2F7F1B">
      <w:pPr>
        <w:spacing w:line="360" w:lineRule="auto"/>
        <w:jc w:val="center"/>
        <w:rPr>
          <w:rFonts w:hint="eastAsia" w:ascii="仿宋" w:hAnsi="仿宋" w:eastAsia="仿宋" w:cs="仿宋"/>
          <w:b/>
          <w:bCs/>
          <w:sz w:val="32"/>
          <w:szCs w:val="32"/>
        </w:rPr>
      </w:pPr>
    </w:p>
    <w:p w14:paraId="4069F032">
      <w:pPr>
        <w:pStyle w:val="2"/>
        <w:rPr>
          <w:rFonts w:hint="eastAsia" w:ascii="仿宋" w:hAnsi="仿宋" w:eastAsia="仿宋" w:cs="仿宋"/>
          <w:b/>
          <w:bCs/>
          <w:sz w:val="32"/>
          <w:szCs w:val="32"/>
        </w:rPr>
      </w:pPr>
    </w:p>
    <w:p w14:paraId="623BE020">
      <w:pPr>
        <w:rPr>
          <w:rFonts w:hint="eastAsia" w:ascii="仿宋" w:hAnsi="仿宋" w:eastAsia="仿宋" w:cs="仿宋"/>
        </w:rPr>
      </w:pPr>
    </w:p>
    <w:p w14:paraId="7D5A1040">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462A1252">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7D31EA25">
      <w:pPr>
        <w:spacing w:line="360" w:lineRule="auto"/>
        <w:rPr>
          <w:rFonts w:hint="eastAsia" w:ascii="仿宋" w:hAnsi="仿宋" w:eastAsia="仿宋" w:cs="仿宋"/>
          <w:sz w:val="24"/>
        </w:rPr>
      </w:pPr>
    </w:p>
    <w:p w14:paraId="6B3F88E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1484B78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C627315">
      <w:pPr>
        <w:spacing w:line="360" w:lineRule="auto"/>
        <w:jc w:val="center"/>
        <w:rPr>
          <w:rFonts w:hint="eastAsia" w:ascii="仿宋" w:hAnsi="仿宋" w:eastAsia="仿宋" w:cs="仿宋"/>
          <w:b/>
          <w:bCs/>
          <w:sz w:val="32"/>
          <w:szCs w:val="32"/>
        </w:rPr>
      </w:pPr>
    </w:p>
    <w:p w14:paraId="14F2C3CF">
      <w:pPr>
        <w:spacing w:line="360" w:lineRule="auto"/>
        <w:jc w:val="center"/>
        <w:rPr>
          <w:rFonts w:hint="eastAsia" w:ascii="仿宋" w:hAnsi="仿宋" w:eastAsia="仿宋" w:cs="仿宋"/>
          <w:b/>
          <w:bCs/>
          <w:sz w:val="32"/>
          <w:szCs w:val="32"/>
        </w:rPr>
      </w:pPr>
    </w:p>
    <w:p w14:paraId="342D5D9D">
      <w:pPr>
        <w:spacing w:line="360" w:lineRule="auto"/>
        <w:jc w:val="center"/>
        <w:rPr>
          <w:rFonts w:hint="eastAsia" w:ascii="仿宋" w:hAnsi="仿宋" w:eastAsia="仿宋" w:cs="仿宋"/>
          <w:b/>
          <w:bCs/>
          <w:sz w:val="32"/>
          <w:szCs w:val="32"/>
        </w:rPr>
      </w:pPr>
    </w:p>
    <w:p w14:paraId="7FD4AEC7">
      <w:pPr>
        <w:spacing w:line="360" w:lineRule="auto"/>
        <w:jc w:val="center"/>
        <w:rPr>
          <w:rFonts w:hint="eastAsia" w:ascii="仿宋" w:hAnsi="仿宋" w:eastAsia="仿宋" w:cs="仿宋"/>
          <w:b/>
          <w:bCs/>
          <w:sz w:val="32"/>
          <w:szCs w:val="32"/>
        </w:rPr>
      </w:pPr>
    </w:p>
    <w:p w14:paraId="230CF172">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3D2E2EC8">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13EBC285">
      <w:pPr>
        <w:spacing w:line="360" w:lineRule="auto"/>
        <w:jc w:val="center"/>
        <w:rPr>
          <w:rFonts w:hint="eastAsia" w:ascii="仿宋" w:hAnsi="仿宋" w:eastAsia="仿宋" w:cs="仿宋"/>
          <w:sz w:val="24"/>
        </w:rPr>
      </w:pPr>
    </w:p>
    <w:p w14:paraId="35C16EDB">
      <w:pPr>
        <w:spacing w:line="360" w:lineRule="auto"/>
        <w:rPr>
          <w:rFonts w:hint="eastAsia" w:ascii="仿宋" w:hAnsi="仿宋" w:eastAsia="仿宋" w:cs="仿宋"/>
          <w:sz w:val="24"/>
        </w:rPr>
      </w:pPr>
    </w:p>
    <w:p w14:paraId="44D44540">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E8C5530">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3AEFE27">
      <w:pPr>
        <w:spacing w:line="360" w:lineRule="auto"/>
        <w:jc w:val="center"/>
        <w:rPr>
          <w:rFonts w:hint="eastAsia" w:ascii="仿宋" w:hAnsi="仿宋" w:eastAsia="仿宋" w:cs="仿宋"/>
          <w:b/>
          <w:bCs/>
          <w:sz w:val="32"/>
          <w:szCs w:val="32"/>
        </w:rPr>
      </w:pPr>
    </w:p>
    <w:p w14:paraId="140C069C">
      <w:pPr>
        <w:spacing w:line="360" w:lineRule="auto"/>
        <w:rPr>
          <w:rFonts w:hint="eastAsia" w:ascii="仿宋" w:hAnsi="仿宋" w:eastAsia="仿宋" w:cs="仿宋"/>
          <w:b/>
          <w:bCs/>
          <w:kern w:val="0"/>
          <w:sz w:val="24"/>
        </w:rPr>
      </w:pPr>
    </w:p>
    <w:p w14:paraId="1593A696">
      <w:pPr>
        <w:widowControl/>
        <w:adjustRightInd/>
        <w:jc w:val="left"/>
        <w:rPr>
          <w:rFonts w:hint="eastAsia" w:ascii="仿宋" w:hAnsi="仿宋" w:eastAsia="仿宋" w:cs="仿宋"/>
          <w:b/>
          <w:sz w:val="32"/>
          <w:szCs w:val="32"/>
        </w:rPr>
      </w:pPr>
      <w:r>
        <w:rPr>
          <w:rFonts w:hint="eastAsia" w:ascii="仿宋" w:hAnsi="仿宋" w:eastAsia="仿宋" w:cs="仿宋"/>
        </w:rPr>
        <w:br w:type="page"/>
      </w:r>
    </w:p>
    <w:p w14:paraId="488BD078">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九、项目方案计划</w:t>
      </w:r>
    </w:p>
    <w:p w14:paraId="51E0178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09D6B2B6">
      <w:pPr>
        <w:spacing w:line="360" w:lineRule="auto"/>
        <w:jc w:val="center"/>
        <w:rPr>
          <w:rFonts w:hint="eastAsia" w:ascii="仿宋" w:hAnsi="仿宋" w:eastAsia="仿宋" w:cs="仿宋"/>
          <w:sz w:val="24"/>
        </w:rPr>
      </w:pPr>
    </w:p>
    <w:p w14:paraId="3F25A930">
      <w:pPr>
        <w:autoSpaceDE w:val="0"/>
        <w:autoSpaceDN w:val="0"/>
        <w:spacing w:line="360" w:lineRule="auto"/>
        <w:rPr>
          <w:rFonts w:hint="eastAsia" w:ascii="仿宋" w:hAnsi="仿宋" w:eastAsia="仿宋" w:cs="仿宋"/>
          <w:kern w:val="0"/>
          <w:sz w:val="24"/>
        </w:rPr>
      </w:pPr>
    </w:p>
    <w:p w14:paraId="47D12AE0">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887567C">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3F4C73E">
      <w:pPr>
        <w:spacing w:line="360" w:lineRule="auto"/>
        <w:jc w:val="center"/>
        <w:rPr>
          <w:rFonts w:hint="eastAsia" w:ascii="仿宋" w:hAnsi="仿宋" w:eastAsia="仿宋" w:cs="仿宋"/>
          <w:b/>
          <w:bCs/>
          <w:sz w:val="32"/>
          <w:szCs w:val="32"/>
        </w:rPr>
      </w:pPr>
    </w:p>
    <w:p w14:paraId="6B5394A4">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2F73FBAA">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14:paraId="7FB1A1DC">
      <w:pPr>
        <w:spacing w:line="360" w:lineRule="auto"/>
        <w:jc w:val="center"/>
        <w:rPr>
          <w:rFonts w:hint="eastAsia" w:ascii="仿宋" w:hAnsi="仿宋" w:eastAsia="仿宋" w:cs="仿宋"/>
          <w:b/>
          <w:bCs/>
          <w:sz w:val="32"/>
          <w:szCs w:val="32"/>
        </w:rPr>
      </w:pPr>
    </w:p>
    <w:p w14:paraId="30690010">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78146F21">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14:paraId="1ABA9D4F">
      <w:pP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72A30276">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2839DE0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39E8C06C">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CAF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1EE27C3">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A470E4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6EB606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55F0A9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A470E4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EB606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55F0A9D">
                              <w:pPr>
                                <w:snapToGrid w:val="0"/>
                              </w:pPr>
                              <w:r>
                                <w:rPr>
                                  <w:rFonts w:hint="eastAsia"/>
                                </w:rPr>
                                <w:t>日</w:t>
                              </w:r>
                            </w:p>
                          </w:txbxContent>
                        </v:textbox>
                      </v:shape>
                    </v:group>
                  </w:pict>
                </mc:Fallback>
              </mc:AlternateContent>
            </w:r>
          </w:p>
          <w:p w14:paraId="763DD569">
            <w:pPr>
              <w:spacing w:line="360" w:lineRule="auto"/>
              <w:rPr>
                <w:rFonts w:hint="eastAsia" w:ascii="仿宋" w:hAnsi="仿宋" w:eastAsia="仿宋" w:cs="仿宋"/>
                <w:sz w:val="24"/>
              </w:rPr>
            </w:pPr>
          </w:p>
          <w:p w14:paraId="42799561">
            <w:pPr>
              <w:spacing w:line="360" w:lineRule="auto"/>
              <w:rPr>
                <w:rFonts w:hint="eastAsia" w:ascii="仿宋" w:hAnsi="仿宋" w:eastAsia="仿宋" w:cs="仿宋"/>
                <w:sz w:val="24"/>
              </w:rPr>
            </w:pPr>
          </w:p>
          <w:p w14:paraId="5BD638E3">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437C3B76">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31335674">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796BB9A5">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105729C3">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2BB7D89B">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55D2F474">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688743E4">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757FDB37">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728EF278">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2C13507A">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485750E0">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285EFD88">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30DD1D9F">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68FBC9B5">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4EBB3BC2">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37503A24">
            <w:pPr>
              <w:spacing w:line="360" w:lineRule="auto"/>
              <w:rPr>
                <w:rFonts w:hint="eastAsia" w:ascii="仿宋" w:hAnsi="仿宋" w:eastAsia="仿宋" w:cs="仿宋"/>
                <w:sz w:val="24"/>
              </w:rPr>
            </w:pPr>
            <w:r>
              <w:rPr>
                <w:rFonts w:hint="eastAsia" w:ascii="仿宋" w:hAnsi="仿宋" w:eastAsia="仿宋" w:cs="仿宋"/>
                <w:sz w:val="24"/>
              </w:rPr>
              <w:t>…</w:t>
            </w:r>
          </w:p>
        </w:tc>
      </w:tr>
      <w:tr w14:paraId="46D2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6F55B5">
            <w:pPr>
              <w:spacing w:line="360" w:lineRule="auto"/>
              <w:rPr>
                <w:rFonts w:hint="eastAsia" w:ascii="仿宋" w:hAnsi="仿宋" w:eastAsia="仿宋" w:cs="仿宋"/>
                <w:sz w:val="24"/>
              </w:rPr>
            </w:pPr>
          </w:p>
        </w:tc>
        <w:tc>
          <w:tcPr>
            <w:tcW w:w="552" w:type="dxa"/>
          </w:tcPr>
          <w:p w14:paraId="21D5CEAD">
            <w:pPr>
              <w:spacing w:line="360" w:lineRule="auto"/>
              <w:rPr>
                <w:rFonts w:hint="eastAsia" w:ascii="仿宋" w:hAnsi="仿宋" w:eastAsia="仿宋" w:cs="仿宋"/>
                <w:sz w:val="24"/>
              </w:rPr>
            </w:pPr>
          </w:p>
        </w:tc>
        <w:tc>
          <w:tcPr>
            <w:tcW w:w="552" w:type="dxa"/>
          </w:tcPr>
          <w:p w14:paraId="3373FB7E">
            <w:pPr>
              <w:spacing w:line="360" w:lineRule="auto"/>
              <w:rPr>
                <w:rFonts w:hint="eastAsia" w:ascii="仿宋" w:hAnsi="仿宋" w:eastAsia="仿宋" w:cs="仿宋"/>
                <w:sz w:val="24"/>
              </w:rPr>
            </w:pPr>
          </w:p>
        </w:tc>
        <w:tc>
          <w:tcPr>
            <w:tcW w:w="552" w:type="dxa"/>
          </w:tcPr>
          <w:p w14:paraId="7AB980A2">
            <w:pPr>
              <w:spacing w:line="360" w:lineRule="auto"/>
              <w:rPr>
                <w:rFonts w:hint="eastAsia" w:ascii="仿宋" w:hAnsi="仿宋" w:eastAsia="仿宋" w:cs="仿宋"/>
                <w:sz w:val="24"/>
              </w:rPr>
            </w:pPr>
          </w:p>
        </w:tc>
        <w:tc>
          <w:tcPr>
            <w:tcW w:w="552" w:type="dxa"/>
          </w:tcPr>
          <w:p w14:paraId="211AD343">
            <w:pPr>
              <w:spacing w:line="360" w:lineRule="auto"/>
              <w:rPr>
                <w:rFonts w:hint="eastAsia" w:ascii="仿宋" w:hAnsi="仿宋" w:eastAsia="仿宋" w:cs="仿宋"/>
                <w:sz w:val="24"/>
              </w:rPr>
            </w:pPr>
          </w:p>
        </w:tc>
        <w:tc>
          <w:tcPr>
            <w:tcW w:w="552" w:type="dxa"/>
          </w:tcPr>
          <w:p w14:paraId="0E62D0BB">
            <w:pPr>
              <w:spacing w:line="360" w:lineRule="auto"/>
              <w:rPr>
                <w:rFonts w:hint="eastAsia" w:ascii="仿宋" w:hAnsi="仿宋" w:eastAsia="仿宋" w:cs="仿宋"/>
                <w:sz w:val="24"/>
              </w:rPr>
            </w:pPr>
          </w:p>
        </w:tc>
        <w:tc>
          <w:tcPr>
            <w:tcW w:w="552" w:type="dxa"/>
          </w:tcPr>
          <w:p w14:paraId="4A9B6EAE">
            <w:pPr>
              <w:spacing w:line="360" w:lineRule="auto"/>
              <w:rPr>
                <w:rFonts w:hint="eastAsia" w:ascii="仿宋" w:hAnsi="仿宋" w:eastAsia="仿宋" w:cs="仿宋"/>
                <w:sz w:val="24"/>
              </w:rPr>
            </w:pPr>
          </w:p>
        </w:tc>
        <w:tc>
          <w:tcPr>
            <w:tcW w:w="553" w:type="dxa"/>
          </w:tcPr>
          <w:p w14:paraId="771F3526">
            <w:pPr>
              <w:spacing w:line="360" w:lineRule="auto"/>
              <w:rPr>
                <w:rFonts w:hint="eastAsia" w:ascii="仿宋" w:hAnsi="仿宋" w:eastAsia="仿宋" w:cs="仿宋"/>
                <w:sz w:val="24"/>
              </w:rPr>
            </w:pPr>
          </w:p>
        </w:tc>
        <w:tc>
          <w:tcPr>
            <w:tcW w:w="553" w:type="dxa"/>
          </w:tcPr>
          <w:p w14:paraId="19D35E4B">
            <w:pPr>
              <w:spacing w:line="360" w:lineRule="auto"/>
              <w:rPr>
                <w:rFonts w:hint="eastAsia" w:ascii="仿宋" w:hAnsi="仿宋" w:eastAsia="仿宋" w:cs="仿宋"/>
                <w:sz w:val="24"/>
              </w:rPr>
            </w:pPr>
          </w:p>
        </w:tc>
        <w:tc>
          <w:tcPr>
            <w:tcW w:w="553" w:type="dxa"/>
          </w:tcPr>
          <w:p w14:paraId="55AF8B26">
            <w:pPr>
              <w:spacing w:line="360" w:lineRule="auto"/>
              <w:rPr>
                <w:rFonts w:hint="eastAsia" w:ascii="仿宋" w:hAnsi="仿宋" w:eastAsia="仿宋" w:cs="仿宋"/>
                <w:sz w:val="24"/>
              </w:rPr>
            </w:pPr>
          </w:p>
        </w:tc>
        <w:tc>
          <w:tcPr>
            <w:tcW w:w="553" w:type="dxa"/>
          </w:tcPr>
          <w:p w14:paraId="13B377AF">
            <w:pPr>
              <w:spacing w:line="360" w:lineRule="auto"/>
              <w:rPr>
                <w:rFonts w:hint="eastAsia" w:ascii="仿宋" w:hAnsi="仿宋" w:eastAsia="仿宋" w:cs="仿宋"/>
                <w:sz w:val="24"/>
              </w:rPr>
            </w:pPr>
          </w:p>
        </w:tc>
        <w:tc>
          <w:tcPr>
            <w:tcW w:w="553" w:type="dxa"/>
          </w:tcPr>
          <w:p w14:paraId="6FA1B754">
            <w:pPr>
              <w:spacing w:line="360" w:lineRule="auto"/>
              <w:rPr>
                <w:rFonts w:hint="eastAsia" w:ascii="仿宋" w:hAnsi="仿宋" w:eastAsia="仿宋" w:cs="仿宋"/>
                <w:sz w:val="24"/>
              </w:rPr>
            </w:pPr>
          </w:p>
        </w:tc>
        <w:tc>
          <w:tcPr>
            <w:tcW w:w="553" w:type="dxa"/>
          </w:tcPr>
          <w:p w14:paraId="575FA94B">
            <w:pPr>
              <w:spacing w:line="360" w:lineRule="auto"/>
              <w:rPr>
                <w:rFonts w:hint="eastAsia" w:ascii="仿宋" w:hAnsi="仿宋" w:eastAsia="仿宋" w:cs="仿宋"/>
                <w:sz w:val="24"/>
              </w:rPr>
            </w:pPr>
          </w:p>
        </w:tc>
        <w:tc>
          <w:tcPr>
            <w:tcW w:w="553" w:type="dxa"/>
          </w:tcPr>
          <w:p w14:paraId="4A87F770">
            <w:pPr>
              <w:spacing w:line="360" w:lineRule="auto"/>
              <w:rPr>
                <w:rFonts w:hint="eastAsia" w:ascii="仿宋" w:hAnsi="仿宋" w:eastAsia="仿宋" w:cs="仿宋"/>
                <w:sz w:val="24"/>
              </w:rPr>
            </w:pPr>
          </w:p>
        </w:tc>
        <w:tc>
          <w:tcPr>
            <w:tcW w:w="553" w:type="dxa"/>
          </w:tcPr>
          <w:p w14:paraId="6333C397">
            <w:pPr>
              <w:spacing w:line="360" w:lineRule="auto"/>
              <w:rPr>
                <w:rFonts w:hint="eastAsia" w:ascii="仿宋" w:hAnsi="仿宋" w:eastAsia="仿宋" w:cs="仿宋"/>
                <w:sz w:val="24"/>
              </w:rPr>
            </w:pPr>
          </w:p>
        </w:tc>
        <w:tc>
          <w:tcPr>
            <w:tcW w:w="553" w:type="dxa"/>
          </w:tcPr>
          <w:p w14:paraId="2BCF4402">
            <w:pPr>
              <w:spacing w:line="360" w:lineRule="auto"/>
              <w:rPr>
                <w:rFonts w:hint="eastAsia" w:ascii="仿宋" w:hAnsi="仿宋" w:eastAsia="仿宋" w:cs="仿宋"/>
                <w:sz w:val="24"/>
              </w:rPr>
            </w:pPr>
          </w:p>
        </w:tc>
        <w:tc>
          <w:tcPr>
            <w:tcW w:w="553" w:type="dxa"/>
          </w:tcPr>
          <w:p w14:paraId="36618FD8">
            <w:pPr>
              <w:spacing w:line="360" w:lineRule="auto"/>
              <w:rPr>
                <w:rFonts w:hint="eastAsia" w:ascii="仿宋" w:hAnsi="仿宋" w:eastAsia="仿宋" w:cs="仿宋"/>
                <w:sz w:val="24"/>
              </w:rPr>
            </w:pPr>
          </w:p>
        </w:tc>
      </w:tr>
      <w:tr w14:paraId="486E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F38AA1">
            <w:pPr>
              <w:spacing w:line="360" w:lineRule="auto"/>
              <w:rPr>
                <w:rFonts w:hint="eastAsia" w:ascii="仿宋" w:hAnsi="仿宋" w:eastAsia="仿宋" w:cs="仿宋"/>
                <w:sz w:val="24"/>
              </w:rPr>
            </w:pPr>
          </w:p>
        </w:tc>
        <w:tc>
          <w:tcPr>
            <w:tcW w:w="552" w:type="dxa"/>
          </w:tcPr>
          <w:p w14:paraId="3CE89BFA">
            <w:pPr>
              <w:spacing w:line="360" w:lineRule="auto"/>
              <w:rPr>
                <w:rFonts w:hint="eastAsia" w:ascii="仿宋" w:hAnsi="仿宋" w:eastAsia="仿宋" w:cs="仿宋"/>
                <w:sz w:val="24"/>
              </w:rPr>
            </w:pPr>
          </w:p>
        </w:tc>
        <w:tc>
          <w:tcPr>
            <w:tcW w:w="552" w:type="dxa"/>
          </w:tcPr>
          <w:p w14:paraId="2E42319B">
            <w:pPr>
              <w:spacing w:line="360" w:lineRule="auto"/>
              <w:rPr>
                <w:rFonts w:hint="eastAsia" w:ascii="仿宋" w:hAnsi="仿宋" w:eastAsia="仿宋" w:cs="仿宋"/>
                <w:sz w:val="24"/>
              </w:rPr>
            </w:pPr>
          </w:p>
        </w:tc>
        <w:tc>
          <w:tcPr>
            <w:tcW w:w="552" w:type="dxa"/>
          </w:tcPr>
          <w:p w14:paraId="4D35FB02">
            <w:pPr>
              <w:spacing w:line="360" w:lineRule="auto"/>
              <w:rPr>
                <w:rFonts w:hint="eastAsia" w:ascii="仿宋" w:hAnsi="仿宋" w:eastAsia="仿宋" w:cs="仿宋"/>
                <w:sz w:val="24"/>
              </w:rPr>
            </w:pPr>
          </w:p>
        </w:tc>
        <w:tc>
          <w:tcPr>
            <w:tcW w:w="552" w:type="dxa"/>
          </w:tcPr>
          <w:p w14:paraId="69C931E5">
            <w:pPr>
              <w:spacing w:line="360" w:lineRule="auto"/>
              <w:rPr>
                <w:rFonts w:hint="eastAsia" w:ascii="仿宋" w:hAnsi="仿宋" w:eastAsia="仿宋" w:cs="仿宋"/>
                <w:sz w:val="24"/>
              </w:rPr>
            </w:pPr>
          </w:p>
        </w:tc>
        <w:tc>
          <w:tcPr>
            <w:tcW w:w="552" w:type="dxa"/>
          </w:tcPr>
          <w:p w14:paraId="542340CE">
            <w:pPr>
              <w:spacing w:line="360" w:lineRule="auto"/>
              <w:rPr>
                <w:rFonts w:hint="eastAsia" w:ascii="仿宋" w:hAnsi="仿宋" w:eastAsia="仿宋" w:cs="仿宋"/>
                <w:sz w:val="24"/>
              </w:rPr>
            </w:pPr>
          </w:p>
        </w:tc>
        <w:tc>
          <w:tcPr>
            <w:tcW w:w="552" w:type="dxa"/>
          </w:tcPr>
          <w:p w14:paraId="49594F1E">
            <w:pPr>
              <w:spacing w:line="360" w:lineRule="auto"/>
              <w:rPr>
                <w:rFonts w:hint="eastAsia" w:ascii="仿宋" w:hAnsi="仿宋" w:eastAsia="仿宋" w:cs="仿宋"/>
                <w:sz w:val="24"/>
              </w:rPr>
            </w:pPr>
          </w:p>
        </w:tc>
        <w:tc>
          <w:tcPr>
            <w:tcW w:w="553" w:type="dxa"/>
          </w:tcPr>
          <w:p w14:paraId="3CA3AB13">
            <w:pPr>
              <w:spacing w:line="360" w:lineRule="auto"/>
              <w:rPr>
                <w:rFonts w:hint="eastAsia" w:ascii="仿宋" w:hAnsi="仿宋" w:eastAsia="仿宋" w:cs="仿宋"/>
                <w:sz w:val="24"/>
              </w:rPr>
            </w:pPr>
          </w:p>
        </w:tc>
        <w:tc>
          <w:tcPr>
            <w:tcW w:w="553" w:type="dxa"/>
          </w:tcPr>
          <w:p w14:paraId="29C2850A">
            <w:pPr>
              <w:spacing w:line="360" w:lineRule="auto"/>
              <w:rPr>
                <w:rFonts w:hint="eastAsia" w:ascii="仿宋" w:hAnsi="仿宋" w:eastAsia="仿宋" w:cs="仿宋"/>
                <w:sz w:val="24"/>
              </w:rPr>
            </w:pPr>
          </w:p>
        </w:tc>
        <w:tc>
          <w:tcPr>
            <w:tcW w:w="553" w:type="dxa"/>
          </w:tcPr>
          <w:p w14:paraId="39969C39">
            <w:pPr>
              <w:spacing w:line="360" w:lineRule="auto"/>
              <w:rPr>
                <w:rFonts w:hint="eastAsia" w:ascii="仿宋" w:hAnsi="仿宋" w:eastAsia="仿宋" w:cs="仿宋"/>
                <w:sz w:val="24"/>
              </w:rPr>
            </w:pPr>
          </w:p>
        </w:tc>
        <w:tc>
          <w:tcPr>
            <w:tcW w:w="553" w:type="dxa"/>
          </w:tcPr>
          <w:p w14:paraId="5EA0003C">
            <w:pPr>
              <w:spacing w:line="360" w:lineRule="auto"/>
              <w:rPr>
                <w:rFonts w:hint="eastAsia" w:ascii="仿宋" w:hAnsi="仿宋" w:eastAsia="仿宋" w:cs="仿宋"/>
                <w:sz w:val="24"/>
              </w:rPr>
            </w:pPr>
          </w:p>
        </w:tc>
        <w:tc>
          <w:tcPr>
            <w:tcW w:w="553" w:type="dxa"/>
          </w:tcPr>
          <w:p w14:paraId="3F0BBCF4">
            <w:pPr>
              <w:spacing w:line="360" w:lineRule="auto"/>
              <w:rPr>
                <w:rFonts w:hint="eastAsia" w:ascii="仿宋" w:hAnsi="仿宋" w:eastAsia="仿宋" w:cs="仿宋"/>
                <w:sz w:val="24"/>
              </w:rPr>
            </w:pPr>
          </w:p>
        </w:tc>
        <w:tc>
          <w:tcPr>
            <w:tcW w:w="553" w:type="dxa"/>
          </w:tcPr>
          <w:p w14:paraId="4F053120">
            <w:pPr>
              <w:spacing w:line="360" w:lineRule="auto"/>
              <w:rPr>
                <w:rFonts w:hint="eastAsia" w:ascii="仿宋" w:hAnsi="仿宋" w:eastAsia="仿宋" w:cs="仿宋"/>
                <w:sz w:val="24"/>
              </w:rPr>
            </w:pPr>
          </w:p>
        </w:tc>
        <w:tc>
          <w:tcPr>
            <w:tcW w:w="553" w:type="dxa"/>
          </w:tcPr>
          <w:p w14:paraId="02307AFF">
            <w:pPr>
              <w:spacing w:line="360" w:lineRule="auto"/>
              <w:rPr>
                <w:rFonts w:hint="eastAsia" w:ascii="仿宋" w:hAnsi="仿宋" w:eastAsia="仿宋" w:cs="仿宋"/>
                <w:sz w:val="24"/>
              </w:rPr>
            </w:pPr>
          </w:p>
        </w:tc>
        <w:tc>
          <w:tcPr>
            <w:tcW w:w="553" w:type="dxa"/>
          </w:tcPr>
          <w:p w14:paraId="19AB3A0A">
            <w:pPr>
              <w:spacing w:line="360" w:lineRule="auto"/>
              <w:rPr>
                <w:rFonts w:hint="eastAsia" w:ascii="仿宋" w:hAnsi="仿宋" w:eastAsia="仿宋" w:cs="仿宋"/>
                <w:sz w:val="24"/>
              </w:rPr>
            </w:pPr>
          </w:p>
        </w:tc>
        <w:tc>
          <w:tcPr>
            <w:tcW w:w="553" w:type="dxa"/>
          </w:tcPr>
          <w:p w14:paraId="26CEF7F5">
            <w:pPr>
              <w:spacing w:line="360" w:lineRule="auto"/>
              <w:rPr>
                <w:rFonts w:hint="eastAsia" w:ascii="仿宋" w:hAnsi="仿宋" w:eastAsia="仿宋" w:cs="仿宋"/>
                <w:sz w:val="24"/>
              </w:rPr>
            </w:pPr>
          </w:p>
        </w:tc>
        <w:tc>
          <w:tcPr>
            <w:tcW w:w="553" w:type="dxa"/>
          </w:tcPr>
          <w:p w14:paraId="2ABDB8EA">
            <w:pPr>
              <w:spacing w:line="360" w:lineRule="auto"/>
              <w:rPr>
                <w:rFonts w:hint="eastAsia" w:ascii="仿宋" w:hAnsi="仿宋" w:eastAsia="仿宋" w:cs="仿宋"/>
                <w:sz w:val="24"/>
              </w:rPr>
            </w:pPr>
          </w:p>
        </w:tc>
      </w:tr>
      <w:tr w14:paraId="3BBA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3E788B">
            <w:pPr>
              <w:spacing w:line="360" w:lineRule="auto"/>
              <w:rPr>
                <w:rFonts w:hint="eastAsia" w:ascii="仿宋" w:hAnsi="仿宋" w:eastAsia="仿宋" w:cs="仿宋"/>
                <w:sz w:val="24"/>
              </w:rPr>
            </w:pPr>
          </w:p>
        </w:tc>
        <w:tc>
          <w:tcPr>
            <w:tcW w:w="552" w:type="dxa"/>
          </w:tcPr>
          <w:p w14:paraId="13D0A1CB">
            <w:pPr>
              <w:spacing w:line="360" w:lineRule="auto"/>
              <w:rPr>
                <w:rFonts w:hint="eastAsia" w:ascii="仿宋" w:hAnsi="仿宋" w:eastAsia="仿宋" w:cs="仿宋"/>
                <w:sz w:val="24"/>
              </w:rPr>
            </w:pPr>
          </w:p>
        </w:tc>
        <w:tc>
          <w:tcPr>
            <w:tcW w:w="552" w:type="dxa"/>
          </w:tcPr>
          <w:p w14:paraId="44072EDB">
            <w:pPr>
              <w:spacing w:line="360" w:lineRule="auto"/>
              <w:rPr>
                <w:rFonts w:hint="eastAsia" w:ascii="仿宋" w:hAnsi="仿宋" w:eastAsia="仿宋" w:cs="仿宋"/>
                <w:sz w:val="24"/>
              </w:rPr>
            </w:pPr>
          </w:p>
        </w:tc>
        <w:tc>
          <w:tcPr>
            <w:tcW w:w="552" w:type="dxa"/>
          </w:tcPr>
          <w:p w14:paraId="46320587">
            <w:pPr>
              <w:spacing w:line="360" w:lineRule="auto"/>
              <w:rPr>
                <w:rFonts w:hint="eastAsia" w:ascii="仿宋" w:hAnsi="仿宋" w:eastAsia="仿宋" w:cs="仿宋"/>
                <w:sz w:val="24"/>
              </w:rPr>
            </w:pPr>
          </w:p>
        </w:tc>
        <w:tc>
          <w:tcPr>
            <w:tcW w:w="552" w:type="dxa"/>
          </w:tcPr>
          <w:p w14:paraId="6E92874B">
            <w:pPr>
              <w:spacing w:line="360" w:lineRule="auto"/>
              <w:rPr>
                <w:rFonts w:hint="eastAsia" w:ascii="仿宋" w:hAnsi="仿宋" w:eastAsia="仿宋" w:cs="仿宋"/>
                <w:sz w:val="24"/>
              </w:rPr>
            </w:pPr>
          </w:p>
        </w:tc>
        <w:tc>
          <w:tcPr>
            <w:tcW w:w="552" w:type="dxa"/>
          </w:tcPr>
          <w:p w14:paraId="4B478766">
            <w:pPr>
              <w:spacing w:line="360" w:lineRule="auto"/>
              <w:rPr>
                <w:rFonts w:hint="eastAsia" w:ascii="仿宋" w:hAnsi="仿宋" w:eastAsia="仿宋" w:cs="仿宋"/>
                <w:sz w:val="24"/>
              </w:rPr>
            </w:pPr>
          </w:p>
        </w:tc>
        <w:tc>
          <w:tcPr>
            <w:tcW w:w="552" w:type="dxa"/>
          </w:tcPr>
          <w:p w14:paraId="6F5F04DC">
            <w:pPr>
              <w:spacing w:line="360" w:lineRule="auto"/>
              <w:rPr>
                <w:rFonts w:hint="eastAsia" w:ascii="仿宋" w:hAnsi="仿宋" w:eastAsia="仿宋" w:cs="仿宋"/>
                <w:sz w:val="24"/>
              </w:rPr>
            </w:pPr>
          </w:p>
        </w:tc>
        <w:tc>
          <w:tcPr>
            <w:tcW w:w="553" w:type="dxa"/>
          </w:tcPr>
          <w:p w14:paraId="1F3D6F71">
            <w:pPr>
              <w:spacing w:line="360" w:lineRule="auto"/>
              <w:rPr>
                <w:rFonts w:hint="eastAsia" w:ascii="仿宋" w:hAnsi="仿宋" w:eastAsia="仿宋" w:cs="仿宋"/>
                <w:sz w:val="24"/>
              </w:rPr>
            </w:pPr>
          </w:p>
        </w:tc>
        <w:tc>
          <w:tcPr>
            <w:tcW w:w="553" w:type="dxa"/>
          </w:tcPr>
          <w:p w14:paraId="1B1C7430">
            <w:pPr>
              <w:spacing w:line="360" w:lineRule="auto"/>
              <w:rPr>
                <w:rFonts w:hint="eastAsia" w:ascii="仿宋" w:hAnsi="仿宋" w:eastAsia="仿宋" w:cs="仿宋"/>
                <w:sz w:val="24"/>
              </w:rPr>
            </w:pPr>
          </w:p>
        </w:tc>
        <w:tc>
          <w:tcPr>
            <w:tcW w:w="553" w:type="dxa"/>
          </w:tcPr>
          <w:p w14:paraId="72D9D034">
            <w:pPr>
              <w:spacing w:line="360" w:lineRule="auto"/>
              <w:rPr>
                <w:rFonts w:hint="eastAsia" w:ascii="仿宋" w:hAnsi="仿宋" w:eastAsia="仿宋" w:cs="仿宋"/>
                <w:sz w:val="24"/>
              </w:rPr>
            </w:pPr>
          </w:p>
        </w:tc>
        <w:tc>
          <w:tcPr>
            <w:tcW w:w="553" w:type="dxa"/>
          </w:tcPr>
          <w:p w14:paraId="2FD4CFB8">
            <w:pPr>
              <w:spacing w:line="360" w:lineRule="auto"/>
              <w:rPr>
                <w:rFonts w:hint="eastAsia" w:ascii="仿宋" w:hAnsi="仿宋" w:eastAsia="仿宋" w:cs="仿宋"/>
                <w:sz w:val="24"/>
              </w:rPr>
            </w:pPr>
          </w:p>
        </w:tc>
        <w:tc>
          <w:tcPr>
            <w:tcW w:w="553" w:type="dxa"/>
          </w:tcPr>
          <w:p w14:paraId="16763B95">
            <w:pPr>
              <w:spacing w:line="360" w:lineRule="auto"/>
              <w:rPr>
                <w:rFonts w:hint="eastAsia" w:ascii="仿宋" w:hAnsi="仿宋" w:eastAsia="仿宋" w:cs="仿宋"/>
                <w:sz w:val="24"/>
              </w:rPr>
            </w:pPr>
          </w:p>
        </w:tc>
        <w:tc>
          <w:tcPr>
            <w:tcW w:w="553" w:type="dxa"/>
          </w:tcPr>
          <w:p w14:paraId="5F94300A">
            <w:pPr>
              <w:spacing w:line="360" w:lineRule="auto"/>
              <w:rPr>
                <w:rFonts w:hint="eastAsia" w:ascii="仿宋" w:hAnsi="仿宋" w:eastAsia="仿宋" w:cs="仿宋"/>
                <w:sz w:val="24"/>
              </w:rPr>
            </w:pPr>
          </w:p>
        </w:tc>
        <w:tc>
          <w:tcPr>
            <w:tcW w:w="553" w:type="dxa"/>
          </w:tcPr>
          <w:p w14:paraId="79F5D715">
            <w:pPr>
              <w:spacing w:line="360" w:lineRule="auto"/>
              <w:rPr>
                <w:rFonts w:hint="eastAsia" w:ascii="仿宋" w:hAnsi="仿宋" w:eastAsia="仿宋" w:cs="仿宋"/>
                <w:sz w:val="24"/>
              </w:rPr>
            </w:pPr>
          </w:p>
        </w:tc>
        <w:tc>
          <w:tcPr>
            <w:tcW w:w="553" w:type="dxa"/>
          </w:tcPr>
          <w:p w14:paraId="2D08D2AB">
            <w:pPr>
              <w:spacing w:line="360" w:lineRule="auto"/>
              <w:rPr>
                <w:rFonts w:hint="eastAsia" w:ascii="仿宋" w:hAnsi="仿宋" w:eastAsia="仿宋" w:cs="仿宋"/>
                <w:sz w:val="24"/>
              </w:rPr>
            </w:pPr>
          </w:p>
        </w:tc>
        <w:tc>
          <w:tcPr>
            <w:tcW w:w="553" w:type="dxa"/>
          </w:tcPr>
          <w:p w14:paraId="7B59F6C4">
            <w:pPr>
              <w:spacing w:line="360" w:lineRule="auto"/>
              <w:rPr>
                <w:rFonts w:hint="eastAsia" w:ascii="仿宋" w:hAnsi="仿宋" w:eastAsia="仿宋" w:cs="仿宋"/>
                <w:sz w:val="24"/>
              </w:rPr>
            </w:pPr>
          </w:p>
        </w:tc>
        <w:tc>
          <w:tcPr>
            <w:tcW w:w="553" w:type="dxa"/>
          </w:tcPr>
          <w:p w14:paraId="27C1DD5E">
            <w:pPr>
              <w:spacing w:line="360" w:lineRule="auto"/>
              <w:rPr>
                <w:rFonts w:hint="eastAsia" w:ascii="仿宋" w:hAnsi="仿宋" w:eastAsia="仿宋" w:cs="仿宋"/>
                <w:sz w:val="24"/>
              </w:rPr>
            </w:pPr>
          </w:p>
        </w:tc>
      </w:tr>
      <w:tr w14:paraId="6718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7BD8C6">
            <w:pPr>
              <w:spacing w:line="360" w:lineRule="auto"/>
              <w:rPr>
                <w:rFonts w:hint="eastAsia" w:ascii="仿宋" w:hAnsi="仿宋" w:eastAsia="仿宋" w:cs="仿宋"/>
                <w:sz w:val="24"/>
              </w:rPr>
            </w:pPr>
          </w:p>
        </w:tc>
        <w:tc>
          <w:tcPr>
            <w:tcW w:w="552" w:type="dxa"/>
          </w:tcPr>
          <w:p w14:paraId="5D429EDE">
            <w:pPr>
              <w:spacing w:line="360" w:lineRule="auto"/>
              <w:rPr>
                <w:rFonts w:hint="eastAsia" w:ascii="仿宋" w:hAnsi="仿宋" w:eastAsia="仿宋" w:cs="仿宋"/>
                <w:sz w:val="24"/>
              </w:rPr>
            </w:pPr>
          </w:p>
        </w:tc>
        <w:tc>
          <w:tcPr>
            <w:tcW w:w="552" w:type="dxa"/>
          </w:tcPr>
          <w:p w14:paraId="57BCAF9D">
            <w:pPr>
              <w:spacing w:line="360" w:lineRule="auto"/>
              <w:rPr>
                <w:rFonts w:hint="eastAsia" w:ascii="仿宋" w:hAnsi="仿宋" w:eastAsia="仿宋" w:cs="仿宋"/>
                <w:sz w:val="24"/>
              </w:rPr>
            </w:pPr>
          </w:p>
        </w:tc>
        <w:tc>
          <w:tcPr>
            <w:tcW w:w="552" w:type="dxa"/>
          </w:tcPr>
          <w:p w14:paraId="36EBA5BC">
            <w:pPr>
              <w:spacing w:line="360" w:lineRule="auto"/>
              <w:rPr>
                <w:rFonts w:hint="eastAsia" w:ascii="仿宋" w:hAnsi="仿宋" w:eastAsia="仿宋" w:cs="仿宋"/>
                <w:sz w:val="24"/>
              </w:rPr>
            </w:pPr>
          </w:p>
        </w:tc>
        <w:tc>
          <w:tcPr>
            <w:tcW w:w="552" w:type="dxa"/>
          </w:tcPr>
          <w:p w14:paraId="73719C38">
            <w:pPr>
              <w:spacing w:line="360" w:lineRule="auto"/>
              <w:rPr>
                <w:rFonts w:hint="eastAsia" w:ascii="仿宋" w:hAnsi="仿宋" w:eastAsia="仿宋" w:cs="仿宋"/>
                <w:sz w:val="24"/>
              </w:rPr>
            </w:pPr>
          </w:p>
        </w:tc>
        <w:tc>
          <w:tcPr>
            <w:tcW w:w="552" w:type="dxa"/>
          </w:tcPr>
          <w:p w14:paraId="35C52BA1">
            <w:pPr>
              <w:spacing w:line="360" w:lineRule="auto"/>
              <w:rPr>
                <w:rFonts w:hint="eastAsia" w:ascii="仿宋" w:hAnsi="仿宋" w:eastAsia="仿宋" w:cs="仿宋"/>
                <w:sz w:val="24"/>
              </w:rPr>
            </w:pPr>
          </w:p>
        </w:tc>
        <w:tc>
          <w:tcPr>
            <w:tcW w:w="552" w:type="dxa"/>
          </w:tcPr>
          <w:p w14:paraId="246AC237">
            <w:pPr>
              <w:spacing w:line="360" w:lineRule="auto"/>
              <w:rPr>
                <w:rFonts w:hint="eastAsia" w:ascii="仿宋" w:hAnsi="仿宋" w:eastAsia="仿宋" w:cs="仿宋"/>
                <w:sz w:val="24"/>
              </w:rPr>
            </w:pPr>
          </w:p>
        </w:tc>
        <w:tc>
          <w:tcPr>
            <w:tcW w:w="553" w:type="dxa"/>
          </w:tcPr>
          <w:p w14:paraId="4019223B">
            <w:pPr>
              <w:spacing w:line="360" w:lineRule="auto"/>
              <w:rPr>
                <w:rFonts w:hint="eastAsia" w:ascii="仿宋" w:hAnsi="仿宋" w:eastAsia="仿宋" w:cs="仿宋"/>
                <w:sz w:val="24"/>
              </w:rPr>
            </w:pPr>
          </w:p>
        </w:tc>
        <w:tc>
          <w:tcPr>
            <w:tcW w:w="553" w:type="dxa"/>
          </w:tcPr>
          <w:p w14:paraId="4FCDA425">
            <w:pPr>
              <w:spacing w:line="360" w:lineRule="auto"/>
              <w:rPr>
                <w:rFonts w:hint="eastAsia" w:ascii="仿宋" w:hAnsi="仿宋" w:eastAsia="仿宋" w:cs="仿宋"/>
                <w:sz w:val="24"/>
              </w:rPr>
            </w:pPr>
          </w:p>
        </w:tc>
        <w:tc>
          <w:tcPr>
            <w:tcW w:w="553" w:type="dxa"/>
          </w:tcPr>
          <w:p w14:paraId="5E5E7FB0">
            <w:pPr>
              <w:spacing w:line="360" w:lineRule="auto"/>
              <w:rPr>
                <w:rFonts w:hint="eastAsia" w:ascii="仿宋" w:hAnsi="仿宋" w:eastAsia="仿宋" w:cs="仿宋"/>
                <w:sz w:val="24"/>
              </w:rPr>
            </w:pPr>
          </w:p>
        </w:tc>
        <w:tc>
          <w:tcPr>
            <w:tcW w:w="553" w:type="dxa"/>
          </w:tcPr>
          <w:p w14:paraId="1463C4AB">
            <w:pPr>
              <w:spacing w:line="360" w:lineRule="auto"/>
              <w:rPr>
                <w:rFonts w:hint="eastAsia" w:ascii="仿宋" w:hAnsi="仿宋" w:eastAsia="仿宋" w:cs="仿宋"/>
                <w:sz w:val="24"/>
              </w:rPr>
            </w:pPr>
          </w:p>
        </w:tc>
        <w:tc>
          <w:tcPr>
            <w:tcW w:w="553" w:type="dxa"/>
          </w:tcPr>
          <w:p w14:paraId="1AA3EAC8">
            <w:pPr>
              <w:spacing w:line="360" w:lineRule="auto"/>
              <w:rPr>
                <w:rFonts w:hint="eastAsia" w:ascii="仿宋" w:hAnsi="仿宋" w:eastAsia="仿宋" w:cs="仿宋"/>
                <w:sz w:val="24"/>
              </w:rPr>
            </w:pPr>
          </w:p>
        </w:tc>
        <w:tc>
          <w:tcPr>
            <w:tcW w:w="553" w:type="dxa"/>
          </w:tcPr>
          <w:p w14:paraId="350FF6A0">
            <w:pPr>
              <w:spacing w:line="360" w:lineRule="auto"/>
              <w:rPr>
                <w:rFonts w:hint="eastAsia" w:ascii="仿宋" w:hAnsi="仿宋" w:eastAsia="仿宋" w:cs="仿宋"/>
                <w:sz w:val="24"/>
              </w:rPr>
            </w:pPr>
          </w:p>
        </w:tc>
        <w:tc>
          <w:tcPr>
            <w:tcW w:w="553" w:type="dxa"/>
          </w:tcPr>
          <w:p w14:paraId="0CD0B249">
            <w:pPr>
              <w:spacing w:line="360" w:lineRule="auto"/>
              <w:rPr>
                <w:rFonts w:hint="eastAsia" w:ascii="仿宋" w:hAnsi="仿宋" w:eastAsia="仿宋" w:cs="仿宋"/>
                <w:sz w:val="24"/>
              </w:rPr>
            </w:pPr>
          </w:p>
        </w:tc>
        <w:tc>
          <w:tcPr>
            <w:tcW w:w="553" w:type="dxa"/>
          </w:tcPr>
          <w:p w14:paraId="3EDB0816">
            <w:pPr>
              <w:spacing w:line="360" w:lineRule="auto"/>
              <w:rPr>
                <w:rFonts w:hint="eastAsia" w:ascii="仿宋" w:hAnsi="仿宋" w:eastAsia="仿宋" w:cs="仿宋"/>
                <w:sz w:val="24"/>
              </w:rPr>
            </w:pPr>
          </w:p>
        </w:tc>
        <w:tc>
          <w:tcPr>
            <w:tcW w:w="553" w:type="dxa"/>
          </w:tcPr>
          <w:p w14:paraId="7374CD3A">
            <w:pPr>
              <w:spacing w:line="360" w:lineRule="auto"/>
              <w:rPr>
                <w:rFonts w:hint="eastAsia" w:ascii="仿宋" w:hAnsi="仿宋" w:eastAsia="仿宋" w:cs="仿宋"/>
                <w:sz w:val="24"/>
              </w:rPr>
            </w:pPr>
          </w:p>
        </w:tc>
        <w:tc>
          <w:tcPr>
            <w:tcW w:w="553" w:type="dxa"/>
          </w:tcPr>
          <w:p w14:paraId="7E189410">
            <w:pPr>
              <w:spacing w:line="360" w:lineRule="auto"/>
              <w:rPr>
                <w:rFonts w:hint="eastAsia" w:ascii="仿宋" w:hAnsi="仿宋" w:eastAsia="仿宋" w:cs="仿宋"/>
                <w:sz w:val="24"/>
              </w:rPr>
            </w:pPr>
          </w:p>
        </w:tc>
      </w:tr>
      <w:tr w14:paraId="488F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2FF741">
            <w:pPr>
              <w:spacing w:line="360" w:lineRule="auto"/>
              <w:rPr>
                <w:rFonts w:hint="eastAsia" w:ascii="仿宋" w:hAnsi="仿宋" w:eastAsia="仿宋" w:cs="仿宋"/>
                <w:sz w:val="24"/>
              </w:rPr>
            </w:pPr>
          </w:p>
        </w:tc>
        <w:tc>
          <w:tcPr>
            <w:tcW w:w="552" w:type="dxa"/>
          </w:tcPr>
          <w:p w14:paraId="5F4A4729">
            <w:pPr>
              <w:spacing w:line="360" w:lineRule="auto"/>
              <w:rPr>
                <w:rFonts w:hint="eastAsia" w:ascii="仿宋" w:hAnsi="仿宋" w:eastAsia="仿宋" w:cs="仿宋"/>
                <w:sz w:val="24"/>
              </w:rPr>
            </w:pPr>
          </w:p>
        </w:tc>
        <w:tc>
          <w:tcPr>
            <w:tcW w:w="552" w:type="dxa"/>
          </w:tcPr>
          <w:p w14:paraId="20E0AD20">
            <w:pPr>
              <w:spacing w:line="360" w:lineRule="auto"/>
              <w:rPr>
                <w:rFonts w:hint="eastAsia" w:ascii="仿宋" w:hAnsi="仿宋" w:eastAsia="仿宋" w:cs="仿宋"/>
                <w:sz w:val="24"/>
              </w:rPr>
            </w:pPr>
          </w:p>
        </w:tc>
        <w:tc>
          <w:tcPr>
            <w:tcW w:w="552" w:type="dxa"/>
          </w:tcPr>
          <w:p w14:paraId="536DAB2C">
            <w:pPr>
              <w:spacing w:line="360" w:lineRule="auto"/>
              <w:rPr>
                <w:rFonts w:hint="eastAsia" w:ascii="仿宋" w:hAnsi="仿宋" w:eastAsia="仿宋" w:cs="仿宋"/>
                <w:sz w:val="24"/>
              </w:rPr>
            </w:pPr>
          </w:p>
        </w:tc>
        <w:tc>
          <w:tcPr>
            <w:tcW w:w="552" w:type="dxa"/>
          </w:tcPr>
          <w:p w14:paraId="2F1E1EE0">
            <w:pPr>
              <w:spacing w:line="360" w:lineRule="auto"/>
              <w:rPr>
                <w:rFonts w:hint="eastAsia" w:ascii="仿宋" w:hAnsi="仿宋" w:eastAsia="仿宋" w:cs="仿宋"/>
                <w:sz w:val="24"/>
              </w:rPr>
            </w:pPr>
          </w:p>
        </w:tc>
        <w:tc>
          <w:tcPr>
            <w:tcW w:w="552" w:type="dxa"/>
          </w:tcPr>
          <w:p w14:paraId="218FB955">
            <w:pPr>
              <w:spacing w:line="360" w:lineRule="auto"/>
              <w:rPr>
                <w:rFonts w:hint="eastAsia" w:ascii="仿宋" w:hAnsi="仿宋" w:eastAsia="仿宋" w:cs="仿宋"/>
                <w:sz w:val="24"/>
              </w:rPr>
            </w:pPr>
          </w:p>
        </w:tc>
        <w:tc>
          <w:tcPr>
            <w:tcW w:w="552" w:type="dxa"/>
          </w:tcPr>
          <w:p w14:paraId="4F19C66E">
            <w:pPr>
              <w:spacing w:line="360" w:lineRule="auto"/>
              <w:rPr>
                <w:rFonts w:hint="eastAsia" w:ascii="仿宋" w:hAnsi="仿宋" w:eastAsia="仿宋" w:cs="仿宋"/>
                <w:sz w:val="24"/>
              </w:rPr>
            </w:pPr>
          </w:p>
        </w:tc>
        <w:tc>
          <w:tcPr>
            <w:tcW w:w="553" w:type="dxa"/>
          </w:tcPr>
          <w:p w14:paraId="15BBC25A">
            <w:pPr>
              <w:spacing w:line="360" w:lineRule="auto"/>
              <w:rPr>
                <w:rFonts w:hint="eastAsia" w:ascii="仿宋" w:hAnsi="仿宋" w:eastAsia="仿宋" w:cs="仿宋"/>
                <w:sz w:val="24"/>
              </w:rPr>
            </w:pPr>
          </w:p>
        </w:tc>
        <w:tc>
          <w:tcPr>
            <w:tcW w:w="553" w:type="dxa"/>
          </w:tcPr>
          <w:p w14:paraId="27DB5D89">
            <w:pPr>
              <w:spacing w:line="360" w:lineRule="auto"/>
              <w:rPr>
                <w:rFonts w:hint="eastAsia" w:ascii="仿宋" w:hAnsi="仿宋" w:eastAsia="仿宋" w:cs="仿宋"/>
                <w:sz w:val="24"/>
              </w:rPr>
            </w:pPr>
          </w:p>
        </w:tc>
        <w:tc>
          <w:tcPr>
            <w:tcW w:w="553" w:type="dxa"/>
          </w:tcPr>
          <w:p w14:paraId="1933E493">
            <w:pPr>
              <w:spacing w:line="360" w:lineRule="auto"/>
              <w:rPr>
                <w:rFonts w:hint="eastAsia" w:ascii="仿宋" w:hAnsi="仿宋" w:eastAsia="仿宋" w:cs="仿宋"/>
                <w:sz w:val="24"/>
              </w:rPr>
            </w:pPr>
          </w:p>
        </w:tc>
        <w:tc>
          <w:tcPr>
            <w:tcW w:w="553" w:type="dxa"/>
          </w:tcPr>
          <w:p w14:paraId="39EBF7D1">
            <w:pPr>
              <w:spacing w:line="360" w:lineRule="auto"/>
              <w:rPr>
                <w:rFonts w:hint="eastAsia" w:ascii="仿宋" w:hAnsi="仿宋" w:eastAsia="仿宋" w:cs="仿宋"/>
                <w:sz w:val="24"/>
              </w:rPr>
            </w:pPr>
          </w:p>
        </w:tc>
        <w:tc>
          <w:tcPr>
            <w:tcW w:w="553" w:type="dxa"/>
          </w:tcPr>
          <w:p w14:paraId="2F0B2953">
            <w:pPr>
              <w:spacing w:line="360" w:lineRule="auto"/>
              <w:rPr>
                <w:rFonts w:hint="eastAsia" w:ascii="仿宋" w:hAnsi="仿宋" w:eastAsia="仿宋" w:cs="仿宋"/>
                <w:sz w:val="24"/>
              </w:rPr>
            </w:pPr>
          </w:p>
        </w:tc>
        <w:tc>
          <w:tcPr>
            <w:tcW w:w="553" w:type="dxa"/>
          </w:tcPr>
          <w:p w14:paraId="1F9FB046">
            <w:pPr>
              <w:spacing w:line="360" w:lineRule="auto"/>
              <w:rPr>
                <w:rFonts w:hint="eastAsia" w:ascii="仿宋" w:hAnsi="仿宋" w:eastAsia="仿宋" w:cs="仿宋"/>
                <w:sz w:val="24"/>
              </w:rPr>
            </w:pPr>
          </w:p>
        </w:tc>
        <w:tc>
          <w:tcPr>
            <w:tcW w:w="553" w:type="dxa"/>
          </w:tcPr>
          <w:p w14:paraId="6B501EE3">
            <w:pPr>
              <w:spacing w:line="360" w:lineRule="auto"/>
              <w:rPr>
                <w:rFonts w:hint="eastAsia" w:ascii="仿宋" w:hAnsi="仿宋" w:eastAsia="仿宋" w:cs="仿宋"/>
                <w:sz w:val="24"/>
              </w:rPr>
            </w:pPr>
          </w:p>
        </w:tc>
        <w:tc>
          <w:tcPr>
            <w:tcW w:w="553" w:type="dxa"/>
          </w:tcPr>
          <w:p w14:paraId="58E332F4">
            <w:pPr>
              <w:spacing w:line="360" w:lineRule="auto"/>
              <w:rPr>
                <w:rFonts w:hint="eastAsia" w:ascii="仿宋" w:hAnsi="仿宋" w:eastAsia="仿宋" w:cs="仿宋"/>
                <w:sz w:val="24"/>
              </w:rPr>
            </w:pPr>
          </w:p>
        </w:tc>
        <w:tc>
          <w:tcPr>
            <w:tcW w:w="553" w:type="dxa"/>
          </w:tcPr>
          <w:p w14:paraId="06C16AA7">
            <w:pPr>
              <w:spacing w:line="360" w:lineRule="auto"/>
              <w:rPr>
                <w:rFonts w:hint="eastAsia" w:ascii="仿宋" w:hAnsi="仿宋" w:eastAsia="仿宋" w:cs="仿宋"/>
                <w:sz w:val="24"/>
              </w:rPr>
            </w:pPr>
          </w:p>
        </w:tc>
        <w:tc>
          <w:tcPr>
            <w:tcW w:w="553" w:type="dxa"/>
          </w:tcPr>
          <w:p w14:paraId="7521F693">
            <w:pPr>
              <w:spacing w:line="360" w:lineRule="auto"/>
              <w:rPr>
                <w:rFonts w:hint="eastAsia" w:ascii="仿宋" w:hAnsi="仿宋" w:eastAsia="仿宋" w:cs="仿宋"/>
                <w:sz w:val="24"/>
              </w:rPr>
            </w:pPr>
          </w:p>
        </w:tc>
      </w:tr>
      <w:tr w14:paraId="0220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58FEFA">
            <w:pPr>
              <w:spacing w:line="360" w:lineRule="auto"/>
              <w:rPr>
                <w:rFonts w:hint="eastAsia" w:ascii="仿宋" w:hAnsi="仿宋" w:eastAsia="仿宋" w:cs="仿宋"/>
                <w:sz w:val="24"/>
              </w:rPr>
            </w:pPr>
          </w:p>
        </w:tc>
        <w:tc>
          <w:tcPr>
            <w:tcW w:w="552" w:type="dxa"/>
          </w:tcPr>
          <w:p w14:paraId="1834ECD1">
            <w:pPr>
              <w:spacing w:line="360" w:lineRule="auto"/>
              <w:rPr>
                <w:rFonts w:hint="eastAsia" w:ascii="仿宋" w:hAnsi="仿宋" w:eastAsia="仿宋" w:cs="仿宋"/>
                <w:sz w:val="24"/>
              </w:rPr>
            </w:pPr>
          </w:p>
        </w:tc>
        <w:tc>
          <w:tcPr>
            <w:tcW w:w="552" w:type="dxa"/>
          </w:tcPr>
          <w:p w14:paraId="4F40B842">
            <w:pPr>
              <w:spacing w:line="360" w:lineRule="auto"/>
              <w:rPr>
                <w:rFonts w:hint="eastAsia" w:ascii="仿宋" w:hAnsi="仿宋" w:eastAsia="仿宋" w:cs="仿宋"/>
                <w:sz w:val="24"/>
              </w:rPr>
            </w:pPr>
          </w:p>
        </w:tc>
        <w:tc>
          <w:tcPr>
            <w:tcW w:w="552" w:type="dxa"/>
          </w:tcPr>
          <w:p w14:paraId="2A5505B3">
            <w:pPr>
              <w:spacing w:line="360" w:lineRule="auto"/>
              <w:rPr>
                <w:rFonts w:hint="eastAsia" w:ascii="仿宋" w:hAnsi="仿宋" w:eastAsia="仿宋" w:cs="仿宋"/>
                <w:sz w:val="24"/>
              </w:rPr>
            </w:pPr>
          </w:p>
        </w:tc>
        <w:tc>
          <w:tcPr>
            <w:tcW w:w="552" w:type="dxa"/>
          </w:tcPr>
          <w:p w14:paraId="1C20AE10">
            <w:pPr>
              <w:spacing w:line="360" w:lineRule="auto"/>
              <w:rPr>
                <w:rFonts w:hint="eastAsia" w:ascii="仿宋" w:hAnsi="仿宋" w:eastAsia="仿宋" w:cs="仿宋"/>
                <w:sz w:val="24"/>
              </w:rPr>
            </w:pPr>
          </w:p>
        </w:tc>
        <w:tc>
          <w:tcPr>
            <w:tcW w:w="552" w:type="dxa"/>
          </w:tcPr>
          <w:p w14:paraId="6707548E">
            <w:pPr>
              <w:spacing w:line="360" w:lineRule="auto"/>
              <w:rPr>
                <w:rFonts w:hint="eastAsia" w:ascii="仿宋" w:hAnsi="仿宋" w:eastAsia="仿宋" w:cs="仿宋"/>
                <w:sz w:val="24"/>
              </w:rPr>
            </w:pPr>
          </w:p>
        </w:tc>
        <w:tc>
          <w:tcPr>
            <w:tcW w:w="552" w:type="dxa"/>
          </w:tcPr>
          <w:p w14:paraId="0F411D16">
            <w:pPr>
              <w:spacing w:line="360" w:lineRule="auto"/>
              <w:rPr>
                <w:rFonts w:hint="eastAsia" w:ascii="仿宋" w:hAnsi="仿宋" w:eastAsia="仿宋" w:cs="仿宋"/>
                <w:sz w:val="24"/>
              </w:rPr>
            </w:pPr>
          </w:p>
        </w:tc>
        <w:tc>
          <w:tcPr>
            <w:tcW w:w="553" w:type="dxa"/>
          </w:tcPr>
          <w:p w14:paraId="4CB00140">
            <w:pPr>
              <w:spacing w:line="360" w:lineRule="auto"/>
              <w:rPr>
                <w:rFonts w:hint="eastAsia" w:ascii="仿宋" w:hAnsi="仿宋" w:eastAsia="仿宋" w:cs="仿宋"/>
                <w:sz w:val="24"/>
              </w:rPr>
            </w:pPr>
          </w:p>
        </w:tc>
        <w:tc>
          <w:tcPr>
            <w:tcW w:w="553" w:type="dxa"/>
          </w:tcPr>
          <w:p w14:paraId="1CA92AF2">
            <w:pPr>
              <w:spacing w:line="360" w:lineRule="auto"/>
              <w:rPr>
                <w:rFonts w:hint="eastAsia" w:ascii="仿宋" w:hAnsi="仿宋" w:eastAsia="仿宋" w:cs="仿宋"/>
                <w:sz w:val="24"/>
              </w:rPr>
            </w:pPr>
          </w:p>
        </w:tc>
        <w:tc>
          <w:tcPr>
            <w:tcW w:w="553" w:type="dxa"/>
          </w:tcPr>
          <w:p w14:paraId="6913EB7B">
            <w:pPr>
              <w:spacing w:line="360" w:lineRule="auto"/>
              <w:rPr>
                <w:rFonts w:hint="eastAsia" w:ascii="仿宋" w:hAnsi="仿宋" w:eastAsia="仿宋" w:cs="仿宋"/>
                <w:sz w:val="24"/>
              </w:rPr>
            </w:pPr>
          </w:p>
        </w:tc>
        <w:tc>
          <w:tcPr>
            <w:tcW w:w="553" w:type="dxa"/>
          </w:tcPr>
          <w:p w14:paraId="4128B000">
            <w:pPr>
              <w:spacing w:line="360" w:lineRule="auto"/>
              <w:rPr>
                <w:rFonts w:hint="eastAsia" w:ascii="仿宋" w:hAnsi="仿宋" w:eastAsia="仿宋" w:cs="仿宋"/>
                <w:sz w:val="24"/>
              </w:rPr>
            </w:pPr>
          </w:p>
        </w:tc>
        <w:tc>
          <w:tcPr>
            <w:tcW w:w="553" w:type="dxa"/>
          </w:tcPr>
          <w:p w14:paraId="3C9B4588">
            <w:pPr>
              <w:spacing w:line="360" w:lineRule="auto"/>
              <w:rPr>
                <w:rFonts w:hint="eastAsia" w:ascii="仿宋" w:hAnsi="仿宋" w:eastAsia="仿宋" w:cs="仿宋"/>
                <w:sz w:val="24"/>
              </w:rPr>
            </w:pPr>
          </w:p>
        </w:tc>
        <w:tc>
          <w:tcPr>
            <w:tcW w:w="553" w:type="dxa"/>
          </w:tcPr>
          <w:p w14:paraId="732BCD6A">
            <w:pPr>
              <w:spacing w:line="360" w:lineRule="auto"/>
              <w:rPr>
                <w:rFonts w:hint="eastAsia" w:ascii="仿宋" w:hAnsi="仿宋" w:eastAsia="仿宋" w:cs="仿宋"/>
                <w:sz w:val="24"/>
              </w:rPr>
            </w:pPr>
          </w:p>
        </w:tc>
        <w:tc>
          <w:tcPr>
            <w:tcW w:w="553" w:type="dxa"/>
          </w:tcPr>
          <w:p w14:paraId="56B58C8F">
            <w:pPr>
              <w:spacing w:line="360" w:lineRule="auto"/>
              <w:rPr>
                <w:rFonts w:hint="eastAsia" w:ascii="仿宋" w:hAnsi="仿宋" w:eastAsia="仿宋" w:cs="仿宋"/>
                <w:sz w:val="24"/>
              </w:rPr>
            </w:pPr>
          </w:p>
        </w:tc>
        <w:tc>
          <w:tcPr>
            <w:tcW w:w="553" w:type="dxa"/>
          </w:tcPr>
          <w:p w14:paraId="62ADD285">
            <w:pPr>
              <w:spacing w:line="360" w:lineRule="auto"/>
              <w:rPr>
                <w:rFonts w:hint="eastAsia" w:ascii="仿宋" w:hAnsi="仿宋" w:eastAsia="仿宋" w:cs="仿宋"/>
                <w:sz w:val="24"/>
              </w:rPr>
            </w:pPr>
          </w:p>
        </w:tc>
        <w:tc>
          <w:tcPr>
            <w:tcW w:w="553" w:type="dxa"/>
          </w:tcPr>
          <w:p w14:paraId="6AF11567">
            <w:pPr>
              <w:spacing w:line="360" w:lineRule="auto"/>
              <w:rPr>
                <w:rFonts w:hint="eastAsia" w:ascii="仿宋" w:hAnsi="仿宋" w:eastAsia="仿宋" w:cs="仿宋"/>
                <w:sz w:val="24"/>
              </w:rPr>
            </w:pPr>
          </w:p>
        </w:tc>
        <w:tc>
          <w:tcPr>
            <w:tcW w:w="553" w:type="dxa"/>
          </w:tcPr>
          <w:p w14:paraId="6787197A">
            <w:pPr>
              <w:spacing w:line="360" w:lineRule="auto"/>
              <w:rPr>
                <w:rFonts w:hint="eastAsia" w:ascii="仿宋" w:hAnsi="仿宋" w:eastAsia="仿宋" w:cs="仿宋"/>
                <w:sz w:val="24"/>
              </w:rPr>
            </w:pPr>
          </w:p>
        </w:tc>
      </w:tr>
      <w:tr w14:paraId="0490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DAA864">
            <w:pPr>
              <w:spacing w:line="360" w:lineRule="auto"/>
              <w:rPr>
                <w:rFonts w:hint="eastAsia" w:ascii="仿宋" w:hAnsi="仿宋" w:eastAsia="仿宋" w:cs="仿宋"/>
                <w:sz w:val="24"/>
              </w:rPr>
            </w:pPr>
          </w:p>
        </w:tc>
        <w:tc>
          <w:tcPr>
            <w:tcW w:w="552" w:type="dxa"/>
          </w:tcPr>
          <w:p w14:paraId="780A6969">
            <w:pPr>
              <w:spacing w:line="360" w:lineRule="auto"/>
              <w:rPr>
                <w:rFonts w:hint="eastAsia" w:ascii="仿宋" w:hAnsi="仿宋" w:eastAsia="仿宋" w:cs="仿宋"/>
                <w:sz w:val="24"/>
              </w:rPr>
            </w:pPr>
          </w:p>
        </w:tc>
        <w:tc>
          <w:tcPr>
            <w:tcW w:w="552" w:type="dxa"/>
          </w:tcPr>
          <w:p w14:paraId="11473592">
            <w:pPr>
              <w:spacing w:line="360" w:lineRule="auto"/>
              <w:rPr>
                <w:rFonts w:hint="eastAsia" w:ascii="仿宋" w:hAnsi="仿宋" w:eastAsia="仿宋" w:cs="仿宋"/>
                <w:sz w:val="24"/>
              </w:rPr>
            </w:pPr>
          </w:p>
        </w:tc>
        <w:tc>
          <w:tcPr>
            <w:tcW w:w="552" w:type="dxa"/>
          </w:tcPr>
          <w:p w14:paraId="0A5B08DA">
            <w:pPr>
              <w:spacing w:line="360" w:lineRule="auto"/>
              <w:rPr>
                <w:rFonts w:hint="eastAsia" w:ascii="仿宋" w:hAnsi="仿宋" w:eastAsia="仿宋" w:cs="仿宋"/>
                <w:sz w:val="24"/>
              </w:rPr>
            </w:pPr>
          </w:p>
        </w:tc>
        <w:tc>
          <w:tcPr>
            <w:tcW w:w="552" w:type="dxa"/>
          </w:tcPr>
          <w:p w14:paraId="634E9ABD">
            <w:pPr>
              <w:spacing w:line="360" w:lineRule="auto"/>
              <w:rPr>
                <w:rFonts w:hint="eastAsia" w:ascii="仿宋" w:hAnsi="仿宋" w:eastAsia="仿宋" w:cs="仿宋"/>
                <w:sz w:val="24"/>
              </w:rPr>
            </w:pPr>
          </w:p>
        </w:tc>
        <w:tc>
          <w:tcPr>
            <w:tcW w:w="552" w:type="dxa"/>
          </w:tcPr>
          <w:p w14:paraId="5B5F6C72">
            <w:pPr>
              <w:spacing w:line="360" w:lineRule="auto"/>
              <w:rPr>
                <w:rFonts w:hint="eastAsia" w:ascii="仿宋" w:hAnsi="仿宋" w:eastAsia="仿宋" w:cs="仿宋"/>
                <w:sz w:val="24"/>
              </w:rPr>
            </w:pPr>
          </w:p>
        </w:tc>
        <w:tc>
          <w:tcPr>
            <w:tcW w:w="552" w:type="dxa"/>
          </w:tcPr>
          <w:p w14:paraId="2918E6B7">
            <w:pPr>
              <w:spacing w:line="360" w:lineRule="auto"/>
              <w:rPr>
                <w:rFonts w:hint="eastAsia" w:ascii="仿宋" w:hAnsi="仿宋" w:eastAsia="仿宋" w:cs="仿宋"/>
                <w:sz w:val="24"/>
              </w:rPr>
            </w:pPr>
          </w:p>
        </w:tc>
        <w:tc>
          <w:tcPr>
            <w:tcW w:w="553" w:type="dxa"/>
          </w:tcPr>
          <w:p w14:paraId="52756981">
            <w:pPr>
              <w:spacing w:line="360" w:lineRule="auto"/>
              <w:rPr>
                <w:rFonts w:hint="eastAsia" w:ascii="仿宋" w:hAnsi="仿宋" w:eastAsia="仿宋" w:cs="仿宋"/>
                <w:sz w:val="24"/>
              </w:rPr>
            </w:pPr>
          </w:p>
        </w:tc>
        <w:tc>
          <w:tcPr>
            <w:tcW w:w="553" w:type="dxa"/>
          </w:tcPr>
          <w:p w14:paraId="4C27BD9A">
            <w:pPr>
              <w:spacing w:line="360" w:lineRule="auto"/>
              <w:rPr>
                <w:rFonts w:hint="eastAsia" w:ascii="仿宋" w:hAnsi="仿宋" w:eastAsia="仿宋" w:cs="仿宋"/>
                <w:sz w:val="24"/>
              </w:rPr>
            </w:pPr>
          </w:p>
        </w:tc>
        <w:tc>
          <w:tcPr>
            <w:tcW w:w="553" w:type="dxa"/>
          </w:tcPr>
          <w:p w14:paraId="275B5A5A">
            <w:pPr>
              <w:spacing w:line="360" w:lineRule="auto"/>
              <w:rPr>
                <w:rFonts w:hint="eastAsia" w:ascii="仿宋" w:hAnsi="仿宋" w:eastAsia="仿宋" w:cs="仿宋"/>
                <w:sz w:val="24"/>
              </w:rPr>
            </w:pPr>
          </w:p>
        </w:tc>
        <w:tc>
          <w:tcPr>
            <w:tcW w:w="553" w:type="dxa"/>
          </w:tcPr>
          <w:p w14:paraId="2188E44F">
            <w:pPr>
              <w:spacing w:line="360" w:lineRule="auto"/>
              <w:rPr>
                <w:rFonts w:hint="eastAsia" w:ascii="仿宋" w:hAnsi="仿宋" w:eastAsia="仿宋" w:cs="仿宋"/>
                <w:sz w:val="24"/>
              </w:rPr>
            </w:pPr>
          </w:p>
        </w:tc>
        <w:tc>
          <w:tcPr>
            <w:tcW w:w="553" w:type="dxa"/>
          </w:tcPr>
          <w:p w14:paraId="02DB764F">
            <w:pPr>
              <w:spacing w:line="360" w:lineRule="auto"/>
              <w:rPr>
                <w:rFonts w:hint="eastAsia" w:ascii="仿宋" w:hAnsi="仿宋" w:eastAsia="仿宋" w:cs="仿宋"/>
                <w:sz w:val="24"/>
              </w:rPr>
            </w:pPr>
          </w:p>
        </w:tc>
        <w:tc>
          <w:tcPr>
            <w:tcW w:w="553" w:type="dxa"/>
          </w:tcPr>
          <w:p w14:paraId="1D15D69A">
            <w:pPr>
              <w:spacing w:line="360" w:lineRule="auto"/>
              <w:rPr>
                <w:rFonts w:hint="eastAsia" w:ascii="仿宋" w:hAnsi="仿宋" w:eastAsia="仿宋" w:cs="仿宋"/>
                <w:sz w:val="24"/>
              </w:rPr>
            </w:pPr>
          </w:p>
        </w:tc>
        <w:tc>
          <w:tcPr>
            <w:tcW w:w="553" w:type="dxa"/>
          </w:tcPr>
          <w:p w14:paraId="1B5D74D5">
            <w:pPr>
              <w:spacing w:line="360" w:lineRule="auto"/>
              <w:rPr>
                <w:rFonts w:hint="eastAsia" w:ascii="仿宋" w:hAnsi="仿宋" w:eastAsia="仿宋" w:cs="仿宋"/>
                <w:sz w:val="24"/>
              </w:rPr>
            </w:pPr>
          </w:p>
        </w:tc>
        <w:tc>
          <w:tcPr>
            <w:tcW w:w="553" w:type="dxa"/>
          </w:tcPr>
          <w:p w14:paraId="383DBB57">
            <w:pPr>
              <w:spacing w:line="360" w:lineRule="auto"/>
              <w:rPr>
                <w:rFonts w:hint="eastAsia" w:ascii="仿宋" w:hAnsi="仿宋" w:eastAsia="仿宋" w:cs="仿宋"/>
                <w:sz w:val="24"/>
              </w:rPr>
            </w:pPr>
          </w:p>
        </w:tc>
        <w:tc>
          <w:tcPr>
            <w:tcW w:w="553" w:type="dxa"/>
          </w:tcPr>
          <w:p w14:paraId="7C733A08">
            <w:pPr>
              <w:spacing w:line="360" w:lineRule="auto"/>
              <w:rPr>
                <w:rFonts w:hint="eastAsia" w:ascii="仿宋" w:hAnsi="仿宋" w:eastAsia="仿宋" w:cs="仿宋"/>
                <w:sz w:val="24"/>
              </w:rPr>
            </w:pPr>
          </w:p>
        </w:tc>
        <w:tc>
          <w:tcPr>
            <w:tcW w:w="553" w:type="dxa"/>
          </w:tcPr>
          <w:p w14:paraId="4876BE12">
            <w:pPr>
              <w:spacing w:line="360" w:lineRule="auto"/>
              <w:rPr>
                <w:rFonts w:hint="eastAsia" w:ascii="仿宋" w:hAnsi="仿宋" w:eastAsia="仿宋" w:cs="仿宋"/>
                <w:sz w:val="24"/>
              </w:rPr>
            </w:pPr>
          </w:p>
        </w:tc>
      </w:tr>
      <w:tr w14:paraId="7C2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FF2039">
            <w:pPr>
              <w:spacing w:line="360" w:lineRule="auto"/>
              <w:rPr>
                <w:rFonts w:hint="eastAsia" w:ascii="仿宋" w:hAnsi="仿宋" w:eastAsia="仿宋" w:cs="仿宋"/>
                <w:sz w:val="24"/>
              </w:rPr>
            </w:pPr>
          </w:p>
        </w:tc>
        <w:tc>
          <w:tcPr>
            <w:tcW w:w="552" w:type="dxa"/>
          </w:tcPr>
          <w:p w14:paraId="255F97A8">
            <w:pPr>
              <w:spacing w:line="360" w:lineRule="auto"/>
              <w:rPr>
                <w:rFonts w:hint="eastAsia" w:ascii="仿宋" w:hAnsi="仿宋" w:eastAsia="仿宋" w:cs="仿宋"/>
                <w:sz w:val="24"/>
              </w:rPr>
            </w:pPr>
          </w:p>
        </w:tc>
        <w:tc>
          <w:tcPr>
            <w:tcW w:w="552" w:type="dxa"/>
          </w:tcPr>
          <w:p w14:paraId="22042601">
            <w:pPr>
              <w:spacing w:line="360" w:lineRule="auto"/>
              <w:rPr>
                <w:rFonts w:hint="eastAsia" w:ascii="仿宋" w:hAnsi="仿宋" w:eastAsia="仿宋" w:cs="仿宋"/>
                <w:sz w:val="24"/>
              </w:rPr>
            </w:pPr>
          </w:p>
        </w:tc>
        <w:tc>
          <w:tcPr>
            <w:tcW w:w="552" w:type="dxa"/>
          </w:tcPr>
          <w:p w14:paraId="0A9B2087">
            <w:pPr>
              <w:spacing w:line="360" w:lineRule="auto"/>
              <w:rPr>
                <w:rFonts w:hint="eastAsia" w:ascii="仿宋" w:hAnsi="仿宋" w:eastAsia="仿宋" w:cs="仿宋"/>
                <w:sz w:val="24"/>
              </w:rPr>
            </w:pPr>
          </w:p>
        </w:tc>
        <w:tc>
          <w:tcPr>
            <w:tcW w:w="552" w:type="dxa"/>
          </w:tcPr>
          <w:p w14:paraId="1FBC83A2">
            <w:pPr>
              <w:spacing w:line="360" w:lineRule="auto"/>
              <w:rPr>
                <w:rFonts w:hint="eastAsia" w:ascii="仿宋" w:hAnsi="仿宋" w:eastAsia="仿宋" w:cs="仿宋"/>
                <w:sz w:val="24"/>
              </w:rPr>
            </w:pPr>
          </w:p>
        </w:tc>
        <w:tc>
          <w:tcPr>
            <w:tcW w:w="552" w:type="dxa"/>
          </w:tcPr>
          <w:p w14:paraId="55AE8325">
            <w:pPr>
              <w:spacing w:line="360" w:lineRule="auto"/>
              <w:rPr>
                <w:rFonts w:hint="eastAsia" w:ascii="仿宋" w:hAnsi="仿宋" w:eastAsia="仿宋" w:cs="仿宋"/>
                <w:sz w:val="24"/>
              </w:rPr>
            </w:pPr>
          </w:p>
        </w:tc>
        <w:tc>
          <w:tcPr>
            <w:tcW w:w="552" w:type="dxa"/>
          </w:tcPr>
          <w:p w14:paraId="646AF43D">
            <w:pPr>
              <w:spacing w:line="360" w:lineRule="auto"/>
              <w:rPr>
                <w:rFonts w:hint="eastAsia" w:ascii="仿宋" w:hAnsi="仿宋" w:eastAsia="仿宋" w:cs="仿宋"/>
                <w:sz w:val="24"/>
              </w:rPr>
            </w:pPr>
          </w:p>
        </w:tc>
        <w:tc>
          <w:tcPr>
            <w:tcW w:w="553" w:type="dxa"/>
          </w:tcPr>
          <w:p w14:paraId="122B3DDB">
            <w:pPr>
              <w:spacing w:line="360" w:lineRule="auto"/>
              <w:rPr>
                <w:rFonts w:hint="eastAsia" w:ascii="仿宋" w:hAnsi="仿宋" w:eastAsia="仿宋" w:cs="仿宋"/>
                <w:sz w:val="24"/>
              </w:rPr>
            </w:pPr>
          </w:p>
        </w:tc>
        <w:tc>
          <w:tcPr>
            <w:tcW w:w="553" w:type="dxa"/>
          </w:tcPr>
          <w:p w14:paraId="173E3CE2">
            <w:pPr>
              <w:spacing w:line="360" w:lineRule="auto"/>
              <w:rPr>
                <w:rFonts w:hint="eastAsia" w:ascii="仿宋" w:hAnsi="仿宋" w:eastAsia="仿宋" w:cs="仿宋"/>
                <w:sz w:val="24"/>
              </w:rPr>
            </w:pPr>
          </w:p>
        </w:tc>
        <w:tc>
          <w:tcPr>
            <w:tcW w:w="553" w:type="dxa"/>
          </w:tcPr>
          <w:p w14:paraId="3E3D8AD3">
            <w:pPr>
              <w:spacing w:line="360" w:lineRule="auto"/>
              <w:rPr>
                <w:rFonts w:hint="eastAsia" w:ascii="仿宋" w:hAnsi="仿宋" w:eastAsia="仿宋" w:cs="仿宋"/>
                <w:sz w:val="24"/>
              </w:rPr>
            </w:pPr>
          </w:p>
        </w:tc>
        <w:tc>
          <w:tcPr>
            <w:tcW w:w="553" w:type="dxa"/>
          </w:tcPr>
          <w:p w14:paraId="00419E5D">
            <w:pPr>
              <w:spacing w:line="360" w:lineRule="auto"/>
              <w:rPr>
                <w:rFonts w:hint="eastAsia" w:ascii="仿宋" w:hAnsi="仿宋" w:eastAsia="仿宋" w:cs="仿宋"/>
                <w:sz w:val="24"/>
              </w:rPr>
            </w:pPr>
          </w:p>
        </w:tc>
        <w:tc>
          <w:tcPr>
            <w:tcW w:w="553" w:type="dxa"/>
          </w:tcPr>
          <w:p w14:paraId="25343632">
            <w:pPr>
              <w:spacing w:line="360" w:lineRule="auto"/>
              <w:rPr>
                <w:rFonts w:hint="eastAsia" w:ascii="仿宋" w:hAnsi="仿宋" w:eastAsia="仿宋" w:cs="仿宋"/>
                <w:sz w:val="24"/>
              </w:rPr>
            </w:pPr>
          </w:p>
        </w:tc>
        <w:tc>
          <w:tcPr>
            <w:tcW w:w="553" w:type="dxa"/>
          </w:tcPr>
          <w:p w14:paraId="666FA8A9">
            <w:pPr>
              <w:spacing w:line="360" w:lineRule="auto"/>
              <w:rPr>
                <w:rFonts w:hint="eastAsia" w:ascii="仿宋" w:hAnsi="仿宋" w:eastAsia="仿宋" w:cs="仿宋"/>
                <w:sz w:val="24"/>
              </w:rPr>
            </w:pPr>
          </w:p>
        </w:tc>
        <w:tc>
          <w:tcPr>
            <w:tcW w:w="553" w:type="dxa"/>
          </w:tcPr>
          <w:p w14:paraId="289788EA">
            <w:pPr>
              <w:spacing w:line="360" w:lineRule="auto"/>
              <w:rPr>
                <w:rFonts w:hint="eastAsia" w:ascii="仿宋" w:hAnsi="仿宋" w:eastAsia="仿宋" w:cs="仿宋"/>
                <w:sz w:val="24"/>
              </w:rPr>
            </w:pPr>
          </w:p>
        </w:tc>
        <w:tc>
          <w:tcPr>
            <w:tcW w:w="553" w:type="dxa"/>
          </w:tcPr>
          <w:p w14:paraId="7B894CF8">
            <w:pPr>
              <w:spacing w:line="360" w:lineRule="auto"/>
              <w:rPr>
                <w:rFonts w:hint="eastAsia" w:ascii="仿宋" w:hAnsi="仿宋" w:eastAsia="仿宋" w:cs="仿宋"/>
                <w:sz w:val="24"/>
              </w:rPr>
            </w:pPr>
          </w:p>
        </w:tc>
        <w:tc>
          <w:tcPr>
            <w:tcW w:w="553" w:type="dxa"/>
          </w:tcPr>
          <w:p w14:paraId="351C7C3D">
            <w:pPr>
              <w:spacing w:line="360" w:lineRule="auto"/>
              <w:rPr>
                <w:rFonts w:hint="eastAsia" w:ascii="仿宋" w:hAnsi="仿宋" w:eastAsia="仿宋" w:cs="仿宋"/>
                <w:sz w:val="24"/>
              </w:rPr>
            </w:pPr>
          </w:p>
        </w:tc>
        <w:tc>
          <w:tcPr>
            <w:tcW w:w="553" w:type="dxa"/>
          </w:tcPr>
          <w:p w14:paraId="7D25D911">
            <w:pPr>
              <w:spacing w:line="360" w:lineRule="auto"/>
              <w:rPr>
                <w:rFonts w:hint="eastAsia" w:ascii="仿宋" w:hAnsi="仿宋" w:eastAsia="仿宋" w:cs="仿宋"/>
                <w:sz w:val="24"/>
              </w:rPr>
            </w:pPr>
          </w:p>
        </w:tc>
      </w:tr>
      <w:tr w14:paraId="23A1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3A106F">
            <w:pPr>
              <w:spacing w:line="360" w:lineRule="auto"/>
              <w:rPr>
                <w:rFonts w:hint="eastAsia" w:ascii="仿宋" w:hAnsi="仿宋" w:eastAsia="仿宋" w:cs="仿宋"/>
                <w:sz w:val="24"/>
              </w:rPr>
            </w:pPr>
          </w:p>
        </w:tc>
        <w:tc>
          <w:tcPr>
            <w:tcW w:w="552" w:type="dxa"/>
          </w:tcPr>
          <w:p w14:paraId="67081360">
            <w:pPr>
              <w:spacing w:line="360" w:lineRule="auto"/>
              <w:rPr>
                <w:rFonts w:hint="eastAsia" w:ascii="仿宋" w:hAnsi="仿宋" w:eastAsia="仿宋" w:cs="仿宋"/>
                <w:sz w:val="24"/>
              </w:rPr>
            </w:pPr>
          </w:p>
        </w:tc>
        <w:tc>
          <w:tcPr>
            <w:tcW w:w="552" w:type="dxa"/>
          </w:tcPr>
          <w:p w14:paraId="6C07205B">
            <w:pPr>
              <w:spacing w:line="360" w:lineRule="auto"/>
              <w:rPr>
                <w:rFonts w:hint="eastAsia" w:ascii="仿宋" w:hAnsi="仿宋" w:eastAsia="仿宋" w:cs="仿宋"/>
                <w:sz w:val="24"/>
              </w:rPr>
            </w:pPr>
          </w:p>
        </w:tc>
        <w:tc>
          <w:tcPr>
            <w:tcW w:w="552" w:type="dxa"/>
          </w:tcPr>
          <w:p w14:paraId="1EB2FC05">
            <w:pPr>
              <w:spacing w:line="360" w:lineRule="auto"/>
              <w:rPr>
                <w:rFonts w:hint="eastAsia" w:ascii="仿宋" w:hAnsi="仿宋" w:eastAsia="仿宋" w:cs="仿宋"/>
                <w:sz w:val="24"/>
              </w:rPr>
            </w:pPr>
          </w:p>
        </w:tc>
        <w:tc>
          <w:tcPr>
            <w:tcW w:w="552" w:type="dxa"/>
          </w:tcPr>
          <w:p w14:paraId="05ADFE8A">
            <w:pPr>
              <w:spacing w:line="360" w:lineRule="auto"/>
              <w:rPr>
                <w:rFonts w:hint="eastAsia" w:ascii="仿宋" w:hAnsi="仿宋" w:eastAsia="仿宋" w:cs="仿宋"/>
                <w:sz w:val="24"/>
              </w:rPr>
            </w:pPr>
          </w:p>
        </w:tc>
        <w:tc>
          <w:tcPr>
            <w:tcW w:w="552" w:type="dxa"/>
          </w:tcPr>
          <w:p w14:paraId="6E4B91AB">
            <w:pPr>
              <w:spacing w:line="360" w:lineRule="auto"/>
              <w:rPr>
                <w:rFonts w:hint="eastAsia" w:ascii="仿宋" w:hAnsi="仿宋" w:eastAsia="仿宋" w:cs="仿宋"/>
                <w:sz w:val="24"/>
              </w:rPr>
            </w:pPr>
          </w:p>
        </w:tc>
        <w:tc>
          <w:tcPr>
            <w:tcW w:w="552" w:type="dxa"/>
          </w:tcPr>
          <w:p w14:paraId="511CA177">
            <w:pPr>
              <w:spacing w:line="360" w:lineRule="auto"/>
              <w:rPr>
                <w:rFonts w:hint="eastAsia" w:ascii="仿宋" w:hAnsi="仿宋" w:eastAsia="仿宋" w:cs="仿宋"/>
                <w:sz w:val="24"/>
              </w:rPr>
            </w:pPr>
          </w:p>
        </w:tc>
        <w:tc>
          <w:tcPr>
            <w:tcW w:w="553" w:type="dxa"/>
          </w:tcPr>
          <w:p w14:paraId="5FA9B01A">
            <w:pPr>
              <w:spacing w:line="360" w:lineRule="auto"/>
              <w:rPr>
                <w:rFonts w:hint="eastAsia" w:ascii="仿宋" w:hAnsi="仿宋" w:eastAsia="仿宋" w:cs="仿宋"/>
                <w:sz w:val="24"/>
              </w:rPr>
            </w:pPr>
          </w:p>
        </w:tc>
        <w:tc>
          <w:tcPr>
            <w:tcW w:w="553" w:type="dxa"/>
          </w:tcPr>
          <w:p w14:paraId="6AFCBE33">
            <w:pPr>
              <w:spacing w:line="360" w:lineRule="auto"/>
              <w:rPr>
                <w:rFonts w:hint="eastAsia" w:ascii="仿宋" w:hAnsi="仿宋" w:eastAsia="仿宋" w:cs="仿宋"/>
                <w:sz w:val="24"/>
              </w:rPr>
            </w:pPr>
          </w:p>
        </w:tc>
        <w:tc>
          <w:tcPr>
            <w:tcW w:w="553" w:type="dxa"/>
          </w:tcPr>
          <w:p w14:paraId="5E6B908F">
            <w:pPr>
              <w:spacing w:line="360" w:lineRule="auto"/>
              <w:rPr>
                <w:rFonts w:hint="eastAsia" w:ascii="仿宋" w:hAnsi="仿宋" w:eastAsia="仿宋" w:cs="仿宋"/>
                <w:sz w:val="24"/>
              </w:rPr>
            </w:pPr>
          </w:p>
        </w:tc>
        <w:tc>
          <w:tcPr>
            <w:tcW w:w="553" w:type="dxa"/>
          </w:tcPr>
          <w:p w14:paraId="2CB13647">
            <w:pPr>
              <w:spacing w:line="360" w:lineRule="auto"/>
              <w:rPr>
                <w:rFonts w:hint="eastAsia" w:ascii="仿宋" w:hAnsi="仿宋" w:eastAsia="仿宋" w:cs="仿宋"/>
                <w:sz w:val="24"/>
              </w:rPr>
            </w:pPr>
          </w:p>
        </w:tc>
        <w:tc>
          <w:tcPr>
            <w:tcW w:w="553" w:type="dxa"/>
          </w:tcPr>
          <w:p w14:paraId="606BB50C">
            <w:pPr>
              <w:spacing w:line="360" w:lineRule="auto"/>
              <w:rPr>
                <w:rFonts w:hint="eastAsia" w:ascii="仿宋" w:hAnsi="仿宋" w:eastAsia="仿宋" w:cs="仿宋"/>
                <w:sz w:val="24"/>
              </w:rPr>
            </w:pPr>
          </w:p>
        </w:tc>
        <w:tc>
          <w:tcPr>
            <w:tcW w:w="553" w:type="dxa"/>
          </w:tcPr>
          <w:p w14:paraId="33E6D005">
            <w:pPr>
              <w:spacing w:line="360" w:lineRule="auto"/>
              <w:rPr>
                <w:rFonts w:hint="eastAsia" w:ascii="仿宋" w:hAnsi="仿宋" w:eastAsia="仿宋" w:cs="仿宋"/>
                <w:sz w:val="24"/>
              </w:rPr>
            </w:pPr>
          </w:p>
        </w:tc>
        <w:tc>
          <w:tcPr>
            <w:tcW w:w="553" w:type="dxa"/>
          </w:tcPr>
          <w:p w14:paraId="2377D6B9">
            <w:pPr>
              <w:spacing w:line="360" w:lineRule="auto"/>
              <w:rPr>
                <w:rFonts w:hint="eastAsia" w:ascii="仿宋" w:hAnsi="仿宋" w:eastAsia="仿宋" w:cs="仿宋"/>
                <w:sz w:val="24"/>
              </w:rPr>
            </w:pPr>
          </w:p>
        </w:tc>
        <w:tc>
          <w:tcPr>
            <w:tcW w:w="553" w:type="dxa"/>
          </w:tcPr>
          <w:p w14:paraId="5B82736E">
            <w:pPr>
              <w:spacing w:line="360" w:lineRule="auto"/>
              <w:rPr>
                <w:rFonts w:hint="eastAsia" w:ascii="仿宋" w:hAnsi="仿宋" w:eastAsia="仿宋" w:cs="仿宋"/>
                <w:sz w:val="24"/>
              </w:rPr>
            </w:pPr>
          </w:p>
        </w:tc>
        <w:tc>
          <w:tcPr>
            <w:tcW w:w="553" w:type="dxa"/>
          </w:tcPr>
          <w:p w14:paraId="59E234FE">
            <w:pPr>
              <w:spacing w:line="360" w:lineRule="auto"/>
              <w:rPr>
                <w:rFonts w:hint="eastAsia" w:ascii="仿宋" w:hAnsi="仿宋" w:eastAsia="仿宋" w:cs="仿宋"/>
                <w:sz w:val="24"/>
              </w:rPr>
            </w:pPr>
          </w:p>
        </w:tc>
        <w:tc>
          <w:tcPr>
            <w:tcW w:w="553" w:type="dxa"/>
          </w:tcPr>
          <w:p w14:paraId="4FA7DA22">
            <w:pPr>
              <w:spacing w:line="360" w:lineRule="auto"/>
              <w:rPr>
                <w:rFonts w:hint="eastAsia" w:ascii="仿宋" w:hAnsi="仿宋" w:eastAsia="仿宋" w:cs="仿宋"/>
                <w:sz w:val="24"/>
              </w:rPr>
            </w:pPr>
          </w:p>
        </w:tc>
      </w:tr>
      <w:tr w14:paraId="164A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362846">
            <w:pPr>
              <w:spacing w:line="360" w:lineRule="auto"/>
              <w:rPr>
                <w:rFonts w:hint="eastAsia" w:ascii="仿宋" w:hAnsi="仿宋" w:eastAsia="仿宋" w:cs="仿宋"/>
                <w:sz w:val="24"/>
              </w:rPr>
            </w:pPr>
          </w:p>
        </w:tc>
        <w:tc>
          <w:tcPr>
            <w:tcW w:w="552" w:type="dxa"/>
          </w:tcPr>
          <w:p w14:paraId="719030D7">
            <w:pPr>
              <w:spacing w:line="360" w:lineRule="auto"/>
              <w:rPr>
                <w:rFonts w:hint="eastAsia" w:ascii="仿宋" w:hAnsi="仿宋" w:eastAsia="仿宋" w:cs="仿宋"/>
                <w:sz w:val="24"/>
              </w:rPr>
            </w:pPr>
          </w:p>
        </w:tc>
        <w:tc>
          <w:tcPr>
            <w:tcW w:w="552" w:type="dxa"/>
          </w:tcPr>
          <w:p w14:paraId="10496FCF">
            <w:pPr>
              <w:spacing w:line="360" w:lineRule="auto"/>
              <w:rPr>
                <w:rFonts w:hint="eastAsia" w:ascii="仿宋" w:hAnsi="仿宋" w:eastAsia="仿宋" w:cs="仿宋"/>
                <w:sz w:val="24"/>
              </w:rPr>
            </w:pPr>
          </w:p>
        </w:tc>
        <w:tc>
          <w:tcPr>
            <w:tcW w:w="552" w:type="dxa"/>
          </w:tcPr>
          <w:p w14:paraId="02619E60">
            <w:pPr>
              <w:spacing w:line="360" w:lineRule="auto"/>
              <w:rPr>
                <w:rFonts w:hint="eastAsia" w:ascii="仿宋" w:hAnsi="仿宋" w:eastAsia="仿宋" w:cs="仿宋"/>
                <w:sz w:val="24"/>
              </w:rPr>
            </w:pPr>
          </w:p>
        </w:tc>
        <w:tc>
          <w:tcPr>
            <w:tcW w:w="552" w:type="dxa"/>
          </w:tcPr>
          <w:p w14:paraId="219B34E6">
            <w:pPr>
              <w:spacing w:line="360" w:lineRule="auto"/>
              <w:rPr>
                <w:rFonts w:hint="eastAsia" w:ascii="仿宋" w:hAnsi="仿宋" w:eastAsia="仿宋" w:cs="仿宋"/>
                <w:sz w:val="24"/>
              </w:rPr>
            </w:pPr>
          </w:p>
        </w:tc>
        <w:tc>
          <w:tcPr>
            <w:tcW w:w="552" w:type="dxa"/>
          </w:tcPr>
          <w:p w14:paraId="02B18231">
            <w:pPr>
              <w:spacing w:line="360" w:lineRule="auto"/>
              <w:rPr>
                <w:rFonts w:hint="eastAsia" w:ascii="仿宋" w:hAnsi="仿宋" w:eastAsia="仿宋" w:cs="仿宋"/>
                <w:sz w:val="24"/>
              </w:rPr>
            </w:pPr>
          </w:p>
        </w:tc>
        <w:tc>
          <w:tcPr>
            <w:tcW w:w="552" w:type="dxa"/>
          </w:tcPr>
          <w:p w14:paraId="46C5791A">
            <w:pPr>
              <w:spacing w:line="360" w:lineRule="auto"/>
              <w:rPr>
                <w:rFonts w:hint="eastAsia" w:ascii="仿宋" w:hAnsi="仿宋" w:eastAsia="仿宋" w:cs="仿宋"/>
                <w:sz w:val="24"/>
              </w:rPr>
            </w:pPr>
          </w:p>
        </w:tc>
        <w:tc>
          <w:tcPr>
            <w:tcW w:w="553" w:type="dxa"/>
          </w:tcPr>
          <w:p w14:paraId="145B69DE">
            <w:pPr>
              <w:spacing w:line="360" w:lineRule="auto"/>
              <w:rPr>
                <w:rFonts w:hint="eastAsia" w:ascii="仿宋" w:hAnsi="仿宋" w:eastAsia="仿宋" w:cs="仿宋"/>
                <w:sz w:val="24"/>
              </w:rPr>
            </w:pPr>
          </w:p>
        </w:tc>
        <w:tc>
          <w:tcPr>
            <w:tcW w:w="553" w:type="dxa"/>
          </w:tcPr>
          <w:p w14:paraId="6E022BEA">
            <w:pPr>
              <w:spacing w:line="360" w:lineRule="auto"/>
              <w:rPr>
                <w:rFonts w:hint="eastAsia" w:ascii="仿宋" w:hAnsi="仿宋" w:eastAsia="仿宋" w:cs="仿宋"/>
                <w:sz w:val="24"/>
              </w:rPr>
            </w:pPr>
          </w:p>
        </w:tc>
        <w:tc>
          <w:tcPr>
            <w:tcW w:w="553" w:type="dxa"/>
          </w:tcPr>
          <w:p w14:paraId="658673FC">
            <w:pPr>
              <w:spacing w:line="360" w:lineRule="auto"/>
              <w:rPr>
                <w:rFonts w:hint="eastAsia" w:ascii="仿宋" w:hAnsi="仿宋" w:eastAsia="仿宋" w:cs="仿宋"/>
                <w:sz w:val="24"/>
              </w:rPr>
            </w:pPr>
          </w:p>
        </w:tc>
        <w:tc>
          <w:tcPr>
            <w:tcW w:w="553" w:type="dxa"/>
          </w:tcPr>
          <w:p w14:paraId="0CADEF37">
            <w:pPr>
              <w:spacing w:line="360" w:lineRule="auto"/>
              <w:rPr>
                <w:rFonts w:hint="eastAsia" w:ascii="仿宋" w:hAnsi="仿宋" w:eastAsia="仿宋" w:cs="仿宋"/>
                <w:sz w:val="24"/>
              </w:rPr>
            </w:pPr>
          </w:p>
        </w:tc>
        <w:tc>
          <w:tcPr>
            <w:tcW w:w="553" w:type="dxa"/>
          </w:tcPr>
          <w:p w14:paraId="48A43A4F">
            <w:pPr>
              <w:spacing w:line="360" w:lineRule="auto"/>
              <w:rPr>
                <w:rFonts w:hint="eastAsia" w:ascii="仿宋" w:hAnsi="仿宋" w:eastAsia="仿宋" w:cs="仿宋"/>
                <w:sz w:val="24"/>
              </w:rPr>
            </w:pPr>
          </w:p>
        </w:tc>
        <w:tc>
          <w:tcPr>
            <w:tcW w:w="553" w:type="dxa"/>
          </w:tcPr>
          <w:p w14:paraId="4854930E">
            <w:pPr>
              <w:spacing w:line="360" w:lineRule="auto"/>
              <w:rPr>
                <w:rFonts w:hint="eastAsia" w:ascii="仿宋" w:hAnsi="仿宋" w:eastAsia="仿宋" w:cs="仿宋"/>
                <w:sz w:val="24"/>
              </w:rPr>
            </w:pPr>
          </w:p>
        </w:tc>
        <w:tc>
          <w:tcPr>
            <w:tcW w:w="553" w:type="dxa"/>
          </w:tcPr>
          <w:p w14:paraId="52B0ECD9">
            <w:pPr>
              <w:spacing w:line="360" w:lineRule="auto"/>
              <w:rPr>
                <w:rFonts w:hint="eastAsia" w:ascii="仿宋" w:hAnsi="仿宋" w:eastAsia="仿宋" w:cs="仿宋"/>
                <w:sz w:val="24"/>
              </w:rPr>
            </w:pPr>
          </w:p>
        </w:tc>
        <w:tc>
          <w:tcPr>
            <w:tcW w:w="553" w:type="dxa"/>
          </w:tcPr>
          <w:p w14:paraId="0C5547D3">
            <w:pPr>
              <w:spacing w:line="360" w:lineRule="auto"/>
              <w:rPr>
                <w:rFonts w:hint="eastAsia" w:ascii="仿宋" w:hAnsi="仿宋" w:eastAsia="仿宋" w:cs="仿宋"/>
                <w:sz w:val="24"/>
              </w:rPr>
            </w:pPr>
          </w:p>
        </w:tc>
        <w:tc>
          <w:tcPr>
            <w:tcW w:w="553" w:type="dxa"/>
          </w:tcPr>
          <w:p w14:paraId="70AACC3B">
            <w:pPr>
              <w:spacing w:line="360" w:lineRule="auto"/>
              <w:rPr>
                <w:rFonts w:hint="eastAsia" w:ascii="仿宋" w:hAnsi="仿宋" w:eastAsia="仿宋" w:cs="仿宋"/>
                <w:sz w:val="24"/>
              </w:rPr>
            </w:pPr>
          </w:p>
        </w:tc>
        <w:tc>
          <w:tcPr>
            <w:tcW w:w="553" w:type="dxa"/>
          </w:tcPr>
          <w:p w14:paraId="48A2F465">
            <w:pPr>
              <w:spacing w:line="360" w:lineRule="auto"/>
              <w:rPr>
                <w:rFonts w:hint="eastAsia" w:ascii="仿宋" w:hAnsi="仿宋" w:eastAsia="仿宋" w:cs="仿宋"/>
                <w:sz w:val="24"/>
              </w:rPr>
            </w:pPr>
          </w:p>
        </w:tc>
      </w:tr>
      <w:tr w14:paraId="327F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52C8D2">
            <w:pPr>
              <w:spacing w:line="360" w:lineRule="auto"/>
              <w:rPr>
                <w:rFonts w:hint="eastAsia" w:ascii="仿宋" w:hAnsi="仿宋" w:eastAsia="仿宋" w:cs="仿宋"/>
                <w:sz w:val="24"/>
              </w:rPr>
            </w:pPr>
          </w:p>
        </w:tc>
        <w:tc>
          <w:tcPr>
            <w:tcW w:w="552" w:type="dxa"/>
          </w:tcPr>
          <w:p w14:paraId="426C9DE9">
            <w:pPr>
              <w:spacing w:line="360" w:lineRule="auto"/>
              <w:rPr>
                <w:rFonts w:hint="eastAsia" w:ascii="仿宋" w:hAnsi="仿宋" w:eastAsia="仿宋" w:cs="仿宋"/>
                <w:sz w:val="24"/>
              </w:rPr>
            </w:pPr>
          </w:p>
        </w:tc>
        <w:tc>
          <w:tcPr>
            <w:tcW w:w="552" w:type="dxa"/>
          </w:tcPr>
          <w:p w14:paraId="0E492D1C">
            <w:pPr>
              <w:spacing w:line="360" w:lineRule="auto"/>
              <w:rPr>
                <w:rFonts w:hint="eastAsia" w:ascii="仿宋" w:hAnsi="仿宋" w:eastAsia="仿宋" w:cs="仿宋"/>
                <w:sz w:val="24"/>
              </w:rPr>
            </w:pPr>
          </w:p>
        </w:tc>
        <w:tc>
          <w:tcPr>
            <w:tcW w:w="552" w:type="dxa"/>
          </w:tcPr>
          <w:p w14:paraId="6C35404B">
            <w:pPr>
              <w:spacing w:line="360" w:lineRule="auto"/>
              <w:rPr>
                <w:rFonts w:hint="eastAsia" w:ascii="仿宋" w:hAnsi="仿宋" w:eastAsia="仿宋" w:cs="仿宋"/>
                <w:sz w:val="24"/>
              </w:rPr>
            </w:pPr>
          </w:p>
        </w:tc>
        <w:tc>
          <w:tcPr>
            <w:tcW w:w="552" w:type="dxa"/>
          </w:tcPr>
          <w:p w14:paraId="48FD0677">
            <w:pPr>
              <w:spacing w:line="360" w:lineRule="auto"/>
              <w:rPr>
                <w:rFonts w:hint="eastAsia" w:ascii="仿宋" w:hAnsi="仿宋" w:eastAsia="仿宋" w:cs="仿宋"/>
                <w:sz w:val="24"/>
              </w:rPr>
            </w:pPr>
          </w:p>
        </w:tc>
        <w:tc>
          <w:tcPr>
            <w:tcW w:w="552" w:type="dxa"/>
          </w:tcPr>
          <w:p w14:paraId="0F77D00A">
            <w:pPr>
              <w:spacing w:line="360" w:lineRule="auto"/>
              <w:rPr>
                <w:rFonts w:hint="eastAsia" w:ascii="仿宋" w:hAnsi="仿宋" w:eastAsia="仿宋" w:cs="仿宋"/>
                <w:sz w:val="24"/>
              </w:rPr>
            </w:pPr>
          </w:p>
        </w:tc>
        <w:tc>
          <w:tcPr>
            <w:tcW w:w="552" w:type="dxa"/>
          </w:tcPr>
          <w:p w14:paraId="1C9719FC">
            <w:pPr>
              <w:spacing w:line="360" w:lineRule="auto"/>
              <w:rPr>
                <w:rFonts w:hint="eastAsia" w:ascii="仿宋" w:hAnsi="仿宋" w:eastAsia="仿宋" w:cs="仿宋"/>
                <w:sz w:val="24"/>
              </w:rPr>
            </w:pPr>
          </w:p>
        </w:tc>
        <w:tc>
          <w:tcPr>
            <w:tcW w:w="553" w:type="dxa"/>
          </w:tcPr>
          <w:p w14:paraId="1391679B">
            <w:pPr>
              <w:spacing w:line="360" w:lineRule="auto"/>
              <w:rPr>
                <w:rFonts w:hint="eastAsia" w:ascii="仿宋" w:hAnsi="仿宋" w:eastAsia="仿宋" w:cs="仿宋"/>
                <w:sz w:val="24"/>
              </w:rPr>
            </w:pPr>
          </w:p>
        </w:tc>
        <w:tc>
          <w:tcPr>
            <w:tcW w:w="553" w:type="dxa"/>
          </w:tcPr>
          <w:p w14:paraId="45F299BA">
            <w:pPr>
              <w:spacing w:line="360" w:lineRule="auto"/>
              <w:rPr>
                <w:rFonts w:hint="eastAsia" w:ascii="仿宋" w:hAnsi="仿宋" w:eastAsia="仿宋" w:cs="仿宋"/>
                <w:sz w:val="24"/>
              </w:rPr>
            </w:pPr>
          </w:p>
        </w:tc>
        <w:tc>
          <w:tcPr>
            <w:tcW w:w="553" w:type="dxa"/>
          </w:tcPr>
          <w:p w14:paraId="0FEDD3A8">
            <w:pPr>
              <w:spacing w:line="360" w:lineRule="auto"/>
              <w:rPr>
                <w:rFonts w:hint="eastAsia" w:ascii="仿宋" w:hAnsi="仿宋" w:eastAsia="仿宋" w:cs="仿宋"/>
                <w:sz w:val="24"/>
              </w:rPr>
            </w:pPr>
          </w:p>
        </w:tc>
        <w:tc>
          <w:tcPr>
            <w:tcW w:w="553" w:type="dxa"/>
          </w:tcPr>
          <w:p w14:paraId="3BE14948">
            <w:pPr>
              <w:spacing w:line="360" w:lineRule="auto"/>
              <w:rPr>
                <w:rFonts w:hint="eastAsia" w:ascii="仿宋" w:hAnsi="仿宋" w:eastAsia="仿宋" w:cs="仿宋"/>
                <w:sz w:val="24"/>
              </w:rPr>
            </w:pPr>
          </w:p>
        </w:tc>
        <w:tc>
          <w:tcPr>
            <w:tcW w:w="553" w:type="dxa"/>
          </w:tcPr>
          <w:p w14:paraId="63723BCC">
            <w:pPr>
              <w:spacing w:line="360" w:lineRule="auto"/>
              <w:rPr>
                <w:rFonts w:hint="eastAsia" w:ascii="仿宋" w:hAnsi="仿宋" w:eastAsia="仿宋" w:cs="仿宋"/>
                <w:sz w:val="24"/>
              </w:rPr>
            </w:pPr>
          </w:p>
        </w:tc>
        <w:tc>
          <w:tcPr>
            <w:tcW w:w="553" w:type="dxa"/>
          </w:tcPr>
          <w:p w14:paraId="1BB881D1">
            <w:pPr>
              <w:spacing w:line="360" w:lineRule="auto"/>
              <w:rPr>
                <w:rFonts w:hint="eastAsia" w:ascii="仿宋" w:hAnsi="仿宋" w:eastAsia="仿宋" w:cs="仿宋"/>
                <w:sz w:val="24"/>
              </w:rPr>
            </w:pPr>
          </w:p>
        </w:tc>
        <w:tc>
          <w:tcPr>
            <w:tcW w:w="553" w:type="dxa"/>
          </w:tcPr>
          <w:p w14:paraId="51A0C965">
            <w:pPr>
              <w:spacing w:line="360" w:lineRule="auto"/>
              <w:rPr>
                <w:rFonts w:hint="eastAsia" w:ascii="仿宋" w:hAnsi="仿宋" w:eastAsia="仿宋" w:cs="仿宋"/>
                <w:sz w:val="24"/>
              </w:rPr>
            </w:pPr>
          </w:p>
        </w:tc>
        <w:tc>
          <w:tcPr>
            <w:tcW w:w="553" w:type="dxa"/>
          </w:tcPr>
          <w:p w14:paraId="637677AC">
            <w:pPr>
              <w:spacing w:line="360" w:lineRule="auto"/>
              <w:rPr>
                <w:rFonts w:hint="eastAsia" w:ascii="仿宋" w:hAnsi="仿宋" w:eastAsia="仿宋" w:cs="仿宋"/>
                <w:sz w:val="24"/>
              </w:rPr>
            </w:pPr>
          </w:p>
        </w:tc>
        <w:tc>
          <w:tcPr>
            <w:tcW w:w="553" w:type="dxa"/>
          </w:tcPr>
          <w:p w14:paraId="4CE4E83B">
            <w:pPr>
              <w:spacing w:line="360" w:lineRule="auto"/>
              <w:rPr>
                <w:rFonts w:hint="eastAsia" w:ascii="仿宋" w:hAnsi="仿宋" w:eastAsia="仿宋" w:cs="仿宋"/>
                <w:sz w:val="24"/>
              </w:rPr>
            </w:pPr>
          </w:p>
        </w:tc>
        <w:tc>
          <w:tcPr>
            <w:tcW w:w="553" w:type="dxa"/>
          </w:tcPr>
          <w:p w14:paraId="06B9E950">
            <w:pPr>
              <w:spacing w:line="360" w:lineRule="auto"/>
              <w:rPr>
                <w:rFonts w:hint="eastAsia" w:ascii="仿宋" w:hAnsi="仿宋" w:eastAsia="仿宋" w:cs="仿宋"/>
                <w:sz w:val="24"/>
              </w:rPr>
            </w:pPr>
          </w:p>
        </w:tc>
      </w:tr>
    </w:tbl>
    <w:p w14:paraId="227C9C4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78989B05">
      <w:pPr>
        <w:autoSpaceDE w:val="0"/>
        <w:autoSpaceDN w:val="0"/>
        <w:spacing w:line="360" w:lineRule="auto"/>
        <w:ind w:firstLine="4560" w:firstLineChars="1900"/>
        <w:rPr>
          <w:rFonts w:hint="eastAsia" w:ascii="仿宋" w:hAnsi="仿宋" w:eastAsia="仿宋" w:cs="仿宋"/>
          <w:kern w:val="0"/>
          <w:sz w:val="24"/>
        </w:rPr>
      </w:pPr>
    </w:p>
    <w:p w14:paraId="61D9C19B">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D14502D">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CC02514">
      <w:pPr>
        <w:rPr>
          <w:rFonts w:hint="eastAsia" w:ascii="仿宋" w:hAnsi="仿宋" w:eastAsia="仿宋" w:cs="仿宋"/>
          <w:b/>
          <w:bCs/>
          <w:sz w:val="32"/>
          <w:szCs w:val="32"/>
        </w:rPr>
      </w:pPr>
      <w:r>
        <w:rPr>
          <w:rFonts w:hint="eastAsia" w:ascii="仿宋" w:hAnsi="仿宋" w:eastAsia="仿宋" w:cs="仿宋"/>
          <w:b/>
          <w:bCs/>
          <w:sz w:val="32"/>
          <w:szCs w:val="32"/>
        </w:rPr>
        <w:br w:type="page"/>
      </w:r>
    </w:p>
    <w:p w14:paraId="11252C3F">
      <w:pPr>
        <w:pStyle w:val="24"/>
        <w:rPr>
          <w:rFonts w:hint="eastAsia" w:ascii="仿宋" w:hAnsi="仿宋" w:eastAsia="仿宋" w:cs="仿宋"/>
        </w:rPr>
      </w:pPr>
    </w:p>
    <w:p w14:paraId="18976F06">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十一、项目小组人员名单</w:t>
      </w:r>
    </w:p>
    <w:p w14:paraId="5ACFC199">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14:paraId="527CA2FB">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BC27DA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ED4A9F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10F06D2">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B0B357">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190E052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0343FF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A999A08">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235E534">
            <w:pPr>
              <w:autoSpaceDE w:val="0"/>
              <w:autoSpaceDN w:val="0"/>
              <w:spacing w:line="360" w:lineRule="auto"/>
              <w:jc w:val="center"/>
              <w:rPr>
                <w:rFonts w:hint="eastAsia" w:ascii="仿宋" w:hAnsi="仿宋" w:eastAsia="仿宋" w:cs="仿宋"/>
                <w:sz w:val="24"/>
              </w:rPr>
            </w:pPr>
          </w:p>
        </w:tc>
      </w:tr>
      <w:tr w14:paraId="5C0853B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14CE46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C4A1179">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472B00E">
            <w:pPr>
              <w:autoSpaceDE w:val="0"/>
              <w:autoSpaceDN w:val="0"/>
              <w:spacing w:line="360" w:lineRule="auto"/>
              <w:jc w:val="center"/>
              <w:rPr>
                <w:rFonts w:hint="eastAsia" w:ascii="仿宋" w:hAnsi="仿宋" w:eastAsia="仿宋" w:cs="仿宋"/>
                <w:sz w:val="24"/>
              </w:rPr>
            </w:pPr>
          </w:p>
        </w:tc>
      </w:tr>
      <w:tr w14:paraId="6C322B5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A09290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F03A5FF">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58E140">
            <w:pPr>
              <w:autoSpaceDE w:val="0"/>
              <w:autoSpaceDN w:val="0"/>
              <w:spacing w:line="360" w:lineRule="auto"/>
              <w:jc w:val="center"/>
              <w:rPr>
                <w:rFonts w:hint="eastAsia" w:ascii="仿宋" w:hAnsi="仿宋" w:eastAsia="仿宋" w:cs="仿宋"/>
                <w:sz w:val="24"/>
              </w:rPr>
            </w:pPr>
          </w:p>
        </w:tc>
      </w:tr>
      <w:tr w14:paraId="0E9AA83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9DBF04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3A4BED1">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294017">
            <w:pPr>
              <w:autoSpaceDE w:val="0"/>
              <w:autoSpaceDN w:val="0"/>
              <w:spacing w:line="360" w:lineRule="auto"/>
              <w:jc w:val="center"/>
              <w:rPr>
                <w:rFonts w:hint="eastAsia" w:ascii="仿宋" w:hAnsi="仿宋" w:eastAsia="仿宋" w:cs="仿宋"/>
                <w:sz w:val="24"/>
              </w:rPr>
            </w:pPr>
          </w:p>
        </w:tc>
      </w:tr>
      <w:tr w14:paraId="121D752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2C9777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D1DB6CF">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888F86">
            <w:pPr>
              <w:autoSpaceDE w:val="0"/>
              <w:autoSpaceDN w:val="0"/>
              <w:spacing w:line="360" w:lineRule="auto"/>
              <w:jc w:val="center"/>
              <w:rPr>
                <w:rFonts w:hint="eastAsia" w:ascii="仿宋" w:hAnsi="仿宋" w:eastAsia="仿宋" w:cs="仿宋"/>
                <w:sz w:val="24"/>
              </w:rPr>
            </w:pPr>
          </w:p>
        </w:tc>
      </w:tr>
      <w:tr w14:paraId="302D77B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74B31C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5B542E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250C8A">
            <w:pPr>
              <w:autoSpaceDE w:val="0"/>
              <w:autoSpaceDN w:val="0"/>
              <w:spacing w:line="360" w:lineRule="auto"/>
              <w:jc w:val="center"/>
              <w:rPr>
                <w:rFonts w:hint="eastAsia" w:ascii="仿宋" w:hAnsi="仿宋" w:eastAsia="仿宋" w:cs="仿宋"/>
                <w:sz w:val="24"/>
              </w:rPr>
            </w:pPr>
          </w:p>
        </w:tc>
      </w:tr>
      <w:tr w14:paraId="71F4BD0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045C2D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50E21E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3D35D3">
            <w:pPr>
              <w:autoSpaceDE w:val="0"/>
              <w:autoSpaceDN w:val="0"/>
              <w:spacing w:line="360" w:lineRule="auto"/>
              <w:jc w:val="center"/>
              <w:rPr>
                <w:rFonts w:hint="eastAsia" w:ascii="仿宋" w:hAnsi="仿宋" w:eastAsia="仿宋" w:cs="仿宋"/>
                <w:sz w:val="24"/>
              </w:rPr>
            </w:pPr>
          </w:p>
        </w:tc>
      </w:tr>
      <w:tr w14:paraId="1B40C97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F08A33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2A27C99">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7CEEDF">
            <w:pPr>
              <w:autoSpaceDE w:val="0"/>
              <w:autoSpaceDN w:val="0"/>
              <w:spacing w:line="360" w:lineRule="auto"/>
              <w:jc w:val="center"/>
              <w:rPr>
                <w:rFonts w:hint="eastAsia" w:ascii="仿宋" w:hAnsi="仿宋" w:eastAsia="仿宋" w:cs="仿宋"/>
                <w:sz w:val="24"/>
              </w:rPr>
            </w:pPr>
          </w:p>
        </w:tc>
      </w:tr>
      <w:tr w14:paraId="6BA65B2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DA4218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C658B3B">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5AB05A">
            <w:pPr>
              <w:autoSpaceDE w:val="0"/>
              <w:autoSpaceDN w:val="0"/>
              <w:spacing w:line="360" w:lineRule="auto"/>
              <w:jc w:val="center"/>
              <w:rPr>
                <w:rFonts w:hint="eastAsia" w:ascii="仿宋" w:hAnsi="仿宋" w:eastAsia="仿宋" w:cs="仿宋"/>
                <w:sz w:val="24"/>
              </w:rPr>
            </w:pPr>
          </w:p>
        </w:tc>
      </w:tr>
    </w:tbl>
    <w:p w14:paraId="64BECAA9">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FC8E3B3">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73E719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0BF0F7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93ACC0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8A6277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65B363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7B121E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22873CC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EC54B9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25F9BC8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6B4BBE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6947644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76FB8A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BEACAC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E806BB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4665510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22E1363">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7AC3DBBF">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5D8FCC4D">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7CC97853">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172D3D54">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5868CD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3171A09B">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8FBD5F0">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DB219E7">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92570CE">
            <w:pPr>
              <w:autoSpaceDE w:val="0"/>
              <w:autoSpaceDN w:val="0"/>
              <w:spacing w:line="360" w:lineRule="auto"/>
              <w:rPr>
                <w:rFonts w:hint="eastAsia" w:ascii="仿宋" w:hAnsi="仿宋" w:eastAsia="仿宋" w:cs="仿宋"/>
                <w:sz w:val="24"/>
              </w:rPr>
            </w:pPr>
          </w:p>
        </w:tc>
      </w:tr>
      <w:tr w14:paraId="63F19B7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033CEA9">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201C8DB">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48F1B161">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57613E42">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24B6A8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6D11698">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57FF250">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7D29BE96">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40BE25FE">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1C527D5C">
            <w:pPr>
              <w:autoSpaceDE w:val="0"/>
              <w:autoSpaceDN w:val="0"/>
              <w:spacing w:line="360" w:lineRule="auto"/>
              <w:rPr>
                <w:rFonts w:hint="eastAsia" w:ascii="仿宋" w:hAnsi="仿宋" w:eastAsia="仿宋" w:cs="仿宋"/>
                <w:sz w:val="24"/>
              </w:rPr>
            </w:pPr>
          </w:p>
        </w:tc>
      </w:tr>
      <w:tr w14:paraId="17D1C50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5E6AF15">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4AE94D72">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16E9E4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2C165285">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39A303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69C4C7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E8E796B">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6C0442F8">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49718806">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553EF269">
            <w:pPr>
              <w:autoSpaceDE w:val="0"/>
              <w:autoSpaceDN w:val="0"/>
              <w:spacing w:line="360" w:lineRule="auto"/>
              <w:rPr>
                <w:rFonts w:hint="eastAsia" w:ascii="仿宋" w:hAnsi="仿宋" w:eastAsia="仿宋" w:cs="仿宋"/>
                <w:sz w:val="24"/>
              </w:rPr>
            </w:pPr>
          </w:p>
        </w:tc>
      </w:tr>
    </w:tbl>
    <w:p w14:paraId="713193FE">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65B53593">
      <w:pPr>
        <w:spacing w:line="360" w:lineRule="auto"/>
        <w:rPr>
          <w:rFonts w:hint="eastAsia" w:ascii="仿宋" w:hAnsi="仿宋" w:eastAsia="仿宋" w:cs="仿宋"/>
          <w:b/>
          <w:sz w:val="24"/>
        </w:rPr>
      </w:pPr>
    </w:p>
    <w:p w14:paraId="3D7CB866">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65568B6B">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1B782A95">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E404199">
      <w:pPr>
        <w:spacing w:line="360" w:lineRule="auto"/>
        <w:jc w:val="center"/>
        <w:rPr>
          <w:rFonts w:hint="eastAsia" w:ascii="仿宋" w:hAnsi="仿宋" w:eastAsia="仿宋" w:cs="仿宋"/>
          <w:b/>
          <w:bCs/>
          <w:sz w:val="32"/>
          <w:szCs w:val="32"/>
        </w:rPr>
      </w:pPr>
    </w:p>
    <w:p w14:paraId="03556B09">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w:t>
      </w:r>
      <w:r>
        <w:rPr>
          <w:rFonts w:hint="eastAsia" w:ascii="仿宋" w:hAnsi="仿宋" w:eastAsia="仿宋" w:cs="仿宋"/>
          <w:b/>
          <w:kern w:val="0"/>
          <w:sz w:val="32"/>
          <w:szCs w:val="32"/>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10E560A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FF27090">
      <w:pPr>
        <w:spacing w:line="360" w:lineRule="auto"/>
        <w:jc w:val="center"/>
        <w:rPr>
          <w:rFonts w:hint="eastAsia" w:ascii="仿宋" w:hAnsi="仿宋" w:eastAsia="仿宋" w:cs="仿宋"/>
          <w:sz w:val="24"/>
        </w:rPr>
      </w:pPr>
    </w:p>
    <w:p w14:paraId="21746737">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4276947">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6AA194E">
      <w:pPr>
        <w:spacing w:line="360" w:lineRule="auto"/>
        <w:jc w:val="center"/>
        <w:rPr>
          <w:rFonts w:hint="eastAsia" w:ascii="仿宋" w:hAnsi="仿宋" w:eastAsia="仿宋" w:cs="仿宋"/>
          <w:b/>
          <w:bCs/>
          <w:sz w:val="32"/>
          <w:szCs w:val="32"/>
        </w:rPr>
      </w:pPr>
    </w:p>
    <w:p w14:paraId="75F8D714">
      <w:pPr>
        <w:spacing w:line="360" w:lineRule="auto"/>
        <w:jc w:val="center"/>
        <w:rPr>
          <w:rFonts w:hint="eastAsia" w:ascii="仿宋" w:hAnsi="仿宋" w:eastAsia="仿宋" w:cs="仿宋"/>
          <w:b/>
          <w:bCs/>
          <w:sz w:val="24"/>
        </w:rPr>
      </w:pPr>
    </w:p>
    <w:p w14:paraId="4BF46587">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培训计划</w:t>
      </w:r>
    </w:p>
    <w:p w14:paraId="03FDF90E">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3F3F89B0">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6D65B3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A47FA3E">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51506B9">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A0ED556">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A76211C">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F72A56B">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C8D49C5">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3EC21D2">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7B412534">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B0442C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3ADD4B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6DB36D8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5804E79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1AEAD1D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AD0074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16DBBC80">
            <w:pPr>
              <w:suppressAutoHyphens/>
              <w:autoSpaceDE w:val="0"/>
              <w:autoSpaceDN w:val="0"/>
              <w:spacing w:line="360" w:lineRule="auto"/>
              <w:rPr>
                <w:rFonts w:hint="eastAsia" w:ascii="仿宋" w:hAnsi="仿宋" w:eastAsia="仿宋" w:cs="仿宋"/>
                <w:sz w:val="24"/>
              </w:rPr>
            </w:pPr>
          </w:p>
        </w:tc>
      </w:tr>
      <w:tr w14:paraId="1C24EF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F1E31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404F46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0A9951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10EB320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13BDF230">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8B51E62">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7A7902EE">
            <w:pPr>
              <w:suppressAutoHyphens/>
              <w:autoSpaceDE w:val="0"/>
              <w:autoSpaceDN w:val="0"/>
              <w:spacing w:line="360" w:lineRule="auto"/>
              <w:rPr>
                <w:rFonts w:hint="eastAsia" w:ascii="仿宋" w:hAnsi="仿宋" w:eastAsia="仿宋" w:cs="仿宋"/>
                <w:sz w:val="24"/>
              </w:rPr>
            </w:pPr>
          </w:p>
        </w:tc>
      </w:tr>
      <w:tr w14:paraId="443BF70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52179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4E0D0F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3EC80E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13D8E35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69C26FE2">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0042259">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1CB8E39">
            <w:pPr>
              <w:suppressAutoHyphens/>
              <w:autoSpaceDE w:val="0"/>
              <w:autoSpaceDN w:val="0"/>
              <w:spacing w:line="360" w:lineRule="auto"/>
              <w:rPr>
                <w:rFonts w:hint="eastAsia" w:ascii="仿宋" w:hAnsi="仿宋" w:eastAsia="仿宋" w:cs="仿宋"/>
                <w:sz w:val="24"/>
              </w:rPr>
            </w:pPr>
          </w:p>
        </w:tc>
      </w:tr>
      <w:tr w14:paraId="72ADFA44">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A5322E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CACE3C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433CC2F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6B53B1D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30875088">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661803D7">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100878EA">
            <w:pPr>
              <w:suppressAutoHyphens/>
              <w:autoSpaceDE w:val="0"/>
              <w:autoSpaceDN w:val="0"/>
              <w:spacing w:line="360" w:lineRule="auto"/>
              <w:rPr>
                <w:rFonts w:hint="eastAsia" w:ascii="仿宋" w:hAnsi="仿宋" w:eastAsia="仿宋" w:cs="仿宋"/>
                <w:sz w:val="24"/>
              </w:rPr>
            </w:pPr>
          </w:p>
        </w:tc>
      </w:tr>
    </w:tbl>
    <w:p w14:paraId="1122E06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1C562C00">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23472A9E">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2112C4FE">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347C74B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563E307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75B37ECD">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1AFB0DC2">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77E3A23E">
      <w:pPr>
        <w:autoSpaceDE w:val="0"/>
        <w:autoSpaceDN w:val="0"/>
        <w:spacing w:line="360" w:lineRule="auto"/>
        <w:rPr>
          <w:rFonts w:hint="eastAsia" w:ascii="仿宋" w:hAnsi="仿宋" w:eastAsia="仿宋" w:cs="仿宋"/>
          <w:b/>
          <w:sz w:val="24"/>
        </w:rPr>
      </w:pPr>
    </w:p>
    <w:p w14:paraId="080ABED0">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3A2BC2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6A2E59C">
      <w:pPr>
        <w:spacing w:line="360" w:lineRule="auto"/>
        <w:jc w:val="center"/>
        <w:rPr>
          <w:rFonts w:hint="eastAsia" w:ascii="仿宋" w:hAnsi="仿宋" w:eastAsia="仿宋" w:cs="仿宋"/>
          <w:b/>
          <w:bCs/>
          <w:sz w:val="32"/>
          <w:szCs w:val="32"/>
        </w:rPr>
      </w:pPr>
    </w:p>
    <w:p w14:paraId="39EF3BE4">
      <w:pPr>
        <w:spacing w:line="360" w:lineRule="auto"/>
        <w:jc w:val="center"/>
        <w:rPr>
          <w:rFonts w:hint="eastAsia" w:ascii="仿宋" w:hAnsi="仿宋" w:eastAsia="仿宋" w:cs="仿宋"/>
          <w:kern w:val="0"/>
          <w:sz w:val="24"/>
        </w:rPr>
      </w:pPr>
    </w:p>
    <w:p w14:paraId="63443BE0">
      <w:pPr>
        <w:spacing w:line="360" w:lineRule="auto"/>
        <w:jc w:val="center"/>
        <w:rPr>
          <w:rFonts w:hint="eastAsia" w:ascii="仿宋" w:hAnsi="仿宋" w:eastAsia="仿宋" w:cs="仿宋"/>
          <w:kern w:val="0"/>
          <w:sz w:val="24"/>
        </w:rPr>
      </w:pPr>
    </w:p>
    <w:p w14:paraId="33D2309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十四、认为需求的</w:t>
      </w:r>
      <w:r>
        <w:rPr>
          <w:rFonts w:hint="eastAsia" w:ascii="仿宋" w:hAnsi="仿宋" w:eastAsia="仿宋" w:cs="仿宋"/>
          <w:b/>
          <w:kern w:val="0"/>
          <w:sz w:val="32"/>
          <w:szCs w:val="32"/>
          <w:lang w:val="zh-CN"/>
        </w:rPr>
        <w:t>其他技术文件或说明</w:t>
      </w:r>
    </w:p>
    <w:p w14:paraId="0DC5FF75">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249416C">
      <w:pPr>
        <w:spacing w:line="360" w:lineRule="auto"/>
        <w:rPr>
          <w:rFonts w:hint="eastAsia" w:ascii="仿宋" w:hAnsi="仿宋" w:eastAsia="仿宋" w:cs="仿宋"/>
          <w:sz w:val="24"/>
        </w:rPr>
      </w:pPr>
    </w:p>
    <w:p w14:paraId="0A29B70B">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4ADD64C">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BE3C4C7">
      <w:pPr>
        <w:spacing w:line="360" w:lineRule="auto"/>
        <w:jc w:val="center"/>
        <w:rPr>
          <w:rFonts w:hint="eastAsia" w:ascii="仿宋" w:hAnsi="仿宋" w:eastAsia="仿宋" w:cs="仿宋"/>
          <w:b/>
          <w:bCs/>
          <w:sz w:val="32"/>
          <w:szCs w:val="32"/>
        </w:rPr>
      </w:pPr>
    </w:p>
    <w:p w14:paraId="1C87F3CE">
      <w:pPr>
        <w:tabs>
          <w:tab w:val="left" w:pos="0"/>
        </w:tabs>
        <w:autoSpaceDE w:val="0"/>
        <w:autoSpaceDN w:val="0"/>
        <w:spacing w:line="360" w:lineRule="auto"/>
        <w:ind w:firstLine="2409" w:firstLineChars="800"/>
        <w:rPr>
          <w:rFonts w:hint="eastAsia" w:ascii="仿宋" w:hAnsi="仿宋" w:eastAsia="仿宋" w:cs="仿宋"/>
          <w:b/>
          <w:bCs/>
          <w:sz w:val="30"/>
          <w:szCs w:val="30"/>
        </w:rPr>
      </w:pPr>
    </w:p>
    <w:p w14:paraId="50978AF1">
      <w:pPr>
        <w:tabs>
          <w:tab w:val="left" w:pos="0"/>
        </w:tabs>
        <w:autoSpaceDE w:val="0"/>
        <w:autoSpaceDN w:val="0"/>
        <w:spacing w:line="360" w:lineRule="auto"/>
        <w:jc w:val="center"/>
        <w:rPr>
          <w:rFonts w:hint="eastAsia" w:ascii="仿宋" w:hAnsi="仿宋" w:eastAsia="仿宋" w:cs="仿宋"/>
          <w:b/>
          <w:bCs/>
          <w:sz w:val="30"/>
          <w:szCs w:val="30"/>
        </w:rPr>
      </w:pPr>
    </w:p>
    <w:p w14:paraId="11E7B3C9">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66FBF219">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十五、</w:t>
      </w:r>
      <w:r>
        <w:rPr>
          <w:rFonts w:hint="eastAsia" w:ascii="仿宋" w:hAnsi="仿宋" w:eastAsia="仿宋" w:cs="仿宋"/>
          <w:b/>
          <w:kern w:val="0"/>
          <w:sz w:val="32"/>
          <w:szCs w:val="32"/>
          <w:lang w:val="zh-CN"/>
        </w:rPr>
        <w:t>政府采购供应商廉洁自律承诺书</w:t>
      </w:r>
    </w:p>
    <w:p w14:paraId="776AAB2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53DE62B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09C7240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7B95C8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DCFEA6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6B36F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A89374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A2A04A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CEB7EF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298E6D3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进行项目建设或其他经营活动，并通报省财政厅。由此引起的相应损失均由我单位承担。</w:t>
      </w:r>
    </w:p>
    <w:p w14:paraId="05CB6585">
      <w:pPr>
        <w:autoSpaceDE w:val="0"/>
        <w:autoSpaceDN w:val="0"/>
        <w:spacing w:line="360" w:lineRule="auto"/>
        <w:ind w:left="2"/>
        <w:jc w:val="left"/>
        <w:rPr>
          <w:rFonts w:hint="eastAsia" w:ascii="仿宋" w:hAnsi="仿宋" w:eastAsia="仿宋" w:cs="仿宋"/>
          <w:kern w:val="0"/>
          <w:sz w:val="24"/>
          <w:lang w:val="zh-CN"/>
        </w:rPr>
      </w:pPr>
    </w:p>
    <w:p w14:paraId="6D19F268">
      <w:pPr>
        <w:autoSpaceDE w:val="0"/>
        <w:autoSpaceDN w:val="0"/>
        <w:spacing w:line="360" w:lineRule="auto"/>
        <w:ind w:left="2"/>
        <w:jc w:val="left"/>
        <w:rPr>
          <w:rFonts w:hint="eastAsia" w:ascii="仿宋" w:hAnsi="仿宋" w:eastAsia="仿宋" w:cs="仿宋"/>
          <w:kern w:val="0"/>
          <w:sz w:val="24"/>
          <w:lang w:val="zh-CN"/>
        </w:rPr>
      </w:pPr>
    </w:p>
    <w:p w14:paraId="570BF209">
      <w:pPr>
        <w:autoSpaceDE w:val="0"/>
        <w:autoSpaceDN w:val="0"/>
        <w:spacing w:line="360" w:lineRule="auto"/>
        <w:ind w:left="2"/>
        <w:jc w:val="left"/>
        <w:rPr>
          <w:rFonts w:hint="eastAsia" w:ascii="仿宋" w:hAnsi="仿宋" w:eastAsia="仿宋" w:cs="仿宋"/>
          <w:kern w:val="0"/>
          <w:sz w:val="24"/>
          <w:lang w:val="zh-CN"/>
        </w:rPr>
      </w:pPr>
    </w:p>
    <w:p w14:paraId="09BA7325">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6204B9C">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081DFA2">
      <w:pPr>
        <w:spacing w:line="360" w:lineRule="auto"/>
        <w:jc w:val="center"/>
        <w:rPr>
          <w:rFonts w:hint="eastAsia" w:ascii="仿宋" w:hAnsi="仿宋" w:eastAsia="仿宋" w:cs="仿宋"/>
          <w:b/>
          <w:sz w:val="36"/>
          <w:szCs w:val="36"/>
        </w:rPr>
      </w:pPr>
    </w:p>
    <w:p w14:paraId="32347F2D">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7A3D13FF">
      <w:pPr>
        <w:pStyle w:val="115"/>
        <w:keepNext w:val="0"/>
        <w:pageBreakBefore w:val="0"/>
        <w:tabs>
          <w:tab w:val="clear" w:pos="720"/>
        </w:tabs>
        <w:ind w:firstLine="640"/>
        <w:outlineLvl w:val="9"/>
        <w:rPr>
          <w:rFonts w:hint="eastAsia" w:ascii="仿宋" w:hAnsi="仿宋" w:eastAsia="仿宋" w:cs="仿宋"/>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54B0040">
      <w:pPr>
        <w:pStyle w:val="393"/>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14:paraId="0A3B4888">
      <w:pPr>
        <w:pStyle w:val="115"/>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14:paraId="75828AAC">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59B983B">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p w14:paraId="67DF2F96">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D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9AB67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5C92BEC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59E76A2D">
            <w:pPr>
              <w:spacing w:line="360" w:lineRule="auto"/>
              <w:jc w:val="center"/>
              <w:rPr>
                <w:rFonts w:hint="eastAsia" w:ascii="仿宋" w:hAnsi="仿宋" w:eastAsia="仿宋" w:cs="仿宋"/>
                <w:b/>
                <w:sz w:val="24"/>
              </w:rPr>
            </w:pPr>
          </w:p>
          <w:p w14:paraId="607C18E0">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5D35644A">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1A9165D2">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3BB39F50">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25EE74FF">
            <w:pPr>
              <w:spacing w:line="360" w:lineRule="auto"/>
              <w:jc w:val="center"/>
              <w:rPr>
                <w:rFonts w:hint="eastAsia" w:ascii="仿宋" w:hAnsi="仿宋" w:eastAsia="仿宋" w:cs="仿宋"/>
                <w:b/>
                <w:sz w:val="24"/>
              </w:rPr>
            </w:pPr>
          </w:p>
          <w:p w14:paraId="3F71762A">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1270BD70">
            <w:pPr>
              <w:spacing w:line="360" w:lineRule="auto"/>
              <w:jc w:val="center"/>
              <w:rPr>
                <w:rFonts w:hint="eastAsia" w:ascii="仿宋" w:hAnsi="仿宋" w:eastAsia="仿宋" w:cs="仿宋"/>
                <w:b/>
                <w:sz w:val="24"/>
              </w:rPr>
            </w:pPr>
          </w:p>
          <w:p w14:paraId="51CAD032">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6F9C7A61">
            <w:pPr>
              <w:spacing w:line="360" w:lineRule="auto"/>
              <w:jc w:val="center"/>
              <w:rPr>
                <w:rFonts w:hint="eastAsia" w:ascii="仿宋" w:hAnsi="仿宋" w:eastAsia="仿宋" w:cs="仿宋"/>
                <w:b/>
                <w:sz w:val="24"/>
              </w:rPr>
            </w:pPr>
          </w:p>
        </w:tc>
      </w:tr>
      <w:tr w14:paraId="652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5F77C82">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38262610">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3159478B">
            <w:pPr>
              <w:snapToGrid w:val="0"/>
              <w:spacing w:line="360" w:lineRule="auto"/>
              <w:jc w:val="center"/>
              <w:rPr>
                <w:rFonts w:hint="eastAsia" w:ascii="仿宋" w:hAnsi="仿宋" w:eastAsia="仿宋" w:cs="仿宋"/>
                <w:sz w:val="24"/>
              </w:rPr>
            </w:pPr>
          </w:p>
        </w:tc>
        <w:tc>
          <w:tcPr>
            <w:tcW w:w="2410" w:type="dxa"/>
            <w:vAlign w:val="center"/>
          </w:tcPr>
          <w:p w14:paraId="1136DF33">
            <w:pPr>
              <w:snapToGrid w:val="0"/>
              <w:spacing w:line="360" w:lineRule="auto"/>
              <w:jc w:val="center"/>
              <w:rPr>
                <w:rFonts w:hint="eastAsia" w:ascii="仿宋" w:hAnsi="仿宋" w:eastAsia="仿宋" w:cs="仿宋"/>
                <w:sz w:val="24"/>
              </w:rPr>
            </w:pPr>
          </w:p>
        </w:tc>
        <w:tc>
          <w:tcPr>
            <w:tcW w:w="2268" w:type="dxa"/>
            <w:vAlign w:val="center"/>
          </w:tcPr>
          <w:p w14:paraId="73A9BC1B">
            <w:pPr>
              <w:snapToGrid w:val="0"/>
              <w:spacing w:line="360" w:lineRule="auto"/>
              <w:jc w:val="center"/>
              <w:rPr>
                <w:rFonts w:hint="eastAsia" w:ascii="仿宋" w:hAnsi="仿宋" w:eastAsia="仿宋" w:cs="仿宋"/>
                <w:sz w:val="24"/>
              </w:rPr>
            </w:pPr>
          </w:p>
        </w:tc>
        <w:tc>
          <w:tcPr>
            <w:tcW w:w="2126" w:type="dxa"/>
            <w:vAlign w:val="center"/>
          </w:tcPr>
          <w:p w14:paraId="6C071AEE">
            <w:pPr>
              <w:spacing w:line="360" w:lineRule="auto"/>
              <w:jc w:val="center"/>
              <w:rPr>
                <w:rFonts w:hint="eastAsia" w:ascii="仿宋" w:hAnsi="仿宋" w:eastAsia="仿宋" w:cs="仿宋"/>
                <w:sz w:val="24"/>
              </w:rPr>
            </w:pPr>
          </w:p>
        </w:tc>
        <w:tc>
          <w:tcPr>
            <w:tcW w:w="2127" w:type="dxa"/>
          </w:tcPr>
          <w:p w14:paraId="481188BF">
            <w:pPr>
              <w:spacing w:line="360" w:lineRule="auto"/>
              <w:jc w:val="center"/>
              <w:rPr>
                <w:rFonts w:hint="eastAsia" w:ascii="仿宋" w:hAnsi="仿宋" w:eastAsia="仿宋" w:cs="仿宋"/>
                <w:sz w:val="24"/>
              </w:rPr>
            </w:pPr>
          </w:p>
        </w:tc>
        <w:tc>
          <w:tcPr>
            <w:tcW w:w="2126" w:type="dxa"/>
            <w:vAlign w:val="center"/>
          </w:tcPr>
          <w:p w14:paraId="68FE80A7">
            <w:pPr>
              <w:spacing w:line="360" w:lineRule="auto"/>
              <w:jc w:val="center"/>
              <w:rPr>
                <w:rFonts w:hint="eastAsia" w:ascii="仿宋" w:hAnsi="仿宋" w:eastAsia="仿宋" w:cs="仿宋"/>
                <w:sz w:val="24"/>
              </w:rPr>
            </w:pPr>
          </w:p>
        </w:tc>
      </w:tr>
      <w:tr w14:paraId="7FD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9F76F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1950EA64">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448D0994">
            <w:pPr>
              <w:snapToGrid w:val="0"/>
              <w:spacing w:line="360" w:lineRule="auto"/>
              <w:jc w:val="center"/>
              <w:rPr>
                <w:rFonts w:hint="eastAsia" w:ascii="仿宋" w:hAnsi="仿宋" w:eastAsia="仿宋" w:cs="仿宋"/>
                <w:sz w:val="24"/>
              </w:rPr>
            </w:pPr>
          </w:p>
        </w:tc>
        <w:tc>
          <w:tcPr>
            <w:tcW w:w="2410" w:type="dxa"/>
            <w:vAlign w:val="center"/>
          </w:tcPr>
          <w:p w14:paraId="5FF31FC3">
            <w:pPr>
              <w:snapToGrid w:val="0"/>
              <w:spacing w:line="360" w:lineRule="auto"/>
              <w:jc w:val="center"/>
              <w:rPr>
                <w:rFonts w:hint="eastAsia" w:ascii="仿宋" w:hAnsi="仿宋" w:eastAsia="仿宋" w:cs="仿宋"/>
                <w:sz w:val="24"/>
              </w:rPr>
            </w:pPr>
          </w:p>
        </w:tc>
        <w:tc>
          <w:tcPr>
            <w:tcW w:w="2268" w:type="dxa"/>
            <w:vAlign w:val="center"/>
          </w:tcPr>
          <w:p w14:paraId="512C163B">
            <w:pPr>
              <w:snapToGrid w:val="0"/>
              <w:spacing w:line="360" w:lineRule="auto"/>
              <w:jc w:val="center"/>
              <w:rPr>
                <w:rFonts w:hint="eastAsia" w:ascii="仿宋" w:hAnsi="仿宋" w:eastAsia="仿宋" w:cs="仿宋"/>
                <w:sz w:val="24"/>
              </w:rPr>
            </w:pPr>
          </w:p>
        </w:tc>
        <w:tc>
          <w:tcPr>
            <w:tcW w:w="2126" w:type="dxa"/>
            <w:vAlign w:val="center"/>
          </w:tcPr>
          <w:p w14:paraId="12802913">
            <w:pPr>
              <w:spacing w:line="360" w:lineRule="auto"/>
              <w:jc w:val="center"/>
              <w:rPr>
                <w:rFonts w:hint="eastAsia" w:ascii="仿宋" w:hAnsi="仿宋" w:eastAsia="仿宋" w:cs="仿宋"/>
                <w:sz w:val="24"/>
              </w:rPr>
            </w:pPr>
          </w:p>
        </w:tc>
        <w:tc>
          <w:tcPr>
            <w:tcW w:w="2127" w:type="dxa"/>
          </w:tcPr>
          <w:p w14:paraId="7F88A35C">
            <w:pPr>
              <w:spacing w:line="360" w:lineRule="auto"/>
              <w:jc w:val="center"/>
              <w:rPr>
                <w:rFonts w:hint="eastAsia" w:ascii="仿宋" w:hAnsi="仿宋" w:eastAsia="仿宋" w:cs="仿宋"/>
                <w:sz w:val="24"/>
              </w:rPr>
            </w:pPr>
          </w:p>
        </w:tc>
        <w:tc>
          <w:tcPr>
            <w:tcW w:w="2126" w:type="dxa"/>
            <w:vAlign w:val="center"/>
          </w:tcPr>
          <w:p w14:paraId="76925F22">
            <w:pPr>
              <w:spacing w:line="360" w:lineRule="auto"/>
              <w:jc w:val="center"/>
              <w:rPr>
                <w:rFonts w:hint="eastAsia" w:ascii="仿宋" w:hAnsi="仿宋" w:eastAsia="仿宋" w:cs="仿宋"/>
                <w:sz w:val="24"/>
              </w:rPr>
            </w:pPr>
          </w:p>
        </w:tc>
      </w:tr>
      <w:tr w14:paraId="293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347050">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1D711E68">
            <w:pPr>
              <w:snapToGrid w:val="0"/>
              <w:spacing w:line="360" w:lineRule="auto"/>
              <w:jc w:val="center"/>
              <w:rPr>
                <w:rFonts w:hint="eastAsia" w:ascii="仿宋" w:hAnsi="仿宋" w:eastAsia="仿宋" w:cs="仿宋"/>
                <w:sz w:val="24"/>
              </w:rPr>
            </w:pPr>
          </w:p>
        </w:tc>
        <w:tc>
          <w:tcPr>
            <w:tcW w:w="2268" w:type="dxa"/>
            <w:vAlign w:val="center"/>
          </w:tcPr>
          <w:p w14:paraId="5182F7F3">
            <w:pPr>
              <w:snapToGrid w:val="0"/>
              <w:spacing w:line="360" w:lineRule="auto"/>
              <w:jc w:val="center"/>
              <w:rPr>
                <w:rFonts w:hint="eastAsia" w:ascii="仿宋" w:hAnsi="仿宋" w:eastAsia="仿宋" w:cs="仿宋"/>
                <w:sz w:val="24"/>
              </w:rPr>
            </w:pPr>
          </w:p>
        </w:tc>
        <w:tc>
          <w:tcPr>
            <w:tcW w:w="2410" w:type="dxa"/>
            <w:vAlign w:val="center"/>
          </w:tcPr>
          <w:p w14:paraId="060F6DD3">
            <w:pPr>
              <w:snapToGrid w:val="0"/>
              <w:spacing w:line="360" w:lineRule="auto"/>
              <w:jc w:val="center"/>
              <w:rPr>
                <w:rFonts w:hint="eastAsia" w:ascii="仿宋" w:hAnsi="仿宋" w:eastAsia="仿宋" w:cs="仿宋"/>
                <w:sz w:val="24"/>
              </w:rPr>
            </w:pPr>
          </w:p>
        </w:tc>
        <w:tc>
          <w:tcPr>
            <w:tcW w:w="2268" w:type="dxa"/>
            <w:vAlign w:val="center"/>
          </w:tcPr>
          <w:p w14:paraId="1AEF5711">
            <w:pPr>
              <w:snapToGrid w:val="0"/>
              <w:spacing w:line="360" w:lineRule="auto"/>
              <w:jc w:val="center"/>
              <w:rPr>
                <w:rFonts w:hint="eastAsia" w:ascii="仿宋" w:hAnsi="仿宋" w:eastAsia="仿宋" w:cs="仿宋"/>
                <w:sz w:val="24"/>
              </w:rPr>
            </w:pPr>
          </w:p>
        </w:tc>
        <w:tc>
          <w:tcPr>
            <w:tcW w:w="2126" w:type="dxa"/>
            <w:vAlign w:val="center"/>
          </w:tcPr>
          <w:p w14:paraId="6DF98432">
            <w:pPr>
              <w:spacing w:line="360" w:lineRule="auto"/>
              <w:jc w:val="center"/>
              <w:rPr>
                <w:rFonts w:hint="eastAsia" w:ascii="仿宋" w:hAnsi="仿宋" w:eastAsia="仿宋" w:cs="仿宋"/>
                <w:sz w:val="24"/>
              </w:rPr>
            </w:pPr>
          </w:p>
        </w:tc>
        <w:tc>
          <w:tcPr>
            <w:tcW w:w="2127" w:type="dxa"/>
          </w:tcPr>
          <w:p w14:paraId="78B4DD40">
            <w:pPr>
              <w:spacing w:line="360" w:lineRule="auto"/>
              <w:jc w:val="center"/>
              <w:rPr>
                <w:rFonts w:hint="eastAsia" w:ascii="仿宋" w:hAnsi="仿宋" w:eastAsia="仿宋" w:cs="仿宋"/>
                <w:sz w:val="24"/>
              </w:rPr>
            </w:pPr>
          </w:p>
        </w:tc>
        <w:tc>
          <w:tcPr>
            <w:tcW w:w="2126" w:type="dxa"/>
            <w:vAlign w:val="center"/>
          </w:tcPr>
          <w:p w14:paraId="593FBAE7">
            <w:pPr>
              <w:spacing w:line="360" w:lineRule="auto"/>
              <w:jc w:val="center"/>
              <w:rPr>
                <w:rFonts w:hint="eastAsia" w:ascii="仿宋" w:hAnsi="仿宋" w:eastAsia="仿宋" w:cs="仿宋"/>
                <w:sz w:val="24"/>
              </w:rPr>
            </w:pPr>
          </w:p>
        </w:tc>
      </w:tr>
      <w:tr w14:paraId="5D8A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B40B15">
            <w:pPr>
              <w:spacing w:line="360" w:lineRule="auto"/>
              <w:jc w:val="center"/>
              <w:rPr>
                <w:rFonts w:hint="eastAsia" w:ascii="仿宋" w:hAnsi="仿宋" w:eastAsia="仿宋" w:cs="仿宋"/>
                <w:sz w:val="24"/>
              </w:rPr>
            </w:pPr>
          </w:p>
        </w:tc>
        <w:tc>
          <w:tcPr>
            <w:tcW w:w="992" w:type="dxa"/>
            <w:vAlign w:val="center"/>
          </w:tcPr>
          <w:p w14:paraId="25C7447B">
            <w:pPr>
              <w:snapToGrid w:val="0"/>
              <w:spacing w:line="360" w:lineRule="auto"/>
              <w:jc w:val="center"/>
              <w:rPr>
                <w:rFonts w:hint="eastAsia" w:ascii="仿宋" w:hAnsi="仿宋" w:eastAsia="仿宋" w:cs="仿宋"/>
                <w:sz w:val="24"/>
              </w:rPr>
            </w:pPr>
          </w:p>
        </w:tc>
        <w:tc>
          <w:tcPr>
            <w:tcW w:w="2268" w:type="dxa"/>
            <w:vAlign w:val="center"/>
          </w:tcPr>
          <w:p w14:paraId="22CA31B8">
            <w:pPr>
              <w:snapToGrid w:val="0"/>
              <w:spacing w:line="360" w:lineRule="auto"/>
              <w:jc w:val="center"/>
              <w:rPr>
                <w:rFonts w:hint="eastAsia" w:ascii="仿宋" w:hAnsi="仿宋" w:eastAsia="仿宋" w:cs="仿宋"/>
                <w:sz w:val="24"/>
              </w:rPr>
            </w:pPr>
          </w:p>
        </w:tc>
        <w:tc>
          <w:tcPr>
            <w:tcW w:w="2410" w:type="dxa"/>
            <w:vAlign w:val="center"/>
          </w:tcPr>
          <w:p w14:paraId="63C7DB65">
            <w:pPr>
              <w:snapToGrid w:val="0"/>
              <w:spacing w:line="360" w:lineRule="auto"/>
              <w:jc w:val="center"/>
              <w:rPr>
                <w:rFonts w:hint="eastAsia" w:ascii="仿宋" w:hAnsi="仿宋" w:eastAsia="仿宋" w:cs="仿宋"/>
                <w:sz w:val="24"/>
              </w:rPr>
            </w:pPr>
          </w:p>
        </w:tc>
        <w:tc>
          <w:tcPr>
            <w:tcW w:w="2268" w:type="dxa"/>
            <w:vAlign w:val="center"/>
          </w:tcPr>
          <w:p w14:paraId="207CA94B">
            <w:pPr>
              <w:snapToGrid w:val="0"/>
              <w:spacing w:line="360" w:lineRule="auto"/>
              <w:jc w:val="center"/>
              <w:rPr>
                <w:rFonts w:hint="eastAsia" w:ascii="仿宋" w:hAnsi="仿宋" w:eastAsia="仿宋" w:cs="仿宋"/>
                <w:sz w:val="24"/>
              </w:rPr>
            </w:pPr>
          </w:p>
        </w:tc>
        <w:tc>
          <w:tcPr>
            <w:tcW w:w="2126" w:type="dxa"/>
            <w:vAlign w:val="center"/>
          </w:tcPr>
          <w:p w14:paraId="328D6C86">
            <w:pPr>
              <w:spacing w:line="360" w:lineRule="auto"/>
              <w:jc w:val="center"/>
              <w:rPr>
                <w:rFonts w:hint="eastAsia" w:ascii="仿宋" w:hAnsi="仿宋" w:eastAsia="仿宋" w:cs="仿宋"/>
                <w:sz w:val="24"/>
              </w:rPr>
            </w:pPr>
          </w:p>
        </w:tc>
        <w:tc>
          <w:tcPr>
            <w:tcW w:w="2127" w:type="dxa"/>
          </w:tcPr>
          <w:p w14:paraId="629FF642">
            <w:pPr>
              <w:spacing w:line="360" w:lineRule="auto"/>
              <w:jc w:val="center"/>
              <w:rPr>
                <w:rFonts w:hint="eastAsia" w:ascii="仿宋" w:hAnsi="仿宋" w:eastAsia="仿宋" w:cs="仿宋"/>
                <w:sz w:val="24"/>
              </w:rPr>
            </w:pPr>
          </w:p>
        </w:tc>
        <w:tc>
          <w:tcPr>
            <w:tcW w:w="2126" w:type="dxa"/>
            <w:vAlign w:val="center"/>
          </w:tcPr>
          <w:p w14:paraId="53727AFD">
            <w:pPr>
              <w:spacing w:line="360" w:lineRule="auto"/>
              <w:jc w:val="center"/>
              <w:rPr>
                <w:rFonts w:hint="eastAsia" w:ascii="仿宋" w:hAnsi="仿宋" w:eastAsia="仿宋" w:cs="仿宋"/>
                <w:sz w:val="24"/>
              </w:rPr>
            </w:pPr>
          </w:p>
        </w:tc>
      </w:tr>
      <w:tr w14:paraId="6225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DD5B6C">
            <w:pPr>
              <w:spacing w:line="360" w:lineRule="auto"/>
              <w:jc w:val="center"/>
              <w:rPr>
                <w:rFonts w:hint="eastAsia" w:ascii="仿宋" w:hAnsi="仿宋" w:eastAsia="仿宋" w:cs="仿宋"/>
                <w:sz w:val="24"/>
              </w:rPr>
            </w:pPr>
          </w:p>
        </w:tc>
        <w:tc>
          <w:tcPr>
            <w:tcW w:w="992" w:type="dxa"/>
            <w:vAlign w:val="center"/>
          </w:tcPr>
          <w:p w14:paraId="0E2A67EE">
            <w:pPr>
              <w:snapToGrid w:val="0"/>
              <w:spacing w:line="360" w:lineRule="auto"/>
              <w:jc w:val="center"/>
              <w:rPr>
                <w:rFonts w:hint="eastAsia" w:ascii="仿宋" w:hAnsi="仿宋" w:eastAsia="仿宋" w:cs="仿宋"/>
                <w:sz w:val="24"/>
              </w:rPr>
            </w:pPr>
          </w:p>
        </w:tc>
        <w:tc>
          <w:tcPr>
            <w:tcW w:w="2268" w:type="dxa"/>
            <w:vAlign w:val="center"/>
          </w:tcPr>
          <w:p w14:paraId="306D0250">
            <w:pPr>
              <w:snapToGrid w:val="0"/>
              <w:spacing w:line="360" w:lineRule="auto"/>
              <w:jc w:val="center"/>
              <w:rPr>
                <w:rFonts w:hint="eastAsia" w:ascii="仿宋" w:hAnsi="仿宋" w:eastAsia="仿宋" w:cs="仿宋"/>
                <w:sz w:val="24"/>
              </w:rPr>
            </w:pPr>
          </w:p>
        </w:tc>
        <w:tc>
          <w:tcPr>
            <w:tcW w:w="2410" w:type="dxa"/>
            <w:vAlign w:val="center"/>
          </w:tcPr>
          <w:p w14:paraId="4C3C0443">
            <w:pPr>
              <w:snapToGrid w:val="0"/>
              <w:spacing w:line="360" w:lineRule="auto"/>
              <w:jc w:val="center"/>
              <w:rPr>
                <w:rFonts w:hint="eastAsia" w:ascii="仿宋" w:hAnsi="仿宋" w:eastAsia="仿宋" w:cs="仿宋"/>
                <w:sz w:val="24"/>
              </w:rPr>
            </w:pPr>
          </w:p>
        </w:tc>
        <w:tc>
          <w:tcPr>
            <w:tcW w:w="2268" w:type="dxa"/>
            <w:vAlign w:val="center"/>
          </w:tcPr>
          <w:p w14:paraId="69B8223E">
            <w:pPr>
              <w:snapToGrid w:val="0"/>
              <w:spacing w:line="360" w:lineRule="auto"/>
              <w:jc w:val="center"/>
              <w:rPr>
                <w:rFonts w:hint="eastAsia" w:ascii="仿宋" w:hAnsi="仿宋" w:eastAsia="仿宋" w:cs="仿宋"/>
                <w:sz w:val="24"/>
              </w:rPr>
            </w:pPr>
          </w:p>
        </w:tc>
        <w:tc>
          <w:tcPr>
            <w:tcW w:w="2126" w:type="dxa"/>
            <w:vAlign w:val="center"/>
          </w:tcPr>
          <w:p w14:paraId="2AB0DD5D">
            <w:pPr>
              <w:spacing w:line="360" w:lineRule="auto"/>
              <w:jc w:val="center"/>
              <w:rPr>
                <w:rFonts w:hint="eastAsia" w:ascii="仿宋" w:hAnsi="仿宋" w:eastAsia="仿宋" w:cs="仿宋"/>
                <w:sz w:val="24"/>
              </w:rPr>
            </w:pPr>
          </w:p>
        </w:tc>
        <w:tc>
          <w:tcPr>
            <w:tcW w:w="2127" w:type="dxa"/>
          </w:tcPr>
          <w:p w14:paraId="0CC9B64F">
            <w:pPr>
              <w:spacing w:line="360" w:lineRule="auto"/>
              <w:jc w:val="center"/>
              <w:rPr>
                <w:rFonts w:hint="eastAsia" w:ascii="仿宋" w:hAnsi="仿宋" w:eastAsia="仿宋" w:cs="仿宋"/>
                <w:sz w:val="24"/>
              </w:rPr>
            </w:pPr>
          </w:p>
        </w:tc>
        <w:tc>
          <w:tcPr>
            <w:tcW w:w="2126" w:type="dxa"/>
            <w:vAlign w:val="center"/>
          </w:tcPr>
          <w:p w14:paraId="6080687A">
            <w:pPr>
              <w:spacing w:line="360" w:lineRule="auto"/>
              <w:jc w:val="center"/>
              <w:rPr>
                <w:rFonts w:hint="eastAsia" w:ascii="仿宋" w:hAnsi="仿宋" w:eastAsia="仿宋" w:cs="仿宋"/>
                <w:sz w:val="24"/>
              </w:rPr>
            </w:pPr>
          </w:p>
        </w:tc>
      </w:tr>
      <w:tr w14:paraId="7571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AA27335">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171A4639">
            <w:pPr>
              <w:spacing w:line="360" w:lineRule="auto"/>
              <w:jc w:val="center"/>
              <w:rPr>
                <w:rFonts w:hint="eastAsia" w:ascii="仿宋" w:hAnsi="仿宋" w:eastAsia="仿宋" w:cs="仿宋"/>
                <w:sz w:val="24"/>
              </w:rPr>
            </w:pPr>
          </w:p>
        </w:tc>
      </w:tr>
      <w:tr w14:paraId="533E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06C5EBC">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0BF9B082">
            <w:pPr>
              <w:spacing w:line="360" w:lineRule="auto"/>
              <w:jc w:val="center"/>
              <w:rPr>
                <w:rFonts w:hint="eastAsia" w:ascii="仿宋" w:hAnsi="仿宋" w:eastAsia="仿宋" w:cs="仿宋"/>
                <w:sz w:val="24"/>
              </w:rPr>
            </w:pPr>
          </w:p>
        </w:tc>
      </w:tr>
    </w:tbl>
    <w:p w14:paraId="46AC3A60">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7FF3D2F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BF784A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3、特别提示：采购机构将对项目名称和项目编号，成交供应商名称、地址和成交金额，主要成交标的名称、服务范围、服务要求、服务时间、服务标准等予以公示。</w:t>
      </w:r>
    </w:p>
    <w:p w14:paraId="34BAABA2">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AF4A0F5">
      <w:pPr>
        <w:spacing w:line="360" w:lineRule="auto"/>
        <w:ind w:right="-874" w:rightChars="-416"/>
        <w:rPr>
          <w:rFonts w:hint="eastAsia" w:ascii="仿宋" w:hAnsi="仿宋" w:eastAsia="仿宋" w:cs="仿宋"/>
          <w:sz w:val="24"/>
        </w:rPr>
      </w:pPr>
    </w:p>
    <w:p w14:paraId="292E3555">
      <w:pPr>
        <w:spacing w:line="360" w:lineRule="auto"/>
        <w:ind w:right="-874" w:rightChars="-416"/>
        <w:rPr>
          <w:rFonts w:hint="eastAsia" w:ascii="仿宋" w:hAnsi="仿宋" w:eastAsia="仿宋" w:cs="仿宋"/>
          <w:sz w:val="24"/>
        </w:rPr>
      </w:pPr>
    </w:p>
    <w:p w14:paraId="02791DB6">
      <w:pPr>
        <w:spacing w:line="360" w:lineRule="auto"/>
        <w:ind w:right="-874" w:rightChars="-416"/>
        <w:rPr>
          <w:rFonts w:hint="eastAsia" w:ascii="仿宋" w:hAnsi="仿宋" w:eastAsia="仿宋" w:cs="仿宋"/>
          <w:sz w:val="24"/>
        </w:rPr>
      </w:pPr>
    </w:p>
    <w:p w14:paraId="64E41567">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41A0B328">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CF84B36">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1D53347D">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bookmarkStart w:id="94" w:name="_Toc465665161"/>
      <w:r>
        <w:rPr>
          <w:rFonts w:hint="eastAsia" w:ascii="仿宋" w:hAnsi="仿宋" w:eastAsia="仿宋" w:cs="仿宋"/>
        </w:rPr>
        <w:t>附件</w:t>
      </w:r>
      <w:bookmarkEnd w:id="94"/>
    </w:p>
    <w:p w14:paraId="50F1B9D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569D0F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BC395C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6E6419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802C9A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41B35F">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9728A93">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59E12B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99CE932">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0E4B87">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32406D0">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9B1B237">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08569A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BB43D73">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24B6E74">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B137C0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DF72C8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A32C5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02F553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C579228">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457402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56A20026">
      <w:pPr>
        <w:snapToGrid w:val="0"/>
        <w:spacing w:line="360" w:lineRule="auto"/>
        <w:rPr>
          <w:rFonts w:hint="eastAsia" w:ascii="仿宋" w:hAnsi="仿宋" w:eastAsia="仿宋" w:cs="仿宋"/>
          <w:sz w:val="24"/>
        </w:rPr>
      </w:pPr>
      <w:r>
        <w:rPr>
          <w:rFonts w:hint="eastAsia" w:ascii="仿宋" w:hAnsi="仿宋" w:eastAsia="仿宋" w:cs="仿宋"/>
          <w:sz w:val="24"/>
        </w:rPr>
        <w:t>……</w:t>
      </w:r>
    </w:p>
    <w:p w14:paraId="244BCC6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7F862F8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240C1A0">
      <w:pPr>
        <w:spacing w:line="360" w:lineRule="auto"/>
        <w:rPr>
          <w:rFonts w:hint="eastAsia" w:ascii="仿宋" w:hAnsi="仿宋" w:eastAsia="仿宋" w:cs="仿宋"/>
          <w:sz w:val="24"/>
        </w:rPr>
      </w:pPr>
    </w:p>
    <w:p w14:paraId="00596A2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23EF83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61C7F53">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68EC73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FB720E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77DA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CAB307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C6B2A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36650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B473E4D">
      <w:pPr>
        <w:widowControl/>
        <w:spacing w:line="360" w:lineRule="auto"/>
        <w:ind w:firstLine="600" w:firstLineChars="200"/>
        <w:jc w:val="left"/>
        <w:rPr>
          <w:rFonts w:hint="eastAsia" w:ascii="仿宋" w:hAnsi="仿宋" w:eastAsia="仿宋" w:cs="仿宋"/>
          <w:sz w:val="30"/>
          <w:szCs w:val="30"/>
        </w:rPr>
      </w:pPr>
    </w:p>
    <w:p w14:paraId="06B4B6DF">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316A02FF">
      <w:pPr>
        <w:spacing w:line="360" w:lineRule="auto"/>
        <w:jc w:val="center"/>
        <w:rPr>
          <w:rFonts w:hint="eastAsia" w:ascii="仿宋" w:hAnsi="仿宋" w:eastAsia="仿宋" w:cs="仿宋"/>
          <w:b/>
          <w:sz w:val="24"/>
        </w:rPr>
      </w:pPr>
    </w:p>
    <w:p w14:paraId="13CF24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14B7C96">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417FFB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978499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C8C72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FE4C1C">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2294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3AD5B4E">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9B3F34A">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3E57A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A6ACC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BEF6E1">
      <w:pPr>
        <w:spacing w:line="360" w:lineRule="auto"/>
        <w:rPr>
          <w:rFonts w:hint="eastAsia" w:ascii="仿宋" w:hAnsi="仿宋" w:eastAsia="仿宋" w:cs="仿宋"/>
          <w:sz w:val="24"/>
        </w:rPr>
      </w:pPr>
      <w:r>
        <w:rPr>
          <w:rFonts w:hint="eastAsia" w:ascii="仿宋" w:hAnsi="仿宋" w:eastAsia="仿宋" w:cs="仿宋"/>
          <w:sz w:val="24"/>
        </w:rPr>
        <w:t>被投诉人2</w:t>
      </w:r>
    </w:p>
    <w:p w14:paraId="7378B664">
      <w:pPr>
        <w:spacing w:line="360" w:lineRule="auto"/>
        <w:rPr>
          <w:rFonts w:hint="eastAsia" w:ascii="仿宋" w:hAnsi="仿宋" w:eastAsia="仿宋" w:cs="仿宋"/>
          <w:sz w:val="24"/>
          <w:u w:val="dotted"/>
        </w:rPr>
      </w:pPr>
      <w:r>
        <w:rPr>
          <w:rFonts w:hint="eastAsia" w:ascii="仿宋" w:hAnsi="仿宋" w:eastAsia="仿宋" w:cs="仿宋"/>
          <w:sz w:val="24"/>
        </w:rPr>
        <w:t>……</w:t>
      </w:r>
    </w:p>
    <w:p w14:paraId="4A4D85DC">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44BAF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452FE0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3CBBF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996A047">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53922E8">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AADA57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8BFBDA">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707CF7">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5F381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55D5A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927B68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449E4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D3C7339">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246A231">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720CF6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0A0EF7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E0BA4F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BB29BA7">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20B53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17969C4">
      <w:pPr>
        <w:spacing w:line="360" w:lineRule="auto"/>
        <w:rPr>
          <w:rFonts w:hint="eastAsia" w:ascii="仿宋" w:hAnsi="仿宋" w:eastAsia="仿宋" w:cs="仿宋"/>
          <w:sz w:val="24"/>
        </w:rPr>
      </w:pPr>
      <w:r>
        <w:rPr>
          <w:rFonts w:hint="eastAsia" w:ascii="仿宋" w:hAnsi="仿宋" w:eastAsia="仿宋" w:cs="仿宋"/>
          <w:sz w:val="24"/>
        </w:rPr>
        <w:t>投诉事项2</w:t>
      </w:r>
    </w:p>
    <w:p w14:paraId="53E40985">
      <w:pPr>
        <w:spacing w:line="360" w:lineRule="auto"/>
        <w:rPr>
          <w:rFonts w:hint="eastAsia" w:ascii="仿宋" w:hAnsi="仿宋" w:eastAsia="仿宋" w:cs="仿宋"/>
          <w:sz w:val="24"/>
          <w:u w:val="dotted"/>
        </w:rPr>
      </w:pPr>
      <w:r>
        <w:rPr>
          <w:rFonts w:hint="eastAsia" w:ascii="仿宋" w:hAnsi="仿宋" w:eastAsia="仿宋" w:cs="仿宋"/>
          <w:sz w:val="24"/>
        </w:rPr>
        <w:t>……</w:t>
      </w:r>
    </w:p>
    <w:p w14:paraId="2539B31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9EAF557">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E07A2A2">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28E8C0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2848D4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7B2F184">
      <w:pPr>
        <w:spacing w:line="360" w:lineRule="auto"/>
        <w:rPr>
          <w:rFonts w:hint="eastAsia" w:ascii="仿宋" w:hAnsi="仿宋" w:eastAsia="仿宋" w:cs="仿宋"/>
          <w:b/>
          <w:sz w:val="24"/>
        </w:rPr>
      </w:pPr>
    </w:p>
    <w:p w14:paraId="7A55A612">
      <w:pPr>
        <w:spacing w:line="360" w:lineRule="auto"/>
        <w:rPr>
          <w:rFonts w:hint="eastAsia" w:ascii="仿宋" w:hAnsi="仿宋" w:eastAsia="仿宋" w:cs="仿宋"/>
          <w:b/>
          <w:sz w:val="24"/>
        </w:rPr>
      </w:pPr>
    </w:p>
    <w:p w14:paraId="08B817B5">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8687B8B">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EA3ED1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182FDA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22FB75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44914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B0AEFF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B9E718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23EFE48">
      <w:pPr>
        <w:rPr>
          <w:rFonts w:hint="eastAsia" w:ascii="仿宋" w:hAnsi="仿宋" w:eastAsia="仿宋" w:cs="仿宋"/>
          <w:b/>
          <w:sz w:val="24"/>
        </w:rPr>
      </w:pPr>
    </w:p>
    <w:p w14:paraId="52B61DDA">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166A11A8">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14:paraId="408F7FC0">
      <w:pPr>
        <w:spacing w:line="360" w:lineRule="auto"/>
        <w:rPr>
          <w:rFonts w:hint="eastAsia" w:ascii="仿宋" w:hAnsi="仿宋" w:eastAsia="仿宋" w:cs="仿宋"/>
          <w:b/>
          <w:spacing w:val="6"/>
          <w:sz w:val="32"/>
          <w:szCs w:val="32"/>
        </w:rPr>
      </w:pPr>
    </w:p>
    <w:p w14:paraId="52242A5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6DDA3EAE">
      <w:pPr>
        <w:spacing w:line="360" w:lineRule="auto"/>
        <w:rPr>
          <w:rFonts w:hint="eastAsia" w:ascii="仿宋" w:hAnsi="仿宋" w:eastAsia="仿宋" w:cs="仿宋"/>
          <w:b/>
          <w:spacing w:val="6"/>
          <w:sz w:val="30"/>
          <w:szCs w:val="30"/>
        </w:rPr>
      </w:pPr>
    </w:p>
    <w:p w14:paraId="4FCA337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1832E559">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DDBCEC7">
      <w:pPr>
        <w:spacing w:line="360" w:lineRule="auto"/>
        <w:ind w:firstLine="480" w:firstLineChars="200"/>
        <w:rPr>
          <w:rFonts w:hint="eastAsia" w:ascii="仿宋" w:hAnsi="仿宋" w:eastAsia="仿宋" w:cs="仿宋"/>
          <w:sz w:val="24"/>
        </w:rPr>
      </w:pPr>
    </w:p>
    <w:p w14:paraId="5FC347D0">
      <w:pPr>
        <w:spacing w:line="360" w:lineRule="auto"/>
        <w:ind w:firstLine="480" w:firstLineChars="200"/>
        <w:rPr>
          <w:rFonts w:hint="eastAsia" w:ascii="仿宋" w:hAnsi="仿宋" w:eastAsia="仿宋" w:cs="仿宋"/>
          <w:sz w:val="24"/>
        </w:rPr>
      </w:pPr>
    </w:p>
    <w:p w14:paraId="418D0D2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13C139D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F44FEF1">
      <w:pPr>
        <w:spacing w:line="360" w:lineRule="auto"/>
        <w:ind w:firstLine="480" w:firstLineChars="200"/>
        <w:rPr>
          <w:rFonts w:hint="eastAsia" w:ascii="仿宋" w:hAnsi="仿宋" w:eastAsia="仿宋" w:cs="仿宋"/>
          <w:sz w:val="24"/>
        </w:rPr>
      </w:pPr>
    </w:p>
    <w:p w14:paraId="45204211">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4C323215">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14:paraId="4F76AA79">
      <w:pPr>
        <w:spacing w:line="360" w:lineRule="auto"/>
        <w:jc w:val="left"/>
        <w:rPr>
          <w:rFonts w:hint="eastAsia" w:ascii="仿宋" w:hAnsi="仿宋" w:eastAsia="仿宋" w:cs="仿宋"/>
          <w:b/>
          <w:sz w:val="24"/>
        </w:rPr>
      </w:pPr>
    </w:p>
    <w:p w14:paraId="2FF8784C">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512D1E5F">
      <w:pPr>
        <w:autoSpaceDE w:val="0"/>
        <w:autoSpaceDN w:val="0"/>
        <w:jc w:val="center"/>
        <w:rPr>
          <w:rFonts w:hint="eastAsia" w:ascii="仿宋" w:hAnsi="仿宋" w:eastAsia="仿宋" w:cs="仿宋"/>
          <w:b/>
          <w:bCs/>
          <w:sz w:val="32"/>
          <w:szCs w:val="32"/>
        </w:rPr>
      </w:pPr>
    </w:p>
    <w:p w14:paraId="62060AF8">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605C1CA">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B3704FD">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4555C0F">
      <w:pPr>
        <w:spacing w:line="360" w:lineRule="auto"/>
        <w:ind w:firstLine="494"/>
        <w:rPr>
          <w:rFonts w:hint="eastAsia" w:ascii="仿宋" w:hAnsi="仿宋" w:eastAsia="仿宋" w:cs="仿宋"/>
          <w:sz w:val="24"/>
        </w:rPr>
      </w:pPr>
    </w:p>
    <w:p w14:paraId="3831D813">
      <w:pPr>
        <w:spacing w:line="360" w:lineRule="auto"/>
        <w:ind w:firstLine="494"/>
        <w:rPr>
          <w:rFonts w:hint="eastAsia" w:ascii="仿宋" w:hAnsi="仿宋" w:eastAsia="仿宋" w:cs="仿宋"/>
          <w:sz w:val="24"/>
        </w:rPr>
      </w:pPr>
    </w:p>
    <w:p w14:paraId="66FFB2CB">
      <w:pPr>
        <w:spacing w:line="360" w:lineRule="auto"/>
        <w:ind w:firstLine="494"/>
        <w:rPr>
          <w:rFonts w:hint="eastAsia" w:ascii="仿宋" w:hAnsi="仿宋" w:eastAsia="仿宋" w:cs="仿宋"/>
          <w:sz w:val="24"/>
        </w:rPr>
      </w:pPr>
    </w:p>
    <w:p w14:paraId="2B726D3D">
      <w:pPr>
        <w:spacing w:line="360" w:lineRule="auto"/>
        <w:ind w:firstLine="494"/>
        <w:rPr>
          <w:rFonts w:hint="eastAsia" w:ascii="仿宋" w:hAnsi="仿宋" w:eastAsia="仿宋" w:cs="仿宋"/>
          <w:sz w:val="24"/>
        </w:rPr>
      </w:pPr>
    </w:p>
    <w:p w14:paraId="0922A509">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2A7CD0DD">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7E21F404">
      <w:pPr>
        <w:rPr>
          <w:rFonts w:hint="eastAsia" w:ascii="仿宋" w:hAnsi="仿宋" w:eastAsia="仿宋" w:cs="仿宋"/>
          <w:sz w:val="24"/>
        </w:rPr>
      </w:pPr>
      <w:r>
        <w:rPr>
          <w:rFonts w:hint="eastAsia" w:ascii="仿宋" w:hAnsi="仿宋" w:eastAsia="仿宋" w:cs="仿宋"/>
          <w:b/>
          <w:bCs/>
          <w:sz w:val="24"/>
        </w:rPr>
        <w:t>附：</w:t>
      </w:r>
    </w:p>
    <w:p w14:paraId="299491B2">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792086AB">
      <w:pPr>
        <w:widowControl/>
        <w:spacing w:line="360" w:lineRule="auto"/>
        <w:ind w:firstLine="480" w:firstLineChars="200"/>
        <w:jc w:val="left"/>
        <w:rPr>
          <w:rFonts w:hint="eastAsia" w:ascii="仿宋" w:hAnsi="仿宋" w:eastAsia="仿宋" w:cs="仿宋"/>
          <w:kern w:val="0"/>
          <w:sz w:val="24"/>
        </w:rPr>
      </w:pPr>
    </w:p>
    <w:p w14:paraId="28F4B2BB">
      <w:pPr>
        <w:snapToGrid w:val="0"/>
        <w:spacing w:line="360" w:lineRule="auto"/>
        <w:jc w:val="center"/>
        <w:rPr>
          <w:rFonts w:hint="eastAsia" w:ascii="仿宋" w:hAnsi="仿宋" w:eastAsia="仿宋" w:cs="仿宋"/>
          <w:b/>
          <w:sz w:val="24"/>
        </w:rPr>
      </w:pPr>
    </w:p>
    <w:p w14:paraId="2E4DC8E3">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4C5FEBC7">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14:paraId="3B677838">
      <w:pPr>
        <w:spacing w:line="360" w:lineRule="auto"/>
        <w:jc w:val="center"/>
        <w:rPr>
          <w:rFonts w:hint="eastAsia" w:ascii="仿宋" w:hAnsi="仿宋" w:eastAsia="仿宋" w:cs="仿宋"/>
          <w:b/>
          <w:sz w:val="32"/>
          <w:szCs w:val="32"/>
        </w:rPr>
      </w:pPr>
    </w:p>
    <w:p w14:paraId="69180E70">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32A38490">
      <w:pPr>
        <w:spacing w:line="360" w:lineRule="auto"/>
        <w:jc w:val="center"/>
        <w:rPr>
          <w:rFonts w:hint="eastAsia" w:ascii="仿宋" w:hAnsi="仿宋" w:eastAsia="仿宋" w:cs="仿宋"/>
          <w:b/>
          <w:sz w:val="32"/>
          <w:szCs w:val="32"/>
        </w:rPr>
      </w:pPr>
    </w:p>
    <w:p w14:paraId="2DD8ECE3">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浙江省教育考试院 </w:t>
      </w:r>
      <w:r>
        <w:rPr>
          <w:rFonts w:hint="eastAsia" w:ascii="仿宋" w:hAnsi="仿宋" w:eastAsia="仿宋" w:cs="仿宋"/>
          <w:sz w:val="24"/>
        </w:rPr>
        <w:t>的</w:t>
      </w:r>
      <w:r>
        <w:rPr>
          <w:rFonts w:hint="eastAsia" w:ascii="仿宋" w:hAnsi="仿宋" w:eastAsia="仿宋" w:cs="仿宋"/>
          <w:sz w:val="24"/>
          <w:u w:val="single"/>
        </w:rPr>
        <w:t xml:space="preserve"> 浙江省教育考试院网络安全运维服务项目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79EB0F7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浙江省教育考试院网络安全运维服务项目</w:t>
      </w:r>
      <w:r>
        <w:rPr>
          <w:rFonts w:hint="eastAsia" w:ascii="仿宋" w:hAnsi="仿宋" w:eastAsia="仿宋" w:cs="仿宋"/>
          <w:sz w:val="24"/>
        </w:rPr>
        <w:t xml:space="preserve">，属于 </w:t>
      </w:r>
      <w:r>
        <w:rPr>
          <w:rFonts w:hint="eastAsia" w:ascii="仿宋" w:hAnsi="仿宋" w:eastAsia="仿宋" w:cs="仿宋"/>
          <w:sz w:val="24"/>
          <w:u w:val="single"/>
        </w:rPr>
        <w:t>软件和信息技术服务业行业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（中型企业、小型企业、微型企业三选一） </w:t>
      </w:r>
      <w:r>
        <w:rPr>
          <w:rFonts w:hint="eastAsia" w:ascii="仿宋" w:hAnsi="仿宋" w:eastAsia="仿宋" w:cs="仿宋"/>
          <w:sz w:val="24"/>
        </w:rPr>
        <w:t>；</w:t>
      </w:r>
    </w:p>
    <w:p w14:paraId="6562994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68F855A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2CD8E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150B0B1">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444CB5F0">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146A8F42">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0A4D528">
      <w:pPr>
        <w:spacing w:line="360" w:lineRule="auto"/>
        <w:ind w:right="420"/>
        <w:rPr>
          <w:rFonts w:hint="eastAsia" w:ascii="仿宋" w:hAnsi="仿宋" w:eastAsia="仿宋" w:cs="仿宋"/>
          <w:sz w:val="24"/>
        </w:rPr>
      </w:pPr>
    </w:p>
    <w:p w14:paraId="75D7C178">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5AAFF6BC">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C87F550">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99B49F">
      <w:pPr>
        <w:rPr>
          <w:rFonts w:hint="eastAsia" w:ascii="仿宋" w:hAnsi="仿宋" w:eastAsia="仿宋" w:cs="仿宋"/>
          <w:b/>
          <w:sz w:val="24"/>
        </w:rPr>
      </w:pPr>
      <w:r>
        <w:rPr>
          <w:rFonts w:hint="eastAsia" w:ascii="仿宋" w:hAnsi="仿宋" w:eastAsia="仿宋" w:cs="仿宋"/>
          <w:b/>
          <w:sz w:val="24"/>
        </w:rPr>
        <w:br w:type="page"/>
      </w:r>
    </w:p>
    <w:p w14:paraId="3C653954">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附件6：</w:t>
      </w:r>
    </w:p>
    <w:p w14:paraId="2A1B703D">
      <w:pPr>
        <w:spacing w:line="360" w:lineRule="auto"/>
        <w:jc w:val="center"/>
        <w:rPr>
          <w:rFonts w:hint="eastAsia" w:ascii="仿宋" w:hAnsi="仿宋" w:eastAsia="仿宋" w:cs="仿宋"/>
          <w:b/>
          <w:sz w:val="32"/>
          <w:szCs w:val="32"/>
        </w:rPr>
      </w:pPr>
    </w:p>
    <w:p w14:paraId="56E2C643">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中标服务费支付承诺书</w:t>
      </w:r>
    </w:p>
    <w:p w14:paraId="1C91E60C">
      <w:pPr>
        <w:spacing w:line="360" w:lineRule="auto"/>
        <w:jc w:val="center"/>
        <w:rPr>
          <w:rFonts w:hint="eastAsia" w:ascii="仿宋" w:hAnsi="仿宋" w:eastAsia="仿宋" w:cs="仿宋"/>
          <w:b/>
          <w:sz w:val="32"/>
          <w:szCs w:val="32"/>
        </w:rPr>
      </w:pPr>
    </w:p>
    <w:p w14:paraId="3BC9A5CB">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浙江国际招投标有限公司：</w:t>
      </w:r>
    </w:p>
    <w:p w14:paraId="666FBA44">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1E1B6E9C">
      <w:pPr>
        <w:pStyle w:val="56"/>
        <w:adjustRightInd/>
        <w:spacing w:before="0" w:beforeAutospacing="0" w:after="60" w:afterAutospacing="0" w:line="360" w:lineRule="auto"/>
        <w:ind w:firstLine="567"/>
        <w:rPr>
          <w:rFonts w:hint="eastAsia" w:ascii="仿宋" w:hAnsi="仿宋" w:eastAsia="仿宋" w:cs="仿宋"/>
        </w:rPr>
      </w:pPr>
      <w:r>
        <w:rPr>
          <w:rFonts w:hint="eastAsia" w:ascii="仿宋" w:hAnsi="仿宋" w:eastAsia="仿宋" w:cs="仿宋"/>
          <w:color w:val="000000"/>
        </w:rPr>
        <w:t>本单位在此承诺：如在本项目成交，成交结果公告发布之日起7个工作日之内，向贵公司按采购文件约定支付中标服务费。</w:t>
      </w:r>
    </w:p>
    <w:p w14:paraId="7B247B80">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79BB0F00">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468DBB8C">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0A300238">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3E8BF589">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0464F6A">
      <w:pPr>
        <w:spacing w:line="360" w:lineRule="auto"/>
        <w:ind w:firstLine="480" w:firstLineChars="200"/>
        <w:jc w:val="left"/>
        <w:rPr>
          <w:rFonts w:hint="eastAsia" w:ascii="仿宋" w:hAnsi="仿宋" w:eastAsia="仿宋" w:cs="仿宋"/>
          <w:sz w:val="24"/>
        </w:rPr>
      </w:pPr>
    </w:p>
    <w:p w14:paraId="6B9FCE4E">
      <w:pPr>
        <w:pStyle w:val="24"/>
        <w:rPr>
          <w:rFonts w:hint="eastAsia" w:ascii="仿宋" w:hAnsi="仿宋" w:eastAsia="仿宋" w:cs="仿宋"/>
        </w:rPr>
      </w:pPr>
    </w:p>
    <w:p w14:paraId="49F3C18D">
      <w:pPr>
        <w:rPr>
          <w:rFonts w:hint="eastAsia" w:ascii="仿宋" w:hAnsi="仿宋" w:eastAsia="仿宋" w:cs="仿宋"/>
          <w:b/>
          <w:sz w:val="24"/>
        </w:rPr>
      </w:pPr>
      <w:r>
        <w:rPr>
          <w:rFonts w:hint="eastAsia" w:ascii="仿宋" w:hAnsi="仿宋" w:eastAsia="仿宋" w:cs="仿宋"/>
          <w:b/>
          <w:sz w:val="24"/>
        </w:rPr>
        <w:br w:type="page"/>
      </w:r>
    </w:p>
    <w:p w14:paraId="093D0BCB">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附件7：</w:t>
      </w:r>
    </w:p>
    <w:p w14:paraId="584A47C5">
      <w:pPr>
        <w:pStyle w:val="622"/>
        <w:snapToGrid w:val="0"/>
        <w:spacing w:line="500" w:lineRule="exact"/>
        <w:ind w:firstLine="723"/>
        <w:jc w:val="center"/>
        <w:rPr>
          <w:rFonts w:hint="eastAsia" w:ascii="仿宋" w:hAnsi="仿宋" w:eastAsia="仿宋" w:cs="仿宋"/>
          <w:b/>
          <w:kern w:val="2"/>
          <w:sz w:val="36"/>
          <w:szCs w:val="36"/>
        </w:rPr>
      </w:pPr>
      <w:r>
        <w:rPr>
          <w:rFonts w:hint="eastAsia" w:ascii="仿宋" w:hAnsi="仿宋" w:eastAsia="仿宋" w:cs="仿宋"/>
          <w:b/>
          <w:kern w:val="2"/>
          <w:sz w:val="36"/>
          <w:szCs w:val="36"/>
        </w:rPr>
        <w:t>政府采购活动现场确认声明书</w:t>
      </w:r>
    </w:p>
    <w:p w14:paraId="332258A8">
      <w:pPr>
        <w:pStyle w:val="622"/>
        <w:adjustRightInd w:val="0"/>
        <w:snapToGrid w:val="0"/>
        <w:spacing w:line="360" w:lineRule="auto"/>
        <w:rPr>
          <w:rFonts w:hint="eastAsia" w:ascii="仿宋" w:hAnsi="仿宋" w:eastAsia="仿宋" w:cs="仿宋"/>
          <w:color w:val="000000"/>
          <w:sz w:val="24"/>
          <w:szCs w:val="24"/>
          <w:u w:val="single"/>
        </w:rPr>
      </w:pPr>
    </w:p>
    <w:p w14:paraId="2A8C20A9">
      <w:pPr>
        <w:pStyle w:val="622"/>
        <w:adjustRightInd w:val="0"/>
        <w:snapToGrid w:val="0"/>
        <w:spacing w:line="360" w:lineRule="auto"/>
        <w:ind w:firstLine="0" w:firstLineChars="0"/>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浙江国际招投标有限公司</w:t>
      </w:r>
      <w:r>
        <w:rPr>
          <w:rFonts w:hint="eastAsia" w:ascii="仿宋" w:hAnsi="仿宋" w:eastAsia="仿宋" w:cs="仿宋"/>
          <w:color w:val="000000"/>
          <w:sz w:val="24"/>
          <w:szCs w:val="24"/>
        </w:rPr>
        <w:t>：</w:t>
      </w:r>
    </w:p>
    <w:p w14:paraId="19D0F6BB">
      <w:pPr>
        <w:pStyle w:val="622"/>
        <w:adjustRightInd w:val="0"/>
        <w:snapToGrid w:val="0"/>
        <w:spacing w:line="360" w:lineRule="auto"/>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合法授权参加项目</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5BD37ED5">
      <w:pPr>
        <w:pStyle w:val="253"/>
        <w:widowControl/>
        <w:numPr>
          <w:ilvl w:val="0"/>
          <w:numId w:val="15"/>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p>
    <w:p w14:paraId="69F49B16">
      <w:pPr>
        <w:pStyle w:val="253"/>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10E57436">
      <w:pPr>
        <w:pStyle w:val="253"/>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利害关系</w:t>
      </w:r>
      <w:r>
        <w:rPr>
          <w:rFonts w:hint="eastAsia" w:ascii="仿宋" w:hAnsi="仿宋" w:eastAsia="仿宋" w:cs="仿宋"/>
          <w:color w:val="000000"/>
          <w:kern w:val="0"/>
          <w:u w:val="single"/>
        </w:rPr>
        <w:t xml:space="preserve">（如有，请如实说明）                 </w:t>
      </w:r>
      <w:r>
        <w:rPr>
          <w:rFonts w:hint="eastAsia" w:ascii="仿宋" w:hAnsi="仿宋" w:eastAsia="仿宋" w:cs="仿宋"/>
          <w:color w:val="000000"/>
          <w:kern w:val="0"/>
        </w:rPr>
        <w:t>。</w:t>
      </w:r>
    </w:p>
    <w:p w14:paraId="2B5996EF">
      <w:pPr>
        <w:pStyle w:val="253"/>
        <w:widowControl/>
        <w:snapToGrid w:val="0"/>
        <w:spacing w:line="360" w:lineRule="auto"/>
        <w:ind w:firstLine="504"/>
        <w:rPr>
          <w:rFonts w:hint="eastAsia" w:ascii="仿宋" w:hAnsi="仿宋" w:eastAsia="仿宋" w:cs="仿宋"/>
          <w:color w:val="000000"/>
          <w:kern w:val="0"/>
        </w:rPr>
      </w:pPr>
      <w:r>
        <w:rPr>
          <w:rFonts w:hint="eastAsia" w:ascii="仿宋" w:hAnsi="仿宋" w:eastAsia="仿宋" w:cs="仿宋"/>
          <w:color w:val="000000"/>
          <w:spacing w:val="6"/>
        </w:rPr>
        <w:t xml:space="preserve">  二、</w:t>
      </w:r>
      <w:r>
        <w:rPr>
          <w:rFonts w:hint="eastAsia" w:ascii="仿宋" w:hAnsi="仿宋" w:eastAsia="仿宋" w:cs="仿宋"/>
          <w:color w:val="000000"/>
          <w:kern w:val="0"/>
        </w:rPr>
        <w:t>现已清楚知道参加本项目采购活动的其他所有供应商名称，本单位 □与其他所有供应商之间均不存在利害关系 □与</w:t>
      </w:r>
      <w:r>
        <w:rPr>
          <w:rFonts w:hint="eastAsia" w:ascii="仿宋" w:hAnsi="仿宋" w:eastAsia="仿宋" w:cs="仿宋"/>
          <w:color w:val="000000"/>
          <w:kern w:val="0"/>
          <w:u w:val="single"/>
        </w:rPr>
        <w:t xml:space="preserve">           （供应商名称）</w:t>
      </w:r>
      <w:r>
        <w:rPr>
          <w:rFonts w:hint="eastAsia" w:ascii="仿宋" w:hAnsi="仿宋" w:eastAsia="仿宋" w:cs="仿宋"/>
          <w:color w:val="000000"/>
          <w:kern w:val="0"/>
        </w:rPr>
        <w:t>之间存在下列利害关系：</w:t>
      </w:r>
    </w:p>
    <w:p w14:paraId="6C4429F1">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66202999">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6290F13E">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2C128DBA">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64526341">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21BAA0DD">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636443C9">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19457135">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31559F20">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p>
    <w:p w14:paraId="20B420EE">
      <w:pPr>
        <w:pStyle w:val="253"/>
        <w:widowControl/>
        <w:numPr>
          <w:ilvl w:val="0"/>
          <w:numId w:val="16"/>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7C21709E">
      <w:pPr>
        <w:pStyle w:val="253"/>
        <w:widowControl/>
        <w:numPr>
          <w:ilvl w:val="0"/>
          <w:numId w:val="16"/>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我发现供应商之间存在或可能存在上述第二条第【 】项利害关系。</w:t>
      </w:r>
    </w:p>
    <w:p w14:paraId="5652F218">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245BBE19">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0C1E15F5">
      <w:pPr>
        <w:pStyle w:val="6"/>
        <w:rPr>
          <w:rFonts w:hint="eastAsia" w:ascii="仿宋" w:hAnsi="仿宋" w:eastAsia="仿宋" w:cs="仿宋"/>
          <w:sz w:val="24"/>
          <w:szCs w:val="24"/>
        </w:rPr>
      </w:pPr>
      <w:r>
        <w:rPr>
          <w:rFonts w:hint="eastAsia" w:ascii="仿宋" w:hAnsi="仿宋" w:eastAsia="仿宋" w:cs="仿宋"/>
          <w:sz w:val="24"/>
          <w:szCs w:val="24"/>
        </w:rPr>
        <w:t>（请在商务技术文件开启后30分钟内，通过邮件形式将经授权代表签署的《政府采购活动现场确认声明书》扫描件发至</w:t>
      </w:r>
      <w:r>
        <w:rPr>
          <w:rFonts w:hint="eastAsia" w:ascii="仿宋" w:hAnsi="仿宋" w:eastAsia="仿宋" w:cs="仿宋"/>
          <w:sz w:val="24"/>
          <w:szCs w:val="24"/>
          <w:lang w:val="en-US" w:eastAsia="zh-CN"/>
        </w:rPr>
        <w:t>957525310</w:t>
      </w:r>
      <w:r>
        <w:rPr>
          <w:rFonts w:hint="eastAsia" w:ascii="仿宋" w:hAnsi="仿宋" w:eastAsia="仿宋" w:cs="仿宋"/>
          <w:sz w:val="24"/>
          <w:szCs w:val="24"/>
        </w:rPr>
        <w:t>@qq.com，逾期未发送，视为默认与采购人及其他供应商无关联）</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Microsoft Sans Serif"/>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518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AB4F">
    <w:pPr>
      <w:pStyle w:val="38"/>
      <w:framePr w:wrap="around" w:vAnchor="text" w:hAnchor="margin" w:xAlign="right" w:y="1"/>
      <w:rPr>
        <w:rStyle w:val="64"/>
      </w:rPr>
    </w:pPr>
    <w:r>
      <w:fldChar w:fldCharType="begin"/>
    </w:r>
    <w:r>
      <w:rPr>
        <w:rStyle w:val="64"/>
      </w:rPr>
      <w:instrText xml:space="preserve">PAGE  </w:instrText>
    </w:r>
    <w:r>
      <w:fldChar w:fldCharType="end"/>
    </w:r>
  </w:p>
  <w:p w14:paraId="3173F72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27A8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29F2">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E9FF">
    <w:pPr>
      <w:pStyle w:val="38"/>
      <w:framePr w:wrap="around" w:vAnchor="text" w:hAnchor="margin" w:xAlign="right" w:y="1"/>
      <w:rPr>
        <w:rStyle w:val="64"/>
      </w:rPr>
    </w:pPr>
    <w:r>
      <w:fldChar w:fldCharType="begin"/>
    </w:r>
    <w:r>
      <w:rPr>
        <w:rStyle w:val="64"/>
      </w:rPr>
      <w:instrText xml:space="preserve">PAGE  </w:instrText>
    </w:r>
    <w:r>
      <w:fldChar w:fldCharType="end"/>
    </w:r>
  </w:p>
  <w:p w14:paraId="1760B8B3">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0D5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5" w:name="_Toc36110187"/>
    <w:bookmarkStart w:id="96" w:name="_Toc91899912"/>
    <w:bookmarkStart w:id="97" w:name="_Toc131845147"/>
    <w:bookmarkStart w:id="98" w:name="_Toc164085800"/>
    <w:r>
      <w:rPr>
        <w:rFonts w:hint="eastAsia" w:ascii="仿宋_GB2312" w:eastAsia="仿宋_GB2312"/>
        <w:kern w:val="0"/>
        <w:szCs w:val="21"/>
      </w:rPr>
      <w:t xml:space="preserve"> 页</w:t>
    </w:r>
    <w:bookmarkEnd w:id="95"/>
    <w:bookmarkEnd w:id="96"/>
    <w:bookmarkEnd w:id="97"/>
    <w:bookmarkEnd w:id="9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D733">
    <w:pPr>
      <w:pStyle w:val="57"/>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2711">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D7E0">
    <w:pPr>
      <w:pStyle w:val="39"/>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EE8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240F84FF"/>
    <w:multiLevelType w:val="singleLevel"/>
    <w:tmpl w:val="240F84FF"/>
    <w:lvl w:ilvl="0" w:tentative="0">
      <w:start w:val="1"/>
      <w:numFmt w:val="decimal"/>
      <w:suff w:val="nothing"/>
      <w:lvlText w:val="%1、"/>
      <w:lvlJc w:val="left"/>
    </w:lvl>
  </w:abstractNum>
  <w:abstractNum w:abstractNumId="6">
    <w:nsid w:val="2B92903E"/>
    <w:multiLevelType w:val="singleLevel"/>
    <w:tmpl w:val="2B92903E"/>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A735000"/>
    <w:multiLevelType w:val="multilevel"/>
    <w:tmpl w:val="7A735000"/>
    <w:lvl w:ilvl="0" w:tentative="0">
      <w:start w:val="1"/>
      <w:numFmt w:val="decimal"/>
      <w:suff w:val="space"/>
      <w:lvlText w:val="第%1条"/>
      <w:lvlJc w:val="left"/>
      <w:pPr>
        <w:ind w:left="1937" w:hanging="145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0"/>
  </w:num>
  <w:num w:numId="4">
    <w:abstractNumId w:val="1"/>
  </w:num>
  <w:num w:numId="5">
    <w:abstractNumId w:val="11"/>
  </w:num>
  <w:num w:numId="6">
    <w:abstractNumId w:val="13"/>
  </w:num>
  <w:num w:numId="7">
    <w:abstractNumId w:val="14"/>
  </w:num>
  <w:num w:numId="8">
    <w:abstractNumId w:val="6"/>
  </w:num>
  <w:num w:numId="9">
    <w:abstractNumId w:val="5"/>
  </w:num>
  <w:num w:numId="10">
    <w:abstractNumId w:val="7"/>
  </w:num>
  <w:num w:numId="11">
    <w:abstractNumId w:val="12"/>
  </w:num>
  <w:num w:numId="12">
    <w:abstractNumId w:val="15"/>
  </w:num>
  <w:num w:numId="13">
    <w:abstractNumId w:val="8"/>
  </w:num>
  <w:num w:numId="14">
    <w:abstractNumId w:val="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zhkYmM1NWMyZmVkMDc0YWUwNjI4M2E2MDMyZGQifQ=="/>
  </w:docVars>
  <w:rsids>
    <w:rsidRoot w:val="003474B2"/>
    <w:rsid w:val="00013654"/>
    <w:rsid w:val="00064E2E"/>
    <w:rsid w:val="0011022F"/>
    <w:rsid w:val="00150EAD"/>
    <w:rsid w:val="001D4206"/>
    <w:rsid w:val="001F1D2C"/>
    <w:rsid w:val="00276E33"/>
    <w:rsid w:val="00285085"/>
    <w:rsid w:val="002856D9"/>
    <w:rsid w:val="00286FFC"/>
    <w:rsid w:val="002A098D"/>
    <w:rsid w:val="002C61F7"/>
    <w:rsid w:val="003474B2"/>
    <w:rsid w:val="00377076"/>
    <w:rsid w:val="003D0404"/>
    <w:rsid w:val="00411CA3"/>
    <w:rsid w:val="00423C6D"/>
    <w:rsid w:val="00445F3D"/>
    <w:rsid w:val="004606B1"/>
    <w:rsid w:val="00476F8C"/>
    <w:rsid w:val="004874D5"/>
    <w:rsid w:val="00490B57"/>
    <w:rsid w:val="004B48CF"/>
    <w:rsid w:val="004C33B7"/>
    <w:rsid w:val="00536F2B"/>
    <w:rsid w:val="00612345"/>
    <w:rsid w:val="006E05BE"/>
    <w:rsid w:val="00704336"/>
    <w:rsid w:val="00732078"/>
    <w:rsid w:val="00740B71"/>
    <w:rsid w:val="00751B7D"/>
    <w:rsid w:val="00795903"/>
    <w:rsid w:val="007C0F2D"/>
    <w:rsid w:val="007E4CA5"/>
    <w:rsid w:val="007F0A1D"/>
    <w:rsid w:val="007F1862"/>
    <w:rsid w:val="00844285"/>
    <w:rsid w:val="008E0C60"/>
    <w:rsid w:val="00920750"/>
    <w:rsid w:val="009216BF"/>
    <w:rsid w:val="009423E7"/>
    <w:rsid w:val="00951FEE"/>
    <w:rsid w:val="00991ADF"/>
    <w:rsid w:val="009C337D"/>
    <w:rsid w:val="00A83AD0"/>
    <w:rsid w:val="00A95A9A"/>
    <w:rsid w:val="00AD4487"/>
    <w:rsid w:val="00AF1302"/>
    <w:rsid w:val="00B52690"/>
    <w:rsid w:val="00B76409"/>
    <w:rsid w:val="00CA2743"/>
    <w:rsid w:val="00D40D69"/>
    <w:rsid w:val="00D56BBC"/>
    <w:rsid w:val="00D64AE1"/>
    <w:rsid w:val="00D65152"/>
    <w:rsid w:val="00D743B5"/>
    <w:rsid w:val="00D8368A"/>
    <w:rsid w:val="00DB6023"/>
    <w:rsid w:val="00E30FAC"/>
    <w:rsid w:val="00E46AD2"/>
    <w:rsid w:val="00E52F76"/>
    <w:rsid w:val="00EA233A"/>
    <w:rsid w:val="00EC7BBA"/>
    <w:rsid w:val="00F050DA"/>
    <w:rsid w:val="00F1732B"/>
    <w:rsid w:val="00F208E7"/>
    <w:rsid w:val="00F677C4"/>
    <w:rsid w:val="00F8109D"/>
    <w:rsid w:val="00FE22D8"/>
    <w:rsid w:val="01026FFE"/>
    <w:rsid w:val="01086C64"/>
    <w:rsid w:val="01121891"/>
    <w:rsid w:val="01126A09"/>
    <w:rsid w:val="01145609"/>
    <w:rsid w:val="012375FA"/>
    <w:rsid w:val="01260E98"/>
    <w:rsid w:val="012B64AF"/>
    <w:rsid w:val="01302EDA"/>
    <w:rsid w:val="013637D1"/>
    <w:rsid w:val="013B2B96"/>
    <w:rsid w:val="014632E9"/>
    <w:rsid w:val="0147153B"/>
    <w:rsid w:val="014D4677"/>
    <w:rsid w:val="0156177E"/>
    <w:rsid w:val="015772A4"/>
    <w:rsid w:val="015B6D94"/>
    <w:rsid w:val="01687703"/>
    <w:rsid w:val="016A5229"/>
    <w:rsid w:val="01722330"/>
    <w:rsid w:val="01763BCE"/>
    <w:rsid w:val="01791910"/>
    <w:rsid w:val="017C5480"/>
    <w:rsid w:val="01A93FA3"/>
    <w:rsid w:val="01BF37C7"/>
    <w:rsid w:val="01C0753F"/>
    <w:rsid w:val="01C7267B"/>
    <w:rsid w:val="01CA216C"/>
    <w:rsid w:val="01CF32DE"/>
    <w:rsid w:val="01D34B7C"/>
    <w:rsid w:val="01D60B10"/>
    <w:rsid w:val="01DA23AF"/>
    <w:rsid w:val="01F176F8"/>
    <w:rsid w:val="01F40F97"/>
    <w:rsid w:val="01F86CD9"/>
    <w:rsid w:val="02070CCA"/>
    <w:rsid w:val="020967F0"/>
    <w:rsid w:val="020B07BA"/>
    <w:rsid w:val="0215094D"/>
    <w:rsid w:val="02160F0D"/>
    <w:rsid w:val="02223D56"/>
    <w:rsid w:val="022343E1"/>
    <w:rsid w:val="0227311A"/>
    <w:rsid w:val="02290C40"/>
    <w:rsid w:val="02385327"/>
    <w:rsid w:val="023D293E"/>
    <w:rsid w:val="02427F54"/>
    <w:rsid w:val="02437BE4"/>
    <w:rsid w:val="02532161"/>
    <w:rsid w:val="025A34EF"/>
    <w:rsid w:val="0261662C"/>
    <w:rsid w:val="026779BA"/>
    <w:rsid w:val="027C3466"/>
    <w:rsid w:val="02820350"/>
    <w:rsid w:val="028624AB"/>
    <w:rsid w:val="02895B83"/>
    <w:rsid w:val="02897931"/>
    <w:rsid w:val="028B18FB"/>
    <w:rsid w:val="028E4F47"/>
    <w:rsid w:val="029274C2"/>
    <w:rsid w:val="02A604E3"/>
    <w:rsid w:val="02AB78A7"/>
    <w:rsid w:val="02AD361F"/>
    <w:rsid w:val="02B7449E"/>
    <w:rsid w:val="02BA3F8E"/>
    <w:rsid w:val="02BC7D06"/>
    <w:rsid w:val="02C24BF1"/>
    <w:rsid w:val="02CC5BEF"/>
    <w:rsid w:val="02F23728"/>
    <w:rsid w:val="02F254D6"/>
    <w:rsid w:val="02F70D3E"/>
    <w:rsid w:val="0305345B"/>
    <w:rsid w:val="03101E00"/>
    <w:rsid w:val="03174F3D"/>
    <w:rsid w:val="031E62CB"/>
    <w:rsid w:val="032338E1"/>
    <w:rsid w:val="033B6E7D"/>
    <w:rsid w:val="034D095E"/>
    <w:rsid w:val="034E4899"/>
    <w:rsid w:val="034F0B7A"/>
    <w:rsid w:val="03561F09"/>
    <w:rsid w:val="03563CB7"/>
    <w:rsid w:val="0370464D"/>
    <w:rsid w:val="03836A76"/>
    <w:rsid w:val="038A1BB2"/>
    <w:rsid w:val="038F541B"/>
    <w:rsid w:val="03984B67"/>
    <w:rsid w:val="03A013D6"/>
    <w:rsid w:val="03A32C74"/>
    <w:rsid w:val="03A367D0"/>
    <w:rsid w:val="03A8028B"/>
    <w:rsid w:val="03B51601"/>
    <w:rsid w:val="03B92498"/>
    <w:rsid w:val="03BB6210"/>
    <w:rsid w:val="03C07382"/>
    <w:rsid w:val="03CB7B24"/>
    <w:rsid w:val="03D171B2"/>
    <w:rsid w:val="03E07A24"/>
    <w:rsid w:val="03E2554B"/>
    <w:rsid w:val="03EE2141"/>
    <w:rsid w:val="03F139E0"/>
    <w:rsid w:val="03F82FC0"/>
    <w:rsid w:val="0405748B"/>
    <w:rsid w:val="04073203"/>
    <w:rsid w:val="0410030A"/>
    <w:rsid w:val="041358F2"/>
    <w:rsid w:val="043438CC"/>
    <w:rsid w:val="043D09D3"/>
    <w:rsid w:val="043D4E77"/>
    <w:rsid w:val="04506958"/>
    <w:rsid w:val="045A3333"/>
    <w:rsid w:val="046F210D"/>
    <w:rsid w:val="04714B20"/>
    <w:rsid w:val="047168CE"/>
    <w:rsid w:val="04754611"/>
    <w:rsid w:val="04781A0B"/>
    <w:rsid w:val="04812FB5"/>
    <w:rsid w:val="04831645"/>
    <w:rsid w:val="04846602"/>
    <w:rsid w:val="048605CC"/>
    <w:rsid w:val="0490144A"/>
    <w:rsid w:val="04932CE9"/>
    <w:rsid w:val="049820AD"/>
    <w:rsid w:val="04983E5B"/>
    <w:rsid w:val="049D3B67"/>
    <w:rsid w:val="04AB3B8E"/>
    <w:rsid w:val="04AE367F"/>
    <w:rsid w:val="04AE7B23"/>
    <w:rsid w:val="04B05649"/>
    <w:rsid w:val="04B50EB1"/>
    <w:rsid w:val="04B769D7"/>
    <w:rsid w:val="04BD1B14"/>
    <w:rsid w:val="04C410F4"/>
    <w:rsid w:val="04CC1D57"/>
    <w:rsid w:val="04D453FA"/>
    <w:rsid w:val="04D72BD5"/>
    <w:rsid w:val="04DC643E"/>
    <w:rsid w:val="04E71358"/>
    <w:rsid w:val="04F33787"/>
    <w:rsid w:val="04F73278"/>
    <w:rsid w:val="05085485"/>
    <w:rsid w:val="050F05C1"/>
    <w:rsid w:val="05107E95"/>
    <w:rsid w:val="052676B9"/>
    <w:rsid w:val="052B4CCF"/>
    <w:rsid w:val="0530678A"/>
    <w:rsid w:val="05377B18"/>
    <w:rsid w:val="053E2C54"/>
    <w:rsid w:val="054364BD"/>
    <w:rsid w:val="05487847"/>
    <w:rsid w:val="055204AE"/>
    <w:rsid w:val="05527330"/>
    <w:rsid w:val="055661F0"/>
    <w:rsid w:val="05571F68"/>
    <w:rsid w:val="055C31C7"/>
    <w:rsid w:val="05634469"/>
    <w:rsid w:val="056621AB"/>
    <w:rsid w:val="056A1C9B"/>
    <w:rsid w:val="056D7096"/>
    <w:rsid w:val="057074F8"/>
    <w:rsid w:val="0575419C"/>
    <w:rsid w:val="057C552B"/>
    <w:rsid w:val="05832D5D"/>
    <w:rsid w:val="059705B7"/>
    <w:rsid w:val="05976809"/>
    <w:rsid w:val="0599432F"/>
    <w:rsid w:val="05AA653C"/>
    <w:rsid w:val="05B2719F"/>
    <w:rsid w:val="05B42F17"/>
    <w:rsid w:val="05B60A3D"/>
    <w:rsid w:val="05D76C05"/>
    <w:rsid w:val="05DE1D42"/>
    <w:rsid w:val="05E01F5E"/>
    <w:rsid w:val="05EC0902"/>
    <w:rsid w:val="05FD48BE"/>
    <w:rsid w:val="05FE23E4"/>
    <w:rsid w:val="05FE6873"/>
    <w:rsid w:val="060774EA"/>
    <w:rsid w:val="06093262"/>
    <w:rsid w:val="061D6D0E"/>
    <w:rsid w:val="062A142B"/>
    <w:rsid w:val="062C6F51"/>
    <w:rsid w:val="06304C93"/>
    <w:rsid w:val="06344057"/>
    <w:rsid w:val="063B2C83"/>
    <w:rsid w:val="063D115E"/>
    <w:rsid w:val="063F4ED6"/>
    <w:rsid w:val="0644429B"/>
    <w:rsid w:val="064A387B"/>
    <w:rsid w:val="064C314F"/>
    <w:rsid w:val="06563FCE"/>
    <w:rsid w:val="06581AF4"/>
    <w:rsid w:val="065F10D4"/>
    <w:rsid w:val="06606FF0"/>
    <w:rsid w:val="066A1827"/>
    <w:rsid w:val="06734B80"/>
    <w:rsid w:val="06736DB3"/>
    <w:rsid w:val="0680729D"/>
    <w:rsid w:val="06826B27"/>
    <w:rsid w:val="06862B05"/>
    <w:rsid w:val="069074E0"/>
    <w:rsid w:val="069845E6"/>
    <w:rsid w:val="069F61D9"/>
    <w:rsid w:val="06A27213"/>
    <w:rsid w:val="06AC0092"/>
    <w:rsid w:val="06B238FA"/>
    <w:rsid w:val="06BA27AF"/>
    <w:rsid w:val="06BD404D"/>
    <w:rsid w:val="06C13B3D"/>
    <w:rsid w:val="06C4362D"/>
    <w:rsid w:val="06C61153"/>
    <w:rsid w:val="06C74ECC"/>
    <w:rsid w:val="06CE0008"/>
    <w:rsid w:val="06DA4BFF"/>
    <w:rsid w:val="06DF0467"/>
    <w:rsid w:val="06E93094"/>
    <w:rsid w:val="06EC66E0"/>
    <w:rsid w:val="06F07F7E"/>
    <w:rsid w:val="06F537E7"/>
    <w:rsid w:val="06FC4B75"/>
    <w:rsid w:val="07035F04"/>
    <w:rsid w:val="07047ECE"/>
    <w:rsid w:val="071661B3"/>
    <w:rsid w:val="07267E44"/>
    <w:rsid w:val="07350087"/>
    <w:rsid w:val="073A38EF"/>
    <w:rsid w:val="073F0F06"/>
    <w:rsid w:val="074958E1"/>
    <w:rsid w:val="074F739B"/>
    <w:rsid w:val="075229E7"/>
    <w:rsid w:val="075C1AB8"/>
    <w:rsid w:val="075F5104"/>
    <w:rsid w:val="076B1CFB"/>
    <w:rsid w:val="0774295E"/>
    <w:rsid w:val="077706A0"/>
    <w:rsid w:val="077E37DC"/>
    <w:rsid w:val="077F1302"/>
    <w:rsid w:val="0781507A"/>
    <w:rsid w:val="078828AD"/>
    <w:rsid w:val="078A03D3"/>
    <w:rsid w:val="07990616"/>
    <w:rsid w:val="07A174CB"/>
    <w:rsid w:val="07A86AAB"/>
    <w:rsid w:val="07AF1BE8"/>
    <w:rsid w:val="07B436A2"/>
    <w:rsid w:val="07B471FE"/>
    <w:rsid w:val="07BE007D"/>
    <w:rsid w:val="07BE1E2B"/>
    <w:rsid w:val="07C338E5"/>
    <w:rsid w:val="07E04497"/>
    <w:rsid w:val="07E06245"/>
    <w:rsid w:val="07EA2C20"/>
    <w:rsid w:val="07EC0192"/>
    <w:rsid w:val="07F7358F"/>
    <w:rsid w:val="080A32C2"/>
    <w:rsid w:val="080B2B96"/>
    <w:rsid w:val="081C4DA3"/>
    <w:rsid w:val="08204893"/>
    <w:rsid w:val="082B7A28"/>
    <w:rsid w:val="08337E2C"/>
    <w:rsid w:val="08400A92"/>
    <w:rsid w:val="08406CE4"/>
    <w:rsid w:val="085A5AD1"/>
    <w:rsid w:val="086A3D60"/>
    <w:rsid w:val="086E3851"/>
    <w:rsid w:val="0878647D"/>
    <w:rsid w:val="088968DD"/>
    <w:rsid w:val="088E7A4F"/>
    <w:rsid w:val="08915791"/>
    <w:rsid w:val="08931509"/>
    <w:rsid w:val="08935065"/>
    <w:rsid w:val="089E3A0A"/>
    <w:rsid w:val="08A52FEB"/>
    <w:rsid w:val="08A92ADB"/>
    <w:rsid w:val="08A94889"/>
    <w:rsid w:val="08B576D2"/>
    <w:rsid w:val="08B647E3"/>
    <w:rsid w:val="08C416C3"/>
    <w:rsid w:val="08CA47FF"/>
    <w:rsid w:val="08CB0CA3"/>
    <w:rsid w:val="08EE04EE"/>
    <w:rsid w:val="08F024B8"/>
    <w:rsid w:val="08F301FA"/>
    <w:rsid w:val="08F57ACE"/>
    <w:rsid w:val="08FC70AE"/>
    <w:rsid w:val="09012917"/>
    <w:rsid w:val="090B72F2"/>
    <w:rsid w:val="090D306A"/>
    <w:rsid w:val="09150170"/>
    <w:rsid w:val="092263E9"/>
    <w:rsid w:val="092B34F0"/>
    <w:rsid w:val="093305F6"/>
    <w:rsid w:val="09413606"/>
    <w:rsid w:val="09491BC8"/>
    <w:rsid w:val="094B1DE4"/>
    <w:rsid w:val="094D16B8"/>
    <w:rsid w:val="095011A8"/>
    <w:rsid w:val="095567BF"/>
    <w:rsid w:val="09652EA6"/>
    <w:rsid w:val="09684744"/>
    <w:rsid w:val="096B3CA2"/>
    <w:rsid w:val="097529BD"/>
    <w:rsid w:val="09862E1C"/>
    <w:rsid w:val="098C3863"/>
    <w:rsid w:val="0992356F"/>
    <w:rsid w:val="09A777B0"/>
    <w:rsid w:val="09AA1703"/>
    <w:rsid w:val="09AC4D17"/>
    <w:rsid w:val="09B14DBC"/>
    <w:rsid w:val="09BC6071"/>
    <w:rsid w:val="09C53944"/>
    <w:rsid w:val="09D27E0F"/>
    <w:rsid w:val="09DC2A3C"/>
    <w:rsid w:val="09E162A4"/>
    <w:rsid w:val="09E35B78"/>
    <w:rsid w:val="09FB7366"/>
    <w:rsid w:val="0A053D41"/>
    <w:rsid w:val="0A0855DF"/>
    <w:rsid w:val="0A0B50CF"/>
    <w:rsid w:val="0A1421D6"/>
    <w:rsid w:val="0A1B17B6"/>
    <w:rsid w:val="0A2A7C4B"/>
    <w:rsid w:val="0A342878"/>
    <w:rsid w:val="0A3B3C06"/>
    <w:rsid w:val="0A3E36F7"/>
    <w:rsid w:val="0A3E54A5"/>
    <w:rsid w:val="0A433171"/>
    <w:rsid w:val="0A4505E1"/>
    <w:rsid w:val="0A4D56E8"/>
    <w:rsid w:val="0A60541B"/>
    <w:rsid w:val="0A6071C9"/>
    <w:rsid w:val="0A6842D0"/>
    <w:rsid w:val="0A6E5D8A"/>
    <w:rsid w:val="0A854E82"/>
    <w:rsid w:val="0A892BC4"/>
    <w:rsid w:val="0A8E01DA"/>
    <w:rsid w:val="0A9357F1"/>
    <w:rsid w:val="0A951569"/>
    <w:rsid w:val="0A9652E1"/>
    <w:rsid w:val="0A9A6B7F"/>
    <w:rsid w:val="0A9B46A5"/>
    <w:rsid w:val="0AA95014"/>
    <w:rsid w:val="0AB37C41"/>
    <w:rsid w:val="0ABD7C71"/>
    <w:rsid w:val="0ABE04E4"/>
    <w:rsid w:val="0AC534D0"/>
    <w:rsid w:val="0ADA341F"/>
    <w:rsid w:val="0AE4604C"/>
    <w:rsid w:val="0AEC6CAF"/>
    <w:rsid w:val="0AF10769"/>
    <w:rsid w:val="0AF3628F"/>
    <w:rsid w:val="0AF50259"/>
    <w:rsid w:val="0AFA5870"/>
    <w:rsid w:val="0AFD0EBC"/>
    <w:rsid w:val="0AFF2E86"/>
    <w:rsid w:val="0B024724"/>
    <w:rsid w:val="0B043FF8"/>
    <w:rsid w:val="0B065FC2"/>
    <w:rsid w:val="0B097861"/>
    <w:rsid w:val="0B0B35D9"/>
    <w:rsid w:val="0B154457"/>
    <w:rsid w:val="0B1A381C"/>
    <w:rsid w:val="0B1F0E32"/>
    <w:rsid w:val="0B275F39"/>
    <w:rsid w:val="0B2823DD"/>
    <w:rsid w:val="0B291CB1"/>
    <w:rsid w:val="0B30303F"/>
    <w:rsid w:val="0B350656"/>
    <w:rsid w:val="0B354AFA"/>
    <w:rsid w:val="0B3F14D4"/>
    <w:rsid w:val="0B41524D"/>
    <w:rsid w:val="0B420FC5"/>
    <w:rsid w:val="0B444D3D"/>
    <w:rsid w:val="0B5036E2"/>
    <w:rsid w:val="0B554854"/>
    <w:rsid w:val="0B680A2B"/>
    <w:rsid w:val="0B705B32"/>
    <w:rsid w:val="0B7078E0"/>
    <w:rsid w:val="0B772A1C"/>
    <w:rsid w:val="0B7A075E"/>
    <w:rsid w:val="0B7A42BB"/>
    <w:rsid w:val="0B7C44D7"/>
    <w:rsid w:val="0B860EB1"/>
    <w:rsid w:val="0B8B471A"/>
    <w:rsid w:val="0B903ADE"/>
    <w:rsid w:val="0B927BA2"/>
    <w:rsid w:val="0B974E6D"/>
    <w:rsid w:val="0B9E269F"/>
    <w:rsid w:val="0BA37CB5"/>
    <w:rsid w:val="0BA457DB"/>
    <w:rsid w:val="0BA61553"/>
    <w:rsid w:val="0BA650B0"/>
    <w:rsid w:val="0BAB6B6A"/>
    <w:rsid w:val="0BB7550F"/>
    <w:rsid w:val="0BB9501C"/>
    <w:rsid w:val="0BBC48D3"/>
    <w:rsid w:val="0BC47C2C"/>
    <w:rsid w:val="0BC8771C"/>
    <w:rsid w:val="0BD75BB1"/>
    <w:rsid w:val="0BDF05C2"/>
    <w:rsid w:val="0BE5207C"/>
    <w:rsid w:val="0BE61950"/>
    <w:rsid w:val="0BE65DF4"/>
    <w:rsid w:val="0BE91440"/>
    <w:rsid w:val="0BEA58E4"/>
    <w:rsid w:val="0BEA7692"/>
    <w:rsid w:val="0BEB731D"/>
    <w:rsid w:val="0BF40511"/>
    <w:rsid w:val="0C000C64"/>
    <w:rsid w:val="0C120997"/>
    <w:rsid w:val="0C1C1816"/>
    <w:rsid w:val="0C28640C"/>
    <w:rsid w:val="0C2A7A8F"/>
    <w:rsid w:val="0C4D4817"/>
    <w:rsid w:val="0C4F5747"/>
    <w:rsid w:val="0C684A5B"/>
    <w:rsid w:val="0C6F5DE9"/>
    <w:rsid w:val="0C7156BE"/>
    <w:rsid w:val="0C7358DA"/>
    <w:rsid w:val="0C7D1487"/>
    <w:rsid w:val="0C801DA5"/>
    <w:rsid w:val="0C8A2C23"/>
    <w:rsid w:val="0C8B4F1B"/>
    <w:rsid w:val="0C9910B8"/>
    <w:rsid w:val="0C9D2956"/>
    <w:rsid w:val="0CA77331"/>
    <w:rsid w:val="0CAC4948"/>
    <w:rsid w:val="0CAF61E6"/>
    <w:rsid w:val="0CB11F5E"/>
    <w:rsid w:val="0CB657C6"/>
    <w:rsid w:val="0CB832EC"/>
    <w:rsid w:val="0CBE3ADF"/>
    <w:rsid w:val="0CDA0A12"/>
    <w:rsid w:val="0CDA7707"/>
    <w:rsid w:val="0CDE6ACB"/>
    <w:rsid w:val="0CE560AB"/>
    <w:rsid w:val="0CE95B9C"/>
    <w:rsid w:val="0CEC11E8"/>
    <w:rsid w:val="0CF167FE"/>
    <w:rsid w:val="0D074274"/>
    <w:rsid w:val="0D097FEC"/>
    <w:rsid w:val="0D103128"/>
    <w:rsid w:val="0D110C4F"/>
    <w:rsid w:val="0D116EA1"/>
    <w:rsid w:val="0D181FDD"/>
    <w:rsid w:val="0D1B387B"/>
    <w:rsid w:val="0D295F98"/>
    <w:rsid w:val="0D38442D"/>
    <w:rsid w:val="0D3D7C96"/>
    <w:rsid w:val="0D3F3A0E"/>
    <w:rsid w:val="0D441024"/>
    <w:rsid w:val="0D51729D"/>
    <w:rsid w:val="0D5A25F6"/>
    <w:rsid w:val="0D5F5E5E"/>
    <w:rsid w:val="0D613984"/>
    <w:rsid w:val="0D662D48"/>
    <w:rsid w:val="0D780CCE"/>
    <w:rsid w:val="0D865199"/>
    <w:rsid w:val="0D8B0A01"/>
    <w:rsid w:val="0D8E04F1"/>
    <w:rsid w:val="0D967279"/>
    <w:rsid w:val="0D9F44AC"/>
    <w:rsid w:val="0DA87805"/>
    <w:rsid w:val="0DA9532B"/>
    <w:rsid w:val="0DB22432"/>
    <w:rsid w:val="0DB241E0"/>
    <w:rsid w:val="0DB25F8E"/>
    <w:rsid w:val="0DCD1019"/>
    <w:rsid w:val="0DDC125D"/>
    <w:rsid w:val="0DDF0D4D"/>
    <w:rsid w:val="0DE34399"/>
    <w:rsid w:val="0DEB5944"/>
    <w:rsid w:val="0DEF71E2"/>
    <w:rsid w:val="0DF02F5A"/>
    <w:rsid w:val="0DFE11A9"/>
    <w:rsid w:val="0DFF4F4B"/>
    <w:rsid w:val="0E0802A4"/>
    <w:rsid w:val="0E0D1416"/>
    <w:rsid w:val="0E121122"/>
    <w:rsid w:val="0E1327A4"/>
    <w:rsid w:val="0E15651D"/>
    <w:rsid w:val="0E161B9F"/>
    <w:rsid w:val="0E1A1D85"/>
    <w:rsid w:val="0E1E3623"/>
    <w:rsid w:val="0E1F17C1"/>
    <w:rsid w:val="0E3015A8"/>
    <w:rsid w:val="0E356BBF"/>
    <w:rsid w:val="0E433DCE"/>
    <w:rsid w:val="0E456E02"/>
    <w:rsid w:val="0E4868F2"/>
    <w:rsid w:val="0E4B63E2"/>
    <w:rsid w:val="0E4D215A"/>
    <w:rsid w:val="0E51687C"/>
    <w:rsid w:val="0E552DBD"/>
    <w:rsid w:val="0E601E8E"/>
    <w:rsid w:val="0E651252"/>
    <w:rsid w:val="0E707BF7"/>
    <w:rsid w:val="0E7B0A75"/>
    <w:rsid w:val="0E7E40C2"/>
    <w:rsid w:val="0E8611C8"/>
    <w:rsid w:val="0E8813E4"/>
    <w:rsid w:val="0E8A3350"/>
    <w:rsid w:val="0E8F4521"/>
    <w:rsid w:val="0E925DBF"/>
    <w:rsid w:val="0E941B37"/>
    <w:rsid w:val="0EA55AF2"/>
    <w:rsid w:val="0EA578A0"/>
    <w:rsid w:val="0EA77ABC"/>
    <w:rsid w:val="0EAB3DCA"/>
    <w:rsid w:val="0EAD49A7"/>
    <w:rsid w:val="0EC71E62"/>
    <w:rsid w:val="0EC73CBB"/>
    <w:rsid w:val="0ED32660"/>
    <w:rsid w:val="0ED63EFE"/>
    <w:rsid w:val="0ED85EC8"/>
    <w:rsid w:val="0ED91C40"/>
    <w:rsid w:val="0EDB7766"/>
    <w:rsid w:val="0EEA1757"/>
    <w:rsid w:val="0F000F7B"/>
    <w:rsid w:val="0F026AA1"/>
    <w:rsid w:val="0F0547E3"/>
    <w:rsid w:val="0F1E29AB"/>
    <w:rsid w:val="0F1E7653"/>
    <w:rsid w:val="0F234C69"/>
    <w:rsid w:val="0F24110D"/>
    <w:rsid w:val="0F2A5FF8"/>
    <w:rsid w:val="0F2C6214"/>
    <w:rsid w:val="0F2E3D3A"/>
    <w:rsid w:val="0F380715"/>
    <w:rsid w:val="0F3D5D2B"/>
    <w:rsid w:val="0F421593"/>
    <w:rsid w:val="0F4C2CED"/>
    <w:rsid w:val="0F503CB0"/>
    <w:rsid w:val="0F566DED"/>
    <w:rsid w:val="0F5A2668"/>
    <w:rsid w:val="0F6221A7"/>
    <w:rsid w:val="0F6C4862"/>
    <w:rsid w:val="0F73799F"/>
    <w:rsid w:val="0F76748F"/>
    <w:rsid w:val="0F7A2ADB"/>
    <w:rsid w:val="0F7D6A6F"/>
    <w:rsid w:val="0F8145BC"/>
    <w:rsid w:val="0F841BAC"/>
    <w:rsid w:val="0F890F70"/>
    <w:rsid w:val="0F8E47D8"/>
    <w:rsid w:val="0F931DEF"/>
    <w:rsid w:val="0F953DB9"/>
    <w:rsid w:val="0F957915"/>
    <w:rsid w:val="0F9D4A1B"/>
    <w:rsid w:val="0F9E2E3C"/>
    <w:rsid w:val="0F9E3000"/>
    <w:rsid w:val="0FA20284"/>
    <w:rsid w:val="0FA43FFC"/>
    <w:rsid w:val="0FAC4C5F"/>
    <w:rsid w:val="0FC1070A"/>
    <w:rsid w:val="0FCE2E27"/>
    <w:rsid w:val="0FD348E1"/>
    <w:rsid w:val="0FDA17CC"/>
    <w:rsid w:val="0FE10DAC"/>
    <w:rsid w:val="0FE4264A"/>
    <w:rsid w:val="0FED7751"/>
    <w:rsid w:val="0FF56606"/>
    <w:rsid w:val="0FF7412C"/>
    <w:rsid w:val="100131FC"/>
    <w:rsid w:val="10042CED"/>
    <w:rsid w:val="100F5919"/>
    <w:rsid w:val="1010343F"/>
    <w:rsid w:val="10172A20"/>
    <w:rsid w:val="1022461B"/>
    <w:rsid w:val="10392996"/>
    <w:rsid w:val="103B4960"/>
    <w:rsid w:val="103C2486"/>
    <w:rsid w:val="103C4234"/>
    <w:rsid w:val="10417A9D"/>
    <w:rsid w:val="10433815"/>
    <w:rsid w:val="10466E61"/>
    <w:rsid w:val="10480E2B"/>
    <w:rsid w:val="104A4BA3"/>
    <w:rsid w:val="10572E1C"/>
    <w:rsid w:val="106519DD"/>
    <w:rsid w:val="106D0892"/>
    <w:rsid w:val="10703EDE"/>
    <w:rsid w:val="107734BE"/>
    <w:rsid w:val="107B4D5D"/>
    <w:rsid w:val="107C4E2A"/>
    <w:rsid w:val="107E2A9F"/>
    <w:rsid w:val="10802373"/>
    <w:rsid w:val="108160EB"/>
    <w:rsid w:val="108300B5"/>
    <w:rsid w:val="10831E63"/>
    <w:rsid w:val="109220A6"/>
    <w:rsid w:val="10944070"/>
    <w:rsid w:val="1097590F"/>
    <w:rsid w:val="10A122E9"/>
    <w:rsid w:val="10A32505"/>
    <w:rsid w:val="10A67900"/>
    <w:rsid w:val="10AB3168"/>
    <w:rsid w:val="10B77D5F"/>
    <w:rsid w:val="10C34956"/>
    <w:rsid w:val="10CD30DE"/>
    <w:rsid w:val="10D26947"/>
    <w:rsid w:val="10D95F27"/>
    <w:rsid w:val="10E5667A"/>
    <w:rsid w:val="10EF12A7"/>
    <w:rsid w:val="10F20D97"/>
    <w:rsid w:val="10FB40F0"/>
    <w:rsid w:val="1100110B"/>
    <w:rsid w:val="110F1949"/>
    <w:rsid w:val="111156C1"/>
    <w:rsid w:val="11166833"/>
    <w:rsid w:val="111927C8"/>
    <w:rsid w:val="112076B2"/>
    <w:rsid w:val="11274EE5"/>
    <w:rsid w:val="11333889"/>
    <w:rsid w:val="113E5D8A"/>
    <w:rsid w:val="114F1D45"/>
    <w:rsid w:val="11515ABE"/>
    <w:rsid w:val="11545714"/>
    <w:rsid w:val="11643A43"/>
    <w:rsid w:val="116C6D9B"/>
    <w:rsid w:val="11800151"/>
    <w:rsid w:val="1182211B"/>
    <w:rsid w:val="118B7221"/>
    <w:rsid w:val="118C4D48"/>
    <w:rsid w:val="11A55E09"/>
    <w:rsid w:val="11A72525"/>
    <w:rsid w:val="11A83289"/>
    <w:rsid w:val="11A976A8"/>
    <w:rsid w:val="11AD7990"/>
    <w:rsid w:val="11AE1162"/>
    <w:rsid w:val="11B147AE"/>
    <w:rsid w:val="11B36778"/>
    <w:rsid w:val="11B524F0"/>
    <w:rsid w:val="11B5604C"/>
    <w:rsid w:val="11B81FE1"/>
    <w:rsid w:val="11BB562D"/>
    <w:rsid w:val="11BC387F"/>
    <w:rsid w:val="11BF336F"/>
    <w:rsid w:val="11C646FD"/>
    <w:rsid w:val="11C91AF8"/>
    <w:rsid w:val="11C97D4A"/>
    <w:rsid w:val="11CB1D14"/>
    <w:rsid w:val="11CE5360"/>
    <w:rsid w:val="11D230A2"/>
    <w:rsid w:val="11D861DF"/>
    <w:rsid w:val="11DF131B"/>
    <w:rsid w:val="11E20E0C"/>
    <w:rsid w:val="11E44B84"/>
    <w:rsid w:val="11ED1C8A"/>
    <w:rsid w:val="11F03528"/>
    <w:rsid w:val="11F272A1"/>
    <w:rsid w:val="11F50B3F"/>
    <w:rsid w:val="11FD17D8"/>
    <w:rsid w:val="12042B30"/>
    <w:rsid w:val="12080872"/>
    <w:rsid w:val="12131ED0"/>
    <w:rsid w:val="12135469"/>
    <w:rsid w:val="1218482D"/>
    <w:rsid w:val="12260CF8"/>
    <w:rsid w:val="12274A70"/>
    <w:rsid w:val="122907E8"/>
    <w:rsid w:val="122D2087"/>
    <w:rsid w:val="123478B9"/>
    <w:rsid w:val="12371157"/>
    <w:rsid w:val="12445976"/>
    <w:rsid w:val="125A4E46"/>
    <w:rsid w:val="125C6E10"/>
    <w:rsid w:val="125E7D6E"/>
    <w:rsid w:val="12635AA8"/>
    <w:rsid w:val="12691182"/>
    <w:rsid w:val="126F4193"/>
    <w:rsid w:val="12773533"/>
    <w:rsid w:val="1279351E"/>
    <w:rsid w:val="12850115"/>
    <w:rsid w:val="12850F8A"/>
    <w:rsid w:val="129245E0"/>
    <w:rsid w:val="129640D0"/>
    <w:rsid w:val="129906A9"/>
    <w:rsid w:val="12A06CFD"/>
    <w:rsid w:val="12A559A2"/>
    <w:rsid w:val="12AF5192"/>
    <w:rsid w:val="12C30C3D"/>
    <w:rsid w:val="12CA3D79"/>
    <w:rsid w:val="12D90460"/>
    <w:rsid w:val="12F157AA"/>
    <w:rsid w:val="12F31522"/>
    <w:rsid w:val="12F47048"/>
    <w:rsid w:val="12F86B39"/>
    <w:rsid w:val="12FB03D7"/>
    <w:rsid w:val="130152C1"/>
    <w:rsid w:val="13070B2A"/>
    <w:rsid w:val="130F3E82"/>
    <w:rsid w:val="130F5C30"/>
    <w:rsid w:val="131E2317"/>
    <w:rsid w:val="13257202"/>
    <w:rsid w:val="13274D28"/>
    <w:rsid w:val="132905EA"/>
    <w:rsid w:val="132911E1"/>
    <w:rsid w:val="1331204B"/>
    <w:rsid w:val="13410069"/>
    <w:rsid w:val="13441D7E"/>
    <w:rsid w:val="134C0C32"/>
    <w:rsid w:val="13516249"/>
    <w:rsid w:val="13533D6F"/>
    <w:rsid w:val="136715C8"/>
    <w:rsid w:val="137361BF"/>
    <w:rsid w:val="13741F37"/>
    <w:rsid w:val="137A57A0"/>
    <w:rsid w:val="13873A19"/>
    <w:rsid w:val="138F0B1F"/>
    <w:rsid w:val="13912AE9"/>
    <w:rsid w:val="13914897"/>
    <w:rsid w:val="13981A7A"/>
    <w:rsid w:val="13985C26"/>
    <w:rsid w:val="139FFF33"/>
    <w:rsid w:val="13A50343"/>
    <w:rsid w:val="13BA3DEE"/>
    <w:rsid w:val="13BD38DE"/>
    <w:rsid w:val="13C24A51"/>
    <w:rsid w:val="13CB7DA9"/>
    <w:rsid w:val="13CE33F5"/>
    <w:rsid w:val="13DA2F6E"/>
    <w:rsid w:val="13DC1FB6"/>
    <w:rsid w:val="13DD188A"/>
    <w:rsid w:val="13DE01AE"/>
    <w:rsid w:val="13DF1AA7"/>
    <w:rsid w:val="13DF5603"/>
    <w:rsid w:val="13F07810"/>
    <w:rsid w:val="13F54E26"/>
    <w:rsid w:val="141554C8"/>
    <w:rsid w:val="141B23B3"/>
    <w:rsid w:val="141F00F5"/>
    <w:rsid w:val="14237BE5"/>
    <w:rsid w:val="14257900"/>
    <w:rsid w:val="14290F74"/>
    <w:rsid w:val="14293155"/>
    <w:rsid w:val="142D2812"/>
    <w:rsid w:val="143040B0"/>
    <w:rsid w:val="14327E28"/>
    <w:rsid w:val="14373691"/>
    <w:rsid w:val="143771ED"/>
    <w:rsid w:val="14382F65"/>
    <w:rsid w:val="144162BD"/>
    <w:rsid w:val="14423DE3"/>
    <w:rsid w:val="1444190A"/>
    <w:rsid w:val="144731A8"/>
    <w:rsid w:val="144808AD"/>
    <w:rsid w:val="145C6C53"/>
    <w:rsid w:val="14636234"/>
    <w:rsid w:val="146855F8"/>
    <w:rsid w:val="146D2C0E"/>
    <w:rsid w:val="14706BA3"/>
    <w:rsid w:val="14757D15"/>
    <w:rsid w:val="14773A8D"/>
    <w:rsid w:val="147815B3"/>
    <w:rsid w:val="14795A57"/>
    <w:rsid w:val="147F0B94"/>
    <w:rsid w:val="147F2942"/>
    <w:rsid w:val="147F6DE6"/>
    <w:rsid w:val="1481490C"/>
    <w:rsid w:val="14830684"/>
    <w:rsid w:val="14832432"/>
    <w:rsid w:val="148443FC"/>
    <w:rsid w:val="14861F22"/>
    <w:rsid w:val="14863CD0"/>
    <w:rsid w:val="148B32F1"/>
    <w:rsid w:val="14922675"/>
    <w:rsid w:val="14942891"/>
    <w:rsid w:val="1495246B"/>
    <w:rsid w:val="14A16D5C"/>
    <w:rsid w:val="14A5684C"/>
    <w:rsid w:val="14A66120"/>
    <w:rsid w:val="14AA3E63"/>
    <w:rsid w:val="14AB7BDB"/>
    <w:rsid w:val="14BA7E1E"/>
    <w:rsid w:val="14BC3B96"/>
    <w:rsid w:val="14BF5434"/>
    <w:rsid w:val="14C34F24"/>
    <w:rsid w:val="14C52A4A"/>
    <w:rsid w:val="14C60571"/>
    <w:rsid w:val="14C831D3"/>
    <w:rsid w:val="14C91E0F"/>
    <w:rsid w:val="14CA0061"/>
    <w:rsid w:val="14CA6F83"/>
    <w:rsid w:val="14CF1B1B"/>
    <w:rsid w:val="14D51331"/>
    <w:rsid w:val="14D709D0"/>
    <w:rsid w:val="14E54E9B"/>
    <w:rsid w:val="14E76E65"/>
    <w:rsid w:val="14E950DD"/>
    <w:rsid w:val="14EB6229"/>
    <w:rsid w:val="14FC0982"/>
    <w:rsid w:val="150A2B53"/>
    <w:rsid w:val="150D2643"/>
    <w:rsid w:val="15127C5A"/>
    <w:rsid w:val="151412DC"/>
    <w:rsid w:val="151A266A"/>
    <w:rsid w:val="151B6B0E"/>
    <w:rsid w:val="151E65FF"/>
    <w:rsid w:val="15233C15"/>
    <w:rsid w:val="152359C3"/>
    <w:rsid w:val="152C2AC9"/>
    <w:rsid w:val="1534197E"/>
    <w:rsid w:val="15363948"/>
    <w:rsid w:val="154D47EE"/>
    <w:rsid w:val="155344FA"/>
    <w:rsid w:val="15543DCE"/>
    <w:rsid w:val="15545B7C"/>
    <w:rsid w:val="15581B10"/>
    <w:rsid w:val="155E2E9F"/>
    <w:rsid w:val="156C1118"/>
    <w:rsid w:val="157601E9"/>
    <w:rsid w:val="157D1577"/>
    <w:rsid w:val="15804BC3"/>
    <w:rsid w:val="15806971"/>
    <w:rsid w:val="1582093B"/>
    <w:rsid w:val="158346B4"/>
    <w:rsid w:val="158A77F0"/>
    <w:rsid w:val="158C17BA"/>
    <w:rsid w:val="158D108E"/>
    <w:rsid w:val="159643E7"/>
    <w:rsid w:val="159A20A5"/>
    <w:rsid w:val="159A3ED7"/>
    <w:rsid w:val="159B37AB"/>
    <w:rsid w:val="15A308B2"/>
    <w:rsid w:val="15A54611"/>
    <w:rsid w:val="15A703A2"/>
    <w:rsid w:val="15AC6074"/>
    <w:rsid w:val="15B14D7D"/>
    <w:rsid w:val="15B35F47"/>
    <w:rsid w:val="15B36D47"/>
    <w:rsid w:val="15D8055B"/>
    <w:rsid w:val="15DA2525"/>
    <w:rsid w:val="15DB004C"/>
    <w:rsid w:val="15DD3DC4"/>
    <w:rsid w:val="15E2762C"/>
    <w:rsid w:val="15E965F4"/>
    <w:rsid w:val="15F86E50"/>
    <w:rsid w:val="1602382A"/>
    <w:rsid w:val="16096967"/>
    <w:rsid w:val="160C28FB"/>
    <w:rsid w:val="160E6673"/>
    <w:rsid w:val="16105F47"/>
    <w:rsid w:val="16201F02"/>
    <w:rsid w:val="162157D8"/>
    <w:rsid w:val="16223ECC"/>
    <w:rsid w:val="162639BD"/>
    <w:rsid w:val="16300397"/>
    <w:rsid w:val="163836F0"/>
    <w:rsid w:val="1638549E"/>
    <w:rsid w:val="163A7468"/>
    <w:rsid w:val="163B0AEA"/>
    <w:rsid w:val="16481B85"/>
    <w:rsid w:val="165027E8"/>
    <w:rsid w:val="165C73DE"/>
    <w:rsid w:val="165F2A2B"/>
    <w:rsid w:val="165F6ECF"/>
    <w:rsid w:val="16610551"/>
    <w:rsid w:val="1666200B"/>
    <w:rsid w:val="166718DF"/>
    <w:rsid w:val="166B13D0"/>
    <w:rsid w:val="166D339A"/>
    <w:rsid w:val="16702E8A"/>
    <w:rsid w:val="1675224E"/>
    <w:rsid w:val="167B4492"/>
    <w:rsid w:val="167D7355"/>
    <w:rsid w:val="169052DA"/>
    <w:rsid w:val="16922E00"/>
    <w:rsid w:val="169A3A63"/>
    <w:rsid w:val="169E17A5"/>
    <w:rsid w:val="16A36DBB"/>
    <w:rsid w:val="16A9014A"/>
    <w:rsid w:val="16AD19E8"/>
    <w:rsid w:val="16B9038D"/>
    <w:rsid w:val="16BA2357"/>
    <w:rsid w:val="16BC1C2B"/>
    <w:rsid w:val="16BE1E47"/>
    <w:rsid w:val="16C62AAA"/>
    <w:rsid w:val="16D276A1"/>
    <w:rsid w:val="16E15B36"/>
    <w:rsid w:val="16E55626"/>
    <w:rsid w:val="16E64EFA"/>
    <w:rsid w:val="16EB42BE"/>
    <w:rsid w:val="16F413C5"/>
    <w:rsid w:val="170E4685"/>
    <w:rsid w:val="171F21BA"/>
    <w:rsid w:val="17237EFC"/>
    <w:rsid w:val="172F064F"/>
    <w:rsid w:val="17306175"/>
    <w:rsid w:val="173739A8"/>
    <w:rsid w:val="17463BEB"/>
    <w:rsid w:val="17555BDC"/>
    <w:rsid w:val="17571954"/>
    <w:rsid w:val="17575DF8"/>
    <w:rsid w:val="175B7696"/>
    <w:rsid w:val="176C53FF"/>
    <w:rsid w:val="177841EC"/>
    <w:rsid w:val="17822E75"/>
    <w:rsid w:val="1783099B"/>
    <w:rsid w:val="178D1819"/>
    <w:rsid w:val="178D3AF2"/>
    <w:rsid w:val="178F5592"/>
    <w:rsid w:val="179130B8"/>
    <w:rsid w:val="1796247C"/>
    <w:rsid w:val="179761F4"/>
    <w:rsid w:val="17982698"/>
    <w:rsid w:val="17994D0F"/>
    <w:rsid w:val="17A54DB5"/>
    <w:rsid w:val="17A70B2D"/>
    <w:rsid w:val="17B15508"/>
    <w:rsid w:val="17B33B8E"/>
    <w:rsid w:val="17B9260F"/>
    <w:rsid w:val="17BD3EAD"/>
    <w:rsid w:val="17C0574B"/>
    <w:rsid w:val="17C81174"/>
    <w:rsid w:val="17CC7AF5"/>
    <w:rsid w:val="17DD00AB"/>
    <w:rsid w:val="17E21B65"/>
    <w:rsid w:val="17F43647"/>
    <w:rsid w:val="17F673BF"/>
    <w:rsid w:val="180B7AE6"/>
    <w:rsid w:val="181141F9"/>
    <w:rsid w:val="18185587"/>
    <w:rsid w:val="182E0907"/>
    <w:rsid w:val="183F0D66"/>
    <w:rsid w:val="183F12A7"/>
    <w:rsid w:val="184410B8"/>
    <w:rsid w:val="184620F4"/>
    <w:rsid w:val="184E71FB"/>
    <w:rsid w:val="18583BD5"/>
    <w:rsid w:val="18640274"/>
    <w:rsid w:val="18695DE3"/>
    <w:rsid w:val="18697B91"/>
    <w:rsid w:val="186E164B"/>
    <w:rsid w:val="18737847"/>
    <w:rsid w:val="18860D7D"/>
    <w:rsid w:val="18952734"/>
    <w:rsid w:val="18972950"/>
    <w:rsid w:val="18A1732B"/>
    <w:rsid w:val="18AB63FB"/>
    <w:rsid w:val="18B352B0"/>
    <w:rsid w:val="18B52DD6"/>
    <w:rsid w:val="18BF3C55"/>
    <w:rsid w:val="18C13529"/>
    <w:rsid w:val="18C64FE3"/>
    <w:rsid w:val="18C9062F"/>
    <w:rsid w:val="18CB084B"/>
    <w:rsid w:val="18D07C10"/>
    <w:rsid w:val="18E90CD1"/>
    <w:rsid w:val="18F510CA"/>
    <w:rsid w:val="1901426D"/>
    <w:rsid w:val="1901601B"/>
    <w:rsid w:val="19037FE5"/>
    <w:rsid w:val="19137AFC"/>
    <w:rsid w:val="19185113"/>
    <w:rsid w:val="191C10A7"/>
    <w:rsid w:val="191C59B6"/>
    <w:rsid w:val="19241D0A"/>
    <w:rsid w:val="19263CD4"/>
    <w:rsid w:val="192D6E10"/>
    <w:rsid w:val="193405B1"/>
    <w:rsid w:val="19362169"/>
    <w:rsid w:val="19371A3D"/>
    <w:rsid w:val="19377C8F"/>
    <w:rsid w:val="19404D95"/>
    <w:rsid w:val="19466124"/>
    <w:rsid w:val="194859F8"/>
    <w:rsid w:val="19524AC9"/>
    <w:rsid w:val="195720DF"/>
    <w:rsid w:val="19573E8D"/>
    <w:rsid w:val="19575C3B"/>
    <w:rsid w:val="195B1BCF"/>
    <w:rsid w:val="195E239D"/>
    <w:rsid w:val="196441AC"/>
    <w:rsid w:val="19650358"/>
    <w:rsid w:val="196842EC"/>
    <w:rsid w:val="196D545F"/>
    <w:rsid w:val="196F7429"/>
    <w:rsid w:val="19793E03"/>
    <w:rsid w:val="198D78AF"/>
    <w:rsid w:val="19B412DF"/>
    <w:rsid w:val="19B65058"/>
    <w:rsid w:val="19BD0194"/>
    <w:rsid w:val="19CD414F"/>
    <w:rsid w:val="19D11E91"/>
    <w:rsid w:val="19D35C0A"/>
    <w:rsid w:val="19D61256"/>
    <w:rsid w:val="19E020D4"/>
    <w:rsid w:val="19E41BC5"/>
    <w:rsid w:val="19E51499"/>
    <w:rsid w:val="19E576EB"/>
    <w:rsid w:val="19E82D37"/>
    <w:rsid w:val="19F3005A"/>
    <w:rsid w:val="19F811CC"/>
    <w:rsid w:val="1A0A0EFF"/>
    <w:rsid w:val="1A0A7151"/>
    <w:rsid w:val="1A143B2C"/>
    <w:rsid w:val="1A1A55E6"/>
    <w:rsid w:val="1A206975"/>
    <w:rsid w:val="1A240213"/>
    <w:rsid w:val="1A2A15A2"/>
    <w:rsid w:val="1A312930"/>
    <w:rsid w:val="1A330456"/>
    <w:rsid w:val="1A3348FA"/>
    <w:rsid w:val="1A352420"/>
    <w:rsid w:val="1A46462D"/>
    <w:rsid w:val="1A511840"/>
    <w:rsid w:val="1A613215"/>
    <w:rsid w:val="1A644AB4"/>
    <w:rsid w:val="1A6C1BBA"/>
    <w:rsid w:val="1A756CC1"/>
    <w:rsid w:val="1A7C004F"/>
    <w:rsid w:val="1A7D5B75"/>
    <w:rsid w:val="1A954C6D"/>
    <w:rsid w:val="1A9C424D"/>
    <w:rsid w:val="1A9E7AF2"/>
    <w:rsid w:val="1AA66E7A"/>
    <w:rsid w:val="1AB75BC6"/>
    <w:rsid w:val="1ABA46D4"/>
    <w:rsid w:val="1AC11F06"/>
    <w:rsid w:val="1ACB6E64"/>
    <w:rsid w:val="1ACC4407"/>
    <w:rsid w:val="1ACF6C99"/>
    <w:rsid w:val="1AD5150D"/>
    <w:rsid w:val="1ADE4866"/>
    <w:rsid w:val="1AE43B4E"/>
    <w:rsid w:val="1AF35E37"/>
    <w:rsid w:val="1AF37BE5"/>
    <w:rsid w:val="1B122762"/>
    <w:rsid w:val="1B1E1106"/>
    <w:rsid w:val="1B252495"/>
    <w:rsid w:val="1B283D33"/>
    <w:rsid w:val="1B2D30F7"/>
    <w:rsid w:val="1B2E2262"/>
    <w:rsid w:val="1B2E6E70"/>
    <w:rsid w:val="1B34092A"/>
    <w:rsid w:val="1B3501FE"/>
    <w:rsid w:val="1B3A3A66"/>
    <w:rsid w:val="1B3A5814"/>
    <w:rsid w:val="1B43291B"/>
    <w:rsid w:val="1B444488"/>
    <w:rsid w:val="1B4D379A"/>
    <w:rsid w:val="1B516D3B"/>
    <w:rsid w:val="1B570174"/>
    <w:rsid w:val="1B5763C6"/>
    <w:rsid w:val="1B5B5EB7"/>
    <w:rsid w:val="1B5C39DD"/>
    <w:rsid w:val="1B5C578B"/>
    <w:rsid w:val="1B66485B"/>
    <w:rsid w:val="1B6706BA"/>
    <w:rsid w:val="1B6805D3"/>
    <w:rsid w:val="1B79633D"/>
    <w:rsid w:val="1B830F69"/>
    <w:rsid w:val="1B8B6070"/>
    <w:rsid w:val="1B965141"/>
    <w:rsid w:val="1B9926B0"/>
    <w:rsid w:val="1BA07D6D"/>
    <w:rsid w:val="1BA55384"/>
    <w:rsid w:val="1BAA4748"/>
    <w:rsid w:val="1BC432EE"/>
    <w:rsid w:val="1BC83C94"/>
    <w:rsid w:val="1BCA303C"/>
    <w:rsid w:val="1BCB46BE"/>
    <w:rsid w:val="1BD619E1"/>
    <w:rsid w:val="1BDE2644"/>
    <w:rsid w:val="1BE7599C"/>
    <w:rsid w:val="1BEC33E8"/>
    <w:rsid w:val="1BF21E2B"/>
    <w:rsid w:val="1BF27E9D"/>
    <w:rsid w:val="1BFB4FA4"/>
    <w:rsid w:val="1C0025BA"/>
    <w:rsid w:val="1C0876C1"/>
    <w:rsid w:val="1C136791"/>
    <w:rsid w:val="1C146065"/>
    <w:rsid w:val="1C22061E"/>
    <w:rsid w:val="1C27223D"/>
    <w:rsid w:val="1C2A7637"/>
    <w:rsid w:val="1C2E35CB"/>
    <w:rsid w:val="1C2E5379"/>
    <w:rsid w:val="1C35495A"/>
    <w:rsid w:val="1C422BD3"/>
    <w:rsid w:val="1C550B58"/>
    <w:rsid w:val="1C6074FD"/>
    <w:rsid w:val="1C646FED"/>
    <w:rsid w:val="1C6A2129"/>
    <w:rsid w:val="1C6E062E"/>
    <w:rsid w:val="1C7134B8"/>
    <w:rsid w:val="1C7A05BE"/>
    <w:rsid w:val="1C8256C5"/>
    <w:rsid w:val="1C895236"/>
    <w:rsid w:val="1C8B457A"/>
    <w:rsid w:val="1C9553F8"/>
    <w:rsid w:val="1CA4563B"/>
    <w:rsid w:val="1CA67605"/>
    <w:rsid w:val="1CA7512B"/>
    <w:rsid w:val="1CB82E95"/>
    <w:rsid w:val="1CBD04AB"/>
    <w:rsid w:val="1CCE26B8"/>
    <w:rsid w:val="1CD221A8"/>
    <w:rsid w:val="1CD81789"/>
    <w:rsid w:val="1CE05AC6"/>
    <w:rsid w:val="1CE26164"/>
    <w:rsid w:val="1CE7377A"/>
    <w:rsid w:val="1CF85987"/>
    <w:rsid w:val="1CFA34AD"/>
    <w:rsid w:val="1D012A8E"/>
    <w:rsid w:val="1D036806"/>
    <w:rsid w:val="1D04432C"/>
    <w:rsid w:val="1D061E52"/>
    <w:rsid w:val="1D085BCA"/>
    <w:rsid w:val="1D102CD1"/>
    <w:rsid w:val="1D156539"/>
    <w:rsid w:val="1D210A3A"/>
    <w:rsid w:val="1D2422D8"/>
    <w:rsid w:val="1D271DC8"/>
    <w:rsid w:val="1D2E13A9"/>
    <w:rsid w:val="1D2E3157"/>
    <w:rsid w:val="1D2F75FB"/>
    <w:rsid w:val="1D3764AF"/>
    <w:rsid w:val="1D3E15EC"/>
    <w:rsid w:val="1D3E783E"/>
    <w:rsid w:val="1D4110DC"/>
    <w:rsid w:val="1D4330A6"/>
    <w:rsid w:val="1D4B5AB7"/>
    <w:rsid w:val="1D65301C"/>
    <w:rsid w:val="1D666D95"/>
    <w:rsid w:val="1D6848BB"/>
    <w:rsid w:val="1D6D0123"/>
    <w:rsid w:val="1D6D41EF"/>
    <w:rsid w:val="1D7019C1"/>
    <w:rsid w:val="1D70376F"/>
    <w:rsid w:val="1D8D2573"/>
    <w:rsid w:val="1D9B4C90"/>
    <w:rsid w:val="1DA022A7"/>
    <w:rsid w:val="1DA344B8"/>
    <w:rsid w:val="1DB00010"/>
    <w:rsid w:val="1DC67833"/>
    <w:rsid w:val="1DCF493A"/>
    <w:rsid w:val="1DD0420E"/>
    <w:rsid w:val="1DD106B2"/>
    <w:rsid w:val="1DE101C9"/>
    <w:rsid w:val="1DE5415D"/>
    <w:rsid w:val="1DEA3522"/>
    <w:rsid w:val="1DEB1048"/>
    <w:rsid w:val="1DED4DC0"/>
    <w:rsid w:val="1DEF162F"/>
    <w:rsid w:val="1DF4614E"/>
    <w:rsid w:val="1DF63C75"/>
    <w:rsid w:val="1DFC5003"/>
    <w:rsid w:val="1E075E82"/>
    <w:rsid w:val="1E0D5462"/>
    <w:rsid w:val="1E13619C"/>
    <w:rsid w:val="1E171E3D"/>
    <w:rsid w:val="1E1B192D"/>
    <w:rsid w:val="1E2244BE"/>
    <w:rsid w:val="1E2527AC"/>
    <w:rsid w:val="1E2D1660"/>
    <w:rsid w:val="1E2D340E"/>
    <w:rsid w:val="1E312B23"/>
    <w:rsid w:val="1E3B5B2B"/>
    <w:rsid w:val="1E432C32"/>
    <w:rsid w:val="1E480248"/>
    <w:rsid w:val="1E4E1D03"/>
    <w:rsid w:val="1E5135A1"/>
    <w:rsid w:val="1E5310C7"/>
    <w:rsid w:val="1E537319"/>
    <w:rsid w:val="1E5D3CF4"/>
    <w:rsid w:val="1E5F5CBE"/>
    <w:rsid w:val="1E6C2189"/>
    <w:rsid w:val="1E7159F1"/>
    <w:rsid w:val="1E733517"/>
    <w:rsid w:val="1E763007"/>
    <w:rsid w:val="1E7828DC"/>
    <w:rsid w:val="1E8079E2"/>
    <w:rsid w:val="1E827BFE"/>
    <w:rsid w:val="1E8C45D9"/>
    <w:rsid w:val="1E8F5E77"/>
    <w:rsid w:val="1E917E41"/>
    <w:rsid w:val="1E9811D0"/>
    <w:rsid w:val="1E990AA4"/>
    <w:rsid w:val="1EA2204E"/>
    <w:rsid w:val="1EA26BE1"/>
    <w:rsid w:val="1EA916A2"/>
    <w:rsid w:val="1EAC07D7"/>
    <w:rsid w:val="1EAE454F"/>
    <w:rsid w:val="1EAF02C7"/>
    <w:rsid w:val="1EB458DE"/>
    <w:rsid w:val="1EBB6C6C"/>
    <w:rsid w:val="1EC2624D"/>
    <w:rsid w:val="1ECC2C27"/>
    <w:rsid w:val="1ECC70CB"/>
    <w:rsid w:val="1ED0096A"/>
    <w:rsid w:val="1EDA3596"/>
    <w:rsid w:val="1EE2069D"/>
    <w:rsid w:val="1EFA59E6"/>
    <w:rsid w:val="1EFD54D7"/>
    <w:rsid w:val="1EFD7285"/>
    <w:rsid w:val="1F06438B"/>
    <w:rsid w:val="1F066139"/>
    <w:rsid w:val="1F105BB3"/>
    <w:rsid w:val="1F176598"/>
    <w:rsid w:val="1F1A1BE5"/>
    <w:rsid w:val="1F2E38E2"/>
    <w:rsid w:val="1F356A1F"/>
    <w:rsid w:val="1F38650F"/>
    <w:rsid w:val="1F3A0E20"/>
    <w:rsid w:val="1F42113B"/>
    <w:rsid w:val="1F444EB4"/>
    <w:rsid w:val="1F4B6242"/>
    <w:rsid w:val="1F550E6F"/>
    <w:rsid w:val="1F5A46D7"/>
    <w:rsid w:val="1F615A66"/>
    <w:rsid w:val="1F680BA2"/>
    <w:rsid w:val="1F7237CF"/>
    <w:rsid w:val="1F756DA9"/>
    <w:rsid w:val="1F784B5D"/>
    <w:rsid w:val="1F7C464D"/>
    <w:rsid w:val="1F8B4890"/>
    <w:rsid w:val="1F8F25D3"/>
    <w:rsid w:val="1F95570F"/>
    <w:rsid w:val="1F99183C"/>
    <w:rsid w:val="1FB63935"/>
    <w:rsid w:val="1FB913FE"/>
    <w:rsid w:val="1FB97650"/>
    <w:rsid w:val="1FD004F5"/>
    <w:rsid w:val="1FD55B0C"/>
    <w:rsid w:val="1FD9384E"/>
    <w:rsid w:val="1FD955FC"/>
    <w:rsid w:val="1FDB75C6"/>
    <w:rsid w:val="1FDE2C12"/>
    <w:rsid w:val="1FE43FA1"/>
    <w:rsid w:val="1FEF3071"/>
    <w:rsid w:val="1FEF6BCD"/>
    <w:rsid w:val="1FF00B97"/>
    <w:rsid w:val="1FF71F26"/>
    <w:rsid w:val="20012DA5"/>
    <w:rsid w:val="200F54C2"/>
    <w:rsid w:val="201523AC"/>
    <w:rsid w:val="202A22FB"/>
    <w:rsid w:val="202A40A9"/>
    <w:rsid w:val="203C5B8B"/>
    <w:rsid w:val="20427645"/>
    <w:rsid w:val="20491033"/>
    <w:rsid w:val="204A474C"/>
    <w:rsid w:val="20500291"/>
    <w:rsid w:val="20515ADA"/>
    <w:rsid w:val="2059498F"/>
    <w:rsid w:val="207215AC"/>
    <w:rsid w:val="207D68CF"/>
    <w:rsid w:val="207E61A3"/>
    <w:rsid w:val="20850611"/>
    <w:rsid w:val="20857532"/>
    <w:rsid w:val="208C266E"/>
    <w:rsid w:val="208D63E6"/>
    <w:rsid w:val="2099122F"/>
    <w:rsid w:val="20A43E5C"/>
    <w:rsid w:val="20AE4CDA"/>
    <w:rsid w:val="20AF2801"/>
    <w:rsid w:val="20B47E17"/>
    <w:rsid w:val="20B63B8F"/>
    <w:rsid w:val="20B971DB"/>
    <w:rsid w:val="20BD316F"/>
    <w:rsid w:val="20BD4F1E"/>
    <w:rsid w:val="20C20786"/>
    <w:rsid w:val="20C91B14"/>
    <w:rsid w:val="20CA13E8"/>
    <w:rsid w:val="20D02EA3"/>
    <w:rsid w:val="20D52267"/>
    <w:rsid w:val="20D9162C"/>
    <w:rsid w:val="20DB35F6"/>
    <w:rsid w:val="20EA6ED4"/>
    <w:rsid w:val="20EE356F"/>
    <w:rsid w:val="20FF5536"/>
    <w:rsid w:val="21086CE7"/>
    <w:rsid w:val="210A7A37"/>
    <w:rsid w:val="210C1A01"/>
    <w:rsid w:val="21130FE1"/>
    <w:rsid w:val="211F1734"/>
    <w:rsid w:val="211F34E2"/>
    <w:rsid w:val="212154AC"/>
    <w:rsid w:val="21221225"/>
    <w:rsid w:val="21246D4B"/>
    <w:rsid w:val="212C5C64"/>
    <w:rsid w:val="212D20A3"/>
    <w:rsid w:val="213056EF"/>
    <w:rsid w:val="213F5933"/>
    <w:rsid w:val="21425423"/>
    <w:rsid w:val="2144119B"/>
    <w:rsid w:val="214473ED"/>
    <w:rsid w:val="21494A03"/>
    <w:rsid w:val="21570ECE"/>
    <w:rsid w:val="215B0293"/>
    <w:rsid w:val="215F7D83"/>
    <w:rsid w:val="21642211"/>
    <w:rsid w:val="216655B5"/>
    <w:rsid w:val="2181419D"/>
    <w:rsid w:val="21821CC3"/>
    <w:rsid w:val="21837F15"/>
    <w:rsid w:val="2186530F"/>
    <w:rsid w:val="218B53BC"/>
    <w:rsid w:val="218C684C"/>
    <w:rsid w:val="218D2B42"/>
    <w:rsid w:val="21902632"/>
    <w:rsid w:val="21920158"/>
    <w:rsid w:val="219263AA"/>
    <w:rsid w:val="21937A2C"/>
    <w:rsid w:val="21952780"/>
    <w:rsid w:val="21A34113"/>
    <w:rsid w:val="21A67760"/>
    <w:rsid w:val="21A97250"/>
    <w:rsid w:val="21AD4F92"/>
    <w:rsid w:val="21BE0F4D"/>
    <w:rsid w:val="21CB366A"/>
    <w:rsid w:val="21DD6EFA"/>
    <w:rsid w:val="21DF0EC4"/>
    <w:rsid w:val="21F030D1"/>
    <w:rsid w:val="21F229A5"/>
    <w:rsid w:val="21F93D33"/>
    <w:rsid w:val="21FD6A0F"/>
    <w:rsid w:val="22140B6D"/>
    <w:rsid w:val="2217065D"/>
    <w:rsid w:val="221B63A0"/>
    <w:rsid w:val="222608A0"/>
    <w:rsid w:val="222B4109"/>
    <w:rsid w:val="222B46FB"/>
    <w:rsid w:val="222C235B"/>
    <w:rsid w:val="2234120F"/>
    <w:rsid w:val="223E3E3C"/>
    <w:rsid w:val="22443D57"/>
    <w:rsid w:val="22682C67"/>
    <w:rsid w:val="227317B0"/>
    <w:rsid w:val="228026A7"/>
    <w:rsid w:val="228757E3"/>
    <w:rsid w:val="228A7081"/>
    <w:rsid w:val="22910410"/>
    <w:rsid w:val="22925F36"/>
    <w:rsid w:val="229A2E6F"/>
    <w:rsid w:val="229E48DB"/>
    <w:rsid w:val="22A85759"/>
    <w:rsid w:val="22A939AB"/>
    <w:rsid w:val="22AF6AE8"/>
    <w:rsid w:val="22B660C8"/>
    <w:rsid w:val="22BA5686"/>
    <w:rsid w:val="22C04851"/>
    <w:rsid w:val="22C32593"/>
    <w:rsid w:val="22CB70E1"/>
    <w:rsid w:val="22CE4F8B"/>
    <w:rsid w:val="22CE51C0"/>
    <w:rsid w:val="22D84291"/>
    <w:rsid w:val="22E36792"/>
    <w:rsid w:val="22EA5D72"/>
    <w:rsid w:val="22EB3FC4"/>
    <w:rsid w:val="22EE7610"/>
    <w:rsid w:val="22FD7853"/>
    <w:rsid w:val="2302130E"/>
    <w:rsid w:val="230230BC"/>
    <w:rsid w:val="23072480"/>
    <w:rsid w:val="23152DEF"/>
    <w:rsid w:val="2318643B"/>
    <w:rsid w:val="231B1DA5"/>
    <w:rsid w:val="231B417D"/>
    <w:rsid w:val="232474D6"/>
    <w:rsid w:val="23290648"/>
    <w:rsid w:val="232C1EE7"/>
    <w:rsid w:val="23307C29"/>
    <w:rsid w:val="23405992"/>
    <w:rsid w:val="234E4553"/>
    <w:rsid w:val="235356C5"/>
    <w:rsid w:val="236D2C2B"/>
    <w:rsid w:val="23810484"/>
    <w:rsid w:val="238735C1"/>
    <w:rsid w:val="23897339"/>
    <w:rsid w:val="238E0DF3"/>
    <w:rsid w:val="239301B8"/>
    <w:rsid w:val="239F090A"/>
    <w:rsid w:val="239F6B5C"/>
    <w:rsid w:val="23A83C63"/>
    <w:rsid w:val="23B720F8"/>
    <w:rsid w:val="23C6058D"/>
    <w:rsid w:val="23CD36CA"/>
    <w:rsid w:val="23CE11F0"/>
    <w:rsid w:val="23DF33FD"/>
    <w:rsid w:val="23E46C65"/>
    <w:rsid w:val="23E6478B"/>
    <w:rsid w:val="23FF13A9"/>
    <w:rsid w:val="23FF584D"/>
    <w:rsid w:val="24013373"/>
    <w:rsid w:val="24062738"/>
    <w:rsid w:val="24101808"/>
    <w:rsid w:val="24172B97"/>
    <w:rsid w:val="241E2177"/>
    <w:rsid w:val="24284DA4"/>
    <w:rsid w:val="242B4894"/>
    <w:rsid w:val="244871F4"/>
    <w:rsid w:val="244D480A"/>
    <w:rsid w:val="24507E57"/>
    <w:rsid w:val="24577437"/>
    <w:rsid w:val="245F009A"/>
    <w:rsid w:val="24635DDC"/>
    <w:rsid w:val="246A716A"/>
    <w:rsid w:val="246B6A3F"/>
    <w:rsid w:val="246F29D3"/>
    <w:rsid w:val="246F4781"/>
    <w:rsid w:val="24773635"/>
    <w:rsid w:val="247E2C16"/>
    <w:rsid w:val="24816262"/>
    <w:rsid w:val="248D2E59"/>
    <w:rsid w:val="248D4C07"/>
    <w:rsid w:val="2492221D"/>
    <w:rsid w:val="249935AC"/>
    <w:rsid w:val="24A0493A"/>
    <w:rsid w:val="24A106B2"/>
    <w:rsid w:val="24AA7567"/>
    <w:rsid w:val="24B71C84"/>
    <w:rsid w:val="24B93C4E"/>
    <w:rsid w:val="24C20D54"/>
    <w:rsid w:val="24C820E3"/>
    <w:rsid w:val="24D80578"/>
    <w:rsid w:val="24DB3BC4"/>
    <w:rsid w:val="24DE1906"/>
    <w:rsid w:val="24E16D01"/>
    <w:rsid w:val="24E862E1"/>
    <w:rsid w:val="24F66C50"/>
    <w:rsid w:val="24F904EE"/>
    <w:rsid w:val="24FD1D8D"/>
    <w:rsid w:val="250D7AF6"/>
    <w:rsid w:val="250E3F9A"/>
    <w:rsid w:val="25237319"/>
    <w:rsid w:val="252A663B"/>
    <w:rsid w:val="25341526"/>
    <w:rsid w:val="253A4D8F"/>
    <w:rsid w:val="253F05F7"/>
    <w:rsid w:val="254259F1"/>
    <w:rsid w:val="25461985"/>
    <w:rsid w:val="25535E50"/>
    <w:rsid w:val="255A71DF"/>
    <w:rsid w:val="255D282B"/>
    <w:rsid w:val="256242E5"/>
    <w:rsid w:val="25641E0C"/>
    <w:rsid w:val="256B13EC"/>
    <w:rsid w:val="25761B3F"/>
    <w:rsid w:val="257B7155"/>
    <w:rsid w:val="25873D4C"/>
    <w:rsid w:val="259326F1"/>
    <w:rsid w:val="259C15A5"/>
    <w:rsid w:val="25A246E2"/>
    <w:rsid w:val="25A62424"/>
    <w:rsid w:val="25A77F4A"/>
    <w:rsid w:val="25AE12D9"/>
    <w:rsid w:val="25B54415"/>
    <w:rsid w:val="25C26B32"/>
    <w:rsid w:val="25C64874"/>
    <w:rsid w:val="25C91C6F"/>
    <w:rsid w:val="25CD5C03"/>
    <w:rsid w:val="25D02FFD"/>
    <w:rsid w:val="25D36F91"/>
    <w:rsid w:val="25D7082F"/>
    <w:rsid w:val="25DC4098"/>
    <w:rsid w:val="25DC7BF4"/>
    <w:rsid w:val="25EB42DB"/>
    <w:rsid w:val="25EF0DD5"/>
    <w:rsid w:val="25F42697"/>
    <w:rsid w:val="25F628FE"/>
    <w:rsid w:val="2604714B"/>
    <w:rsid w:val="260F6C7E"/>
    <w:rsid w:val="2612416F"/>
    <w:rsid w:val="26152AF0"/>
    <w:rsid w:val="26164DFC"/>
    <w:rsid w:val="261A071C"/>
    <w:rsid w:val="26307F40"/>
    <w:rsid w:val="26395046"/>
    <w:rsid w:val="2641214D"/>
    <w:rsid w:val="264A7253"/>
    <w:rsid w:val="264F486A"/>
    <w:rsid w:val="265005E2"/>
    <w:rsid w:val="26516A31"/>
    <w:rsid w:val="265579A6"/>
    <w:rsid w:val="265E2CFF"/>
    <w:rsid w:val="2661459D"/>
    <w:rsid w:val="2661634B"/>
    <w:rsid w:val="266A3452"/>
    <w:rsid w:val="26753BA5"/>
    <w:rsid w:val="267E514F"/>
    <w:rsid w:val="268E0114"/>
    <w:rsid w:val="26914E82"/>
    <w:rsid w:val="26971D6D"/>
    <w:rsid w:val="269E134D"/>
    <w:rsid w:val="269E7C09"/>
    <w:rsid w:val="26A36964"/>
    <w:rsid w:val="26B96187"/>
    <w:rsid w:val="26C30DB4"/>
    <w:rsid w:val="26C32B62"/>
    <w:rsid w:val="26C863CA"/>
    <w:rsid w:val="26E02C80"/>
    <w:rsid w:val="26ED7BDF"/>
    <w:rsid w:val="26EF1BA9"/>
    <w:rsid w:val="26F45411"/>
    <w:rsid w:val="26F92A28"/>
    <w:rsid w:val="26F947D6"/>
    <w:rsid w:val="27055676"/>
    <w:rsid w:val="270C62B7"/>
    <w:rsid w:val="270E64D3"/>
    <w:rsid w:val="270F224B"/>
    <w:rsid w:val="27167136"/>
    <w:rsid w:val="271B0BF0"/>
    <w:rsid w:val="271E248E"/>
    <w:rsid w:val="27271343"/>
    <w:rsid w:val="272F6449"/>
    <w:rsid w:val="273B3040"/>
    <w:rsid w:val="273B8D3D"/>
    <w:rsid w:val="27457A1B"/>
    <w:rsid w:val="27484CC0"/>
    <w:rsid w:val="274F43F6"/>
    <w:rsid w:val="27541A0C"/>
    <w:rsid w:val="275F0ADD"/>
    <w:rsid w:val="27606603"/>
    <w:rsid w:val="276B4823"/>
    <w:rsid w:val="27702CEA"/>
    <w:rsid w:val="27787DF0"/>
    <w:rsid w:val="277A5916"/>
    <w:rsid w:val="277D71B5"/>
    <w:rsid w:val="277F2F2D"/>
    <w:rsid w:val="277F4CDB"/>
    <w:rsid w:val="2786250D"/>
    <w:rsid w:val="27895B59"/>
    <w:rsid w:val="279D09EB"/>
    <w:rsid w:val="27A6670B"/>
    <w:rsid w:val="27AB7378"/>
    <w:rsid w:val="27B0758A"/>
    <w:rsid w:val="27B5694E"/>
    <w:rsid w:val="27B626C7"/>
    <w:rsid w:val="27B84691"/>
    <w:rsid w:val="27BD3A55"/>
    <w:rsid w:val="27C313CD"/>
    <w:rsid w:val="27C46B92"/>
    <w:rsid w:val="27CC5A46"/>
    <w:rsid w:val="27D67030"/>
    <w:rsid w:val="27F54F9D"/>
    <w:rsid w:val="27FA0805"/>
    <w:rsid w:val="27FB6C3E"/>
    <w:rsid w:val="27FF6A4F"/>
    <w:rsid w:val="28011B94"/>
    <w:rsid w:val="280451E0"/>
    <w:rsid w:val="280A3758"/>
    <w:rsid w:val="280B47C0"/>
    <w:rsid w:val="28133675"/>
    <w:rsid w:val="281B76B8"/>
    <w:rsid w:val="28235FAE"/>
    <w:rsid w:val="28277120"/>
    <w:rsid w:val="28327F9F"/>
    <w:rsid w:val="2838132E"/>
    <w:rsid w:val="283C2BCC"/>
    <w:rsid w:val="28433F5A"/>
    <w:rsid w:val="28461C9C"/>
    <w:rsid w:val="28551EE0"/>
    <w:rsid w:val="285919D0"/>
    <w:rsid w:val="285C6DCA"/>
    <w:rsid w:val="286135A9"/>
    <w:rsid w:val="28642123"/>
    <w:rsid w:val="286B525F"/>
    <w:rsid w:val="287560DE"/>
    <w:rsid w:val="28771E56"/>
    <w:rsid w:val="28773C04"/>
    <w:rsid w:val="28784073"/>
    <w:rsid w:val="28791614"/>
    <w:rsid w:val="287E31E4"/>
    <w:rsid w:val="287E4F92"/>
    <w:rsid w:val="287F6F5C"/>
    <w:rsid w:val="288602EB"/>
    <w:rsid w:val="28884063"/>
    <w:rsid w:val="288B3B53"/>
    <w:rsid w:val="2890116A"/>
    <w:rsid w:val="28A075FF"/>
    <w:rsid w:val="28A15125"/>
    <w:rsid w:val="28B766F6"/>
    <w:rsid w:val="28C66939"/>
    <w:rsid w:val="28E3364C"/>
    <w:rsid w:val="28EA6ACC"/>
    <w:rsid w:val="28EB63A0"/>
    <w:rsid w:val="28EC2844"/>
    <w:rsid w:val="28F25980"/>
    <w:rsid w:val="28F74D45"/>
    <w:rsid w:val="28FB4835"/>
    <w:rsid w:val="28FF2559"/>
    <w:rsid w:val="29015BC3"/>
    <w:rsid w:val="29017971"/>
    <w:rsid w:val="2903193C"/>
    <w:rsid w:val="29051210"/>
    <w:rsid w:val="29080D00"/>
    <w:rsid w:val="29143B49"/>
    <w:rsid w:val="291458F7"/>
    <w:rsid w:val="2916166F"/>
    <w:rsid w:val="29192F0D"/>
    <w:rsid w:val="291B6C85"/>
    <w:rsid w:val="291E49C7"/>
    <w:rsid w:val="29257B04"/>
    <w:rsid w:val="29282EA6"/>
    <w:rsid w:val="29284336"/>
    <w:rsid w:val="292A6EC8"/>
    <w:rsid w:val="292E4C0A"/>
    <w:rsid w:val="293935AF"/>
    <w:rsid w:val="2944442E"/>
    <w:rsid w:val="294A1318"/>
    <w:rsid w:val="295126A7"/>
    <w:rsid w:val="2953641F"/>
    <w:rsid w:val="296248B4"/>
    <w:rsid w:val="29714AF7"/>
    <w:rsid w:val="2977525D"/>
    <w:rsid w:val="297A6669"/>
    <w:rsid w:val="297A7E50"/>
    <w:rsid w:val="298011DE"/>
    <w:rsid w:val="2987256D"/>
    <w:rsid w:val="2987431B"/>
    <w:rsid w:val="29891E41"/>
    <w:rsid w:val="298A3E0B"/>
    <w:rsid w:val="29934A6D"/>
    <w:rsid w:val="29982084"/>
    <w:rsid w:val="29A520E4"/>
    <w:rsid w:val="29AE7AF9"/>
    <w:rsid w:val="29B9024C"/>
    <w:rsid w:val="29BF3AB4"/>
    <w:rsid w:val="29C410CB"/>
    <w:rsid w:val="29D07A70"/>
    <w:rsid w:val="29D532D8"/>
    <w:rsid w:val="29DB4666"/>
    <w:rsid w:val="2A0C2A72"/>
    <w:rsid w:val="2A104310"/>
    <w:rsid w:val="2A110088"/>
    <w:rsid w:val="2A1536D4"/>
    <w:rsid w:val="2A261D85"/>
    <w:rsid w:val="2A2B739C"/>
    <w:rsid w:val="2A314286"/>
    <w:rsid w:val="2A37408C"/>
    <w:rsid w:val="2A3E2317"/>
    <w:rsid w:val="2A44220C"/>
    <w:rsid w:val="2A467D32"/>
    <w:rsid w:val="2A473AAA"/>
    <w:rsid w:val="2A4B17EC"/>
    <w:rsid w:val="2A4D10C0"/>
    <w:rsid w:val="2A55059E"/>
    <w:rsid w:val="2A5C1303"/>
    <w:rsid w:val="2A5C57A7"/>
    <w:rsid w:val="2A6401B8"/>
    <w:rsid w:val="2A6603D4"/>
    <w:rsid w:val="2A663F30"/>
    <w:rsid w:val="2A77613D"/>
    <w:rsid w:val="2A781EB5"/>
    <w:rsid w:val="2A790107"/>
    <w:rsid w:val="2A846AAC"/>
    <w:rsid w:val="2A8940C2"/>
    <w:rsid w:val="2A8E3487"/>
    <w:rsid w:val="2A900FAD"/>
    <w:rsid w:val="2A9F5694"/>
    <w:rsid w:val="2AA9206F"/>
    <w:rsid w:val="2AAB5DE7"/>
    <w:rsid w:val="2AC05D36"/>
    <w:rsid w:val="2AC62C21"/>
    <w:rsid w:val="2AC944BF"/>
    <w:rsid w:val="2ACB46DB"/>
    <w:rsid w:val="2AD52E64"/>
    <w:rsid w:val="2ADB491E"/>
    <w:rsid w:val="2AE2583B"/>
    <w:rsid w:val="2AEB08D9"/>
    <w:rsid w:val="2AED28A3"/>
    <w:rsid w:val="2AED4651"/>
    <w:rsid w:val="2AF05827"/>
    <w:rsid w:val="2AF92FF6"/>
    <w:rsid w:val="2AFA0B1C"/>
    <w:rsid w:val="2B1020EE"/>
    <w:rsid w:val="2B1C0A93"/>
    <w:rsid w:val="2B2067D5"/>
    <w:rsid w:val="2B2160A9"/>
    <w:rsid w:val="2B2A651C"/>
    <w:rsid w:val="2B2D4A4E"/>
    <w:rsid w:val="2B361B54"/>
    <w:rsid w:val="2B397896"/>
    <w:rsid w:val="2B3E6C5B"/>
    <w:rsid w:val="2B591CE7"/>
    <w:rsid w:val="2B65270E"/>
    <w:rsid w:val="2B6A3EF4"/>
    <w:rsid w:val="2B710DDE"/>
    <w:rsid w:val="2B830B12"/>
    <w:rsid w:val="2B8435C7"/>
    <w:rsid w:val="2B85488A"/>
    <w:rsid w:val="2B8A6344"/>
    <w:rsid w:val="2B8E1990"/>
    <w:rsid w:val="2B9176D3"/>
    <w:rsid w:val="2B944ACD"/>
    <w:rsid w:val="2B9559C4"/>
    <w:rsid w:val="2B9D6077"/>
    <w:rsid w:val="2BA47406"/>
    <w:rsid w:val="2BA967CA"/>
    <w:rsid w:val="2BAA609E"/>
    <w:rsid w:val="2BAC62BA"/>
    <w:rsid w:val="2BAF1907"/>
    <w:rsid w:val="2BCC070B"/>
    <w:rsid w:val="2BD575BF"/>
    <w:rsid w:val="2C016606"/>
    <w:rsid w:val="2C0734F1"/>
    <w:rsid w:val="2C2422F5"/>
    <w:rsid w:val="2C26606D"/>
    <w:rsid w:val="2C2E6CCF"/>
    <w:rsid w:val="2C32224A"/>
    <w:rsid w:val="2C3D33B6"/>
    <w:rsid w:val="2C3F0EDD"/>
    <w:rsid w:val="2C414C55"/>
    <w:rsid w:val="2C4209CD"/>
    <w:rsid w:val="2C491D5B"/>
    <w:rsid w:val="2C4C35F9"/>
    <w:rsid w:val="2C4E7372"/>
    <w:rsid w:val="2C567FD4"/>
    <w:rsid w:val="2C581F9E"/>
    <w:rsid w:val="2C5D75B5"/>
    <w:rsid w:val="2C5F332D"/>
    <w:rsid w:val="2C6D3C9C"/>
    <w:rsid w:val="2C8E3C12"/>
    <w:rsid w:val="2C98683F"/>
    <w:rsid w:val="2CB90C8F"/>
    <w:rsid w:val="2CBC42DB"/>
    <w:rsid w:val="2CC17B44"/>
    <w:rsid w:val="2CC31B0E"/>
    <w:rsid w:val="2CCE2260"/>
    <w:rsid w:val="2CDE24A4"/>
    <w:rsid w:val="2CDF383C"/>
    <w:rsid w:val="2CE657FC"/>
    <w:rsid w:val="2CE83322"/>
    <w:rsid w:val="2CE850D0"/>
    <w:rsid w:val="2CEE645F"/>
    <w:rsid w:val="2CF021D7"/>
    <w:rsid w:val="2CF27CFD"/>
    <w:rsid w:val="2CFA3055"/>
    <w:rsid w:val="2CFF066C"/>
    <w:rsid w:val="2D031F0A"/>
    <w:rsid w:val="2D087520"/>
    <w:rsid w:val="2D19172E"/>
    <w:rsid w:val="2D1C7470"/>
    <w:rsid w:val="2D214A86"/>
    <w:rsid w:val="2D236108"/>
    <w:rsid w:val="2D450775"/>
    <w:rsid w:val="2D53647D"/>
    <w:rsid w:val="2D614E83"/>
    <w:rsid w:val="2D6230D5"/>
    <w:rsid w:val="2D6A01DB"/>
    <w:rsid w:val="2D7352E2"/>
    <w:rsid w:val="2D7746A6"/>
    <w:rsid w:val="2D7C1CBC"/>
    <w:rsid w:val="2D825525"/>
    <w:rsid w:val="2D8A262B"/>
    <w:rsid w:val="2D9B65E7"/>
    <w:rsid w:val="2DA2119A"/>
    <w:rsid w:val="2DA336ED"/>
    <w:rsid w:val="2DA74F8B"/>
    <w:rsid w:val="2DAA05D8"/>
    <w:rsid w:val="2DAF3E40"/>
    <w:rsid w:val="2DB11966"/>
    <w:rsid w:val="2DC25921"/>
    <w:rsid w:val="2DC43E7F"/>
    <w:rsid w:val="2DC526CA"/>
    <w:rsid w:val="2DC694A9"/>
    <w:rsid w:val="2DCA6ECC"/>
    <w:rsid w:val="2DCF003E"/>
    <w:rsid w:val="2DD12008"/>
    <w:rsid w:val="2DDB4C35"/>
    <w:rsid w:val="2DDF4725"/>
    <w:rsid w:val="2DE55AB4"/>
    <w:rsid w:val="2DEA131C"/>
    <w:rsid w:val="2DEA30CA"/>
    <w:rsid w:val="2DEC6E42"/>
    <w:rsid w:val="2DF47AA5"/>
    <w:rsid w:val="2DFA155F"/>
    <w:rsid w:val="2DFE0923"/>
    <w:rsid w:val="2DFF6B75"/>
    <w:rsid w:val="2E057F04"/>
    <w:rsid w:val="2E0A551A"/>
    <w:rsid w:val="2E1078B5"/>
    <w:rsid w:val="2E1611C8"/>
    <w:rsid w:val="2E1A575D"/>
    <w:rsid w:val="2E2471BB"/>
    <w:rsid w:val="2E255EB0"/>
    <w:rsid w:val="2E2E745B"/>
    <w:rsid w:val="2E36630F"/>
    <w:rsid w:val="2E3C0A61"/>
    <w:rsid w:val="2E4E3659"/>
    <w:rsid w:val="2E544308"/>
    <w:rsid w:val="2E5642BC"/>
    <w:rsid w:val="2E644478"/>
    <w:rsid w:val="2E701821"/>
    <w:rsid w:val="2E772BB0"/>
    <w:rsid w:val="2E7F3812"/>
    <w:rsid w:val="2E960B5C"/>
    <w:rsid w:val="2EA74B17"/>
    <w:rsid w:val="2EB55486"/>
    <w:rsid w:val="2EBA484A"/>
    <w:rsid w:val="2EC102CF"/>
    <w:rsid w:val="2EC456C9"/>
    <w:rsid w:val="2EC97183"/>
    <w:rsid w:val="2ED7364E"/>
    <w:rsid w:val="2EDF69A7"/>
    <w:rsid w:val="2EEB70FA"/>
    <w:rsid w:val="2F067A90"/>
    <w:rsid w:val="2F146650"/>
    <w:rsid w:val="2F194722"/>
    <w:rsid w:val="2F307202"/>
    <w:rsid w:val="2F34284F"/>
    <w:rsid w:val="2F452CAE"/>
    <w:rsid w:val="2F4D1ED1"/>
    <w:rsid w:val="2F5729E1"/>
    <w:rsid w:val="2F57653D"/>
    <w:rsid w:val="2F650C5A"/>
    <w:rsid w:val="2F6649D2"/>
    <w:rsid w:val="2F68074A"/>
    <w:rsid w:val="2F6824F8"/>
    <w:rsid w:val="2F762E67"/>
    <w:rsid w:val="2F77273B"/>
    <w:rsid w:val="2F7D2448"/>
    <w:rsid w:val="2F8337D6"/>
    <w:rsid w:val="2F8D01B1"/>
    <w:rsid w:val="2F965A84"/>
    <w:rsid w:val="2F974B8C"/>
    <w:rsid w:val="2F990904"/>
    <w:rsid w:val="2FA33530"/>
    <w:rsid w:val="2FA6164C"/>
    <w:rsid w:val="2FA77291"/>
    <w:rsid w:val="2FA774C5"/>
    <w:rsid w:val="2FAA48BF"/>
    <w:rsid w:val="2FBC2844"/>
    <w:rsid w:val="2FBE7CB1"/>
    <w:rsid w:val="2FBF0D63"/>
    <w:rsid w:val="2FC02334"/>
    <w:rsid w:val="2FC8743B"/>
    <w:rsid w:val="2FCD4A51"/>
    <w:rsid w:val="2FDB53C0"/>
    <w:rsid w:val="2FDE0A0C"/>
    <w:rsid w:val="2FE34275"/>
    <w:rsid w:val="2FF40230"/>
    <w:rsid w:val="2FFD5337"/>
    <w:rsid w:val="30000983"/>
    <w:rsid w:val="30006BD5"/>
    <w:rsid w:val="300466C5"/>
    <w:rsid w:val="3011493E"/>
    <w:rsid w:val="301306B6"/>
    <w:rsid w:val="30135AFB"/>
    <w:rsid w:val="3014442E"/>
    <w:rsid w:val="30234671"/>
    <w:rsid w:val="3025488D"/>
    <w:rsid w:val="302C1778"/>
    <w:rsid w:val="302C79CA"/>
    <w:rsid w:val="303B19BB"/>
    <w:rsid w:val="30405223"/>
    <w:rsid w:val="304E16EE"/>
    <w:rsid w:val="304F36B8"/>
    <w:rsid w:val="304F5466"/>
    <w:rsid w:val="3050190A"/>
    <w:rsid w:val="30550CCF"/>
    <w:rsid w:val="30676C54"/>
    <w:rsid w:val="30705B08"/>
    <w:rsid w:val="307153DD"/>
    <w:rsid w:val="307373A7"/>
    <w:rsid w:val="307D6477"/>
    <w:rsid w:val="3082583C"/>
    <w:rsid w:val="308275EA"/>
    <w:rsid w:val="30835D5B"/>
    <w:rsid w:val="30992B52"/>
    <w:rsid w:val="309C4B4F"/>
    <w:rsid w:val="30A05CC2"/>
    <w:rsid w:val="30A9726C"/>
    <w:rsid w:val="30AB4D93"/>
    <w:rsid w:val="30C65728"/>
    <w:rsid w:val="30D81900"/>
    <w:rsid w:val="30DC13F0"/>
    <w:rsid w:val="30E12562"/>
    <w:rsid w:val="30ED53AB"/>
    <w:rsid w:val="30F009F7"/>
    <w:rsid w:val="30F85AFE"/>
    <w:rsid w:val="30FC337F"/>
    <w:rsid w:val="31091AB9"/>
    <w:rsid w:val="31097D0B"/>
    <w:rsid w:val="310B5831"/>
    <w:rsid w:val="31140B8A"/>
    <w:rsid w:val="311566B0"/>
    <w:rsid w:val="311D7312"/>
    <w:rsid w:val="31271F3F"/>
    <w:rsid w:val="312915B6"/>
    <w:rsid w:val="31295CB7"/>
    <w:rsid w:val="312D1C4B"/>
    <w:rsid w:val="31434FCB"/>
    <w:rsid w:val="31480833"/>
    <w:rsid w:val="314B0324"/>
    <w:rsid w:val="314B3E80"/>
    <w:rsid w:val="3154222C"/>
    <w:rsid w:val="31653193"/>
    <w:rsid w:val="31662A68"/>
    <w:rsid w:val="31701B38"/>
    <w:rsid w:val="317E4255"/>
    <w:rsid w:val="31813D45"/>
    <w:rsid w:val="318178A1"/>
    <w:rsid w:val="318B6972"/>
    <w:rsid w:val="3192385D"/>
    <w:rsid w:val="31972C6C"/>
    <w:rsid w:val="3199108F"/>
    <w:rsid w:val="319C292D"/>
    <w:rsid w:val="31A55C86"/>
    <w:rsid w:val="31A57A34"/>
    <w:rsid w:val="31AB01F8"/>
    <w:rsid w:val="31B947B6"/>
    <w:rsid w:val="31C53C32"/>
    <w:rsid w:val="31CF4AB1"/>
    <w:rsid w:val="31D668AF"/>
    <w:rsid w:val="31D71BB7"/>
    <w:rsid w:val="31E247E4"/>
    <w:rsid w:val="31E3055C"/>
    <w:rsid w:val="31F91C49"/>
    <w:rsid w:val="31FC33CC"/>
    <w:rsid w:val="32004C6A"/>
    <w:rsid w:val="32024E86"/>
    <w:rsid w:val="32036508"/>
    <w:rsid w:val="3207249C"/>
    <w:rsid w:val="32075FF9"/>
    <w:rsid w:val="320A5AE9"/>
    <w:rsid w:val="320B405E"/>
    <w:rsid w:val="3216448E"/>
    <w:rsid w:val="321A3B53"/>
    <w:rsid w:val="3220530C"/>
    <w:rsid w:val="32244DFC"/>
    <w:rsid w:val="322841C1"/>
    <w:rsid w:val="322968B3"/>
    <w:rsid w:val="322A7F39"/>
    <w:rsid w:val="322C5A5F"/>
    <w:rsid w:val="322E5C7B"/>
    <w:rsid w:val="32317519"/>
    <w:rsid w:val="32340DB8"/>
    <w:rsid w:val="323A4620"/>
    <w:rsid w:val="32454D73"/>
    <w:rsid w:val="324E1E79"/>
    <w:rsid w:val="324E3C27"/>
    <w:rsid w:val="3251196A"/>
    <w:rsid w:val="32560D2E"/>
    <w:rsid w:val="325D20BC"/>
    <w:rsid w:val="326276D3"/>
    <w:rsid w:val="3268280F"/>
    <w:rsid w:val="326E42CA"/>
    <w:rsid w:val="326F1DF0"/>
    <w:rsid w:val="327318E0"/>
    <w:rsid w:val="32741B8D"/>
    <w:rsid w:val="327613D0"/>
    <w:rsid w:val="327B0795"/>
    <w:rsid w:val="327D450D"/>
    <w:rsid w:val="327F2033"/>
    <w:rsid w:val="32803FFD"/>
    <w:rsid w:val="32892EB1"/>
    <w:rsid w:val="328F5FEE"/>
    <w:rsid w:val="32957AA8"/>
    <w:rsid w:val="329A6E6D"/>
    <w:rsid w:val="32A45F3D"/>
    <w:rsid w:val="32A970B0"/>
    <w:rsid w:val="32AC4DF2"/>
    <w:rsid w:val="32B51EF8"/>
    <w:rsid w:val="32BF68D3"/>
    <w:rsid w:val="32C56864"/>
    <w:rsid w:val="32E12CEE"/>
    <w:rsid w:val="32E847CF"/>
    <w:rsid w:val="32F56799"/>
    <w:rsid w:val="33044C2E"/>
    <w:rsid w:val="33092244"/>
    <w:rsid w:val="330C2739"/>
    <w:rsid w:val="33152997"/>
    <w:rsid w:val="3317784C"/>
    <w:rsid w:val="331A7FAD"/>
    <w:rsid w:val="331C3D26"/>
    <w:rsid w:val="33294694"/>
    <w:rsid w:val="332D7CE1"/>
    <w:rsid w:val="33353039"/>
    <w:rsid w:val="33356B95"/>
    <w:rsid w:val="33370B5F"/>
    <w:rsid w:val="333E0089"/>
    <w:rsid w:val="333E1EEE"/>
    <w:rsid w:val="33466FF4"/>
    <w:rsid w:val="33492641"/>
    <w:rsid w:val="33557238"/>
    <w:rsid w:val="3364747B"/>
    <w:rsid w:val="336631F3"/>
    <w:rsid w:val="336A2CE3"/>
    <w:rsid w:val="336E7970"/>
    <w:rsid w:val="337272C1"/>
    <w:rsid w:val="337C2A16"/>
    <w:rsid w:val="3381002D"/>
    <w:rsid w:val="338B4A07"/>
    <w:rsid w:val="338E62A6"/>
    <w:rsid w:val="33923FE8"/>
    <w:rsid w:val="33941B0E"/>
    <w:rsid w:val="339E0BDF"/>
    <w:rsid w:val="33AB32FB"/>
    <w:rsid w:val="33AD7074"/>
    <w:rsid w:val="33B640C1"/>
    <w:rsid w:val="33B73A4E"/>
    <w:rsid w:val="33B757FC"/>
    <w:rsid w:val="33B91574"/>
    <w:rsid w:val="33BE4DDD"/>
    <w:rsid w:val="33C57F19"/>
    <w:rsid w:val="33C70135"/>
    <w:rsid w:val="33DB56BC"/>
    <w:rsid w:val="33E04D53"/>
    <w:rsid w:val="33E74334"/>
    <w:rsid w:val="33ED7470"/>
    <w:rsid w:val="33EF143A"/>
    <w:rsid w:val="33F64577"/>
    <w:rsid w:val="340053F5"/>
    <w:rsid w:val="34016560"/>
    <w:rsid w:val="34076784"/>
    <w:rsid w:val="340A1DD0"/>
    <w:rsid w:val="341113B0"/>
    <w:rsid w:val="3417273F"/>
    <w:rsid w:val="341D5FA7"/>
    <w:rsid w:val="34237336"/>
    <w:rsid w:val="34272982"/>
    <w:rsid w:val="3428494C"/>
    <w:rsid w:val="342866FA"/>
    <w:rsid w:val="342D3D10"/>
    <w:rsid w:val="344C063B"/>
    <w:rsid w:val="344C23E9"/>
    <w:rsid w:val="345968B4"/>
    <w:rsid w:val="346F257B"/>
    <w:rsid w:val="346F60D7"/>
    <w:rsid w:val="347831DE"/>
    <w:rsid w:val="348953EB"/>
    <w:rsid w:val="348C4EDB"/>
    <w:rsid w:val="348E0C53"/>
    <w:rsid w:val="34930017"/>
    <w:rsid w:val="34977F25"/>
    <w:rsid w:val="3498562E"/>
    <w:rsid w:val="34A71D15"/>
    <w:rsid w:val="34A915E9"/>
    <w:rsid w:val="34A9783B"/>
    <w:rsid w:val="34AE6BFF"/>
    <w:rsid w:val="34AF4725"/>
    <w:rsid w:val="34B32468"/>
    <w:rsid w:val="34BB131C"/>
    <w:rsid w:val="34BB30CA"/>
    <w:rsid w:val="34BB66FC"/>
    <w:rsid w:val="34C75F13"/>
    <w:rsid w:val="34D04DC8"/>
    <w:rsid w:val="34DB551B"/>
    <w:rsid w:val="34E24AFB"/>
    <w:rsid w:val="34EC3BCC"/>
    <w:rsid w:val="34EE34A0"/>
    <w:rsid w:val="34F36D08"/>
    <w:rsid w:val="34FD1935"/>
    <w:rsid w:val="35064A4C"/>
    <w:rsid w:val="35066A3B"/>
    <w:rsid w:val="35074561"/>
    <w:rsid w:val="350C1B78"/>
    <w:rsid w:val="350E3B42"/>
    <w:rsid w:val="350E58F0"/>
    <w:rsid w:val="35131158"/>
    <w:rsid w:val="35154ED0"/>
    <w:rsid w:val="351D5B33"/>
    <w:rsid w:val="352944D8"/>
    <w:rsid w:val="352D676C"/>
    <w:rsid w:val="35386E11"/>
    <w:rsid w:val="35417A73"/>
    <w:rsid w:val="354B08F2"/>
    <w:rsid w:val="3555351F"/>
    <w:rsid w:val="3558300F"/>
    <w:rsid w:val="355E0625"/>
    <w:rsid w:val="356814A4"/>
    <w:rsid w:val="356E638F"/>
    <w:rsid w:val="357532E4"/>
    <w:rsid w:val="35753BC1"/>
    <w:rsid w:val="3579545F"/>
    <w:rsid w:val="358160C2"/>
    <w:rsid w:val="35887450"/>
    <w:rsid w:val="35942299"/>
    <w:rsid w:val="359F29EC"/>
    <w:rsid w:val="35AD3C5E"/>
    <w:rsid w:val="35BB5A78"/>
    <w:rsid w:val="35BF4E3C"/>
    <w:rsid w:val="35C506A4"/>
    <w:rsid w:val="35CB1A33"/>
    <w:rsid w:val="35CD7559"/>
    <w:rsid w:val="35CF32D1"/>
    <w:rsid w:val="35CF507F"/>
    <w:rsid w:val="35D54660"/>
    <w:rsid w:val="35D95EFE"/>
    <w:rsid w:val="35D97CAC"/>
    <w:rsid w:val="35EB3E83"/>
    <w:rsid w:val="35EE6454"/>
    <w:rsid w:val="35F1149A"/>
    <w:rsid w:val="35F25212"/>
    <w:rsid w:val="35F5085E"/>
    <w:rsid w:val="35FB2318"/>
    <w:rsid w:val="36105698"/>
    <w:rsid w:val="36121410"/>
    <w:rsid w:val="361707D4"/>
    <w:rsid w:val="36211653"/>
    <w:rsid w:val="36301896"/>
    <w:rsid w:val="36317AE8"/>
    <w:rsid w:val="363E3FB3"/>
    <w:rsid w:val="364041CF"/>
    <w:rsid w:val="36407D2B"/>
    <w:rsid w:val="36415851"/>
    <w:rsid w:val="3643781B"/>
    <w:rsid w:val="364A6DFC"/>
    <w:rsid w:val="36624145"/>
    <w:rsid w:val="366302C2"/>
    <w:rsid w:val="36637EBD"/>
    <w:rsid w:val="366559E4"/>
    <w:rsid w:val="366652B8"/>
    <w:rsid w:val="366854D4"/>
    <w:rsid w:val="366A2FFA"/>
    <w:rsid w:val="366C0B20"/>
    <w:rsid w:val="367475D7"/>
    <w:rsid w:val="367E0853"/>
    <w:rsid w:val="368816D2"/>
    <w:rsid w:val="36932551"/>
    <w:rsid w:val="36965B9D"/>
    <w:rsid w:val="36981915"/>
    <w:rsid w:val="369D517D"/>
    <w:rsid w:val="36A4650C"/>
    <w:rsid w:val="36A71B58"/>
    <w:rsid w:val="36A91D74"/>
    <w:rsid w:val="36B129D7"/>
    <w:rsid w:val="36B2214A"/>
    <w:rsid w:val="36B2483B"/>
    <w:rsid w:val="36B6623F"/>
    <w:rsid w:val="36C070BE"/>
    <w:rsid w:val="36C56777"/>
    <w:rsid w:val="36C95F72"/>
    <w:rsid w:val="36CE01E2"/>
    <w:rsid w:val="36CF7301"/>
    <w:rsid w:val="36D52B69"/>
    <w:rsid w:val="36DA7EC6"/>
    <w:rsid w:val="36DB5CA6"/>
    <w:rsid w:val="36DD1A1E"/>
    <w:rsid w:val="36F32FEF"/>
    <w:rsid w:val="36F952B1"/>
    <w:rsid w:val="36FB00F6"/>
    <w:rsid w:val="37046FAB"/>
    <w:rsid w:val="37052D23"/>
    <w:rsid w:val="370A20E7"/>
    <w:rsid w:val="37144D14"/>
    <w:rsid w:val="371A4A20"/>
    <w:rsid w:val="3727713D"/>
    <w:rsid w:val="372E04CB"/>
    <w:rsid w:val="3733163E"/>
    <w:rsid w:val="37337890"/>
    <w:rsid w:val="37353608"/>
    <w:rsid w:val="3736112E"/>
    <w:rsid w:val="373C4996"/>
    <w:rsid w:val="373D426B"/>
    <w:rsid w:val="37492C0F"/>
    <w:rsid w:val="37507FF9"/>
    <w:rsid w:val="37607F59"/>
    <w:rsid w:val="37691503"/>
    <w:rsid w:val="376F8D23"/>
    <w:rsid w:val="37781747"/>
    <w:rsid w:val="377A726D"/>
    <w:rsid w:val="37955E55"/>
    <w:rsid w:val="379BA5F3"/>
    <w:rsid w:val="37B207B5"/>
    <w:rsid w:val="37B81B43"/>
    <w:rsid w:val="37BC5AD7"/>
    <w:rsid w:val="37BE184F"/>
    <w:rsid w:val="37C00258"/>
    <w:rsid w:val="37C30C14"/>
    <w:rsid w:val="37CD1A92"/>
    <w:rsid w:val="37CD55EE"/>
    <w:rsid w:val="37D02154"/>
    <w:rsid w:val="37D746BF"/>
    <w:rsid w:val="37E64902"/>
    <w:rsid w:val="37E666B0"/>
    <w:rsid w:val="37EA2644"/>
    <w:rsid w:val="37EB3CC7"/>
    <w:rsid w:val="37ED3EE3"/>
    <w:rsid w:val="37EE37B7"/>
    <w:rsid w:val="37F214F9"/>
    <w:rsid w:val="37F35D9C"/>
    <w:rsid w:val="37FC5ED4"/>
    <w:rsid w:val="37FD4CE3"/>
    <w:rsid w:val="38170F5F"/>
    <w:rsid w:val="38196A86"/>
    <w:rsid w:val="381B0A50"/>
    <w:rsid w:val="38233460"/>
    <w:rsid w:val="382D0783"/>
    <w:rsid w:val="382D2531"/>
    <w:rsid w:val="38325D99"/>
    <w:rsid w:val="38392C84"/>
    <w:rsid w:val="383B4C4E"/>
    <w:rsid w:val="38404012"/>
    <w:rsid w:val="3842422E"/>
    <w:rsid w:val="38431D54"/>
    <w:rsid w:val="384358B1"/>
    <w:rsid w:val="384B0C09"/>
    <w:rsid w:val="384F06F9"/>
    <w:rsid w:val="38500133"/>
    <w:rsid w:val="386B4E07"/>
    <w:rsid w:val="386C12AB"/>
    <w:rsid w:val="387719FE"/>
    <w:rsid w:val="387B14EE"/>
    <w:rsid w:val="387E4B3B"/>
    <w:rsid w:val="38871C41"/>
    <w:rsid w:val="38877E93"/>
    <w:rsid w:val="388C54AA"/>
    <w:rsid w:val="38944D46"/>
    <w:rsid w:val="389524E8"/>
    <w:rsid w:val="389736C7"/>
    <w:rsid w:val="389D76B7"/>
    <w:rsid w:val="38A50319"/>
    <w:rsid w:val="38A81BB8"/>
    <w:rsid w:val="38B14F10"/>
    <w:rsid w:val="38B16CBE"/>
    <w:rsid w:val="38BF587F"/>
    <w:rsid w:val="38C033A5"/>
    <w:rsid w:val="38C369F1"/>
    <w:rsid w:val="38CF183A"/>
    <w:rsid w:val="38D46E50"/>
    <w:rsid w:val="38D62BC9"/>
    <w:rsid w:val="38D97FC3"/>
    <w:rsid w:val="38DE1A7D"/>
    <w:rsid w:val="38E2156D"/>
    <w:rsid w:val="38E2331B"/>
    <w:rsid w:val="38FA68B7"/>
    <w:rsid w:val="38FA6AC4"/>
    <w:rsid w:val="3902576C"/>
    <w:rsid w:val="390E4110"/>
    <w:rsid w:val="391060DB"/>
    <w:rsid w:val="391D76E1"/>
    <w:rsid w:val="39227BBC"/>
    <w:rsid w:val="392E6561"/>
    <w:rsid w:val="3942025E"/>
    <w:rsid w:val="39445D84"/>
    <w:rsid w:val="394624FA"/>
    <w:rsid w:val="39495149"/>
    <w:rsid w:val="39553AED"/>
    <w:rsid w:val="39665CFB"/>
    <w:rsid w:val="39697599"/>
    <w:rsid w:val="3971469F"/>
    <w:rsid w:val="397B107A"/>
    <w:rsid w:val="397F14BF"/>
    <w:rsid w:val="39882115"/>
    <w:rsid w:val="39930ABA"/>
    <w:rsid w:val="399860D0"/>
    <w:rsid w:val="39A71E6F"/>
    <w:rsid w:val="39B32F0A"/>
    <w:rsid w:val="39B50A30"/>
    <w:rsid w:val="39B60304"/>
    <w:rsid w:val="39B85B5E"/>
    <w:rsid w:val="39BA1BA2"/>
    <w:rsid w:val="39C62C3D"/>
    <w:rsid w:val="39C66799"/>
    <w:rsid w:val="39CB3DB0"/>
    <w:rsid w:val="39CBDA46"/>
    <w:rsid w:val="39CE564E"/>
    <w:rsid w:val="39D07618"/>
    <w:rsid w:val="39D2513E"/>
    <w:rsid w:val="39D31AAB"/>
    <w:rsid w:val="39D864CC"/>
    <w:rsid w:val="39E41315"/>
    <w:rsid w:val="39E76710"/>
    <w:rsid w:val="39F03816"/>
    <w:rsid w:val="39F204E9"/>
    <w:rsid w:val="3A015A23"/>
    <w:rsid w:val="3A053765"/>
    <w:rsid w:val="3A0E1EEE"/>
    <w:rsid w:val="3A125E82"/>
    <w:rsid w:val="3A35391F"/>
    <w:rsid w:val="3A3E27D3"/>
    <w:rsid w:val="3A485400"/>
    <w:rsid w:val="3A4D0C68"/>
    <w:rsid w:val="3A59472B"/>
    <w:rsid w:val="3A667F7C"/>
    <w:rsid w:val="3A72247D"/>
    <w:rsid w:val="3A7461F5"/>
    <w:rsid w:val="3A7601BF"/>
    <w:rsid w:val="3A816B64"/>
    <w:rsid w:val="3A830B2E"/>
    <w:rsid w:val="3A8A5A19"/>
    <w:rsid w:val="3A960861"/>
    <w:rsid w:val="3AA06FEA"/>
    <w:rsid w:val="3AA765CB"/>
    <w:rsid w:val="3AB64A60"/>
    <w:rsid w:val="3AC32CD9"/>
    <w:rsid w:val="3AC56A51"/>
    <w:rsid w:val="3AE01ADD"/>
    <w:rsid w:val="3AE55B2F"/>
    <w:rsid w:val="3AE96BE3"/>
    <w:rsid w:val="3AEC0481"/>
    <w:rsid w:val="3AEC66D3"/>
    <w:rsid w:val="3B005CDB"/>
    <w:rsid w:val="3B007A89"/>
    <w:rsid w:val="3B027CA5"/>
    <w:rsid w:val="3B04200D"/>
    <w:rsid w:val="3B05349D"/>
    <w:rsid w:val="3B0C0B24"/>
    <w:rsid w:val="3B0F4170"/>
    <w:rsid w:val="3B1564CD"/>
    <w:rsid w:val="3B1672AC"/>
    <w:rsid w:val="3B225C51"/>
    <w:rsid w:val="3B253993"/>
    <w:rsid w:val="3B295232"/>
    <w:rsid w:val="3B343BD6"/>
    <w:rsid w:val="3B424545"/>
    <w:rsid w:val="3B455DE4"/>
    <w:rsid w:val="3B471B5C"/>
    <w:rsid w:val="3B567FF1"/>
    <w:rsid w:val="3B583D69"/>
    <w:rsid w:val="3B7010B2"/>
    <w:rsid w:val="3B787F67"/>
    <w:rsid w:val="3B7A5A8D"/>
    <w:rsid w:val="3B7A783B"/>
    <w:rsid w:val="3B822B94"/>
    <w:rsid w:val="3B854432"/>
    <w:rsid w:val="3B866FF0"/>
    <w:rsid w:val="3B893F22"/>
    <w:rsid w:val="3B8B1A48"/>
    <w:rsid w:val="3B903503"/>
    <w:rsid w:val="3B9823B7"/>
    <w:rsid w:val="3B985F13"/>
    <w:rsid w:val="3BD01B51"/>
    <w:rsid w:val="3BDB4052"/>
    <w:rsid w:val="3BDEDD97"/>
    <w:rsid w:val="3BE253E0"/>
    <w:rsid w:val="3BEB698B"/>
    <w:rsid w:val="3BF00020"/>
    <w:rsid w:val="3BF35840"/>
    <w:rsid w:val="3C065573"/>
    <w:rsid w:val="3C090BBF"/>
    <w:rsid w:val="3C0B0DDB"/>
    <w:rsid w:val="3C0E4427"/>
    <w:rsid w:val="3C137C90"/>
    <w:rsid w:val="3C1B6FEC"/>
    <w:rsid w:val="3C2123AD"/>
    <w:rsid w:val="3C333E8E"/>
    <w:rsid w:val="3C3A0A68"/>
    <w:rsid w:val="3C4165AB"/>
    <w:rsid w:val="3C4340D1"/>
    <w:rsid w:val="3C460065"/>
    <w:rsid w:val="3C553E04"/>
    <w:rsid w:val="3C575DCE"/>
    <w:rsid w:val="3C597D99"/>
    <w:rsid w:val="3C5E0F0B"/>
    <w:rsid w:val="3C5F6A31"/>
    <w:rsid w:val="3C6A5B02"/>
    <w:rsid w:val="3C6B187A"/>
    <w:rsid w:val="3C6C0A96"/>
    <w:rsid w:val="3C7624CD"/>
    <w:rsid w:val="3C7E77FF"/>
    <w:rsid w:val="3C8F5B56"/>
    <w:rsid w:val="3C9568F7"/>
    <w:rsid w:val="3C97441D"/>
    <w:rsid w:val="3CA8662A"/>
    <w:rsid w:val="3CB054DF"/>
    <w:rsid w:val="3CB13731"/>
    <w:rsid w:val="3CBB45AF"/>
    <w:rsid w:val="3CC316B6"/>
    <w:rsid w:val="3CCD42E3"/>
    <w:rsid w:val="3CD26389"/>
    <w:rsid w:val="3CDC62D4"/>
    <w:rsid w:val="3CEA09F1"/>
    <w:rsid w:val="3CEF24AB"/>
    <w:rsid w:val="3CF33D49"/>
    <w:rsid w:val="3CF63839"/>
    <w:rsid w:val="3CF950D8"/>
    <w:rsid w:val="3D000214"/>
    <w:rsid w:val="3D0D46DF"/>
    <w:rsid w:val="3D0F69E6"/>
    <w:rsid w:val="3D112421"/>
    <w:rsid w:val="3D1D0DC6"/>
    <w:rsid w:val="3D2008B6"/>
    <w:rsid w:val="3D2A34E3"/>
    <w:rsid w:val="3D2C1009"/>
    <w:rsid w:val="3D4A5933"/>
    <w:rsid w:val="3D4A76E1"/>
    <w:rsid w:val="3D4C3459"/>
    <w:rsid w:val="3D4E29E8"/>
    <w:rsid w:val="3D606F05"/>
    <w:rsid w:val="3D6C5F71"/>
    <w:rsid w:val="3D762284"/>
    <w:rsid w:val="3D826E7B"/>
    <w:rsid w:val="3D8449A1"/>
    <w:rsid w:val="3D8E5820"/>
    <w:rsid w:val="3D9077EA"/>
    <w:rsid w:val="3D9372DA"/>
    <w:rsid w:val="3D995F73"/>
    <w:rsid w:val="3DA037A5"/>
    <w:rsid w:val="3DA54918"/>
    <w:rsid w:val="3DB17760"/>
    <w:rsid w:val="3DBD7EB3"/>
    <w:rsid w:val="3DC72AE0"/>
    <w:rsid w:val="3DD0408A"/>
    <w:rsid w:val="3DD516A1"/>
    <w:rsid w:val="3DDF607B"/>
    <w:rsid w:val="3DE74F30"/>
    <w:rsid w:val="3DEE2762"/>
    <w:rsid w:val="3DEE62BF"/>
    <w:rsid w:val="3DF5589F"/>
    <w:rsid w:val="3DFB09DB"/>
    <w:rsid w:val="3DFC6C2D"/>
    <w:rsid w:val="3DFFD1DE"/>
    <w:rsid w:val="3E021D6A"/>
    <w:rsid w:val="3E0930F8"/>
    <w:rsid w:val="3E0B50C2"/>
    <w:rsid w:val="3E1026D9"/>
    <w:rsid w:val="3E1C2E2C"/>
    <w:rsid w:val="3E1C72D0"/>
    <w:rsid w:val="3E1D4DF6"/>
    <w:rsid w:val="3E2241BA"/>
    <w:rsid w:val="3E2E0DB1"/>
    <w:rsid w:val="3E2E7003"/>
    <w:rsid w:val="3E3143FD"/>
    <w:rsid w:val="3E444130"/>
    <w:rsid w:val="3E4800C5"/>
    <w:rsid w:val="3E4B54BF"/>
    <w:rsid w:val="3E5E1696"/>
    <w:rsid w:val="3E612F34"/>
    <w:rsid w:val="3E66054B"/>
    <w:rsid w:val="3E7762B4"/>
    <w:rsid w:val="3E80785E"/>
    <w:rsid w:val="3E817133"/>
    <w:rsid w:val="3E894239"/>
    <w:rsid w:val="3E8B7FB1"/>
    <w:rsid w:val="3E952BDE"/>
    <w:rsid w:val="3E990920"/>
    <w:rsid w:val="3EAD7F28"/>
    <w:rsid w:val="3EBB0897"/>
    <w:rsid w:val="3EC11C25"/>
    <w:rsid w:val="3EC611F6"/>
    <w:rsid w:val="3ED13029"/>
    <w:rsid w:val="3ED41958"/>
    <w:rsid w:val="3ED5122D"/>
    <w:rsid w:val="3ED6747E"/>
    <w:rsid w:val="3EE31B9B"/>
    <w:rsid w:val="3EE37DED"/>
    <w:rsid w:val="3EE576C2"/>
    <w:rsid w:val="3EE80F60"/>
    <w:rsid w:val="3EEF6792"/>
    <w:rsid w:val="3EF1250A"/>
    <w:rsid w:val="3EF5367D"/>
    <w:rsid w:val="3EF73899"/>
    <w:rsid w:val="3EFB6EE5"/>
    <w:rsid w:val="3EFE4C27"/>
    <w:rsid w:val="3F073ADC"/>
    <w:rsid w:val="3F0B2EA0"/>
    <w:rsid w:val="3F19736B"/>
    <w:rsid w:val="3F1C50AD"/>
    <w:rsid w:val="3F1D32FF"/>
    <w:rsid w:val="3F1E4982"/>
    <w:rsid w:val="3F3917BB"/>
    <w:rsid w:val="3F47037C"/>
    <w:rsid w:val="3F512FA9"/>
    <w:rsid w:val="3F5274EE"/>
    <w:rsid w:val="3F5900B0"/>
    <w:rsid w:val="3F5D7BA0"/>
    <w:rsid w:val="3F5E56C6"/>
    <w:rsid w:val="3F632CDC"/>
    <w:rsid w:val="3F6E5909"/>
    <w:rsid w:val="3F6F342F"/>
    <w:rsid w:val="3F710F55"/>
    <w:rsid w:val="3F7153F9"/>
    <w:rsid w:val="3F7E18C4"/>
    <w:rsid w:val="3F8213B4"/>
    <w:rsid w:val="3F830C89"/>
    <w:rsid w:val="3F852C53"/>
    <w:rsid w:val="3F874C1D"/>
    <w:rsid w:val="3F87786E"/>
    <w:rsid w:val="3F8844F1"/>
    <w:rsid w:val="3F88629F"/>
    <w:rsid w:val="3F8A2017"/>
    <w:rsid w:val="3F8F587F"/>
    <w:rsid w:val="3F982986"/>
    <w:rsid w:val="3FA0183A"/>
    <w:rsid w:val="3FA4132B"/>
    <w:rsid w:val="3FA806EF"/>
    <w:rsid w:val="3FAA090B"/>
    <w:rsid w:val="3FB83028"/>
    <w:rsid w:val="3FC25C55"/>
    <w:rsid w:val="3FC27A03"/>
    <w:rsid w:val="3FC921F2"/>
    <w:rsid w:val="3FD414E4"/>
    <w:rsid w:val="3FD80FD4"/>
    <w:rsid w:val="3FDB6D16"/>
    <w:rsid w:val="3FE45BCB"/>
    <w:rsid w:val="3FEC4A80"/>
    <w:rsid w:val="3FF04570"/>
    <w:rsid w:val="3FF2288E"/>
    <w:rsid w:val="3FF230F6"/>
    <w:rsid w:val="3FF65710"/>
    <w:rsid w:val="3FFA0F4B"/>
    <w:rsid w:val="3FFE0E31"/>
    <w:rsid w:val="3FFF47B3"/>
    <w:rsid w:val="40026051"/>
    <w:rsid w:val="40073668"/>
    <w:rsid w:val="400C205E"/>
    <w:rsid w:val="400D6006"/>
    <w:rsid w:val="400E2C48"/>
    <w:rsid w:val="401F09B1"/>
    <w:rsid w:val="402204A1"/>
    <w:rsid w:val="40297A82"/>
    <w:rsid w:val="402B1A4C"/>
    <w:rsid w:val="4030282F"/>
    <w:rsid w:val="403E177F"/>
    <w:rsid w:val="404137B4"/>
    <w:rsid w:val="40414DCB"/>
    <w:rsid w:val="40520D87"/>
    <w:rsid w:val="40550877"/>
    <w:rsid w:val="4055351F"/>
    <w:rsid w:val="405A40DF"/>
    <w:rsid w:val="406E1939"/>
    <w:rsid w:val="40703903"/>
    <w:rsid w:val="407A02DD"/>
    <w:rsid w:val="40896772"/>
    <w:rsid w:val="408E056E"/>
    <w:rsid w:val="40953369"/>
    <w:rsid w:val="40980764"/>
    <w:rsid w:val="40A315E2"/>
    <w:rsid w:val="40BA692C"/>
    <w:rsid w:val="40C31C84"/>
    <w:rsid w:val="40C37486"/>
    <w:rsid w:val="40C41E8A"/>
    <w:rsid w:val="40D043A1"/>
    <w:rsid w:val="40DA0D7C"/>
    <w:rsid w:val="40E045E4"/>
    <w:rsid w:val="40F24318"/>
    <w:rsid w:val="40F41E3E"/>
    <w:rsid w:val="40FC6F44"/>
    <w:rsid w:val="410236AA"/>
    <w:rsid w:val="410B7187"/>
    <w:rsid w:val="410D1152"/>
    <w:rsid w:val="410F6C78"/>
    <w:rsid w:val="41126768"/>
    <w:rsid w:val="41171FD0"/>
    <w:rsid w:val="411F02FE"/>
    <w:rsid w:val="412169AB"/>
    <w:rsid w:val="412A0921"/>
    <w:rsid w:val="412C5A7C"/>
    <w:rsid w:val="412D35A2"/>
    <w:rsid w:val="412E19BE"/>
    <w:rsid w:val="412F731A"/>
    <w:rsid w:val="413606A8"/>
    <w:rsid w:val="41390199"/>
    <w:rsid w:val="413B181B"/>
    <w:rsid w:val="413B7A6D"/>
    <w:rsid w:val="41406E31"/>
    <w:rsid w:val="41436921"/>
    <w:rsid w:val="41456B3D"/>
    <w:rsid w:val="414A5F02"/>
    <w:rsid w:val="414C1C7A"/>
    <w:rsid w:val="414D154E"/>
    <w:rsid w:val="414D59F2"/>
    <w:rsid w:val="41540B2E"/>
    <w:rsid w:val="41562AF9"/>
    <w:rsid w:val="415E375B"/>
    <w:rsid w:val="41635215"/>
    <w:rsid w:val="4171348E"/>
    <w:rsid w:val="417411D1"/>
    <w:rsid w:val="417D62D7"/>
    <w:rsid w:val="41872CB2"/>
    <w:rsid w:val="41943621"/>
    <w:rsid w:val="4195772C"/>
    <w:rsid w:val="41994793"/>
    <w:rsid w:val="419B050B"/>
    <w:rsid w:val="41A25D3E"/>
    <w:rsid w:val="41A90E7A"/>
    <w:rsid w:val="41AC096A"/>
    <w:rsid w:val="41AE46E3"/>
    <w:rsid w:val="41C51A2C"/>
    <w:rsid w:val="41D028AB"/>
    <w:rsid w:val="41DB2FFE"/>
    <w:rsid w:val="41EA1493"/>
    <w:rsid w:val="41EE0F83"/>
    <w:rsid w:val="41F145CF"/>
    <w:rsid w:val="41F320F5"/>
    <w:rsid w:val="41F67E38"/>
    <w:rsid w:val="41FA1ECF"/>
    <w:rsid w:val="42091919"/>
    <w:rsid w:val="42132BCD"/>
    <w:rsid w:val="42165DE4"/>
    <w:rsid w:val="422624CB"/>
    <w:rsid w:val="42350960"/>
    <w:rsid w:val="42380450"/>
    <w:rsid w:val="42442951"/>
    <w:rsid w:val="424566C9"/>
    <w:rsid w:val="424741EF"/>
    <w:rsid w:val="424A412C"/>
    <w:rsid w:val="424E1A22"/>
    <w:rsid w:val="4251506E"/>
    <w:rsid w:val="425608D6"/>
    <w:rsid w:val="425C5EED"/>
    <w:rsid w:val="42624F84"/>
    <w:rsid w:val="426C3C56"/>
    <w:rsid w:val="42747399"/>
    <w:rsid w:val="428216CB"/>
    <w:rsid w:val="42890CAC"/>
    <w:rsid w:val="428B4A24"/>
    <w:rsid w:val="429338D8"/>
    <w:rsid w:val="42933DB2"/>
    <w:rsid w:val="42976F25"/>
    <w:rsid w:val="429A4C67"/>
    <w:rsid w:val="429A6A15"/>
    <w:rsid w:val="429F227D"/>
    <w:rsid w:val="42A67168"/>
    <w:rsid w:val="42AB6E74"/>
    <w:rsid w:val="42AE24C0"/>
    <w:rsid w:val="42AE426E"/>
    <w:rsid w:val="42B31885"/>
    <w:rsid w:val="42B5384F"/>
    <w:rsid w:val="42B9463D"/>
    <w:rsid w:val="42BA0E65"/>
    <w:rsid w:val="42BA70B7"/>
    <w:rsid w:val="42BC2E2F"/>
    <w:rsid w:val="42DF08CC"/>
    <w:rsid w:val="42E13849"/>
    <w:rsid w:val="42E77A79"/>
    <w:rsid w:val="42E934F8"/>
    <w:rsid w:val="42EF6D61"/>
    <w:rsid w:val="42F205FF"/>
    <w:rsid w:val="42F36125"/>
    <w:rsid w:val="42F56341"/>
    <w:rsid w:val="42F75C15"/>
    <w:rsid w:val="43081BD1"/>
    <w:rsid w:val="430B346F"/>
    <w:rsid w:val="430F7403"/>
    <w:rsid w:val="431A1904"/>
    <w:rsid w:val="431D774E"/>
    <w:rsid w:val="432033BE"/>
    <w:rsid w:val="432A08FD"/>
    <w:rsid w:val="432A5FEB"/>
    <w:rsid w:val="432B58BF"/>
    <w:rsid w:val="432D5ADB"/>
    <w:rsid w:val="432D7889"/>
    <w:rsid w:val="433429C6"/>
    <w:rsid w:val="43346E69"/>
    <w:rsid w:val="433504EC"/>
    <w:rsid w:val="43394480"/>
    <w:rsid w:val="433B1FA6"/>
    <w:rsid w:val="433C5D1E"/>
    <w:rsid w:val="4352109E"/>
    <w:rsid w:val="43561376"/>
    <w:rsid w:val="43670FED"/>
    <w:rsid w:val="436F1C50"/>
    <w:rsid w:val="437234EE"/>
    <w:rsid w:val="43754D8C"/>
    <w:rsid w:val="437E00E5"/>
    <w:rsid w:val="437E1E93"/>
    <w:rsid w:val="43851473"/>
    <w:rsid w:val="438D20D6"/>
    <w:rsid w:val="43917E18"/>
    <w:rsid w:val="4396542E"/>
    <w:rsid w:val="43994F1E"/>
    <w:rsid w:val="439C056B"/>
    <w:rsid w:val="439D4A0F"/>
    <w:rsid w:val="439D67BD"/>
    <w:rsid w:val="439F6110"/>
    <w:rsid w:val="43A63197"/>
    <w:rsid w:val="43B34232"/>
    <w:rsid w:val="43B458B4"/>
    <w:rsid w:val="43B6787E"/>
    <w:rsid w:val="43BD0C0D"/>
    <w:rsid w:val="43CC70A2"/>
    <w:rsid w:val="43CF0940"/>
    <w:rsid w:val="43D30430"/>
    <w:rsid w:val="43D877F5"/>
    <w:rsid w:val="43DD12AF"/>
    <w:rsid w:val="43E443EC"/>
    <w:rsid w:val="43E50164"/>
    <w:rsid w:val="43E77A38"/>
    <w:rsid w:val="43E97C54"/>
    <w:rsid w:val="43FC2ACB"/>
    <w:rsid w:val="44000AFA"/>
    <w:rsid w:val="44022AC4"/>
    <w:rsid w:val="44024872"/>
    <w:rsid w:val="4408625B"/>
    <w:rsid w:val="44134CD1"/>
    <w:rsid w:val="4416031D"/>
    <w:rsid w:val="4416656F"/>
    <w:rsid w:val="4417323A"/>
    <w:rsid w:val="441A7E0D"/>
    <w:rsid w:val="441C0974"/>
    <w:rsid w:val="441D7D1E"/>
    <w:rsid w:val="442073EE"/>
    <w:rsid w:val="44224F14"/>
    <w:rsid w:val="44226CC2"/>
    <w:rsid w:val="44254A04"/>
    <w:rsid w:val="442C18EF"/>
    <w:rsid w:val="443469F5"/>
    <w:rsid w:val="44380293"/>
    <w:rsid w:val="443F5AC6"/>
    <w:rsid w:val="444C2AFD"/>
    <w:rsid w:val="44507CD3"/>
    <w:rsid w:val="446077EA"/>
    <w:rsid w:val="446C2633"/>
    <w:rsid w:val="44790D1E"/>
    <w:rsid w:val="447F2366"/>
    <w:rsid w:val="4484797D"/>
    <w:rsid w:val="4488746D"/>
    <w:rsid w:val="448B2315"/>
    <w:rsid w:val="448B2AB9"/>
    <w:rsid w:val="4492209A"/>
    <w:rsid w:val="44935E12"/>
    <w:rsid w:val="449776B0"/>
    <w:rsid w:val="449A0F4E"/>
    <w:rsid w:val="449C6A74"/>
    <w:rsid w:val="449D27EC"/>
    <w:rsid w:val="44A21BB1"/>
    <w:rsid w:val="44A26055"/>
    <w:rsid w:val="44A616A1"/>
    <w:rsid w:val="44AD0C81"/>
    <w:rsid w:val="44B85878"/>
    <w:rsid w:val="44BE2E8F"/>
    <w:rsid w:val="44C10289"/>
    <w:rsid w:val="44C1472D"/>
    <w:rsid w:val="44C4421D"/>
    <w:rsid w:val="44CD30D2"/>
    <w:rsid w:val="44D0671E"/>
    <w:rsid w:val="44D501D8"/>
    <w:rsid w:val="44D75CFE"/>
    <w:rsid w:val="44DD0E3B"/>
    <w:rsid w:val="44E73A68"/>
    <w:rsid w:val="44EC107E"/>
    <w:rsid w:val="44ED3AEF"/>
    <w:rsid w:val="44F3240C"/>
    <w:rsid w:val="44FE772F"/>
    <w:rsid w:val="44FF0DB1"/>
    <w:rsid w:val="44FF5255"/>
    <w:rsid w:val="450F36EA"/>
    <w:rsid w:val="451A208F"/>
    <w:rsid w:val="4541586E"/>
    <w:rsid w:val="454A0C3D"/>
    <w:rsid w:val="4554734F"/>
    <w:rsid w:val="45576E3F"/>
    <w:rsid w:val="455D74E7"/>
    <w:rsid w:val="45605CF4"/>
    <w:rsid w:val="4565155C"/>
    <w:rsid w:val="4568104C"/>
    <w:rsid w:val="456D6663"/>
    <w:rsid w:val="45717F01"/>
    <w:rsid w:val="45796DB6"/>
    <w:rsid w:val="45806396"/>
    <w:rsid w:val="45857508"/>
    <w:rsid w:val="458B6AE9"/>
    <w:rsid w:val="458D50F5"/>
    <w:rsid w:val="458F0387"/>
    <w:rsid w:val="45A100BA"/>
    <w:rsid w:val="45A2455E"/>
    <w:rsid w:val="45A858ED"/>
    <w:rsid w:val="45C049E4"/>
    <w:rsid w:val="45C06792"/>
    <w:rsid w:val="45C344D5"/>
    <w:rsid w:val="45C83899"/>
    <w:rsid w:val="45CA7611"/>
    <w:rsid w:val="45CD0EAF"/>
    <w:rsid w:val="45D57E8E"/>
    <w:rsid w:val="45D97854"/>
    <w:rsid w:val="45DD7344"/>
    <w:rsid w:val="45E615FB"/>
    <w:rsid w:val="45E701C3"/>
    <w:rsid w:val="45E71F71"/>
    <w:rsid w:val="46004DE1"/>
    <w:rsid w:val="46072613"/>
    <w:rsid w:val="460A2104"/>
    <w:rsid w:val="46144D30"/>
    <w:rsid w:val="46192347"/>
    <w:rsid w:val="461F5BAF"/>
    <w:rsid w:val="462036D5"/>
    <w:rsid w:val="462A6302"/>
    <w:rsid w:val="462E7BA0"/>
    <w:rsid w:val="46401681"/>
    <w:rsid w:val="4645313C"/>
    <w:rsid w:val="464E0242"/>
    <w:rsid w:val="465A6BE7"/>
    <w:rsid w:val="4662784A"/>
    <w:rsid w:val="46674E60"/>
    <w:rsid w:val="467001B9"/>
    <w:rsid w:val="467E3F53"/>
    <w:rsid w:val="467F03FC"/>
    <w:rsid w:val="469043B7"/>
    <w:rsid w:val="4692772F"/>
    <w:rsid w:val="469A5235"/>
    <w:rsid w:val="46A61E2C"/>
    <w:rsid w:val="46B1257F"/>
    <w:rsid w:val="46BD7176"/>
    <w:rsid w:val="46C329DE"/>
    <w:rsid w:val="46C95B1B"/>
    <w:rsid w:val="46CC1167"/>
    <w:rsid w:val="46D1677D"/>
    <w:rsid w:val="46E47C14"/>
    <w:rsid w:val="46F661E4"/>
    <w:rsid w:val="46FE3A16"/>
    <w:rsid w:val="47013507"/>
    <w:rsid w:val="470923BB"/>
    <w:rsid w:val="470B38B4"/>
    <w:rsid w:val="47136D96"/>
    <w:rsid w:val="471548BC"/>
    <w:rsid w:val="47240FA3"/>
    <w:rsid w:val="472745EF"/>
    <w:rsid w:val="472B40E0"/>
    <w:rsid w:val="473016F6"/>
    <w:rsid w:val="47317A9B"/>
    <w:rsid w:val="473311E6"/>
    <w:rsid w:val="47431429"/>
    <w:rsid w:val="4746716B"/>
    <w:rsid w:val="47482EE3"/>
    <w:rsid w:val="475353E4"/>
    <w:rsid w:val="475573AE"/>
    <w:rsid w:val="475C24EB"/>
    <w:rsid w:val="475F3D89"/>
    <w:rsid w:val="477737C9"/>
    <w:rsid w:val="478F0B12"/>
    <w:rsid w:val="479559FD"/>
    <w:rsid w:val="479A3013"/>
    <w:rsid w:val="47A3636C"/>
    <w:rsid w:val="47A83982"/>
    <w:rsid w:val="47A9027D"/>
    <w:rsid w:val="47AA594C"/>
    <w:rsid w:val="47AE390E"/>
    <w:rsid w:val="47B37D01"/>
    <w:rsid w:val="47B73BC5"/>
    <w:rsid w:val="47C22C96"/>
    <w:rsid w:val="47C307BC"/>
    <w:rsid w:val="47C65E4E"/>
    <w:rsid w:val="47CA1B4A"/>
    <w:rsid w:val="47CA38F8"/>
    <w:rsid w:val="47CB7671"/>
    <w:rsid w:val="47CE30B0"/>
    <w:rsid w:val="47D209FF"/>
    <w:rsid w:val="47D44777"/>
    <w:rsid w:val="47E0311C"/>
    <w:rsid w:val="47E56984"/>
    <w:rsid w:val="47F170D7"/>
    <w:rsid w:val="480212E4"/>
    <w:rsid w:val="480768FB"/>
    <w:rsid w:val="480C2163"/>
    <w:rsid w:val="480D7C89"/>
    <w:rsid w:val="480F57AF"/>
    <w:rsid w:val="482422F2"/>
    <w:rsid w:val="482C45B3"/>
    <w:rsid w:val="483671E0"/>
    <w:rsid w:val="484216E1"/>
    <w:rsid w:val="484418FD"/>
    <w:rsid w:val="48482A6F"/>
    <w:rsid w:val="484C6A03"/>
    <w:rsid w:val="48531B40"/>
    <w:rsid w:val="485A1120"/>
    <w:rsid w:val="485F6737"/>
    <w:rsid w:val="486378A9"/>
    <w:rsid w:val="48651163"/>
    <w:rsid w:val="48671147"/>
    <w:rsid w:val="486C0E54"/>
    <w:rsid w:val="486D24D6"/>
    <w:rsid w:val="486E0728"/>
    <w:rsid w:val="486F26F2"/>
    <w:rsid w:val="48741AB6"/>
    <w:rsid w:val="48790E7B"/>
    <w:rsid w:val="489108BA"/>
    <w:rsid w:val="489A776F"/>
    <w:rsid w:val="48A028AB"/>
    <w:rsid w:val="48AF2AEE"/>
    <w:rsid w:val="48B60321"/>
    <w:rsid w:val="48BA396D"/>
    <w:rsid w:val="48BF71D5"/>
    <w:rsid w:val="48C447EC"/>
    <w:rsid w:val="48D03190"/>
    <w:rsid w:val="48DA400F"/>
    <w:rsid w:val="48DB1B35"/>
    <w:rsid w:val="48DD58AD"/>
    <w:rsid w:val="48E21116"/>
    <w:rsid w:val="48E24C72"/>
    <w:rsid w:val="4904108C"/>
    <w:rsid w:val="49060960"/>
    <w:rsid w:val="490D2B78"/>
    <w:rsid w:val="49115E22"/>
    <w:rsid w:val="49184B37"/>
    <w:rsid w:val="491A08B0"/>
    <w:rsid w:val="49262DB0"/>
    <w:rsid w:val="492E435B"/>
    <w:rsid w:val="493354CD"/>
    <w:rsid w:val="49351245"/>
    <w:rsid w:val="493C0826"/>
    <w:rsid w:val="494D658F"/>
    <w:rsid w:val="495C2C76"/>
    <w:rsid w:val="495E079C"/>
    <w:rsid w:val="4968786D"/>
    <w:rsid w:val="496B2EB9"/>
    <w:rsid w:val="496D09DF"/>
    <w:rsid w:val="496D6C31"/>
    <w:rsid w:val="497A75A0"/>
    <w:rsid w:val="4981448B"/>
    <w:rsid w:val="49883A6B"/>
    <w:rsid w:val="498875C7"/>
    <w:rsid w:val="498A77E3"/>
    <w:rsid w:val="49942410"/>
    <w:rsid w:val="49971F00"/>
    <w:rsid w:val="49975A5C"/>
    <w:rsid w:val="49A81A17"/>
    <w:rsid w:val="49AF724A"/>
    <w:rsid w:val="49B44860"/>
    <w:rsid w:val="49C34AA3"/>
    <w:rsid w:val="49CB1BAA"/>
    <w:rsid w:val="49D56585"/>
    <w:rsid w:val="49DA3B9B"/>
    <w:rsid w:val="49EA0282"/>
    <w:rsid w:val="49EB7B56"/>
    <w:rsid w:val="49EF5898"/>
    <w:rsid w:val="49F11610"/>
    <w:rsid w:val="49F44C5D"/>
    <w:rsid w:val="4A0155CC"/>
    <w:rsid w:val="4A0A0924"/>
    <w:rsid w:val="4A0C2B74"/>
    <w:rsid w:val="4A0F7CE8"/>
    <w:rsid w:val="4A1277D9"/>
    <w:rsid w:val="4A190B67"/>
    <w:rsid w:val="4A192915"/>
    <w:rsid w:val="4A2A68D0"/>
    <w:rsid w:val="4A2B43F6"/>
    <w:rsid w:val="4A325785"/>
    <w:rsid w:val="4A392FB7"/>
    <w:rsid w:val="4A396B13"/>
    <w:rsid w:val="4A3C6604"/>
    <w:rsid w:val="4A407EA2"/>
    <w:rsid w:val="4A4200BE"/>
    <w:rsid w:val="4A4D0811"/>
    <w:rsid w:val="4A525E27"/>
    <w:rsid w:val="4A546448"/>
    <w:rsid w:val="4A5E2A1E"/>
    <w:rsid w:val="4A617FE4"/>
    <w:rsid w:val="4A6242BC"/>
    <w:rsid w:val="4A6A13C3"/>
    <w:rsid w:val="4A704B0B"/>
    <w:rsid w:val="4A761B16"/>
    <w:rsid w:val="4A7E09CA"/>
    <w:rsid w:val="4A827A02"/>
    <w:rsid w:val="4A857FAB"/>
    <w:rsid w:val="4A91694F"/>
    <w:rsid w:val="4A9401EE"/>
    <w:rsid w:val="4A9621B8"/>
    <w:rsid w:val="4A985F30"/>
    <w:rsid w:val="4AA448D5"/>
    <w:rsid w:val="4AA91EEB"/>
    <w:rsid w:val="4AB8212E"/>
    <w:rsid w:val="4ABA40F8"/>
    <w:rsid w:val="4AC62A9D"/>
    <w:rsid w:val="4ACC5BD9"/>
    <w:rsid w:val="4AD54A8E"/>
    <w:rsid w:val="4AF34F14"/>
    <w:rsid w:val="4AFB026D"/>
    <w:rsid w:val="4AFD5D93"/>
    <w:rsid w:val="4B125A67"/>
    <w:rsid w:val="4B1A4B97"/>
    <w:rsid w:val="4B1B110F"/>
    <w:rsid w:val="4B221C9D"/>
    <w:rsid w:val="4B294DDA"/>
    <w:rsid w:val="4B2B6DA4"/>
    <w:rsid w:val="4B306168"/>
    <w:rsid w:val="4B481704"/>
    <w:rsid w:val="4B490FD8"/>
    <w:rsid w:val="4B49547C"/>
    <w:rsid w:val="4B4B2FA2"/>
    <w:rsid w:val="4B5005B9"/>
    <w:rsid w:val="4B5736F5"/>
    <w:rsid w:val="4B7342A7"/>
    <w:rsid w:val="4B7C065B"/>
    <w:rsid w:val="4B893ACB"/>
    <w:rsid w:val="4B897627"/>
    <w:rsid w:val="4B904E59"/>
    <w:rsid w:val="4B906C07"/>
    <w:rsid w:val="4B922D11"/>
    <w:rsid w:val="4BA10E14"/>
    <w:rsid w:val="4BA821A3"/>
    <w:rsid w:val="4BAB1C93"/>
    <w:rsid w:val="4BAF1783"/>
    <w:rsid w:val="4BB24DCF"/>
    <w:rsid w:val="4BB5666E"/>
    <w:rsid w:val="4BBC17AA"/>
    <w:rsid w:val="4BC0573E"/>
    <w:rsid w:val="4BC468B1"/>
    <w:rsid w:val="4BC973E3"/>
    <w:rsid w:val="4BCB7C3F"/>
    <w:rsid w:val="4BDA60D4"/>
    <w:rsid w:val="4BEB02E1"/>
    <w:rsid w:val="4BF47196"/>
    <w:rsid w:val="4BF52F0E"/>
    <w:rsid w:val="4BF61160"/>
    <w:rsid w:val="4BF90C50"/>
    <w:rsid w:val="4BFE6267"/>
    <w:rsid w:val="4C001FDF"/>
    <w:rsid w:val="4C0A4C0B"/>
    <w:rsid w:val="4C0D0258"/>
    <w:rsid w:val="4C1415E6"/>
    <w:rsid w:val="4C160596"/>
    <w:rsid w:val="4C172E84"/>
    <w:rsid w:val="4C1C011A"/>
    <w:rsid w:val="4C2555A1"/>
    <w:rsid w:val="4C2A0E0A"/>
    <w:rsid w:val="4C2D08FA"/>
    <w:rsid w:val="4C416153"/>
    <w:rsid w:val="4C431ECB"/>
    <w:rsid w:val="4C46376A"/>
    <w:rsid w:val="4C523EBC"/>
    <w:rsid w:val="4C5916EF"/>
    <w:rsid w:val="4C6A7458"/>
    <w:rsid w:val="4C8449BE"/>
    <w:rsid w:val="4C854292"/>
    <w:rsid w:val="4C8E539C"/>
    <w:rsid w:val="4C92075D"/>
    <w:rsid w:val="4C9316DD"/>
    <w:rsid w:val="4C940979"/>
    <w:rsid w:val="4CAA3CF8"/>
    <w:rsid w:val="4CAF57B3"/>
    <w:rsid w:val="4CCC1EC1"/>
    <w:rsid w:val="4CD174D7"/>
    <w:rsid w:val="4CE92A73"/>
    <w:rsid w:val="4D072EF9"/>
    <w:rsid w:val="4D087900"/>
    <w:rsid w:val="4D090A1F"/>
    <w:rsid w:val="4D0C49B3"/>
    <w:rsid w:val="4D183358"/>
    <w:rsid w:val="4D186EB4"/>
    <w:rsid w:val="4D292E6F"/>
    <w:rsid w:val="4D2C0BB1"/>
    <w:rsid w:val="4D330192"/>
    <w:rsid w:val="4D387556"/>
    <w:rsid w:val="4D395E7C"/>
    <w:rsid w:val="4D3D691B"/>
    <w:rsid w:val="4D3F6B37"/>
    <w:rsid w:val="4D5048A0"/>
    <w:rsid w:val="4D534390"/>
    <w:rsid w:val="4D551EB6"/>
    <w:rsid w:val="4D671BE9"/>
    <w:rsid w:val="4D695962"/>
    <w:rsid w:val="4D746602"/>
    <w:rsid w:val="4D7560B4"/>
    <w:rsid w:val="4D7D140D"/>
    <w:rsid w:val="4D7F0CE1"/>
    <w:rsid w:val="4D84279B"/>
    <w:rsid w:val="4D8B1D7C"/>
    <w:rsid w:val="4D981DA3"/>
    <w:rsid w:val="4DA846DC"/>
    <w:rsid w:val="4DAB1AD6"/>
    <w:rsid w:val="4DAE15C6"/>
    <w:rsid w:val="4DB34E2F"/>
    <w:rsid w:val="4DB90697"/>
    <w:rsid w:val="4DBC3CE3"/>
    <w:rsid w:val="4DBD7A5B"/>
    <w:rsid w:val="4DBE3EFF"/>
    <w:rsid w:val="4DBF1A26"/>
    <w:rsid w:val="4DC62DB4"/>
    <w:rsid w:val="4DD23507"/>
    <w:rsid w:val="4DD92AE7"/>
    <w:rsid w:val="4DE33966"/>
    <w:rsid w:val="4DEA4CF4"/>
    <w:rsid w:val="4DF25957"/>
    <w:rsid w:val="4DF55447"/>
    <w:rsid w:val="4E04568A"/>
    <w:rsid w:val="4E047438"/>
    <w:rsid w:val="4E0A0EF3"/>
    <w:rsid w:val="4E0F02B7"/>
    <w:rsid w:val="4E173610"/>
    <w:rsid w:val="4E1A6C5C"/>
    <w:rsid w:val="4E217FEA"/>
    <w:rsid w:val="4E255D2C"/>
    <w:rsid w:val="4E3046D1"/>
    <w:rsid w:val="4E3E0B9C"/>
    <w:rsid w:val="4E3E294A"/>
    <w:rsid w:val="4E3E6DEE"/>
    <w:rsid w:val="4E434405"/>
    <w:rsid w:val="4E437F61"/>
    <w:rsid w:val="4E571C5E"/>
    <w:rsid w:val="4E5E2FEC"/>
    <w:rsid w:val="4E616639"/>
    <w:rsid w:val="4E65437B"/>
    <w:rsid w:val="4E6C5709"/>
    <w:rsid w:val="4E6D3230"/>
    <w:rsid w:val="4E704779"/>
    <w:rsid w:val="4E8A2033"/>
    <w:rsid w:val="4E8D38D2"/>
    <w:rsid w:val="4E9E163B"/>
    <w:rsid w:val="4E9E5ADF"/>
    <w:rsid w:val="4EA330F5"/>
    <w:rsid w:val="4EA36C51"/>
    <w:rsid w:val="4ECA2430"/>
    <w:rsid w:val="4ED82D9F"/>
    <w:rsid w:val="4EDB288F"/>
    <w:rsid w:val="4EEE4370"/>
    <w:rsid w:val="4EEF00E8"/>
    <w:rsid w:val="4EFD2805"/>
    <w:rsid w:val="4EFF657E"/>
    <w:rsid w:val="4F035942"/>
    <w:rsid w:val="4F0B3174"/>
    <w:rsid w:val="4F155DA1"/>
    <w:rsid w:val="4F231B40"/>
    <w:rsid w:val="4F253B0A"/>
    <w:rsid w:val="4F2E6E63"/>
    <w:rsid w:val="4F343D4D"/>
    <w:rsid w:val="4F381A8F"/>
    <w:rsid w:val="4F3A5808"/>
    <w:rsid w:val="4F4421E2"/>
    <w:rsid w:val="4F457D08"/>
    <w:rsid w:val="4F473A81"/>
    <w:rsid w:val="4F4C553B"/>
    <w:rsid w:val="4F506DD9"/>
    <w:rsid w:val="4F641CE0"/>
    <w:rsid w:val="4F644633"/>
    <w:rsid w:val="4F675ED1"/>
    <w:rsid w:val="4F754A92"/>
    <w:rsid w:val="4F786330"/>
    <w:rsid w:val="4F7A20A8"/>
    <w:rsid w:val="4F8151E4"/>
    <w:rsid w:val="4F820F5D"/>
    <w:rsid w:val="4F860A4D"/>
    <w:rsid w:val="4F876573"/>
    <w:rsid w:val="4F8C5937"/>
    <w:rsid w:val="4F8D1DDB"/>
    <w:rsid w:val="4F9F1B0F"/>
    <w:rsid w:val="4FAB400F"/>
    <w:rsid w:val="4FB235F0"/>
    <w:rsid w:val="4FBB7FCB"/>
    <w:rsid w:val="4FBD1F95"/>
    <w:rsid w:val="4FBE01E7"/>
    <w:rsid w:val="4FC7250D"/>
    <w:rsid w:val="4FD80B7D"/>
    <w:rsid w:val="4FF534DD"/>
    <w:rsid w:val="50033E4B"/>
    <w:rsid w:val="500951DA"/>
    <w:rsid w:val="500B0F52"/>
    <w:rsid w:val="50175B49"/>
    <w:rsid w:val="501E6ED7"/>
    <w:rsid w:val="50210776"/>
    <w:rsid w:val="50355FCF"/>
    <w:rsid w:val="503E30D6"/>
    <w:rsid w:val="5043249A"/>
    <w:rsid w:val="504D156B"/>
    <w:rsid w:val="505E72D4"/>
    <w:rsid w:val="50650662"/>
    <w:rsid w:val="5066262C"/>
    <w:rsid w:val="50681F00"/>
    <w:rsid w:val="50760AC1"/>
    <w:rsid w:val="50792360"/>
    <w:rsid w:val="507B60D8"/>
    <w:rsid w:val="507B7E86"/>
    <w:rsid w:val="508D5E0B"/>
    <w:rsid w:val="508D7BB9"/>
    <w:rsid w:val="5099030C"/>
    <w:rsid w:val="50A56CB1"/>
    <w:rsid w:val="50A867A1"/>
    <w:rsid w:val="50AA2519"/>
    <w:rsid w:val="50AA3F1E"/>
    <w:rsid w:val="50AC44E3"/>
    <w:rsid w:val="50B52C6C"/>
    <w:rsid w:val="50C07F8E"/>
    <w:rsid w:val="50C57353"/>
    <w:rsid w:val="50C7131D"/>
    <w:rsid w:val="50D94BAC"/>
    <w:rsid w:val="50DD28EE"/>
    <w:rsid w:val="50E0418D"/>
    <w:rsid w:val="50F32112"/>
    <w:rsid w:val="50FD4D3F"/>
    <w:rsid w:val="51051E45"/>
    <w:rsid w:val="510C6D30"/>
    <w:rsid w:val="510D2AA8"/>
    <w:rsid w:val="511802C2"/>
    <w:rsid w:val="51226553"/>
    <w:rsid w:val="512A365A"/>
    <w:rsid w:val="513242BC"/>
    <w:rsid w:val="51330760"/>
    <w:rsid w:val="5133250E"/>
    <w:rsid w:val="51363DAD"/>
    <w:rsid w:val="513B13C3"/>
    <w:rsid w:val="514364CA"/>
    <w:rsid w:val="514A5AAA"/>
    <w:rsid w:val="51515016"/>
    <w:rsid w:val="5151508A"/>
    <w:rsid w:val="5156444F"/>
    <w:rsid w:val="51581F75"/>
    <w:rsid w:val="5160707C"/>
    <w:rsid w:val="51624BA2"/>
    <w:rsid w:val="5167040A"/>
    <w:rsid w:val="516C30E8"/>
    <w:rsid w:val="516E1798"/>
    <w:rsid w:val="51714DE5"/>
    <w:rsid w:val="5176689F"/>
    <w:rsid w:val="517B5C63"/>
    <w:rsid w:val="51826FF2"/>
    <w:rsid w:val="518B234A"/>
    <w:rsid w:val="51976F41"/>
    <w:rsid w:val="51A0391C"/>
    <w:rsid w:val="51A21442"/>
    <w:rsid w:val="51A4340C"/>
    <w:rsid w:val="51AC406F"/>
    <w:rsid w:val="51AF240B"/>
    <w:rsid w:val="51B66C9C"/>
    <w:rsid w:val="51BF1FF4"/>
    <w:rsid w:val="51CE2237"/>
    <w:rsid w:val="51D11D27"/>
    <w:rsid w:val="51D35A9F"/>
    <w:rsid w:val="51D81616"/>
    <w:rsid w:val="51D830B6"/>
    <w:rsid w:val="51DB0B9F"/>
    <w:rsid w:val="51E11F6A"/>
    <w:rsid w:val="51E23F34"/>
    <w:rsid w:val="51E8779D"/>
    <w:rsid w:val="51ED4DB3"/>
    <w:rsid w:val="51EE6435"/>
    <w:rsid w:val="521A722A"/>
    <w:rsid w:val="523522B6"/>
    <w:rsid w:val="52374280"/>
    <w:rsid w:val="52397FF8"/>
    <w:rsid w:val="524424F9"/>
    <w:rsid w:val="524D5852"/>
    <w:rsid w:val="5253098E"/>
    <w:rsid w:val="525F2FE2"/>
    <w:rsid w:val="526B217C"/>
    <w:rsid w:val="52742DDF"/>
    <w:rsid w:val="52754DA9"/>
    <w:rsid w:val="52796647"/>
    <w:rsid w:val="527C1C93"/>
    <w:rsid w:val="529945F3"/>
    <w:rsid w:val="52A64F62"/>
    <w:rsid w:val="52B96A43"/>
    <w:rsid w:val="52C13B4A"/>
    <w:rsid w:val="52C6444D"/>
    <w:rsid w:val="52CB49C9"/>
    <w:rsid w:val="52D10231"/>
    <w:rsid w:val="52DA2D3A"/>
    <w:rsid w:val="52DC0984"/>
    <w:rsid w:val="52E57838"/>
    <w:rsid w:val="52EC506B"/>
    <w:rsid w:val="52F757BE"/>
    <w:rsid w:val="52FE4D9E"/>
    <w:rsid w:val="530323B4"/>
    <w:rsid w:val="530A3743"/>
    <w:rsid w:val="53172865"/>
    <w:rsid w:val="53185E60"/>
    <w:rsid w:val="53237A0F"/>
    <w:rsid w:val="53281E1B"/>
    <w:rsid w:val="532C5467"/>
    <w:rsid w:val="532D11DF"/>
    <w:rsid w:val="5334256E"/>
    <w:rsid w:val="53364538"/>
    <w:rsid w:val="533E519B"/>
    <w:rsid w:val="5349426B"/>
    <w:rsid w:val="534D3630"/>
    <w:rsid w:val="535624E4"/>
    <w:rsid w:val="53566988"/>
    <w:rsid w:val="535C6CE4"/>
    <w:rsid w:val="536410A5"/>
    <w:rsid w:val="536A2433"/>
    <w:rsid w:val="536C61AC"/>
    <w:rsid w:val="53791C01"/>
    <w:rsid w:val="538057B3"/>
    <w:rsid w:val="53894668"/>
    <w:rsid w:val="538A03E0"/>
    <w:rsid w:val="5391176E"/>
    <w:rsid w:val="539B25ED"/>
    <w:rsid w:val="53A476F3"/>
    <w:rsid w:val="53A5521A"/>
    <w:rsid w:val="53A94D0A"/>
    <w:rsid w:val="53B35B89"/>
    <w:rsid w:val="53B536AF"/>
    <w:rsid w:val="53C102A5"/>
    <w:rsid w:val="53D55AFF"/>
    <w:rsid w:val="53D578AD"/>
    <w:rsid w:val="53DD49B3"/>
    <w:rsid w:val="53E21FCA"/>
    <w:rsid w:val="53EC109A"/>
    <w:rsid w:val="5406215C"/>
    <w:rsid w:val="541303D5"/>
    <w:rsid w:val="5422686A"/>
    <w:rsid w:val="542C1497"/>
    <w:rsid w:val="54370568"/>
    <w:rsid w:val="543C16DA"/>
    <w:rsid w:val="543C5B7E"/>
    <w:rsid w:val="54420CBA"/>
    <w:rsid w:val="54436F0C"/>
    <w:rsid w:val="54442C85"/>
    <w:rsid w:val="544607AB"/>
    <w:rsid w:val="54501629"/>
    <w:rsid w:val="545C1D7C"/>
    <w:rsid w:val="545F7ABE"/>
    <w:rsid w:val="546B1FBF"/>
    <w:rsid w:val="546E1AAF"/>
    <w:rsid w:val="54770964"/>
    <w:rsid w:val="547846DC"/>
    <w:rsid w:val="5483555B"/>
    <w:rsid w:val="548E3F00"/>
    <w:rsid w:val="54977258"/>
    <w:rsid w:val="549C486F"/>
    <w:rsid w:val="549F7EBB"/>
    <w:rsid w:val="54A83213"/>
    <w:rsid w:val="54AA6F8B"/>
    <w:rsid w:val="54B0031A"/>
    <w:rsid w:val="54B73456"/>
    <w:rsid w:val="54B95421"/>
    <w:rsid w:val="54D04518"/>
    <w:rsid w:val="54D51B2F"/>
    <w:rsid w:val="54D933CD"/>
    <w:rsid w:val="54E56216"/>
    <w:rsid w:val="54EF499E"/>
    <w:rsid w:val="54F16968"/>
    <w:rsid w:val="54F55D2D"/>
    <w:rsid w:val="54F63F7F"/>
    <w:rsid w:val="54F77CF7"/>
    <w:rsid w:val="54FB77E7"/>
    <w:rsid w:val="55050666"/>
    <w:rsid w:val="550541C2"/>
    <w:rsid w:val="55054EB9"/>
    <w:rsid w:val="5511700B"/>
    <w:rsid w:val="5516017D"/>
    <w:rsid w:val="551B5793"/>
    <w:rsid w:val="551C150B"/>
    <w:rsid w:val="55202DAA"/>
    <w:rsid w:val="55286102"/>
    <w:rsid w:val="55313209"/>
    <w:rsid w:val="553C52A5"/>
    <w:rsid w:val="553E76D4"/>
    <w:rsid w:val="554271C4"/>
    <w:rsid w:val="55491271"/>
    <w:rsid w:val="554923E8"/>
    <w:rsid w:val="554F368F"/>
    <w:rsid w:val="555022BB"/>
    <w:rsid w:val="55524F2D"/>
    <w:rsid w:val="555B2034"/>
    <w:rsid w:val="555E1B24"/>
    <w:rsid w:val="55654C60"/>
    <w:rsid w:val="55733821"/>
    <w:rsid w:val="5576721A"/>
    <w:rsid w:val="5579070C"/>
    <w:rsid w:val="55805F3E"/>
    <w:rsid w:val="558E2409"/>
    <w:rsid w:val="5599A043"/>
    <w:rsid w:val="55A41C2D"/>
    <w:rsid w:val="55B160F8"/>
    <w:rsid w:val="55B33C1E"/>
    <w:rsid w:val="55B94FAC"/>
    <w:rsid w:val="55BD684B"/>
    <w:rsid w:val="55C0633B"/>
    <w:rsid w:val="55C7591B"/>
    <w:rsid w:val="55D122F6"/>
    <w:rsid w:val="55D342C0"/>
    <w:rsid w:val="55D818D6"/>
    <w:rsid w:val="55DD513F"/>
    <w:rsid w:val="55E738C7"/>
    <w:rsid w:val="55EB13F3"/>
    <w:rsid w:val="55F3226C"/>
    <w:rsid w:val="55F52488"/>
    <w:rsid w:val="56010E2D"/>
    <w:rsid w:val="560721BC"/>
    <w:rsid w:val="560B3A5A"/>
    <w:rsid w:val="5613290E"/>
    <w:rsid w:val="56262642"/>
    <w:rsid w:val="56292132"/>
    <w:rsid w:val="56293EE0"/>
    <w:rsid w:val="562C1C22"/>
    <w:rsid w:val="562C39D0"/>
    <w:rsid w:val="562E599A"/>
    <w:rsid w:val="5632548A"/>
    <w:rsid w:val="56332FB1"/>
    <w:rsid w:val="563C1E65"/>
    <w:rsid w:val="564231F4"/>
    <w:rsid w:val="56431446"/>
    <w:rsid w:val="564451BE"/>
    <w:rsid w:val="565C2507"/>
    <w:rsid w:val="565D3B8A"/>
    <w:rsid w:val="565D4368"/>
    <w:rsid w:val="565F5B54"/>
    <w:rsid w:val="565F7902"/>
    <w:rsid w:val="5664316A"/>
    <w:rsid w:val="566C73E3"/>
    <w:rsid w:val="56796ABF"/>
    <w:rsid w:val="567C6706"/>
    <w:rsid w:val="56835CE6"/>
    <w:rsid w:val="56866145"/>
    <w:rsid w:val="569021B1"/>
    <w:rsid w:val="5697353F"/>
    <w:rsid w:val="56981066"/>
    <w:rsid w:val="569A3030"/>
    <w:rsid w:val="56A65531"/>
    <w:rsid w:val="56A731E6"/>
    <w:rsid w:val="56A93273"/>
    <w:rsid w:val="56BA5480"/>
    <w:rsid w:val="56BE0ACC"/>
    <w:rsid w:val="56BF4844"/>
    <w:rsid w:val="56C44B23"/>
    <w:rsid w:val="56C65BD3"/>
    <w:rsid w:val="56C836F9"/>
    <w:rsid w:val="56D007FF"/>
    <w:rsid w:val="56D46542"/>
    <w:rsid w:val="56D93B58"/>
    <w:rsid w:val="56DE4CCA"/>
    <w:rsid w:val="56E37C18"/>
    <w:rsid w:val="56E46059"/>
    <w:rsid w:val="56E66275"/>
    <w:rsid w:val="56E85B49"/>
    <w:rsid w:val="56F269C8"/>
    <w:rsid w:val="56F50266"/>
    <w:rsid w:val="56FF2E93"/>
    <w:rsid w:val="57081D47"/>
    <w:rsid w:val="570877D5"/>
    <w:rsid w:val="57154464"/>
    <w:rsid w:val="571B5F1F"/>
    <w:rsid w:val="57266671"/>
    <w:rsid w:val="572823EA"/>
    <w:rsid w:val="573265F8"/>
    <w:rsid w:val="57340D8E"/>
    <w:rsid w:val="57392849"/>
    <w:rsid w:val="57452F9B"/>
    <w:rsid w:val="575431DF"/>
    <w:rsid w:val="575925A3"/>
    <w:rsid w:val="57723665"/>
    <w:rsid w:val="57743881"/>
    <w:rsid w:val="577E025B"/>
    <w:rsid w:val="57923D07"/>
    <w:rsid w:val="57931F59"/>
    <w:rsid w:val="579E08FE"/>
    <w:rsid w:val="57A04676"/>
    <w:rsid w:val="57A53A3A"/>
    <w:rsid w:val="57AA1051"/>
    <w:rsid w:val="57BF22CA"/>
    <w:rsid w:val="57BF2D4E"/>
    <w:rsid w:val="57C2283E"/>
    <w:rsid w:val="57CF28F1"/>
    <w:rsid w:val="57D4431F"/>
    <w:rsid w:val="57E44562"/>
    <w:rsid w:val="57E722A5"/>
    <w:rsid w:val="57EA769F"/>
    <w:rsid w:val="57EF4CB5"/>
    <w:rsid w:val="57F10A2D"/>
    <w:rsid w:val="57F4051E"/>
    <w:rsid w:val="57F64296"/>
    <w:rsid w:val="57F8000E"/>
    <w:rsid w:val="57F86260"/>
    <w:rsid w:val="57FA3D86"/>
    <w:rsid w:val="58136BF6"/>
    <w:rsid w:val="582708F3"/>
    <w:rsid w:val="5829466B"/>
    <w:rsid w:val="58296419"/>
    <w:rsid w:val="582E3A30"/>
    <w:rsid w:val="58346B6C"/>
    <w:rsid w:val="583848AE"/>
    <w:rsid w:val="584119B5"/>
    <w:rsid w:val="58450D79"/>
    <w:rsid w:val="58466FCB"/>
    <w:rsid w:val="584E40D2"/>
    <w:rsid w:val="58692CBA"/>
    <w:rsid w:val="586B6A32"/>
    <w:rsid w:val="587578B0"/>
    <w:rsid w:val="58773629"/>
    <w:rsid w:val="58810003"/>
    <w:rsid w:val="588875E4"/>
    <w:rsid w:val="5889510A"/>
    <w:rsid w:val="588B0E82"/>
    <w:rsid w:val="588C15CC"/>
    <w:rsid w:val="58920462"/>
    <w:rsid w:val="589E6E07"/>
    <w:rsid w:val="589F0489"/>
    <w:rsid w:val="58AB5080"/>
    <w:rsid w:val="58AE691E"/>
    <w:rsid w:val="58B55EFF"/>
    <w:rsid w:val="58B71C77"/>
    <w:rsid w:val="58BD6B62"/>
    <w:rsid w:val="58C16059"/>
    <w:rsid w:val="58C223CA"/>
    <w:rsid w:val="58C3061C"/>
    <w:rsid w:val="58C47EF0"/>
    <w:rsid w:val="58C6010C"/>
    <w:rsid w:val="58CD3249"/>
    <w:rsid w:val="58D00F8B"/>
    <w:rsid w:val="58D26AB1"/>
    <w:rsid w:val="58D520FD"/>
    <w:rsid w:val="58EB7B73"/>
    <w:rsid w:val="58F44C79"/>
    <w:rsid w:val="5900361E"/>
    <w:rsid w:val="59074EB6"/>
    <w:rsid w:val="591250FF"/>
    <w:rsid w:val="59215342"/>
    <w:rsid w:val="592310BA"/>
    <w:rsid w:val="5923730C"/>
    <w:rsid w:val="59260BAB"/>
    <w:rsid w:val="59266DFD"/>
    <w:rsid w:val="59305585"/>
    <w:rsid w:val="5934151A"/>
    <w:rsid w:val="59352B9C"/>
    <w:rsid w:val="59401C6C"/>
    <w:rsid w:val="594159E5"/>
    <w:rsid w:val="59457283"/>
    <w:rsid w:val="59480B21"/>
    <w:rsid w:val="59486D73"/>
    <w:rsid w:val="595B0854"/>
    <w:rsid w:val="59613991"/>
    <w:rsid w:val="596D0588"/>
    <w:rsid w:val="59710E04"/>
    <w:rsid w:val="59771406"/>
    <w:rsid w:val="597A4A53"/>
    <w:rsid w:val="597E2795"/>
    <w:rsid w:val="598002BB"/>
    <w:rsid w:val="5991071A"/>
    <w:rsid w:val="59A10231"/>
    <w:rsid w:val="59A55F73"/>
    <w:rsid w:val="59B71A84"/>
    <w:rsid w:val="59B77A55"/>
    <w:rsid w:val="59C06909"/>
    <w:rsid w:val="59C83A10"/>
    <w:rsid w:val="59DE5DB6"/>
    <w:rsid w:val="59E52814"/>
    <w:rsid w:val="59EF5395"/>
    <w:rsid w:val="5A0A227A"/>
    <w:rsid w:val="5A146C55"/>
    <w:rsid w:val="5A1D3D5C"/>
    <w:rsid w:val="5A1F7AD4"/>
    <w:rsid w:val="5A2A6479"/>
    <w:rsid w:val="5A551748"/>
    <w:rsid w:val="5A56101C"/>
    <w:rsid w:val="5A6000EC"/>
    <w:rsid w:val="5A614DE3"/>
    <w:rsid w:val="5A64198B"/>
    <w:rsid w:val="5A7140A7"/>
    <w:rsid w:val="5A731374"/>
    <w:rsid w:val="5A737E20"/>
    <w:rsid w:val="5A7476F4"/>
    <w:rsid w:val="5A755946"/>
    <w:rsid w:val="5A89319F"/>
    <w:rsid w:val="5A947624"/>
    <w:rsid w:val="5A9D4E9D"/>
    <w:rsid w:val="5AA63D51"/>
    <w:rsid w:val="5AB75F5E"/>
    <w:rsid w:val="5ABA5A4E"/>
    <w:rsid w:val="5ABD72ED"/>
    <w:rsid w:val="5AC02939"/>
    <w:rsid w:val="5ACD1BB7"/>
    <w:rsid w:val="5AD20FEA"/>
    <w:rsid w:val="5ADF54B5"/>
    <w:rsid w:val="5AE42ACB"/>
    <w:rsid w:val="5AE76118"/>
    <w:rsid w:val="5AEE56F8"/>
    <w:rsid w:val="5AF727FF"/>
    <w:rsid w:val="5AFF7905"/>
    <w:rsid w:val="5B084A0C"/>
    <w:rsid w:val="5B092532"/>
    <w:rsid w:val="5B174C4F"/>
    <w:rsid w:val="5B2348F0"/>
    <w:rsid w:val="5B2D6220"/>
    <w:rsid w:val="5B394BC5"/>
    <w:rsid w:val="5B3B7CC5"/>
    <w:rsid w:val="5B3C6463"/>
    <w:rsid w:val="5B5C6B06"/>
    <w:rsid w:val="5B5F03A4"/>
    <w:rsid w:val="5B646ED1"/>
    <w:rsid w:val="5B6559BA"/>
    <w:rsid w:val="5B667984"/>
    <w:rsid w:val="5B6F4A8B"/>
    <w:rsid w:val="5B745BFD"/>
    <w:rsid w:val="5B8A3673"/>
    <w:rsid w:val="5B8D3163"/>
    <w:rsid w:val="5BA815A4"/>
    <w:rsid w:val="5BA83AF9"/>
    <w:rsid w:val="5BAD7361"/>
    <w:rsid w:val="5BAF30D9"/>
    <w:rsid w:val="5BAF4E87"/>
    <w:rsid w:val="5BB701E0"/>
    <w:rsid w:val="5BBB1A7E"/>
    <w:rsid w:val="5BBB382C"/>
    <w:rsid w:val="5BC30933"/>
    <w:rsid w:val="5BC546AB"/>
    <w:rsid w:val="5BC87CF7"/>
    <w:rsid w:val="5BCF1086"/>
    <w:rsid w:val="5BD26DC8"/>
    <w:rsid w:val="5BD60666"/>
    <w:rsid w:val="5BDE39BF"/>
    <w:rsid w:val="5BE30FD5"/>
    <w:rsid w:val="5BF31218"/>
    <w:rsid w:val="5BF44F90"/>
    <w:rsid w:val="5BFD3E45"/>
    <w:rsid w:val="5C0827EA"/>
    <w:rsid w:val="5C1473E0"/>
    <w:rsid w:val="5C2313D1"/>
    <w:rsid w:val="5C245875"/>
    <w:rsid w:val="5C2869E8"/>
    <w:rsid w:val="5C294C3A"/>
    <w:rsid w:val="5C2D3FFE"/>
    <w:rsid w:val="5C2F421A"/>
    <w:rsid w:val="5C3435DF"/>
    <w:rsid w:val="5C4557EC"/>
    <w:rsid w:val="5C49708A"/>
    <w:rsid w:val="5C4A2E02"/>
    <w:rsid w:val="5C58551F"/>
    <w:rsid w:val="5C5D2B35"/>
    <w:rsid w:val="5C5D48E3"/>
    <w:rsid w:val="5C642116"/>
    <w:rsid w:val="5C6C2D78"/>
    <w:rsid w:val="5C71213D"/>
    <w:rsid w:val="5C7165E1"/>
    <w:rsid w:val="5C732359"/>
    <w:rsid w:val="5C7834CB"/>
    <w:rsid w:val="5C7B120D"/>
    <w:rsid w:val="5C8956D8"/>
    <w:rsid w:val="5C904CB9"/>
    <w:rsid w:val="5C9127DF"/>
    <w:rsid w:val="5C9A5B38"/>
    <w:rsid w:val="5C9A78E6"/>
    <w:rsid w:val="5C9F6CAA"/>
    <w:rsid w:val="5CA6628A"/>
    <w:rsid w:val="5CAB38A1"/>
    <w:rsid w:val="5CAE3391"/>
    <w:rsid w:val="5CB6590F"/>
    <w:rsid w:val="5CBD1826"/>
    <w:rsid w:val="5CC606DB"/>
    <w:rsid w:val="5CC6692D"/>
    <w:rsid w:val="5CCC3817"/>
    <w:rsid w:val="5CD050B5"/>
    <w:rsid w:val="5CD31049"/>
    <w:rsid w:val="5CD526CC"/>
    <w:rsid w:val="5CD8040E"/>
    <w:rsid w:val="5CDB2C89"/>
    <w:rsid w:val="5CDF354A"/>
    <w:rsid w:val="5CE15514"/>
    <w:rsid w:val="5CE2303B"/>
    <w:rsid w:val="5CE24DE9"/>
    <w:rsid w:val="5CF27722"/>
    <w:rsid w:val="5CF53766"/>
    <w:rsid w:val="5CF8460C"/>
    <w:rsid w:val="5D094A6B"/>
    <w:rsid w:val="5D137698"/>
    <w:rsid w:val="5D215911"/>
    <w:rsid w:val="5D2B6790"/>
    <w:rsid w:val="5D2E44D2"/>
    <w:rsid w:val="5D373386"/>
    <w:rsid w:val="5D4F6922"/>
    <w:rsid w:val="5D647EF4"/>
    <w:rsid w:val="5D6B74D4"/>
    <w:rsid w:val="5D704AEA"/>
    <w:rsid w:val="5D706898"/>
    <w:rsid w:val="5D7A7717"/>
    <w:rsid w:val="5D7B1E4D"/>
    <w:rsid w:val="5D7C523D"/>
    <w:rsid w:val="5D8365CC"/>
    <w:rsid w:val="5D8440F2"/>
    <w:rsid w:val="5D881E34"/>
    <w:rsid w:val="5D8A5BAC"/>
    <w:rsid w:val="5D924A61"/>
    <w:rsid w:val="5D972077"/>
    <w:rsid w:val="5DA402F0"/>
    <w:rsid w:val="5DA56542"/>
    <w:rsid w:val="5DA64068"/>
    <w:rsid w:val="5DAD189A"/>
    <w:rsid w:val="5DB42C29"/>
    <w:rsid w:val="5DB744C7"/>
    <w:rsid w:val="5DBF512A"/>
    <w:rsid w:val="5DC6470A"/>
    <w:rsid w:val="5DC7295C"/>
    <w:rsid w:val="5DD21301"/>
    <w:rsid w:val="5DD369F6"/>
    <w:rsid w:val="5DD46E27"/>
    <w:rsid w:val="5DDC5CDC"/>
    <w:rsid w:val="5DE77A3D"/>
    <w:rsid w:val="5DE828D3"/>
    <w:rsid w:val="5DEF1EB3"/>
    <w:rsid w:val="5DF179D9"/>
    <w:rsid w:val="5DF254FF"/>
    <w:rsid w:val="5DF9063C"/>
    <w:rsid w:val="5E0B036F"/>
    <w:rsid w:val="5E251431"/>
    <w:rsid w:val="5E257683"/>
    <w:rsid w:val="5E280F21"/>
    <w:rsid w:val="5E2A4C99"/>
    <w:rsid w:val="5E2D4789"/>
    <w:rsid w:val="5E323B4E"/>
    <w:rsid w:val="5E3E6996"/>
    <w:rsid w:val="5E473A9D"/>
    <w:rsid w:val="5E47584B"/>
    <w:rsid w:val="5E6C7060"/>
    <w:rsid w:val="5E6F4DA2"/>
    <w:rsid w:val="5E7B72A3"/>
    <w:rsid w:val="5E826883"/>
    <w:rsid w:val="5E8A398A"/>
    <w:rsid w:val="5E8C325E"/>
    <w:rsid w:val="5E8E0B78"/>
    <w:rsid w:val="5E912F6A"/>
    <w:rsid w:val="5E96232F"/>
    <w:rsid w:val="5E99597B"/>
    <w:rsid w:val="5E9C444A"/>
    <w:rsid w:val="5EA7453C"/>
    <w:rsid w:val="5EAB402C"/>
    <w:rsid w:val="5EBF1885"/>
    <w:rsid w:val="5EC073AC"/>
    <w:rsid w:val="5EC155FD"/>
    <w:rsid w:val="5EC724E8"/>
    <w:rsid w:val="5EC7698C"/>
    <w:rsid w:val="5ECB022A"/>
    <w:rsid w:val="5ECC5D50"/>
    <w:rsid w:val="5EDF3CD6"/>
    <w:rsid w:val="5EF05EE3"/>
    <w:rsid w:val="5EF534F9"/>
    <w:rsid w:val="5EF57055"/>
    <w:rsid w:val="5EF7101F"/>
    <w:rsid w:val="5EF72A0E"/>
    <w:rsid w:val="5EFD5F0A"/>
    <w:rsid w:val="5F092B01"/>
    <w:rsid w:val="5F0D0843"/>
    <w:rsid w:val="5F0E45BB"/>
    <w:rsid w:val="5F180EE5"/>
    <w:rsid w:val="5F182D44"/>
    <w:rsid w:val="5F1F0576"/>
    <w:rsid w:val="5F1F116C"/>
    <w:rsid w:val="5F1F615E"/>
    <w:rsid w:val="5F2C67EF"/>
    <w:rsid w:val="5F2E07B9"/>
    <w:rsid w:val="5F3F4774"/>
    <w:rsid w:val="5F41673E"/>
    <w:rsid w:val="5F4B4EC7"/>
    <w:rsid w:val="5F4C0C3F"/>
    <w:rsid w:val="5F546378"/>
    <w:rsid w:val="5F555D46"/>
    <w:rsid w:val="5F5C70D4"/>
    <w:rsid w:val="5F5E0A5B"/>
    <w:rsid w:val="5F697A43"/>
    <w:rsid w:val="5F6B37BB"/>
    <w:rsid w:val="5F7C1524"/>
    <w:rsid w:val="5F8108E9"/>
    <w:rsid w:val="5F8607FD"/>
    <w:rsid w:val="5F8A1E93"/>
    <w:rsid w:val="5F8B4E22"/>
    <w:rsid w:val="5F8D3732"/>
    <w:rsid w:val="5F954394"/>
    <w:rsid w:val="5FB54A36"/>
    <w:rsid w:val="5FB94527"/>
    <w:rsid w:val="5FD56E87"/>
    <w:rsid w:val="5FD942BC"/>
    <w:rsid w:val="5FE315A4"/>
    <w:rsid w:val="5FE33352"/>
    <w:rsid w:val="5FE5531C"/>
    <w:rsid w:val="5FEBD975"/>
    <w:rsid w:val="5FED2422"/>
    <w:rsid w:val="5FF4730D"/>
    <w:rsid w:val="5FF53085"/>
    <w:rsid w:val="5FF852DD"/>
    <w:rsid w:val="60067FDB"/>
    <w:rsid w:val="6008100A"/>
    <w:rsid w:val="60082DB8"/>
    <w:rsid w:val="600F2399"/>
    <w:rsid w:val="601608F3"/>
    <w:rsid w:val="60196D73"/>
    <w:rsid w:val="601E082E"/>
    <w:rsid w:val="602D281F"/>
    <w:rsid w:val="60326087"/>
    <w:rsid w:val="6037544B"/>
    <w:rsid w:val="604A1623"/>
    <w:rsid w:val="605129B1"/>
    <w:rsid w:val="6054424F"/>
    <w:rsid w:val="60583D40"/>
    <w:rsid w:val="605E5044"/>
    <w:rsid w:val="6062696C"/>
    <w:rsid w:val="606326E4"/>
    <w:rsid w:val="606A3A73"/>
    <w:rsid w:val="60714E01"/>
    <w:rsid w:val="608F7035"/>
    <w:rsid w:val="609603C4"/>
    <w:rsid w:val="609B1E7E"/>
    <w:rsid w:val="60A30D33"/>
    <w:rsid w:val="60A725D1"/>
    <w:rsid w:val="60A9459B"/>
    <w:rsid w:val="60BB42CE"/>
    <w:rsid w:val="60C50CA9"/>
    <w:rsid w:val="60D96503"/>
    <w:rsid w:val="60DA174A"/>
    <w:rsid w:val="60E6759D"/>
    <w:rsid w:val="60EE6452"/>
    <w:rsid w:val="61021EFD"/>
    <w:rsid w:val="61073070"/>
    <w:rsid w:val="61112140"/>
    <w:rsid w:val="61151C31"/>
    <w:rsid w:val="611759A9"/>
    <w:rsid w:val="611B4D6D"/>
    <w:rsid w:val="611D6D37"/>
    <w:rsid w:val="6122434D"/>
    <w:rsid w:val="61291238"/>
    <w:rsid w:val="61323F23"/>
    <w:rsid w:val="61371BA7"/>
    <w:rsid w:val="61377DF9"/>
    <w:rsid w:val="615269E1"/>
    <w:rsid w:val="615564D1"/>
    <w:rsid w:val="615C160D"/>
    <w:rsid w:val="615F10FE"/>
    <w:rsid w:val="61614E76"/>
    <w:rsid w:val="6166423A"/>
    <w:rsid w:val="616E30EF"/>
    <w:rsid w:val="61783AE7"/>
    <w:rsid w:val="617A5F38"/>
    <w:rsid w:val="617E77D6"/>
    <w:rsid w:val="6182233B"/>
    <w:rsid w:val="618648DC"/>
    <w:rsid w:val="61A15272"/>
    <w:rsid w:val="61A82AA5"/>
    <w:rsid w:val="61AD00BB"/>
    <w:rsid w:val="61B256D1"/>
    <w:rsid w:val="61BC20AC"/>
    <w:rsid w:val="61C80A51"/>
    <w:rsid w:val="61C84EF5"/>
    <w:rsid w:val="61CA2A1B"/>
    <w:rsid w:val="61DE64C6"/>
    <w:rsid w:val="61ED495B"/>
    <w:rsid w:val="61FE4473"/>
    <w:rsid w:val="62143C96"/>
    <w:rsid w:val="622540F5"/>
    <w:rsid w:val="622F287E"/>
    <w:rsid w:val="62361E5F"/>
    <w:rsid w:val="6236783E"/>
    <w:rsid w:val="623F6839"/>
    <w:rsid w:val="62471F04"/>
    <w:rsid w:val="6247406C"/>
    <w:rsid w:val="62481B92"/>
    <w:rsid w:val="624B3430"/>
    <w:rsid w:val="624D0F56"/>
    <w:rsid w:val="62570027"/>
    <w:rsid w:val="62593D9F"/>
    <w:rsid w:val="62612C54"/>
    <w:rsid w:val="626D7CE5"/>
    <w:rsid w:val="627209BD"/>
    <w:rsid w:val="62764951"/>
    <w:rsid w:val="627E7362"/>
    <w:rsid w:val="6283706E"/>
    <w:rsid w:val="628A3F58"/>
    <w:rsid w:val="62944DD7"/>
    <w:rsid w:val="629B43B7"/>
    <w:rsid w:val="629D1EDE"/>
    <w:rsid w:val="62A0193E"/>
    <w:rsid w:val="62A52B40"/>
    <w:rsid w:val="62A74B0A"/>
    <w:rsid w:val="62BA36B6"/>
    <w:rsid w:val="62C751AC"/>
    <w:rsid w:val="62CF5E0F"/>
    <w:rsid w:val="62D556ED"/>
    <w:rsid w:val="62D81168"/>
    <w:rsid w:val="62E73159"/>
    <w:rsid w:val="62F615EE"/>
    <w:rsid w:val="62F835B8"/>
    <w:rsid w:val="62FB4E56"/>
    <w:rsid w:val="630261E5"/>
    <w:rsid w:val="630C0E11"/>
    <w:rsid w:val="63105496"/>
    <w:rsid w:val="63133F4E"/>
    <w:rsid w:val="63161C90"/>
    <w:rsid w:val="631657EC"/>
    <w:rsid w:val="631F0B45"/>
    <w:rsid w:val="632C14B3"/>
    <w:rsid w:val="63302D52"/>
    <w:rsid w:val="633D0FCB"/>
    <w:rsid w:val="63473BF7"/>
    <w:rsid w:val="63495BC1"/>
    <w:rsid w:val="634C7460"/>
    <w:rsid w:val="63512CC8"/>
    <w:rsid w:val="635307EE"/>
    <w:rsid w:val="63585E05"/>
    <w:rsid w:val="635A1B7D"/>
    <w:rsid w:val="63715118"/>
    <w:rsid w:val="637644DD"/>
    <w:rsid w:val="63780255"/>
    <w:rsid w:val="637C5F97"/>
    <w:rsid w:val="6390559E"/>
    <w:rsid w:val="63972DD1"/>
    <w:rsid w:val="639F1C85"/>
    <w:rsid w:val="63A1155A"/>
    <w:rsid w:val="63A63014"/>
    <w:rsid w:val="63A70B3A"/>
    <w:rsid w:val="63A728E8"/>
    <w:rsid w:val="63AB23D8"/>
    <w:rsid w:val="63BC45E5"/>
    <w:rsid w:val="63BD210C"/>
    <w:rsid w:val="63BF40D6"/>
    <w:rsid w:val="63C4349A"/>
    <w:rsid w:val="63CD05A1"/>
    <w:rsid w:val="63D25BB7"/>
    <w:rsid w:val="63E63410"/>
    <w:rsid w:val="63E853DA"/>
    <w:rsid w:val="63EB0A27"/>
    <w:rsid w:val="63ED29F1"/>
    <w:rsid w:val="63F7386F"/>
    <w:rsid w:val="640D6BEF"/>
    <w:rsid w:val="640E2967"/>
    <w:rsid w:val="640F0BB9"/>
    <w:rsid w:val="64122457"/>
    <w:rsid w:val="641461CF"/>
    <w:rsid w:val="64177A6E"/>
    <w:rsid w:val="641C32D6"/>
    <w:rsid w:val="64265F03"/>
    <w:rsid w:val="642D54E3"/>
    <w:rsid w:val="64306D81"/>
    <w:rsid w:val="64326656"/>
    <w:rsid w:val="643423CE"/>
    <w:rsid w:val="643B19AE"/>
    <w:rsid w:val="643B7C00"/>
    <w:rsid w:val="643C74D4"/>
    <w:rsid w:val="644D16E1"/>
    <w:rsid w:val="645D6AA5"/>
    <w:rsid w:val="64616F3B"/>
    <w:rsid w:val="64634A61"/>
    <w:rsid w:val="646C600B"/>
    <w:rsid w:val="6472739A"/>
    <w:rsid w:val="647E5D3F"/>
    <w:rsid w:val="648669A1"/>
    <w:rsid w:val="6488096B"/>
    <w:rsid w:val="64963088"/>
    <w:rsid w:val="64A07A63"/>
    <w:rsid w:val="64AC28AC"/>
    <w:rsid w:val="64B13A1E"/>
    <w:rsid w:val="64B21544"/>
    <w:rsid w:val="64B82FFF"/>
    <w:rsid w:val="64BC23C3"/>
    <w:rsid w:val="64D836A1"/>
    <w:rsid w:val="64D94D23"/>
    <w:rsid w:val="64E04304"/>
    <w:rsid w:val="64EF1BBB"/>
    <w:rsid w:val="64F16511"/>
    <w:rsid w:val="64F97173"/>
    <w:rsid w:val="64FB2EEB"/>
    <w:rsid w:val="650049A6"/>
    <w:rsid w:val="65055B18"/>
    <w:rsid w:val="6509385A"/>
    <w:rsid w:val="650C50F9"/>
    <w:rsid w:val="650D2C1F"/>
    <w:rsid w:val="650F4BE9"/>
    <w:rsid w:val="65102E3B"/>
    <w:rsid w:val="651144BD"/>
    <w:rsid w:val="651346D9"/>
    <w:rsid w:val="651421FF"/>
    <w:rsid w:val="651B17E0"/>
    <w:rsid w:val="651D10B4"/>
    <w:rsid w:val="651D2E62"/>
    <w:rsid w:val="65257F68"/>
    <w:rsid w:val="65273CE0"/>
    <w:rsid w:val="652E32C1"/>
    <w:rsid w:val="6531690D"/>
    <w:rsid w:val="653A1C66"/>
    <w:rsid w:val="654523B9"/>
    <w:rsid w:val="654E5711"/>
    <w:rsid w:val="655C6080"/>
    <w:rsid w:val="655F791E"/>
    <w:rsid w:val="65624D19"/>
    <w:rsid w:val="656E190F"/>
    <w:rsid w:val="65705687"/>
    <w:rsid w:val="65757142"/>
    <w:rsid w:val="657A6506"/>
    <w:rsid w:val="657B402C"/>
    <w:rsid w:val="658630FD"/>
    <w:rsid w:val="65870C23"/>
    <w:rsid w:val="658B24C1"/>
    <w:rsid w:val="65962C14"/>
    <w:rsid w:val="659A2704"/>
    <w:rsid w:val="659D21F5"/>
    <w:rsid w:val="659F7D1B"/>
    <w:rsid w:val="65A25A5D"/>
    <w:rsid w:val="65A2736F"/>
    <w:rsid w:val="65A90B99"/>
    <w:rsid w:val="65AC068A"/>
    <w:rsid w:val="65B86A3A"/>
    <w:rsid w:val="65BA2DA7"/>
    <w:rsid w:val="65C77271"/>
    <w:rsid w:val="65C854C3"/>
    <w:rsid w:val="65CB0B10"/>
    <w:rsid w:val="65D50ABD"/>
    <w:rsid w:val="65D5198E"/>
    <w:rsid w:val="65DA0D53"/>
    <w:rsid w:val="65DC0F6F"/>
    <w:rsid w:val="65E73470"/>
    <w:rsid w:val="65E9368C"/>
    <w:rsid w:val="65EB11B2"/>
    <w:rsid w:val="65EE2A50"/>
    <w:rsid w:val="65F91B21"/>
    <w:rsid w:val="660202AA"/>
    <w:rsid w:val="660404C6"/>
    <w:rsid w:val="66061B48"/>
    <w:rsid w:val="660D2ED6"/>
    <w:rsid w:val="66212E26"/>
    <w:rsid w:val="6623094C"/>
    <w:rsid w:val="66252916"/>
    <w:rsid w:val="662D5327"/>
    <w:rsid w:val="662E109F"/>
    <w:rsid w:val="662F72F1"/>
    <w:rsid w:val="66303069"/>
    <w:rsid w:val="663743F7"/>
    <w:rsid w:val="6639277A"/>
    <w:rsid w:val="663A5C95"/>
    <w:rsid w:val="663C1A0D"/>
    <w:rsid w:val="66434B4A"/>
    <w:rsid w:val="664663E8"/>
    <w:rsid w:val="664A1868"/>
    <w:rsid w:val="664D59C9"/>
    <w:rsid w:val="66644AC0"/>
    <w:rsid w:val="66652D12"/>
    <w:rsid w:val="66723681"/>
    <w:rsid w:val="6672542F"/>
    <w:rsid w:val="66726157"/>
    <w:rsid w:val="668C2375"/>
    <w:rsid w:val="66911D59"/>
    <w:rsid w:val="6692162D"/>
    <w:rsid w:val="669435F8"/>
    <w:rsid w:val="66966EBE"/>
    <w:rsid w:val="669B4986"/>
    <w:rsid w:val="669F4100"/>
    <w:rsid w:val="66A01F9C"/>
    <w:rsid w:val="66A355E9"/>
    <w:rsid w:val="66A56C29"/>
    <w:rsid w:val="66AD46B9"/>
    <w:rsid w:val="66B21CD0"/>
    <w:rsid w:val="66B71094"/>
    <w:rsid w:val="66B772E6"/>
    <w:rsid w:val="66BA2932"/>
    <w:rsid w:val="66C043ED"/>
    <w:rsid w:val="66CA0DC7"/>
    <w:rsid w:val="66CA7019"/>
    <w:rsid w:val="66D24120"/>
    <w:rsid w:val="66D25ECE"/>
    <w:rsid w:val="66D439F4"/>
    <w:rsid w:val="66D63C10"/>
    <w:rsid w:val="66D6776C"/>
    <w:rsid w:val="66D70628"/>
    <w:rsid w:val="66DB2FD4"/>
    <w:rsid w:val="66EA76BB"/>
    <w:rsid w:val="66ED2D08"/>
    <w:rsid w:val="66ED4AB6"/>
    <w:rsid w:val="66F66060"/>
    <w:rsid w:val="66F67E0E"/>
    <w:rsid w:val="66F978FF"/>
    <w:rsid w:val="670562A3"/>
    <w:rsid w:val="67065B78"/>
    <w:rsid w:val="670C7632"/>
    <w:rsid w:val="67136D1B"/>
    <w:rsid w:val="671B1623"/>
    <w:rsid w:val="671D539B"/>
    <w:rsid w:val="671F55B7"/>
    <w:rsid w:val="67220C03"/>
    <w:rsid w:val="67283D40"/>
    <w:rsid w:val="67332E10"/>
    <w:rsid w:val="673F7A07"/>
    <w:rsid w:val="6747066A"/>
    <w:rsid w:val="674C7A2E"/>
    <w:rsid w:val="67553383"/>
    <w:rsid w:val="675E7762"/>
    <w:rsid w:val="676A6106"/>
    <w:rsid w:val="676E3E49"/>
    <w:rsid w:val="67786A75"/>
    <w:rsid w:val="677B6565"/>
    <w:rsid w:val="6787315C"/>
    <w:rsid w:val="678804B3"/>
    <w:rsid w:val="678D79C8"/>
    <w:rsid w:val="679118E5"/>
    <w:rsid w:val="6796339F"/>
    <w:rsid w:val="679D64DC"/>
    <w:rsid w:val="679F04A6"/>
    <w:rsid w:val="67AA2C7D"/>
    <w:rsid w:val="67AE2497"/>
    <w:rsid w:val="67B101D9"/>
    <w:rsid w:val="67B11F87"/>
    <w:rsid w:val="67BA52E0"/>
    <w:rsid w:val="67C779FD"/>
    <w:rsid w:val="67D85766"/>
    <w:rsid w:val="67DFA840"/>
    <w:rsid w:val="67E265E5"/>
    <w:rsid w:val="67E56CF5"/>
    <w:rsid w:val="67E660D5"/>
    <w:rsid w:val="67F87BB6"/>
    <w:rsid w:val="680B5B3B"/>
    <w:rsid w:val="680E2F36"/>
    <w:rsid w:val="68112A26"/>
    <w:rsid w:val="68120324"/>
    <w:rsid w:val="681E586F"/>
    <w:rsid w:val="681F5143"/>
    <w:rsid w:val="68212C69"/>
    <w:rsid w:val="682B1D3A"/>
    <w:rsid w:val="682D3D04"/>
    <w:rsid w:val="682E5386"/>
    <w:rsid w:val="68352BB8"/>
    <w:rsid w:val="683706DE"/>
    <w:rsid w:val="68386205"/>
    <w:rsid w:val="6841330B"/>
    <w:rsid w:val="685017A0"/>
    <w:rsid w:val="685F3791"/>
    <w:rsid w:val="68633281"/>
    <w:rsid w:val="686F7E78"/>
    <w:rsid w:val="68703BF0"/>
    <w:rsid w:val="68721717"/>
    <w:rsid w:val="68790CF7"/>
    <w:rsid w:val="687A4A6F"/>
    <w:rsid w:val="68833924"/>
    <w:rsid w:val="689618A9"/>
    <w:rsid w:val="68C1269E"/>
    <w:rsid w:val="68C36416"/>
    <w:rsid w:val="68C47A98"/>
    <w:rsid w:val="68CC52CB"/>
    <w:rsid w:val="68CF6B69"/>
    <w:rsid w:val="68D47FEC"/>
    <w:rsid w:val="68E63EB3"/>
    <w:rsid w:val="68EA5751"/>
    <w:rsid w:val="68EC14C9"/>
    <w:rsid w:val="68EF0FB9"/>
    <w:rsid w:val="68F22857"/>
    <w:rsid w:val="68F44821"/>
    <w:rsid w:val="68F47416"/>
    <w:rsid w:val="68F640F6"/>
    <w:rsid w:val="68F91E38"/>
    <w:rsid w:val="68F93BE6"/>
    <w:rsid w:val="68FC5484"/>
    <w:rsid w:val="690D7691"/>
    <w:rsid w:val="690F6F65"/>
    <w:rsid w:val="69166546"/>
    <w:rsid w:val="69201173"/>
    <w:rsid w:val="69216C99"/>
    <w:rsid w:val="69342E70"/>
    <w:rsid w:val="693712A3"/>
    <w:rsid w:val="693966D8"/>
    <w:rsid w:val="693A33BA"/>
    <w:rsid w:val="693E3CEF"/>
    <w:rsid w:val="694806C9"/>
    <w:rsid w:val="694A61EF"/>
    <w:rsid w:val="69586B5E"/>
    <w:rsid w:val="695928D6"/>
    <w:rsid w:val="695A0B28"/>
    <w:rsid w:val="69683798"/>
    <w:rsid w:val="696C43B8"/>
    <w:rsid w:val="697414BE"/>
    <w:rsid w:val="6979471D"/>
    <w:rsid w:val="697F058F"/>
    <w:rsid w:val="698A0CE2"/>
    <w:rsid w:val="698F62F8"/>
    <w:rsid w:val="6990454A"/>
    <w:rsid w:val="69913E1E"/>
    <w:rsid w:val="699456BD"/>
    <w:rsid w:val="69A73642"/>
    <w:rsid w:val="69AC6EAA"/>
    <w:rsid w:val="69BD4C13"/>
    <w:rsid w:val="69C77840"/>
    <w:rsid w:val="69CC61E8"/>
    <w:rsid w:val="69CE5072"/>
    <w:rsid w:val="69CF4947"/>
    <w:rsid w:val="69D00DEB"/>
    <w:rsid w:val="69E14DA6"/>
    <w:rsid w:val="69EE301F"/>
    <w:rsid w:val="69F745C9"/>
    <w:rsid w:val="6A0C16F7"/>
    <w:rsid w:val="6A0E546F"/>
    <w:rsid w:val="6A184540"/>
    <w:rsid w:val="6A1A5887"/>
    <w:rsid w:val="6A2627B9"/>
    <w:rsid w:val="6A2C3B47"/>
    <w:rsid w:val="6A31115D"/>
    <w:rsid w:val="6A333127"/>
    <w:rsid w:val="6A334ED5"/>
    <w:rsid w:val="6A38073E"/>
    <w:rsid w:val="6A3F1ACC"/>
    <w:rsid w:val="6A484E25"/>
    <w:rsid w:val="6A4B0471"/>
    <w:rsid w:val="6A4C4D11"/>
    <w:rsid w:val="6A4D41E9"/>
    <w:rsid w:val="6A5512F0"/>
    <w:rsid w:val="6A582B8E"/>
    <w:rsid w:val="6A5C267E"/>
    <w:rsid w:val="6A5C61DA"/>
    <w:rsid w:val="6A6D488B"/>
    <w:rsid w:val="6A707ED8"/>
    <w:rsid w:val="6A793230"/>
    <w:rsid w:val="6A7D43A3"/>
    <w:rsid w:val="6A8B6AC0"/>
    <w:rsid w:val="6A9F07BD"/>
    <w:rsid w:val="6AA933EA"/>
    <w:rsid w:val="6AAD2EDA"/>
    <w:rsid w:val="6AAD4C88"/>
    <w:rsid w:val="6AAE27AE"/>
    <w:rsid w:val="6AB51D8E"/>
    <w:rsid w:val="6AB57FE0"/>
    <w:rsid w:val="6ABF49BB"/>
    <w:rsid w:val="6ACE6451"/>
    <w:rsid w:val="6AD466B8"/>
    <w:rsid w:val="6ADC731B"/>
    <w:rsid w:val="6AE306AA"/>
    <w:rsid w:val="6AE82164"/>
    <w:rsid w:val="6AEA7C8A"/>
    <w:rsid w:val="6AF705F9"/>
    <w:rsid w:val="6B00125C"/>
    <w:rsid w:val="6B0F76F1"/>
    <w:rsid w:val="6B1B7E43"/>
    <w:rsid w:val="6B1E5B86"/>
    <w:rsid w:val="6B282560"/>
    <w:rsid w:val="6B376C47"/>
    <w:rsid w:val="6B3B04E6"/>
    <w:rsid w:val="6B3D425E"/>
    <w:rsid w:val="6B3E7FD6"/>
    <w:rsid w:val="6B4078AA"/>
    <w:rsid w:val="6B5415A7"/>
    <w:rsid w:val="6B5B2936"/>
    <w:rsid w:val="6B60619E"/>
    <w:rsid w:val="6B6317EA"/>
    <w:rsid w:val="6B6C069F"/>
    <w:rsid w:val="6B712159"/>
    <w:rsid w:val="6B7E6624"/>
    <w:rsid w:val="6B8A6D77"/>
    <w:rsid w:val="6B9320D0"/>
    <w:rsid w:val="6BAC82A3"/>
    <w:rsid w:val="6BAF2C82"/>
    <w:rsid w:val="6BB67B6C"/>
    <w:rsid w:val="6BBD539F"/>
    <w:rsid w:val="6BCC7390"/>
    <w:rsid w:val="6BD24BEE"/>
    <w:rsid w:val="6BD36970"/>
    <w:rsid w:val="6BEC7A32"/>
    <w:rsid w:val="6BF55889"/>
    <w:rsid w:val="6BF608B1"/>
    <w:rsid w:val="6BFA0F1A"/>
    <w:rsid w:val="6BFB7C75"/>
    <w:rsid w:val="6BFD1C3F"/>
    <w:rsid w:val="6BFF7765"/>
    <w:rsid w:val="6C046B2A"/>
    <w:rsid w:val="6C1D408F"/>
    <w:rsid w:val="6C2076DB"/>
    <w:rsid w:val="6C27128A"/>
    <w:rsid w:val="6C423AF6"/>
    <w:rsid w:val="6C44161C"/>
    <w:rsid w:val="6C4E4249"/>
    <w:rsid w:val="6C6770B8"/>
    <w:rsid w:val="6C81017A"/>
    <w:rsid w:val="6C841A18"/>
    <w:rsid w:val="6C8C6B1F"/>
    <w:rsid w:val="6C8E6D3B"/>
    <w:rsid w:val="6C97799E"/>
    <w:rsid w:val="6C991968"/>
    <w:rsid w:val="6CA9548B"/>
    <w:rsid w:val="6CB57E24"/>
    <w:rsid w:val="6CB87914"/>
    <w:rsid w:val="6CBA7B30"/>
    <w:rsid w:val="6CBC7404"/>
    <w:rsid w:val="6CCB3AEB"/>
    <w:rsid w:val="6CD75FEC"/>
    <w:rsid w:val="6CE10C19"/>
    <w:rsid w:val="6CE60925"/>
    <w:rsid w:val="6CF748E0"/>
    <w:rsid w:val="6CFA617E"/>
    <w:rsid w:val="6CFFE057"/>
    <w:rsid w:val="6D035033"/>
    <w:rsid w:val="6D042B59"/>
    <w:rsid w:val="6D0B3EE8"/>
    <w:rsid w:val="6D1E00BF"/>
    <w:rsid w:val="6D1F7993"/>
    <w:rsid w:val="6D2A0812"/>
    <w:rsid w:val="6D2D5828"/>
    <w:rsid w:val="6D3225A4"/>
    <w:rsid w:val="6D3276C6"/>
    <w:rsid w:val="6D3671B7"/>
    <w:rsid w:val="6D372F2F"/>
    <w:rsid w:val="6D404BA8"/>
    <w:rsid w:val="6D4F0278"/>
    <w:rsid w:val="6D527D69"/>
    <w:rsid w:val="6D5B6C1D"/>
    <w:rsid w:val="6D5E670D"/>
    <w:rsid w:val="6D604233"/>
    <w:rsid w:val="6D611D5A"/>
    <w:rsid w:val="6D6830E8"/>
    <w:rsid w:val="6D6A6E60"/>
    <w:rsid w:val="6D6D4BA2"/>
    <w:rsid w:val="6D7221B9"/>
    <w:rsid w:val="6D7D4DE5"/>
    <w:rsid w:val="6D7E0B5E"/>
    <w:rsid w:val="6D8048D6"/>
    <w:rsid w:val="6D8141AA"/>
    <w:rsid w:val="6D835DEB"/>
    <w:rsid w:val="6D85139E"/>
    <w:rsid w:val="6D88378A"/>
    <w:rsid w:val="6D885538"/>
    <w:rsid w:val="6D91263F"/>
    <w:rsid w:val="6D97577B"/>
    <w:rsid w:val="6D9B170F"/>
    <w:rsid w:val="6D9D7236"/>
    <w:rsid w:val="6D9E2FAE"/>
    <w:rsid w:val="6DA22A9E"/>
    <w:rsid w:val="6DA953DB"/>
    <w:rsid w:val="6DAD31F1"/>
    <w:rsid w:val="6DAF0D17"/>
    <w:rsid w:val="6DB427D1"/>
    <w:rsid w:val="6DCA78FF"/>
    <w:rsid w:val="6DCD73EF"/>
    <w:rsid w:val="6DDB7D5E"/>
    <w:rsid w:val="6DDE33AA"/>
    <w:rsid w:val="6DE210EC"/>
    <w:rsid w:val="6DEA61F3"/>
    <w:rsid w:val="6DF40E20"/>
    <w:rsid w:val="6DF66946"/>
    <w:rsid w:val="6E054DDB"/>
    <w:rsid w:val="6E0A23F1"/>
    <w:rsid w:val="6E113780"/>
    <w:rsid w:val="6E1D3ED3"/>
    <w:rsid w:val="6E2C05BA"/>
    <w:rsid w:val="6E315BD0"/>
    <w:rsid w:val="6E3556C0"/>
    <w:rsid w:val="6E3A2CD6"/>
    <w:rsid w:val="6E405E13"/>
    <w:rsid w:val="6E4476B1"/>
    <w:rsid w:val="6E5378F4"/>
    <w:rsid w:val="6E557B10"/>
    <w:rsid w:val="6E5F098F"/>
    <w:rsid w:val="6E600263"/>
    <w:rsid w:val="6E6041EB"/>
    <w:rsid w:val="6E623FDB"/>
    <w:rsid w:val="6E737F96"/>
    <w:rsid w:val="6E7B48A4"/>
    <w:rsid w:val="6E843F52"/>
    <w:rsid w:val="6E9D3265"/>
    <w:rsid w:val="6EA6036C"/>
    <w:rsid w:val="6EB26D11"/>
    <w:rsid w:val="6EC32CCC"/>
    <w:rsid w:val="6EC627BC"/>
    <w:rsid w:val="6EC95E08"/>
    <w:rsid w:val="6EDE7B06"/>
    <w:rsid w:val="6EDF387E"/>
    <w:rsid w:val="6EE175F6"/>
    <w:rsid w:val="6EE20434"/>
    <w:rsid w:val="6EE3511C"/>
    <w:rsid w:val="6EE669BA"/>
    <w:rsid w:val="6EE82732"/>
    <w:rsid w:val="6EF235B1"/>
    <w:rsid w:val="6EF32E85"/>
    <w:rsid w:val="6EFA2466"/>
    <w:rsid w:val="6F086931"/>
    <w:rsid w:val="6F0E7CBF"/>
    <w:rsid w:val="6F1C23DC"/>
    <w:rsid w:val="6F213E96"/>
    <w:rsid w:val="6F2A4AF9"/>
    <w:rsid w:val="6F2D6397"/>
    <w:rsid w:val="6F394D3C"/>
    <w:rsid w:val="6F3B6D06"/>
    <w:rsid w:val="6F435BBB"/>
    <w:rsid w:val="6F4A519B"/>
    <w:rsid w:val="6F4B2CC1"/>
    <w:rsid w:val="6F5A4CB2"/>
    <w:rsid w:val="6F60676D"/>
    <w:rsid w:val="6F653D83"/>
    <w:rsid w:val="6F683873"/>
    <w:rsid w:val="6F771D08"/>
    <w:rsid w:val="6F7E3097"/>
    <w:rsid w:val="6F863CF9"/>
    <w:rsid w:val="6F8866D3"/>
    <w:rsid w:val="6F897436"/>
    <w:rsid w:val="6F8D32DA"/>
    <w:rsid w:val="6F946416"/>
    <w:rsid w:val="6F975F07"/>
    <w:rsid w:val="6F993A2D"/>
    <w:rsid w:val="6F9C351D"/>
    <w:rsid w:val="6F9E1043"/>
    <w:rsid w:val="6FA7614A"/>
    <w:rsid w:val="6FB24AEE"/>
    <w:rsid w:val="6FB42615"/>
    <w:rsid w:val="6FBB7E47"/>
    <w:rsid w:val="6FC767EC"/>
    <w:rsid w:val="6FCC5BB0"/>
    <w:rsid w:val="6FD159D2"/>
    <w:rsid w:val="6FD827A7"/>
    <w:rsid w:val="6FDE3B35"/>
    <w:rsid w:val="6FE86762"/>
    <w:rsid w:val="6FF173C5"/>
    <w:rsid w:val="6FFB46E7"/>
    <w:rsid w:val="7003534A"/>
    <w:rsid w:val="700C06A3"/>
    <w:rsid w:val="700F0193"/>
    <w:rsid w:val="70131A31"/>
    <w:rsid w:val="70147557"/>
    <w:rsid w:val="70194B6E"/>
    <w:rsid w:val="70231548"/>
    <w:rsid w:val="7027728A"/>
    <w:rsid w:val="702E23C7"/>
    <w:rsid w:val="70357BF9"/>
    <w:rsid w:val="703B0F88"/>
    <w:rsid w:val="703B5596"/>
    <w:rsid w:val="70433998"/>
    <w:rsid w:val="70441BEA"/>
    <w:rsid w:val="70467BAB"/>
    <w:rsid w:val="70531E2E"/>
    <w:rsid w:val="706109EE"/>
    <w:rsid w:val="7064228D"/>
    <w:rsid w:val="706978A3"/>
    <w:rsid w:val="706C7393"/>
    <w:rsid w:val="706E4102"/>
    <w:rsid w:val="70756248"/>
    <w:rsid w:val="708446DD"/>
    <w:rsid w:val="70862203"/>
    <w:rsid w:val="70875F7B"/>
    <w:rsid w:val="708E730A"/>
    <w:rsid w:val="70912956"/>
    <w:rsid w:val="70932B72"/>
    <w:rsid w:val="709366CE"/>
    <w:rsid w:val="70974410"/>
    <w:rsid w:val="70981F36"/>
    <w:rsid w:val="70983CE4"/>
    <w:rsid w:val="70A1528F"/>
    <w:rsid w:val="70A42689"/>
    <w:rsid w:val="70A66401"/>
    <w:rsid w:val="70AB03C7"/>
    <w:rsid w:val="70BB79D3"/>
    <w:rsid w:val="70BD374B"/>
    <w:rsid w:val="70C04FE9"/>
    <w:rsid w:val="70D016D0"/>
    <w:rsid w:val="70D32F6E"/>
    <w:rsid w:val="70DA60AB"/>
    <w:rsid w:val="70E1568B"/>
    <w:rsid w:val="70E92792"/>
    <w:rsid w:val="70ED4030"/>
    <w:rsid w:val="70F21646"/>
    <w:rsid w:val="70F51137"/>
    <w:rsid w:val="70F80C27"/>
    <w:rsid w:val="710F044A"/>
    <w:rsid w:val="71107D1F"/>
    <w:rsid w:val="711772FF"/>
    <w:rsid w:val="711C4915"/>
    <w:rsid w:val="711F7F62"/>
    <w:rsid w:val="71266FB1"/>
    <w:rsid w:val="71285068"/>
    <w:rsid w:val="71297032"/>
    <w:rsid w:val="712D267F"/>
    <w:rsid w:val="713952F0"/>
    <w:rsid w:val="713954C7"/>
    <w:rsid w:val="713C4FB8"/>
    <w:rsid w:val="713E488C"/>
    <w:rsid w:val="7141612A"/>
    <w:rsid w:val="714724C5"/>
    <w:rsid w:val="714874B8"/>
    <w:rsid w:val="714A76D4"/>
    <w:rsid w:val="714E0847"/>
    <w:rsid w:val="715440AF"/>
    <w:rsid w:val="715A71EC"/>
    <w:rsid w:val="71600CA6"/>
    <w:rsid w:val="71641E18"/>
    <w:rsid w:val="716562BC"/>
    <w:rsid w:val="71724535"/>
    <w:rsid w:val="718B3849"/>
    <w:rsid w:val="718D75C1"/>
    <w:rsid w:val="718F3339"/>
    <w:rsid w:val="71950224"/>
    <w:rsid w:val="71A843FB"/>
    <w:rsid w:val="71AF7537"/>
    <w:rsid w:val="71B27028"/>
    <w:rsid w:val="71C31235"/>
    <w:rsid w:val="71C56D5B"/>
    <w:rsid w:val="71CF3736"/>
    <w:rsid w:val="71E03B95"/>
    <w:rsid w:val="71F47640"/>
    <w:rsid w:val="71F94C57"/>
    <w:rsid w:val="71FB452B"/>
    <w:rsid w:val="71FD4747"/>
    <w:rsid w:val="71FD64F5"/>
    <w:rsid w:val="72007D93"/>
    <w:rsid w:val="72035AD5"/>
    <w:rsid w:val="72037883"/>
    <w:rsid w:val="720535FB"/>
    <w:rsid w:val="720930EC"/>
    <w:rsid w:val="721101F2"/>
    <w:rsid w:val="72141A90"/>
    <w:rsid w:val="721B697B"/>
    <w:rsid w:val="721F290F"/>
    <w:rsid w:val="722717C4"/>
    <w:rsid w:val="72273572"/>
    <w:rsid w:val="72282262"/>
    <w:rsid w:val="7229553C"/>
    <w:rsid w:val="72330169"/>
    <w:rsid w:val="723B701D"/>
    <w:rsid w:val="723D4B43"/>
    <w:rsid w:val="72402885"/>
    <w:rsid w:val="72473C14"/>
    <w:rsid w:val="72661558"/>
    <w:rsid w:val="726F4F19"/>
    <w:rsid w:val="7278653E"/>
    <w:rsid w:val="727D3192"/>
    <w:rsid w:val="728269FA"/>
    <w:rsid w:val="728409C4"/>
    <w:rsid w:val="728E35F1"/>
    <w:rsid w:val="72901E96"/>
    <w:rsid w:val="729A3D44"/>
    <w:rsid w:val="729B7ABC"/>
    <w:rsid w:val="72A51015"/>
    <w:rsid w:val="72AB41A3"/>
    <w:rsid w:val="72B34E05"/>
    <w:rsid w:val="72BC0C11"/>
    <w:rsid w:val="72BC63B0"/>
    <w:rsid w:val="72BF19FC"/>
    <w:rsid w:val="72D0088C"/>
    <w:rsid w:val="72D354A8"/>
    <w:rsid w:val="72D60AF4"/>
    <w:rsid w:val="72DD425C"/>
    <w:rsid w:val="72E15E16"/>
    <w:rsid w:val="72E476B5"/>
    <w:rsid w:val="72F35B4A"/>
    <w:rsid w:val="72F53670"/>
    <w:rsid w:val="73012015"/>
    <w:rsid w:val="730B69EF"/>
    <w:rsid w:val="73124222"/>
    <w:rsid w:val="731735E6"/>
    <w:rsid w:val="731A1328"/>
    <w:rsid w:val="731D6723"/>
    <w:rsid w:val="732775A1"/>
    <w:rsid w:val="73334198"/>
    <w:rsid w:val="73397A01"/>
    <w:rsid w:val="734168B5"/>
    <w:rsid w:val="73487C44"/>
    <w:rsid w:val="73497518"/>
    <w:rsid w:val="734B14E2"/>
    <w:rsid w:val="73522870"/>
    <w:rsid w:val="73575302"/>
    <w:rsid w:val="735C36EF"/>
    <w:rsid w:val="735F4F8D"/>
    <w:rsid w:val="736D76AA"/>
    <w:rsid w:val="736E51D0"/>
    <w:rsid w:val="73734595"/>
    <w:rsid w:val="737427E7"/>
    <w:rsid w:val="73832A2A"/>
    <w:rsid w:val="738F5872"/>
    <w:rsid w:val="7395275D"/>
    <w:rsid w:val="739764D5"/>
    <w:rsid w:val="73B13A3B"/>
    <w:rsid w:val="73B9469D"/>
    <w:rsid w:val="73BF77DA"/>
    <w:rsid w:val="73C03C7E"/>
    <w:rsid w:val="73C179F6"/>
    <w:rsid w:val="73C51294"/>
    <w:rsid w:val="73C60B68"/>
    <w:rsid w:val="73DB0AB8"/>
    <w:rsid w:val="73EA4857"/>
    <w:rsid w:val="73EC4A73"/>
    <w:rsid w:val="73ED2806"/>
    <w:rsid w:val="73EF00BF"/>
    <w:rsid w:val="7400051E"/>
    <w:rsid w:val="74081181"/>
    <w:rsid w:val="74082F2F"/>
    <w:rsid w:val="740C0C71"/>
    <w:rsid w:val="740F20FC"/>
    <w:rsid w:val="74123DAE"/>
    <w:rsid w:val="74143FCA"/>
    <w:rsid w:val="74161AF0"/>
    <w:rsid w:val="741C4C2C"/>
    <w:rsid w:val="741E6BF6"/>
    <w:rsid w:val="74281823"/>
    <w:rsid w:val="742A7349"/>
    <w:rsid w:val="742D494E"/>
    <w:rsid w:val="74363F40"/>
    <w:rsid w:val="74534AF2"/>
    <w:rsid w:val="745368A0"/>
    <w:rsid w:val="745443C6"/>
    <w:rsid w:val="745B39A7"/>
    <w:rsid w:val="74746816"/>
    <w:rsid w:val="747800B5"/>
    <w:rsid w:val="74836A59"/>
    <w:rsid w:val="74996555"/>
    <w:rsid w:val="749D5D6D"/>
    <w:rsid w:val="74A40EAA"/>
    <w:rsid w:val="74A7099A"/>
    <w:rsid w:val="74B310ED"/>
    <w:rsid w:val="74BB2697"/>
    <w:rsid w:val="74C652C4"/>
    <w:rsid w:val="74D177C5"/>
    <w:rsid w:val="74E05C5A"/>
    <w:rsid w:val="74E120FE"/>
    <w:rsid w:val="74EB4D2A"/>
    <w:rsid w:val="74F11C15"/>
    <w:rsid w:val="74F6547D"/>
    <w:rsid w:val="74F71921"/>
    <w:rsid w:val="75045DEC"/>
    <w:rsid w:val="750556C0"/>
    <w:rsid w:val="750C4CA1"/>
    <w:rsid w:val="750C5B34"/>
    <w:rsid w:val="7510653F"/>
    <w:rsid w:val="751122B7"/>
    <w:rsid w:val="751853F4"/>
    <w:rsid w:val="752D5343"/>
    <w:rsid w:val="752E2E69"/>
    <w:rsid w:val="753366D1"/>
    <w:rsid w:val="753541F8"/>
    <w:rsid w:val="75363ACC"/>
    <w:rsid w:val="75383CE8"/>
    <w:rsid w:val="753F6E24"/>
    <w:rsid w:val="75412B9C"/>
    <w:rsid w:val="7544443B"/>
    <w:rsid w:val="75501031"/>
    <w:rsid w:val="75510906"/>
    <w:rsid w:val="75526B58"/>
    <w:rsid w:val="755521A4"/>
    <w:rsid w:val="75575F1C"/>
    <w:rsid w:val="75581C94"/>
    <w:rsid w:val="75587EE6"/>
    <w:rsid w:val="755D54FC"/>
    <w:rsid w:val="7561323F"/>
    <w:rsid w:val="757D16FB"/>
    <w:rsid w:val="758270C5"/>
    <w:rsid w:val="75882579"/>
    <w:rsid w:val="758962F1"/>
    <w:rsid w:val="758F7A00"/>
    <w:rsid w:val="75930F1E"/>
    <w:rsid w:val="759F78C3"/>
    <w:rsid w:val="75A35605"/>
    <w:rsid w:val="75BE5F9B"/>
    <w:rsid w:val="75DB4D9F"/>
    <w:rsid w:val="75DC4673"/>
    <w:rsid w:val="75E11C8A"/>
    <w:rsid w:val="75E579CC"/>
    <w:rsid w:val="75E8126A"/>
    <w:rsid w:val="75F23E97"/>
    <w:rsid w:val="75FE45EA"/>
    <w:rsid w:val="75FEFA68"/>
    <w:rsid w:val="760140DA"/>
    <w:rsid w:val="760342F6"/>
    <w:rsid w:val="760D0CD1"/>
    <w:rsid w:val="760D6F22"/>
    <w:rsid w:val="76157B85"/>
    <w:rsid w:val="76164029"/>
    <w:rsid w:val="762229CE"/>
    <w:rsid w:val="7625426C"/>
    <w:rsid w:val="762A7AD4"/>
    <w:rsid w:val="762F0C47"/>
    <w:rsid w:val="764364A0"/>
    <w:rsid w:val="764D0FCD"/>
    <w:rsid w:val="765661D4"/>
    <w:rsid w:val="76634D94"/>
    <w:rsid w:val="76654669"/>
    <w:rsid w:val="766E5C13"/>
    <w:rsid w:val="766F7295"/>
    <w:rsid w:val="7671125F"/>
    <w:rsid w:val="767825EE"/>
    <w:rsid w:val="767936DC"/>
    <w:rsid w:val="767E572A"/>
    <w:rsid w:val="76852F5D"/>
    <w:rsid w:val="76857A13"/>
    <w:rsid w:val="768C7E47"/>
    <w:rsid w:val="769A5E93"/>
    <w:rsid w:val="76A2766B"/>
    <w:rsid w:val="76AE4262"/>
    <w:rsid w:val="76B25B71"/>
    <w:rsid w:val="76B61368"/>
    <w:rsid w:val="76BA0E58"/>
    <w:rsid w:val="76CA0970"/>
    <w:rsid w:val="76CC293A"/>
    <w:rsid w:val="76CC46E8"/>
    <w:rsid w:val="76CE0460"/>
    <w:rsid w:val="76CF41D8"/>
    <w:rsid w:val="76D65566"/>
    <w:rsid w:val="76E71522"/>
    <w:rsid w:val="76EE0B02"/>
    <w:rsid w:val="76F67CBC"/>
    <w:rsid w:val="770B16B4"/>
    <w:rsid w:val="77130569"/>
    <w:rsid w:val="77170059"/>
    <w:rsid w:val="771F2A69"/>
    <w:rsid w:val="772A140E"/>
    <w:rsid w:val="772E7150"/>
    <w:rsid w:val="773329B9"/>
    <w:rsid w:val="77375D74"/>
    <w:rsid w:val="77420E4E"/>
    <w:rsid w:val="77440722"/>
    <w:rsid w:val="774626EC"/>
    <w:rsid w:val="7746449A"/>
    <w:rsid w:val="77550B81"/>
    <w:rsid w:val="777059BB"/>
    <w:rsid w:val="77731007"/>
    <w:rsid w:val="77756B2D"/>
    <w:rsid w:val="777C4360"/>
    <w:rsid w:val="779C055E"/>
    <w:rsid w:val="77A13DC6"/>
    <w:rsid w:val="77A6318B"/>
    <w:rsid w:val="77A85155"/>
    <w:rsid w:val="77AD4519"/>
    <w:rsid w:val="77B238DE"/>
    <w:rsid w:val="77B75329"/>
    <w:rsid w:val="77B84C6C"/>
    <w:rsid w:val="77BE6726"/>
    <w:rsid w:val="77C27899"/>
    <w:rsid w:val="77D73344"/>
    <w:rsid w:val="77D9530E"/>
    <w:rsid w:val="77E3618D"/>
    <w:rsid w:val="77E51F05"/>
    <w:rsid w:val="77E872FF"/>
    <w:rsid w:val="77EB6DF0"/>
    <w:rsid w:val="77FE4856"/>
    <w:rsid w:val="780F6F82"/>
    <w:rsid w:val="78160310"/>
    <w:rsid w:val="781C344D"/>
    <w:rsid w:val="781F4CEB"/>
    <w:rsid w:val="782347DB"/>
    <w:rsid w:val="782642CC"/>
    <w:rsid w:val="782A5B6A"/>
    <w:rsid w:val="782E0B97"/>
    <w:rsid w:val="78306EF8"/>
    <w:rsid w:val="78307C78"/>
    <w:rsid w:val="783562BD"/>
    <w:rsid w:val="7836450F"/>
    <w:rsid w:val="78412EB3"/>
    <w:rsid w:val="78434E7D"/>
    <w:rsid w:val="784529A4"/>
    <w:rsid w:val="784B788E"/>
    <w:rsid w:val="784F737E"/>
    <w:rsid w:val="78520C1D"/>
    <w:rsid w:val="78542BE7"/>
    <w:rsid w:val="785E5813"/>
    <w:rsid w:val="786D3CA8"/>
    <w:rsid w:val="78872FBC"/>
    <w:rsid w:val="78915BE9"/>
    <w:rsid w:val="78941235"/>
    <w:rsid w:val="78A05E2C"/>
    <w:rsid w:val="78A27DF6"/>
    <w:rsid w:val="78A3591C"/>
    <w:rsid w:val="78B83176"/>
    <w:rsid w:val="78BE62B2"/>
    <w:rsid w:val="78C0780A"/>
    <w:rsid w:val="78C935D5"/>
    <w:rsid w:val="78CA4C57"/>
    <w:rsid w:val="78CF04BF"/>
    <w:rsid w:val="78D635FC"/>
    <w:rsid w:val="78D930EC"/>
    <w:rsid w:val="78DE55CD"/>
    <w:rsid w:val="78E026CC"/>
    <w:rsid w:val="78E201F2"/>
    <w:rsid w:val="78E81581"/>
    <w:rsid w:val="78F61EF0"/>
    <w:rsid w:val="78FB7506"/>
    <w:rsid w:val="790068CB"/>
    <w:rsid w:val="790243F1"/>
    <w:rsid w:val="7904460D"/>
    <w:rsid w:val="79052133"/>
    <w:rsid w:val="790740FD"/>
    <w:rsid w:val="79075EAB"/>
    <w:rsid w:val="790959BB"/>
    <w:rsid w:val="791F1447"/>
    <w:rsid w:val="79256331"/>
    <w:rsid w:val="79334EF2"/>
    <w:rsid w:val="79366790"/>
    <w:rsid w:val="793F73F3"/>
    <w:rsid w:val="794269D6"/>
    <w:rsid w:val="79440EAD"/>
    <w:rsid w:val="794E3ADA"/>
    <w:rsid w:val="795409C4"/>
    <w:rsid w:val="795D3D1D"/>
    <w:rsid w:val="79725A1A"/>
    <w:rsid w:val="79823784"/>
    <w:rsid w:val="798B2638"/>
    <w:rsid w:val="79921C19"/>
    <w:rsid w:val="79960FDD"/>
    <w:rsid w:val="79986B03"/>
    <w:rsid w:val="799D236B"/>
    <w:rsid w:val="79BC4EE7"/>
    <w:rsid w:val="79BC6C95"/>
    <w:rsid w:val="79BD2A0E"/>
    <w:rsid w:val="79C1605A"/>
    <w:rsid w:val="79CB0C87"/>
    <w:rsid w:val="79CE69C9"/>
    <w:rsid w:val="79D02A72"/>
    <w:rsid w:val="79D33FDF"/>
    <w:rsid w:val="79D63CA4"/>
    <w:rsid w:val="79D7762B"/>
    <w:rsid w:val="79DA536E"/>
    <w:rsid w:val="79DC10E6"/>
    <w:rsid w:val="79EB1329"/>
    <w:rsid w:val="79F503F9"/>
    <w:rsid w:val="79FB12E6"/>
    <w:rsid w:val="79FF6B82"/>
    <w:rsid w:val="7A0128FA"/>
    <w:rsid w:val="7A0B19CB"/>
    <w:rsid w:val="7A0B3779"/>
    <w:rsid w:val="7A102B3D"/>
    <w:rsid w:val="7A15284A"/>
    <w:rsid w:val="7A2D1941"/>
    <w:rsid w:val="7A3C1B84"/>
    <w:rsid w:val="7A41719B"/>
    <w:rsid w:val="7A4B0019"/>
    <w:rsid w:val="7A4F18B8"/>
    <w:rsid w:val="7A5073DE"/>
    <w:rsid w:val="7A5549F4"/>
    <w:rsid w:val="7A560E98"/>
    <w:rsid w:val="7A592736"/>
    <w:rsid w:val="7A6537B6"/>
    <w:rsid w:val="7A772BBC"/>
    <w:rsid w:val="7A7B26AD"/>
    <w:rsid w:val="7A8A6D94"/>
    <w:rsid w:val="7A8C48BA"/>
    <w:rsid w:val="7A8F6158"/>
    <w:rsid w:val="7A910122"/>
    <w:rsid w:val="7A9419C0"/>
    <w:rsid w:val="7A9674E6"/>
    <w:rsid w:val="7A990D85"/>
    <w:rsid w:val="7A9B2D4F"/>
    <w:rsid w:val="7AB12572"/>
    <w:rsid w:val="7AB43E11"/>
    <w:rsid w:val="7AB7745D"/>
    <w:rsid w:val="7AC83418"/>
    <w:rsid w:val="7AD718AD"/>
    <w:rsid w:val="7ADA324A"/>
    <w:rsid w:val="7AE52552"/>
    <w:rsid w:val="7AE85F45"/>
    <w:rsid w:val="7AEE7323"/>
    <w:rsid w:val="7AF1296F"/>
    <w:rsid w:val="7AF366E7"/>
    <w:rsid w:val="7AF4420D"/>
    <w:rsid w:val="7AF661D7"/>
    <w:rsid w:val="7AF91823"/>
    <w:rsid w:val="7B000E04"/>
    <w:rsid w:val="7B002BB2"/>
    <w:rsid w:val="7B022DCE"/>
    <w:rsid w:val="7B054C06"/>
    <w:rsid w:val="7B0703E4"/>
    <w:rsid w:val="7B18614D"/>
    <w:rsid w:val="7B30793B"/>
    <w:rsid w:val="7B315461"/>
    <w:rsid w:val="7B3B62E0"/>
    <w:rsid w:val="7B3D5BB4"/>
    <w:rsid w:val="7B446F42"/>
    <w:rsid w:val="7B4909FD"/>
    <w:rsid w:val="7B4B2B46"/>
    <w:rsid w:val="7B51340D"/>
    <w:rsid w:val="7B5353D8"/>
    <w:rsid w:val="7B5A6766"/>
    <w:rsid w:val="7B5F1FCE"/>
    <w:rsid w:val="7B607AF4"/>
    <w:rsid w:val="7B6475E5"/>
    <w:rsid w:val="7B65510B"/>
    <w:rsid w:val="7B66335D"/>
    <w:rsid w:val="7B705F89"/>
    <w:rsid w:val="7B7517F2"/>
    <w:rsid w:val="7B783090"/>
    <w:rsid w:val="7B890DF9"/>
    <w:rsid w:val="7B8F3F36"/>
    <w:rsid w:val="7B9B0B2D"/>
    <w:rsid w:val="7B9B28DB"/>
    <w:rsid w:val="7BA479E1"/>
    <w:rsid w:val="7BAB6FC2"/>
    <w:rsid w:val="7BBB4D2B"/>
    <w:rsid w:val="7BBF55AB"/>
    <w:rsid w:val="7BCB7664"/>
    <w:rsid w:val="7BCC6F38"/>
    <w:rsid w:val="7BD76009"/>
    <w:rsid w:val="7BDC717B"/>
    <w:rsid w:val="7BE424D4"/>
    <w:rsid w:val="7BE530CE"/>
    <w:rsid w:val="7BE61DA8"/>
    <w:rsid w:val="7BE67FFA"/>
    <w:rsid w:val="7BE81FC4"/>
    <w:rsid w:val="7BF2B228"/>
    <w:rsid w:val="7BF7458F"/>
    <w:rsid w:val="7BFB0F45"/>
    <w:rsid w:val="7BFC15CB"/>
    <w:rsid w:val="7C014E34"/>
    <w:rsid w:val="7C0573B0"/>
    <w:rsid w:val="7C084414"/>
    <w:rsid w:val="7C091F3A"/>
    <w:rsid w:val="7C0B3F04"/>
    <w:rsid w:val="7C0B5CB2"/>
    <w:rsid w:val="7C182615"/>
    <w:rsid w:val="7C1D7794"/>
    <w:rsid w:val="7C266648"/>
    <w:rsid w:val="7C2E2D54"/>
    <w:rsid w:val="7C330D65"/>
    <w:rsid w:val="7C350F81"/>
    <w:rsid w:val="7C39281F"/>
    <w:rsid w:val="7C3A20F4"/>
    <w:rsid w:val="7C3C2310"/>
    <w:rsid w:val="7C3D07C3"/>
    <w:rsid w:val="7C3F3BAE"/>
    <w:rsid w:val="7C4411C4"/>
    <w:rsid w:val="7C480CB4"/>
    <w:rsid w:val="7C4B2553"/>
    <w:rsid w:val="7C4D62CB"/>
    <w:rsid w:val="7C556F2D"/>
    <w:rsid w:val="7C605FFE"/>
    <w:rsid w:val="7C684EB3"/>
    <w:rsid w:val="7C6F7FEF"/>
    <w:rsid w:val="7C773348"/>
    <w:rsid w:val="7C776EA4"/>
    <w:rsid w:val="7C815F74"/>
    <w:rsid w:val="7C855A65"/>
    <w:rsid w:val="7C8F243F"/>
    <w:rsid w:val="7C943EFA"/>
    <w:rsid w:val="7C947A56"/>
    <w:rsid w:val="7CA659DB"/>
    <w:rsid w:val="7CA73C2D"/>
    <w:rsid w:val="7CA81753"/>
    <w:rsid w:val="7CB07F99"/>
    <w:rsid w:val="7CB225D2"/>
    <w:rsid w:val="7CB43C54"/>
    <w:rsid w:val="7CC145C3"/>
    <w:rsid w:val="7CC66763"/>
    <w:rsid w:val="7CCE4C63"/>
    <w:rsid w:val="7CD12A58"/>
    <w:rsid w:val="7CD42548"/>
    <w:rsid w:val="7CDE33C7"/>
    <w:rsid w:val="7CDE5175"/>
    <w:rsid w:val="7CE24C65"/>
    <w:rsid w:val="7CF84488"/>
    <w:rsid w:val="7D00333D"/>
    <w:rsid w:val="7D1F7C67"/>
    <w:rsid w:val="7D24431C"/>
    <w:rsid w:val="7D364FB1"/>
    <w:rsid w:val="7D366D5F"/>
    <w:rsid w:val="7D3D1E9B"/>
    <w:rsid w:val="7D40198C"/>
    <w:rsid w:val="7D4364E1"/>
    <w:rsid w:val="7D450D50"/>
    <w:rsid w:val="7D6306FA"/>
    <w:rsid w:val="7D6531A0"/>
    <w:rsid w:val="7D657644"/>
    <w:rsid w:val="7D6C452F"/>
    <w:rsid w:val="7D80447E"/>
    <w:rsid w:val="7D893333"/>
    <w:rsid w:val="7D9B3066"/>
    <w:rsid w:val="7DAC0DCF"/>
    <w:rsid w:val="7DAE0FEB"/>
    <w:rsid w:val="7DB008BF"/>
    <w:rsid w:val="7DB56486"/>
    <w:rsid w:val="7DBD4D8A"/>
    <w:rsid w:val="7DC0487A"/>
    <w:rsid w:val="7DC223A1"/>
    <w:rsid w:val="7DCB394B"/>
    <w:rsid w:val="7DD722F0"/>
    <w:rsid w:val="7DDB16B4"/>
    <w:rsid w:val="7DDD367E"/>
    <w:rsid w:val="7DE642E1"/>
    <w:rsid w:val="7DF2712A"/>
    <w:rsid w:val="7DF42489"/>
    <w:rsid w:val="7E024E93"/>
    <w:rsid w:val="7E066731"/>
    <w:rsid w:val="7E0B3D48"/>
    <w:rsid w:val="7E0D3F64"/>
    <w:rsid w:val="7E130E4E"/>
    <w:rsid w:val="7E1626EC"/>
    <w:rsid w:val="7E1846B6"/>
    <w:rsid w:val="7E244E09"/>
    <w:rsid w:val="7E290672"/>
    <w:rsid w:val="7E2B263C"/>
    <w:rsid w:val="7E2D0162"/>
    <w:rsid w:val="7E2D1F10"/>
    <w:rsid w:val="7E33329E"/>
    <w:rsid w:val="7E370FE0"/>
    <w:rsid w:val="7E3F359E"/>
    <w:rsid w:val="7E4159BB"/>
    <w:rsid w:val="7E431733"/>
    <w:rsid w:val="7E4436FD"/>
    <w:rsid w:val="7E461224"/>
    <w:rsid w:val="7E4D4360"/>
    <w:rsid w:val="7E5D6B27"/>
    <w:rsid w:val="7E6B0C8A"/>
    <w:rsid w:val="7E6D67B0"/>
    <w:rsid w:val="7E79581C"/>
    <w:rsid w:val="7E885398"/>
    <w:rsid w:val="7E89691C"/>
    <w:rsid w:val="7E8B4E88"/>
    <w:rsid w:val="7E9A331D"/>
    <w:rsid w:val="7E9F0934"/>
    <w:rsid w:val="7EA06B86"/>
    <w:rsid w:val="7EB268B9"/>
    <w:rsid w:val="7EB4618D"/>
    <w:rsid w:val="7EB663A9"/>
    <w:rsid w:val="7EB73ECF"/>
    <w:rsid w:val="7EB77A2B"/>
    <w:rsid w:val="7EB937A4"/>
    <w:rsid w:val="7EBF4B32"/>
    <w:rsid w:val="7EC9775F"/>
    <w:rsid w:val="7ECB34D7"/>
    <w:rsid w:val="7ECB797B"/>
    <w:rsid w:val="7ED22AB7"/>
    <w:rsid w:val="7EE230FA"/>
    <w:rsid w:val="7EE50A3C"/>
    <w:rsid w:val="7EE60311"/>
    <w:rsid w:val="7EEC1DCB"/>
    <w:rsid w:val="7EFE38AC"/>
    <w:rsid w:val="7F01514B"/>
    <w:rsid w:val="7F032C71"/>
    <w:rsid w:val="7F0A2251"/>
    <w:rsid w:val="7F0C5FC9"/>
    <w:rsid w:val="7F0D7F93"/>
    <w:rsid w:val="7F0FA03B"/>
    <w:rsid w:val="7F141322"/>
    <w:rsid w:val="7F144E7E"/>
    <w:rsid w:val="7F166E48"/>
    <w:rsid w:val="7F1E3F4E"/>
    <w:rsid w:val="7F1E5CFC"/>
    <w:rsid w:val="7F277992"/>
    <w:rsid w:val="7F2B2374"/>
    <w:rsid w:val="7F2D5F40"/>
    <w:rsid w:val="7F3217A8"/>
    <w:rsid w:val="7F361298"/>
    <w:rsid w:val="7F3B065C"/>
    <w:rsid w:val="7F413799"/>
    <w:rsid w:val="7F4A6AF1"/>
    <w:rsid w:val="7F5D6825"/>
    <w:rsid w:val="7F6776A3"/>
    <w:rsid w:val="7F69341C"/>
    <w:rsid w:val="7F6BD6EE"/>
    <w:rsid w:val="7F7818B1"/>
    <w:rsid w:val="7F7B6CAB"/>
    <w:rsid w:val="7F7E6835"/>
    <w:rsid w:val="7F7FD9B0"/>
    <w:rsid w:val="7F8244DD"/>
    <w:rsid w:val="7F82628B"/>
    <w:rsid w:val="7F871AF4"/>
    <w:rsid w:val="7F8A5140"/>
    <w:rsid w:val="7F8C2C66"/>
    <w:rsid w:val="7F8F2756"/>
    <w:rsid w:val="7FA2692E"/>
    <w:rsid w:val="7FAE0E2E"/>
    <w:rsid w:val="7FB14DC3"/>
    <w:rsid w:val="7FB494A1"/>
    <w:rsid w:val="7FB81CAD"/>
    <w:rsid w:val="7FBD5515"/>
    <w:rsid w:val="7FBF303C"/>
    <w:rsid w:val="7FC00B62"/>
    <w:rsid w:val="7FC543CA"/>
    <w:rsid w:val="7FC73101"/>
    <w:rsid w:val="7FC76394"/>
    <w:rsid w:val="7FCA6AE1"/>
    <w:rsid w:val="7FCC39AA"/>
    <w:rsid w:val="7FD129C1"/>
    <w:rsid w:val="7FD91C23"/>
    <w:rsid w:val="7FDF146D"/>
    <w:rsid w:val="7FDF548C"/>
    <w:rsid w:val="7FE17456"/>
    <w:rsid w:val="7FF07699"/>
    <w:rsid w:val="7FF60A27"/>
    <w:rsid w:val="7FF66DF9"/>
    <w:rsid w:val="7FFF78DC"/>
    <w:rsid w:val="B85F8377"/>
    <w:rsid w:val="BEE5A583"/>
    <w:rsid w:val="BF732BFB"/>
    <w:rsid w:val="BF9F811C"/>
    <w:rsid w:val="BFBF0B36"/>
    <w:rsid w:val="BFF8B29E"/>
    <w:rsid w:val="DE7CFE0D"/>
    <w:rsid w:val="E5FD08ED"/>
    <w:rsid w:val="E7F64B0B"/>
    <w:rsid w:val="EB6F94C4"/>
    <w:rsid w:val="EF7B0BA6"/>
    <w:rsid w:val="EF7D59EB"/>
    <w:rsid w:val="EFBD9C0F"/>
    <w:rsid w:val="EFFF8EB7"/>
    <w:rsid w:val="F1FFFCFF"/>
    <w:rsid w:val="F5F78BA3"/>
    <w:rsid w:val="FAF9A243"/>
    <w:rsid w:val="FD5FE7BB"/>
    <w:rsid w:val="FE8DD1BC"/>
    <w:rsid w:val="FEFA76EB"/>
    <w:rsid w:val="FF7BE477"/>
    <w:rsid w:val="FFFC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4"/>
    <w:qFormat/>
    <w:uiPriority w:val="0"/>
    <w:pPr>
      <w:ind w:firstLine="420"/>
    </w:pPr>
    <w:rPr>
      <w:szCs w:val="20"/>
    </w:rPr>
  </w:style>
  <w:style w:type="paragraph" w:styleId="3">
    <w:name w:val="Body Text"/>
    <w:basedOn w:val="1"/>
    <w:next w:val="2"/>
    <w:link w:val="511"/>
    <w:qFormat/>
    <w:uiPriority w:val="0"/>
    <w:pPr>
      <w:autoSpaceDE w:val="0"/>
      <w:autoSpaceDN w:val="0"/>
      <w:spacing w:line="360" w:lineRule="auto"/>
    </w:pPr>
    <w:rPr>
      <w:rFonts w:ascii="宋体"/>
      <w:sz w:val="24"/>
      <w:szCs w:val="21"/>
      <w:lang w:val="zh-CN"/>
    </w:rPr>
  </w:style>
  <w:style w:type="paragraph" w:styleId="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Indent"/>
    <w:basedOn w:val="1"/>
    <w:next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99"/>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6"/>
    <w:link w:val="472"/>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2">
    <w:name w:val="Default"/>
    <w:next w:val="73"/>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864"/>
        <w:tab w:val="left" w:pos="2356"/>
      </w:tabs>
    </w:pPr>
  </w:style>
  <w:style w:type="paragraph" w:customStyle="1" w:styleId="170">
    <w:name w:val="样式 标题 4h4H4Fab-4T5Ref Heading 1rh1Heading sqlsect 1.2.3...."/>
    <w:basedOn w:val="8"/>
    <w:link w:val="5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numId w:val="4"/>
      </w:numPr>
      <w:tabs>
        <w:tab w:val="left" w:pos="840"/>
        <w:tab w:val="left" w:pos="168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numId w:val="4"/>
      </w:numPr>
      <w:tabs>
        <w:tab w:val="left" w:pos="840"/>
        <w:tab w:val="left" w:pos="2520"/>
      </w:tabs>
      <w:adjustRightInd/>
    </w:pPr>
  </w:style>
  <w:style w:type="paragraph" w:customStyle="1" w:styleId="410">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2"/>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11"/>
    <w:qFormat/>
    <w:uiPriority w:val="0"/>
    <w:rPr>
      <w:b/>
      <w:bCs/>
      <w:kern w:val="2"/>
      <w:sz w:val="24"/>
      <w:szCs w:val="24"/>
    </w:rPr>
  </w:style>
  <w:style w:type="character" w:customStyle="1" w:styleId="481">
    <w:name w:val="称呼 字符"/>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5"/>
    <w:qFormat/>
    <w:uiPriority w:val="0"/>
    <w:rPr>
      <w:rFonts w:ascii="Arial" w:hAnsi="Arial" w:eastAsia="隶书"/>
      <w:b/>
      <w:bCs/>
      <w:kern w:val="28"/>
      <w:sz w:val="44"/>
      <w:szCs w:val="32"/>
      <w:lang w:val="en-US" w:eastAsia="zh-CN" w:bidi="ar-SA"/>
    </w:rPr>
  </w:style>
  <w:style w:type="character" w:customStyle="1" w:styleId="488">
    <w:name w:val="纯文本 字符"/>
    <w:link w:val="32"/>
    <w:qFormat/>
    <w:uiPriority w:val="99"/>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59"/>
    <w:qFormat/>
    <w:uiPriority w:val="0"/>
    <w:rPr>
      <w:rFonts w:ascii="宋体" w:hAnsi="宋体"/>
      <w:kern w:val="2"/>
      <w:sz w:val="21"/>
      <w:szCs w:val="24"/>
    </w:rPr>
  </w:style>
  <w:style w:type="character" w:customStyle="1" w:styleId="502">
    <w:name w:val="正文文本缩进 2 字符"/>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5"/>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3"/>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9"/>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5"/>
    <w:qFormat/>
    <w:uiPriority w:val="0"/>
    <w:rPr>
      <w:rFonts w:ascii="宋体"/>
      <w:kern w:val="2"/>
      <w:sz w:val="24"/>
      <w:szCs w:val="21"/>
      <w:lang w:val="zh-CN"/>
    </w:rPr>
  </w:style>
  <w:style w:type="character" w:customStyle="1" w:styleId="598">
    <w:name w:val="标题 4 字符"/>
    <w:link w:val="8"/>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10"/>
    <w:qFormat/>
    <w:uiPriority w:val="0"/>
    <w:rPr>
      <w:rFonts w:ascii="Arial" w:hAnsi="Arial" w:eastAsia="黑体"/>
      <w:b/>
      <w:bCs/>
      <w:kern w:val="2"/>
      <w:sz w:val="24"/>
      <w:szCs w:val="24"/>
    </w:rPr>
  </w:style>
  <w:style w:type="character" w:customStyle="1" w:styleId="612">
    <w:name w:val="正文缩进 字符"/>
    <w:link w:val="6"/>
    <w:qFormat/>
    <w:uiPriority w:val="0"/>
    <w:rPr>
      <w:rFonts w:ascii="宋体" w:eastAsia="宋体"/>
      <w:snapToGrid w:val="0"/>
      <w:color w:val="000000"/>
      <w:kern w:val="28"/>
      <w:sz w:val="28"/>
      <w:lang w:val="en-US" w:eastAsia="zh-CN" w:bidi="ar-SA"/>
    </w:rPr>
  </w:style>
  <w:style w:type="character" w:customStyle="1" w:styleId="613">
    <w:name w:val="批注文字 字符"/>
    <w:link w:val="21"/>
    <w:qFormat/>
    <w:uiPriority w:val="99"/>
    <w:rPr>
      <w:kern w:val="2"/>
      <w:sz w:val="21"/>
      <w:szCs w:val="24"/>
    </w:rPr>
  </w:style>
  <w:style w:type="character" w:customStyle="1" w:styleId="614">
    <w:name w:val="批注框文本 字符"/>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253"/>
    <w:link w:val="621"/>
    <w:qFormat/>
    <w:uiPriority w:val="0"/>
    <w:pPr>
      <w:adjustRightInd/>
    </w:pPr>
    <w:rPr>
      <w:rFonts w:ascii="宋体"/>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2">
    <w:name w:val="表格内容演示 字符"/>
    <w:basedOn w:val="62"/>
    <w:link w:val="633"/>
    <w:qFormat/>
    <w:uiPriority w:val="0"/>
    <w:rPr>
      <w:rFonts w:ascii="Times New Roman" w:hAnsi="Times New Roman" w:eastAsia="仿宋_GB2312" w:cs="Times New Roman"/>
      <w:szCs w:val="21"/>
    </w:rPr>
  </w:style>
  <w:style w:type="paragraph" w:customStyle="1" w:styleId="633">
    <w:name w:val="表格内容演示"/>
    <w:basedOn w:val="1"/>
    <w:link w:val="632"/>
    <w:qFormat/>
    <w:uiPriority w:val="0"/>
    <w:pPr>
      <w:snapToGrid w:val="0"/>
      <w:spacing w:line="240" w:lineRule="atLeast"/>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51843</Words>
  <Characters>53871</Characters>
  <Lines>444</Lines>
  <Paragraphs>125</Paragraphs>
  <TotalTime>40</TotalTime>
  <ScaleCrop>false</ScaleCrop>
  <LinksUpToDate>false</LinksUpToDate>
  <CharactersWithSpaces>58980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2015-05-03T01:52:00Z</dcterms:created>
  <dc:creator>玥</dc:creator>
  <cp:lastModifiedBy>国际招标-阮锦洋</cp:lastModifiedBy>
  <cp:lastPrinted>2023-04-30T04:06:00Z</cp:lastPrinted>
  <dcterms:modified xsi:type="dcterms:W3CDTF">2024-09-27T10:39:03Z</dcterms:modified>
  <dc:title>杭州市市民卡扩大发卡工程</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F0B8B77F60374FA88AD622EEED0F80A4_13</vt:lpwstr>
  </property>
</Properties>
</file>