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adjustRightInd/>
        <w:spacing w:line="360" w:lineRule="auto"/>
        <w:jc w:val="center"/>
        <w:rPr>
          <w:rFonts w:ascii="宋体" w:hAnsi="宋体" w:cs="宋体"/>
          <w:b/>
          <w:sz w:val="48"/>
          <w:szCs w:val="48"/>
          <w:highlight w:val="none"/>
        </w:rPr>
      </w:pPr>
    </w:p>
    <w:p>
      <w:pPr>
        <w:adjustRightInd/>
        <w:spacing w:line="360" w:lineRule="auto"/>
        <w:jc w:val="center"/>
        <w:rPr>
          <w:rFonts w:hint="eastAsia" w:ascii="宋体" w:hAnsi="宋体" w:cs="宋体"/>
          <w:sz w:val="48"/>
          <w:szCs w:val="48"/>
          <w:highlight w:val="none"/>
          <w:lang w:eastAsia="zh-CN"/>
        </w:rPr>
      </w:pPr>
      <w:r>
        <w:rPr>
          <w:rFonts w:hint="eastAsia" w:ascii="宋体" w:hAnsi="宋体" w:cs="宋体"/>
          <w:sz w:val="48"/>
          <w:szCs w:val="48"/>
          <w:highlight w:val="none"/>
          <w:lang w:eastAsia="zh-CN"/>
        </w:rPr>
        <w:t>杭十四中电梯加装改造项目</w:t>
      </w: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竞争性磋商文件</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（电子交易、非依法招标（小额）项目）</w:t>
      </w:r>
    </w:p>
    <w:p>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rPr>
        <w:t>编号:</w:t>
      </w:r>
      <w:r>
        <w:rPr>
          <w:rFonts w:hint="eastAsia" w:ascii="宋体" w:hAnsi="宋体" w:cs="宋体"/>
          <w:sz w:val="30"/>
          <w:szCs w:val="30"/>
          <w:highlight w:val="none"/>
          <w:lang w:val="en-US" w:eastAsia="zh-CN"/>
        </w:rPr>
        <w:t xml:space="preserve"> </w:t>
      </w:r>
      <w:bookmarkStart w:id="450" w:name="_GoBack"/>
      <w:r>
        <w:rPr>
          <w:rFonts w:hint="eastAsia" w:ascii="宋体" w:hAnsi="宋体" w:cs="宋体"/>
          <w:sz w:val="30"/>
          <w:szCs w:val="30"/>
          <w:highlight w:val="none"/>
          <w:lang w:val="en-US" w:eastAsia="zh-CN"/>
        </w:rPr>
        <w:t>HSZB-2024-518-1</w:t>
      </w:r>
      <w:bookmarkEnd w:id="450"/>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bCs/>
          <w:sz w:val="32"/>
          <w:szCs w:val="32"/>
          <w:highlight w:val="none"/>
        </w:rPr>
        <w:t>采购人：</w:t>
      </w:r>
      <w:r>
        <w:rPr>
          <w:rFonts w:hint="eastAsia" w:ascii="宋体" w:hAnsi="宋体" w:cs="宋体"/>
          <w:sz w:val="32"/>
          <w:szCs w:val="32"/>
          <w:highlight w:val="none"/>
          <w:lang w:eastAsia="zh-CN"/>
        </w:rPr>
        <w:t>浙江省杭州第十四中学</w:t>
      </w:r>
    </w:p>
    <w:p>
      <w:pPr>
        <w:snapToGrid w:val="0"/>
        <w:spacing w:line="360" w:lineRule="auto"/>
        <w:jc w:val="center"/>
        <w:rPr>
          <w:rFonts w:hint="eastAsia" w:ascii="宋体" w:hAnsi="宋体" w:cs="宋体"/>
          <w:bCs/>
          <w:sz w:val="32"/>
          <w:szCs w:val="32"/>
          <w:highlight w:val="none"/>
          <w:lang w:eastAsia="zh-CN"/>
        </w:rPr>
      </w:pPr>
      <w:r>
        <w:rPr>
          <w:rFonts w:hint="eastAsia" w:ascii="宋体" w:hAnsi="宋体" w:cs="宋体"/>
          <w:bCs/>
          <w:sz w:val="32"/>
          <w:szCs w:val="32"/>
          <w:highlight w:val="none"/>
        </w:rPr>
        <w:t>采购代理机构：</w:t>
      </w:r>
      <w:r>
        <w:rPr>
          <w:rFonts w:hint="eastAsia" w:ascii="宋体" w:hAnsi="宋体" w:cs="宋体"/>
          <w:bCs/>
          <w:sz w:val="32"/>
          <w:szCs w:val="32"/>
          <w:highlight w:val="none"/>
          <w:lang w:eastAsia="zh-CN"/>
        </w:rPr>
        <w:t>浙江豪圣建设项目管理有限公司</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六</w:t>
      </w:r>
      <w:r>
        <w:rPr>
          <w:rFonts w:hint="eastAsia" w:ascii="宋体" w:hAnsi="宋体" w:cs="宋体"/>
          <w:bCs/>
          <w:sz w:val="32"/>
          <w:szCs w:val="32"/>
          <w:highlight w:val="none"/>
        </w:rPr>
        <w:t>月</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竞争性磋商公告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供应商须知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评审办法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1280" w:firstLineChars="400"/>
        <w:rPr>
          <w:rFonts w:ascii="宋体" w:hAnsi="宋体" w:cs="宋体"/>
          <w:sz w:val="32"/>
          <w:szCs w:val="32"/>
          <w:highlight w:val="none"/>
        </w:rPr>
      </w:pP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杭十四中电梯加装改造项目</w:t>
      </w:r>
      <w:r>
        <w:rPr>
          <w:rFonts w:hint="eastAsia" w:ascii="宋体" w:hAnsi="宋体" w:cs="宋体"/>
          <w:sz w:val="24"/>
          <w:highlight w:val="none"/>
        </w:rPr>
        <w:t>采购项目的潜在供应商应在</w:t>
      </w:r>
      <w:r>
        <w:rPr>
          <w:rFonts w:hint="eastAsia" w:ascii="宋体" w:hAnsi="宋体" w:eastAsia="宋体" w:cs="宋体"/>
          <w:sz w:val="24"/>
          <w:highlight w:val="none"/>
        </w:rPr>
        <w:t>杭州市教育局非依法招标（小额）项目平台</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"https://www.zcygov.cn/）获取（下载）招标文件，并于2021年" </w:instrText>
      </w:r>
      <w:r>
        <w:rPr>
          <w:rFonts w:hint="eastAsia" w:ascii="宋体" w:hAnsi="宋体" w:cs="宋体"/>
          <w:sz w:val="24"/>
          <w:highlight w:val="none"/>
        </w:rPr>
        <w:fldChar w:fldCharType="separate"/>
      </w:r>
      <w:r>
        <w:rPr>
          <w:rFonts w:hint="eastAsia" w:ascii="宋体" w:hAnsi="宋体" w:eastAsia="宋体" w:cs="宋体"/>
          <w:snapToGrid/>
          <w:kern w:val="2"/>
          <w:sz w:val="24"/>
          <w:szCs w:val="24"/>
          <w:highlight w:val="none"/>
        </w:rPr>
        <w:t>获取（下载）采购文件，并于</w:t>
      </w:r>
      <w:r>
        <w:rPr>
          <w:rFonts w:hint="eastAsia" w:ascii="宋体" w:hAnsi="宋体" w:cs="宋体"/>
          <w:sz w:val="24"/>
          <w:highlight w:val="none"/>
          <w:u w:val="none"/>
          <w:lang w:eastAsia="zh-CN"/>
        </w:rPr>
        <w:t xml:space="preserve">2024 年 </w:t>
      </w:r>
      <w:r>
        <w:rPr>
          <w:rFonts w:hint="eastAsia" w:ascii="宋体" w:hAnsi="宋体" w:cs="宋体"/>
          <w:sz w:val="24"/>
          <w:highlight w:val="none"/>
          <w:u w:val="none"/>
          <w:lang w:val="en-US" w:eastAsia="zh-CN"/>
        </w:rPr>
        <w:t>07</w:t>
      </w:r>
      <w:r>
        <w:rPr>
          <w:rFonts w:hint="eastAsia" w:ascii="宋体" w:hAnsi="宋体" w:cs="宋体"/>
          <w:sz w:val="24"/>
          <w:highlight w:val="none"/>
          <w:u w:val="none"/>
          <w:lang w:eastAsia="zh-CN"/>
        </w:rPr>
        <w:t xml:space="preserve"> 月</w:t>
      </w:r>
      <w:r>
        <w:rPr>
          <w:rFonts w:hint="eastAsia" w:ascii="宋体" w:hAnsi="宋体" w:cs="宋体"/>
          <w:sz w:val="24"/>
          <w:highlight w:val="none"/>
          <w:u w:val="none"/>
          <w:lang w:val="en-US" w:eastAsia="zh-CN"/>
        </w:rPr>
        <w:t>05</w:t>
      </w:r>
      <w:r>
        <w:rPr>
          <w:rFonts w:hint="eastAsia" w:ascii="宋体" w:hAnsi="宋体" w:cs="宋体"/>
          <w:sz w:val="24"/>
          <w:highlight w:val="none"/>
          <w:u w:val="none"/>
          <w:lang w:eastAsia="zh-CN"/>
        </w:rPr>
        <w:t xml:space="preserve">日 </w:t>
      </w:r>
      <w:r>
        <w:rPr>
          <w:rFonts w:hint="eastAsia" w:ascii="宋体" w:hAnsi="宋体" w:cs="宋体"/>
          <w:sz w:val="24"/>
          <w:highlight w:val="none"/>
          <w:u w:val="none"/>
          <w:lang w:val="en-US" w:eastAsia="zh-CN"/>
        </w:rPr>
        <w:t>09</w:t>
      </w:r>
      <w:r>
        <w:rPr>
          <w:rFonts w:hint="eastAsia" w:ascii="宋体" w:hAnsi="宋体" w:cs="宋体"/>
          <w:sz w:val="24"/>
          <w:highlight w:val="none"/>
          <w:u w:val="none"/>
          <w:lang w:eastAsia="zh-CN"/>
        </w:rPr>
        <w:t>点</w:t>
      </w:r>
      <w:r>
        <w:rPr>
          <w:rFonts w:hint="eastAsia" w:ascii="宋体" w:hAnsi="宋体" w:cs="宋体"/>
          <w:sz w:val="24"/>
          <w:highlight w:val="none"/>
          <w:u w:val="none"/>
          <w:lang w:val="en-US" w:eastAsia="zh-CN"/>
        </w:rPr>
        <w:t>3</w:t>
      </w:r>
      <w:r>
        <w:rPr>
          <w:rFonts w:hint="eastAsia" w:ascii="宋体" w:hAnsi="宋体" w:cs="宋体"/>
          <w:sz w:val="24"/>
          <w:highlight w:val="none"/>
          <w:u w:val="none"/>
          <w:lang w:eastAsia="zh-CN"/>
        </w:rPr>
        <w:t>0分00秒</w:t>
      </w:r>
      <w:r>
        <w:rPr>
          <w:rFonts w:hint="eastAsia" w:ascii="宋体" w:hAnsi="宋体" w:cs="宋体"/>
          <w:bCs w:val="0"/>
          <w:sz w:val="24"/>
          <w:highlight w:val="none"/>
          <w:u w:val="non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napToGrid w:val="0"/>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highlight w:val="none"/>
        </w:rPr>
        <w:t>项目编号：</w:t>
      </w:r>
      <w:r>
        <w:rPr>
          <w:rFonts w:hint="eastAsia" w:ascii="宋体" w:hAnsi="宋体" w:cs="宋体"/>
          <w:sz w:val="24"/>
          <w:highlight w:val="none"/>
          <w:lang w:val="en-US" w:eastAsia="zh-CN"/>
        </w:rPr>
        <w:t>HSZB-2024-518-1</w:t>
      </w:r>
    </w:p>
    <w:p>
      <w:pPr>
        <w:snapToGrid w:val="0"/>
        <w:spacing w:line="360" w:lineRule="auto"/>
        <w:ind w:firstLine="482" w:firstLineChars="200"/>
        <w:rPr>
          <w:rFonts w:hint="eastAsia" w:ascii="宋体" w:hAnsi="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杭十四中电梯加装改造项目</w:t>
      </w:r>
    </w:p>
    <w:p>
      <w:pPr>
        <w:snapToGrid w:val="0"/>
        <w:spacing w:line="360" w:lineRule="auto"/>
        <w:ind w:firstLine="482" w:firstLineChars="200"/>
        <w:rPr>
          <w:rFonts w:hint="default" w:ascii="宋体" w:hAnsi="宋体" w:cs="宋体"/>
          <w:sz w:val="24"/>
          <w:highlight w:val="none"/>
          <w:lang w:val="en-US"/>
        </w:rPr>
      </w:pPr>
      <w:r>
        <w:rPr>
          <w:rFonts w:hint="eastAsia" w:ascii="宋体" w:hAnsi="宋体" w:cs="宋体"/>
          <w:b/>
          <w:sz w:val="24"/>
          <w:highlight w:val="none"/>
        </w:rPr>
        <w:t>预算金额（元）：</w:t>
      </w:r>
      <w:r>
        <w:rPr>
          <w:rFonts w:hint="eastAsia" w:ascii="宋体" w:hAnsi="宋体" w:cs="宋体"/>
          <w:b/>
          <w:sz w:val="24"/>
          <w:highlight w:val="none"/>
          <w:lang w:val="en-US" w:eastAsia="zh-CN"/>
        </w:rPr>
        <w:t>600000.00</w:t>
      </w:r>
    </w:p>
    <w:p>
      <w:pPr>
        <w:snapToGrid w:val="0"/>
        <w:spacing w:line="360" w:lineRule="auto"/>
        <w:ind w:firstLine="482" w:firstLineChars="200"/>
        <w:rPr>
          <w:rFonts w:hint="default" w:ascii="宋体" w:hAnsi="宋体" w:cs="宋体"/>
          <w:sz w:val="24"/>
          <w:highlight w:val="none"/>
          <w:lang w:val="en-US"/>
        </w:rPr>
      </w:pPr>
      <w:r>
        <w:rPr>
          <w:rFonts w:hint="eastAsia" w:ascii="宋体" w:hAnsi="宋体" w:cs="宋体"/>
          <w:b/>
          <w:sz w:val="24"/>
          <w:highlight w:val="none"/>
        </w:rPr>
        <w:t>最高限价（元）：</w:t>
      </w:r>
      <w:r>
        <w:rPr>
          <w:rFonts w:hint="eastAsia" w:ascii="宋体" w:hAnsi="宋体" w:cs="宋体"/>
          <w:b/>
          <w:sz w:val="24"/>
          <w:highlight w:val="none"/>
          <w:lang w:eastAsia="zh-CN"/>
        </w:rPr>
        <w:t>597520</w:t>
      </w:r>
      <w:r>
        <w:rPr>
          <w:rFonts w:hint="eastAsia" w:ascii="宋体" w:hAnsi="宋体" w:cs="宋体"/>
          <w:b/>
          <w:sz w:val="24"/>
          <w:highlight w:val="none"/>
          <w:lang w:val="en-US" w:eastAsia="zh-CN"/>
        </w:rPr>
        <w:t>.00</w:t>
      </w:r>
    </w:p>
    <w:p>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杭十四中电梯加装改造项目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电梯更新</w:t>
      </w:r>
      <w:r>
        <w:rPr>
          <w:rFonts w:hint="eastAsia" w:hAnsi="宋体" w:cs="宋体"/>
          <w:bCs/>
          <w:snapToGrid/>
          <w:color w:val="auto"/>
          <w:kern w:val="2"/>
          <w:sz w:val="24"/>
          <w:szCs w:val="24"/>
          <w:highlight w:val="none"/>
          <w:lang w:val="en-US" w:eastAsia="zh-CN"/>
        </w:rPr>
        <w:t>改造</w:t>
      </w:r>
      <w:r>
        <w:rPr>
          <w:rFonts w:hint="eastAsia" w:hAnsi="宋体" w:cs="宋体"/>
          <w:bCs/>
          <w:snapToGrid/>
          <w:color w:val="auto"/>
          <w:kern w:val="2"/>
          <w:sz w:val="24"/>
          <w:szCs w:val="24"/>
          <w:highlight w:val="none"/>
        </w:rPr>
        <w:t>。详见采购文件第三部分采购需求。</w:t>
      </w:r>
    </w:p>
    <w:p>
      <w:pPr>
        <w:pStyle w:val="137"/>
        <w:snapToGrid w:val="0"/>
        <w:spacing w:before="0"/>
        <w:ind w:firstLine="482"/>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hint="eastAsia" w:ascii="宋体" w:hAnsi="宋体" w:cs="宋体"/>
          <w:b/>
          <w:highlight w:val="none"/>
          <w:lang w:val="en-US" w:eastAsia="zh-CN"/>
        </w:rPr>
        <w:t>40天</w:t>
      </w:r>
    </w:p>
    <w:p>
      <w:pPr>
        <w:pStyle w:val="5"/>
        <w:spacing w:line="360" w:lineRule="auto"/>
        <w:ind w:firstLine="482" w:firstLineChars="200"/>
        <w:rPr>
          <w:rFonts w:hAnsi="宋体" w:cs="宋体"/>
          <w:color w:val="auto"/>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w:t>
      </w:r>
      <w:r>
        <w:rPr>
          <w:rFonts w:hint="eastAsia" w:ascii="宋体" w:hAnsi="宋体" w:cs="宋体"/>
          <w:sz w:val="24"/>
          <w:highlight w:val="none"/>
          <w:lang w:val="en-US" w:eastAsia="zh-CN"/>
        </w:rPr>
        <w:t>小微</w:t>
      </w:r>
      <w:r>
        <w:rPr>
          <w:rFonts w:hint="eastAsia" w:ascii="宋体" w:hAnsi="宋体" w:cs="宋体"/>
          <w:sz w:val="24"/>
          <w:highlight w:val="none"/>
        </w:rPr>
        <w:t>企业</w:t>
      </w:r>
    </w:p>
    <w:p>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15260493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工程全部由符合政策要求的小微企业承建，提供中小企业声明函；</w:t>
      </w:r>
    </w:p>
    <w:p>
      <w:pPr>
        <w:spacing w:line="360" w:lineRule="auto"/>
        <w:ind w:firstLine="482" w:firstLineChars="200"/>
        <w:rPr>
          <w:rFonts w:ascii="宋体" w:hAnsi="宋体" w:cs="宋体"/>
          <w:b/>
          <w:bCs/>
          <w:sz w:val="24"/>
          <w:highlight w:val="none"/>
        </w:rPr>
      </w:pPr>
      <w:r>
        <w:rPr>
          <w:rFonts w:ascii="宋体" w:hAnsi="宋体" w:cs="宋体"/>
          <w:b/>
          <w:bCs/>
          <w:sz w:val="24"/>
          <w:highlight w:val="none"/>
        </w:rPr>
        <w:t>4</w:t>
      </w:r>
      <w:r>
        <w:rPr>
          <w:rFonts w:hint="eastAsia" w:ascii="宋体" w:hAnsi="宋体" w:cs="宋体"/>
          <w:b/>
          <w:bCs/>
          <w:sz w:val="24"/>
          <w:highlight w:val="none"/>
        </w:rPr>
        <w:t>.本项目的特定资格要求：具有建筑工程施工总承包三级及以上资质，具有企业安全生产许可证；</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lang w:eastAsia="zh-CN"/>
        </w:rPr>
        <w:t>2024 年</w:t>
      </w:r>
      <w:r>
        <w:rPr>
          <w:rFonts w:hint="eastAsia" w:ascii="宋体" w:hAnsi="宋体" w:cs="宋体"/>
          <w:sz w:val="24"/>
          <w:highlight w:val="none"/>
          <w:u w:val="single"/>
          <w:lang w:val="en-US" w:eastAsia="zh-CN"/>
        </w:rPr>
        <w:t>07</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05</w:t>
      </w:r>
      <w:r>
        <w:rPr>
          <w:rFonts w:hint="eastAsia" w:ascii="宋体" w:hAnsi="宋体" w:cs="宋体"/>
          <w:sz w:val="24"/>
          <w:highlight w:val="none"/>
          <w:u w:val="single"/>
          <w:lang w:eastAsia="zh-CN"/>
        </w:rPr>
        <w:t xml:space="preserve">日 </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lang w:eastAsia="zh-CN"/>
        </w:rPr>
        <w:t>乐采云平台（https://hzjyg.lecaiyun.com）</w:t>
      </w:r>
      <w:r>
        <w:rPr>
          <w:rFonts w:hint="eastAsia" w:ascii="宋体" w:hAnsi="宋体" w:cs="宋体"/>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供应商登录</w:t>
      </w:r>
      <w:r>
        <w:rPr>
          <w:rFonts w:hint="eastAsia" w:ascii="宋体" w:hAnsi="宋体" w:cs="宋体"/>
          <w:sz w:val="24"/>
          <w:highlight w:val="none"/>
          <w:lang w:eastAsia="zh-CN"/>
        </w:rPr>
        <w:t>乐采云平台（https://hzjyg.lecaiyun.com）</w:t>
      </w:r>
      <w:r>
        <w:rPr>
          <w:rFonts w:hint="eastAsia" w:ascii="宋体" w:hAnsi="宋体" w:cs="宋体"/>
          <w:sz w:val="24"/>
          <w:highlight w:val="none"/>
        </w:rPr>
        <w:t xml:space="preserve">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四、响应文件提交（上传）</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lang w:eastAsia="zh-CN"/>
        </w:rPr>
        <w:t>2024 年</w:t>
      </w:r>
      <w:r>
        <w:rPr>
          <w:rFonts w:hint="eastAsia" w:ascii="宋体" w:hAnsi="宋体" w:cs="宋体"/>
          <w:sz w:val="24"/>
          <w:highlight w:val="none"/>
          <w:u w:val="single"/>
          <w:lang w:val="en-US" w:eastAsia="zh-CN"/>
        </w:rPr>
        <w:t>07</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05</w:t>
      </w:r>
      <w:r>
        <w:rPr>
          <w:rFonts w:hint="eastAsia" w:ascii="宋体" w:hAnsi="宋体" w:cs="宋体"/>
          <w:sz w:val="24"/>
          <w:highlight w:val="none"/>
          <w:u w:val="single"/>
          <w:lang w:eastAsia="zh-CN"/>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lang w:eastAsia="zh-CN"/>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lang w:eastAsia="zh-CN"/>
        </w:rPr>
        <w:t xml:space="preserve">分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lang w:eastAsia="zh-CN"/>
        </w:rPr>
        <w:t>乐采云平台（https://hzjyg.lecaiyun.com）</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b/>
          <w:sz w:val="24"/>
          <w:highlight w:val="none"/>
        </w:rPr>
        <w:t xml:space="preserve">五、响应文件开启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lang w:eastAsia="zh-CN"/>
        </w:rPr>
        <w:t>2024 年</w:t>
      </w:r>
      <w:r>
        <w:rPr>
          <w:rFonts w:hint="eastAsia" w:ascii="宋体" w:hAnsi="宋体" w:cs="宋体"/>
          <w:sz w:val="24"/>
          <w:highlight w:val="none"/>
          <w:u w:val="single"/>
          <w:lang w:val="en-US" w:eastAsia="zh-CN"/>
        </w:rPr>
        <w:t>07</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05</w:t>
      </w:r>
      <w:r>
        <w:rPr>
          <w:rFonts w:hint="eastAsia" w:ascii="宋体" w:hAnsi="宋体" w:cs="宋体"/>
          <w:sz w:val="24"/>
          <w:highlight w:val="none"/>
          <w:u w:val="single"/>
          <w:lang w:eastAsia="zh-CN"/>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lang w:eastAsia="zh-CN"/>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lang w:eastAsia="zh-CN"/>
        </w:rPr>
        <w:t xml:space="preserve">分 </w:t>
      </w:r>
      <w:r>
        <w:rPr>
          <w:rFonts w:hint="eastAsia" w:ascii="宋体" w:hAnsi="宋体" w:cs="宋体"/>
          <w:sz w:val="24"/>
          <w:highlight w:val="none"/>
        </w:rPr>
        <w:t>（北京时间）</w:t>
      </w:r>
    </w:p>
    <w:p>
      <w:p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地点（网址）：</w:t>
      </w:r>
      <w:r>
        <w:rPr>
          <w:rFonts w:hint="eastAsia" w:ascii="宋体" w:hAnsi="宋体" w:cs="宋体"/>
          <w:sz w:val="24"/>
          <w:highlight w:val="none"/>
          <w:lang w:eastAsia="zh-CN"/>
        </w:rPr>
        <w:t>乐采云平台（https://hzjyg.lecaiyun.com）</w:t>
      </w:r>
    </w:p>
    <w:p>
      <w:pPr>
        <w:spacing w:line="360" w:lineRule="auto"/>
        <w:rPr>
          <w:rFonts w:ascii="宋体" w:hAnsi="宋体" w:cs="宋体"/>
          <w:sz w:val="24"/>
          <w:highlight w:val="none"/>
        </w:rPr>
      </w:pPr>
      <w:r>
        <w:rPr>
          <w:rFonts w:hint="eastAsia" w:ascii="宋体" w:hAnsi="宋体" w:cs="宋体"/>
          <w:b/>
          <w:sz w:val="24"/>
          <w:highlight w:val="none"/>
        </w:rPr>
        <w:t xml:space="preserve">六、公告期限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pPr>
        <w:spacing w:line="360" w:lineRule="auto"/>
        <w:rPr>
          <w:rFonts w:ascii="宋体" w:hAnsi="宋体" w:cs="宋体"/>
          <w:b/>
          <w:sz w:val="24"/>
          <w:highlight w:val="none"/>
        </w:rPr>
      </w:pPr>
      <w:r>
        <w:rPr>
          <w:rFonts w:hint="eastAsia" w:ascii="宋体" w:hAnsi="宋体" w:cs="宋体"/>
          <w:b/>
          <w:sz w:val="24"/>
          <w:highlight w:val="none"/>
        </w:rPr>
        <w:t>七、其他补充事宜</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.其他事项：（1）需要落实的政府采购政策：包括促进中小企业发展等。详见采购文件的第二部分总则。（2）电子交易的说明：①电子交易：本项目以数据电文形式，依托“</w:t>
      </w:r>
      <w:r>
        <w:rPr>
          <w:rFonts w:hint="eastAsia" w:ascii="宋体" w:hAnsi="宋体" w:cs="宋体"/>
          <w:sz w:val="24"/>
          <w:highlight w:val="none"/>
          <w:lang w:eastAsia="zh-CN"/>
        </w:rPr>
        <w:t>乐采云平台（https://hzjyg.lecaiyun.com）</w:t>
      </w:r>
      <w:r>
        <w:rPr>
          <w:rFonts w:hint="eastAsia" w:ascii="宋体" w:hAnsi="宋体" w:cs="宋体"/>
          <w:sz w:val="24"/>
          <w:highlight w:val="none"/>
        </w:rPr>
        <w:t>”进行招投标活动，不接受纸质响应文件；②投标准备：注册账号--点击“商家入驻”，进行采购供应商资料填写；申领CA数字证书---申领流程详见“浙江政府采购网-下载专区-电子交易客户端-CA驱动和申领流程”；安装“</w:t>
      </w:r>
      <w:r>
        <w:rPr>
          <w:rFonts w:hint="eastAsia" w:ascii="宋体" w:hAnsi="宋体" w:cs="宋体"/>
          <w:sz w:val="24"/>
          <w:highlight w:val="none"/>
          <w:lang w:eastAsia="zh-CN"/>
        </w:rPr>
        <w:t>乐采</w:t>
      </w:r>
      <w:r>
        <w:rPr>
          <w:rFonts w:hint="eastAsia" w:ascii="宋体" w:hAnsi="宋体" w:cs="宋体"/>
          <w:sz w:val="24"/>
          <w:highlight w:val="none"/>
        </w:rPr>
        <w:t>云电子交易客户端”----前往“浙江政府采购网-下载专区-电子交易客户端”进行下载并安装；③采购文件的获取：使用账号登录或者使用CA登录</w:t>
      </w:r>
      <w:r>
        <w:rPr>
          <w:rFonts w:hint="eastAsia" w:ascii="宋体" w:hAnsi="宋体" w:cs="宋体"/>
          <w:sz w:val="24"/>
          <w:highlight w:val="none"/>
          <w:lang w:eastAsia="zh-CN"/>
        </w:rPr>
        <w:t>乐采</w:t>
      </w:r>
      <w:r>
        <w:rPr>
          <w:rFonts w:hint="eastAsia" w:ascii="宋体" w:hAnsi="宋体" w:cs="宋体"/>
          <w:sz w:val="24"/>
          <w:highlight w:val="none"/>
        </w:rPr>
        <w:t>云平台；进入“项目采购”应用，在获取采购文件菜单中选择项目，获取采购文件；④响应文件的制作：在“</w:t>
      </w:r>
      <w:r>
        <w:rPr>
          <w:rFonts w:hint="eastAsia" w:ascii="宋体" w:hAnsi="宋体" w:cs="宋体"/>
          <w:sz w:val="24"/>
          <w:highlight w:val="none"/>
          <w:lang w:eastAsia="zh-CN"/>
        </w:rPr>
        <w:t>乐采</w:t>
      </w:r>
      <w:r>
        <w:rPr>
          <w:rFonts w:hint="eastAsia" w:ascii="宋体" w:hAnsi="宋体" w:cs="宋体"/>
          <w:sz w:val="24"/>
          <w:highlight w:val="none"/>
        </w:rPr>
        <w:t>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w:t>
      </w:r>
      <w:r>
        <w:rPr>
          <w:rFonts w:hint="eastAsia" w:ascii="宋体" w:hAnsi="宋体" w:cs="宋体"/>
          <w:sz w:val="24"/>
          <w:highlight w:val="none"/>
          <w:lang w:eastAsia="zh-CN"/>
        </w:rPr>
        <w:t>乐采</w:t>
      </w:r>
      <w:r>
        <w:rPr>
          <w:rFonts w:hint="eastAsia" w:ascii="宋体" w:hAnsi="宋体" w:cs="宋体"/>
          <w:sz w:val="24"/>
          <w:highlight w:val="none"/>
        </w:rPr>
        <w:t>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w:t>
      </w:r>
      <w:r>
        <w:rPr>
          <w:rFonts w:hint="eastAsia" w:ascii="宋体" w:hAnsi="宋体" w:cs="宋体"/>
          <w:sz w:val="24"/>
          <w:highlight w:val="none"/>
          <w:lang w:eastAsia="zh-CN"/>
        </w:rPr>
        <w:t>乐采云平台</w:t>
      </w:r>
      <w:r>
        <w:rPr>
          <w:rFonts w:hint="eastAsia" w:ascii="宋体" w:hAnsi="宋体" w:cs="宋体"/>
          <w:sz w:val="24"/>
          <w:highlight w:val="none"/>
        </w:rPr>
        <w:t>，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w:t>
      </w:r>
      <w:r>
        <w:rPr>
          <w:rFonts w:hint="eastAsia" w:ascii="宋体" w:hAnsi="宋体" w:cs="宋体"/>
          <w:sz w:val="24"/>
          <w:highlight w:val="none"/>
          <w:lang w:eastAsia="zh-CN"/>
        </w:rPr>
        <w:t>乐采云平台</w:t>
      </w:r>
      <w:r>
        <w:rPr>
          <w:rFonts w:hint="eastAsia" w:ascii="宋体" w:hAnsi="宋体" w:cs="宋体"/>
          <w:sz w:val="24"/>
          <w:highlight w:val="none"/>
        </w:rPr>
        <w:t>”上传递交的响应文件无法按时解密，供应商递交了备份响应文件的，以备份响应文件为依据，否则视为响应文件撤回。通过“</w:t>
      </w:r>
      <w:r>
        <w:rPr>
          <w:rFonts w:hint="eastAsia" w:ascii="宋体" w:hAnsi="宋体" w:cs="宋体"/>
          <w:sz w:val="24"/>
          <w:highlight w:val="none"/>
          <w:lang w:eastAsia="zh-CN"/>
        </w:rPr>
        <w:t>乐采云平台</w:t>
      </w:r>
      <w:r>
        <w:rPr>
          <w:rFonts w:hint="eastAsia" w:ascii="宋体" w:hAnsi="宋体" w:cs="宋体"/>
          <w:sz w:val="24"/>
          <w:highlight w:val="none"/>
        </w:rPr>
        <w:t>”上传递交的响应文件已按时解密的，备份响应文件自动失效。供应商仅提交备份响应文件，未在电子交易平台传输递交响应文件的，响应文件无效；⑩具体操作指南：详见</w:t>
      </w:r>
      <w:r>
        <w:rPr>
          <w:rFonts w:hint="eastAsia" w:ascii="宋体" w:hAnsi="宋体" w:cs="宋体"/>
          <w:sz w:val="24"/>
          <w:highlight w:val="none"/>
          <w:lang w:eastAsia="zh-CN"/>
        </w:rPr>
        <w:t>乐采</w:t>
      </w:r>
      <w:r>
        <w:rPr>
          <w:rFonts w:hint="eastAsia" w:ascii="宋体" w:hAnsi="宋体" w:cs="宋体"/>
          <w:sz w:val="24"/>
          <w:highlight w:val="none"/>
        </w:rPr>
        <w:t>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sz w:val="24"/>
          <w:highlight w:val="none"/>
        </w:rPr>
      </w:pPr>
      <w:r>
        <w:rPr>
          <w:rFonts w:hint="eastAsia" w:ascii="宋体" w:hAnsi="宋体" w:cs="宋体"/>
          <w:b/>
          <w:sz w:val="24"/>
          <w:highlight w:val="none"/>
        </w:rPr>
        <w:t>八、对本次采购提出询问、质疑、投诉，请按以下方式联系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1.</w:t>
      </w:r>
      <w:r>
        <w:rPr>
          <w:rFonts w:hint="eastAsia" w:ascii="宋体" w:hAnsi="宋体" w:cs="宋体"/>
          <w:color w:val="auto"/>
          <w:sz w:val="24"/>
          <w:highlight w:val="none"/>
        </w:rPr>
        <w:t>采购人信息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浙江省杭州第十四中学</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址：杭州市凤起路580号</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项目联系人（询问）：俞老师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项目联系方式（询问）：0571-85063612</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质疑联系人：郭</w:t>
      </w:r>
      <w:r>
        <w:rPr>
          <w:rFonts w:hint="eastAsia" w:ascii="宋体" w:hAnsi="宋体" w:cs="宋体"/>
          <w:color w:val="auto"/>
          <w:sz w:val="24"/>
          <w:highlight w:val="none"/>
          <w:lang w:val="en-US" w:eastAsia="zh-CN"/>
        </w:rPr>
        <w:t xml:space="preserve">老师 </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质疑联系方式：0571-85063612</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杨工、曹建斌</w:t>
      </w:r>
      <w:r>
        <w:rPr>
          <w:rFonts w:hint="eastAsia" w:ascii="宋体" w:hAnsi="宋体" w:cs="宋体"/>
          <w:color w:val="auto"/>
          <w:sz w:val="24"/>
          <w:highlight w:val="none"/>
        </w:rPr>
        <w:t>、陈敏娇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项目联系方式（询问）：0571-87981527</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桑经理</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sz w:val="24"/>
          <w:highlight w:val="none"/>
        </w:rPr>
        <w:t>0571-56386096</w:t>
      </w:r>
    </w:p>
    <w:p>
      <w:pPr>
        <w:pStyle w:val="5"/>
        <w:rPr>
          <w:highlight w:val="none"/>
        </w:rPr>
      </w:pPr>
    </w:p>
    <w:p>
      <w:pPr>
        <w:spacing w:line="360" w:lineRule="auto"/>
        <w:jc w:val="center"/>
        <w:rPr>
          <w:rFonts w:hint="eastAsia" w:hAnsi="宋体" w:cs="宋体"/>
          <w:b/>
          <w:snapToGrid/>
          <w:sz w:val="36"/>
          <w:szCs w:val="20"/>
          <w:highlight w:val="none"/>
        </w:rPr>
      </w:pPr>
      <w:r>
        <w:rPr>
          <w:rFonts w:hint="eastAsia" w:hAnsi="宋体" w:cs="宋体"/>
          <w:b/>
          <w:snapToGrid/>
          <w:sz w:val="36"/>
          <w:szCs w:val="20"/>
          <w:highlight w:val="none"/>
        </w:rPr>
        <w:br w:type="page"/>
      </w:r>
    </w:p>
    <w:p>
      <w:pPr>
        <w:pStyle w:val="33"/>
        <w:spacing w:line="360" w:lineRule="auto"/>
        <w:jc w:val="center"/>
        <w:rPr>
          <w:rFonts w:hAnsi="宋体" w:cs="宋体"/>
          <w:b/>
          <w:snapToGrid/>
          <w:sz w:val="36"/>
          <w:szCs w:val="20"/>
          <w:highlight w:val="none"/>
        </w:rPr>
      </w:pPr>
      <w:r>
        <w:rPr>
          <w:rFonts w:hint="eastAsia" w:hAnsi="宋体" w:cs="宋体"/>
          <w:b/>
          <w:snapToGrid/>
          <w:sz w:val="36"/>
          <w:szCs w:val="20"/>
          <w:highlight w:val="none"/>
        </w:rPr>
        <w:t>第二部分</w:t>
      </w:r>
      <w:bookmarkEnd w:id="8"/>
      <w:r>
        <w:rPr>
          <w:rFonts w:hint="eastAsia" w:hAnsi="宋体" w:cs="宋体"/>
          <w:b/>
          <w:snapToGrid/>
          <w:sz w:val="36"/>
          <w:szCs w:val="20"/>
          <w:highlight w:val="none"/>
        </w:rPr>
        <w:t xml:space="preserve"> 供应商须知</w:t>
      </w:r>
      <w:bookmarkEnd w:id="9"/>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48"/>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8"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7172"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8"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7172" w:type="dxa"/>
            <w:vAlign w:val="center"/>
          </w:tcPr>
          <w:p>
            <w:pPr>
              <w:spacing w:line="360" w:lineRule="auto"/>
              <w:rPr>
                <w:rFonts w:ascii="宋体" w:hAnsi="宋体" w:cs="宋体"/>
                <w:sz w:val="24"/>
                <w:highlight w:val="none"/>
              </w:rPr>
            </w:pPr>
            <w:r>
              <w:rPr>
                <w:rFonts w:hint="eastAsia" w:ascii="宋体" w:hAnsi="宋体" w:cs="宋体"/>
                <w:kern w:val="0"/>
                <w:sz w:val="24"/>
                <w:highlight w:val="none"/>
              </w:rPr>
              <w:t>工程</w:t>
            </w:r>
            <w:r>
              <w:rPr>
                <w:rFonts w:hint="eastAsia" w:ascii="宋体" w:hAnsi="宋体" w:cs="宋体"/>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8"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7172" w:type="dxa"/>
            <w:vAlign w:val="center"/>
          </w:tcPr>
          <w:p>
            <w:pPr>
              <w:snapToGrid w:val="0"/>
              <w:spacing w:line="24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杭十四中电梯加装改造项目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建筑业 </w:t>
            </w:r>
            <w:r>
              <w:rPr>
                <w:rFonts w:hint="eastAsia" w:ascii="宋体" w:hAnsi="宋体" w:cs="宋体"/>
                <w:kern w:val="0"/>
                <w:sz w:val="24"/>
                <w:highlight w:val="none"/>
              </w:rPr>
              <w:t>行业；</w:t>
            </w:r>
          </w:p>
          <w:p>
            <w:pPr>
              <w:snapToGrid w:val="0"/>
              <w:spacing w:line="240" w:lineRule="auto"/>
              <w:jc w:val="left"/>
              <w:rPr>
                <w:rFonts w:hint="eastAsia" w:ascii="宋体" w:hAnsi="宋体" w:cs="宋体"/>
                <w:kern w:val="0"/>
                <w:sz w:val="24"/>
                <w:highlight w:val="none"/>
              </w:rPr>
            </w:pPr>
            <w:r>
              <w:rPr>
                <w:rFonts w:hint="eastAsia" w:ascii="宋体" w:hAnsi="宋体" w:cs="宋体"/>
                <w:kern w:val="0"/>
                <w:sz w:val="24"/>
                <w:highlight w:val="none"/>
              </w:rPr>
              <w:t>（2）《关于印发中小企业划型标准规定的通知》（工信部联企业〔2011〕300）第（十六）条：</w:t>
            </w:r>
          </w:p>
          <w:p>
            <w:pPr>
              <w:snapToGrid w:val="0"/>
              <w:spacing w:line="240" w:lineRule="auto"/>
              <w:jc w:val="left"/>
              <w:rPr>
                <w:rFonts w:hint="eastAsia" w:ascii="宋体" w:hAnsi="宋体" w:cs="宋体"/>
                <w:kern w:val="0"/>
                <w:sz w:val="24"/>
                <w:highlight w:val="none"/>
              </w:rPr>
            </w:pPr>
            <w:r>
              <w:rPr>
                <w:rFonts w:hint="eastAsia" w:ascii="宋体" w:hAnsi="宋体" w:cs="宋体"/>
                <w:kern w:val="0"/>
                <w:sz w:val="24"/>
                <w:highlight w:val="none"/>
              </w:rPr>
              <w:t>营业收入80000 万元以下或资产总额80000万元以下的为中小微型企业。其中，营业收入6000 万元及以上，且资产总额5000 万元及以上的为中型企业；营业收入300 万元</w:t>
            </w:r>
          </w:p>
          <w:p>
            <w:pPr>
              <w:pStyle w:val="3"/>
              <w:spacing w:line="240" w:lineRule="auto"/>
              <w:rPr>
                <w:rFonts w:ascii="宋体" w:hAnsi="宋体" w:eastAsia="宋体" w:cs="宋体"/>
                <w:highlight w:val="none"/>
                <w:lang w:val="en-US"/>
              </w:rPr>
            </w:pPr>
            <w:r>
              <w:rPr>
                <w:rFonts w:hint="eastAsia" w:ascii="宋体" w:hAnsi="宋体" w:eastAsia="宋体" w:cs="宋体"/>
                <w:b w:val="0"/>
                <w:bCs w:val="0"/>
                <w:kern w:val="0"/>
                <w:sz w:val="24"/>
                <w:szCs w:val="24"/>
                <w:highlight w:val="none"/>
                <w:lang w:val="en-US" w:eastAsia="zh-CN"/>
              </w:rPr>
              <w:t>及以上，且资产总额300 万元及以上的为小型企业；营业收入300万元以下或资产总额300 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8"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7172" w:type="dxa"/>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8" w:type="dxa"/>
            <w:vAlign w:val="center"/>
          </w:tcPr>
          <w:p>
            <w:pPr>
              <w:snapToGrid w:val="0"/>
              <w:spacing w:line="360" w:lineRule="auto"/>
              <w:jc w:val="center"/>
              <w:rPr>
                <w:rFonts w:hint="eastAsia" w:ascii="宋体" w:hAnsi="宋体" w:cs="宋体"/>
                <w:b w:val="0"/>
                <w:kern w:val="0"/>
                <w:sz w:val="24"/>
                <w:highlight w:val="none"/>
              </w:rPr>
            </w:pPr>
            <w:r>
              <w:rPr>
                <w:rFonts w:hint="eastAsia" w:ascii="宋体" w:hAnsi="宋体" w:cs="宋体"/>
                <w:b w:val="0"/>
                <w:kern w:val="0"/>
                <w:sz w:val="24"/>
                <w:highlight w:val="none"/>
              </w:rPr>
              <w:t>分包</w:t>
            </w:r>
          </w:p>
        </w:tc>
        <w:tc>
          <w:tcPr>
            <w:tcW w:w="7172" w:type="dxa"/>
            <w:vAlign w:val="center"/>
          </w:tcPr>
          <w:p>
            <w:pPr>
              <w:pStyle w:val="43"/>
              <w:rPr>
                <w:rFonts w:hint="eastAsia" w:ascii="宋体" w:hAnsi="宋体" w:cs="宋体"/>
                <w:kern w:val="0"/>
                <w:sz w:val="24"/>
                <w:highlight w:val="none"/>
              </w:rPr>
            </w:pPr>
            <w:r>
              <w:rPr>
                <w:rFonts w:hint="eastAsia" w:ascii="宋体" w:hAnsi="宋体" w:cs="宋体"/>
                <w:kern w:val="0"/>
                <w:sz w:val="24"/>
                <w:highlight w:val="none"/>
              </w:rPr>
              <w:t>除电梯安装等工作内容外，其余不允许分包，分包内容须经采购人书面同意后方可执行。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8"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磋商前答疑会或现场考察</w:t>
            </w:r>
          </w:p>
        </w:tc>
        <w:tc>
          <w:tcPr>
            <w:tcW w:w="7172" w:type="dxa"/>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8"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7172" w:type="dxa"/>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评审办法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(6)采购活动结束后，对于未成交供应商提供的样品，采购人、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将通知未成交供应商在规定的时间内取回，逾期未取回的，采购人、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不负保管义务；对于成交供应商提供的样品，采购人将进行保管、封存，并作为履约验收的参考。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8" w:type="dxa"/>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7172" w:type="dxa"/>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（1）在评审时安排每个供应商进行方案讲解演示。每个供应商时间不超过</w:t>
            </w:r>
            <w:r>
              <w:rPr>
                <w:rFonts w:hint="eastAsia" w:ascii="宋体" w:hAnsi="宋体" w:cs="宋体"/>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分钟，讲解次序以响应文件解密时间先后次序为准，讲解演示人员不超过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人。讲解演示结束后按要求解答磋商小组提问。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w:t>
            </w:r>
            <w:r>
              <w:rPr>
                <w:rFonts w:hint="eastAsia" w:ascii="宋体" w:hAnsi="宋体" w:cs="宋体"/>
                <w:kern w:val="0"/>
                <w:sz w:val="24"/>
                <w:highlight w:val="none"/>
                <w:lang w:val="en-US" w:eastAsia="zh-CN"/>
              </w:rPr>
              <w:t>乐</w:t>
            </w:r>
            <w:r>
              <w:rPr>
                <w:rFonts w:hint="eastAsia" w:ascii="宋体" w:hAnsi="宋体" w:cs="宋体"/>
                <w:kern w:val="0"/>
                <w:sz w:val="24"/>
                <w:highlight w:val="none"/>
              </w:rPr>
              <w:t>采云平台在线讲解演示。</w:t>
            </w:r>
            <w:r>
              <w:rPr>
                <w:rFonts w:hint="eastAsia" w:ascii="宋体" w:hAnsi="宋体" w:cs="宋体"/>
                <w:kern w:val="0"/>
                <w:sz w:val="24"/>
                <w:highlight w:val="none"/>
                <w:lang w:eastAsia="zh-CN"/>
              </w:rPr>
              <w:t>乐采</w:t>
            </w:r>
            <w:r>
              <w:rPr>
                <w:rFonts w:hint="eastAsia" w:ascii="宋体" w:hAnsi="宋体" w:cs="宋体"/>
                <w:kern w:val="0"/>
                <w:sz w:val="24"/>
                <w:highlight w:val="none"/>
              </w:rPr>
              <w:t>云平台在线讲解需供应商根据</w:t>
            </w:r>
            <w:r>
              <w:rPr>
                <w:rFonts w:hint="eastAsia" w:ascii="宋体" w:hAnsi="宋体" w:cs="宋体"/>
                <w:kern w:val="0"/>
                <w:sz w:val="24"/>
                <w:highlight w:val="none"/>
                <w:lang w:eastAsia="zh-CN"/>
              </w:rPr>
              <w:t>乐采</w:t>
            </w:r>
            <w:r>
              <w:rPr>
                <w:rFonts w:hint="eastAsia" w:ascii="宋体" w:hAnsi="宋体" w:cs="宋体"/>
                <w:kern w:val="0"/>
                <w:sz w:val="24"/>
                <w:highlight w:val="none"/>
              </w:rPr>
              <w:t>云平台操作要求做好准备工作，提前完善软硬件配置环境。</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方式二：现场讲解演示。现场讲解地点为</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8" w:type="dxa"/>
            <w:vMerge w:val="restart"/>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供应商应当提供的资格、资信证明文件</w:t>
            </w:r>
          </w:p>
        </w:tc>
        <w:tc>
          <w:tcPr>
            <w:tcW w:w="7172" w:type="dxa"/>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（1）资格证明文件：见采购文件第二部分11.1。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highlight w:val="none"/>
              </w:rPr>
            </w:pPr>
          </w:p>
        </w:tc>
        <w:tc>
          <w:tcPr>
            <w:tcW w:w="1848" w:type="dxa"/>
            <w:vMerge w:val="continue"/>
            <w:vAlign w:val="center"/>
          </w:tcPr>
          <w:p>
            <w:pPr>
              <w:snapToGrid w:val="0"/>
              <w:spacing w:line="360" w:lineRule="auto"/>
              <w:jc w:val="center"/>
              <w:rPr>
                <w:rFonts w:ascii="宋体" w:hAnsi="宋体" w:cs="宋体"/>
                <w:b/>
                <w:sz w:val="24"/>
                <w:highlight w:val="none"/>
              </w:rPr>
            </w:pPr>
          </w:p>
        </w:tc>
        <w:tc>
          <w:tcPr>
            <w:tcW w:w="7172" w:type="dxa"/>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1848"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7172" w:type="dxa"/>
            <w:vAlign w:val="center"/>
          </w:tcPr>
          <w:p>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报价单是报价的唯一载体</w:t>
            </w:r>
            <w:r>
              <w:rPr>
                <w:rFonts w:hint="eastAsia" w:ascii="宋体" w:hAnsi="宋体" w:cs="宋体"/>
                <w:kern w:val="0"/>
                <w:sz w:val="24"/>
                <w:highlight w:val="none"/>
                <w:lang w:val="zh-CN"/>
              </w:rPr>
              <w:t>。响应文件中价格全部采用人民币报价。采购文件未列明，而供应商认为必需的费用也需列入报价。</w:t>
            </w:r>
            <w:r>
              <w:rPr>
                <w:rFonts w:hint="eastAsia" w:ascii="宋体" w:hAnsi="宋体" w:cs="宋体"/>
                <w:b/>
                <w:kern w:val="0"/>
                <w:sz w:val="24"/>
                <w:highlight w:val="none"/>
                <w:lang w:val="zh-CN"/>
              </w:rPr>
              <w:t>提醒：验收时检测费用由采购人承担，不包含在总价中。</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响应文件出现不是唯一的、有选择性最后报价的；</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最后报价超过采购文件中规定的预算金额或者最高限价的;</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供应商对根据修正原则修正后的报价不确认的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2" w:hRule="atLeast"/>
        </w:trPr>
        <w:tc>
          <w:tcPr>
            <w:tcW w:w="714" w:type="dxa"/>
            <w:vAlign w:val="center"/>
          </w:tcPr>
          <w:p>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0</w:t>
            </w:r>
          </w:p>
        </w:tc>
        <w:tc>
          <w:tcPr>
            <w:tcW w:w="1848"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备份响应文件送达地点和签收人员</w:t>
            </w:r>
          </w:p>
        </w:tc>
        <w:tc>
          <w:tcPr>
            <w:tcW w:w="7172" w:type="dxa"/>
            <w:vAlign w:val="center"/>
          </w:tcPr>
          <w:p>
            <w:pPr>
              <w:pStyle w:val="33"/>
              <w:spacing w:line="360" w:lineRule="auto"/>
              <w:rPr>
                <w:rFonts w:hAnsi="宋体" w:cs="宋体"/>
                <w:sz w:val="24"/>
                <w:szCs w:val="24"/>
                <w:highlight w:val="none"/>
              </w:rPr>
            </w:pPr>
            <w:r>
              <w:rPr>
                <w:rFonts w:hint="eastAsia" w:hAnsi="宋体" w:cs="宋体"/>
                <w:kern w:val="28"/>
                <w:sz w:val="24"/>
                <w:szCs w:val="24"/>
                <w:highlight w:val="none"/>
              </w:rPr>
              <w:t>备份响应文件送达地点：</w:t>
            </w:r>
            <w:r>
              <w:rPr>
                <w:rFonts w:hint="eastAsia" w:ascii="宋体" w:hAnsi="宋体" w:cs="宋体"/>
                <w:color w:val="auto"/>
                <w:sz w:val="24"/>
                <w:highlight w:val="none"/>
                <w:u w:val="single"/>
              </w:rPr>
              <w:t>杭州市拱墅区大关路179号远洋国际中心A座17楼1706室</w:t>
            </w:r>
            <w:r>
              <w:rPr>
                <w:rFonts w:hint="eastAsia" w:hAnsi="宋体" w:cs="宋体"/>
                <w:sz w:val="24"/>
                <w:highlight w:val="none"/>
                <w:u w:val="single"/>
              </w:rPr>
              <w:t xml:space="preserve"> </w:t>
            </w:r>
            <w:r>
              <w:rPr>
                <w:rFonts w:hint="eastAsia" w:hAnsi="宋体" w:cs="宋体"/>
                <w:kern w:val="28"/>
                <w:sz w:val="24"/>
                <w:szCs w:val="24"/>
                <w:highlight w:val="none"/>
                <w:u w:val="single"/>
              </w:rPr>
              <w:t>；</w:t>
            </w:r>
            <w:r>
              <w:rPr>
                <w:rFonts w:hint="eastAsia" w:hAnsi="宋体" w:cs="宋体"/>
                <w:kern w:val="28"/>
                <w:sz w:val="24"/>
                <w:szCs w:val="24"/>
                <w:highlight w:val="none"/>
              </w:rPr>
              <w:t>备份响应文件签收人员联系电话：</w:t>
            </w:r>
            <w:r>
              <w:rPr>
                <w:rFonts w:hint="eastAsia" w:hAnsi="宋体" w:cs="宋体"/>
                <w:color w:val="auto"/>
                <w:sz w:val="24"/>
                <w:highlight w:val="none"/>
                <w:u w:val="single"/>
                <w:lang w:val="en-US" w:eastAsia="zh-CN"/>
              </w:rPr>
              <w:t>杨工</w:t>
            </w:r>
            <w:r>
              <w:rPr>
                <w:rFonts w:hint="eastAsia" w:ascii="宋体" w:hAnsi="宋体" w:cs="宋体"/>
                <w:color w:val="auto"/>
                <w:sz w:val="24"/>
                <w:highlight w:val="none"/>
                <w:u w:val="single"/>
              </w:rPr>
              <w:t>0571-87981527</w:t>
            </w:r>
            <w:r>
              <w:rPr>
                <w:rFonts w:hint="eastAsia" w:hAnsi="宋体" w:cs="宋体"/>
                <w:sz w:val="24"/>
                <w:szCs w:val="24"/>
                <w:highlight w:val="none"/>
                <w:u w:val="single"/>
              </w:rPr>
              <w:t>。</w:t>
            </w:r>
          </w:p>
          <w:p>
            <w:pPr>
              <w:pStyle w:val="33"/>
              <w:spacing w:line="360" w:lineRule="auto"/>
              <w:rPr>
                <w:rFonts w:hAnsi="宋体" w:cs="宋体"/>
                <w:kern w:val="28"/>
                <w:sz w:val="24"/>
                <w:highlight w:val="none"/>
              </w:rPr>
            </w:pP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848" w:type="dxa"/>
            <w:vMerge w:val="restart"/>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其它说明</w:t>
            </w:r>
          </w:p>
        </w:tc>
        <w:tc>
          <w:tcPr>
            <w:tcW w:w="7172" w:type="dxa"/>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tcBorders/>
            <w:vAlign w:val="center"/>
          </w:tcPr>
          <w:p>
            <w:pPr>
              <w:snapToGrid w:val="0"/>
              <w:spacing w:line="360" w:lineRule="auto"/>
              <w:jc w:val="center"/>
              <w:rPr>
                <w:rFonts w:hint="eastAsia" w:ascii="宋体" w:hAnsi="宋体" w:cs="宋体"/>
                <w:sz w:val="24"/>
                <w:highlight w:val="none"/>
                <w:lang w:val="en-US" w:eastAsia="zh-CN"/>
              </w:rPr>
            </w:pPr>
          </w:p>
        </w:tc>
        <w:tc>
          <w:tcPr>
            <w:tcW w:w="1848" w:type="dxa"/>
            <w:vMerge w:val="continue"/>
            <w:tcBorders/>
            <w:vAlign w:val="center"/>
          </w:tcPr>
          <w:p>
            <w:pPr>
              <w:snapToGrid w:val="0"/>
              <w:spacing w:line="360" w:lineRule="auto"/>
              <w:jc w:val="center"/>
              <w:rPr>
                <w:rFonts w:hint="eastAsia" w:ascii="宋体" w:hAnsi="宋体" w:cs="宋体"/>
                <w:b/>
                <w:sz w:val="24"/>
                <w:highlight w:val="none"/>
              </w:rPr>
            </w:pPr>
          </w:p>
        </w:tc>
        <w:tc>
          <w:tcPr>
            <w:tcW w:w="7172" w:type="dxa"/>
            <w:vAlign w:val="center"/>
          </w:tcPr>
          <w:p>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rPr>
              <w:t>1.本项目不严格适用《中国政府采购法》，仅参考《中国政府采购法》等相关法律法规，以采购人的相关采购管理制度和本项目采购文件为依据进行采购。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2</w:t>
            </w:r>
          </w:p>
        </w:tc>
        <w:tc>
          <w:tcPr>
            <w:tcW w:w="1848" w:type="dxa"/>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采购代理服务费</w:t>
            </w:r>
          </w:p>
        </w:tc>
        <w:tc>
          <w:tcPr>
            <w:tcW w:w="7172" w:type="dxa"/>
            <w:vAlign w:val="center"/>
          </w:tcPr>
          <w:p>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采购代理服务费：</w:t>
            </w:r>
            <w:r>
              <w:rPr>
                <w:rFonts w:hint="eastAsia" w:ascii="宋体" w:hAnsi="宋体" w:cs="宋体"/>
                <w:snapToGrid w:val="0"/>
                <w:color w:val="auto"/>
                <w:kern w:val="28"/>
                <w:sz w:val="24"/>
                <w:highlight w:val="none"/>
              </w:rPr>
              <w:t>本项目采购代理服务费收费标准参照国家计委《招标代理服务收费管理暂行办法》（计价格[2002]1980号）文件及国家发改委下发的《关于降低部分建设项目收费标准规范收费行为等有关问题的通知》（发改价格[2011]534号）规定的收取标准的80%计取，不足5000元时按5000元收取，以中标价为计算基数。由中标人在领取中标通知书时支付给招标代理机构。该费用在投标文件中不单列，由中标人在投标总报价中综合考虑。</w:t>
            </w:r>
          </w:p>
          <w:p>
            <w:pPr>
              <w:spacing w:line="360" w:lineRule="auto"/>
              <w:rPr>
                <w:rFonts w:ascii="宋体" w:hAnsi="宋体" w:cs="宋体"/>
                <w:snapToGrid w:val="0"/>
                <w:kern w:val="28"/>
                <w:sz w:val="24"/>
                <w:highlight w:val="none"/>
              </w:rPr>
            </w:pPr>
            <w:r>
              <w:rPr>
                <w:rFonts w:hint="eastAsia" w:ascii="宋体" w:hAnsi="宋体" w:cs="宋体"/>
                <w:b/>
                <w:bCs/>
                <w:snapToGrid w:val="0"/>
                <w:color w:val="auto"/>
                <w:kern w:val="28"/>
                <w:sz w:val="24"/>
                <w:highlight w:val="none"/>
              </w:rPr>
              <w:t>工程造价咨询服务费</w:t>
            </w:r>
            <w:r>
              <w:rPr>
                <w:rFonts w:hint="eastAsia" w:ascii="宋体" w:hAnsi="宋体" w:cs="宋体"/>
                <w:snapToGrid w:val="0"/>
                <w:color w:val="auto"/>
                <w:kern w:val="28"/>
                <w:sz w:val="24"/>
                <w:highlight w:val="none"/>
              </w:rPr>
              <w:t>(工程量清单及预算、招标控制价的编制或审核费用)：按照浙建价协(2021)13 号文件规定的相应项目收费标准 80%计取。造价咨询费单个保底收费 3000 元。由中标人在领取中标通知书时支付给招标代理机构。该费用在投标文件中不单列，由中标人在投标总报价中综合考虑。</w:t>
            </w:r>
          </w:p>
        </w:tc>
      </w:tr>
      <w:bookmarkEnd w:id="10"/>
    </w:tbl>
    <w:p>
      <w:pPr>
        <w:widowControl/>
        <w:adjustRightInd/>
        <w:jc w:val="left"/>
        <w:rPr>
          <w:rFonts w:ascii="宋体" w:hAnsi="宋体" w:cs="宋体"/>
          <w:b/>
          <w:sz w:val="32"/>
          <w:szCs w:val="20"/>
          <w:highlight w:val="none"/>
        </w:rPr>
      </w:pPr>
      <w:bookmarkStart w:id="12" w:name="_Toc164416483"/>
      <w:bookmarkStart w:id="13" w:name="第三部分"/>
    </w:p>
    <w:p>
      <w:pPr>
        <w:snapToGrid/>
        <w:spacing w:line="240" w:lineRule="auto"/>
        <w:jc w:val="left"/>
        <w:outlineLvl w:val="9"/>
        <w:rPr>
          <w:rFonts w:hint="eastAsia" w:ascii="宋体" w:hAnsi="宋体" w:cs="宋体"/>
          <w:b/>
          <w:sz w:val="32"/>
          <w:szCs w:val="20"/>
          <w:highlight w:val="none"/>
        </w:rPr>
      </w:pPr>
      <w:r>
        <w:rPr>
          <w:rFonts w:hint="eastAsia" w:ascii="宋体" w:hAnsi="宋体" w:cs="宋体"/>
          <w:b/>
          <w:sz w:val="32"/>
          <w:szCs w:val="20"/>
          <w:highlight w:val="none"/>
        </w:rPr>
        <w:br w:type="page"/>
      </w: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一、总则</w:t>
      </w:r>
    </w:p>
    <w:p>
      <w:pPr>
        <w:snapToGrid w:val="0"/>
        <w:spacing w:line="360" w:lineRule="auto"/>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highlight w:val="none"/>
        </w:rPr>
      </w:pPr>
      <w:r>
        <w:rPr>
          <w:rFonts w:hint="eastAsia" w:ascii="宋体" w:hAnsi="宋体" w:cs="宋体"/>
          <w:b/>
          <w:sz w:val="24"/>
          <w:highlight w:val="none"/>
        </w:rPr>
        <w:t>2.定义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“采购人”系指竞争性磋商公告中载明的本项目的采购人。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”系指竞争性磋商公告中载明的本项目的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指本项目采购活动所依托的</w:t>
      </w:r>
      <w:r>
        <w:rPr>
          <w:rFonts w:hint="eastAsia" w:ascii="宋体" w:hAnsi="宋体" w:cs="宋体"/>
          <w:sz w:val="24"/>
          <w:highlight w:val="none"/>
          <w:lang w:eastAsia="zh-CN"/>
        </w:rPr>
        <w:t>乐采云平台（https://hzjyg.lecaiyun.com）</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系指不适用本项目的要求，“※”系指磋商过程中可能实质性变动的内容。</w:t>
      </w:r>
    </w:p>
    <w:p>
      <w:pPr>
        <w:snapToGrid w:val="0"/>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2</w:t>
      </w:r>
      <w:r>
        <w:rPr>
          <w:rFonts w:hint="eastAsia" w:ascii="宋体" w:hAnsi="宋体" w:cs="宋体"/>
          <w:sz w:val="24"/>
          <w:highlight w:val="none"/>
        </w:rPr>
        <w:t>支持中小企业发展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2</w:t>
      </w:r>
      <w:r>
        <w:rPr>
          <w:rFonts w:hint="eastAsia" w:ascii="宋体" w:hAnsi="宋体" w:cs="宋体"/>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w:t>
      </w:r>
      <w:r>
        <w:rPr>
          <w:rFonts w:hint="eastAsia" w:ascii="宋体" w:hAnsi="宋体" w:cs="宋体"/>
          <w:bCs/>
          <w:sz w:val="24"/>
          <w:highlight w:val="none"/>
          <w:lang w:val="en-US" w:eastAsia="zh-CN"/>
        </w:rPr>
        <w:t>2</w:t>
      </w:r>
      <w:r>
        <w:rPr>
          <w:rFonts w:hint="eastAsia" w:ascii="宋体" w:hAnsi="宋体" w:cs="宋体"/>
          <w:bCs/>
          <w:sz w:val="24"/>
          <w:highlight w:val="none"/>
        </w:rPr>
        <w:t>.2</w:t>
      </w:r>
      <w:r>
        <w:rPr>
          <w:rFonts w:hint="eastAsia" w:ascii="宋体" w:hAnsi="宋体" w:cs="宋体"/>
          <w:kern w:val="0"/>
          <w:sz w:val="24"/>
          <w:highlight w:val="none"/>
        </w:rPr>
        <w:t>在政府采购活动中，供应商提供的工程符合下列情形的，享受中小企业扶持政策：</w:t>
      </w:r>
      <w:r>
        <w:rPr>
          <w:rFonts w:ascii="宋体" w:hAnsi="宋体" w:cs="宋体"/>
          <w:sz w:val="24"/>
          <w:highlight w:val="none"/>
        </w:rPr>
        <w:t>在工程采购项目中，工程由中小企业承建，即工程施工单位为中小企业</w:t>
      </w:r>
      <w:r>
        <w:rPr>
          <w:rFonts w:hint="eastAsia" w:ascii="宋体" w:hAnsi="宋体" w:cs="宋体"/>
          <w:kern w:val="0"/>
          <w:sz w:val="24"/>
          <w:highlight w:val="none"/>
        </w:rPr>
        <w:t>。</w:t>
      </w: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中小企业享受扶持政策获得政府采购合同的，小微企业不得将合同分包给大中型企业，中型企业不</w:t>
      </w:r>
      <w:r>
        <w:rPr>
          <w:rFonts w:hint="eastAsia" w:ascii="宋体" w:hAnsi="宋体" w:cs="宋体"/>
          <w:color w:val="auto"/>
          <w:sz w:val="24"/>
          <w:highlight w:val="none"/>
        </w:rPr>
        <w:t>得将合同分包给大型企业。</w:t>
      </w:r>
    </w:p>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 询问、质疑</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w:t>
      </w:r>
      <w:r>
        <w:rPr>
          <w:rFonts w:hint="eastAsia" w:ascii="宋体" w:hAnsi="宋体" w:cs="宋体"/>
          <w:kern w:val="0"/>
          <w:sz w:val="24"/>
          <w:highlight w:val="none"/>
          <w:lang w:val="zh-CN"/>
        </w:rPr>
        <w:t>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lang w:val="en-US" w:eastAsia="zh-CN"/>
        </w:rPr>
        <w:t>2</w:t>
      </w:r>
      <w:r>
        <w:rPr>
          <w:rFonts w:hint="eastAsia" w:ascii="宋体" w:hAnsi="宋体" w:cs="宋体"/>
          <w:kern w:val="0"/>
          <w:sz w:val="24"/>
          <w:highlight w:val="none"/>
          <w:lang w:val="zh-CN"/>
        </w:rPr>
        <w:t>供应商质疑</w:t>
      </w:r>
    </w:p>
    <w:p>
      <w:pPr>
        <w:pStyle w:val="33"/>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w:t>
      </w:r>
      <w:r>
        <w:rPr>
          <w:rFonts w:hint="eastAsia" w:hAnsi="宋体" w:cs="宋体"/>
          <w:kern w:val="0"/>
          <w:sz w:val="24"/>
          <w:highlight w:val="none"/>
          <w:lang w:val="en-US" w:eastAsia="zh-CN"/>
        </w:rPr>
        <w:t>2</w:t>
      </w:r>
      <w:r>
        <w:rPr>
          <w:rFonts w:hint="eastAsia" w:hAnsi="宋体" w:cs="宋体"/>
          <w:sz w:val="24"/>
          <w:highlight w:val="none"/>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w:t>
      </w:r>
      <w:r>
        <w:rPr>
          <w:rFonts w:hint="eastAsia" w:hAnsi="宋体" w:cs="宋体"/>
          <w:kern w:val="0"/>
          <w:sz w:val="24"/>
          <w:highlight w:val="none"/>
          <w:lang w:val="en-US" w:eastAsia="zh-CN"/>
        </w:rPr>
        <w:t>2</w:t>
      </w:r>
      <w:r>
        <w:rPr>
          <w:rFonts w:hint="eastAsia" w:hAnsi="宋体" w:cs="宋体"/>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.2.1对采购文件提出质疑的，质疑期限为供应商获得采购文件之日或者采购文件公告期限届满之日起计算。</w:t>
      </w:r>
    </w:p>
    <w:p>
      <w:pPr>
        <w:pStyle w:val="33"/>
        <w:snapToGrid w:val="0"/>
        <w:spacing w:line="360" w:lineRule="auto"/>
        <w:ind w:firstLine="480" w:firstLineChars="200"/>
        <w:rPr>
          <w:rFonts w:hAnsi="宋体" w:cs="宋体"/>
          <w:sz w:val="24"/>
          <w:highlight w:val="none"/>
        </w:rPr>
      </w:pPr>
      <w:r>
        <w:rPr>
          <w:rFonts w:hint="eastAsia" w:hAnsi="宋体" w:cs="宋体"/>
          <w:sz w:val="24"/>
          <w:highlight w:val="none"/>
        </w:rPr>
        <w:t>4.</w:t>
      </w:r>
      <w:r>
        <w:rPr>
          <w:rFonts w:hint="eastAsia" w:hAnsi="宋体" w:cs="宋体"/>
          <w:sz w:val="24"/>
          <w:highlight w:val="none"/>
          <w:lang w:val="en-US" w:eastAsia="zh-CN"/>
        </w:rPr>
        <w:t>2</w:t>
      </w:r>
      <w:r>
        <w:rPr>
          <w:rFonts w:hint="eastAsia" w:hAnsi="宋体" w:cs="宋体"/>
          <w:sz w:val="24"/>
          <w:highlight w:val="none"/>
        </w:rPr>
        <w:t>.2.2对采购过程提出质疑的，质疑期限为各采购程序环节结束之日起计算。</w:t>
      </w:r>
    </w:p>
    <w:p>
      <w:pPr>
        <w:pStyle w:val="33"/>
        <w:snapToGrid w:val="0"/>
        <w:spacing w:line="360" w:lineRule="auto"/>
        <w:ind w:firstLine="480" w:firstLineChars="200"/>
        <w:rPr>
          <w:rFonts w:hAnsi="宋体" w:cs="宋体"/>
          <w:sz w:val="24"/>
          <w:highlight w:val="none"/>
        </w:rPr>
      </w:pPr>
      <w:r>
        <w:rPr>
          <w:rFonts w:hint="eastAsia" w:hAnsi="宋体" w:cs="宋体"/>
          <w:sz w:val="24"/>
          <w:highlight w:val="none"/>
        </w:rPr>
        <w:t>4.</w:t>
      </w:r>
      <w:r>
        <w:rPr>
          <w:rFonts w:hint="eastAsia" w:hAnsi="宋体" w:cs="宋体"/>
          <w:sz w:val="24"/>
          <w:highlight w:val="none"/>
          <w:lang w:val="en-US" w:eastAsia="zh-CN"/>
        </w:rPr>
        <w:t>2</w:t>
      </w:r>
      <w:r>
        <w:rPr>
          <w:rFonts w:hint="eastAsia" w:hAnsi="宋体" w:cs="宋体"/>
          <w:sz w:val="24"/>
          <w:highlight w:val="none"/>
        </w:rPr>
        <w:t>.2.3对采购结果提出质疑的，质疑期限自采购结果公告期限届满之日起计算。</w:t>
      </w:r>
    </w:p>
    <w:p>
      <w:pPr>
        <w:pStyle w:val="33"/>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lang w:val="en-US" w:eastAsia="zh-CN"/>
        </w:rPr>
        <w:t>2</w:t>
      </w:r>
      <w:r>
        <w:rPr>
          <w:rFonts w:hint="eastAsia" w:hAnsi="宋体" w:cs="宋体"/>
          <w:kern w:val="0"/>
          <w:sz w:val="24"/>
          <w:highlight w:val="none"/>
          <w:lang w:val="zh-CN"/>
        </w:rPr>
        <w:t>.3</w:t>
      </w:r>
      <w:r>
        <w:rPr>
          <w:rFonts w:hint="eastAsia" w:hAnsi="宋体" w:cs="宋体"/>
          <w:sz w:val="24"/>
          <w:highlight w:val="none"/>
        </w:rPr>
        <w:t>供应商提出质疑应当提交质疑函和必要的证明材料。质疑函应当包括下列内容：</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lang w:val="en-US" w:eastAsia="zh-CN"/>
        </w:rPr>
        <w:t>2</w:t>
      </w:r>
      <w:r>
        <w:rPr>
          <w:rFonts w:hint="eastAsia" w:hAnsi="宋体" w:cs="宋体"/>
          <w:kern w:val="0"/>
          <w:sz w:val="24"/>
          <w:highlight w:val="none"/>
          <w:lang w:val="zh-CN"/>
        </w:rPr>
        <w:t>.3.1供应商的姓名或者名称、地址、邮编、联系人及联系电话；</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lang w:val="en-US" w:eastAsia="zh-CN"/>
        </w:rPr>
        <w:t>2</w:t>
      </w:r>
      <w:r>
        <w:rPr>
          <w:rFonts w:hint="eastAsia" w:hAnsi="宋体" w:cs="宋体"/>
          <w:kern w:val="0"/>
          <w:sz w:val="24"/>
          <w:highlight w:val="none"/>
          <w:lang w:val="zh-CN"/>
        </w:rPr>
        <w:t>.3.2质疑项目的名称、编号；</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lang w:val="en-US" w:eastAsia="zh-CN"/>
        </w:rPr>
        <w:t>2</w:t>
      </w:r>
      <w:r>
        <w:rPr>
          <w:rFonts w:hint="eastAsia" w:hAnsi="宋体" w:cs="宋体"/>
          <w:kern w:val="0"/>
          <w:sz w:val="24"/>
          <w:highlight w:val="none"/>
          <w:lang w:val="zh-CN"/>
        </w:rPr>
        <w:t>.3.3具体、明确的质疑事项和与质疑事项相关的请求；</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lang w:val="en-US" w:eastAsia="zh-CN"/>
        </w:rPr>
        <w:t>2</w:t>
      </w:r>
      <w:r>
        <w:rPr>
          <w:rFonts w:hint="eastAsia" w:hAnsi="宋体" w:cs="宋体"/>
          <w:kern w:val="0"/>
          <w:sz w:val="24"/>
          <w:highlight w:val="none"/>
          <w:lang w:val="zh-CN"/>
        </w:rPr>
        <w:t>.3.4事实依据；</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lang w:val="en-US" w:eastAsia="zh-CN"/>
        </w:rPr>
        <w:t>2</w:t>
      </w:r>
      <w:r>
        <w:rPr>
          <w:rFonts w:hint="eastAsia" w:hAnsi="宋体" w:cs="宋体"/>
          <w:kern w:val="0"/>
          <w:sz w:val="24"/>
          <w:highlight w:val="none"/>
          <w:lang w:val="zh-CN"/>
        </w:rPr>
        <w:t>.3.5必要的法律依据；</w:t>
      </w:r>
    </w:p>
    <w:p>
      <w:pPr>
        <w:pStyle w:val="33"/>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lang w:val="en-US" w:eastAsia="zh-CN"/>
        </w:rPr>
        <w:t>2</w:t>
      </w:r>
      <w:r>
        <w:rPr>
          <w:rFonts w:hint="eastAsia" w:hAnsi="宋体" w:cs="宋体"/>
          <w:kern w:val="0"/>
          <w:sz w:val="24"/>
          <w:highlight w:val="none"/>
          <w:lang w:val="zh-CN"/>
        </w:rPr>
        <w:t>.3.6提出质疑的日期。</w:t>
      </w:r>
    </w:p>
    <w:p>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w:t>
      </w:r>
      <w:r>
        <w:rPr>
          <w:rFonts w:hint="eastAsia"/>
          <w:highlight w:val="none"/>
          <w:lang w:val="en-US" w:eastAsia="zh-CN"/>
        </w:rPr>
        <w:t>2</w:t>
      </w:r>
      <w:r>
        <w:rPr>
          <w:rFonts w:hint="eastAsia"/>
          <w:highlight w:val="none"/>
        </w:rPr>
        <w:t>.4对同一采购程序环节的质疑，供应商须在法定质疑期内一次性提出。</w:t>
      </w:r>
    </w:p>
    <w:p>
      <w:pPr>
        <w:pStyle w:val="891"/>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lang w:val="zh-CN"/>
        </w:rPr>
        <w:t>4.</w:t>
      </w:r>
      <w:r>
        <w:rPr>
          <w:rFonts w:hint="eastAsia"/>
          <w:highlight w:val="none"/>
          <w:lang w:val="en-US" w:eastAsia="zh-CN"/>
        </w:rPr>
        <w:t>2</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应当在收到供应商的书面质疑后七个工作日内作出答复，并以书面形式通知质疑供应商和其他与质疑处理结果有利害关系的采购当事人，但答复的内容不得涉及商业秘密。</w:t>
      </w:r>
    </w:p>
    <w:p>
      <w:pPr>
        <w:pStyle w:val="891"/>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w:t>
      </w:r>
      <w:r>
        <w:rPr>
          <w:rFonts w:hint="eastAsia"/>
          <w:highlight w:val="none"/>
          <w:lang w:val="en-US" w:eastAsia="zh-CN"/>
        </w:rPr>
        <w:t>2</w:t>
      </w:r>
      <w:r>
        <w:rPr>
          <w:rFonts w:hint="eastAsia"/>
          <w:highlight w:val="none"/>
        </w:rPr>
        <w:t>.6询问或者质疑事项可能影响采购结果的，采购人应当暂停签订合同，已经签订合同的，应当中止履行合同。</w:t>
      </w:r>
    </w:p>
    <w:p>
      <w:pPr>
        <w:pStyle w:val="137"/>
        <w:snapToGrid w:val="0"/>
        <w:spacing w:before="0"/>
        <w:ind w:firstLine="360"/>
        <w:rPr>
          <w:rFonts w:ascii="宋体" w:hAnsi="宋体" w:cs="宋体"/>
          <w:sz w:val="18"/>
          <w:szCs w:val="18"/>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二、采购文件的构成、澄清、修改</w:t>
      </w:r>
    </w:p>
    <w:p>
      <w:pPr>
        <w:pStyle w:val="33"/>
        <w:spacing w:line="360" w:lineRule="auto"/>
        <w:rPr>
          <w:rFonts w:hAnsi="宋体" w:cs="宋体"/>
          <w:b/>
          <w:sz w:val="24"/>
          <w:szCs w:val="24"/>
          <w:highlight w:val="none"/>
        </w:rPr>
      </w:pPr>
      <w:r>
        <w:rPr>
          <w:rFonts w:hint="eastAsia" w:hAnsi="宋体" w:cs="宋体"/>
          <w:b/>
          <w:sz w:val="24"/>
          <w:szCs w:val="24"/>
          <w:highlight w:val="none"/>
        </w:rPr>
        <w:t>5．采购文件的构成</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采购文件包括下列文件及附件：</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5.1.1竞争性磋商公告；</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5.1.2供应商须知；</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5.1.4评审办法；</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pPr>
        <w:pStyle w:val="33"/>
        <w:spacing w:line="360" w:lineRule="auto"/>
        <w:rPr>
          <w:rFonts w:hAnsi="宋体" w:cs="宋体"/>
          <w:b/>
          <w:sz w:val="24"/>
          <w:szCs w:val="24"/>
          <w:highlight w:val="none"/>
        </w:rPr>
      </w:pPr>
      <w:r>
        <w:rPr>
          <w:rFonts w:hint="eastAsia" w:hAnsi="宋体" w:cs="宋体"/>
          <w:b/>
          <w:sz w:val="24"/>
          <w:szCs w:val="24"/>
          <w:highlight w:val="none"/>
        </w:rPr>
        <w:t>6. 采购文件的澄清、修改</w:t>
      </w:r>
    </w:p>
    <w:p>
      <w:pPr>
        <w:pStyle w:val="137"/>
        <w:snapToGrid w:val="0"/>
        <w:spacing w:before="0"/>
        <w:ind w:firstLine="480"/>
        <w:rPr>
          <w:rFonts w:ascii="宋体" w:hAnsi="宋体" w:cs="宋体"/>
          <w:highlight w:val="none"/>
        </w:rPr>
      </w:pPr>
      <w:r>
        <w:rPr>
          <w:rFonts w:hint="eastAsia" w:ascii="宋体" w:hAnsi="宋体" w:cs="宋体"/>
          <w:highlight w:val="none"/>
        </w:rPr>
        <w:t>6.1已获取采购文件的潜在供应商，若有问题需要澄清，应于响应文件提交（上传）截止时间前，以书面形式向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pPr>
        <w:pStyle w:val="137"/>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Ansi="宋体" w:cs="宋体"/>
          <w:sz w:val="18"/>
          <w:szCs w:val="18"/>
          <w:highlight w:val="none"/>
          <w:lang w:val="en-US"/>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三、提交响应文件</w:t>
      </w:r>
    </w:p>
    <w:p>
      <w:pPr>
        <w:pStyle w:val="33"/>
        <w:spacing w:line="360" w:lineRule="auto"/>
        <w:rPr>
          <w:rFonts w:hAnsi="宋体" w:cs="宋体"/>
          <w:b/>
          <w:sz w:val="24"/>
          <w:szCs w:val="24"/>
          <w:highlight w:val="none"/>
        </w:rPr>
      </w:pPr>
      <w:r>
        <w:rPr>
          <w:rFonts w:hint="eastAsia" w:hAnsi="宋体" w:cs="宋体"/>
          <w:b/>
          <w:sz w:val="24"/>
          <w:szCs w:val="24"/>
          <w:highlight w:val="none"/>
        </w:rPr>
        <w:t>7. 采购文件的获取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详见竞争性磋商公告中获取采购文件的时间期限、地点、方式及采购文件售价。</w:t>
      </w:r>
    </w:p>
    <w:p>
      <w:pPr>
        <w:pStyle w:val="33"/>
        <w:spacing w:line="360" w:lineRule="auto"/>
        <w:rPr>
          <w:rFonts w:hAnsi="宋体" w:cs="宋体"/>
          <w:b/>
          <w:sz w:val="24"/>
          <w:szCs w:val="24"/>
          <w:highlight w:val="none"/>
        </w:rPr>
      </w:pPr>
      <w:r>
        <w:rPr>
          <w:rFonts w:hint="eastAsia" w:hAnsi="宋体" w:cs="宋体"/>
          <w:b/>
          <w:sz w:val="24"/>
          <w:szCs w:val="24"/>
          <w:highlight w:val="none"/>
        </w:rPr>
        <w:t>8.磋商前答疑会或现场考察</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采购人组织潜在供应商现场考察或者召开磋商前答疑会的，潜在供应商按第二部分供应商须知前附表的规定参加现场考察或者磋商前答疑会。</w:t>
      </w:r>
    </w:p>
    <w:p>
      <w:pPr>
        <w:pStyle w:val="33"/>
        <w:spacing w:line="360" w:lineRule="auto"/>
        <w:rPr>
          <w:rFonts w:hAnsi="宋体" w:cs="宋体"/>
          <w:b/>
          <w:szCs w:val="24"/>
          <w:highlight w:val="none"/>
        </w:rPr>
      </w:pPr>
      <w:r>
        <w:rPr>
          <w:rFonts w:hint="eastAsia" w:hAnsi="宋体" w:cs="宋体"/>
          <w:b/>
          <w:kern w:val="28"/>
          <w:sz w:val="24"/>
          <w:szCs w:val="24"/>
          <w:highlight w:val="none"/>
        </w:rPr>
        <w:t>9.磋商保证金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3"/>
        <w:spacing w:line="360" w:lineRule="auto"/>
        <w:rPr>
          <w:rFonts w:hAnsi="宋体" w:cs="宋体"/>
          <w:b/>
          <w:sz w:val="24"/>
          <w:szCs w:val="24"/>
          <w:highlight w:val="none"/>
        </w:rPr>
      </w:pPr>
      <w:r>
        <w:rPr>
          <w:rFonts w:hint="eastAsia" w:hAnsi="宋体" w:cs="宋体"/>
          <w:b/>
          <w:sz w:val="24"/>
          <w:szCs w:val="24"/>
          <w:highlight w:val="none"/>
        </w:rPr>
        <w:t>10. 响应文件的语言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pPr>
        <w:pStyle w:val="33"/>
        <w:spacing w:line="360" w:lineRule="auto"/>
        <w:rPr>
          <w:rFonts w:hAnsi="宋体" w:cs="宋体"/>
          <w:b/>
          <w:sz w:val="24"/>
          <w:szCs w:val="24"/>
          <w:highlight w:val="none"/>
        </w:rPr>
      </w:pPr>
      <w:r>
        <w:rPr>
          <w:rFonts w:hint="eastAsia" w:hAnsi="宋体" w:cs="宋体"/>
          <w:b/>
          <w:sz w:val="24"/>
          <w:szCs w:val="24"/>
          <w:highlight w:val="none"/>
        </w:rPr>
        <w:t>11. 响应文件的组成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4" w:name="_Hlk101259339"/>
      <w:r>
        <w:rPr>
          <w:rFonts w:hint="eastAsia" w:ascii="宋体" w:hAnsi="宋体" w:cs="宋体"/>
          <w:snapToGrid w:val="0"/>
          <w:kern w:val="28"/>
          <w:sz w:val="24"/>
          <w:szCs w:val="20"/>
          <w:highlight w:val="none"/>
        </w:rPr>
        <w:t>联合协议</w:t>
      </w:r>
      <w:bookmarkStart w:id="15" w:name="_Hlk101257010"/>
      <w:r>
        <w:rPr>
          <w:rFonts w:hint="eastAsia" w:ascii="宋体" w:hAnsi="宋体" w:cs="宋体"/>
          <w:snapToGrid w:val="0"/>
          <w:kern w:val="28"/>
          <w:sz w:val="24"/>
          <w:szCs w:val="20"/>
          <w:highlight w:val="none"/>
        </w:rPr>
        <w:t>（如果有)</w:t>
      </w:r>
      <w:bookmarkEnd w:id="14"/>
      <w:bookmarkEnd w:id="15"/>
      <w:r>
        <w:rPr>
          <w:rFonts w:hint="eastAsia" w:ascii="宋体" w:hAnsi="宋体" w:cs="宋体"/>
          <w:snapToGrid w:val="0"/>
          <w:kern w:val="28"/>
          <w:sz w:val="24"/>
          <w:szCs w:val="20"/>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11.2.1响应函；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11.2.5评审标准相应的商务技术资料；</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11.2.6商务技术偏离表；</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lang w:val="zh-CN"/>
        </w:rPr>
        <w:t>电梯及重要部件规格参数</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pPr>
        <w:pStyle w:val="13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color w:val="auto"/>
          <w:kern w:val="0"/>
          <w:sz w:val="24"/>
          <w:highlight w:val="none"/>
          <w:lang w:val="zh-CN"/>
        </w:rPr>
        <w:t>12.2供应商进行电子投标应安装</w:t>
      </w:r>
      <w:r>
        <w:rPr>
          <w:rFonts w:hint="eastAsia" w:ascii="宋体" w:hAnsi="宋体" w:cs="宋体"/>
          <w:kern w:val="0"/>
          <w:sz w:val="24"/>
          <w:highlight w:val="none"/>
          <w:lang w:val="zh-CN"/>
        </w:rPr>
        <w:t>客户端软件—“乐采云电子交易客户端”，并按照采购文件和电子交易平台的要求编制并加密响应文件。供应商未按规定加密的响应文件，电子交易平台将拒收并提示。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12.3使用“乐采云电子交易客户端”需要提前申领CA数字证书，申领流程请自行前往“浙江政府采购网-下载专区-电子交易客户端-CA驱动和申领流程”进行查阅。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13.响应文件的签署、盖章</w:t>
      </w:r>
    </w:p>
    <w:p>
      <w:pPr>
        <w:pStyle w:val="137"/>
        <w:snapToGrid w:val="0"/>
        <w:spacing w:before="0"/>
        <w:ind w:firstLine="480"/>
        <w:rPr>
          <w:rFonts w:ascii="宋体" w:hAnsi="宋体" w:cs="宋体"/>
          <w:b/>
          <w:highlight w:val="none"/>
        </w:rPr>
      </w:pPr>
      <w:r>
        <w:rPr>
          <w:rFonts w:hint="eastAsia" w:ascii="宋体" w:hAnsi="宋体" w:cs="宋体"/>
          <w:szCs w:val="24"/>
          <w:highlight w:val="none"/>
        </w:rPr>
        <w:t>13.1响应文件按照采购文件第六部分格式要</w:t>
      </w:r>
      <w:r>
        <w:rPr>
          <w:rFonts w:hint="eastAsia" w:ascii="宋体" w:hAnsi="宋体" w:cs="宋体"/>
          <w:highlight w:val="none"/>
        </w:rPr>
        <w:t>求进行签署、盖章。</w:t>
      </w:r>
      <w:r>
        <w:rPr>
          <w:rFonts w:hint="eastAsia" w:ascii="宋体" w:hAnsi="宋体" w:cs="宋体"/>
          <w:b/>
          <w:highlight w:val="none"/>
        </w:rPr>
        <w:t>▲供应商的响应文件未按照采购文件要求签署、盖章的，其响应文件无效</w:t>
      </w:r>
      <w:r>
        <w:rPr>
          <w:rFonts w:hint="eastAsia" w:ascii="宋体" w:hAnsi="宋体" w:cs="宋体"/>
          <w:szCs w:val="24"/>
          <w:highlight w:val="none"/>
        </w:rPr>
        <w:t>。</w:t>
      </w:r>
    </w:p>
    <w:p>
      <w:pPr>
        <w:pStyle w:val="137"/>
        <w:snapToGrid w:val="0"/>
        <w:spacing w:before="0"/>
        <w:ind w:firstLine="480"/>
        <w:rPr>
          <w:rFonts w:ascii="宋体" w:hAnsi="宋体" w:cs="宋体"/>
          <w:highlight w:val="none"/>
        </w:rPr>
      </w:pPr>
      <w:r>
        <w:rPr>
          <w:rFonts w:hint="eastAsia" w:ascii="宋体" w:hAnsi="宋体" w:cs="宋体"/>
          <w:highlight w:val="none"/>
        </w:rPr>
        <w:t>13.2为确保网上操作合法、有效和安全，供应商应当在响应文件提交（上传）截止时间前完成在“</w:t>
      </w:r>
      <w:r>
        <w:rPr>
          <w:rFonts w:hint="eastAsia" w:ascii="宋体" w:hAnsi="宋体" w:cs="宋体"/>
          <w:highlight w:val="none"/>
          <w:lang w:eastAsia="zh-CN"/>
        </w:rPr>
        <w:t>乐采云平台</w:t>
      </w:r>
      <w:r>
        <w:rPr>
          <w:rFonts w:hint="eastAsia" w:ascii="宋体" w:hAnsi="宋体" w:cs="宋体"/>
          <w:highlight w:val="none"/>
        </w:rPr>
        <w:t>”的身份认证，确保在电子投标过程中能够对相关数据电文进行加密和使用电子签名。</w:t>
      </w:r>
    </w:p>
    <w:p>
      <w:pPr>
        <w:pStyle w:val="137"/>
        <w:snapToGrid w:val="0"/>
        <w:spacing w:before="0"/>
        <w:ind w:firstLine="480"/>
        <w:rPr>
          <w:rFonts w:ascii="宋体" w:hAnsi="宋体" w:cs="宋体"/>
          <w:szCs w:val="24"/>
          <w:highlight w:val="none"/>
        </w:rPr>
      </w:pPr>
      <w:r>
        <w:rPr>
          <w:rFonts w:hint="eastAsia" w:ascii="宋体" w:hAnsi="宋体" w:cs="宋体"/>
          <w:highlight w:val="none"/>
        </w:rPr>
        <w:t>13.3采购文件对响应文件签署、盖章的要求适用于电子签名。</w:t>
      </w:r>
    </w:p>
    <w:p>
      <w:pPr>
        <w:pStyle w:val="137"/>
        <w:snapToGrid w:val="0"/>
        <w:spacing w:before="0"/>
        <w:ind w:firstLine="0" w:firstLineChars="0"/>
        <w:rPr>
          <w:rFonts w:ascii="宋体" w:hAnsi="宋体" w:cs="宋体"/>
          <w:b/>
          <w:szCs w:val="24"/>
          <w:highlight w:val="none"/>
        </w:rPr>
      </w:pPr>
    </w:p>
    <w:p>
      <w:pPr>
        <w:pStyle w:val="137"/>
        <w:snapToGrid w:val="0"/>
        <w:spacing w:before="0"/>
        <w:ind w:firstLine="0" w:firstLineChars="0"/>
        <w:rPr>
          <w:rFonts w:ascii="宋体" w:hAnsi="宋体" w:cs="宋体"/>
          <w:b/>
          <w:szCs w:val="24"/>
          <w:highlight w:val="none"/>
        </w:rPr>
      </w:pPr>
      <w:r>
        <w:rPr>
          <w:rFonts w:hint="eastAsia" w:ascii="宋体" w:hAnsi="宋体" w:cs="宋体"/>
          <w:b/>
          <w:szCs w:val="24"/>
          <w:highlight w:val="none"/>
        </w:rPr>
        <w:t>14. 响应文件的提交、补充、修改、撤回</w:t>
      </w:r>
    </w:p>
    <w:p>
      <w:pPr>
        <w:pStyle w:val="137"/>
        <w:snapToGrid w:val="0"/>
        <w:spacing w:before="0"/>
        <w:ind w:firstLine="480"/>
        <w:rPr>
          <w:rFonts w:ascii="宋体" w:hAnsi="宋体" w:cs="宋体"/>
          <w:szCs w:val="24"/>
          <w:highlight w:val="none"/>
        </w:rPr>
      </w:pPr>
      <w:r>
        <w:rPr>
          <w:rFonts w:hint="eastAsia" w:ascii="宋体" w:hAnsi="宋体" w:cs="宋体"/>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7"/>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7"/>
        <w:snapToGrid w:val="0"/>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可以视情况延长响应文件提交的截止时间。在上述情况下，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与供应商以前在响应文件提交截止时间方面的全部权利、责任和义务，将适用于延长至新的响应文件提交截止时间。</w:t>
      </w:r>
    </w:p>
    <w:p>
      <w:pPr>
        <w:pStyle w:val="33"/>
        <w:snapToGrid w:val="0"/>
        <w:spacing w:line="360" w:lineRule="auto"/>
        <w:rPr>
          <w:rFonts w:hAnsi="宋体" w:cs="宋体"/>
          <w:b/>
          <w:sz w:val="24"/>
          <w:szCs w:val="24"/>
          <w:highlight w:val="none"/>
        </w:rPr>
      </w:pPr>
      <w:r>
        <w:rPr>
          <w:rFonts w:hint="eastAsia" w:hAnsi="宋体" w:cs="宋体"/>
          <w:b/>
          <w:sz w:val="24"/>
          <w:szCs w:val="24"/>
          <w:highlight w:val="none"/>
        </w:rPr>
        <w:t>15.备份响应文件</w:t>
      </w:r>
    </w:p>
    <w:p>
      <w:pPr>
        <w:pStyle w:val="33"/>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不强制或变相强制供应商提交备份响应文件。</w:t>
      </w:r>
    </w:p>
    <w:p>
      <w:pPr>
        <w:pStyle w:val="33"/>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15.2备份响应文件须在“</w:t>
      </w:r>
      <w:r>
        <w:rPr>
          <w:rFonts w:hint="eastAsia" w:hAnsi="宋体" w:cs="宋体"/>
          <w:sz w:val="24"/>
          <w:szCs w:val="24"/>
          <w:highlight w:val="none"/>
          <w:lang w:eastAsia="zh-CN"/>
        </w:rPr>
        <w:t>乐采</w:t>
      </w:r>
      <w:r>
        <w:rPr>
          <w:rFonts w:hint="eastAsia" w:hAnsi="宋体" w:cs="宋体"/>
          <w:sz w:val="24"/>
          <w:szCs w:val="24"/>
          <w:highlight w:val="none"/>
        </w:rPr>
        <w:t>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存储、密封规定的备份响应文件将被视为无效或者被拒绝接收。</w:t>
      </w:r>
    </w:p>
    <w:p>
      <w:pPr>
        <w:pStyle w:val="33"/>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将拒绝接受逾期送达的备份响应文件。</w:t>
      </w:r>
    </w:p>
    <w:p>
      <w:pPr>
        <w:pStyle w:val="33"/>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highlight w:val="none"/>
        </w:rPr>
        <w:t>采购文件第二部分供应商须知前附表规定的备份响应文件送达地点；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将拒绝接受逾期送达的备份响应文件。邮寄过程中，电子备份响应文件发生泄露、遗失、损坏或延期送达等情况的，由供应商自行负责。</w:t>
      </w:r>
    </w:p>
    <w:p>
      <w:pPr>
        <w:pStyle w:val="33"/>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15.5供应商仅提交备份响应文件，未在电子交易平台传输递交响应文件的，响应文件无效。</w:t>
      </w:r>
    </w:p>
    <w:p>
      <w:pPr>
        <w:pStyle w:val="137"/>
        <w:spacing w:before="0"/>
        <w:ind w:firstLine="0" w:firstLineChars="0"/>
        <w:rPr>
          <w:rFonts w:ascii="宋体" w:hAnsi="宋体" w:cs="宋体"/>
          <w:b/>
          <w:szCs w:val="24"/>
          <w:highlight w:val="none"/>
        </w:rPr>
      </w:pPr>
      <w:r>
        <w:rPr>
          <w:rFonts w:hint="eastAsia" w:ascii="宋体" w:hAnsi="宋体" w:cs="宋体"/>
          <w:b/>
          <w:szCs w:val="24"/>
          <w:highlight w:val="none"/>
        </w:rPr>
        <w:t>16.响应文件的无效处理</w:t>
      </w:r>
    </w:p>
    <w:p>
      <w:pPr>
        <w:pStyle w:val="25"/>
        <w:spacing w:line="360" w:lineRule="auto"/>
        <w:ind w:firstLine="360" w:firstLineChars="150"/>
        <w:rPr>
          <w:rFonts w:cs="宋体"/>
          <w:szCs w:val="21"/>
          <w:highlight w:val="none"/>
        </w:rPr>
      </w:pPr>
      <w:r>
        <w:rPr>
          <w:rFonts w:hint="eastAsia" w:cs="宋体"/>
          <w:szCs w:val="21"/>
          <w:highlight w:val="none"/>
        </w:rPr>
        <w:t>有采购文件第四部分</w:t>
      </w:r>
      <w:r>
        <w:rPr>
          <w:rFonts w:hint="eastAsia" w:cs="宋体"/>
          <w:highlight w:val="none"/>
        </w:rPr>
        <w:t>4.2规定</w:t>
      </w:r>
      <w:r>
        <w:rPr>
          <w:rFonts w:hint="eastAsia" w:cs="宋体"/>
          <w:szCs w:val="21"/>
          <w:highlight w:val="none"/>
        </w:rPr>
        <w:t>的情形之一的，响应文件无效：</w:t>
      </w:r>
    </w:p>
    <w:p>
      <w:pPr>
        <w:pStyle w:val="137"/>
        <w:spacing w:before="0"/>
        <w:ind w:firstLine="0" w:firstLineChars="0"/>
        <w:rPr>
          <w:rFonts w:ascii="宋体" w:hAnsi="宋体" w:cs="宋体"/>
          <w:b/>
          <w:szCs w:val="24"/>
          <w:highlight w:val="none"/>
        </w:rPr>
      </w:pPr>
      <w:r>
        <w:rPr>
          <w:rFonts w:hint="eastAsia" w:ascii="宋体" w:hAnsi="宋体" w:cs="宋体"/>
          <w:b/>
          <w:szCs w:val="24"/>
          <w:highlight w:val="none"/>
        </w:rPr>
        <w:t>17.响应文件有效期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17.1响应文件有效期为从提交响应文件的截止之日起90天。▲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诺的响应文件有效期少于采购文件中载明的响应文件有效期的，响应文件无效。</w:t>
      </w:r>
    </w:p>
    <w:p>
      <w:pPr>
        <w:pStyle w:val="137"/>
        <w:spacing w:before="0"/>
        <w:ind w:firstLine="480"/>
        <w:rPr>
          <w:rFonts w:ascii="宋体" w:hAnsi="宋体" w:cs="宋体"/>
          <w:highlight w:val="none"/>
        </w:rPr>
      </w:pPr>
      <w:r>
        <w:rPr>
          <w:rFonts w:hint="eastAsia" w:ascii="宋体" w:hAnsi="宋体" w:cs="宋体"/>
          <w:highlight w:val="none"/>
        </w:rPr>
        <w:t>17.2响应文件合格投递后，自响应文件提交截止时间起，在响应文件有效期内有效。</w:t>
      </w:r>
    </w:p>
    <w:p>
      <w:pPr>
        <w:pStyle w:val="137"/>
        <w:spacing w:before="0"/>
        <w:ind w:firstLine="480"/>
        <w:rPr>
          <w:rFonts w:ascii="宋体" w:hAnsi="宋体" w:cs="宋体"/>
          <w:highlight w:val="none"/>
        </w:rPr>
      </w:pPr>
      <w:r>
        <w:rPr>
          <w:rFonts w:hint="eastAsia" w:ascii="宋体" w:hAnsi="宋体" w:cs="宋体"/>
          <w:highlight w:val="none"/>
        </w:rPr>
        <w:t>17.3在原定响应文件有效期满之前，如果出现特殊情况，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可以以书面形式通知供应商延长响应文件有效期。供应商同意延长的，不得要求或被允许修改其响应文件，供应商拒绝延长的，其响应文件无效。</w:t>
      </w:r>
    </w:p>
    <w:p>
      <w:pPr>
        <w:pStyle w:val="137"/>
        <w:spacing w:before="0"/>
        <w:ind w:firstLine="643"/>
        <w:rPr>
          <w:rFonts w:ascii="宋体" w:hAnsi="宋体" w:cs="宋体"/>
          <w:b/>
          <w:sz w:val="32"/>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四、响应文件开启、资格审查与信用信息查询</w:t>
      </w:r>
    </w:p>
    <w:p>
      <w:pPr>
        <w:pStyle w:val="559"/>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18.响应文件开启</w:t>
      </w:r>
      <w:r>
        <w:rPr>
          <w:rFonts w:hint="eastAsia" w:ascii="宋体" w:hAnsi="宋体" w:cs="宋体"/>
          <w:sz w:val="24"/>
          <w:highlight w:val="none"/>
        </w:rPr>
        <w:t xml:space="preserve"> </w:t>
      </w:r>
    </w:p>
    <w:p>
      <w:pPr>
        <w:pStyle w:val="559"/>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按照采购文件规定的时间通过电子交易平台组织响应文件开启，所有供应商均应当准时在线参加。供应商不足3家的，不得开启。</w:t>
      </w:r>
    </w:p>
    <w:p>
      <w:pPr>
        <w:pStyle w:val="559"/>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18.2响应文件开启时，电子交易平台按响应文件开启时间自动提取所有响应文件。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依托电子交易平台发起开始解密指令，供应商按照平台提示和采购文件的规定在半小时内完成在线解密。</w:t>
      </w:r>
    </w:p>
    <w:p>
      <w:pPr>
        <w:pStyle w:val="559"/>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18.3</w:t>
      </w:r>
      <w:r>
        <w:rPr>
          <w:rFonts w:hint="eastAsia" w:ascii="宋体" w:hAnsi="宋体" w:cs="宋体"/>
          <w:b/>
          <w:bCs/>
          <w:sz w:val="24"/>
          <w:highlight w:val="none"/>
        </w:rPr>
        <w:t>响应文件未按时解密，供应商提供了备份响应文件的，以备份响应文件作为依据，否则视为响应文件撤回。响应文件已按时解密的，备份响应文件自动失效。</w:t>
      </w:r>
    </w:p>
    <w:p>
      <w:pPr>
        <w:pStyle w:val="559"/>
        <w:spacing w:before="0" w:line="360" w:lineRule="auto"/>
        <w:ind w:left="0" w:firstLine="0"/>
        <w:contextualSpacing/>
        <w:rPr>
          <w:rFonts w:ascii="宋体" w:hAnsi="宋体" w:cs="宋体"/>
          <w:b/>
          <w:sz w:val="24"/>
          <w:szCs w:val="24"/>
          <w:highlight w:val="none"/>
        </w:rPr>
      </w:pPr>
      <w:r>
        <w:rPr>
          <w:rFonts w:hint="eastAsia" w:ascii="宋体" w:hAnsi="宋体" w:cs="宋体"/>
          <w:b/>
          <w:sz w:val="24"/>
          <w:szCs w:val="24"/>
          <w:highlight w:val="none"/>
        </w:rPr>
        <w:t>19、资格审查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w:t>
      </w:r>
      <w:r>
        <w:rPr>
          <w:rFonts w:hint="eastAsia" w:ascii="宋体" w:hAnsi="宋体" w:cs="宋体"/>
          <w:sz w:val="24"/>
          <w:highlight w:val="none"/>
          <w:lang w:eastAsia="zh-CN"/>
        </w:rPr>
        <w:t>采购代理机构</w:t>
      </w:r>
      <w:r>
        <w:rPr>
          <w:rFonts w:hint="eastAsia" w:ascii="宋体" w:hAnsi="宋体" w:cs="宋体"/>
          <w:sz w:val="24"/>
          <w:highlight w:val="none"/>
        </w:rPr>
        <w:t>或磋商小组依据法律法规和采购文件的规定，对供应商的资格进行审查。</w:t>
      </w:r>
    </w:p>
    <w:p>
      <w:pPr>
        <w:pStyle w:val="137"/>
        <w:spacing w:before="0"/>
        <w:ind w:firstLine="480"/>
        <w:rPr>
          <w:rFonts w:ascii="宋体" w:hAnsi="宋体" w:cs="宋体"/>
          <w:color w:val="auto"/>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供应</w:t>
      </w:r>
      <w:r>
        <w:rPr>
          <w:rFonts w:hint="eastAsia" w:ascii="宋体" w:hAnsi="宋体" w:cs="宋体"/>
          <w:color w:val="auto"/>
          <w:kern w:val="0"/>
          <w:szCs w:val="24"/>
          <w:highlight w:val="none"/>
        </w:rPr>
        <w:t>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pPr>
        <w:pStyle w:val="137"/>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pPr>
        <w:pStyle w:val="13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20.2信用信息查询记录和证据留存的具体方式：现场查询的供应商的信用记录、查询结果经确认后将与采购文件一起存档。</w:t>
      </w:r>
    </w:p>
    <w:p>
      <w:pPr>
        <w:pStyle w:val="13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7"/>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7"/>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五、评审</w:t>
      </w:r>
    </w:p>
    <w:p>
      <w:pPr>
        <w:spacing w:line="360" w:lineRule="auto"/>
        <w:rPr>
          <w:rFonts w:ascii="宋体" w:hAnsi="宋体" w:cs="宋体"/>
          <w:b/>
          <w:sz w:val="24"/>
          <w:highlight w:val="none"/>
        </w:rPr>
      </w:pPr>
      <w:bookmarkStart w:id="16"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highlight w:val="none"/>
        </w:rPr>
        <w:t>详见采购文件第四部分评审办法。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3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w:t>
      </w:r>
    </w:p>
    <w:p>
      <w:pPr>
        <w:pStyle w:val="13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公告期限为1个工作日。</w:t>
      </w:r>
    </w:p>
    <w:p>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5"/>
        <w:snapToGrid w:val="0"/>
        <w:spacing w:line="360" w:lineRule="auto"/>
        <w:ind w:left="479" w:hanging="479" w:hangingChars="199"/>
        <w:rPr>
          <w:rFonts w:cs="宋体"/>
          <w:b/>
          <w:highlight w:val="none"/>
        </w:rPr>
      </w:pPr>
      <w:r>
        <w:rPr>
          <w:rFonts w:hint="eastAsia" w:cs="宋体"/>
          <w:b/>
          <w:color w:val="auto"/>
          <w:highlight w:val="none"/>
        </w:rPr>
        <w:t xml:space="preserve">24. </w:t>
      </w:r>
      <w:r>
        <w:rPr>
          <w:rFonts w:hint="eastAsia" w:cs="宋体"/>
          <w:color w:val="auto"/>
          <w:highlight w:val="none"/>
        </w:rPr>
        <w:t>合同主要</w:t>
      </w:r>
      <w:r>
        <w:rPr>
          <w:rFonts w:hint="eastAsia" w:cs="宋体"/>
          <w:highlight w:val="none"/>
        </w:rPr>
        <w:t>条款详见第五部分拟签订的合同文本。</w:t>
      </w:r>
    </w:p>
    <w:p>
      <w:pPr>
        <w:pStyle w:val="25"/>
        <w:snapToGrid w:val="0"/>
        <w:spacing w:line="360" w:lineRule="auto"/>
        <w:ind w:left="479" w:hanging="479" w:hangingChars="199"/>
        <w:rPr>
          <w:rFonts w:cs="宋体"/>
          <w:b/>
          <w:highlight w:val="none"/>
        </w:rPr>
      </w:pPr>
      <w:r>
        <w:rPr>
          <w:rFonts w:hint="eastAsia" w:cs="宋体"/>
          <w:b/>
          <w:highlight w:val="none"/>
        </w:rPr>
        <w:t>25. 合同的签订</w:t>
      </w:r>
    </w:p>
    <w:p>
      <w:pPr>
        <w:pStyle w:val="137"/>
        <w:snapToGrid w:val="0"/>
        <w:spacing w:before="0"/>
        <w:ind w:firstLine="480"/>
        <w:rPr>
          <w:rFonts w:ascii="宋体" w:hAnsi="宋体" w:cs="宋体"/>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采购人与成交供应商应当通过电子交易平台在成交通知书发出之日起三十日内，按照采购文件确定的事项签订采购合同</w:t>
      </w:r>
    </w:p>
    <w:p>
      <w:pPr>
        <w:pStyle w:val="25"/>
        <w:snapToGrid w:val="0"/>
        <w:spacing w:line="360" w:lineRule="auto"/>
        <w:ind w:left="479" w:hanging="479" w:hangingChars="199"/>
        <w:rPr>
          <w:rFonts w:cs="宋体"/>
          <w:b/>
          <w:highlight w:val="none"/>
        </w:rPr>
      </w:pPr>
      <w:r>
        <w:rPr>
          <w:rFonts w:hint="eastAsia" w:cs="宋体"/>
          <w:b/>
          <w:highlight w:val="none"/>
        </w:rPr>
        <w:t>26. 履约保证金</w:t>
      </w:r>
    </w:p>
    <w:p>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八、电子交易活动的中止</w:t>
      </w:r>
    </w:p>
    <w:p>
      <w:pPr>
        <w:pStyle w:val="137"/>
        <w:snapToGrid w:val="0"/>
        <w:spacing w:before="0"/>
        <w:ind w:firstLine="0" w:firstLineChars="0"/>
        <w:rPr>
          <w:rFonts w:ascii="宋体" w:hAnsi="宋体" w:cs="宋体"/>
          <w:highlight w:val="none"/>
        </w:rPr>
      </w:pPr>
      <w:r>
        <w:rPr>
          <w:rFonts w:ascii="宋体" w:hAnsi="宋体" w:cs="宋体"/>
          <w:b/>
          <w:bCs/>
          <w:kern w:val="2"/>
          <w:szCs w:val="20"/>
          <w:highlight w:val="none"/>
        </w:rPr>
        <w:t>2</w:t>
      </w:r>
      <w:r>
        <w:rPr>
          <w:rFonts w:hint="eastAsia" w:ascii="宋体" w:hAnsi="宋体" w:cs="宋体"/>
          <w:b/>
          <w:bCs/>
          <w:kern w:val="2"/>
          <w:szCs w:val="24"/>
          <w:highlight w:val="none"/>
          <w:lang w:val="en-US" w:eastAsia="zh-CN"/>
        </w:rPr>
        <w:t>7</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37"/>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 xml:space="preserve">.1电子交易平台发生故障而无法登录访问的； </w:t>
      </w:r>
    </w:p>
    <w:p>
      <w:pPr>
        <w:pStyle w:val="137"/>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.2电子交易平台应用或数据库出现错误，不能进行正常操作的；</w:t>
      </w:r>
    </w:p>
    <w:p>
      <w:pPr>
        <w:pStyle w:val="137"/>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.3电子交易平台发现严重安全漏洞，有潜在泄密危险的；</w:t>
      </w:r>
    </w:p>
    <w:p>
      <w:pPr>
        <w:pStyle w:val="137"/>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 xml:space="preserve">.4病毒发作导致不能进行正常操作的； </w:t>
      </w:r>
    </w:p>
    <w:p>
      <w:pPr>
        <w:pStyle w:val="137"/>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.5其他无法保证电子交易的公平、公正和安全的情况。</w:t>
      </w:r>
    </w:p>
    <w:p>
      <w:pPr>
        <w:pStyle w:val="137"/>
        <w:snapToGrid w:val="0"/>
        <w:spacing w:before="0"/>
        <w:ind w:firstLine="0" w:firstLineChars="0"/>
        <w:rPr>
          <w:rFonts w:ascii="宋体" w:hAnsi="宋体" w:cs="宋体"/>
          <w:highlight w:val="none"/>
        </w:rPr>
      </w:pPr>
      <w:r>
        <w:rPr>
          <w:rFonts w:hint="eastAsia" w:ascii="宋体" w:hAnsi="宋体" w:cs="宋体"/>
          <w:highlight w:val="none"/>
        </w:rPr>
        <w:t xml:space="preserve"> 2</w:t>
      </w:r>
      <w:r>
        <w:rPr>
          <w:rFonts w:hint="eastAsia" w:ascii="宋体" w:hAnsi="宋体" w:cs="宋体"/>
          <w:highlight w:val="none"/>
          <w:lang w:val="en-US" w:eastAsia="zh-CN"/>
        </w:rPr>
        <w:t>8</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采购人应当根据采购项目的具体情况，自行组织项目验收或者委托采购代理机构验收。</w:t>
      </w:r>
    </w:p>
    <w:bookmarkEnd w:id="16"/>
    <w:p>
      <w:pPr>
        <w:pStyle w:val="86"/>
        <w:rPr>
          <w:color w:val="auto"/>
          <w:highlight w:val="none"/>
        </w:rPr>
        <w:sectPr>
          <w:footerReference r:id="rId4" w:type="first"/>
          <w:footerReference r:id="rId3" w:type="default"/>
          <w:pgSz w:w="11906" w:h="16838"/>
          <w:pgMar w:top="1440" w:right="1080" w:bottom="1440" w:left="1080" w:header="851" w:footer="992" w:gutter="0"/>
          <w:cols w:space="720" w:num="1"/>
          <w:titlePg/>
          <w:docGrid w:linePitch="312" w:charSpace="0"/>
        </w:sectPr>
      </w:pPr>
      <w:bookmarkStart w:id="17" w:name="_Hlt68072990"/>
      <w:bookmarkEnd w:id="17"/>
      <w:bookmarkStart w:id="18" w:name="_Hlt75236290"/>
      <w:bookmarkEnd w:id="18"/>
      <w:bookmarkStart w:id="19" w:name="_Hlt75236011"/>
      <w:bookmarkEnd w:id="19"/>
      <w:bookmarkStart w:id="20" w:name="_Hlt74729768"/>
      <w:bookmarkEnd w:id="20"/>
      <w:bookmarkStart w:id="21" w:name="_Hlt68072998"/>
      <w:bookmarkEnd w:id="21"/>
      <w:bookmarkStart w:id="22" w:name="_Hlt68057669"/>
      <w:bookmarkEnd w:id="22"/>
      <w:bookmarkStart w:id="23" w:name="_Hlt74714665"/>
      <w:bookmarkEnd w:id="23"/>
      <w:bookmarkStart w:id="24" w:name="_Hlt68403820"/>
      <w:bookmarkEnd w:id="24"/>
      <w:bookmarkStart w:id="25" w:name="_Hlt75236101"/>
      <w:bookmarkEnd w:id="25"/>
      <w:bookmarkStart w:id="26" w:name="_Hlt74730295"/>
      <w:bookmarkEnd w:id="26"/>
      <w:bookmarkStart w:id="27" w:name="_Hlt74707468"/>
      <w:bookmarkEnd w:id="27"/>
      <w:bookmarkStart w:id="28" w:name="_Hlt68073093"/>
      <w:bookmarkEnd w:id="28"/>
    </w:p>
    <w:bookmarkEnd w:id="12"/>
    <w:bookmarkEnd w:id="13"/>
    <w:p>
      <w:pPr>
        <w:pStyle w:val="33"/>
        <w:spacing w:line="360" w:lineRule="auto"/>
        <w:jc w:val="center"/>
        <w:rPr>
          <w:rFonts w:hAnsi="宋体" w:cs="宋体"/>
          <w:b/>
          <w:snapToGrid/>
          <w:sz w:val="36"/>
          <w:szCs w:val="20"/>
          <w:highlight w:val="none"/>
        </w:rPr>
      </w:pPr>
      <w:bookmarkStart w:id="29" w:name="第四部分"/>
      <w:r>
        <w:rPr>
          <w:rFonts w:hint="eastAsia" w:hAnsi="宋体" w:cs="宋体"/>
          <w:b/>
          <w:snapToGrid/>
          <w:sz w:val="36"/>
          <w:szCs w:val="20"/>
          <w:highlight w:val="none"/>
        </w:rPr>
        <w:t>第三部分 采购需求</w:t>
      </w:r>
    </w:p>
    <w:p>
      <w:p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1、电梯所有部件必须是全新的，未曾使用过的。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提供的设备应能保证在使用地的自然环境、气候条件、公用设施等情况下全天候正常运行。供货时货物外观应清洁，标记编号以及盘面显示等字体清晰、明确。铭牌、使用指示、警告指示应以中文或英文及易懂的通用符号来表示，且应准确无误地表明货物之型号、规格、品牌、厂家、原产地及生产或出厂日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应保证所供设备的先进性、可靠性和适用性；供应商提供的设备各组成部分必须是完整的、全新的、功能全的单元，并且必须是制造商最好的设计，同时应是全新的、高质量和工艺精良的产品，所用的原材料必须无任何缺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4、供应商应保证设备或系统的完整性和成套性，能保证设备的正常运行和使用；供应商提供的设备既要体现技术先进、经济合理，又要成熟、可靠，并具有操作简单管理方便的特点。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5、采购方保留在合同实施过程中增减或调整部分需求的权力。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6、供应商应对采购方采购的货物（设备）所涉及的技术、产能等信息承担保密义务。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7、设备须有可靠的安全性，符合中华人民共和国安全标准、环境保护标准、工业卫生标准或采购方可以接受的国际ISO标准和CE安全标准等标准。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8、本项目设计制作、材料配件选配、施工安装、试运行、软件安装、调试验收等须符合现行的国家标准、技术规范、行业标准等。</w:t>
      </w:r>
    </w:p>
    <w:p>
      <w:p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二、规范要求</w:t>
      </w:r>
    </w:p>
    <w:p>
      <w:pPr>
        <w:spacing w:line="360" w:lineRule="auto"/>
        <w:ind w:firstLine="480" w:firstLineChars="200"/>
        <w:rPr>
          <w:rFonts w:hint="eastAsia" w:ascii="宋体" w:hAnsi="宋体" w:eastAsia="宋体" w:cs="宋体"/>
          <w:sz w:val="24"/>
          <w:szCs w:val="24"/>
          <w:highlight w:val="none"/>
        </w:rPr>
      </w:pPr>
      <w:bookmarkStart w:id="30" w:name="_Toc28359003"/>
      <w:bookmarkStart w:id="31" w:name="_Toc28359080"/>
      <w:bookmarkStart w:id="32" w:name="_Toc35393622"/>
      <w:bookmarkStart w:id="33" w:name="_Toc35393791"/>
      <w:r>
        <w:rPr>
          <w:rFonts w:hint="eastAsia" w:ascii="宋体" w:hAnsi="宋体" w:eastAsia="宋体" w:cs="宋体"/>
          <w:sz w:val="24"/>
          <w:szCs w:val="24"/>
          <w:highlight w:val="none"/>
        </w:rPr>
        <w:t>所有设备、材料、施工工艺必须符合国家及地方规范、标准及行业标准、规范，如标准及规范要求有出入则以较严格者为准。包括但不仅限于以下标准、规范：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中华人民共和国的国家标准：电梯工程施工质量验收规范（GB50310-2002）</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中华人民共和国的国家标准：电梯制造和安装安全规范（GB7588-2003）</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《消防电梯制造与安装安全规范》 （GB 26465-2011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《电梯安全要求 第1部分：电梯基本安全要求》（GB 24803.1-2009）</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《电梯乘运质量测量》（GB/T 24474-2009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《电梯远程报警系统》（GB/T 24475-2009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《电梯、自动扶梯和自动人行道数据监视和记录规范》（GB/T 24476-2009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《适用于残障人员的电梯附加要求》（GB/T 24477-2009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中华人民共和国的国家标准:电梯安装验收规范（GB10060-2011）</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中华人民共和国的国家标准:电梯技术条件（GB/T10058-2009）</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中华人民共和国的国家标准:电梯试验方法（GB/T10059-2009）</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 中华人民共和国国家建设部：“电梯手册”（JJ49-87）</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 电梯主参数及轿厢、井道、机房的形式与尺寸（GB/T7025-2008）</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 电梯曳引机（GB/T24478-2009）</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 火灾情况下的电梯特性（GB/T 24479-2009）</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 行动不便人员使用的垂直升降平台（GB 24805-2009）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电磁兼容电梯、自动扶梯和自动人行道的产品系列标准 发射（GB/T 24807-2009）</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电磁兼容电梯、自动扶梯和自动人行道的产品系列标准 抗扰度（GB/T 24808-2009）</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电梯、自动扶梯和自动人行道维修规范（GB/T 18775-2009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 电梯、自动扶梯、自动人行道术语(GB/T 7024-2008)</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 自动扶梯和自动人行道的制造与安装安全规范(GB16899-2011)</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 电梯、自动扶梯和自动人行道 风险评价和降低的方法(GB/T20900-2007)</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 电梯T型导轨(GB/T 22562-2008)</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 电梯用钢丝绳（GB 8903-2005）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 电梯层门耐火试验（GB/T 24480-2009）</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 交流电梯电动机通用技术条件(GB12974-1991)</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电梯安全要求第1部分：电梯基本安全要求 (GB 24803.1-2009)</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提高在用电梯安全性的规范 (GB 24804-2009)</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 外壳防护等级（IP代码）(GB4208-2008)</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 额定电压450/750V及以下橡皮绝缘电缆 第5部分：电梯电缆(GB/T 5013.5-2008</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 额定电压450/750V及以下聚氯乙烯绝缘电缆 电梯电缆和挠性连接电缆(GB/T 5023.6-2008)</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 低压开关设备和控制设备 机电式接触器和电动机起动器(GB14048.4-2003)</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 低压开关设备和控制设备 控制电路电器和开关元件 机电式控制电路电器(GB14048.5-2008)</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 电气技术中的文字符号制定通则(GB7159-87)</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 中华人民共和国的国家标准:高层民用建筑设计消防规范（GB50045）</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 《特种设备质量监督与安全检察规定》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 电梯相关最新标准（以新标准为准）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 国家建筑标准对电梯的要求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 浙江省消防部门的条例及相关的的中国国家消防规范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 电力供应部门的供电规章条例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 国家有关的其它规定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 由采购机构、采购单位认可的其它国家的其它权威标准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如上述国家标准有最新版本或替代标准颁布，则执行最新版本或替代标准。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当上述标准、当地部门的特别要求在技术上与本技术规格说明书有抵触，或本技术说明与工程量清单、设计图纸冲突，或本技术规格书各章节的要求相互矛盾时，供应商应在投标时提出，至于该遵从哪个准则应由采购方决定。供应商应在投标时提出，否则采购方的这个决定不能作为供应商工期、费用索赔的依据。</w:t>
      </w:r>
    </w:p>
    <w:p>
      <w:p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三、项目管理要求</w:t>
      </w:r>
    </w:p>
    <w:p>
      <w:pPr>
        <w:autoSpaceDE w:val="0"/>
        <w:autoSpaceDN w:val="0"/>
        <w:snapToGrid w:val="0"/>
        <w:spacing w:line="360" w:lineRule="auto"/>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1、采购范围内的工程项目，</w:t>
      </w:r>
      <w:r>
        <w:rPr>
          <w:rFonts w:hint="eastAsia" w:ascii="宋体" w:hAnsi="宋体" w:eastAsia="宋体" w:cs="宋体"/>
          <w:sz w:val="24"/>
          <w:highlight w:val="none"/>
          <w:lang w:val="en-US" w:eastAsia="zh-CN"/>
        </w:rPr>
        <w:t>除电梯安装等工作内容外，其余</w:t>
      </w:r>
      <w:r>
        <w:rPr>
          <w:rFonts w:hint="eastAsia" w:ascii="宋体" w:hAnsi="宋体" w:eastAsia="宋体" w:cs="宋体"/>
          <w:sz w:val="24"/>
          <w:highlight w:val="none"/>
        </w:rPr>
        <w:t>不允许分包</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分包内容须经采购人书面同意后方可执行</w:t>
      </w:r>
      <w:r>
        <w:rPr>
          <w:rFonts w:hint="eastAsia" w:ascii="宋体" w:hAnsi="宋体" w:eastAsia="宋体" w:cs="宋体"/>
          <w:sz w:val="24"/>
          <w:highlight w:val="none"/>
        </w:rPr>
        <w:t>。</w:t>
      </w:r>
    </w:p>
    <w:p>
      <w:pPr>
        <w:autoSpaceDE w:val="0"/>
        <w:autoSpaceDN w:val="0"/>
        <w:snapToGrid w:val="0"/>
        <w:spacing w:line="360" w:lineRule="auto"/>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2、承包人无条件地接受发包人对施工质量的监督和管理。</w:t>
      </w:r>
    </w:p>
    <w:p>
      <w:pPr>
        <w:autoSpaceDE w:val="0"/>
        <w:autoSpaceDN w:val="0"/>
        <w:snapToGrid w:val="0"/>
        <w:spacing w:line="360" w:lineRule="auto"/>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3、供应商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pPr>
        <w:autoSpaceDE w:val="0"/>
        <w:autoSpaceDN w:val="0"/>
        <w:snapToGrid w:val="0"/>
        <w:spacing w:line="360" w:lineRule="auto"/>
        <w:ind w:firstLine="482" w:firstLineChars="200"/>
        <w:textAlignment w:val="bottom"/>
        <w:rPr>
          <w:rFonts w:hint="eastAsia" w:ascii="宋体" w:hAnsi="宋体" w:eastAsia="宋体" w:cs="宋体"/>
          <w:sz w:val="24"/>
          <w:szCs w:val="24"/>
          <w:highlight w:val="none"/>
        </w:rPr>
      </w:pPr>
      <w:r>
        <w:rPr>
          <w:rFonts w:hint="eastAsia" w:ascii="宋体" w:hAnsi="宋体" w:eastAsia="宋体" w:cs="宋体"/>
          <w:b/>
          <w:bCs/>
          <w:sz w:val="24"/>
          <w:highlight w:val="none"/>
        </w:rPr>
        <w:t>4、</w:t>
      </w:r>
      <w:r>
        <w:rPr>
          <w:rFonts w:hint="eastAsia" w:ascii="宋体" w:hAnsi="宋体" w:eastAsia="宋体" w:cs="宋体"/>
          <w:b/>
          <w:bCs/>
          <w:sz w:val="24"/>
          <w:szCs w:val="24"/>
          <w:highlight w:val="none"/>
        </w:rPr>
        <w:t>▲</w:t>
      </w:r>
      <w:r>
        <w:rPr>
          <w:rFonts w:hint="eastAsia" w:ascii="宋体" w:hAnsi="宋体" w:eastAsia="宋体" w:cs="宋体"/>
          <w:b/>
          <w:bCs/>
          <w:sz w:val="24"/>
          <w:highlight w:val="none"/>
          <w:u w:val="single"/>
        </w:rPr>
        <w:t>拟派项目经理具有建筑工程专业二级及以上建造师注册证书；</w:t>
      </w:r>
    </w:p>
    <w:p>
      <w:pPr>
        <w:autoSpaceDE w:val="0"/>
        <w:autoSpaceDN w:val="0"/>
        <w:snapToGrid w:val="0"/>
        <w:spacing w:line="360" w:lineRule="auto"/>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5、项目经理、技术负责人到位率应在80％以上，其它管理人员到位率应在100％。</w:t>
      </w:r>
    </w:p>
    <w:bookmarkEnd w:id="30"/>
    <w:bookmarkEnd w:id="31"/>
    <w:bookmarkEnd w:id="32"/>
    <w:bookmarkEnd w:id="33"/>
    <w:p>
      <w:p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四、工程基本要求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1、本工程，成交供应商需按本采购需求完成电梯设备的设计、制造、运输、安装、调试、验收、培训、售后服务及电梯井道照明、插座、底坑爬梯、视频音频监控随行电缆、电梯井道整改</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门洞（地面）二次装潢、物联网系统费用、电梯移交等工作。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2、为完成本项目电梯安装工程所用临时设施、设备、工具、材料，如井架、施工用配电箱、电缆等，需在投标文件的安装材料一览表填写。必须负责所提供电梯通过国家有关部门的验收，直至取得验收证书。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在报价前应通过现场勘查对本工程情况进行充分了解，全面考虑工程实施过程中可能产生的各项费用，采购方不单独列项支付另外费用。报价应包括但不限于设备费、材料费、管线费、设备垂直（水平）运输费、安装调试费、措施费、电梯井道整改费</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门洞（地面）二次装潢费用、电梯电源的费用、税金、运输（含卸货）及运输保险费、申报技术监督局验收费、质保期内日常维修保养费（含检验费）、特殊工具费、售后服务费、培训费、政策性文件规定（物联网系统费用）及涉及本项目包含的所有风险、责任等各项全部费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4、协调配合：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成交供应商必须配合设计完成电梯机房设计、复核电梯井道尺寸、电梯门洞预留尺寸、配电容量等；井道尺寸、预留门洞、电梯电源、电源箱位置，接地干线连接等，将由成交供应商负责。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5、火灾时应为火灾自动报警系统提供信号，提供电梯迫降功能并满足消防的其它要求,配合火灾自动报警系统调试。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6、根据设备、材料报审计划，提交设备、材料生产厂家的营业资料、生产许可证、产品检测报告、主要技术参数等。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7、设备的各个部件须防火、耐压、耐用、漏电保护，易清洗及易维修，并符合有关规定。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8、成交供应商在供货时提供所投标电梯经国家相关部门（国家电梯质量监督检验中心）认可的、有效的型式试验报告。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9、供应商在投标文件中提供合理可靠的设备安装搬运方案，以及在施工中针对采购方现有建筑的保护修复措施。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10、供应商所采用品牌电梯必须符合本次采购技术需求。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11、电梯安装施工要求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 成交供应商须提供施工方案，经采购方确认审批后方可进场施工并接受采购方监管。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工程开工后，根据采购方的要求提交电梯安装施工进度汇报表、周进度计划表及施工人员安排表。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 电梯零配件进入施工场地前，成交供应商须提供合理可行的设备搬运方案，经采购方确认后方可进场施工并接受采购方监管。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成交供应商在进行电梯机房总配电箱出线电缆敷设、线槽安装及电梯贴大理石前，均需与采购方充分沟通后施工，确保安装符合规范。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成交供应商应完全配合采购方解决好电梯安装施工过程中发现的其余问题，保证施工质量。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b/>
          <w:bCs/>
          <w:color w:val="auto"/>
          <w:sz w:val="24"/>
          <w:szCs w:val="24"/>
          <w:highlight w:val="none"/>
          <w:u w:val="single"/>
        </w:rPr>
        <w:t>工期：</w:t>
      </w:r>
      <w:r>
        <w:rPr>
          <w:rFonts w:hint="eastAsia" w:ascii="宋体" w:hAnsi="宋体" w:eastAsia="宋体" w:cs="宋体"/>
          <w:b/>
          <w:bCs/>
          <w:color w:val="auto"/>
          <w:sz w:val="24"/>
          <w:szCs w:val="24"/>
          <w:highlight w:val="none"/>
          <w:u w:val="single"/>
          <w:lang w:val="en-US" w:eastAsia="zh-CN"/>
        </w:rPr>
        <w:t>40</w:t>
      </w:r>
      <w:r>
        <w:rPr>
          <w:rFonts w:hint="eastAsia" w:ascii="宋体" w:hAnsi="宋体" w:eastAsia="宋体" w:cs="宋体"/>
          <w:b/>
          <w:bCs/>
          <w:color w:val="auto"/>
          <w:sz w:val="24"/>
          <w:szCs w:val="24"/>
          <w:highlight w:val="none"/>
          <w:u w:val="single"/>
        </w:rPr>
        <w:t>个日历日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13、质保期及售后服务：</w:t>
      </w:r>
      <w:r>
        <w:rPr>
          <w:rFonts w:hint="eastAsia" w:ascii="宋体" w:hAnsi="宋体" w:eastAsia="宋体" w:cs="宋体"/>
          <w:sz w:val="24"/>
          <w:szCs w:val="24"/>
          <w:highlight w:val="none"/>
          <w:u w:val="single"/>
        </w:rPr>
        <w:t>自甲方验收合格之日起</w:t>
      </w:r>
      <w:r>
        <w:rPr>
          <w:rFonts w:hint="eastAsia" w:ascii="宋体" w:hAnsi="宋体" w:eastAsia="宋体" w:cs="宋体"/>
          <w:b/>
          <w:bCs/>
          <w:sz w:val="24"/>
          <w:szCs w:val="24"/>
          <w:highlight w:val="none"/>
          <w:u w:val="single"/>
        </w:rPr>
        <w:t>两年</w:t>
      </w:r>
      <w:r>
        <w:rPr>
          <w:rFonts w:hint="eastAsia" w:ascii="宋体" w:hAnsi="宋体" w:eastAsia="宋体" w:cs="宋体"/>
          <w:sz w:val="24"/>
          <w:szCs w:val="24"/>
          <w:highlight w:val="none"/>
          <w:u w:val="single"/>
        </w:rPr>
        <w:t>为质保期</w:t>
      </w:r>
      <w:r>
        <w:rPr>
          <w:rFonts w:hint="eastAsia" w:ascii="宋体" w:hAnsi="宋体" w:eastAsia="宋体" w:cs="宋体"/>
          <w:sz w:val="24"/>
          <w:szCs w:val="24"/>
          <w:highlight w:val="none"/>
        </w:rPr>
        <w:t>，在免费保修期内，中标（成交）人对有缺陷的部位必须无偿地给予修理与更换，并承担一切由此引起的对采购人或第三者的直接损失，除非该缺陷是由于人为破坏或合同规定的不可抗因素造成的损坏。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中标方负责向采购方提供各项必需的技术培训和技术指导，免费培训操作人员。具体培训时间及内容由中标方提出建议。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质保期内按要求提供技术服务。电梯发生故障，应在半小时内响应，并排除故障，解救被关人员。一般故障应在1小时内恢复电梯正常使用。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为避免疑义，双方确认：即使是在保修期外,如电梯出现质量问题系由中标方制造工艺、原材料、成品、半成品质量引起的，采购方有权无限期追溯中标方。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14、因本工程为改造项目，所有中标（成交）单位需要对原有物品、设备设施进行拆卸，并按要求堆放到学校指定位置，供应商报价需含此部分费用。</w:t>
      </w:r>
    </w:p>
    <w:p>
      <w:p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五、材料设备具体要求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详见附件1《杭十四中电梯加装改造项目材料设备需求一览表》，附件2《主要材料（设备）推荐品牌一览表》。</w:t>
      </w:r>
    </w:p>
    <w:p>
      <w:pPr>
        <w:spacing w:line="360" w:lineRule="auto"/>
        <w:ind w:firstLine="480" w:firstLineChars="200"/>
        <w:rPr>
          <w:rFonts w:hint="eastAsia" w:ascii="宋体" w:hAnsi="宋体" w:eastAsia="宋体" w:cs="宋体"/>
          <w:sz w:val="24"/>
          <w:szCs w:val="24"/>
          <w:highlight w:val="none"/>
        </w:rPr>
        <w:sectPr>
          <w:headerReference r:id="rId5" w:type="default"/>
          <w:footerReference r:id="rId6" w:type="default"/>
          <w:pgSz w:w="11906" w:h="16838"/>
          <w:pgMar w:top="1440" w:right="1080" w:bottom="1440" w:left="1080" w:header="851" w:footer="851" w:gutter="0"/>
          <w:cols w:space="720" w:num="1"/>
          <w:docGrid w:linePitch="312" w:charSpace="0"/>
        </w:sectPr>
      </w:pPr>
    </w:p>
    <w:p>
      <w:pPr>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附件1：</w:t>
      </w:r>
    </w:p>
    <w:p>
      <w:pPr>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杭十四中电梯加装改造项目材料设备需求一览表</w:t>
      </w:r>
    </w:p>
    <w:p>
      <w:pPr>
        <w:ind w:firstLine="482" w:firstLineChars="200"/>
        <w:jc w:val="center"/>
        <w:rPr>
          <w:rFonts w:hint="eastAsia" w:ascii="宋体" w:hAnsi="宋体" w:eastAsia="宋体" w:cs="宋体"/>
          <w:b/>
          <w:bCs/>
          <w:sz w:val="24"/>
          <w:szCs w:val="24"/>
          <w:highlight w:val="none"/>
        </w:rPr>
      </w:pPr>
    </w:p>
    <w:tbl>
      <w:tblPr>
        <w:tblStyle w:val="63"/>
        <w:tblW w:w="9705" w:type="dxa"/>
        <w:tblInd w:w="93" w:type="dxa"/>
        <w:tblLayout w:type="autofit"/>
        <w:tblCellMar>
          <w:top w:w="0" w:type="dxa"/>
          <w:left w:w="108" w:type="dxa"/>
          <w:bottom w:w="0" w:type="dxa"/>
          <w:right w:w="108" w:type="dxa"/>
        </w:tblCellMar>
      </w:tblPr>
      <w:tblGrid>
        <w:gridCol w:w="1656"/>
        <w:gridCol w:w="2407"/>
        <w:gridCol w:w="5721"/>
      </w:tblGrid>
      <w:tr>
        <w:tblPrEx>
          <w:tblCellMar>
            <w:top w:w="0" w:type="dxa"/>
            <w:left w:w="108" w:type="dxa"/>
            <w:bottom w:w="0" w:type="dxa"/>
            <w:right w:w="108" w:type="dxa"/>
          </w:tblCellMar>
        </w:tblPrEx>
        <w:trPr>
          <w:trHeight w:val="56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设备编号</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DT1客梯（消防梯）</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有/无机房</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无机房</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数量</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tblPrEx>
          <w:tblCellMar>
            <w:top w:w="0" w:type="dxa"/>
            <w:left w:w="108" w:type="dxa"/>
            <w:bottom w:w="0" w:type="dxa"/>
            <w:right w:w="108" w:type="dxa"/>
          </w:tblCellMar>
        </w:tblPrEx>
        <w:trPr>
          <w:trHeight w:val="70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控制方式（单控、并联、群控）</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单控</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载重量kg</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1000</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速度≥m/s</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4"/>
                <w:szCs w:val="24"/>
                <w:highlight w:val="none"/>
              </w:rPr>
            </w:pPr>
            <w:r>
              <w:rPr>
                <w:rFonts w:hint="eastAsia" w:ascii="宋体" w:hAnsi="宋体" w:eastAsia="宋体" w:cs="宋体"/>
                <w:kern w:val="0"/>
                <w:sz w:val="24"/>
                <w:szCs w:val="24"/>
                <w:highlight w:val="none"/>
                <w:lang w:bidi="ar"/>
              </w:rPr>
              <w:t>1.5</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层/站/门</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6/6/6</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提升高度m（参考值）</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18.0</w:t>
            </w:r>
          </w:p>
        </w:tc>
      </w:tr>
      <w:tr>
        <w:tblPrEx>
          <w:tblCellMar>
            <w:top w:w="0" w:type="dxa"/>
            <w:left w:w="108" w:type="dxa"/>
            <w:bottom w:w="0" w:type="dxa"/>
            <w:right w:w="108" w:type="dxa"/>
          </w:tblCellMar>
        </w:tblPrEx>
        <w:trPr>
          <w:trHeight w:val="6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开门尺寸参考值(宽×高)mm</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900*2100</w:t>
            </w:r>
          </w:p>
        </w:tc>
      </w:tr>
      <w:tr>
        <w:tblPrEx>
          <w:tblCellMar>
            <w:top w:w="0" w:type="dxa"/>
            <w:left w:w="108" w:type="dxa"/>
            <w:bottom w:w="0" w:type="dxa"/>
            <w:right w:w="108" w:type="dxa"/>
          </w:tblCellMar>
        </w:tblPrEx>
        <w:trPr>
          <w:trHeight w:val="6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服务、停靠楼层</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单通（1-6）</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基站</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轿厢尺寸参考值mm</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1300X1800</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井道尺寸mm（参考值）</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2000*2650</w:t>
            </w:r>
          </w:p>
        </w:tc>
      </w:tr>
      <w:tr>
        <w:tblPrEx>
          <w:tblCellMar>
            <w:top w:w="0" w:type="dxa"/>
            <w:left w:w="108" w:type="dxa"/>
            <w:bottom w:w="0" w:type="dxa"/>
            <w:right w:w="108" w:type="dxa"/>
          </w:tblCellMar>
        </w:tblPrEx>
        <w:trPr>
          <w:trHeight w:val="72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轿厢净高度要求≥参考值mm</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空顶2400</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tcPr>
          <w:p>
            <w:pPr>
              <w:widowControl/>
              <w:spacing w:after="220"/>
              <w:jc w:val="center"/>
              <w:textAlignment w:val="top"/>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顶层高度mm（参考值）</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含吊钩4500</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底坑深度mm（参考值）</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1500</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电梯驱动系统</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永磁同步无齿轮曳引驱动</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导靴形式</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滑动</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调速系统</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变频调速</w:t>
            </w:r>
          </w:p>
        </w:tc>
      </w:tr>
      <w:tr>
        <w:tblPrEx>
          <w:tblCellMar>
            <w:top w:w="0" w:type="dxa"/>
            <w:left w:w="108" w:type="dxa"/>
            <w:bottom w:w="0" w:type="dxa"/>
            <w:right w:w="108" w:type="dxa"/>
          </w:tblCellMar>
        </w:tblPrEx>
        <w:trPr>
          <w:trHeight w:val="480" w:hRule="atLeast"/>
        </w:trPr>
        <w:tc>
          <w:tcPr>
            <w:tcW w:w="1577" w:type="dxa"/>
            <w:tcBorders>
              <w:top w:val="nil"/>
              <w:left w:val="single" w:color="000000" w:sz="8" w:space="0"/>
              <w:bottom w:val="nil"/>
              <w:right w:val="nil"/>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门机系统</w:t>
            </w:r>
          </w:p>
        </w:tc>
        <w:tc>
          <w:tcPr>
            <w:tcW w:w="8128" w:type="dxa"/>
            <w:gridSpan w:val="2"/>
            <w:tcBorders>
              <w:top w:val="nil"/>
              <w:left w:val="single" w:color="000000" w:sz="4" w:space="0"/>
              <w:bottom w:val="nil"/>
              <w:right w:val="single" w:color="000000" w:sz="4" w:space="0"/>
            </w:tcBorders>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同步</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控制系统</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变频VVVF</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导轨要求</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主轨: T75及以上</w:t>
            </w:r>
          </w:p>
        </w:tc>
      </w:tr>
      <w:tr>
        <w:tblPrEx>
          <w:tblCellMar>
            <w:top w:w="0" w:type="dxa"/>
            <w:left w:w="108" w:type="dxa"/>
            <w:bottom w:w="0" w:type="dxa"/>
            <w:right w:w="108" w:type="dxa"/>
          </w:tblCellMar>
        </w:tblPrEx>
        <w:trPr>
          <w:trHeight w:val="48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圈梁类型</w:t>
            </w:r>
          </w:p>
        </w:tc>
        <w:tc>
          <w:tcPr>
            <w:tcW w:w="81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钢结构</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通风装置</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空调</w:t>
            </w:r>
          </w:p>
        </w:tc>
      </w:tr>
      <w:tr>
        <w:tblPrEx>
          <w:tblCellMar>
            <w:top w:w="0" w:type="dxa"/>
            <w:left w:w="108" w:type="dxa"/>
            <w:bottom w:w="0" w:type="dxa"/>
            <w:right w:w="108" w:type="dxa"/>
          </w:tblCellMar>
        </w:tblPrEx>
        <w:trPr>
          <w:trHeight w:val="815"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大理石门套</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lang w:bidi="ar"/>
              </w:rPr>
              <w:t>大理石门套</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五方通话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电梯</w:t>
            </w:r>
            <w:r>
              <w:rPr>
                <w:rFonts w:hint="eastAsia" w:ascii="宋体" w:hAnsi="宋体" w:eastAsia="宋体" w:cs="宋体"/>
                <w:kern w:val="0"/>
                <w:sz w:val="24"/>
                <w:szCs w:val="24"/>
                <w:highlight w:val="none"/>
                <w:lang w:bidi="ar"/>
              </w:rPr>
              <w:t>有线五</w:t>
            </w:r>
            <w:r>
              <w:rPr>
                <w:rFonts w:hint="eastAsia" w:ascii="宋体" w:hAnsi="宋体" w:eastAsia="宋体" w:cs="宋体"/>
                <w:color w:val="000000"/>
                <w:kern w:val="0"/>
                <w:sz w:val="24"/>
                <w:szCs w:val="24"/>
                <w:highlight w:val="none"/>
                <w:lang w:bidi="ar"/>
              </w:rPr>
              <w:t>方对讲系统</w:t>
            </w:r>
          </w:p>
        </w:tc>
      </w:tr>
      <w:tr>
        <w:tblPrEx>
          <w:tblCellMar>
            <w:top w:w="0" w:type="dxa"/>
            <w:left w:w="108" w:type="dxa"/>
            <w:bottom w:w="0" w:type="dxa"/>
            <w:right w:w="108" w:type="dxa"/>
          </w:tblCellMar>
        </w:tblPrEx>
        <w:trPr>
          <w:trHeight w:val="480" w:hRule="atLeast"/>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装潢要求</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轿厢壁</w:t>
            </w:r>
          </w:p>
        </w:tc>
        <w:tc>
          <w:tcPr>
            <w:tcW w:w="5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选用304发纹不锈钢板，厚度≥1.2mm</w:t>
            </w:r>
          </w:p>
        </w:tc>
      </w:tr>
      <w:tr>
        <w:tblPrEx>
          <w:tblCellMar>
            <w:top w:w="0" w:type="dxa"/>
            <w:left w:w="108" w:type="dxa"/>
            <w:bottom w:w="0" w:type="dxa"/>
            <w:right w:w="108" w:type="dxa"/>
          </w:tblCellMar>
        </w:tblPrEx>
        <w:trPr>
          <w:trHeight w:val="920" w:hRule="atLeast"/>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地  面</w:t>
            </w:r>
          </w:p>
        </w:tc>
        <w:tc>
          <w:tcPr>
            <w:tcW w:w="5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选用天然花岗岩地板。成交供应商需明确地板下石材安装预留深度，确保地板安装后的强度、耐用性，并提供3 个及以上样式供选择。</w:t>
            </w:r>
          </w:p>
        </w:tc>
      </w:tr>
      <w:tr>
        <w:tblPrEx>
          <w:tblCellMar>
            <w:top w:w="0" w:type="dxa"/>
            <w:left w:w="108" w:type="dxa"/>
            <w:bottom w:w="0" w:type="dxa"/>
            <w:right w:w="108" w:type="dxa"/>
          </w:tblCellMar>
        </w:tblPrEx>
        <w:trPr>
          <w:trHeight w:val="1040" w:hRule="atLeast"/>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轿厢顶</w:t>
            </w:r>
          </w:p>
        </w:tc>
        <w:tc>
          <w:tcPr>
            <w:tcW w:w="5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轿厢顶含灯光（LED光源）、应急照明和电梯空调及配置电缆，随行电缆中应附监控线缆，轿顶设计为豪华顶，成交供应商提供 3 个及以上样本供选择。</w:t>
            </w:r>
          </w:p>
        </w:tc>
      </w:tr>
      <w:tr>
        <w:tblPrEx>
          <w:tblCellMar>
            <w:top w:w="0" w:type="dxa"/>
            <w:left w:w="108" w:type="dxa"/>
            <w:bottom w:w="0" w:type="dxa"/>
            <w:right w:w="108" w:type="dxa"/>
          </w:tblCellMar>
        </w:tblPrEx>
        <w:trPr>
          <w:trHeight w:val="740" w:hRule="atLeast"/>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轿  门</w:t>
            </w:r>
          </w:p>
        </w:tc>
        <w:tc>
          <w:tcPr>
            <w:tcW w:w="5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选用304层层发纹不锈钢板（厚度≥1.2mm）；光幕：≥150束红外线光幕保护，防护等级≥IP54。</w:t>
            </w:r>
          </w:p>
        </w:tc>
      </w:tr>
      <w:tr>
        <w:tblPrEx>
          <w:tblCellMar>
            <w:top w:w="0" w:type="dxa"/>
            <w:left w:w="108" w:type="dxa"/>
            <w:bottom w:w="0" w:type="dxa"/>
            <w:right w:w="108" w:type="dxa"/>
          </w:tblCellMar>
        </w:tblPrEx>
        <w:trPr>
          <w:trHeight w:val="900" w:hRule="atLeast"/>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轿厢显示屏</w:t>
            </w:r>
          </w:p>
        </w:tc>
        <w:tc>
          <w:tcPr>
            <w:tcW w:w="5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采用一体化操纵盘，选用304发纹不锈钢面板，装有微动发光二极管照明的金属按钮，轿厢采用不小于6英寸的彩色液晶显示运行。</w:t>
            </w:r>
          </w:p>
        </w:tc>
      </w:tr>
      <w:tr>
        <w:tblPrEx>
          <w:tblCellMar>
            <w:top w:w="0" w:type="dxa"/>
            <w:left w:w="108" w:type="dxa"/>
            <w:bottom w:w="0" w:type="dxa"/>
            <w:right w:w="108" w:type="dxa"/>
          </w:tblCellMar>
        </w:tblPrEx>
        <w:trPr>
          <w:trHeight w:val="480" w:hRule="atLeast"/>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轿厢门坎、厅门坎</w:t>
            </w:r>
          </w:p>
        </w:tc>
        <w:tc>
          <w:tcPr>
            <w:tcW w:w="5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铝合金</w:t>
            </w:r>
          </w:p>
        </w:tc>
      </w:tr>
      <w:tr>
        <w:tblPrEx>
          <w:tblCellMar>
            <w:top w:w="0" w:type="dxa"/>
            <w:left w:w="108" w:type="dxa"/>
            <w:bottom w:w="0" w:type="dxa"/>
            <w:right w:w="108" w:type="dxa"/>
          </w:tblCellMar>
        </w:tblPrEx>
        <w:trPr>
          <w:trHeight w:val="480" w:hRule="atLeast"/>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厅  门</w:t>
            </w:r>
          </w:p>
        </w:tc>
        <w:tc>
          <w:tcPr>
            <w:tcW w:w="5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全部采用304发纹不锈钢(厚度≥1.2mm）</w:t>
            </w:r>
          </w:p>
        </w:tc>
      </w:tr>
      <w:tr>
        <w:tblPrEx>
          <w:tblCellMar>
            <w:top w:w="0" w:type="dxa"/>
            <w:left w:w="108" w:type="dxa"/>
            <w:bottom w:w="0" w:type="dxa"/>
            <w:right w:w="108" w:type="dxa"/>
          </w:tblCellMar>
        </w:tblPrEx>
        <w:trPr>
          <w:trHeight w:val="740" w:hRule="atLeast"/>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门  套</w:t>
            </w:r>
          </w:p>
        </w:tc>
        <w:tc>
          <w:tcPr>
            <w:tcW w:w="5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小门套为层层发纹304不锈钢门套(厚度≥1.2mm）</w:t>
            </w:r>
            <w:r>
              <w:rPr>
                <w:rFonts w:hint="eastAsia" w:ascii="宋体" w:hAnsi="宋体" w:eastAsia="宋体" w:cs="宋体"/>
                <w:kern w:val="0"/>
                <w:sz w:val="24"/>
                <w:szCs w:val="24"/>
                <w:highlight w:val="none"/>
                <w:lang w:bidi="ar"/>
              </w:rPr>
              <w:t>。</w:t>
            </w:r>
          </w:p>
        </w:tc>
      </w:tr>
      <w:tr>
        <w:tblPrEx>
          <w:tblCellMar>
            <w:top w:w="0" w:type="dxa"/>
            <w:left w:w="108" w:type="dxa"/>
            <w:bottom w:w="0" w:type="dxa"/>
            <w:right w:w="108" w:type="dxa"/>
          </w:tblCellMar>
        </w:tblPrEx>
        <w:trPr>
          <w:trHeight w:val="1020" w:hRule="atLeast"/>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外呼及显示</w:t>
            </w:r>
          </w:p>
        </w:tc>
        <w:tc>
          <w:tcPr>
            <w:tcW w:w="5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装有微动发光二极管照明的金属按钮，要求有楼层显示、运行方向、超载、检修等状态显示。</w:t>
            </w:r>
          </w:p>
        </w:tc>
      </w:tr>
      <w:tr>
        <w:tblPrEx>
          <w:tblCellMar>
            <w:top w:w="0" w:type="dxa"/>
            <w:left w:w="108" w:type="dxa"/>
            <w:bottom w:w="0" w:type="dxa"/>
            <w:right w:w="108" w:type="dxa"/>
          </w:tblCellMar>
        </w:tblPrEx>
        <w:trPr>
          <w:trHeight w:val="3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功能要求1</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供应商选择的电梯必须符合国家安全技术规范和国家强制性制造、安装标准的必配功能，包括但不限于以下功能：1）超载保护、报警；2）超速保护；3）位置异常自返基站；4）防恶作剧功能；5）停电应急照明；6）五方通讯功能；7）光幕保护功能；8）误操作消除功能；9）检修操作保护功能；10）开、关门保护；11）故障停止自救运行；12）无呼自返基站；13）起动补偿；14）BA接口（免费开放协议）；15）独立运行功能；16）故障自动检测、储存、显示功能；17）消防迫降功能；18）满载直驶功能；19）基站关梯； 20）厅外及轿厢内楼层及方向指示；21）轿厢内照明，风扇控制功能；22）司机/自动转换功能；23）再平层功能；24）轿厢到站钟；25）运行次数显示；26）终端楼层保护；27）警铃；28）关门等待取消；29）提前开门；30）轿厢关门延时保护；31）轿顶检修；32）轿厢关门延时保护；33）96333实时监控功能；34）其他标准功能。</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功能要求2</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pStyle w:val="61"/>
              <w:numPr>
                <w:ilvl w:val="0"/>
                <w:numId w:val="0"/>
              </w:numPr>
              <w:ind w:left="0" w:firstLine="0" w:firstLineChars="0"/>
              <w:rPr>
                <w:rFonts w:hint="eastAsia" w:ascii="宋体" w:hAnsi="宋体" w:eastAsia="宋体" w:cs="宋体"/>
                <w:color w:val="000000"/>
                <w:kern w:val="0"/>
                <w:sz w:val="24"/>
                <w:szCs w:val="24"/>
                <w:highlight w:val="none"/>
                <w:lang w:val="en-US" w:bidi="ar"/>
              </w:rPr>
            </w:pPr>
            <w:r>
              <w:rPr>
                <w:rFonts w:hint="eastAsia" w:ascii="宋体" w:hAnsi="宋体" w:eastAsia="宋体" w:cs="宋体"/>
                <w:snapToGrid/>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bidi="ar"/>
              </w:rPr>
              <w:t>梯控功能：刷卡、人脸识别二维码</w:t>
            </w:r>
          </w:p>
          <w:p>
            <w:pPr>
              <w:pStyle w:val="61"/>
              <w:numPr>
                <w:ilvl w:val="0"/>
                <w:numId w:val="0"/>
              </w:numPr>
              <w:ind w:left="0" w:firstLine="0" w:firstLineChars="0"/>
              <w:rPr>
                <w:rFonts w:hint="eastAsia" w:ascii="宋体" w:hAnsi="宋体" w:eastAsia="宋体" w:cs="宋体"/>
                <w:color w:val="000000"/>
                <w:kern w:val="0"/>
                <w:sz w:val="24"/>
                <w:szCs w:val="24"/>
                <w:highlight w:val="none"/>
                <w:lang w:val="en-US" w:bidi="ar"/>
              </w:rPr>
            </w:pPr>
            <w:r>
              <w:rPr>
                <w:rFonts w:hint="eastAsia" w:ascii="宋体" w:hAnsi="宋体" w:eastAsia="宋体" w:cs="宋体"/>
                <w:snapToGrid/>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bidi="ar"/>
              </w:rPr>
              <w:t>轿厢空调：电梯轿厢专用空调</w:t>
            </w:r>
          </w:p>
        </w:tc>
      </w:tr>
      <w:tr>
        <w:tblPrEx>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主要技术指标</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 电梯的水平振动、垂直振动加速度：电梯轿厢运行时水平方向和垂直方向的振动加速度分别不应大于15cm/s²和25cm/s²；</w:t>
            </w:r>
          </w:p>
        </w:tc>
      </w:tr>
      <w:tr>
        <w:tblPrEx>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highlight w:val="none"/>
              </w:rPr>
            </w:pP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 起动加速度和制动减速度：最大值≤1.5m/s², 平均值 ≥0.5m/s²；</w:t>
            </w:r>
          </w:p>
        </w:tc>
      </w:tr>
      <w:tr>
        <w:tblPrEx>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highlight w:val="none"/>
              </w:rPr>
            </w:pP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 噪音指数：轿厢噪音≤±50dB、开关门噪音≤±55dB、机房噪音（客梯机房≤±70dB）；</w:t>
            </w:r>
          </w:p>
        </w:tc>
      </w:tr>
      <w:tr>
        <w:tblPrEx>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highlight w:val="none"/>
              </w:rPr>
            </w:pP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 平层精度：客梯在±3mm范围之内；</w:t>
            </w:r>
          </w:p>
        </w:tc>
      </w:tr>
      <w:tr>
        <w:tblPrEx>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highlight w:val="none"/>
              </w:rPr>
            </w:pP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 平衡系数: 在0.4～0.5之间；</w:t>
            </w:r>
          </w:p>
        </w:tc>
      </w:tr>
      <w:tr>
        <w:tblPrEx>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备注</w:t>
            </w:r>
          </w:p>
        </w:tc>
        <w:tc>
          <w:tcPr>
            <w:tcW w:w="812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1、以上表格中标注为参考值的数据供供应商参考，若有疑问，供应商需进行现场踏勘确认，否则后果由供应商自行承担。                                                                                                                                                    2、土建建筑结构部分，如有施工质量问题造成尺寸偏差，导致现场需开孔、补洞等施工及修补费用由中标单位承担，费用须包含在投标总价中。</w:t>
            </w:r>
          </w:p>
        </w:tc>
      </w:tr>
    </w:tbl>
    <w:p>
      <w:pPr>
        <w:rPr>
          <w:rFonts w:hint="eastAsia" w:ascii="宋体" w:hAnsi="宋体" w:eastAsia="宋体" w:cs="宋体"/>
          <w:sz w:val="24"/>
          <w:szCs w:val="24"/>
          <w:highlight w:val="none"/>
        </w:rPr>
      </w:pPr>
      <w:r>
        <w:rPr>
          <w:rFonts w:hint="eastAsia" w:ascii="宋体" w:hAnsi="宋体" w:eastAsia="宋体" w:cs="宋体"/>
          <w:sz w:val="24"/>
          <w:szCs w:val="24"/>
          <w:highlight w:val="none"/>
        </w:rPr>
        <w:t>附件2：</w:t>
      </w:r>
    </w:p>
    <w:p>
      <w:pPr>
        <w:pStyle w:val="61"/>
        <w:ind w:firstLine="211"/>
        <w:jc w:val="center"/>
        <w:rPr>
          <w:rFonts w:hint="eastAsia" w:ascii="宋体" w:hAnsi="宋体" w:eastAsia="宋体" w:cs="宋体"/>
          <w:szCs w:val="24"/>
          <w:highlight w:val="none"/>
        </w:rPr>
      </w:pPr>
      <w:r>
        <w:rPr>
          <w:rFonts w:hint="eastAsia" w:ascii="宋体" w:hAnsi="宋体" w:eastAsia="宋体" w:cs="宋体"/>
          <w:b/>
          <w:bCs/>
          <w:szCs w:val="24"/>
          <w:highlight w:val="none"/>
        </w:rPr>
        <w:t>主要材料（设备）推荐品牌一览表</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723"/>
        <w:gridCol w:w="4627"/>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38"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367"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材料（设备）名称</w:t>
            </w:r>
          </w:p>
        </w:tc>
        <w:tc>
          <w:tcPr>
            <w:tcW w:w="2323"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参考生产厂或品牌</w:t>
            </w:r>
          </w:p>
        </w:tc>
        <w:tc>
          <w:tcPr>
            <w:tcW w:w="871" w:type="pct"/>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相关技术要求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723" w:type="dxa"/>
            <w:vAlign w:val="center"/>
          </w:tcPr>
          <w:p>
            <w:pPr>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水泥</w:t>
            </w:r>
          </w:p>
        </w:tc>
        <w:tc>
          <w:tcPr>
            <w:tcW w:w="4626"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参照或相当于</w:t>
            </w:r>
            <w:r>
              <w:rPr>
                <w:rFonts w:hint="eastAsia" w:ascii="宋体" w:hAnsi="宋体" w:eastAsia="宋体" w:cs="宋体"/>
                <w:color w:val="000000"/>
                <w:sz w:val="24"/>
                <w:szCs w:val="24"/>
                <w:highlight w:val="none"/>
              </w:rPr>
              <w:t>海螺、三狮、钱潮、尖峰</w:t>
            </w:r>
          </w:p>
        </w:tc>
        <w:tc>
          <w:tcPr>
            <w:tcW w:w="871" w:type="pct"/>
            <w:vAlign w:val="center"/>
          </w:tcPr>
          <w:p>
            <w:pPr>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723" w:type="dxa"/>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乳胶漆</w:t>
            </w:r>
          </w:p>
        </w:tc>
        <w:tc>
          <w:tcPr>
            <w:tcW w:w="4626" w:type="dxa"/>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参照或相当于立邦净味120系列、多乐士净味五合一系列、大师优清系列</w:t>
            </w:r>
          </w:p>
        </w:tc>
        <w:tc>
          <w:tcPr>
            <w:tcW w:w="871" w:type="pct"/>
            <w:vAlign w:val="center"/>
          </w:tcPr>
          <w:p>
            <w:pPr>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723" w:type="dxa"/>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电力电缆</w:t>
            </w:r>
          </w:p>
        </w:tc>
        <w:tc>
          <w:tcPr>
            <w:tcW w:w="4626" w:type="dxa"/>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参照或相当于永通、元通、杭州中策</w:t>
            </w:r>
          </w:p>
        </w:tc>
        <w:tc>
          <w:tcPr>
            <w:tcW w:w="871" w:type="pct"/>
            <w:vAlign w:val="center"/>
          </w:tcPr>
          <w:p>
            <w:pPr>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723"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电梯</w:t>
            </w:r>
          </w:p>
        </w:tc>
        <w:tc>
          <w:tcPr>
            <w:tcW w:w="4626"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参照或相当于奥的斯机电的</w:t>
            </w:r>
            <w:r>
              <w:rPr>
                <w:rFonts w:hint="eastAsia" w:ascii="宋体" w:hAnsi="宋体" w:eastAsia="宋体" w:cs="宋体"/>
                <w:sz w:val="24"/>
                <w:highlight w:val="none"/>
              </w:rPr>
              <w:t>GEN2系列</w:t>
            </w:r>
            <w:r>
              <w:rPr>
                <w:rFonts w:hint="eastAsia" w:ascii="宋体" w:hAnsi="宋体" w:eastAsia="宋体" w:cs="宋体"/>
                <w:sz w:val="24"/>
                <w:szCs w:val="24"/>
                <w:highlight w:val="none"/>
              </w:rPr>
              <w:t>、日立的</w:t>
            </w:r>
            <w:r>
              <w:rPr>
                <w:rFonts w:hint="eastAsia" w:ascii="宋体" w:hAnsi="宋体" w:eastAsia="宋体" w:cs="宋体"/>
                <w:sz w:val="24"/>
                <w:highlight w:val="none"/>
              </w:rPr>
              <w:t>MCA系列</w:t>
            </w:r>
            <w:r>
              <w:rPr>
                <w:rFonts w:hint="eastAsia" w:ascii="宋体" w:hAnsi="宋体" w:eastAsia="宋体" w:cs="宋体"/>
                <w:sz w:val="24"/>
                <w:szCs w:val="24"/>
                <w:highlight w:val="none"/>
              </w:rPr>
              <w:t>、三菱的</w:t>
            </w:r>
            <w:r>
              <w:rPr>
                <w:rFonts w:hint="eastAsia" w:ascii="宋体" w:hAnsi="宋体" w:eastAsia="宋体" w:cs="宋体"/>
                <w:sz w:val="24"/>
                <w:highlight w:val="none"/>
              </w:rPr>
              <w:t>MAXIEZ-CZ系列</w:t>
            </w:r>
          </w:p>
        </w:tc>
        <w:tc>
          <w:tcPr>
            <w:tcW w:w="871" w:type="pct"/>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723"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轿厢空调</w:t>
            </w:r>
          </w:p>
        </w:tc>
        <w:tc>
          <w:tcPr>
            <w:tcW w:w="4626"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参照或相当于 杭州和山、梯诺士、美的</w:t>
            </w:r>
          </w:p>
        </w:tc>
        <w:tc>
          <w:tcPr>
            <w:tcW w:w="871" w:type="pct"/>
            <w:vAlign w:val="center"/>
          </w:tcPr>
          <w:p>
            <w:pPr>
              <w:jc w:val="center"/>
              <w:rPr>
                <w:rFonts w:hint="eastAsia" w:ascii="宋体" w:hAnsi="宋体" w:eastAsia="宋体" w:cs="宋体"/>
                <w:sz w:val="24"/>
                <w:szCs w:val="24"/>
                <w:highlight w:val="none"/>
              </w:rPr>
            </w:pPr>
          </w:p>
        </w:tc>
      </w:tr>
    </w:tbl>
    <w:p>
      <w:p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六、技术资料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成交供应商应在验收前向采购方提供以下中文技术资料：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1、电梯土建总体布置图、井道尺寸剖面图、轿厢装修图；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2、设备安装图（包括电气、系统安装线路图）、电路电气控制图、系统原理图等，要求5份；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3、设备样本及技术规格书；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4、设备安装、操作、维护手册或说明书，要求5份；</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5、提供主要安全装置的型式试验报告的副本；</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6、设备零部件原产地清单及原产地说明书和产品合格证；</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7、电梯制造厂的电梯生产许可证及安装维修委托书和电梯合格证书；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8、电梯安装单位的安装资质证明；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9、成交供应商认为有必要提供的其它技术资料及采购方需配合的事宜；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10、进口部件的商检证明（如果有）。</w:t>
      </w:r>
    </w:p>
    <w:p>
      <w:p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七、特别说明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1、永久电源箱到电梯电源箱之间的管线由成交供应商提供并负责敷设，相关费用包括在总报价内。电梯随行电缆有视频、五方通信接口管线报价包括在总报价中，与消防及端子接线也包括在总报价中。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2、电梯面板机房开孔费用包干，门厅召唤按钮及楼层显示器安装由成交供应商负责相关墙面开孔及线路铺设，费用包括在总价内。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成交供应商负责设备通过质量技术监督部门等政府、行业有关部门组织的验收，直至取得验收证书，验收合格后移交所有验收资料，并提供详细的设备样本和完整的中文使用操作机维护手册（说明书），具体资料数量由采购方确认，相关费用计入总报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4、质量技术监督部门等政府、行业有关部门的一切相关检验费计入总报价，即含安装调试完毕的验收费用、验收完毕至质保期期间的检验费 、质保期内的检验费（</w:t>
      </w:r>
      <w:r>
        <w:rPr>
          <w:rFonts w:hint="eastAsia" w:ascii="宋体" w:hAnsi="宋体" w:eastAsia="宋体" w:cs="宋体"/>
          <w:b/>
          <w:bCs/>
          <w:sz w:val="24"/>
          <w:szCs w:val="24"/>
          <w:highlight w:val="none"/>
        </w:rPr>
        <w:t>即新梯的验收费和质保期内的年检费</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5、设备调试、试运行验收合格，交付采购方使用以前的设备保护、劳动安全管理由成交供应商负责。</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6、供应商必须对现场进行充分勘查。运输过程中对附近周边管线的保护也包含在本次招标范围内。成交供应商需将该部分的费用含在总报价，并实行包干。</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7、现场若发现有违反安全文明施工规范及现场安全管理的行为，采购方将根据情节轻重进行相应的处罚。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8、成交供应商进场应服从采购方，监理及总包单位的安排，并做好设备的堆放，检验和保管工作，费用在总报价中充分考虑包干计算。</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根据采购方指令确定验收合格日期，并无条件根据施工进度配合采购方主体施工；验收合格之日到正式交付采购方及物业接收之日，此期间的质保费包括在投标总价中，所更换零部件另计，费用由相关责任方承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10、技术服务及培训费（含提供2人次至工厂进行设备出厂前的检验、现场培训工作及设备运抵后的日常维护人员培训及相应技术支持服务等）。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电梯井道照明、检修插座由投标单位自行安装。电梯现场安装人员必须持行政主管部门颁发的特种作业证书人员（具有两年以上操作经验）方可上岗。由于电梯主机属于精密设备，安装现场灰尘较多，必须采取措施在洁净的环境中安装，其费用列入投标总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12、底层爬梯、井道脚手架、费用需计入投标总价。电梯成品、半成品的保护及安全防护措施（电梯门洞封堵、井道内防坠落隔离物等）应自行与总承包单位达成一致，其费用列入总报价。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13、总报价须包括电梯井道内的钢梁等分割（满足电梯验收要求）、政策性文件规定以及合同包含的所有风险、责任等各项全部费用，如调试时采购方不具备正式通电条件，调试用电缆需成交供应商自行承担。</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八、商务技术要求</w:t>
      </w:r>
    </w:p>
    <w:tbl>
      <w:tblPr>
        <w:tblStyle w:val="63"/>
        <w:tblW w:w="90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9"/>
        <w:gridCol w:w="7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pStyle w:val="972"/>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项目履约期限及地点</w:t>
            </w:r>
          </w:p>
        </w:tc>
        <w:tc>
          <w:tcPr>
            <w:tcW w:w="76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工期：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0个日历天；</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地点： 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pStyle w:val="972"/>
              <w:rPr>
                <w:rFonts w:hint="eastAsia" w:ascii="宋体" w:hAnsi="宋体" w:eastAsia="宋体" w:cs="宋体"/>
                <w:bCs/>
                <w:sz w:val="24"/>
                <w:szCs w:val="24"/>
                <w:highlight w:val="none"/>
              </w:rPr>
            </w:pPr>
            <w:r>
              <w:rPr>
                <w:rFonts w:hint="eastAsia" w:ascii="宋体" w:hAnsi="宋体" w:eastAsia="宋体" w:cs="宋体"/>
                <w:bCs/>
                <w:sz w:val="24"/>
                <w:szCs w:val="24"/>
                <w:highlight w:val="none"/>
              </w:rPr>
              <w:t>付款方式</w:t>
            </w:r>
          </w:p>
        </w:tc>
        <w:tc>
          <w:tcPr>
            <w:tcW w:w="762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详见合同条款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pStyle w:val="972"/>
              <w:rPr>
                <w:rFonts w:hint="eastAsia" w:ascii="宋体" w:hAnsi="宋体" w:eastAsia="宋体" w:cs="宋体"/>
                <w:bCs/>
                <w:sz w:val="24"/>
                <w:szCs w:val="24"/>
                <w:highlight w:val="none"/>
              </w:rPr>
            </w:pPr>
            <w:r>
              <w:rPr>
                <w:rFonts w:hint="eastAsia" w:ascii="宋体" w:hAnsi="宋体" w:eastAsia="宋体" w:cs="宋体"/>
                <w:bCs/>
                <w:sz w:val="24"/>
                <w:szCs w:val="24"/>
                <w:highlight w:val="none"/>
              </w:rPr>
              <w:t>履约保证金</w:t>
            </w:r>
          </w:p>
        </w:tc>
        <w:tc>
          <w:tcPr>
            <w:tcW w:w="7628" w:type="dxa"/>
            <w:tcBorders>
              <w:top w:val="single" w:color="auto" w:sz="4" w:space="0"/>
              <w:left w:val="single" w:color="auto" w:sz="4" w:space="0"/>
              <w:bottom w:val="single" w:color="auto" w:sz="4" w:space="0"/>
              <w:right w:val="single" w:color="auto" w:sz="4" w:space="0"/>
            </w:tcBorders>
            <w:vAlign w:val="center"/>
          </w:tcPr>
          <w:p>
            <w:pPr>
              <w:tabs>
                <w:tab w:val="left" w:pos="0"/>
              </w:tabs>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合同总价的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%作为履约保证金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具体详见合同条款。</w:t>
            </w:r>
          </w:p>
        </w:tc>
      </w:tr>
    </w:tbl>
    <w:p>
      <w:pPr>
        <w:snapToGrid/>
        <w:spacing w:line="240" w:lineRule="auto"/>
        <w:jc w:val="left"/>
        <w:rPr>
          <w:rFonts w:hint="eastAsia" w:ascii="宋体" w:hAnsi="宋体" w:cs="宋体"/>
          <w:b/>
          <w:sz w:val="36"/>
          <w:szCs w:val="20"/>
          <w:highlight w:val="none"/>
        </w:rPr>
      </w:pPr>
      <w:r>
        <w:rPr>
          <w:rFonts w:hint="eastAsia" w:ascii="宋体" w:hAnsi="宋体" w:cs="宋体"/>
          <w:b/>
          <w:sz w:val="36"/>
          <w:szCs w:val="20"/>
          <w:highlight w:val="none"/>
        </w:rPr>
        <w:br w:type="page"/>
      </w:r>
    </w:p>
    <w:p>
      <w:pPr>
        <w:snapToGrid w:val="0"/>
        <w:spacing w:line="360" w:lineRule="auto"/>
        <w:jc w:val="center"/>
        <w:rPr>
          <w:rFonts w:ascii="宋体" w:hAnsi="宋体" w:cs="宋体"/>
          <w:b/>
          <w:sz w:val="36"/>
          <w:szCs w:val="20"/>
          <w:highlight w:val="none"/>
        </w:rPr>
      </w:pPr>
      <w:r>
        <w:rPr>
          <w:rFonts w:hint="eastAsia" w:ascii="宋体" w:hAnsi="宋体" w:cs="宋体"/>
          <w:b/>
          <w:sz w:val="36"/>
          <w:szCs w:val="20"/>
          <w:highlight w:val="none"/>
        </w:rPr>
        <w:t>第四部分</w:t>
      </w:r>
      <w:bookmarkStart w:id="34" w:name="_Toc184310335"/>
      <w:bookmarkEnd w:id="34"/>
      <w:bookmarkStart w:id="35" w:name="_Toc184314416"/>
      <w:bookmarkEnd w:id="35"/>
      <w:bookmarkStart w:id="36" w:name="_Toc184308100"/>
      <w:bookmarkEnd w:id="36"/>
      <w:bookmarkStart w:id="37" w:name="_Toc184312070"/>
      <w:bookmarkEnd w:id="37"/>
      <w:bookmarkStart w:id="38" w:name="_Toc184314422"/>
      <w:bookmarkEnd w:id="38"/>
      <w:bookmarkStart w:id="39" w:name="_Toc184312135"/>
      <w:bookmarkEnd w:id="39"/>
      <w:bookmarkStart w:id="40" w:name="_Toc184314464"/>
      <w:bookmarkEnd w:id="40"/>
      <w:bookmarkStart w:id="41" w:name="_Toc184310297"/>
      <w:bookmarkEnd w:id="41"/>
      <w:bookmarkStart w:id="42" w:name="_Toc184308080"/>
      <w:bookmarkEnd w:id="42"/>
      <w:bookmarkStart w:id="43" w:name="_Toc184314460"/>
      <w:bookmarkEnd w:id="43"/>
      <w:bookmarkStart w:id="44" w:name="_Toc184313286"/>
      <w:bookmarkEnd w:id="44"/>
      <w:bookmarkStart w:id="45" w:name="_Toc184314429"/>
      <w:bookmarkEnd w:id="45"/>
      <w:bookmarkStart w:id="46" w:name="_Toc184314470"/>
      <w:bookmarkEnd w:id="46"/>
      <w:bookmarkStart w:id="47" w:name="_Toc184313258"/>
      <w:bookmarkEnd w:id="47"/>
      <w:bookmarkStart w:id="48" w:name="_Toc184310328"/>
      <w:bookmarkEnd w:id="48"/>
      <w:bookmarkStart w:id="49" w:name="_Toc184308088"/>
      <w:bookmarkEnd w:id="49"/>
      <w:bookmarkStart w:id="50" w:name="_Toc184308095"/>
      <w:bookmarkEnd w:id="50"/>
      <w:bookmarkStart w:id="51" w:name="_Toc184308107"/>
      <w:bookmarkEnd w:id="51"/>
      <w:bookmarkStart w:id="52" w:name="_Toc184308106"/>
      <w:bookmarkEnd w:id="52"/>
      <w:bookmarkStart w:id="53" w:name="_Toc184310273"/>
      <w:bookmarkEnd w:id="53"/>
      <w:bookmarkStart w:id="54" w:name="_Toc184310308"/>
      <w:bookmarkEnd w:id="54"/>
      <w:bookmarkStart w:id="55" w:name="_Toc184310299"/>
      <w:bookmarkEnd w:id="55"/>
      <w:bookmarkStart w:id="56" w:name="_Toc184308072"/>
      <w:bookmarkEnd w:id="56"/>
      <w:bookmarkStart w:id="57" w:name="_Toc184313283"/>
      <w:bookmarkEnd w:id="57"/>
      <w:bookmarkStart w:id="58" w:name="_Toc184313287"/>
      <w:bookmarkEnd w:id="58"/>
      <w:bookmarkStart w:id="59" w:name="_Toc184308093"/>
      <w:bookmarkEnd w:id="59"/>
      <w:bookmarkStart w:id="60" w:name="_Toc184312093"/>
      <w:bookmarkEnd w:id="60"/>
      <w:bookmarkStart w:id="61" w:name="_Toc184310321"/>
      <w:bookmarkEnd w:id="61"/>
      <w:bookmarkStart w:id="62" w:name="_Toc184312130"/>
      <w:bookmarkEnd w:id="62"/>
      <w:bookmarkStart w:id="63" w:name="_Toc184312089"/>
      <w:bookmarkEnd w:id="63"/>
      <w:bookmarkStart w:id="64" w:name="_Toc184314478"/>
      <w:bookmarkEnd w:id="64"/>
      <w:bookmarkStart w:id="65" w:name="_Toc184313254"/>
      <w:bookmarkEnd w:id="65"/>
      <w:bookmarkStart w:id="66" w:name="_Toc184314453"/>
      <w:bookmarkEnd w:id="66"/>
      <w:bookmarkStart w:id="67" w:name="_Toc184308059"/>
      <w:bookmarkEnd w:id="67"/>
      <w:bookmarkStart w:id="68" w:name="_Toc184313250"/>
      <w:bookmarkEnd w:id="68"/>
      <w:bookmarkStart w:id="69" w:name="_Toc184313245"/>
      <w:bookmarkEnd w:id="69"/>
      <w:bookmarkStart w:id="70" w:name="_Toc184314474"/>
      <w:bookmarkEnd w:id="70"/>
      <w:bookmarkStart w:id="71" w:name="_Toc184313260"/>
      <w:bookmarkEnd w:id="71"/>
      <w:bookmarkStart w:id="72" w:name="_Toc184314479"/>
      <w:bookmarkEnd w:id="72"/>
      <w:bookmarkStart w:id="73" w:name="_Toc184312138"/>
      <w:bookmarkEnd w:id="73"/>
      <w:bookmarkStart w:id="74" w:name="_Toc184312081"/>
      <w:bookmarkEnd w:id="74"/>
      <w:bookmarkStart w:id="75" w:name="_Toc184313257"/>
      <w:bookmarkEnd w:id="75"/>
      <w:bookmarkStart w:id="76" w:name="_Toc184314420"/>
      <w:bookmarkEnd w:id="76"/>
      <w:bookmarkStart w:id="77" w:name="_Toc184312095"/>
      <w:bookmarkEnd w:id="77"/>
      <w:bookmarkStart w:id="78" w:name="_Toc184312116"/>
      <w:bookmarkEnd w:id="78"/>
      <w:bookmarkStart w:id="79" w:name="_Toc184310293"/>
      <w:bookmarkEnd w:id="79"/>
      <w:bookmarkStart w:id="80" w:name="_Toc184312123"/>
      <w:bookmarkEnd w:id="80"/>
      <w:bookmarkStart w:id="81" w:name="_Toc184314473"/>
      <w:bookmarkEnd w:id="81"/>
      <w:bookmarkStart w:id="82" w:name="_Toc184308064"/>
      <w:bookmarkEnd w:id="82"/>
      <w:bookmarkStart w:id="83" w:name="_Toc184310281"/>
      <w:bookmarkEnd w:id="83"/>
      <w:bookmarkStart w:id="84" w:name="_Toc184308078"/>
      <w:bookmarkEnd w:id="84"/>
      <w:bookmarkStart w:id="85" w:name="_Toc184313305"/>
      <w:bookmarkEnd w:id="85"/>
      <w:bookmarkStart w:id="86" w:name="_Toc184312096"/>
      <w:bookmarkEnd w:id="86"/>
      <w:bookmarkStart w:id="87" w:name="_Toc184312125"/>
      <w:bookmarkEnd w:id="87"/>
      <w:bookmarkStart w:id="88" w:name="_Toc184313297"/>
      <w:bookmarkEnd w:id="88"/>
      <w:bookmarkStart w:id="89" w:name="_Toc184313310"/>
      <w:bookmarkEnd w:id="89"/>
      <w:bookmarkStart w:id="90" w:name="_Toc184312086"/>
      <w:bookmarkEnd w:id="90"/>
      <w:bookmarkStart w:id="91" w:name="_Toc184313300"/>
      <w:bookmarkEnd w:id="91"/>
      <w:bookmarkStart w:id="92" w:name="_Toc184312136"/>
      <w:bookmarkEnd w:id="92"/>
      <w:bookmarkStart w:id="93" w:name="_Toc184308087"/>
      <w:bookmarkEnd w:id="93"/>
      <w:bookmarkStart w:id="94" w:name="_Toc184310305"/>
      <w:bookmarkEnd w:id="94"/>
      <w:bookmarkStart w:id="95" w:name="_Toc184312092"/>
      <w:bookmarkEnd w:id="95"/>
      <w:bookmarkStart w:id="96" w:name="_Toc184314444"/>
      <w:bookmarkEnd w:id="96"/>
      <w:bookmarkStart w:id="97" w:name="_Toc184310289"/>
      <w:bookmarkEnd w:id="97"/>
      <w:bookmarkStart w:id="98" w:name="_Toc184310300"/>
      <w:bookmarkEnd w:id="98"/>
      <w:bookmarkStart w:id="99" w:name="_Toc184310285"/>
      <w:bookmarkEnd w:id="99"/>
      <w:bookmarkStart w:id="100" w:name="_Toc184312071"/>
      <w:bookmarkEnd w:id="100"/>
      <w:bookmarkStart w:id="101" w:name="_Toc184314434"/>
      <w:bookmarkEnd w:id="101"/>
      <w:bookmarkStart w:id="102" w:name="_Toc184308045"/>
      <w:bookmarkEnd w:id="102"/>
      <w:bookmarkStart w:id="103" w:name="_Toc184314482"/>
      <w:bookmarkEnd w:id="103"/>
      <w:bookmarkStart w:id="104" w:name="_Toc184313284"/>
      <w:bookmarkEnd w:id="104"/>
      <w:bookmarkStart w:id="105" w:name="_Toc184314465"/>
      <w:bookmarkEnd w:id="105"/>
      <w:bookmarkStart w:id="106" w:name="_Toc184312077"/>
      <w:bookmarkEnd w:id="106"/>
      <w:bookmarkStart w:id="107" w:name="_Toc184308076"/>
      <w:bookmarkEnd w:id="107"/>
      <w:bookmarkStart w:id="108" w:name="_Toc184312082"/>
      <w:bookmarkEnd w:id="108"/>
      <w:bookmarkStart w:id="109" w:name="_Toc184308062"/>
      <w:bookmarkEnd w:id="109"/>
      <w:bookmarkStart w:id="110" w:name="_Toc184310272"/>
      <w:bookmarkEnd w:id="110"/>
      <w:bookmarkStart w:id="111" w:name="_Toc184308052"/>
      <w:bookmarkEnd w:id="111"/>
      <w:bookmarkStart w:id="112" w:name="_Toc184310342"/>
      <w:bookmarkEnd w:id="112"/>
      <w:bookmarkStart w:id="113" w:name="_Toc184312133"/>
      <w:bookmarkEnd w:id="113"/>
      <w:bookmarkStart w:id="114" w:name="_Toc184314433"/>
      <w:bookmarkEnd w:id="114"/>
      <w:bookmarkStart w:id="115" w:name="_Toc184313296"/>
      <w:bookmarkEnd w:id="115"/>
      <w:bookmarkStart w:id="116" w:name="_Toc184312110"/>
      <w:bookmarkEnd w:id="116"/>
      <w:bookmarkStart w:id="117" w:name="_Toc184313248"/>
      <w:bookmarkEnd w:id="117"/>
      <w:bookmarkStart w:id="118" w:name="_Toc184310336"/>
      <w:bookmarkEnd w:id="118"/>
      <w:bookmarkStart w:id="119" w:name="_Toc184313261"/>
      <w:bookmarkEnd w:id="119"/>
      <w:bookmarkStart w:id="120" w:name="_Toc184313243"/>
      <w:bookmarkEnd w:id="120"/>
      <w:bookmarkStart w:id="121" w:name="_Toc184314477"/>
      <w:bookmarkEnd w:id="121"/>
      <w:bookmarkStart w:id="122" w:name="_Toc184314466"/>
      <w:bookmarkEnd w:id="122"/>
      <w:bookmarkStart w:id="123" w:name="_Toc184313291"/>
      <w:bookmarkEnd w:id="123"/>
      <w:bookmarkStart w:id="124" w:name="_Toc184308069"/>
      <w:bookmarkEnd w:id="124"/>
      <w:bookmarkStart w:id="125" w:name="_Toc184310295"/>
      <w:bookmarkEnd w:id="125"/>
      <w:bookmarkStart w:id="126" w:name="_Toc184312079"/>
      <w:bookmarkEnd w:id="126"/>
      <w:bookmarkStart w:id="127" w:name="_Toc184313272"/>
      <w:bookmarkEnd w:id="127"/>
      <w:bookmarkStart w:id="128" w:name="_Toc184312127"/>
      <w:bookmarkEnd w:id="128"/>
      <w:bookmarkStart w:id="129" w:name="_Toc184313244"/>
      <w:bookmarkEnd w:id="129"/>
      <w:bookmarkStart w:id="130" w:name="_Toc184313270"/>
      <w:bookmarkEnd w:id="130"/>
      <w:bookmarkStart w:id="131" w:name="_Toc184312139"/>
      <w:bookmarkEnd w:id="131"/>
      <w:bookmarkStart w:id="132" w:name="_Toc184313301"/>
      <w:bookmarkEnd w:id="132"/>
      <w:bookmarkStart w:id="133" w:name="_Toc184313263"/>
      <w:bookmarkEnd w:id="133"/>
      <w:bookmarkStart w:id="134" w:name="_Toc184313255"/>
      <w:bookmarkEnd w:id="134"/>
      <w:bookmarkStart w:id="135" w:name="_Toc184313294"/>
      <w:bookmarkEnd w:id="135"/>
      <w:bookmarkStart w:id="136" w:name="_Toc184312075"/>
      <w:bookmarkEnd w:id="136"/>
      <w:bookmarkStart w:id="137" w:name="_Toc184310291"/>
      <w:bookmarkEnd w:id="137"/>
      <w:bookmarkStart w:id="138" w:name="_Toc184314410"/>
      <w:bookmarkEnd w:id="138"/>
      <w:bookmarkStart w:id="139" w:name="_Toc184312128"/>
      <w:bookmarkEnd w:id="139"/>
      <w:bookmarkStart w:id="140" w:name="_Toc184314442"/>
      <w:bookmarkEnd w:id="140"/>
      <w:bookmarkStart w:id="141" w:name="_Toc184310278"/>
      <w:bookmarkEnd w:id="141"/>
      <w:bookmarkStart w:id="142" w:name="_Toc184308060"/>
      <w:bookmarkEnd w:id="142"/>
      <w:bookmarkStart w:id="143" w:name="_Toc184314446"/>
      <w:bookmarkEnd w:id="143"/>
      <w:bookmarkStart w:id="144" w:name="_Toc184308104"/>
      <w:bookmarkEnd w:id="144"/>
      <w:bookmarkStart w:id="145" w:name="_Toc184312100"/>
      <w:bookmarkEnd w:id="145"/>
      <w:bookmarkStart w:id="146" w:name="_Toc184310317"/>
      <w:bookmarkEnd w:id="146"/>
      <w:bookmarkStart w:id="147" w:name="_Toc184314458"/>
      <w:bookmarkEnd w:id="147"/>
      <w:bookmarkStart w:id="148" w:name="_Toc184310302"/>
      <w:bookmarkEnd w:id="148"/>
      <w:bookmarkStart w:id="149" w:name="_Toc184314443"/>
      <w:bookmarkEnd w:id="149"/>
      <w:bookmarkStart w:id="150" w:name="_Toc184313290"/>
      <w:bookmarkEnd w:id="150"/>
      <w:bookmarkStart w:id="151" w:name="_Toc184313239"/>
      <w:bookmarkEnd w:id="151"/>
      <w:bookmarkStart w:id="152" w:name="_Toc184310325"/>
      <w:bookmarkEnd w:id="152"/>
      <w:bookmarkStart w:id="153" w:name="_Toc184314476"/>
      <w:bookmarkEnd w:id="153"/>
      <w:bookmarkStart w:id="154" w:name="_Toc184314451"/>
      <w:bookmarkEnd w:id="154"/>
      <w:bookmarkStart w:id="155" w:name="_Toc184313269"/>
      <w:bookmarkEnd w:id="155"/>
      <w:bookmarkStart w:id="156" w:name="_Toc184310341"/>
      <w:bookmarkEnd w:id="156"/>
      <w:bookmarkStart w:id="157" w:name="_Toc184308038"/>
      <w:bookmarkEnd w:id="157"/>
      <w:bookmarkStart w:id="158" w:name="_Toc184314425"/>
      <w:bookmarkEnd w:id="158"/>
      <w:bookmarkStart w:id="159" w:name="_Toc184308048"/>
      <w:bookmarkEnd w:id="159"/>
      <w:bookmarkStart w:id="160" w:name="_Toc184312087"/>
      <w:bookmarkEnd w:id="160"/>
      <w:bookmarkStart w:id="161" w:name="_Toc184308102"/>
      <w:bookmarkEnd w:id="161"/>
      <w:bookmarkStart w:id="162" w:name="_Toc184314447"/>
      <w:bookmarkEnd w:id="162"/>
      <w:bookmarkStart w:id="163" w:name="_Toc184314462"/>
      <w:bookmarkEnd w:id="163"/>
      <w:bookmarkStart w:id="164" w:name="_Toc184308089"/>
      <w:bookmarkEnd w:id="164"/>
      <w:bookmarkStart w:id="165" w:name="_Toc184313264"/>
      <w:bookmarkEnd w:id="165"/>
      <w:bookmarkStart w:id="166" w:name="_Toc184314469"/>
      <w:bookmarkEnd w:id="166"/>
      <w:bookmarkStart w:id="167" w:name="_Toc184314430"/>
      <w:bookmarkEnd w:id="167"/>
      <w:bookmarkStart w:id="168" w:name="_Toc184312085"/>
      <w:bookmarkEnd w:id="168"/>
      <w:bookmarkStart w:id="169" w:name="_Toc184308061"/>
      <w:bookmarkEnd w:id="169"/>
      <w:bookmarkStart w:id="170" w:name="_Toc184313304"/>
      <w:bookmarkEnd w:id="170"/>
      <w:bookmarkStart w:id="171" w:name="_Toc184313262"/>
      <w:bookmarkEnd w:id="171"/>
      <w:bookmarkStart w:id="172" w:name="_Toc184312103"/>
      <w:bookmarkEnd w:id="172"/>
      <w:bookmarkStart w:id="173" w:name="_Toc184310311"/>
      <w:bookmarkEnd w:id="173"/>
      <w:bookmarkStart w:id="174" w:name="_Toc184310301"/>
      <w:bookmarkEnd w:id="174"/>
      <w:bookmarkStart w:id="175" w:name="_Toc184308071"/>
      <w:bookmarkEnd w:id="175"/>
      <w:bookmarkStart w:id="176" w:name="_Toc184313279"/>
      <w:bookmarkEnd w:id="176"/>
      <w:bookmarkStart w:id="177" w:name="_Toc184310314"/>
      <w:bookmarkEnd w:id="177"/>
      <w:bookmarkStart w:id="178" w:name="_Toc184312088"/>
      <w:bookmarkEnd w:id="178"/>
      <w:bookmarkStart w:id="179" w:name="_Toc184314411"/>
      <w:bookmarkEnd w:id="179"/>
      <w:bookmarkStart w:id="180" w:name="_Toc184310304"/>
      <w:bookmarkEnd w:id="180"/>
      <w:bookmarkStart w:id="181" w:name="_Toc184312073"/>
      <w:bookmarkEnd w:id="181"/>
      <w:bookmarkStart w:id="182" w:name="_Toc184314424"/>
      <w:bookmarkEnd w:id="182"/>
      <w:bookmarkStart w:id="183" w:name="_Toc184308094"/>
      <w:bookmarkEnd w:id="183"/>
      <w:bookmarkStart w:id="184" w:name="_Toc184312121"/>
      <w:bookmarkEnd w:id="184"/>
      <w:bookmarkStart w:id="185" w:name="_Toc184310331"/>
      <w:bookmarkEnd w:id="185"/>
      <w:bookmarkStart w:id="186" w:name="_Toc184308049"/>
      <w:bookmarkEnd w:id="186"/>
      <w:bookmarkStart w:id="187" w:name="_Toc184314468"/>
      <w:bookmarkEnd w:id="187"/>
      <w:bookmarkStart w:id="188" w:name="_Toc184313267"/>
      <w:bookmarkEnd w:id="188"/>
      <w:bookmarkStart w:id="189" w:name="_Toc184313293"/>
      <w:bookmarkEnd w:id="189"/>
      <w:bookmarkStart w:id="190" w:name="_Toc184314457"/>
      <w:bookmarkEnd w:id="190"/>
      <w:bookmarkStart w:id="191" w:name="_Toc184312091"/>
      <w:bookmarkEnd w:id="191"/>
      <w:bookmarkStart w:id="192" w:name="_Toc184313275"/>
      <w:bookmarkEnd w:id="192"/>
      <w:bookmarkStart w:id="193" w:name="_Toc184313242"/>
      <w:bookmarkEnd w:id="193"/>
      <w:bookmarkStart w:id="194" w:name="_Toc184310332"/>
      <w:bookmarkEnd w:id="194"/>
      <w:bookmarkStart w:id="195" w:name="_Toc184312113"/>
      <w:bookmarkEnd w:id="195"/>
      <w:bookmarkStart w:id="196" w:name="_Toc184313289"/>
      <w:bookmarkEnd w:id="196"/>
      <w:bookmarkStart w:id="197" w:name="_Toc184312131"/>
      <w:bookmarkEnd w:id="197"/>
      <w:bookmarkStart w:id="198" w:name="_Toc184312068"/>
      <w:bookmarkEnd w:id="198"/>
      <w:bookmarkStart w:id="199" w:name="_Toc184308056"/>
      <w:bookmarkEnd w:id="199"/>
      <w:bookmarkStart w:id="200" w:name="_Toc184314426"/>
      <w:bookmarkEnd w:id="200"/>
      <w:bookmarkStart w:id="201" w:name="_Toc184310344"/>
      <w:bookmarkEnd w:id="201"/>
      <w:bookmarkStart w:id="202" w:name="_Toc184310313"/>
      <w:bookmarkEnd w:id="202"/>
      <w:bookmarkStart w:id="203" w:name="_Toc184313281"/>
      <w:bookmarkEnd w:id="203"/>
      <w:bookmarkStart w:id="204" w:name="_Toc184310279"/>
      <w:bookmarkEnd w:id="204"/>
      <w:bookmarkStart w:id="205" w:name="_Toc184313256"/>
      <w:bookmarkEnd w:id="205"/>
      <w:bookmarkStart w:id="206" w:name="_Toc184310315"/>
      <w:bookmarkEnd w:id="206"/>
      <w:bookmarkStart w:id="207" w:name="_Toc184308097"/>
      <w:bookmarkEnd w:id="207"/>
      <w:bookmarkStart w:id="208" w:name="_Toc184313299"/>
      <w:bookmarkEnd w:id="208"/>
      <w:bookmarkStart w:id="209" w:name="_Toc184310324"/>
      <w:bookmarkEnd w:id="209"/>
      <w:bookmarkStart w:id="210" w:name="_Toc184313253"/>
      <w:bookmarkEnd w:id="210"/>
      <w:bookmarkStart w:id="211" w:name="_Toc184314439"/>
      <w:bookmarkEnd w:id="211"/>
      <w:bookmarkStart w:id="212" w:name="_Toc184308040"/>
      <w:bookmarkEnd w:id="212"/>
      <w:bookmarkStart w:id="213" w:name="_Toc184308037"/>
      <w:bookmarkEnd w:id="213"/>
      <w:bookmarkStart w:id="214" w:name="_Toc184308051"/>
      <w:bookmarkEnd w:id="214"/>
      <w:bookmarkStart w:id="215" w:name="_Toc184313303"/>
      <w:bookmarkEnd w:id="215"/>
      <w:bookmarkStart w:id="216" w:name="_Toc184308050"/>
      <w:bookmarkEnd w:id="216"/>
      <w:bookmarkStart w:id="217" w:name="_Toc184312111"/>
      <w:bookmarkEnd w:id="217"/>
      <w:bookmarkStart w:id="218" w:name="_Toc184314413"/>
      <w:bookmarkEnd w:id="218"/>
      <w:bookmarkStart w:id="219" w:name="_Toc184308046"/>
      <w:bookmarkEnd w:id="219"/>
      <w:bookmarkStart w:id="220" w:name="_Toc184313273"/>
      <w:bookmarkEnd w:id="220"/>
      <w:bookmarkStart w:id="221" w:name="_Toc184310303"/>
      <w:bookmarkEnd w:id="221"/>
      <w:bookmarkStart w:id="222" w:name="_Toc184312084"/>
      <w:bookmarkEnd w:id="222"/>
      <w:bookmarkStart w:id="223" w:name="_Toc184308043"/>
      <w:bookmarkEnd w:id="223"/>
      <w:bookmarkStart w:id="224" w:name="_Toc184308055"/>
      <w:bookmarkEnd w:id="224"/>
      <w:bookmarkStart w:id="225" w:name="_Toc184313238"/>
      <w:bookmarkEnd w:id="225"/>
      <w:bookmarkStart w:id="226" w:name="_Toc184308070"/>
      <w:bookmarkEnd w:id="226"/>
      <w:bookmarkStart w:id="227" w:name="_Toc184312119"/>
      <w:bookmarkEnd w:id="227"/>
      <w:bookmarkStart w:id="228" w:name="_Toc184313280"/>
      <w:bookmarkEnd w:id="228"/>
      <w:bookmarkStart w:id="229" w:name="_Toc184310343"/>
      <w:bookmarkEnd w:id="229"/>
      <w:bookmarkStart w:id="230" w:name="_Toc184308081"/>
      <w:bookmarkEnd w:id="230"/>
      <w:bookmarkStart w:id="231" w:name="_Toc184312078"/>
      <w:bookmarkEnd w:id="231"/>
      <w:bookmarkStart w:id="232" w:name="_Toc184308063"/>
      <w:bookmarkEnd w:id="232"/>
      <w:bookmarkStart w:id="233" w:name="_Toc184308092"/>
      <w:bookmarkEnd w:id="233"/>
      <w:bookmarkStart w:id="234" w:name="_Toc184310276"/>
      <w:bookmarkEnd w:id="234"/>
      <w:bookmarkStart w:id="235" w:name="_Toc184308074"/>
      <w:bookmarkEnd w:id="235"/>
      <w:bookmarkStart w:id="236" w:name="_Toc184314449"/>
      <w:bookmarkEnd w:id="236"/>
      <w:bookmarkStart w:id="237" w:name="_Toc184310340"/>
      <w:bookmarkEnd w:id="237"/>
      <w:bookmarkStart w:id="238" w:name="_Toc184313265"/>
      <w:bookmarkEnd w:id="238"/>
      <w:bookmarkStart w:id="239" w:name="_Toc184313288"/>
      <w:bookmarkEnd w:id="239"/>
      <w:bookmarkStart w:id="240" w:name="_Toc184308082"/>
      <w:bookmarkEnd w:id="240"/>
      <w:bookmarkStart w:id="241" w:name="_Toc184312124"/>
      <w:bookmarkEnd w:id="241"/>
      <w:bookmarkStart w:id="242" w:name="_Toc184310322"/>
      <w:bookmarkEnd w:id="242"/>
      <w:bookmarkStart w:id="243" w:name="_Toc184314471"/>
      <w:bookmarkEnd w:id="243"/>
      <w:bookmarkStart w:id="244" w:name="_Toc184312094"/>
      <w:bookmarkEnd w:id="244"/>
      <w:bookmarkStart w:id="245" w:name="_Toc184312109"/>
      <w:bookmarkEnd w:id="245"/>
      <w:bookmarkStart w:id="246" w:name="_Toc184314481"/>
      <w:bookmarkEnd w:id="246"/>
      <w:bookmarkStart w:id="247" w:name="_Toc184308041"/>
      <w:bookmarkEnd w:id="247"/>
      <w:bookmarkStart w:id="248" w:name="_Toc184312137"/>
      <w:bookmarkEnd w:id="248"/>
      <w:bookmarkStart w:id="249" w:name="_Toc184310334"/>
      <w:bookmarkEnd w:id="249"/>
      <w:bookmarkStart w:id="250" w:name="_Toc184313292"/>
      <w:bookmarkEnd w:id="250"/>
      <w:bookmarkStart w:id="251" w:name="_Toc184308066"/>
      <w:bookmarkEnd w:id="251"/>
      <w:bookmarkStart w:id="252" w:name="_Toc184314448"/>
      <w:bookmarkEnd w:id="252"/>
      <w:bookmarkStart w:id="253" w:name="_Toc184308105"/>
      <w:bookmarkEnd w:id="253"/>
      <w:bookmarkStart w:id="254" w:name="_Toc184312101"/>
      <w:bookmarkEnd w:id="254"/>
      <w:bookmarkStart w:id="255" w:name="_Toc184314427"/>
      <w:bookmarkEnd w:id="255"/>
      <w:bookmarkStart w:id="256" w:name="_Toc184310274"/>
      <w:bookmarkEnd w:id="256"/>
      <w:bookmarkStart w:id="257" w:name="_Toc184314463"/>
      <w:bookmarkEnd w:id="257"/>
      <w:bookmarkStart w:id="258" w:name="_Toc184313307"/>
      <w:bookmarkEnd w:id="258"/>
      <w:bookmarkStart w:id="259" w:name="_Toc184314432"/>
      <w:bookmarkEnd w:id="259"/>
      <w:bookmarkStart w:id="260" w:name="_Toc184310329"/>
      <w:bookmarkEnd w:id="260"/>
      <w:bookmarkStart w:id="261" w:name="_Toc184308090"/>
      <w:bookmarkEnd w:id="261"/>
      <w:bookmarkStart w:id="262" w:name="_Toc184308044"/>
      <w:bookmarkEnd w:id="262"/>
      <w:bookmarkStart w:id="263" w:name="_Toc184312120"/>
      <w:bookmarkEnd w:id="263"/>
      <w:bookmarkStart w:id="264" w:name="_Toc184308099"/>
      <w:bookmarkEnd w:id="264"/>
      <w:bookmarkStart w:id="265" w:name="_Toc184308086"/>
      <w:bookmarkEnd w:id="265"/>
      <w:bookmarkStart w:id="266" w:name="_Toc184313274"/>
      <w:bookmarkEnd w:id="266"/>
      <w:bookmarkStart w:id="267" w:name="_Toc184313247"/>
      <w:bookmarkEnd w:id="267"/>
      <w:bookmarkStart w:id="268" w:name="_Toc184312074"/>
      <w:bookmarkEnd w:id="268"/>
      <w:bookmarkStart w:id="269" w:name="_Toc184310296"/>
      <w:bookmarkEnd w:id="269"/>
      <w:bookmarkStart w:id="270" w:name="_Toc184314423"/>
      <w:bookmarkEnd w:id="270"/>
      <w:bookmarkStart w:id="271" w:name="_Toc184314418"/>
      <w:bookmarkEnd w:id="271"/>
      <w:bookmarkStart w:id="272" w:name="_Toc184310339"/>
      <w:bookmarkEnd w:id="272"/>
      <w:bookmarkStart w:id="273" w:name="_Toc184313241"/>
      <w:bookmarkEnd w:id="273"/>
      <w:bookmarkStart w:id="274" w:name="_Toc184310326"/>
      <w:bookmarkEnd w:id="274"/>
      <w:bookmarkStart w:id="275" w:name="_Toc184312115"/>
      <w:bookmarkEnd w:id="275"/>
      <w:bookmarkStart w:id="276" w:name="_Toc184314419"/>
      <w:bookmarkEnd w:id="276"/>
      <w:bookmarkStart w:id="277" w:name="_Toc184312118"/>
      <w:bookmarkEnd w:id="277"/>
      <w:bookmarkStart w:id="278" w:name="_Toc184313251"/>
      <w:bookmarkEnd w:id="278"/>
      <w:bookmarkStart w:id="279" w:name="_Toc184310323"/>
      <w:bookmarkEnd w:id="279"/>
      <w:bookmarkStart w:id="280" w:name="_Toc184314455"/>
      <w:bookmarkEnd w:id="280"/>
      <w:bookmarkStart w:id="281" w:name="_Toc184310307"/>
      <w:bookmarkEnd w:id="281"/>
      <w:bookmarkStart w:id="282" w:name="_Toc184310312"/>
      <w:bookmarkEnd w:id="282"/>
      <w:bookmarkStart w:id="283" w:name="_Toc184310275"/>
      <w:bookmarkEnd w:id="283"/>
      <w:bookmarkStart w:id="284" w:name="_Toc184312107"/>
      <w:bookmarkEnd w:id="284"/>
      <w:bookmarkStart w:id="285" w:name="_Toc184314437"/>
      <w:bookmarkEnd w:id="285"/>
      <w:bookmarkStart w:id="286" w:name="_Toc184308101"/>
      <w:bookmarkEnd w:id="286"/>
      <w:bookmarkStart w:id="287" w:name="_Toc184312105"/>
      <w:bookmarkEnd w:id="287"/>
      <w:bookmarkStart w:id="288" w:name="_Toc184310284"/>
      <w:bookmarkEnd w:id="288"/>
      <w:bookmarkStart w:id="289" w:name="_Toc184312099"/>
      <w:bookmarkEnd w:id="289"/>
      <w:bookmarkStart w:id="290" w:name="_Toc184308096"/>
      <w:bookmarkEnd w:id="290"/>
      <w:bookmarkStart w:id="291" w:name="_Toc184310319"/>
      <w:bookmarkEnd w:id="291"/>
      <w:bookmarkStart w:id="292" w:name="_Toc184314438"/>
      <w:bookmarkEnd w:id="292"/>
      <w:bookmarkStart w:id="293" w:name="_Toc184312117"/>
      <w:bookmarkEnd w:id="293"/>
      <w:bookmarkStart w:id="294" w:name="_Toc184312080"/>
      <w:bookmarkEnd w:id="294"/>
      <w:bookmarkStart w:id="295" w:name="_Toc184314475"/>
      <w:bookmarkEnd w:id="295"/>
      <w:bookmarkStart w:id="296" w:name="_Toc184308075"/>
      <w:bookmarkEnd w:id="296"/>
      <w:bookmarkStart w:id="297" w:name="_Toc184310309"/>
      <w:bookmarkEnd w:id="297"/>
      <w:bookmarkStart w:id="298" w:name="_Toc184313266"/>
      <w:bookmarkEnd w:id="298"/>
      <w:bookmarkStart w:id="299" w:name="_Toc184310288"/>
      <w:bookmarkEnd w:id="299"/>
      <w:bookmarkStart w:id="300" w:name="_Toc184310292"/>
      <w:bookmarkEnd w:id="300"/>
      <w:bookmarkStart w:id="301" w:name="_Toc184313278"/>
      <w:bookmarkEnd w:id="301"/>
      <w:bookmarkStart w:id="302" w:name="_Toc184314421"/>
      <w:bookmarkEnd w:id="302"/>
      <w:bookmarkStart w:id="303" w:name="_Toc184314412"/>
      <w:bookmarkEnd w:id="303"/>
      <w:bookmarkStart w:id="304" w:name="_Toc184314441"/>
      <w:bookmarkEnd w:id="304"/>
      <w:bookmarkStart w:id="305" w:name="_Toc184312097"/>
      <w:bookmarkEnd w:id="305"/>
      <w:bookmarkStart w:id="306" w:name="_Toc184314454"/>
      <w:bookmarkEnd w:id="306"/>
      <w:bookmarkStart w:id="307" w:name="_Toc184308103"/>
      <w:bookmarkEnd w:id="307"/>
      <w:bookmarkStart w:id="308" w:name="_Toc184310327"/>
      <w:bookmarkEnd w:id="308"/>
      <w:bookmarkStart w:id="309" w:name="_Toc184314415"/>
      <w:bookmarkEnd w:id="309"/>
      <w:bookmarkStart w:id="310" w:name="_Toc184310294"/>
      <w:bookmarkEnd w:id="310"/>
      <w:bookmarkStart w:id="311" w:name="_Toc184308083"/>
      <w:bookmarkEnd w:id="311"/>
      <w:bookmarkStart w:id="312" w:name="_Toc184314414"/>
      <w:bookmarkEnd w:id="312"/>
      <w:bookmarkStart w:id="313" w:name="_Toc184313306"/>
      <w:bookmarkEnd w:id="313"/>
      <w:bookmarkStart w:id="314" w:name="_Toc184310320"/>
      <w:bookmarkEnd w:id="314"/>
      <w:bookmarkStart w:id="315" w:name="_Toc184313246"/>
      <w:bookmarkEnd w:id="315"/>
      <w:bookmarkStart w:id="316" w:name="_Toc184308067"/>
      <w:bookmarkEnd w:id="316"/>
      <w:bookmarkStart w:id="317" w:name="_Toc184310333"/>
      <w:bookmarkEnd w:id="317"/>
      <w:bookmarkStart w:id="318" w:name="_Toc184308039"/>
      <w:bookmarkEnd w:id="318"/>
      <w:bookmarkStart w:id="319" w:name="_Toc184312102"/>
      <w:bookmarkEnd w:id="319"/>
      <w:bookmarkStart w:id="320" w:name="_Toc184313249"/>
      <w:bookmarkEnd w:id="320"/>
      <w:bookmarkStart w:id="321" w:name="_Toc184310280"/>
      <w:bookmarkEnd w:id="321"/>
      <w:bookmarkStart w:id="322" w:name="_Toc184308068"/>
      <w:bookmarkEnd w:id="322"/>
      <w:bookmarkStart w:id="323" w:name="_Toc184314459"/>
      <w:bookmarkEnd w:id="323"/>
      <w:bookmarkStart w:id="324" w:name="_Toc184313309"/>
      <w:bookmarkEnd w:id="324"/>
      <w:bookmarkStart w:id="325" w:name="_Toc184308054"/>
      <w:bookmarkEnd w:id="325"/>
      <w:bookmarkStart w:id="326" w:name="_Toc184314472"/>
      <w:bookmarkEnd w:id="326"/>
      <w:bookmarkStart w:id="327" w:name="_Toc184313285"/>
      <w:bookmarkEnd w:id="327"/>
      <w:bookmarkStart w:id="328" w:name="_Toc184312122"/>
      <w:bookmarkEnd w:id="328"/>
      <w:bookmarkStart w:id="329" w:name="_Toc184314440"/>
      <w:bookmarkEnd w:id="329"/>
      <w:bookmarkStart w:id="330" w:name="_Toc184310318"/>
      <w:bookmarkEnd w:id="330"/>
      <w:bookmarkStart w:id="331" w:name="_Toc184310306"/>
      <w:bookmarkEnd w:id="331"/>
      <w:bookmarkStart w:id="332" w:name="_Toc184314428"/>
      <w:bookmarkEnd w:id="332"/>
      <w:bookmarkStart w:id="333" w:name="_Toc184314467"/>
      <w:bookmarkEnd w:id="333"/>
      <w:bookmarkStart w:id="334" w:name="_Toc184313302"/>
      <w:bookmarkEnd w:id="334"/>
      <w:bookmarkStart w:id="335" w:name="_Toc184313271"/>
      <w:bookmarkEnd w:id="335"/>
      <w:bookmarkStart w:id="336" w:name="_Toc184314445"/>
      <w:bookmarkEnd w:id="336"/>
      <w:bookmarkStart w:id="337" w:name="_Toc184313282"/>
      <w:bookmarkEnd w:id="337"/>
      <w:bookmarkStart w:id="338" w:name="_Toc184314431"/>
      <w:bookmarkEnd w:id="338"/>
      <w:bookmarkStart w:id="339" w:name="_Toc184313277"/>
      <w:bookmarkEnd w:id="339"/>
      <w:bookmarkStart w:id="340" w:name="_Toc184312069"/>
      <w:bookmarkEnd w:id="340"/>
      <w:bookmarkStart w:id="341" w:name="_Toc184312132"/>
      <w:bookmarkEnd w:id="341"/>
      <w:bookmarkStart w:id="342" w:name="_Toc184308098"/>
      <w:bookmarkEnd w:id="342"/>
      <w:bookmarkStart w:id="343" w:name="_Toc184310298"/>
      <w:bookmarkEnd w:id="343"/>
      <w:bookmarkStart w:id="344" w:name="_Toc184308079"/>
      <w:bookmarkEnd w:id="344"/>
      <w:bookmarkStart w:id="345" w:name="_Toc184313276"/>
      <w:bookmarkEnd w:id="345"/>
      <w:bookmarkStart w:id="346" w:name="_Toc184308057"/>
      <w:bookmarkEnd w:id="346"/>
      <w:bookmarkStart w:id="347" w:name="_Toc184308065"/>
      <w:bookmarkEnd w:id="347"/>
      <w:bookmarkStart w:id="348" w:name="_Toc184310330"/>
      <w:bookmarkEnd w:id="348"/>
      <w:bookmarkStart w:id="349" w:name="_Toc184313240"/>
      <w:bookmarkEnd w:id="349"/>
      <w:bookmarkStart w:id="350" w:name="_Toc184312090"/>
      <w:bookmarkEnd w:id="350"/>
      <w:bookmarkStart w:id="351" w:name="_Toc184312106"/>
      <w:bookmarkEnd w:id="351"/>
      <w:bookmarkStart w:id="352" w:name="_Toc184308084"/>
      <w:bookmarkEnd w:id="352"/>
      <w:bookmarkStart w:id="353" w:name="_Toc184308047"/>
      <w:bookmarkEnd w:id="353"/>
      <w:bookmarkStart w:id="354" w:name="_Toc184312067"/>
      <w:bookmarkEnd w:id="354"/>
      <w:bookmarkStart w:id="355" w:name="_Toc184308053"/>
      <w:bookmarkEnd w:id="355"/>
      <w:bookmarkStart w:id="356" w:name="_Toc184314456"/>
      <w:bookmarkEnd w:id="356"/>
      <w:bookmarkStart w:id="357" w:name="_Toc184308073"/>
      <w:bookmarkEnd w:id="357"/>
      <w:bookmarkStart w:id="358" w:name="_Toc184313295"/>
      <w:bookmarkEnd w:id="358"/>
      <w:bookmarkStart w:id="359" w:name="_Toc184308036"/>
      <w:bookmarkEnd w:id="359"/>
      <w:bookmarkStart w:id="360" w:name="_Toc184312098"/>
      <w:bookmarkEnd w:id="360"/>
      <w:bookmarkStart w:id="361" w:name="_Toc184314435"/>
      <w:bookmarkEnd w:id="361"/>
      <w:bookmarkStart w:id="362" w:name="_Toc184314436"/>
      <w:bookmarkEnd w:id="362"/>
      <w:bookmarkStart w:id="363" w:name="_Toc184312104"/>
      <w:bookmarkEnd w:id="363"/>
      <w:bookmarkStart w:id="364" w:name="_Toc184313298"/>
      <w:bookmarkEnd w:id="364"/>
      <w:bookmarkStart w:id="365" w:name="_Toc184312114"/>
      <w:bookmarkEnd w:id="365"/>
      <w:bookmarkStart w:id="366" w:name="_Toc184310316"/>
      <w:bookmarkEnd w:id="366"/>
      <w:bookmarkStart w:id="367" w:name="_Toc184314452"/>
      <w:bookmarkEnd w:id="367"/>
      <w:bookmarkStart w:id="368" w:name="_Toc184310337"/>
      <w:bookmarkEnd w:id="368"/>
      <w:bookmarkStart w:id="369" w:name="_Toc184313308"/>
      <w:bookmarkEnd w:id="369"/>
      <w:bookmarkStart w:id="370" w:name="_Toc184313259"/>
      <w:bookmarkEnd w:id="370"/>
      <w:bookmarkStart w:id="371" w:name="_Toc184308085"/>
      <w:bookmarkEnd w:id="371"/>
      <w:bookmarkStart w:id="372" w:name="_Toc184313252"/>
      <w:bookmarkEnd w:id="372"/>
      <w:bookmarkStart w:id="373" w:name="_Toc184312072"/>
      <w:bookmarkEnd w:id="373"/>
      <w:bookmarkStart w:id="374" w:name="_Toc184312129"/>
      <w:bookmarkEnd w:id="374"/>
      <w:bookmarkStart w:id="375" w:name="_Toc184312076"/>
      <w:bookmarkEnd w:id="375"/>
      <w:bookmarkStart w:id="376" w:name="_Toc184310338"/>
      <w:bookmarkEnd w:id="376"/>
      <w:bookmarkStart w:id="377" w:name="_Toc184310283"/>
      <w:bookmarkEnd w:id="377"/>
      <w:bookmarkStart w:id="378" w:name="_Toc184312134"/>
      <w:bookmarkEnd w:id="378"/>
      <w:bookmarkStart w:id="379" w:name="_Toc184313268"/>
      <w:bookmarkEnd w:id="379"/>
      <w:bookmarkStart w:id="380" w:name="_Toc184310277"/>
      <w:bookmarkEnd w:id="380"/>
      <w:bookmarkStart w:id="381" w:name="_Toc184310290"/>
      <w:bookmarkEnd w:id="381"/>
      <w:bookmarkStart w:id="382" w:name="_Toc184308108"/>
      <w:bookmarkEnd w:id="382"/>
      <w:bookmarkStart w:id="383" w:name="_Toc184308042"/>
      <w:bookmarkEnd w:id="383"/>
      <w:bookmarkStart w:id="384" w:name="_Toc184310282"/>
      <w:bookmarkEnd w:id="384"/>
      <w:bookmarkStart w:id="385" w:name="_Toc184312083"/>
      <w:bookmarkEnd w:id="385"/>
      <w:bookmarkStart w:id="386" w:name="_Toc184314461"/>
      <w:bookmarkEnd w:id="386"/>
      <w:bookmarkStart w:id="387" w:name="_Toc184312112"/>
      <w:bookmarkEnd w:id="387"/>
      <w:bookmarkStart w:id="388" w:name="_Toc184312108"/>
      <w:bookmarkEnd w:id="388"/>
      <w:bookmarkStart w:id="389" w:name="_Toc184314417"/>
      <w:bookmarkEnd w:id="389"/>
      <w:bookmarkStart w:id="390" w:name="_Toc184310287"/>
      <w:bookmarkEnd w:id="390"/>
      <w:bookmarkStart w:id="391" w:name="_Toc184310286"/>
      <w:bookmarkEnd w:id="391"/>
      <w:bookmarkStart w:id="392" w:name="_Toc184308077"/>
      <w:bookmarkEnd w:id="392"/>
      <w:bookmarkStart w:id="393" w:name="_Toc184314450"/>
      <w:bookmarkEnd w:id="393"/>
      <w:bookmarkStart w:id="394" w:name="_Toc184308058"/>
      <w:bookmarkEnd w:id="394"/>
      <w:bookmarkStart w:id="395" w:name="_Toc184312126"/>
      <w:bookmarkEnd w:id="395"/>
      <w:bookmarkStart w:id="396" w:name="_Toc184310310"/>
      <w:bookmarkEnd w:id="396"/>
      <w:bookmarkStart w:id="397" w:name="_Toc184308091"/>
      <w:bookmarkEnd w:id="397"/>
      <w:bookmarkStart w:id="398" w:name="_Toc184314480"/>
      <w:bookmarkEnd w:id="398"/>
      <w:r>
        <w:rPr>
          <w:rFonts w:hint="eastAsia" w:ascii="宋体" w:hAnsi="宋体" w:cs="宋体"/>
          <w:b/>
          <w:sz w:val="36"/>
          <w:szCs w:val="20"/>
          <w:highlight w:val="none"/>
        </w:rPr>
        <w:t xml:space="preserve"> 评审办法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63"/>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5897" w:type="dxa"/>
            <w:vAlign w:val="center"/>
          </w:tcPr>
          <w:p>
            <w:pPr>
              <w:snapToGrid w:val="0"/>
              <w:spacing w:line="24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评审标准</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权重</w:t>
            </w:r>
          </w:p>
        </w:tc>
        <w:tc>
          <w:tcPr>
            <w:tcW w:w="2080" w:type="dxa"/>
          </w:tcPr>
          <w:p>
            <w:pPr>
              <w:snapToGrid w:val="0"/>
              <w:spacing w:line="240" w:lineRule="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响应文件中评审标准相应的商务技术资料目录</w:t>
            </w:r>
            <w:r>
              <w:rPr>
                <w:rFonts w:hint="eastAsia" w:ascii="宋体" w:hAnsi="宋体" w:eastAsia="宋体" w:cs="宋体"/>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Align w:val="center"/>
          </w:tcPr>
          <w:p>
            <w:pPr>
              <w:snapToGrid w:val="0"/>
              <w:spacing w:line="240" w:lineRule="auto"/>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897" w:type="dxa"/>
            <w:vAlign w:val="top"/>
          </w:tcPr>
          <w:p>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4"/>
                <w:sz w:val="24"/>
                <w:szCs w:val="24"/>
                <w:highlight w:val="none"/>
              </w:rPr>
              <w:t>类似业绩</w:t>
            </w:r>
            <w:r>
              <w:rPr>
                <w:rFonts w:hint="eastAsia" w:ascii="宋体" w:hAnsi="宋体" w:eastAsia="宋体" w:cs="宋体"/>
                <w:spacing w:val="4"/>
                <w:sz w:val="24"/>
                <w:szCs w:val="24"/>
                <w:highlight w:val="none"/>
                <w:lang w:eastAsia="zh-CN"/>
              </w:rPr>
              <w:t>：</w:t>
            </w:r>
            <w:r>
              <w:rPr>
                <w:rFonts w:hint="eastAsia" w:ascii="宋体" w:hAnsi="宋体" w:eastAsia="宋体" w:cs="宋体"/>
                <w:kern w:val="0"/>
                <w:sz w:val="24"/>
                <w:szCs w:val="24"/>
                <w:highlight w:val="none"/>
              </w:rPr>
              <w:t>2021年1月1日以来供应商具有</w:t>
            </w:r>
            <w:r>
              <w:rPr>
                <w:rFonts w:hint="eastAsia" w:ascii="宋体" w:hAnsi="宋体" w:cs="宋体"/>
                <w:kern w:val="0"/>
                <w:sz w:val="24"/>
                <w:szCs w:val="24"/>
                <w:highlight w:val="none"/>
                <w:lang w:val="en-US" w:eastAsia="zh-CN"/>
              </w:rPr>
              <w:t>类似项目</w:t>
            </w:r>
            <w:r>
              <w:rPr>
                <w:rFonts w:hint="eastAsia" w:ascii="宋体" w:hAnsi="宋体" w:eastAsia="宋体" w:cs="宋体"/>
                <w:kern w:val="0"/>
                <w:sz w:val="24"/>
                <w:szCs w:val="24"/>
                <w:highlight w:val="none"/>
              </w:rPr>
              <w:t>业绩，每个得0.</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5分，最高得</w:t>
            </w:r>
            <w:r>
              <w:rPr>
                <w:rFonts w:hint="eastAsia" w:ascii="宋体" w:hAnsi="宋体" w:eastAsia="宋体" w:cs="宋体"/>
                <w:kern w:val="0"/>
                <w:sz w:val="24"/>
                <w:szCs w:val="24"/>
                <w:highlight w:val="none"/>
                <w:lang w:val="en-US" w:eastAsia="zh-CN"/>
              </w:rPr>
              <w:t>0.5</w:t>
            </w:r>
            <w:r>
              <w:rPr>
                <w:rFonts w:hint="eastAsia" w:ascii="宋体" w:hAnsi="宋体" w:eastAsia="宋体" w:cs="宋体"/>
                <w:kern w:val="0"/>
                <w:sz w:val="24"/>
                <w:szCs w:val="24"/>
                <w:highlight w:val="none"/>
              </w:rPr>
              <w:t>分。（以合同签订时间为准，业绩证明材料为合同及验收报告复印件）</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0.5</w:t>
            </w:r>
          </w:p>
        </w:tc>
        <w:tc>
          <w:tcPr>
            <w:tcW w:w="2080" w:type="dxa"/>
            <w:vAlign w:val="center"/>
          </w:tcPr>
          <w:p>
            <w:pPr>
              <w:snapToGrid w:val="0"/>
              <w:spacing w:line="240" w:lineRule="auto"/>
              <w:jc w:val="center"/>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5897" w:type="dxa"/>
            <w:vAlign w:val="top"/>
          </w:tcPr>
          <w:p>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4"/>
                <w:sz w:val="24"/>
                <w:szCs w:val="24"/>
                <w:highlight w:val="none"/>
              </w:rPr>
              <w:t>认证证书</w:t>
            </w:r>
            <w:r>
              <w:rPr>
                <w:rFonts w:hint="eastAsia" w:ascii="宋体" w:hAnsi="宋体" w:eastAsia="宋体" w:cs="宋体"/>
                <w:spacing w:val="4"/>
                <w:sz w:val="24"/>
                <w:szCs w:val="24"/>
                <w:highlight w:val="none"/>
                <w:lang w:eastAsia="zh-CN"/>
              </w:rPr>
              <w:t>：</w:t>
            </w:r>
            <w:r>
              <w:rPr>
                <w:rFonts w:hint="eastAsia" w:ascii="宋体" w:hAnsi="宋体" w:eastAsia="宋体" w:cs="宋体"/>
                <w:snapToGrid w:val="0"/>
                <w:kern w:val="0"/>
                <w:sz w:val="24"/>
                <w:szCs w:val="24"/>
                <w:highlight w:val="none"/>
              </w:rPr>
              <w:t>供应商</w:t>
            </w:r>
            <w:r>
              <w:rPr>
                <w:rFonts w:hint="eastAsia" w:ascii="宋体" w:hAnsi="宋体" w:eastAsia="宋体" w:cs="宋体"/>
                <w:kern w:val="0"/>
                <w:sz w:val="24"/>
                <w:szCs w:val="24"/>
                <w:highlight w:val="none"/>
              </w:rPr>
              <w:t>具有质量管理体系认证证书、环境管理体系认证证书、职业健康安全管理体系认证证书且在有效期内的，每个得1分，最高得3分。</w:t>
            </w:r>
            <w:r>
              <w:rPr>
                <w:rFonts w:hint="eastAsia" w:ascii="宋体" w:hAnsi="宋体" w:eastAsia="宋体" w:cs="宋体"/>
                <w:snapToGrid w:val="0"/>
                <w:kern w:val="0"/>
                <w:sz w:val="24"/>
                <w:szCs w:val="24"/>
                <w:highlight w:val="none"/>
              </w:rPr>
              <w:t>提供证书复印件及全国认证认可信息公共服务平台的网页查询截图。</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2080" w:type="dxa"/>
          </w:tcPr>
          <w:p>
            <w:pPr>
              <w:snapToGrid w:val="0"/>
              <w:spacing w:line="240" w:lineRule="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5897" w:type="dxa"/>
            <w:vAlign w:val="top"/>
          </w:tcPr>
          <w:p>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拟派项目经理经验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拟派</w:t>
            </w:r>
            <w:r>
              <w:rPr>
                <w:rFonts w:hint="eastAsia" w:ascii="宋体" w:hAnsi="宋体" w:eastAsia="宋体" w:cs="宋体"/>
                <w:sz w:val="24"/>
                <w:szCs w:val="24"/>
                <w:highlight w:val="none"/>
                <w:lang w:eastAsia="zh-CN"/>
              </w:rPr>
              <w:t>项目经理</w:t>
            </w:r>
            <w:r>
              <w:rPr>
                <w:rFonts w:hint="eastAsia" w:ascii="宋体" w:hAnsi="宋体" w:eastAsia="宋体" w:cs="宋体"/>
                <w:sz w:val="24"/>
                <w:szCs w:val="24"/>
                <w:highlight w:val="none"/>
              </w:rPr>
              <w:t>自2021年1月1日以来（以合同签订时间为准）以</w:t>
            </w:r>
            <w:r>
              <w:rPr>
                <w:rFonts w:hint="eastAsia" w:ascii="宋体" w:hAnsi="宋体" w:eastAsia="宋体" w:cs="宋体"/>
                <w:sz w:val="24"/>
                <w:szCs w:val="24"/>
                <w:highlight w:val="none"/>
                <w:lang w:eastAsia="zh-CN"/>
              </w:rPr>
              <w:t>项目经理</w:t>
            </w:r>
            <w:r>
              <w:rPr>
                <w:rFonts w:hint="eastAsia" w:ascii="宋体" w:hAnsi="宋体" w:eastAsia="宋体" w:cs="宋体"/>
                <w:sz w:val="24"/>
                <w:szCs w:val="24"/>
                <w:highlight w:val="none"/>
              </w:rPr>
              <w:t>（或项目</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rPr>
              <w:t>）身份完成过类似项目业绩的，得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分（同时提供施工合同及竣工验收报告复印件）。</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0.5</w:t>
            </w:r>
          </w:p>
        </w:tc>
        <w:tc>
          <w:tcPr>
            <w:tcW w:w="2080" w:type="dxa"/>
          </w:tcPr>
          <w:p>
            <w:pPr>
              <w:snapToGrid w:val="0"/>
              <w:spacing w:line="240" w:lineRule="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5897" w:type="dxa"/>
            <w:vAlign w:val="top"/>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拟派项目经理（或项目</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rPr>
              <w:t>）具有高级技术职称的得2分、具有中级技术职称的得1分，否则不得分。证明材料：职称证书复印件、提供近3个月任意一月的社保证明。</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p>
        </w:tc>
        <w:tc>
          <w:tcPr>
            <w:tcW w:w="2080" w:type="dxa"/>
          </w:tcPr>
          <w:p>
            <w:pPr>
              <w:snapToGrid w:val="0"/>
              <w:spacing w:line="240" w:lineRule="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897" w:type="dxa"/>
            <w:vAlign w:val="center"/>
          </w:tcPr>
          <w:p>
            <w:pPr>
              <w:snapToGri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设备参数完全满足采购文件“第</w:t>
            </w:r>
            <w:r>
              <w:rPr>
                <w:rFonts w:hint="eastAsia" w:ascii="宋体" w:hAnsi="宋体" w:eastAsia="宋体" w:cs="宋体"/>
                <w:kern w:val="0"/>
                <w:sz w:val="24"/>
                <w:szCs w:val="24"/>
                <w:highlight w:val="none"/>
                <w:lang w:val="en-US" w:eastAsia="zh-CN"/>
              </w:rPr>
              <w:t>三</w:t>
            </w:r>
            <w:r>
              <w:rPr>
                <w:rFonts w:hint="eastAsia" w:ascii="宋体" w:hAnsi="宋体" w:eastAsia="宋体" w:cs="宋体"/>
                <w:kern w:val="0"/>
                <w:sz w:val="24"/>
                <w:szCs w:val="24"/>
                <w:highlight w:val="none"/>
              </w:rPr>
              <w:t>部分 采购需求”中“</w:t>
            </w:r>
            <w:r>
              <w:rPr>
                <w:rFonts w:hint="eastAsia" w:ascii="宋体" w:hAnsi="宋体" w:eastAsia="宋体" w:cs="宋体"/>
                <w:b/>
                <w:bCs/>
                <w:kern w:val="0"/>
                <w:sz w:val="24"/>
                <w:szCs w:val="24"/>
                <w:highlight w:val="none"/>
              </w:rPr>
              <w:t>材料设备需求一览表</w:t>
            </w:r>
            <w:r>
              <w:rPr>
                <w:rFonts w:hint="eastAsia" w:ascii="宋体" w:hAnsi="宋体" w:eastAsia="宋体" w:cs="宋体"/>
                <w:kern w:val="0"/>
                <w:sz w:val="24"/>
                <w:szCs w:val="24"/>
                <w:highlight w:val="none"/>
              </w:rPr>
              <w:t>”的得</w:t>
            </w: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分，参数有偏离的，负偏离（功能、性能和技术指标低于招标内容及需求）每项扣</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分；</w:t>
            </w:r>
          </w:p>
          <w:p>
            <w:pPr>
              <w:snapToGrid w:val="0"/>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rPr>
              <w:t>备注：响应表响应情况与磋商文件中所提供的证明材料不一致时，评审小组可认定为负偏离。注明需提供证明材料的条款，未提供证明材料，或者证明材料无法证明投标产品符合该项条款的参数要求，做负偏离处理。</w:t>
            </w:r>
            <w:r>
              <w:rPr>
                <w:rFonts w:hint="eastAsia" w:ascii="宋体" w:hAnsi="宋体" w:eastAsia="宋体" w:cs="宋体"/>
                <w:kern w:val="0"/>
                <w:sz w:val="24"/>
                <w:szCs w:val="24"/>
                <w:highlight w:val="none"/>
              </w:rPr>
              <w:tab/>
            </w:r>
          </w:p>
        </w:tc>
        <w:tc>
          <w:tcPr>
            <w:tcW w:w="793" w:type="dxa"/>
            <w:vAlign w:val="center"/>
          </w:tcPr>
          <w:p>
            <w:pPr>
              <w:snapToGrid w:val="0"/>
              <w:spacing w:line="32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kern w:val="0"/>
                <w:sz w:val="24"/>
                <w:szCs w:val="24"/>
                <w:highlight w:val="none"/>
                <w:lang w:val="en-US" w:eastAsia="zh-CN"/>
              </w:rPr>
              <w:t>13</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5897" w:type="dxa"/>
            <w:vAlign w:val="center"/>
          </w:tcPr>
          <w:p>
            <w:pPr>
              <w:tabs>
                <w:tab w:val="left" w:pos="1500"/>
              </w:tabs>
              <w:adjustRightInd w:val="0"/>
              <w:snapToGri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施工总体安排计划、施工场地布置方案的详细性和周密性（包括①临时设施及场地安排②施工用水用电等），对方案的科学合理性、可实施性以及对项目的满足程度进行评审（评审分值为：</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分或3分或2分或1分或0分）。</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080" w:type="dxa"/>
            <w:vAlign w:val="top"/>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5897" w:type="dxa"/>
            <w:vAlign w:val="center"/>
          </w:tcPr>
          <w:p>
            <w:pPr>
              <w:tabs>
                <w:tab w:val="left" w:pos="1500"/>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根据投标人对于项目背景、概况、目的准确理解和把握情况综合评审。</w:t>
            </w:r>
          </w:p>
          <w:p>
            <w:pPr>
              <w:tabs>
                <w:tab w:val="left" w:pos="1500"/>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①根据投标人对于项目背景、概况、目的准确理解和把握；</w:t>
            </w:r>
          </w:p>
          <w:p>
            <w:pPr>
              <w:tabs>
                <w:tab w:val="left" w:pos="1500"/>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②对所有涉及工作任务进行分解、归类；</w:t>
            </w:r>
          </w:p>
          <w:p>
            <w:pPr>
              <w:tabs>
                <w:tab w:val="left" w:pos="1500"/>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③明确所有交付成果。</w:t>
            </w:r>
          </w:p>
          <w:p>
            <w:pPr>
              <w:tabs>
                <w:tab w:val="left" w:pos="1500"/>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内容完整、理解分析准确、科学周密、匹配性强，符合采购人实际视为合理。</w:t>
            </w:r>
          </w:p>
          <w:p>
            <w:pPr>
              <w:tabs>
                <w:tab w:val="left" w:pos="1500"/>
              </w:tabs>
              <w:adjustRightInd w:val="0"/>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每项内容缺乏相应数据或理解有一定的偏离的得1分；每项内容不合理得0分。每项最高得2分，总共得6分。</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2080" w:type="dxa"/>
            <w:vAlign w:val="top"/>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5897" w:type="dxa"/>
            <w:vAlign w:val="center"/>
          </w:tcPr>
          <w:p>
            <w:pPr>
              <w:tabs>
                <w:tab w:val="left" w:pos="1500"/>
              </w:tabs>
              <w:adjustRightInd w:val="0"/>
              <w:snapToGrid w:val="0"/>
              <w:spacing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确保工程工期及节点工期技术组织措施；包括①电梯排产时间②赶工期方案措施③材料安排、劳动力安排④技术等方面的具体措施，对关键节点的控制措施、内容完整、措施具体有效性进行评审（评审分值为：</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分或</w:t>
            </w:r>
            <w:r>
              <w:rPr>
                <w:rFonts w:hint="eastAsia" w:ascii="宋体" w:hAnsi="宋体" w:eastAsia="宋体" w:cs="宋体"/>
                <w:sz w:val="24"/>
                <w:szCs w:val="24"/>
                <w:highlight w:val="none"/>
                <w:lang w:val="en-US" w:eastAsia="zh-CN"/>
              </w:rPr>
              <w:t>4分或</w:t>
            </w:r>
            <w:r>
              <w:rPr>
                <w:rFonts w:hint="eastAsia" w:ascii="宋体" w:hAnsi="宋体" w:eastAsia="宋体" w:cs="宋体"/>
                <w:sz w:val="24"/>
                <w:szCs w:val="24"/>
                <w:highlight w:val="none"/>
              </w:rPr>
              <w:t>3分或2分或1分或0分）。</w:t>
            </w:r>
          </w:p>
        </w:tc>
        <w:tc>
          <w:tcPr>
            <w:tcW w:w="793" w:type="dxa"/>
            <w:vAlign w:val="center"/>
          </w:tcPr>
          <w:p>
            <w:pPr>
              <w:snapToGrid w:val="0"/>
              <w:spacing w:line="240" w:lineRule="auto"/>
              <w:jc w:val="center"/>
              <w:outlineLvl w:val="0"/>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5</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5897" w:type="dxa"/>
            <w:vAlign w:val="center"/>
          </w:tcPr>
          <w:p>
            <w:pPr>
              <w:tabs>
                <w:tab w:val="left" w:pos="1500"/>
              </w:tabs>
              <w:adjustRightInd w:val="0"/>
              <w:snapToGrid w:val="0"/>
              <w:spacing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拟派项目团队成员（含</w:t>
            </w:r>
            <w:r>
              <w:rPr>
                <w:rFonts w:hint="eastAsia" w:ascii="宋体" w:hAnsi="宋体" w:eastAsia="宋体" w:cs="宋体"/>
                <w:sz w:val="24"/>
                <w:szCs w:val="24"/>
                <w:highlight w:val="none"/>
                <w:lang w:eastAsia="zh-CN"/>
              </w:rPr>
              <w:t>项目经理</w:t>
            </w:r>
            <w:r>
              <w:rPr>
                <w:rFonts w:hint="eastAsia" w:ascii="宋体" w:hAnsi="宋体" w:eastAsia="宋体" w:cs="宋体"/>
                <w:sz w:val="24"/>
                <w:szCs w:val="24"/>
                <w:highlight w:val="none"/>
              </w:rPr>
              <w:t>）：包括①专业能力②电梯拆除安装经验及经验是否满足施工要求，</w:t>
            </w:r>
            <w:r>
              <w:rPr>
                <w:rFonts w:hint="eastAsia" w:ascii="宋体" w:hAnsi="宋体" w:eastAsia="宋体" w:cs="宋体"/>
                <w:spacing w:val="-6"/>
                <w:sz w:val="24"/>
                <w:szCs w:val="24"/>
                <w:highlight w:val="none"/>
              </w:rPr>
              <w:t>根据拟投入本次项目团队实施人员配置合理性，人员经验、技术能力等综合实力情况进行评审</w:t>
            </w:r>
            <w:r>
              <w:rPr>
                <w:rFonts w:hint="eastAsia" w:ascii="宋体" w:hAnsi="宋体" w:eastAsia="宋体" w:cs="宋体"/>
                <w:sz w:val="24"/>
                <w:szCs w:val="24"/>
                <w:highlight w:val="none"/>
              </w:rPr>
              <w:t>（评审分值为：</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分或</w:t>
            </w:r>
            <w:r>
              <w:rPr>
                <w:rFonts w:hint="eastAsia" w:ascii="宋体" w:hAnsi="宋体" w:eastAsia="宋体" w:cs="宋体"/>
                <w:sz w:val="24"/>
                <w:szCs w:val="24"/>
                <w:highlight w:val="none"/>
                <w:lang w:val="en-US" w:eastAsia="zh-CN"/>
              </w:rPr>
              <w:t>4分或</w:t>
            </w:r>
            <w:r>
              <w:rPr>
                <w:rFonts w:hint="eastAsia" w:ascii="宋体" w:hAnsi="宋体" w:eastAsia="宋体" w:cs="宋体"/>
                <w:sz w:val="24"/>
                <w:szCs w:val="24"/>
                <w:highlight w:val="none"/>
              </w:rPr>
              <w:t>3分或2分或1分或0分）</w:t>
            </w:r>
            <w:r>
              <w:rPr>
                <w:rFonts w:hint="eastAsia" w:ascii="宋体" w:hAnsi="宋体" w:eastAsia="宋体" w:cs="宋体"/>
                <w:spacing w:val="-6"/>
                <w:sz w:val="24"/>
                <w:szCs w:val="24"/>
                <w:highlight w:val="none"/>
              </w:rPr>
              <w:t>。</w:t>
            </w:r>
          </w:p>
        </w:tc>
        <w:tc>
          <w:tcPr>
            <w:tcW w:w="793" w:type="dxa"/>
            <w:vAlign w:val="center"/>
          </w:tcPr>
          <w:p>
            <w:pPr>
              <w:snapToGrid w:val="0"/>
              <w:spacing w:line="240" w:lineRule="auto"/>
              <w:jc w:val="center"/>
              <w:outlineLvl w:val="0"/>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5</w:t>
            </w:r>
          </w:p>
        </w:tc>
        <w:tc>
          <w:tcPr>
            <w:tcW w:w="2080" w:type="dxa"/>
            <w:vAlign w:val="top"/>
          </w:tcPr>
          <w:p>
            <w:pPr>
              <w:snapToGrid w:val="0"/>
              <w:spacing w:line="240" w:lineRule="auto"/>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897" w:type="dxa"/>
            <w:vAlign w:val="center"/>
          </w:tcPr>
          <w:p>
            <w:pPr>
              <w:tabs>
                <w:tab w:val="left" w:pos="1500"/>
              </w:tabs>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关键节点施工工艺或施工方法：包括①关键节点施工保障措施②组织措施及技术措施等，对施工工艺的科学性、合理性及施工措施高效性进行评审（评审分值为：</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分或</w:t>
            </w:r>
            <w:r>
              <w:rPr>
                <w:rFonts w:hint="eastAsia" w:ascii="宋体" w:hAnsi="宋体" w:eastAsia="宋体" w:cs="宋体"/>
                <w:sz w:val="24"/>
                <w:szCs w:val="24"/>
                <w:highlight w:val="none"/>
                <w:lang w:val="en-US" w:eastAsia="zh-CN"/>
              </w:rPr>
              <w:t>4分或</w:t>
            </w:r>
            <w:r>
              <w:rPr>
                <w:rFonts w:hint="eastAsia" w:ascii="宋体" w:hAnsi="宋体" w:eastAsia="宋体" w:cs="宋体"/>
                <w:sz w:val="24"/>
                <w:szCs w:val="24"/>
                <w:highlight w:val="none"/>
              </w:rPr>
              <w:t>3分或2分或1分或0分）。</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5897" w:type="dxa"/>
            <w:vAlign w:val="center"/>
          </w:tcPr>
          <w:p>
            <w:pPr>
              <w:tabs>
                <w:tab w:val="left" w:pos="1500"/>
              </w:tabs>
              <w:adjustRightInd w:val="0"/>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拟投入的主要施工机械设备：包括</w:t>
            </w:r>
            <w:r>
              <w:rPr>
                <w:rFonts w:hint="eastAsia" w:ascii="宋体" w:hAnsi="宋体" w:eastAsia="宋体" w:cs="宋体"/>
                <w:sz w:val="24"/>
                <w:szCs w:val="24"/>
                <w:highlight w:val="none"/>
              </w:rPr>
              <w:t>①</w:t>
            </w:r>
            <w:r>
              <w:rPr>
                <w:rFonts w:hint="eastAsia" w:ascii="宋体" w:hAnsi="宋体" w:eastAsia="宋体" w:cs="宋体"/>
                <w:kern w:val="0"/>
                <w:sz w:val="24"/>
                <w:szCs w:val="24"/>
                <w:highlight w:val="none"/>
              </w:rPr>
              <w:t>机械设备数量</w:t>
            </w:r>
            <w:r>
              <w:rPr>
                <w:rFonts w:hint="eastAsia" w:ascii="宋体" w:hAnsi="宋体" w:eastAsia="宋体" w:cs="宋体"/>
                <w:sz w:val="24"/>
                <w:szCs w:val="24"/>
                <w:highlight w:val="none"/>
              </w:rPr>
              <w:t>②</w:t>
            </w:r>
            <w:r>
              <w:rPr>
                <w:rFonts w:hint="eastAsia" w:ascii="宋体" w:hAnsi="宋体" w:eastAsia="宋体" w:cs="宋体"/>
                <w:kern w:val="0"/>
                <w:sz w:val="24"/>
                <w:szCs w:val="24"/>
                <w:highlight w:val="none"/>
              </w:rPr>
              <w:t>主要施工机械进场计划等的满足性和合理性</w:t>
            </w:r>
            <w:r>
              <w:rPr>
                <w:rFonts w:hint="eastAsia" w:ascii="宋体" w:hAnsi="宋体" w:eastAsia="宋体" w:cs="宋体"/>
                <w:spacing w:val="-6"/>
                <w:sz w:val="24"/>
                <w:szCs w:val="24"/>
                <w:highlight w:val="none"/>
              </w:rPr>
              <w:t>（评审分值为</w:t>
            </w:r>
            <w:r>
              <w:rPr>
                <w:rFonts w:hint="eastAsia" w:ascii="宋体" w:hAnsi="宋体" w:eastAsia="宋体" w:cs="宋体"/>
                <w:spacing w:val="-6"/>
                <w:sz w:val="24"/>
                <w:szCs w:val="24"/>
                <w:highlight w:val="none"/>
                <w:lang w:val="en-US" w:eastAsia="zh-CN"/>
              </w:rPr>
              <w:t>5分或</w:t>
            </w:r>
            <w:r>
              <w:rPr>
                <w:rFonts w:hint="eastAsia" w:ascii="宋体" w:hAnsi="宋体" w:eastAsia="宋体" w:cs="宋体"/>
                <w:spacing w:val="-6"/>
                <w:sz w:val="24"/>
                <w:szCs w:val="24"/>
                <w:highlight w:val="none"/>
              </w:rPr>
              <w:t>4分或3分或2分或1分或0分）</w:t>
            </w:r>
            <w:r>
              <w:rPr>
                <w:rFonts w:hint="eastAsia" w:ascii="宋体" w:hAnsi="宋体" w:eastAsia="宋体" w:cs="宋体"/>
                <w:kern w:val="0"/>
                <w:sz w:val="24"/>
                <w:szCs w:val="24"/>
                <w:highlight w:val="none"/>
              </w:rPr>
              <w:t>。</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5897" w:type="dxa"/>
            <w:vAlign w:val="center"/>
          </w:tcPr>
          <w:p>
            <w:pPr>
              <w:tabs>
                <w:tab w:val="left" w:pos="1500"/>
              </w:tabs>
              <w:adjustRightInd w:val="0"/>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投标人所提供（包括但不限于曳引机、控制柜、门机等）设备、材料的描述的完整性、针对性情况：包括（主要性能、特点、操作说明和质量水平的描述）</w:t>
            </w:r>
            <w:r>
              <w:rPr>
                <w:rFonts w:hint="eastAsia" w:ascii="宋体" w:hAnsi="宋体" w:eastAsia="宋体" w:cs="宋体"/>
                <w:spacing w:val="-6"/>
                <w:sz w:val="24"/>
                <w:szCs w:val="24"/>
                <w:highlight w:val="none"/>
              </w:rPr>
              <w:t>（评审分值为</w:t>
            </w:r>
            <w:r>
              <w:rPr>
                <w:rFonts w:hint="eastAsia" w:ascii="宋体" w:hAnsi="宋体" w:eastAsia="宋体" w:cs="宋体"/>
                <w:spacing w:val="-6"/>
                <w:sz w:val="24"/>
                <w:szCs w:val="24"/>
                <w:highlight w:val="none"/>
                <w:lang w:val="en-US" w:eastAsia="zh-CN"/>
              </w:rPr>
              <w:t>5分或</w:t>
            </w:r>
            <w:r>
              <w:rPr>
                <w:rFonts w:hint="eastAsia" w:ascii="宋体" w:hAnsi="宋体" w:eastAsia="宋体" w:cs="宋体"/>
                <w:spacing w:val="-6"/>
                <w:sz w:val="24"/>
                <w:szCs w:val="24"/>
                <w:highlight w:val="none"/>
              </w:rPr>
              <w:t>4分或3分或2分或1分或0分）</w:t>
            </w:r>
            <w:r>
              <w:rPr>
                <w:rFonts w:hint="eastAsia" w:ascii="宋体" w:hAnsi="宋体" w:eastAsia="宋体" w:cs="宋体"/>
                <w:sz w:val="24"/>
                <w:szCs w:val="24"/>
                <w:highlight w:val="none"/>
              </w:rPr>
              <w:t>。</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5897" w:type="dxa"/>
            <w:vAlign w:val="center"/>
          </w:tcPr>
          <w:p>
            <w:pPr>
              <w:widowControl/>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管理体系和保障措施：包括①主要工序质量技术保证措施及手段，自控体系完整，能有效保证技术质量，达到承诺的质量标准②严禁使用（利旧）其他工程的材料的相关承诺及措施，对措施的科学性及合理性进行评审</w:t>
            </w:r>
            <w:r>
              <w:rPr>
                <w:rFonts w:hint="eastAsia" w:ascii="宋体" w:hAnsi="宋体" w:eastAsia="宋体" w:cs="宋体"/>
                <w:spacing w:val="-6"/>
                <w:sz w:val="24"/>
                <w:szCs w:val="24"/>
                <w:highlight w:val="none"/>
              </w:rPr>
              <w:t>（评审分值为</w:t>
            </w:r>
            <w:r>
              <w:rPr>
                <w:rFonts w:hint="eastAsia" w:ascii="宋体" w:hAnsi="宋体" w:eastAsia="宋体" w:cs="宋体"/>
                <w:spacing w:val="-6"/>
                <w:sz w:val="24"/>
                <w:szCs w:val="24"/>
                <w:highlight w:val="none"/>
                <w:lang w:val="en-US" w:eastAsia="zh-CN"/>
              </w:rPr>
              <w:t>5分或</w:t>
            </w:r>
            <w:r>
              <w:rPr>
                <w:rFonts w:hint="eastAsia" w:ascii="宋体" w:hAnsi="宋体" w:eastAsia="宋体" w:cs="宋体"/>
                <w:spacing w:val="-6"/>
                <w:sz w:val="24"/>
                <w:szCs w:val="24"/>
                <w:highlight w:val="none"/>
              </w:rPr>
              <w:t>4分或3分或2分或1分或0分）</w:t>
            </w:r>
            <w:r>
              <w:rPr>
                <w:rFonts w:hint="eastAsia" w:ascii="宋体" w:hAnsi="宋体" w:eastAsia="宋体" w:cs="宋体"/>
                <w:sz w:val="24"/>
                <w:szCs w:val="24"/>
                <w:highlight w:val="none"/>
              </w:rPr>
              <w:t>。</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5897" w:type="dxa"/>
            <w:vAlign w:val="center"/>
          </w:tcPr>
          <w:p>
            <w:pPr>
              <w:numPr>
                <w:ilvl w:val="0"/>
                <w:numId w:val="0"/>
              </w:numPr>
              <w:tabs>
                <w:tab w:val="left" w:pos="1500"/>
              </w:tabs>
              <w:adjustRightInd w:val="0"/>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质量管理重点环节实施方案：包括</w:t>
            </w:r>
            <w:r>
              <w:rPr>
                <w:rFonts w:hint="eastAsia" w:ascii="宋体" w:hAnsi="宋体" w:eastAsia="宋体" w:cs="宋体"/>
                <w:sz w:val="24"/>
                <w:szCs w:val="24"/>
                <w:highlight w:val="none"/>
              </w:rPr>
              <w:t>①</w:t>
            </w:r>
            <w:r>
              <w:rPr>
                <w:rFonts w:hint="eastAsia" w:ascii="宋体" w:hAnsi="宋体" w:eastAsia="宋体" w:cs="宋体"/>
                <w:kern w:val="0"/>
                <w:sz w:val="24"/>
                <w:szCs w:val="24"/>
                <w:highlight w:val="none"/>
              </w:rPr>
              <w:t>原材料进场检测、原材料存储管理</w:t>
            </w:r>
            <w:r>
              <w:rPr>
                <w:rFonts w:hint="eastAsia" w:ascii="宋体" w:hAnsi="宋体" w:eastAsia="宋体" w:cs="宋体"/>
                <w:sz w:val="24"/>
                <w:szCs w:val="24"/>
                <w:highlight w:val="none"/>
              </w:rPr>
              <w:t>②</w:t>
            </w:r>
            <w:r>
              <w:rPr>
                <w:rFonts w:hint="eastAsia" w:ascii="宋体" w:hAnsi="宋体" w:eastAsia="宋体" w:cs="宋体"/>
                <w:kern w:val="0"/>
                <w:sz w:val="24"/>
                <w:szCs w:val="24"/>
                <w:highlight w:val="none"/>
              </w:rPr>
              <w:t>中间环节检验、防水检测、联合检测等。对方案的合理性及完善性进行评审</w:t>
            </w:r>
            <w:r>
              <w:rPr>
                <w:rFonts w:hint="eastAsia" w:ascii="宋体" w:hAnsi="宋体" w:eastAsia="宋体" w:cs="宋体"/>
                <w:spacing w:val="-6"/>
                <w:sz w:val="24"/>
                <w:szCs w:val="24"/>
                <w:highlight w:val="none"/>
              </w:rPr>
              <w:t>（评审分值为</w:t>
            </w:r>
            <w:r>
              <w:rPr>
                <w:rFonts w:hint="eastAsia" w:ascii="宋体" w:hAnsi="宋体" w:eastAsia="宋体" w:cs="宋体"/>
                <w:spacing w:val="-6"/>
                <w:sz w:val="24"/>
                <w:szCs w:val="24"/>
                <w:highlight w:val="none"/>
                <w:lang w:val="en-US" w:eastAsia="zh-CN"/>
              </w:rPr>
              <w:t>5分或</w:t>
            </w:r>
            <w:r>
              <w:rPr>
                <w:rFonts w:hint="eastAsia" w:ascii="宋体" w:hAnsi="宋体" w:eastAsia="宋体" w:cs="宋体"/>
                <w:spacing w:val="-6"/>
                <w:sz w:val="24"/>
                <w:szCs w:val="24"/>
                <w:highlight w:val="none"/>
              </w:rPr>
              <w:t>4分或3分或2分或1分或0分）。</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897" w:type="dxa"/>
            <w:vAlign w:val="center"/>
          </w:tcPr>
          <w:p>
            <w:pPr>
              <w:tabs>
                <w:tab w:val="left" w:pos="1500"/>
              </w:tabs>
              <w:adjustRightInd w:val="0"/>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eastAsia="宋体" w:cs="宋体"/>
                <w:kern w:val="0"/>
                <w:sz w:val="24"/>
                <w:szCs w:val="24"/>
                <w:highlight w:val="none"/>
              </w:rPr>
              <w:t>现场安全管理体系</w:t>
            </w:r>
            <w:r>
              <w:rPr>
                <w:rFonts w:hint="eastAsia" w:ascii="宋体" w:hAnsi="宋体" w:eastAsia="宋体" w:cs="宋体"/>
                <w:sz w:val="24"/>
                <w:szCs w:val="24"/>
                <w:highlight w:val="none"/>
              </w:rPr>
              <w:t>②</w:t>
            </w:r>
            <w:r>
              <w:rPr>
                <w:rFonts w:hint="eastAsia" w:ascii="宋体" w:hAnsi="宋体" w:eastAsia="宋体" w:cs="宋体"/>
                <w:kern w:val="0"/>
                <w:sz w:val="24"/>
                <w:szCs w:val="24"/>
                <w:highlight w:val="none"/>
              </w:rPr>
              <w:t>安全施工措施、文明施工措施，对方案的完善性及针对性进行评审</w:t>
            </w:r>
            <w:r>
              <w:rPr>
                <w:rFonts w:hint="eastAsia" w:ascii="宋体" w:hAnsi="宋体" w:eastAsia="宋体" w:cs="宋体"/>
                <w:spacing w:val="-6"/>
                <w:sz w:val="24"/>
                <w:szCs w:val="24"/>
                <w:highlight w:val="none"/>
              </w:rPr>
              <w:t>（评审分值为</w:t>
            </w:r>
            <w:r>
              <w:rPr>
                <w:rFonts w:hint="eastAsia" w:ascii="宋体" w:hAnsi="宋体" w:eastAsia="宋体" w:cs="宋体"/>
                <w:spacing w:val="-6"/>
                <w:sz w:val="24"/>
                <w:szCs w:val="24"/>
                <w:highlight w:val="none"/>
                <w:lang w:val="en-US" w:eastAsia="zh-CN"/>
              </w:rPr>
              <w:t>5分或</w:t>
            </w:r>
            <w:r>
              <w:rPr>
                <w:rFonts w:hint="eastAsia" w:ascii="宋体" w:hAnsi="宋体" w:eastAsia="宋体" w:cs="宋体"/>
                <w:spacing w:val="-6"/>
                <w:sz w:val="24"/>
                <w:szCs w:val="24"/>
                <w:highlight w:val="none"/>
              </w:rPr>
              <w:t>4分或3分或2分或1分或0分）</w:t>
            </w:r>
            <w:r>
              <w:rPr>
                <w:rFonts w:hint="eastAsia" w:ascii="宋体" w:hAnsi="宋体" w:eastAsia="宋体" w:cs="宋体"/>
                <w:kern w:val="0"/>
                <w:sz w:val="24"/>
                <w:szCs w:val="24"/>
                <w:highlight w:val="none"/>
              </w:rPr>
              <w:t>。</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5897" w:type="dxa"/>
            <w:vAlign w:val="center"/>
          </w:tcPr>
          <w:p>
            <w:pPr>
              <w:widowControl/>
              <w:numPr>
                <w:ilvl w:val="0"/>
                <w:numId w:val="0"/>
              </w:numPr>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eastAsia="宋体" w:cs="宋体"/>
                <w:kern w:val="0"/>
                <w:sz w:val="24"/>
                <w:szCs w:val="24"/>
                <w:highlight w:val="none"/>
              </w:rPr>
              <w:t>环境保护措施</w:t>
            </w:r>
            <w:r>
              <w:rPr>
                <w:rFonts w:hint="eastAsia" w:ascii="宋体" w:hAnsi="宋体" w:eastAsia="宋体" w:cs="宋体"/>
                <w:sz w:val="24"/>
                <w:szCs w:val="24"/>
                <w:highlight w:val="none"/>
              </w:rPr>
              <w:t>②</w:t>
            </w:r>
            <w:r>
              <w:rPr>
                <w:rFonts w:hint="eastAsia" w:ascii="宋体" w:hAnsi="宋体" w:eastAsia="宋体" w:cs="宋体"/>
                <w:kern w:val="0"/>
                <w:sz w:val="24"/>
                <w:szCs w:val="24"/>
                <w:highlight w:val="none"/>
              </w:rPr>
              <w:t>噪音控制措施③成品保护、开荒保洁措施科学性、合理性</w:t>
            </w:r>
            <w:r>
              <w:rPr>
                <w:rFonts w:hint="eastAsia" w:ascii="宋体" w:hAnsi="宋体" w:eastAsia="宋体" w:cs="宋体"/>
                <w:spacing w:val="-6"/>
                <w:sz w:val="24"/>
                <w:szCs w:val="24"/>
                <w:highlight w:val="none"/>
              </w:rPr>
              <w:t>（评审分值为</w:t>
            </w:r>
            <w:r>
              <w:rPr>
                <w:rFonts w:hint="eastAsia" w:ascii="宋体" w:hAnsi="宋体" w:eastAsia="宋体" w:cs="宋体"/>
                <w:spacing w:val="-6"/>
                <w:sz w:val="24"/>
                <w:szCs w:val="24"/>
                <w:highlight w:val="none"/>
                <w:lang w:val="en-US" w:eastAsia="zh-CN"/>
              </w:rPr>
              <w:t>5分或</w:t>
            </w:r>
            <w:r>
              <w:rPr>
                <w:rFonts w:hint="eastAsia" w:ascii="宋体" w:hAnsi="宋体" w:eastAsia="宋体" w:cs="宋体"/>
                <w:spacing w:val="-6"/>
                <w:sz w:val="24"/>
                <w:szCs w:val="24"/>
                <w:highlight w:val="none"/>
              </w:rPr>
              <w:t>4分或3分或2分或1分或0分）</w:t>
            </w:r>
            <w:r>
              <w:rPr>
                <w:rFonts w:hint="eastAsia" w:ascii="宋体" w:hAnsi="宋体" w:eastAsia="宋体" w:cs="宋体"/>
                <w:kern w:val="0"/>
                <w:sz w:val="24"/>
                <w:szCs w:val="24"/>
                <w:highlight w:val="none"/>
              </w:rPr>
              <w:t>。</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5897" w:type="dxa"/>
            <w:vAlign w:val="center"/>
          </w:tcPr>
          <w:p>
            <w:pPr>
              <w:widowControl/>
              <w:numPr>
                <w:ilvl w:val="0"/>
                <w:numId w:val="0"/>
              </w:numPr>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eastAsia="宋体" w:cs="宋体"/>
                <w:kern w:val="0"/>
                <w:sz w:val="24"/>
                <w:szCs w:val="24"/>
                <w:highlight w:val="none"/>
              </w:rPr>
              <w:t>项目重大风险源识别及预防措施</w:t>
            </w:r>
            <w:r>
              <w:rPr>
                <w:rFonts w:hint="eastAsia" w:ascii="宋体" w:hAnsi="宋体" w:eastAsia="宋体" w:cs="宋体"/>
                <w:sz w:val="24"/>
                <w:szCs w:val="24"/>
                <w:highlight w:val="none"/>
              </w:rPr>
              <w:t>②</w:t>
            </w:r>
            <w:r>
              <w:rPr>
                <w:rFonts w:hint="eastAsia" w:ascii="宋体" w:hAnsi="宋体" w:eastAsia="宋体" w:cs="宋体"/>
                <w:kern w:val="0"/>
                <w:sz w:val="24"/>
                <w:szCs w:val="24"/>
                <w:highlight w:val="none"/>
              </w:rPr>
              <w:t>安全生产事故应急处理预案,对措预防措施的合理性及应急处理预案的可行性进行评审</w:t>
            </w:r>
            <w:r>
              <w:rPr>
                <w:rFonts w:hint="eastAsia" w:ascii="宋体" w:hAnsi="宋体" w:eastAsia="宋体" w:cs="宋体"/>
                <w:spacing w:val="-6"/>
                <w:sz w:val="24"/>
                <w:szCs w:val="24"/>
                <w:highlight w:val="none"/>
              </w:rPr>
              <w:t>（评审分值为</w:t>
            </w:r>
            <w:r>
              <w:rPr>
                <w:rFonts w:hint="eastAsia" w:ascii="宋体" w:hAnsi="宋体" w:eastAsia="宋体" w:cs="宋体"/>
                <w:spacing w:val="-6"/>
                <w:sz w:val="24"/>
                <w:szCs w:val="24"/>
                <w:highlight w:val="none"/>
                <w:lang w:val="en-US" w:eastAsia="zh-CN"/>
              </w:rPr>
              <w:t>5分或</w:t>
            </w:r>
            <w:r>
              <w:rPr>
                <w:rFonts w:hint="eastAsia" w:ascii="宋体" w:hAnsi="宋体" w:eastAsia="宋体" w:cs="宋体"/>
                <w:spacing w:val="-6"/>
                <w:sz w:val="24"/>
                <w:szCs w:val="24"/>
                <w:highlight w:val="none"/>
              </w:rPr>
              <w:t>4分或3分或2分或1分或0分）</w:t>
            </w:r>
            <w:r>
              <w:rPr>
                <w:rFonts w:hint="eastAsia" w:ascii="宋体" w:hAnsi="宋体" w:eastAsia="宋体" w:cs="宋体"/>
                <w:kern w:val="0"/>
                <w:sz w:val="24"/>
                <w:szCs w:val="24"/>
                <w:highlight w:val="none"/>
              </w:rPr>
              <w:t>。</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5897" w:type="dxa"/>
            <w:vAlign w:val="center"/>
          </w:tcPr>
          <w:p>
            <w:pPr>
              <w:widowControl/>
              <w:numPr>
                <w:ilvl w:val="0"/>
                <w:numId w:val="0"/>
              </w:numPr>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维保方案：包括</w:t>
            </w:r>
            <w:r>
              <w:rPr>
                <w:rFonts w:hint="eastAsia" w:ascii="宋体" w:hAnsi="宋体" w:eastAsia="宋体" w:cs="宋体"/>
                <w:sz w:val="24"/>
                <w:szCs w:val="24"/>
                <w:highlight w:val="none"/>
              </w:rPr>
              <w:t>①</w:t>
            </w:r>
            <w:r>
              <w:rPr>
                <w:rFonts w:hint="eastAsia" w:ascii="宋体" w:hAnsi="宋体" w:eastAsia="宋体" w:cs="宋体"/>
                <w:kern w:val="0"/>
                <w:sz w:val="24"/>
                <w:szCs w:val="24"/>
                <w:highlight w:val="none"/>
              </w:rPr>
              <w:t>售后服务承诺</w:t>
            </w:r>
            <w:r>
              <w:rPr>
                <w:rFonts w:hint="eastAsia" w:ascii="宋体" w:hAnsi="宋体" w:eastAsia="宋体" w:cs="宋体"/>
                <w:sz w:val="24"/>
                <w:szCs w:val="24"/>
                <w:highlight w:val="none"/>
              </w:rPr>
              <w:t>②</w:t>
            </w:r>
            <w:r>
              <w:rPr>
                <w:rFonts w:hint="eastAsia" w:ascii="宋体" w:hAnsi="宋体" w:eastAsia="宋体" w:cs="宋体"/>
                <w:kern w:val="0"/>
                <w:sz w:val="24"/>
                <w:szCs w:val="24"/>
                <w:highlight w:val="none"/>
              </w:rPr>
              <w:t>质保期响应情况，对维保方案的完善性、服务承诺的合理性及保修相应的时效性进行评审</w:t>
            </w:r>
            <w:r>
              <w:rPr>
                <w:rFonts w:hint="eastAsia" w:ascii="宋体" w:hAnsi="宋体" w:eastAsia="宋体" w:cs="宋体"/>
                <w:spacing w:val="-6"/>
                <w:sz w:val="24"/>
                <w:szCs w:val="24"/>
                <w:highlight w:val="none"/>
              </w:rPr>
              <w:t>（评审分值为</w:t>
            </w:r>
            <w:r>
              <w:rPr>
                <w:rFonts w:hint="eastAsia" w:ascii="宋体" w:hAnsi="宋体" w:eastAsia="宋体" w:cs="宋体"/>
                <w:spacing w:val="-6"/>
                <w:sz w:val="24"/>
                <w:szCs w:val="24"/>
                <w:highlight w:val="none"/>
                <w:lang w:val="en-US" w:eastAsia="zh-CN"/>
              </w:rPr>
              <w:t>5分或</w:t>
            </w:r>
            <w:r>
              <w:rPr>
                <w:rFonts w:hint="eastAsia" w:ascii="宋体" w:hAnsi="宋体" w:eastAsia="宋体" w:cs="宋体"/>
                <w:spacing w:val="-6"/>
                <w:sz w:val="24"/>
                <w:szCs w:val="24"/>
                <w:highlight w:val="none"/>
              </w:rPr>
              <w:t>4分或3分或2分或1分或0分）。</w:t>
            </w:r>
          </w:p>
        </w:tc>
        <w:tc>
          <w:tcPr>
            <w:tcW w:w="793" w:type="dxa"/>
            <w:vAlign w:val="center"/>
          </w:tcPr>
          <w:p>
            <w:pPr>
              <w:snapToGrid w:val="0"/>
              <w:spacing w:line="24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2080" w:type="dxa"/>
          </w:tcPr>
          <w:p>
            <w:pPr>
              <w:snapToGrid w:val="0"/>
              <w:spacing w:line="24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spacing w:line="240" w:lineRule="auto"/>
              <w:jc w:val="center"/>
              <w:outlineLvl w:val="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5897" w:type="dxa"/>
          </w:tcPr>
          <w:p>
            <w:pPr>
              <w:widowControl/>
              <w:snapToGrid w:val="0"/>
              <w:spacing w:line="240" w:lineRule="auto"/>
              <w:jc w:val="left"/>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有效最后报价的最低价作为评审基准价，其最低报价为满分；按［最后报价得分=（评审基准价/最后报价）*</w:t>
            </w:r>
            <w:r>
              <w:rPr>
                <w:rFonts w:hint="eastAsia" w:ascii="宋体" w:hAnsi="宋体" w:eastAsia="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］的计算公式计算。</w:t>
            </w:r>
          </w:p>
          <w:p>
            <w:pPr>
              <w:widowControl/>
              <w:shd w:val="clear"/>
              <w:adjustRightInd/>
              <w:snapToGrid w:val="0"/>
              <w:spacing w:line="240" w:lineRule="auto"/>
              <w:ind w:firstLine="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评审过程中，不得去掉报价中的最高报价和最低报价。</w:t>
            </w:r>
          </w:p>
          <w:p>
            <w:pPr>
              <w:widowControl/>
              <w:shd w:val="clear"/>
              <w:adjustRightInd/>
              <w:snapToGrid w:val="0"/>
              <w:spacing w:line="240" w:lineRule="auto"/>
              <w:ind w:firstLine="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因落实政府采购政策需要进行价格调整的，以调整后的价格计算评审基准价和最后报价。</w:t>
            </w:r>
          </w:p>
        </w:tc>
        <w:tc>
          <w:tcPr>
            <w:tcW w:w="793" w:type="dxa"/>
            <w:vAlign w:val="center"/>
          </w:tcPr>
          <w:p>
            <w:pPr>
              <w:widowControl/>
              <w:snapToGrid w:val="0"/>
              <w:spacing w:line="240" w:lineRule="auto"/>
              <w:jc w:val="center"/>
              <w:outlineLvl w:val="9"/>
              <w:rPr>
                <w:rFonts w:hint="eastAsia" w:ascii="宋体" w:hAnsi="宋体" w:eastAsia="宋体" w:cs="宋体"/>
                <w:bCs w:val="0"/>
                <w:color w:val="auto"/>
                <w:kern w:val="0"/>
                <w:sz w:val="24"/>
                <w:szCs w:val="24"/>
                <w:highlight w:val="none"/>
                <w:lang w:val="en-US" w:bidi="ar"/>
              </w:rPr>
            </w:pPr>
            <w:r>
              <w:rPr>
                <w:rFonts w:hint="eastAsia" w:ascii="宋体" w:hAnsi="宋体" w:eastAsia="宋体" w:cs="宋体"/>
                <w:bCs w:val="0"/>
                <w:color w:val="auto"/>
                <w:kern w:val="0"/>
                <w:sz w:val="24"/>
                <w:szCs w:val="24"/>
                <w:highlight w:val="none"/>
                <w:lang w:val="en-US" w:eastAsia="zh-CN" w:bidi="ar"/>
              </w:rPr>
              <w:t>15</w:t>
            </w:r>
          </w:p>
        </w:tc>
        <w:tc>
          <w:tcPr>
            <w:tcW w:w="2080" w:type="dxa"/>
            <w:vAlign w:val="center"/>
          </w:tcPr>
          <w:p>
            <w:pPr>
              <w:widowControl/>
              <w:snapToGrid w:val="0"/>
              <w:spacing w:line="240" w:lineRule="auto"/>
              <w:jc w:val="left"/>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bl>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供应商编制响应文件（商务技术文件部分）时，建议按此目录（序号和内容）提供评审标准相应的商务技术资料。 </w:t>
      </w:r>
    </w:p>
    <w:p>
      <w:pPr>
        <w:jc w:val="left"/>
        <w:rPr>
          <w:rFonts w:ascii="宋体" w:hAnsi="宋体" w:cs="宋体"/>
          <w:b/>
          <w:sz w:val="32"/>
          <w:highlight w:val="none"/>
        </w:rPr>
      </w:pPr>
    </w:p>
    <w:p>
      <w:pPr>
        <w:snapToGrid w:val="0"/>
        <w:spacing w:line="360" w:lineRule="auto"/>
        <w:jc w:val="center"/>
        <w:rPr>
          <w:rFonts w:ascii="宋体" w:hAnsi="宋体" w:cs="宋体"/>
          <w:b/>
          <w:sz w:val="28"/>
          <w:szCs w:val="28"/>
          <w:highlight w:val="none"/>
        </w:rPr>
      </w:pPr>
      <w:r>
        <w:rPr>
          <w:rFonts w:hint="eastAsia" w:ascii="宋体" w:hAnsi="宋体" w:cs="宋体"/>
          <w:b/>
          <w:sz w:val="32"/>
          <w:highlight w:val="none"/>
        </w:rPr>
        <w:t>一、评审方法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highlight w:val="none"/>
        </w:rPr>
      </w:pPr>
      <w:r>
        <w:rPr>
          <w:rFonts w:hint="eastAsia" w:ascii="宋体" w:hAnsi="宋体" w:cs="宋体"/>
          <w:b/>
          <w:sz w:val="32"/>
          <w:highlight w:val="none"/>
        </w:rPr>
        <w:t>二、评审标准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评审标准：</w:t>
      </w:r>
      <w:r>
        <w:rPr>
          <w:rFonts w:hint="eastAsia" w:ascii="宋体" w:hAnsi="宋体" w:cs="宋体"/>
          <w:kern w:val="0"/>
          <w:sz w:val="24"/>
          <w:highlight w:val="none"/>
        </w:rPr>
        <w:t>见评审办法前附表。</w:t>
      </w:r>
    </w:p>
    <w:p>
      <w:pPr>
        <w:snapToGrid w:val="0"/>
        <w:spacing w:line="360" w:lineRule="auto"/>
        <w:jc w:val="center"/>
        <w:rPr>
          <w:rFonts w:ascii="宋体" w:hAnsi="宋体" w:cs="宋体"/>
          <w:b/>
          <w:sz w:val="32"/>
          <w:highlight w:val="none"/>
        </w:rPr>
      </w:pPr>
      <w:r>
        <w:rPr>
          <w:rFonts w:hint="eastAsia" w:ascii="宋体" w:hAnsi="宋体" w:cs="宋体"/>
          <w:b/>
          <w:sz w:val="32"/>
          <w:highlight w:val="none"/>
        </w:rPr>
        <w:t>三、评审程序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highlight w:val="none"/>
        </w:rPr>
      </w:pPr>
      <w:r>
        <w:rPr>
          <w:rFonts w:hint="eastAsia" w:ascii="宋体" w:hAnsi="宋体" w:cs="宋体"/>
          <w:b/>
          <w:kern w:val="0"/>
          <w:sz w:val="24"/>
          <w:highlight w:val="none"/>
        </w:rPr>
        <w:t>3.2 磋商。</w:t>
      </w:r>
      <w:r>
        <w:rPr>
          <w:rFonts w:hint="eastAsia" w:ascii="宋体" w:hAnsi="宋体" w:cs="宋体"/>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highlight w:val="none"/>
        </w:rPr>
        <w:t>符合性审查合格的</w:t>
      </w:r>
      <w:r>
        <w:rPr>
          <w:rFonts w:hint="eastAsia" w:ascii="宋体" w:hAnsi="宋体" w:cs="宋体"/>
          <w:sz w:val="24"/>
          <w:highlight w:val="none"/>
        </w:rPr>
        <w:t>供应商逐一进行磋商。</w:t>
      </w:r>
    </w:p>
    <w:p>
      <w:pPr>
        <w:spacing w:line="360" w:lineRule="auto"/>
        <w:ind w:firstLine="470" w:firstLineChars="196"/>
        <w:rPr>
          <w:rFonts w:ascii="宋体" w:hAnsi="宋体" w:cs="宋体"/>
          <w:b/>
          <w:sz w:val="24"/>
          <w:highlight w:val="none"/>
        </w:rPr>
      </w:pPr>
      <w:r>
        <w:rPr>
          <w:rFonts w:hint="eastAsia" w:ascii="宋体" w:hAnsi="宋体" w:cs="宋体"/>
          <w:bCs/>
          <w:sz w:val="24"/>
          <w:highlight w:val="none"/>
        </w:rPr>
        <w:t xml:space="preserve">3.2.1 </w:t>
      </w:r>
      <w:r>
        <w:rPr>
          <w:rFonts w:hint="eastAsia" w:ascii="宋体" w:hAnsi="宋体" w:cs="宋体"/>
          <w:sz w:val="24"/>
          <w:highlight w:val="none"/>
        </w:rPr>
        <w:t>供应商逐家回答磋商小组的提问；</w:t>
      </w:r>
      <w:r>
        <w:rPr>
          <w:rFonts w:hint="eastAsia" w:ascii="宋体" w:hAnsi="宋体" w:cs="宋体"/>
          <w:b/>
          <w:sz w:val="24"/>
          <w:highlight w:val="none"/>
        </w:rPr>
        <w:t>逐家磋商一次为一个轮次，磋商轮次根据实际情况进行。</w:t>
      </w:r>
    </w:p>
    <w:p>
      <w:pPr>
        <w:spacing w:line="360" w:lineRule="auto"/>
        <w:ind w:firstLine="470" w:firstLineChars="196"/>
        <w:rPr>
          <w:rFonts w:ascii="宋体" w:hAnsi="宋体" w:cs="宋体"/>
          <w:sz w:val="24"/>
          <w:highlight w:val="none"/>
        </w:rPr>
      </w:pPr>
      <w:r>
        <w:rPr>
          <w:rFonts w:hint="eastAsia" w:ascii="宋体" w:hAnsi="宋体" w:cs="宋体"/>
          <w:bCs/>
          <w:sz w:val="24"/>
          <w:highlight w:val="none"/>
        </w:rPr>
        <w:t xml:space="preserve">3.2.2 </w:t>
      </w:r>
      <w:r>
        <w:rPr>
          <w:rFonts w:hint="eastAsia" w:ascii="宋体" w:hAnsi="宋体" w:cs="宋体"/>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 xml:space="preserve">3.2.3 </w:t>
      </w:r>
      <w:r>
        <w:rPr>
          <w:rFonts w:hint="eastAsia" w:ascii="宋体" w:hAnsi="宋体" w:cs="宋体"/>
          <w:b/>
          <w:bCs/>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highlight w:val="none"/>
        </w:rPr>
        <w:t>实质性变动的内容，须经采购人代表确认。磋商文件有实质性变动的，磋商小组将以书面形式通知所有</w:t>
      </w:r>
      <w:r>
        <w:rPr>
          <w:rFonts w:hint="eastAsia" w:ascii="宋体" w:hAnsi="宋体" w:cs="宋体"/>
          <w:kern w:val="0"/>
          <w:sz w:val="24"/>
          <w:highlight w:val="none"/>
        </w:rPr>
        <w:t>符合性审查合格的</w:t>
      </w:r>
      <w:r>
        <w:rPr>
          <w:rFonts w:hint="eastAsia" w:ascii="宋体" w:hAnsi="宋体" w:cs="宋体"/>
          <w:sz w:val="24"/>
          <w:highlight w:val="none"/>
        </w:rPr>
        <w:t xml:space="preserve">供应商。 </w:t>
      </w:r>
    </w:p>
    <w:p>
      <w:pPr>
        <w:spacing w:line="360" w:lineRule="auto"/>
        <w:ind w:firstLine="472" w:firstLineChars="196"/>
        <w:rPr>
          <w:rFonts w:ascii="宋体" w:hAnsi="宋体" w:cs="宋体"/>
          <w:b/>
          <w:bCs/>
          <w:kern w:val="0"/>
          <w:sz w:val="24"/>
          <w:highlight w:val="none"/>
        </w:rPr>
      </w:pPr>
      <w:r>
        <w:rPr>
          <w:rFonts w:hint="eastAsia" w:ascii="宋体" w:hAnsi="宋体" w:cs="宋体"/>
          <w:b/>
          <w:bCs/>
          <w:kern w:val="0"/>
          <w:sz w:val="24"/>
          <w:highlight w:val="none"/>
        </w:rPr>
        <w:t>3.3最后报价</w:t>
      </w:r>
    </w:p>
    <w:p>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highlight w:val="none"/>
        </w:rPr>
      </w:pPr>
      <w:r>
        <w:rPr>
          <w:rFonts w:hint="eastAsia" w:ascii="宋体" w:hAnsi="宋体" w:cs="宋体"/>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3.4 综合评分。</w:t>
      </w:r>
      <w:r>
        <w:rPr>
          <w:rFonts w:hint="eastAsia" w:ascii="宋体" w:hAnsi="宋体" w:cs="宋体"/>
          <w:bCs/>
          <w:kern w:val="0"/>
          <w:sz w:val="24"/>
          <w:highlight w:val="none"/>
        </w:rPr>
        <w:t>经磋商确定最终采购需求和提交最后报价的供应商后，</w:t>
      </w:r>
      <w:r>
        <w:rPr>
          <w:rFonts w:hint="eastAsia" w:ascii="宋体" w:hAnsi="宋体" w:cs="宋体"/>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w:t>
      </w:r>
      <w:r>
        <w:rPr>
          <w:rFonts w:hint="eastAsia" w:ascii="宋体" w:hAnsi="宋体" w:cs="宋体"/>
          <w:b/>
          <w:kern w:val="0"/>
          <w:sz w:val="24"/>
          <w:highlight w:val="none"/>
          <w:lang w:val="en-US" w:eastAsia="zh-CN"/>
        </w:rPr>
        <w:t>5</w:t>
      </w:r>
      <w:r>
        <w:rPr>
          <w:rFonts w:hint="eastAsia" w:ascii="宋体" w:hAnsi="宋体" w:cs="宋体"/>
          <w:b/>
          <w:kern w:val="0"/>
          <w:sz w:val="24"/>
          <w:highlight w:val="none"/>
        </w:rPr>
        <w:t>报价评审。</w:t>
      </w:r>
    </w:p>
    <w:p>
      <w:pPr>
        <w:pStyle w:val="137"/>
        <w:spacing w:before="0"/>
        <w:ind w:firstLine="508" w:firstLineChars="212"/>
        <w:rPr>
          <w:rFonts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5</w:t>
      </w:r>
      <w:r>
        <w:rPr>
          <w:rFonts w:hint="eastAsia" w:ascii="宋体" w:hAnsi="宋体" w:cs="宋体"/>
          <w:kern w:val="0"/>
          <w:highlight w:val="none"/>
        </w:rPr>
        <w:t>.1响应文件报价出现前后不一致的，按照下列规定修正：</w:t>
      </w:r>
    </w:p>
    <w:p>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w:t>
      </w:r>
      <w:r>
        <w:rPr>
          <w:rFonts w:hint="eastAsia" w:ascii="宋体" w:hAnsi="宋体" w:cs="宋体"/>
          <w:kern w:val="0"/>
          <w:szCs w:val="24"/>
          <w:highlight w:val="none"/>
          <w:lang w:val="en-US" w:eastAsia="zh-CN"/>
        </w:rPr>
        <w:t>5</w:t>
      </w:r>
      <w:r>
        <w:rPr>
          <w:rFonts w:hint="eastAsia" w:ascii="宋体" w:hAnsi="宋体" w:cs="宋体"/>
          <w:kern w:val="0"/>
          <w:szCs w:val="24"/>
          <w:highlight w:val="none"/>
        </w:rPr>
        <w:t>.1.1响应文件中已标价工程量清单内容与响应文件中相应内容不一致的，以已标价工程量清单为准;</w:t>
      </w:r>
    </w:p>
    <w:p>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w:t>
      </w:r>
      <w:r>
        <w:rPr>
          <w:rFonts w:hint="eastAsia" w:ascii="宋体" w:hAnsi="宋体" w:cs="宋体"/>
          <w:kern w:val="0"/>
          <w:szCs w:val="24"/>
          <w:highlight w:val="none"/>
          <w:lang w:val="en-US" w:eastAsia="zh-CN"/>
        </w:rPr>
        <w:t>5</w:t>
      </w:r>
      <w:r>
        <w:rPr>
          <w:rFonts w:hint="eastAsia" w:ascii="宋体" w:hAnsi="宋体" w:cs="宋体"/>
          <w:kern w:val="0"/>
          <w:szCs w:val="24"/>
          <w:highlight w:val="none"/>
        </w:rPr>
        <w:t>.1.2大写金额和小写金额不一致的，以大写金额为准;</w:t>
      </w:r>
    </w:p>
    <w:p>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w:t>
      </w:r>
      <w:r>
        <w:rPr>
          <w:rFonts w:hint="eastAsia" w:ascii="宋体" w:hAnsi="宋体" w:cs="宋体"/>
          <w:kern w:val="0"/>
          <w:szCs w:val="24"/>
          <w:highlight w:val="none"/>
          <w:lang w:val="en-US" w:eastAsia="zh-CN"/>
        </w:rPr>
        <w:t>5</w:t>
      </w:r>
      <w:r>
        <w:rPr>
          <w:rFonts w:hint="eastAsia" w:ascii="宋体" w:hAnsi="宋体" w:cs="宋体"/>
          <w:kern w:val="0"/>
          <w:szCs w:val="24"/>
          <w:highlight w:val="none"/>
        </w:rPr>
        <w:t>.1.3单价金额小数点或者百分比有明显错位的，以已标价工程量清单的总价为准，并修改单价;</w:t>
      </w:r>
    </w:p>
    <w:p>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w:t>
      </w:r>
      <w:r>
        <w:rPr>
          <w:rFonts w:hint="eastAsia" w:ascii="宋体" w:hAnsi="宋体" w:cs="宋体"/>
          <w:kern w:val="0"/>
          <w:szCs w:val="24"/>
          <w:highlight w:val="none"/>
          <w:lang w:val="en-US" w:eastAsia="zh-CN"/>
        </w:rPr>
        <w:t>5</w:t>
      </w:r>
      <w:r>
        <w:rPr>
          <w:rFonts w:hint="eastAsia" w:ascii="宋体" w:hAnsi="宋体" w:cs="宋体"/>
          <w:kern w:val="0"/>
          <w:szCs w:val="24"/>
          <w:highlight w:val="none"/>
        </w:rPr>
        <w:t>.1.4总价金额与按单价汇总金额不一致的，以单价金额计算结果为准。</w:t>
      </w:r>
    </w:p>
    <w:p>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w:t>
      </w:r>
      <w:r>
        <w:rPr>
          <w:rFonts w:hint="eastAsia" w:ascii="宋体" w:hAnsi="宋体" w:cs="宋体"/>
          <w:kern w:val="0"/>
          <w:szCs w:val="24"/>
          <w:highlight w:val="none"/>
          <w:lang w:val="en-US" w:eastAsia="zh-CN"/>
        </w:rPr>
        <w:t>5</w:t>
      </w:r>
      <w:r>
        <w:rPr>
          <w:rFonts w:hint="eastAsia" w:ascii="宋体" w:hAnsi="宋体" w:cs="宋体"/>
          <w:kern w:val="0"/>
          <w:szCs w:val="24"/>
          <w:highlight w:val="none"/>
        </w:rPr>
        <w:t>.1.5同时出现两种以上不一致的，按照3.6.1规定的顺序修正。修正后的报价经供应商确认后产生约束力。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kern w:val="0"/>
          <w:sz w:val="24"/>
          <w:highlight w:val="none"/>
          <w:lang w:val="en-US" w:eastAsia="zh-CN"/>
        </w:rPr>
        <w:t>5</w:t>
      </w:r>
      <w:r>
        <w:rPr>
          <w:rFonts w:hint="eastAsia" w:ascii="宋体" w:hAnsi="宋体" w:cs="宋体"/>
          <w:kern w:val="0"/>
          <w:sz w:val="24"/>
          <w:highlight w:val="none"/>
        </w:rPr>
        <w:t>.2响应文件出现不是唯一的、有选择性最后报价的，响应文件无效。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kern w:val="0"/>
          <w:sz w:val="24"/>
          <w:highlight w:val="none"/>
          <w:lang w:val="en-US" w:eastAsia="zh-CN"/>
        </w:rPr>
        <w:t>5</w:t>
      </w:r>
      <w:r>
        <w:rPr>
          <w:rFonts w:hint="eastAsia" w:ascii="宋体" w:hAnsi="宋体" w:cs="宋体"/>
          <w:kern w:val="0"/>
          <w:sz w:val="24"/>
          <w:highlight w:val="none"/>
        </w:rPr>
        <w:t>.3最后报价超过采购文件中规定的预算金额或者最高限价的，响应文件无效。</w:t>
      </w:r>
    </w:p>
    <w:p>
      <w:pPr>
        <w:spacing w:line="360" w:lineRule="auto"/>
        <w:ind w:firstLine="482" w:firstLineChars="200"/>
        <w:rPr>
          <w:rFonts w:ascii="宋体" w:hAnsi="宋体" w:cs="宋体"/>
          <w:b/>
          <w:kern w:val="0"/>
          <w:sz w:val="24"/>
          <w:highlight w:val="none"/>
        </w:rPr>
      </w:pPr>
      <w:r>
        <w:rPr>
          <w:rFonts w:hint="eastAsia" w:ascii="宋体" w:hAnsi="宋体" w:cs="宋体"/>
          <w:b/>
          <w:kern w:val="0"/>
          <w:sz w:val="24"/>
          <w:highlight w:val="none"/>
        </w:rPr>
        <w:t>3.</w:t>
      </w:r>
      <w:r>
        <w:rPr>
          <w:rFonts w:hint="eastAsia" w:ascii="宋体" w:hAnsi="宋体" w:cs="宋体"/>
          <w:b/>
          <w:kern w:val="0"/>
          <w:sz w:val="24"/>
          <w:highlight w:val="none"/>
          <w:lang w:val="en-US" w:eastAsia="zh-CN"/>
        </w:rPr>
        <w:t>6</w:t>
      </w:r>
      <w:r>
        <w:rPr>
          <w:rFonts w:hint="eastAsia" w:ascii="宋体" w:hAnsi="宋体" w:cs="宋体"/>
          <w:b/>
          <w:kern w:val="0"/>
          <w:sz w:val="24"/>
          <w:highlight w:val="none"/>
        </w:rPr>
        <w:t>排序与推荐。</w:t>
      </w:r>
      <w:r>
        <w:rPr>
          <w:rFonts w:hint="eastAsia" w:ascii="宋体" w:hAnsi="宋体" w:cs="宋体"/>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w:t>
      </w:r>
      <w:r>
        <w:rPr>
          <w:rFonts w:hint="eastAsia" w:ascii="宋体" w:hAnsi="宋体" w:cs="宋体"/>
          <w:b/>
          <w:kern w:val="0"/>
          <w:sz w:val="24"/>
          <w:highlight w:val="none"/>
          <w:lang w:val="en-US" w:eastAsia="zh-CN"/>
        </w:rPr>
        <w:t>7</w:t>
      </w:r>
      <w:r>
        <w:rPr>
          <w:rFonts w:hint="eastAsia" w:ascii="宋体" w:hAnsi="宋体" w:cs="宋体"/>
          <w:b/>
          <w:kern w:val="0"/>
          <w:sz w:val="24"/>
          <w:highlight w:val="none"/>
        </w:rPr>
        <w:t>编写评审报告。</w:t>
      </w:r>
      <w:r>
        <w:rPr>
          <w:rFonts w:hint="eastAsia" w:ascii="宋体" w:hAnsi="宋体" w:cs="宋体"/>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highlight w:val="none"/>
        </w:rPr>
      </w:pPr>
      <w:r>
        <w:rPr>
          <w:rFonts w:hint="eastAsia" w:ascii="宋体" w:hAnsi="宋体" w:cs="宋体"/>
          <w:b/>
          <w:sz w:val="32"/>
          <w:highlight w:val="none"/>
        </w:rPr>
        <w:t>四、评审中的其他事项</w:t>
      </w:r>
    </w:p>
    <w:p>
      <w:pPr>
        <w:pStyle w:val="137"/>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szCs w:val="21"/>
          <w:highlight w:val="none"/>
        </w:rPr>
      </w:pPr>
      <w:r>
        <w:rPr>
          <w:rFonts w:hint="eastAsia" w:cs="宋体"/>
          <w:b/>
          <w:kern w:val="0"/>
          <w:highlight w:val="none"/>
        </w:rPr>
        <w:t>4.2响应文件无效。</w:t>
      </w:r>
      <w:r>
        <w:rPr>
          <w:rFonts w:hint="eastAsia" w:cs="宋体"/>
          <w:szCs w:val="21"/>
          <w:highlight w:val="none"/>
        </w:rPr>
        <w:t>有下列情形之一的，响应文件无效：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4.2.2响应文件未按照采购文件要求签署、盖章的；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4.2.6响应文件出现不是唯一的、有选择性最后报价的;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4.2.7最后报价超过采购文件中规定的预算金额或者最高限价的;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4.2.10供应商提供虚假材料响应的；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4.2.12供应商仅提交备份响应文件，未在电子交易平台传输递交响应文件的，响应文件无效；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响应文件不满足采购文件的其它实质性要求的；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highlight w:val="none"/>
        </w:rPr>
      </w:pPr>
      <w:r>
        <w:rPr>
          <w:rFonts w:hint="eastAsia" w:cs="宋体"/>
          <w:b/>
          <w:highlight w:val="none"/>
        </w:rPr>
        <w:t>5.终止竞争性磋商采购活动。</w:t>
      </w:r>
      <w:r>
        <w:rPr>
          <w:rFonts w:hint="eastAsia" w:cs="宋体"/>
          <w:highlight w:val="none"/>
        </w:rPr>
        <w:t>出现下列情形之一的，采购人或者采购代理机构应当终止竞争性磋商采购活动，发布项目终止公告并说明原因，重新开展采购活动：</w:t>
      </w:r>
    </w:p>
    <w:p>
      <w:pPr>
        <w:pStyle w:val="25"/>
        <w:snapToGrid w:val="0"/>
        <w:spacing w:line="360" w:lineRule="auto"/>
        <w:rPr>
          <w:rFonts w:cs="宋体"/>
          <w:highlight w:val="none"/>
        </w:rPr>
      </w:pPr>
      <w:r>
        <w:rPr>
          <w:rFonts w:hint="eastAsia" w:cs="宋体"/>
          <w:highlight w:val="none"/>
        </w:rPr>
        <w:t>5.1因情况变化，不再符合规定的竞争性磋商采购方式适用情形的；</w:t>
      </w:r>
    </w:p>
    <w:p>
      <w:pPr>
        <w:pStyle w:val="25"/>
        <w:snapToGrid w:val="0"/>
        <w:spacing w:line="360" w:lineRule="auto"/>
        <w:rPr>
          <w:rFonts w:cs="宋体"/>
          <w:highlight w:val="none"/>
        </w:rPr>
      </w:pPr>
      <w:r>
        <w:rPr>
          <w:rFonts w:hint="eastAsia" w:cs="宋体"/>
          <w:highlight w:val="none"/>
        </w:rPr>
        <w:t>5.2出现影响采购公正的违法、违规行为的；</w:t>
      </w:r>
    </w:p>
    <w:p>
      <w:pPr>
        <w:pStyle w:val="25"/>
        <w:snapToGrid w:val="0"/>
        <w:spacing w:line="360" w:lineRule="auto"/>
        <w:rPr>
          <w:rFonts w:cs="宋体"/>
          <w:highlight w:val="none"/>
        </w:rPr>
      </w:pPr>
      <w:r>
        <w:rPr>
          <w:rFonts w:hint="eastAsia" w:cs="宋体"/>
          <w:highlight w:val="none"/>
        </w:rPr>
        <w:t>5.3除本办法第二十一条第三款规定的情形外，在采购过程中符合要求的供应商或者报价未超过采购预算的供应商不足3家的。</w:t>
      </w:r>
    </w:p>
    <w:p>
      <w:pPr>
        <w:pStyle w:val="25"/>
        <w:snapToGrid w:val="0"/>
        <w:spacing w:line="360" w:lineRule="auto"/>
        <w:rPr>
          <w:rFonts w:cs="宋体"/>
          <w:highlight w:val="none"/>
        </w:rPr>
      </w:pPr>
      <w:r>
        <w:rPr>
          <w:rFonts w:hint="eastAsia" w:cs="宋体"/>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highlight w:val="none"/>
        </w:rPr>
      </w:pPr>
      <w:r>
        <w:rPr>
          <w:rFonts w:hint="eastAsia" w:cs="宋体"/>
          <w:b/>
          <w:kern w:val="0"/>
          <w:highlight w:val="none"/>
        </w:rPr>
        <w:t>6.重新开展采购。</w:t>
      </w:r>
      <w:r>
        <w:rPr>
          <w:rFonts w:hint="eastAsia" w:cs="宋体"/>
          <w:highlight w:val="none"/>
        </w:rPr>
        <w:t>有政府采购法第七十一条、第七十二条规定的违法行为之一，影响或者可能影响成交结果的，依照下列规定处理：</w:t>
      </w:r>
    </w:p>
    <w:p>
      <w:pPr>
        <w:pStyle w:val="25"/>
        <w:snapToGrid w:val="0"/>
        <w:spacing w:line="360" w:lineRule="auto"/>
        <w:rPr>
          <w:rFonts w:cs="宋体"/>
          <w:highlight w:val="none"/>
        </w:rPr>
      </w:pPr>
      <w:r>
        <w:rPr>
          <w:rFonts w:hint="eastAsia" w:cs="宋体"/>
          <w:highlight w:val="none"/>
        </w:rPr>
        <w:t>6.1未确定成交供应商的，终止本次政府采购活动，重新开展政府采购活动。</w:t>
      </w:r>
    </w:p>
    <w:p>
      <w:pPr>
        <w:pStyle w:val="25"/>
        <w:snapToGrid w:val="0"/>
        <w:spacing w:line="360" w:lineRule="auto"/>
        <w:rPr>
          <w:rFonts w:cs="宋体"/>
          <w:highlight w:val="none"/>
        </w:rPr>
      </w:pPr>
      <w:r>
        <w:rPr>
          <w:rFonts w:hint="eastAsia" w:cs="宋体"/>
          <w:highlight w:val="none"/>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highlight w:val="none"/>
        </w:rPr>
      </w:pPr>
      <w:r>
        <w:rPr>
          <w:rFonts w:hint="eastAsia" w:cs="宋体"/>
          <w:highlight w:val="none"/>
        </w:rPr>
        <w:t>6.3采购合同已签订但尚未履行的，撤销合同，从合格的成交候选供应商中另行确定成交供应商；没有合格的成交候选供应商的，重新开展政府采购活动。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highlight w:val="none"/>
        </w:rPr>
      </w:pPr>
      <w:r>
        <w:rPr>
          <w:rFonts w:hint="eastAsia" w:cs="宋体"/>
          <w:highlight w:val="none"/>
        </w:rPr>
        <w:t>6.4采购合同已经履行，给采购人、供应商造成损失的，由责任人承担赔偿责任。</w:t>
      </w:r>
    </w:p>
    <w:p>
      <w:pPr>
        <w:pStyle w:val="25"/>
        <w:snapToGrid w:val="0"/>
        <w:spacing w:line="360" w:lineRule="auto"/>
        <w:rPr>
          <w:rFonts w:cs="宋体"/>
          <w:highlight w:val="none"/>
        </w:rPr>
      </w:pPr>
      <w:r>
        <w:rPr>
          <w:rFonts w:hint="eastAsia" w:cs="宋体"/>
          <w:highlight w:val="none"/>
        </w:rPr>
        <w:t>6.5采购当事人有其他违反政府采购法或者政府采购法实施条例等法律法规规定的行为，经改正后仍然影响或者可能影响成交结果或者依法被认定为成交无效的，依照6.1-6.4规定处理。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cs="宋体"/>
          <w:highlight w:val="none"/>
        </w:rPr>
        <w:sectPr>
          <w:headerReference r:id="rId7" w:type="default"/>
          <w:footerReference r:id="rId8" w:type="default"/>
          <w:pgSz w:w="11907" w:h="16840"/>
          <w:pgMar w:top="1440" w:right="1080" w:bottom="1440" w:left="1080" w:header="851" w:footer="851" w:gutter="0"/>
          <w:cols w:space="720" w:num="1"/>
        </w:sectPr>
      </w:pPr>
    </w:p>
    <w:bookmarkEnd w:id="29"/>
    <w:p>
      <w:pPr>
        <w:spacing w:line="360" w:lineRule="auto"/>
        <w:jc w:val="center"/>
        <w:outlineLvl w:val="0"/>
        <w:rPr>
          <w:rFonts w:ascii="宋体" w:hAnsi="宋体" w:cs="宋体"/>
          <w:b/>
          <w:sz w:val="36"/>
          <w:szCs w:val="36"/>
          <w:highlight w:val="none"/>
        </w:rPr>
      </w:pPr>
      <w:bookmarkStart w:id="399" w:name="第五部分"/>
      <w:bookmarkStart w:id="400" w:name="_Toc86217003"/>
      <w:r>
        <w:rPr>
          <w:rFonts w:hint="eastAsia" w:ascii="宋体" w:hAnsi="宋体" w:cs="宋体"/>
          <w:b/>
          <w:sz w:val="36"/>
          <w:szCs w:val="36"/>
          <w:highlight w:val="none"/>
        </w:rPr>
        <w:t>第五部分 拟签订的合同文本</w:t>
      </w:r>
    </w:p>
    <w:p>
      <w:pPr>
        <w:snapToGrid w:val="0"/>
        <w:spacing w:line="360" w:lineRule="auto"/>
        <w:ind w:firstLine="480" w:firstLineChars="200"/>
        <w:jc w:val="left"/>
        <w:rPr>
          <w:rFonts w:ascii="宋体" w:hAnsi="宋体"/>
          <w:snapToGrid w:val="0"/>
          <w:kern w:val="0"/>
          <w:sz w:val="24"/>
          <w:szCs w:val="20"/>
          <w:highlight w:val="none"/>
        </w:rPr>
      </w:pPr>
      <w:r>
        <w:rPr>
          <w:rFonts w:hint="eastAsia" w:ascii="宋体" w:hAnsi="宋体"/>
          <w:snapToGrid w:val="0"/>
          <w:kern w:val="0"/>
          <w:sz w:val="24"/>
          <w:szCs w:val="20"/>
          <w:highlight w:val="none"/>
        </w:rPr>
        <w:t>参考住房城乡建设部、原国家工商行政管理总局制定的《建设工程施工合同（示范文本）》（GF-2017-0201）。</w:t>
      </w:r>
    </w:p>
    <w:p>
      <w:pPr>
        <w:spacing w:line="400" w:lineRule="exact"/>
        <w:jc w:val="center"/>
        <w:rPr>
          <w:rFonts w:hint="eastAsia" w:ascii="宋体" w:hAnsi="宋体"/>
          <w:snapToGrid w:val="0"/>
          <w:kern w:val="0"/>
          <w:sz w:val="24"/>
          <w:szCs w:val="20"/>
          <w:highlight w:val="none"/>
        </w:rPr>
      </w:pPr>
      <w:r>
        <w:rPr>
          <w:rFonts w:hint="eastAsia" w:ascii="宋体" w:hAnsi="宋体" w:cs="宋体"/>
          <w:snapToGrid w:val="0"/>
          <w:kern w:val="44"/>
          <w:sz w:val="24"/>
          <w:szCs w:val="20"/>
          <w:highlight w:val="none"/>
        </w:rPr>
        <w:br w:type="page"/>
      </w:r>
      <w:bookmarkStart w:id="401" w:name="_Toc32130"/>
      <w:bookmarkStart w:id="402" w:name="_Toc97299497"/>
    </w:p>
    <w:bookmarkEnd w:id="401"/>
    <w:bookmarkEnd w:id="402"/>
    <w:p>
      <w:pPr>
        <w:spacing w:line="360" w:lineRule="auto"/>
        <w:jc w:val="center"/>
        <w:outlineLvl w:val="1"/>
        <w:rPr>
          <w:rFonts w:ascii="宋体" w:hAnsi="宋体" w:eastAsia="宋体" w:cs="宋体"/>
          <w:b/>
          <w:sz w:val="24"/>
          <w:szCs w:val="24"/>
          <w:highlight w:val="none"/>
        </w:rPr>
      </w:pPr>
      <w:r>
        <w:rPr>
          <w:rFonts w:hint="eastAsia" w:ascii="宋体" w:hAnsi="宋体"/>
          <w:snapToGrid w:val="0"/>
          <w:kern w:val="0"/>
          <w:szCs w:val="21"/>
          <w:highlight w:val="none"/>
        </w:rPr>
        <w:t xml:space="preserve"> </w:t>
      </w:r>
      <w:bookmarkStart w:id="403" w:name="_Toc28518"/>
      <w:r>
        <w:rPr>
          <w:rFonts w:hint="eastAsia" w:ascii="宋体" w:hAnsi="宋体" w:eastAsia="宋体" w:cs="宋体"/>
          <w:b/>
          <w:sz w:val="24"/>
          <w:szCs w:val="24"/>
          <w:highlight w:val="none"/>
        </w:rPr>
        <w:t>第一部分 合同协议书</w:t>
      </w:r>
      <w:bookmarkEnd w:id="403"/>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strike/>
          <w:color w:val="auto"/>
          <w:sz w:val="24"/>
          <w:szCs w:val="24"/>
          <w:highlight w:val="none"/>
          <w:u w:val="single"/>
          <w:lang w:val="en-US"/>
        </w:rPr>
      </w:pPr>
      <w:bookmarkStart w:id="404" w:name="_Hlk62322485"/>
      <w:bookmarkStart w:id="405" w:name="_Hlk70081597"/>
      <w:r>
        <w:rPr>
          <w:rFonts w:hint="eastAsia" w:ascii="宋体" w:hAnsi="宋体" w:eastAsia="宋体" w:cs="宋体"/>
          <w:b/>
          <w:bCs/>
          <w:color w:val="auto"/>
          <w:sz w:val="24"/>
          <w:szCs w:val="24"/>
          <w:highlight w:val="none"/>
        </w:rPr>
        <w:t>发包人（全称）：</w:t>
      </w:r>
      <w:r>
        <w:rPr>
          <w:rFonts w:hint="eastAsia" w:ascii="宋体" w:hAnsi="宋体" w:eastAsia="宋体" w:cs="宋体"/>
          <w:b/>
          <w:bCs/>
          <w:color w:val="auto"/>
          <w:sz w:val="24"/>
          <w:szCs w:val="24"/>
          <w:highlight w:val="none"/>
          <w:lang w:eastAsia="zh-CN"/>
        </w:rPr>
        <w:t>浙江省杭州第十四中学</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承包人（全称）：</w:t>
      </w:r>
      <w:r>
        <w:rPr>
          <w:rFonts w:hint="eastAsia" w:ascii="宋体" w:hAnsi="宋体" w:eastAsia="宋体" w:cs="宋体"/>
          <w:b/>
          <w:bCs/>
          <w:color w:val="auto"/>
          <w:sz w:val="24"/>
          <w:szCs w:val="24"/>
          <w:highlight w:val="none"/>
          <w:u w:val="single"/>
        </w:rPr>
        <w:t xml:space="preserve">            </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rPr>
        <w:t>施工及有关事项协商一致，共同达成如下协议：</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1.工程名称：</w:t>
      </w:r>
      <w:r>
        <w:rPr>
          <w:rFonts w:hint="eastAsia" w:ascii="宋体"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rPr>
        <w:t xml:space="preserve"> </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3.工程立项批准文号：</w:t>
      </w:r>
      <w:r>
        <w:rPr>
          <w:rFonts w:hint="eastAsia" w:ascii="宋体" w:hAnsi="宋体" w:eastAsia="宋体" w:cs="宋体"/>
          <w:b/>
          <w:bCs/>
          <w:color w:val="auto"/>
          <w:sz w:val="24"/>
          <w:szCs w:val="24"/>
          <w:highlight w:val="none"/>
          <w:u w:val="single"/>
        </w:rPr>
        <w:t xml:space="preserve">   /   </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4.资金来源：</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已落实</w:t>
      </w:r>
      <w:r>
        <w:rPr>
          <w:rFonts w:hint="eastAsia" w:ascii="宋体" w:hAnsi="宋体" w:eastAsia="宋体" w:cs="宋体"/>
          <w:b/>
          <w:bCs/>
          <w:color w:val="auto"/>
          <w:sz w:val="24"/>
          <w:szCs w:val="24"/>
          <w:highlight w:val="none"/>
          <w:u w:val="single"/>
        </w:rPr>
        <w:t xml:space="preserve">   </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5.工程内容：</w:t>
      </w:r>
      <w:r>
        <w:rPr>
          <w:rFonts w:hint="eastAsia" w:ascii="宋体" w:hAnsi="宋体" w:eastAsia="宋体" w:cs="宋体"/>
          <w:b/>
          <w:bCs/>
          <w:color w:val="auto"/>
          <w:sz w:val="24"/>
          <w:szCs w:val="24"/>
          <w:highlight w:val="none"/>
          <w:u w:val="single"/>
        </w:rPr>
        <w:t>施工图范围内的维修工程，具体内容以施工图及工程量清单为准。</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6.工程承包范围：</w:t>
      </w:r>
      <w:r>
        <w:rPr>
          <w:rFonts w:hint="eastAsia" w:ascii="宋体" w:hAnsi="宋体" w:eastAsia="宋体" w:cs="宋体"/>
          <w:b/>
          <w:color w:val="auto"/>
          <w:sz w:val="24"/>
          <w:szCs w:val="24"/>
          <w:highlight w:val="none"/>
          <w:u w:val="single"/>
        </w:rPr>
        <w:t>施工图、工程量清单及其编制说明、竞争性磋商文件中明确的内容为准，可能出现的施工图设计变更及根据发包人明确指令需在施工图范围外增加的工程量及施工图范围内减少的工程量。</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二、合同工期</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三、质量标准</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工程质量符合</w:t>
      </w:r>
      <w:r>
        <w:rPr>
          <w:rFonts w:hint="eastAsia" w:ascii="宋体" w:hAnsi="宋体" w:eastAsia="宋体" w:cs="宋体"/>
          <w:b/>
          <w:bCs/>
          <w:color w:val="auto"/>
          <w:sz w:val="24"/>
          <w:szCs w:val="24"/>
          <w:highlight w:val="none"/>
          <w:u w:val="single"/>
        </w:rPr>
        <w:t>合格</w:t>
      </w:r>
      <w:r>
        <w:rPr>
          <w:rFonts w:hint="eastAsia" w:ascii="宋体" w:hAnsi="宋体" w:eastAsia="宋体" w:cs="宋体"/>
          <w:color w:val="auto"/>
          <w:sz w:val="24"/>
          <w:szCs w:val="24"/>
          <w:highlight w:val="none"/>
        </w:rPr>
        <w:t>标准。</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四、签约合同价与合同价格形式</w:t>
      </w:r>
      <w:r>
        <w:rPr>
          <w:rFonts w:hint="eastAsia" w:ascii="宋体" w:hAnsi="宋体" w:eastAsia="宋体" w:cs="宋体"/>
          <w:b/>
          <w:bCs/>
          <w:color w:val="auto"/>
          <w:sz w:val="24"/>
          <w:szCs w:val="24"/>
          <w:highlight w:val="none"/>
        </w:rPr>
        <w:tab/>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1.签约合同价为：人民币（大写）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其中：（1）安全文明施工费：人民币（大写）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（2）材料和工程设备暂估价金额：人民币（大写）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（3）专业工程暂估价金额：人民币（大写）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b/>
          <w:bCs/>
          <w:color w:val="auto"/>
          <w:sz w:val="24"/>
          <w:szCs w:val="24"/>
          <w:highlight w:val="none"/>
          <w:u w:val="single"/>
        </w:rPr>
        <w:t>固定单价合同</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五、项目经理</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六、合同文件构成</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本协议书与下列文件一起构成合同文件：（1）中标通知书；（2）磋商函及其附录； （3）专用合同条款及其附件；（4）通用合同条款；（5）技术标准和要求；（6）图纸；（7）已标价工程量清单或预算书；（8）其他合同文件。</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七、承诺</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1.发包人承诺按照法律规定履行项目审批手续、筹集工程建设资金并按照合同约定的期限和方式支付合同价款。</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3.发包人和承包人通过招磋商形式签订合同的，双方理解并承诺不再就同一工程另行签订与合同实质性内容相背离的协议。</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八、词语含义</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本协议书中词语含义与第二部分通用合同条款中赋予的含义相同。</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九、签订时间及地点</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日在</w:t>
      </w:r>
      <w:r>
        <w:rPr>
          <w:rFonts w:hint="eastAsia" w:ascii="宋体" w:hAnsi="宋体" w:eastAsia="宋体" w:cs="宋体"/>
          <w:color w:val="auto"/>
          <w:sz w:val="24"/>
          <w:szCs w:val="24"/>
          <w:highlight w:val="none"/>
          <w:u w:val="single"/>
        </w:rPr>
        <w:t xml:space="preserve">  杭州市  </w:t>
      </w:r>
      <w:r>
        <w:rPr>
          <w:rFonts w:hint="eastAsia" w:ascii="宋体" w:hAnsi="宋体" w:eastAsia="宋体" w:cs="宋体"/>
          <w:color w:val="auto"/>
          <w:sz w:val="24"/>
          <w:szCs w:val="24"/>
          <w:highlight w:val="none"/>
        </w:rPr>
        <w:t>签订。</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十、补充协议</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合同未尽事宜，合同当事人另行签订补充协议，补充协议是合同的组成部分。</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十一、合同生效</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签订之日  </w:t>
      </w:r>
      <w:r>
        <w:rPr>
          <w:rFonts w:hint="eastAsia" w:ascii="宋体" w:hAnsi="宋体" w:eastAsia="宋体" w:cs="宋体"/>
          <w:color w:val="auto"/>
          <w:sz w:val="24"/>
          <w:szCs w:val="24"/>
          <w:highlight w:val="none"/>
        </w:rPr>
        <w:t>生效。</w:t>
      </w:r>
    </w:p>
    <w:p>
      <w:pPr>
        <w:keepNext w:val="0"/>
        <w:keepLines w:val="0"/>
        <w:pageBreakBefore w:val="0"/>
        <w:kinsoku/>
        <w:wordWrap/>
        <w:overflowPunct/>
        <w:topLinePunct w:val="0"/>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十二、合同份数</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本合同正本贰份，双方各执壹份；副本壹拾肆份，双方各执柒份；如正本与副本有不一致处，以正本为准，均具有同等法律效力。</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统一社会信用代码：       </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地  址：    </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电  话：   </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传  真：   </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开户银行： </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账  号：   </w:t>
      </w:r>
    </w:p>
    <w:p>
      <w:pPr>
        <w:keepNext w:val="0"/>
        <w:keepLines w:val="0"/>
        <w:pageBreakBefore w:val="0"/>
        <w:kinsoku/>
        <w:wordWrap/>
        <w:overflowPunct/>
        <w:topLinePunct w:val="0"/>
        <w:bidi w:val="0"/>
        <w:adjustRightInd w:val="0"/>
        <w:spacing w:line="360" w:lineRule="auto"/>
        <w:ind w:left="0" w:leftChars="0" w:firstLine="480"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第二部分 通用合同条款（略）</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通用合同条款采用住房城乡建设部、国家工商行政管理总局制定的《建设工程施工合同（示范文本）》（GF-2017-0201）的通用合同条款。</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val="0"/>
        <w:spacing w:line="360" w:lineRule="auto"/>
        <w:ind w:left="0" w:leftChars="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第三部分  专用合同条款</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1、一般约定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1.1.1合同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rPr>
        <w:t>1.1.1.1其他合同文件包括：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施工组织设计，竞争性磋商文件及招标答疑。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1.1.2合同当事人及其他相关方：</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1.1.2.1发包人代表：</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1.1.2.2承包人</w:t>
      </w:r>
      <w:r>
        <w:rPr>
          <w:rFonts w:hint="eastAsia" w:ascii="宋体" w:hAnsi="宋体" w:eastAsia="宋体" w:cs="宋体"/>
          <w:color w:val="auto"/>
          <w:sz w:val="24"/>
          <w:szCs w:val="24"/>
          <w:highlight w:val="none"/>
        </w:rPr>
        <w:t>项目经理：</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1.1.2.3监理人全称：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1.1.2.4设计人全称：</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设计人代表：</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1.1.3工程和设备</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1.1.3.7作为施工现场组成部分的其他场所包括：</w:t>
      </w:r>
      <w:r>
        <w:rPr>
          <w:rFonts w:hint="eastAsia" w:ascii="宋体" w:hAnsi="宋体" w:eastAsia="宋体" w:cs="宋体"/>
          <w:color w:val="auto"/>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1.1.3.9永久占地包括：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sz w:val="24"/>
          <w:szCs w:val="24"/>
          <w:highlight w:val="none"/>
          <w:u w:val="single"/>
        </w:rPr>
        <w:t>实施工程需永久占用的土地</w:t>
      </w:r>
      <w:r>
        <w:rPr>
          <w:rFonts w:hint="eastAsia" w:ascii="宋体" w:hAnsi="宋体" w:eastAsia="宋体" w:cs="宋体"/>
          <w:color w:val="auto"/>
          <w:kern w:val="0"/>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1.1.3.10临时占地包括：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sz w:val="24"/>
          <w:szCs w:val="24"/>
          <w:highlight w:val="none"/>
          <w:u w:val="single"/>
        </w:rPr>
        <w:t>为实施工程需临时占用的土地</w:t>
      </w:r>
      <w:r>
        <w:rPr>
          <w:rFonts w:hint="eastAsia" w:ascii="宋体" w:hAnsi="宋体" w:eastAsia="宋体" w:cs="宋体"/>
          <w:color w:val="auto"/>
          <w:kern w:val="0"/>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（1）关于印发《杭州市建设工程工程量清单计价实施细则》（2018年修订）的通知（杭建市发【2018】578号）</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 xml:space="preserve">（2）《关于进一步加强建筑施工领域企业安全生产工作的实施意见》的通知 （杭建工发〔2011〕130号）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（3）《关于进一步加强建设工程安全质量物联网管理应用平台建设的通知》（</w:t>
      </w:r>
      <w:r>
        <w:rPr>
          <w:rFonts w:hint="eastAsia" w:ascii="宋体" w:hAnsi="宋体" w:eastAsia="宋体" w:cs="宋体"/>
          <w:b/>
          <w:bCs/>
          <w:color w:val="auto"/>
          <w:kern w:val="0"/>
          <w:sz w:val="24"/>
          <w:szCs w:val="24"/>
          <w:highlight w:val="none"/>
          <w:u w:val="single"/>
        </w:rPr>
        <w:t xml:space="preserve">杭建工发【2012】426号）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u w:val="single"/>
        </w:rPr>
        <w:t xml:space="preserve">（4）《杭州市人民政府办公厅关于印发杭州市建设工程推广应用预拌砂浆管理办法的通知》（杭政办函（2011）32号）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（5）</w:t>
      </w:r>
      <w:r>
        <w:rPr>
          <w:rFonts w:hint="eastAsia" w:ascii="宋体" w:hAnsi="宋体" w:eastAsia="宋体" w:cs="宋体"/>
          <w:b/>
          <w:bCs/>
          <w:color w:val="auto"/>
          <w:kern w:val="0"/>
          <w:sz w:val="24"/>
          <w:szCs w:val="24"/>
          <w:highlight w:val="none"/>
          <w:u w:val="single"/>
        </w:rPr>
        <w:t>《关于落实建筑工棚安装空调事宜的通知》（</w:t>
      </w:r>
      <w:r>
        <w:rPr>
          <w:rFonts w:hint="eastAsia" w:ascii="宋体" w:hAnsi="宋体" w:eastAsia="宋体" w:cs="宋体"/>
          <w:b/>
          <w:bCs/>
          <w:color w:val="auto"/>
          <w:sz w:val="24"/>
          <w:szCs w:val="24"/>
          <w:highlight w:val="none"/>
          <w:u w:val="single"/>
        </w:rPr>
        <w:t xml:space="preserve">杭建工发【2011】237号）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（6）《关于进一步加强杭州市建设工程市场要素价格动态管理的指导意见》（杭建市发【2018】579号）</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b/>
          <w:bCs/>
          <w:color w:val="auto"/>
          <w:sz w:val="24"/>
          <w:szCs w:val="24"/>
          <w:highlight w:val="none"/>
          <w:u w:val="single"/>
        </w:rPr>
        <w:t>（7）新工艺、新技术的约定：</w:t>
      </w:r>
      <w:r>
        <w:rPr>
          <w:rFonts w:hint="eastAsia" w:ascii="宋体" w:hAnsi="宋体" w:eastAsia="宋体" w:cs="宋体"/>
          <w:color w:val="auto"/>
          <w:kern w:val="0"/>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（8）其他：</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《杭州市建筑市场管理若干规定》（杭州市人民政府令第277号）</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《杭州市建设工程文明施工管理规定》（杭州市人民政府令第278号）</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《杭州市政府投资项目概算管理办法（试行）》（杭发改投资[2013]422号）</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《杭州市政府投资项目工程变更管理暂行办法》（杭财建[2013]1246号）</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《关于进一步明确本市政府投资项目工程结算审查费用管理相关事项的通知》（杭财基[2014]109号）</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1.4标准和规范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按通用条款；</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1.4.2发包人提供国外标准、规范的名称：</w:t>
      </w:r>
      <w:r>
        <w:rPr>
          <w:rFonts w:hint="eastAsia" w:ascii="宋体" w:hAnsi="宋体" w:eastAsia="宋体" w:cs="宋体"/>
          <w:color w:val="auto"/>
          <w:kern w:val="0"/>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b/>
          <w:bCs/>
          <w:color w:val="auto"/>
          <w:sz w:val="24"/>
          <w:szCs w:val="24"/>
          <w:highlight w:val="none"/>
          <w:u w:val="single"/>
        </w:rPr>
        <w:t>国家或行业如有新的技术标准和功能要求，则要求从新</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1.5合同文件的优先顺序为：</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（1）合同协议书；</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（2）中标通知书（或项目发承包基本情况表）；</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（3）磋商函及其附录（如果有）；</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（4）专用合同条款及其附件；</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（5）通用合同条款；</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（6）技术标准和要求；</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（7）图纸；</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（8）已标价工程量清单或预算书；</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（9）其他合同文件：</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①施工组织设计；</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u w:val="single"/>
        </w:rPr>
        <w:t>②</w:t>
      </w:r>
      <w:r>
        <w:rPr>
          <w:rFonts w:hint="eastAsia" w:ascii="宋体" w:hAnsi="宋体" w:eastAsia="宋体" w:cs="宋体"/>
          <w:b/>
          <w:bCs/>
          <w:color w:val="auto"/>
          <w:sz w:val="24"/>
          <w:szCs w:val="24"/>
          <w:highlight w:val="none"/>
          <w:u w:val="single"/>
        </w:rPr>
        <w:t>竞争性磋商文件及招标答疑。</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1.6图纸和承包人文件</w:t>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1.6.1图纸的提供</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b/>
          <w:bCs/>
          <w:color w:val="auto"/>
          <w:sz w:val="24"/>
          <w:szCs w:val="24"/>
          <w:highlight w:val="none"/>
          <w:u w:val="single"/>
        </w:rPr>
        <w:t>开工前十五天；</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b/>
          <w:bCs/>
          <w:color w:val="auto"/>
          <w:sz w:val="24"/>
          <w:szCs w:val="24"/>
          <w:highlight w:val="none"/>
          <w:u w:val="single"/>
        </w:rPr>
        <w:t>陆套施工图纸(不包括竣工图)，如承包人额外需要提供施工图纸的，则额外增加的施工图纸的制作费由承包人承担</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b/>
          <w:bCs/>
          <w:color w:val="auto"/>
          <w:sz w:val="24"/>
          <w:szCs w:val="24"/>
          <w:highlight w:val="none"/>
          <w:u w:val="single"/>
        </w:rPr>
        <w:t>承包范围内的全套施工图纸、设计联系单等</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1.6.4承包人文件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b/>
          <w:bCs/>
          <w:color w:val="auto"/>
          <w:sz w:val="24"/>
          <w:szCs w:val="24"/>
          <w:highlight w:val="none"/>
          <w:u w:val="single"/>
        </w:rPr>
        <w:t>施工组织设计、进度计划等</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b/>
          <w:bCs/>
          <w:color w:val="auto"/>
          <w:sz w:val="24"/>
          <w:szCs w:val="24"/>
          <w:highlight w:val="none"/>
          <w:u w:val="single"/>
        </w:rPr>
        <w:t>合同签订后五个工作日内</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b/>
          <w:bCs/>
          <w:color w:val="auto"/>
          <w:sz w:val="24"/>
          <w:szCs w:val="24"/>
          <w:highlight w:val="none"/>
          <w:u w:val="single"/>
        </w:rPr>
        <w:t>一式三份</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b/>
          <w:bCs/>
          <w:color w:val="auto"/>
          <w:sz w:val="24"/>
          <w:szCs w:val="24"/>
          <w:highlight w:val="none"/>
          <w:u w:val="single"/>
        </w:rPr>
        <w:t>书面形式</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b/>
          <w:bCs/>
          <w:color w:val="auto"/>
          <w:sz w:val="24"/>
          <w:szCs w:val="24"/>
          <w:highlight w:val="none"/>
          <w:u w:val="single"/>
        </w:rPr>
        <w:t>收到承包人齐全的文件资料后10个工作日内</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1.6.5现场图纸准备</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b/>
          <w:bCs/>
          <w:color w:val="auto"/>
          <w:sz w:val="24"/>
          <w:szCs w:val="24"/>
          <w:highlight w:val="none"/>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1.7联络</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b/>
          <w:bCs/>
          <w:color w:val="auto"/>
          <w:sz w:val="24"/>
          <w:szCs w:val="24"/>
          <w:highlight w:val="none"/>
          <w:u w:val="single"/>
        </w:rPr>
        <w:t xml:space="preserve">3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发包人、承包人及监理人接收文件的地点：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sz w:val="24"/>
          <w:szCs w:val="24"/>
          <w:highlight w:val="none"/>
          <w:u w:val="single"/>
        </w:rPr>
        <w:t>施工现场办公室；</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1.10交通运输</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1.10.1出入现场的权利</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b/>
          <w:bCs/>
          <w:color w:val="auto"/>
          <w:sz w:val="24"/>
          <w:szCs w:val="24"/>
          <w:highlight w:val="none"/>
          <w:u w:val="single"/>
        </w:rPr>
        <w:t>按通用条款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1.10.3场内交通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b/>
          <w:bCs/>
          <w:color w:val="auto"/>
          <w:sz w:val="24"/>
          <w:szCs w:val="24"/>
          <w:highlight w:val="none"/>
          <w:u w:val="single"/>
        </w:rPr>
        <w:t>由发包人根据现场条件划定，承包人无条件服从。</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b/>
          <w:bCs/>
          <w:color w:val="auto"/>
          <w:sz w:val="24"/>
          <w:szCs w:val="24"/>
          <w:highlight w:val="none"/>
          <w:u w:val="single"/>
        </w:rPr>
        <w:t>按通用条款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b/>
          <w:bCs/>
          <w:color w:val="auto"/>
          <w:sz w:val="24"/>
          <w:szCs w:val="24"/>
          <w:highlight w:val="none"/>
          <w:u w:val="single"/>
        </w:rPr>
        <w:t xml:space="preserve">承包人 </w:t>
      </w:r>
      <w:r>
        <w:rPr>
          <w:rFonts w:hint="eastAsia" w:ascii="宋体" w:hAnsi="宋体" w:eastAsia="宋体" w:cs="宋体"/>
          <w:color w:val="auto"/>
          <w:sz w:val="24"/>
          <w:szCs w:val="24"/>
          <w:highlight w:val="none"/>
        </w:rPr>
        <w:t>承担。</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本工程的超大件：</w:t>
      </w:r>
      <w:r>
        <w:rPr>
          <w:rFonts w:hint="eastAsia" w:ascii="宋体" w:hAnsi="宋体" w:eastAsia="宋体" w:cs="宋体"/>
          <w:color w:val="auto"/>
          <w:kern w:val="0"/>
          <w:sz w:val="24"/>
          <w:szCs w:val="24"/>
          <w:highlight w:val="none"/>
          <w:u w:val="single"/>
        </w:rPr>
        <w:t xml:space="preserve">/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本工程的超重件：</w:t>
      </w:r>
      <w:r>
        <w:rPr>
          <w:rFonts w:hint="eastAsia" w:ascii="宋体" w:hAnsi="宋体" w:eastAsia="宋体" w:cs="宋体"/>
          <w:color w:val="auto"/>
          <w:kern w:val="0"/>
          <w:sz w:val="24"/>
          <w:szCs w:val="24"/>
          <w:highlight w:val="none"/>
          <w:u w:val="single"/>
        </w:rPr>
        <w:t xml:space="preserve">/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1.11知识产权</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归发包人。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b/>
          <w:bCs/>
          <w:color w:val="auto"/>
          <w:sz w:val="24"/>
          <w:szCs w:val="24"/>
          <w:highlight w:val="none"/>
          <w:u w:val="single"/>
        </w:rPr>
        <w:t>未经发包人同意，不得向他人提供，否则发包人有权解除合同并有权向承包人进行索赔。</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b/>
          <w:bCs/>
          <w:color w:val="auto"/>
          <w:sz w:val="24"/>
          <w:szCs w:val="24"/>
          <w:highlight w:val="none"/>
          <w:u w:val="single"/>
        </w:rPr>
        <w:t xml:space="preserve">按通用条款。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用于本工程。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b/>
          <w:bCs/>
          <w:color w:val="auto"/>
          <w:sz w:val="24"/>
          <w:szCs w:val="24"/>
          <w:highlight w:val="none"/>
          <w:u w:val="single"/>
        </w:rPr>
        <w:t>（除发包人指明外）承包人在施工过程中所采用的专利、专有技术、技术秘密的使用费包含在合同价款内。</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b/>
          <w:bCs/>
          <w:color w:val="auto"/>
          <w:sz w:val="24"/>
          <w:szCs w:val="24"/>
          <w:highlight w:val="none"/>
          <w:u w:val="single"/>
        </w:rPr>
        <w:t xml:space="preserve">  是  </w:t>
      </w:r>
      <w:r>
        <w:rPr>
          <w:rFonts w:hint="eastAsia" w:ascii="宋体" w:hAnsi="宋体" w:eastAsia="宋体" w:cs="宋体"/>
          <w:b/>
          <w:bCs/>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按本专用条款第10.4.1条执行；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调整合同价格的修正时间：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2、发包人</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发包人应根据工程所需配备发包人代表，同时配备1-2名相关人员到岗履职。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b/>
          <w:color w:val="auto"/>
          <w:sz w:val="24"/>
          <w:szCs w:val="24"/>
          <w:highlight w:val="none"/>
          <w:u w:val="single"/>
        </w:rPr>
        <w:t>对质量、成本、安全、进度进行全面管理，但涉及合同价格变更、安全事故、质量事故等重大事项的处理须经发包人加盖公章方有效。</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2.4施工现场、施工条件和基础资料的提供</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2.4.1提供施工现场</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b/>
          <w:bCs/>
          <w:color w:val="auto"/>
          <w:sz w:val="24"/>
          <w:szCs w:val="24"/>
          <w:highlight w:val="none"/>
          <w:u w:val="single"/>
        </w:rPr>
        <w:t xml:space="preserve"> 开工日期7天前移交。</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2.4.2提供施工条件</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b/>
          <w:bCs/>
          <w:color w:val="auto"/>
          <w:sz w:val="24"/>
          <w:szCs w:val="24"/>
          <w:highlight w:val="none"/>
          <w:u w:val="single"/>
        </w:rPr>
        <w:t xml:space="preserve">按通用条款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2.5资金来源证明及支付担保</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strike/>
          <w:color w:val="auto"/>
          <w:sz w:val="24"/>
          <w:szCs w:val="24"/>
          <w:highlight w:val="none"/>
          <w:u w:val="singl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3、承包人</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3.1承包人的一般义务</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b/>
          <w:bCs/>
          <w:color w:val="auto"/>
          <w:sz w:val="24"/>
          <w:szCs w:val="24"/>
          <w:highlight w:val="none"/>
          <w:u w:val="single"/>
        </w:rPr>
        <w:t>竣工图纸和竣工资料（包括影像资料）、电子版竣工图光盘</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b/>
          <w:bCs/>
          <w:color w:val="auto"/>
          <w:sz w:val="24"/>
          <w:szCs w:val="24"/>
          <w:highlight w:val="none"/>
          <w:u w:val="single"/>
        </w:rPr>
        <w:t>陆套</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b/>
          <w:bCs/>
          <w:color w:val="auto"/>
          <w:sz w:val="24"/>
          <w:szCs w:val="24"/>
          <w:highlight w:val="none"/>
          <w:u w:val="single"/>
        </w:rPr>
        <w:t>由承包人承担</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b/>
          <w:bCs/>
          <w:color w:val="auto"/>
          <w:sz w:val="24"/>
          <w:szCs w:val="24"/>
          <w:highlight w:val="none"/>
          <w:u w:val="single"/>
        </w:rPr>
        <w:t>工程竣工验收合格后</w:t>
      </w:r>
      <w:r>
        <w:rPr>
          <w:rFonts w:hint="eastAsia" w:ascii="宋体" w:hAnsi="宋体" w:eastAsia="宋体" w:cs="宋体"/>
          <w:b/>
          <w:bCs/>
          <w:color w:val="auto"/>
          <w:sz w:val="24"/>
          <w:szCs w:val="24"/>
          <w:highlight w:val="none"/>
          <w:u w:val="single"/>
          <w:lang w:eastAsia="zh-CN"/>
        </w:rPr>
        <w:t>1</w:t>
      </w:r>
      <w:r>
        <w:rPr>
          <w:rFonts w:hint="eastAsia" w:ascii="宋体" w:hAnsi="宋体" w:eastAsia="宋体" w:cs="宋体"/>
          <w:b/>
          <w:bCs/>
          <w:color w:val="auto"/>
          <w:sz w:val="24"/>
          <w:szCs w:val="24"/>
          <w:highlight w:val="none"/>
          <w:u w:val="single"/>
        </w:rPr>
        <w:t>0天内</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b/>
          <w:bCs/>
          <w:color w:val="auto"/>
          <w:sz w:val="24"/>
          <w:szCs w:val="24"/>
          <w:highlight w:val="none"/>
          <w:u w:val="single"/>
        </w:rPr>
        <w:t>符合城建档案管理部门相关规定的</w:t>
      </w:r>
      <w:r>
        <w:rPr>
          <w:rFonts w:hint="eastAsia" w:ascii="宋体" w:hAnsi="宋体" w:eastAsia="宋体" w:cs="宋体"/>
          <w:b/>
          <w:color w:val="auto"/>
          <w:sz w:val="24"/>
          <w:szCs w:val="24"/>
          <w:highlight w:val="none"/>
          <w:u w:val="single"/>
        </w:rPr>
        <w:t>纸质、电子文本</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（6）承包人应履行的其他义务：</w:t>
      </w:r>
      <w:r>
        <w:rPr>
          <w:rFonts w:hint="eastAsia" w:ascii="宋体" w:hAnsi="宋体" w:eastAsia="宋体" w:cs="宋体"/>
          <w:b/>
          <w:bCs/>
          <w:color w:val="auto"/>
          <w:sz w:val="24"/>
          <w:szCs w:val="24"/>
          <w:highlight w:val="none"/>
          <w:u w:val="single"/>
        </w:rPr>
        <w:t>工程竣工验收合格后</w:t>
      </w:r>
      <w:r>
        <w:rPr>
          <w:rFonts w:hint="eastAsia" w:ascii="宋体" w:hAnsi="宋体" w:eastAsia="宋体" w:cs="宋体"/>
          <w:b/>
          <w:bCs/>
          <w:color w:val="auto"/>
          <w:sz w:val="24"/>
          <w:szCs w:val="24"/>
          <w:highlight w:val="none"/>
          <w:u w:val="single"/>
          <w:lang w:eastAsia="zh-CN"/>
        </w:rPr>
        <w:t>3</w:t>
      </w:r>
      <w:r>
        <w:rPr>
          <w:rFonts w:hint="eastAsia" w:ascii="宋体" w:hAnsi="宋体" w:eastAsia="宋体" w:cs="宋体"/>
          <w:b/>
          <w:bCs/>
          <w:color w:val="auto"/>
          <w:sz w:val="24"/>
          <w:szCs w:val="24"/>
          <w:highlight w:val="none"/>
          <w:u w:val="single"/>
        </w:rPr>
        <w:t>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3.2项目经理</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b/>
          <w:bCs/>
          <w:color w:val="auto"/>
          <w:sz w:val="24"/>
          <w:szCs w:val="24"/>
          <w:highlight w:val="none"/>
          <w:u w:val="single"/>
        </w:rPr>
        <w:t>受承包人委托全面负责工程安全、质量、进度、投资四大控制要素，完善合同、信息、组织管理体系，做好安全监督，文明标准化现场工作。</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b/>
          <w:bCs/>
          <w:color w:val="auto"/>
          <w:sz w:val="24"/>
          <w:szCs w:val="24"/>
          <w:highlight w:val="none"/>
          <w:u w:val="single"/>
        </w:rPr>
        <w:t>每月不少于22日历天。</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b/>
          <w:bCs/>
          <w:color w:val="auto"/>
          <w:sz w:val="24"/>
          <w:szCs w:val="24"/>
          <w:highlight w:val="none"/>
          <w:u w:val="single"/>
        </w:rPr>
        <w:t>将被视为承包人违约，发包人将没收部分或全部履约保证金，直至单方面解除本施工合同。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b/>
          <w:bCs/>
          <w:color w:val="auto"/>
          <w:sz w:val="24"/>
          <w:szCs w:val="24"/>
          <w:highlight w:val="none"/>
          <w:u w:val="single"/>
        </w:rPr>
        <w:t>擅自离开施工现场每一天，处罚人民币1000元/天，上述扣款在支付进度款中逐期扣除。</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3.2.3承包人擅自更换项目经理的违约责任：</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kern w:val="0"/>
          <w:sz w:val="24"/>
          <w:szCs w:val="24"/>
          <w:highlight w:val="none"/>
        </w:rPr>
        <w:t>承包人确需更换项目经理的，继任项目经理注册执业资格、管理经验的约定：</w:t>
      </w:r>
      <w:r>
        <w:rPr>
          <w:rFonts w:hint="eastAsia" w:ascii="宋体" w:hAnsi="宋体" w:eastAsia="宋体" w:cs="宋体"/>
          <w:b/>
          <w:bCs/>
          <w:color w:val="auto"/>
          <w:sz w:val="24"/>
          <w:szCs w:val="24"/>
          <w:highlight w:val="none"/>
          <w:u w:val="single"/>
        </w:rPr>
        <w:t>均要求等同于或高于被更换项目经理。</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承包人擅自更换项目经理的违约责任：</w:t>
      </w:r>
      <w:r>
        <w:rPr>
          <w:rFonts w:hint="eastAsia" w:ascii="宋体" w:hAnsi="宋体" w:eastAsia="宋体" w:cs="宋体"/>
          <w:b/>
          <w:bCs/>
          <w:color w:val="auto"/>
          <w:sz w:val="24"/>
          <w:szCs w:val="24"/>
          <w:highlight w:val="none"/>
          <w:u w:val="single"/>
        </w:rPr>
        <w:t>未经发包人及相关行政主管部门同意，擅自更换项目经理时，将被视为承包人违约，发包人将没收部分或全部履约保证金，直至单方面解除本施工合同。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3.2.4承包人无正当理由拒绝更换项目经理的违约责任：</w:t>
      </w:r>
      <w:r>
        <w:rPr>
          <w:rFonts w:hint="eastAsia" w:ascii="宋体" w:hAnsi="宋体" w:eastAsia="宋体" w:cs="宋体"/>
          <w:b/>
          <w:bCs/>
          <w:color w:val="auto"/>
          <w:sz w:val="24"/>
          <w:szCs w:val="24"/>
          <w:highlight w:val="none"/>
          <w:u w:val="single"/>
        </w:rPr>
        <w:t>将被视为承包人违约，发包人将没收部分或全部履约保证金，直至单方面解除本施工合同。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3.3承包人人员</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3.3.1承包人提交项目管理机构及施工现场管理人员安排报告的期限：</w:t>
      </w:r>
      <w:r>
        <w:rPr>
          <w:rFonts w:hint="eastAsia" w:ascii="宋体" w:hAnsi="宋体" w:eastAsia="宋体" w:cs="宋体"/>
          <w:b/>
          <w:bCs/>
          <w:color w:val="auto"/>
          <w:sz w:val="24"/>
          <w:szCs w:val="24"/>
          <w:highlight w:val="none"/>
          <w:u w:val="single"/>
        </w:rPr>
        <w:t>开工前七天</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3.3.2 承包人需更换主要施工管理人员的，继任人员的数量、注册执业资格、管理经验的约定：</w:t>
      </w:r>
      <w:r>
        <w:rPr>
          <w:rFonts w:hint="eastAsia" w:ascii="宋体" w:hAnsi="宋体" w:eastAsia="宋体" w:cs="宋体"/>
          <w:b/>
          <w:bCs/>
          <w:color w:val="auto"/>
          <w:sz w:val="24"/>
          <w:szCs w:val="24"/>
          <w:highlight w:val="none"/>
          <w:u w:val="single"/>
        </w:rPr>
        <w:t>均要求等同于或高于被更换主要施工管理人员。</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3.3.3承包人无正当理由拒绝撤换主要施工管理人员的违约责任：</w:t>
      </w:r>
      <w:r>
        <w:rPr>
          <w:rFonts w:hint="eastAsia" w:ascii="宋体" w:hAnsi="宋体" w:eastAsia="宋体" w:cs="宋体"/>
          <w:b/>
          <w:bCs/>
          <w:color w:val="auto"/>
          <w:sz w:val="24"/>
          <w:szCs w:val="24"/>
          <w:highlight w:val="none"/>
          <w:u w:val="single"/>
        </w:rPr>
        <w:t>将被视为承包人违约，发包人将没收部分或全部履约保证金，直至单方面解除本施工合同。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b/>
          <w:bCs/>
          <w:color w:val="auto"/>
          <w:sz w:val="24"/>
          <w:szCs w:val="24"/>
          <w:highlight w:val="none"/>
          <w:u w:val="single"/>
        </w:rPr>
        <w:t>离开前向发包人代表提出书面报告，发包人代表同意后方可离开施工现场。</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b/>
          <w:bCs/>
          <w:color w:val="auto"/>
          <w:sz w:val="24"/>
          <w:szCs w:val="24"/>
          <w:highlight w:val="none"/>
          <w:u w:val="single"/>
        </w:rPr>
        <w:t>未经发包人及相关行政主管部门同意，擅自更换主要施工管理人员时，将被视为承包人违约，发包人将没收部分或全部履约保证金，直至单方面解除本施工合同。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b/>
          <w:bCs/>
          <w:color w:val="auto"/>
          <w:sz w:val="24"/>
          <w:szCs w:val="24"/>
          <w:highlight w:val="none"/>
          <w:u w:val="single"/>
        </w:rPr>
        <w:t>擅自离开施工现场每一天，处罚人民币400元/天，上述扣款在支付进度款中逐期扣除。</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3.5分包</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3.5.1分包的一般约定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b/>
          <w:bCs/>
          <w:color w:val="auto"/>
          <w:sz w:val="24"/>
          <w:szCs w:val="24"/>
          <w:highlight w:val="none"/>
          <w:u w:val="single"/>
        </w:rPr>
        <w:t>主体结构、关键性工作等其他国家现行法律、法规明令禁止分包的内容。</w:t>
      </w:r>
      <w:r>
        <w:rPr>
          <w:rFonts w:hint="eastAsia" w:ascii="宋体" w:hAnsi="宋体" w:eastAsia="宋体" w:cs="宋体"/>
          <w:b/>
          <w:color w:val="auto"/>
          <w:sz w:val="24"/>
          <w:szCs w:val="24"/>
          <w:highlight w:val="none"/>
          <w:u w:val="single"/>
        </w:rPr>
        <w:t>未经发包人书面同意，不得分包。</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b/>
          <w:bCs/>
          <w:color w:val="auto"/>
          <w:sz w:val="24"/>
          <w:szCs w:val="24"/>
          <w:highlight w:val="none"/>
          <w:u w:val="single"/>
        </w:rPr>
        <w:t>按通用条款或国家现行法律、法规执行。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3.5.2分包的确定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b/>
          <w:bCs/>
          <w:color w:val="auto"/>
          <w:sz w:val="24"/>
          <w:szCs w:val="24"/>
          <w:highlight w:val="none"/>
          <w:u w:val="single"/>
        </w:rPr>
        <w:t>合同签订时明确。</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其他关于分包的约定：</w:t>
      </w:r>
      <w:r>
        <w:rPr>
          <w:rFonts w:hint="eastAsia" w:ascii="宋体" w:hAnsi="宋体" w:eastAsia="宋体" w:cs="宋体"/>
          <w:b/>
          <w:bCs/>
          <w:color w:val="auto"/>
          <w:sz w:val="24"/>
          <w:szCs w:val="24"/>
          <w:highlight w:val="none"/>
          <w:u w:val="single"/>
        </w:rPr>
        <w:t>合同签订时明确。</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3.5.4分包合同价款</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b/>
          <w:bCs/>
          <w:color w:val="auto"/>
          <w:sz w:val="24"/>
          <w:szCs w:val="24"/>
          <w:highlight w:val="none"/>
          <w:u w:val="single"/>
        </w:rPr>
        <w:t>合同签订时明确。</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3.6工程照管与成品、半成品保护</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b/>
          <w:bCs/>
          <w:color w:val="auto"/>
          <w:sz w:val="24"/>
          <w:szCs w:val="24"/>
          <w:highlight w:val="none"/>
          <w:u w:val="single"/>
        </w:rPr>
        <w:t>按通用条款。</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3.7履约担保</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b/>
          <w:bCs/>
          <w:color w:val="auto"/>
          <w:sz w:val="24"/>
          <w:szCs w:val="24"/>
          <w:highlight w:val="none"/>
          <w:u w:val="single"/>
        </w:rPr>
        <w:t xml:space="preserve">   是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val="0"/>
        <w:snapToGrid/>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lang w:val="zh-Hans" w:eastAsia="zh-Hans"/>
        </w:rPr>
        <w:t>承包人向发包人支付合同价</w:t>
      </w:r>
      <w:r>
        <w:rPr>
          <w:rFonts w:hint="eastAsia" w:ascii="宋体" w:hAnsi="宋体" w:eastAsia="宋体" w:cs="宋体"/>
          <w:color w:val="auto"/>
          <w:sz w:val="24"/>
          <w:szCs w:val="24"/>
          <w:highlight w:val="none"/>
          <w:u w:val="single"/>
        </w:rPr>
        <w:t>1%的</w:t>
      </w:r>
      <w:r>
        <w:rPr>
          <w:rFonts w:hint="eastAsia" w:ascii="宋体" w:hAnsi="宋体" w:eastAsia="宋体" w:cs="宋体"/>
          <w:color w:val="auto"/>
          <w:sz w:val="24"/>
          <w:szCs w:val="24"/>
          <w:highlight w:val="none"/>
          <w:u w:val="single"/>
          <w:lang w:val="zh-Hans" w:eastAsia="zh-Hans"/>
        </w:rPr>
        <w:t>履约保证金</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zh-Hans" w:eastAsia="zh-Hans"/>
        </w:rPr>
        <w:t>履约保证金</w:t>
      </w:r>
      <w:r>
        <w:rPr>
          <w:rFonts w:hint="eastAsia" w:ascii="宋体" w:hAnsi="宋体" w:eastAsia="宋体" w:cs="宋体"/>
          <w:color w:val="auto"/>
          <w:sz w:val="24"/>
          <w:szCs w:val="24"/>
          <w:highlight w:val="none"/>
          <w:u w:val="single"/>
          <w:lang w:val="en-US" w:eastAsia="zh-CN"/>
        </w:rPr>
        <w:t>建议以</w:t>
      </w:r>
      <w:r>
        <w:rPr>
          <w:rFonts w:hint="eastAsia" w:ascii="宋体" w:hAnsi="宋体" w:eastAsia="宋体" w:cs="宋体"/>
          <w:color w:val="auto"/>
          <w:sz w:val="24"/>
          <w:szCs w:val="24"/>
          <w:highlight w:val="none"/>
          <w:u w:val="single"/>
        </w:rPr>
        <w:t>银行或保险公司出具的保函等形式</w:t>
      </w:r>
      <w:r>
        <w:rPr>
          <w:rFonts w:hint="eastAsia" w:ascii="宋体" w:hAnsi="宋体" w:eastAsia="宋体" w:cs="宋体"/>
          <w:color w:val="auto"/>
          <w:sz w:val="24"/>
          <w:szCs w:val="24"/>
          <w:highlight w:val="none"/>
          <w:u w:val="single"/>
          <w:lang w:val="en-US" w:eastAsia="zh-CN"/>
        </w:rPr>
        <w:t>递交</w:t>
      </w:r>
      <w:r>
        <w:rPr>
          <w:rFonts w:hint="eastAsia" w:ascii="宋体" w:hAnsi="宋体" w:eastAsia="宋体" w:cs="宋体"/>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4、监理人</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b/>
          <w:bCs/>
          <w:color w:val="auto"/>
          <w:sz w:val="24"/>
          <w:szCs w:val="24"/>
          <w:highlight w:val="none"/>
          <w:u w:val="single"/>
        </w:rPr>
        <w:t>本工程实施范围内的所有内容</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b/>
          <w:bCs/>
          <w:color w:val="auto"/>
          <w:sz w:val="24"/>
          <w:szCs w:val="24"/>
          <w:highlight w:val="none"/>
          <w:u w:val="single"/>
        </w:rPr>
        <w:t>按本工程监理合同执行</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b/>
          <w:bCs/>
          <w:color w:val="auto"/>
          <w:sz w:val="24"/>
          <w:szCs w:val="24"/>
          <w:highlight w:val="none"/>
          <w:u w:val="single"/>
        </w:rPr>
        <w:t>由承包人解决并承担相关费用。</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4.2监理人员</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需要取得发包人批准才能行使的职权：</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 涉及全局进度的工程暂停；</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 变更的估价；</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 部分工程分包；</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D 索赔的支付；</w:t>
      </w:r>
    </w:p>
    <w:p>
      <w:pPr>
        <w:keepNext w:val="0"/>
        <w:keepLines w:val="0"/>
        <w:pageBreakBefore w:val="0"/>
        <w:kinsoku/>
        <w:wordWrap/>
        <w:overflowPunct/>
        <w:topLinePunct w:val="0"/>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E 有关暂列金额的使用；</w:t>
      </w:r>
    </w:p>
    <w:p>
      <w:pPr>
        <w:keepNext w:val="0"/>
        <w:keepLines w:val="0"/>
        <w:pageBreakBefore w:val="0"/>
        <w:widowControl/>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F 涉及改变原设计意图或影响原设计结构的补充图纸和指示。</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5、工程质量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5.1质量要求</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5.1.1特殊质量标准和要求：</w:t>
      </w:r>
      <w:r>
        <w:rPr>
          <w:rFonts w:hint="eastAsia" w:ascii="宋体" w:hAnsi="宋体" w:eastAsia="宋体" w:cs="宋体"/>
          <w:b/>
          <w:bCs/>
          <w:color w:val="auto"/>
          <w:sz w:val="24"/>
          <w:szCs w:val="24"/>
          <w:highlight w:val="none"/>
          <w:u w:val="single"/>
        </w:rPr>
        <w:t>符合（工程施工质量验收规范）合格标准。</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5.3隐蔽工程检查</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b/>
          <w:bCs/>
          <w:color w:val="auto"/>
          <w:sz w:val="24"/>
          <w:szCs w:val="24"/>
          <w:highlight w:val="none"/>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有防水要求的地方，均应进行防水试验，并通过验收；未进行防水验收即进入下一道工序的，除补充进行验收外，且发包人每次扣罚违约金1万元，上述扣款在工程进度款中逐期扣除。</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b/>
          <w:bCs/>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b/>
          <w:bCs/>
          <w:color w:val="auto"/>
          <w:sz w:val="24"/>
          <w:szCs w:val="24"/>
          <w:highlight w:val="none"/>
          <w:u w:val="single"/>
        </w:rPr>
        <w:t xml:space="preserve"> 48 </w:t>
      </w:r>
      <w:r>
        <w:rPr>
          <w:rFonts w:hint="eastAsia" w:ascii="宋体" w:hAnsi="宋体" w:eastAsia="宋体" w:cs="宋体"/>
          <w:color w:val="auto"/>
          <w:sz w:val="24"/>
          <w:szCs w:val="24"/>
          <w:highlight w:val="none"/>
        </w:rPr>
        <w:t>小时。</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6、安全文明施工与环境保护</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6.1.1项目安全生产的达标目标及相应事项的约定：</w:t>
      </w:r>
      <w:r>
        <w:rPr>
          <w:rFonts w:hint="eastAsia" w:ascii="宋体" w:hAnsi="宋体" w:eastAsia="宋体" w:cs="宋体"/>
          <w:b/>
          <w:bCs/>
          <w:color w:val="auto"/>
          <w:sz w:val="24"/>
          <w:szCs w:val="24"/>
          <w:highlight w:val="none"/>
          <w:u w:val="single"/>
        </w:rPr>
        <w:t>施工现场按照《建筑施工安全检查标准》（JGJ59-2011）评定达到“合格”标准。</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6.1.4关于治安保卫的特别约定：</w:t>
      </w:r>
      <w:r>
        <w:rPr>
          <w:rFonts w:hint="eastAsia" w:ascii="宋体" w:hAnsi="宋体" w:eastAsia="宋体" w:cs="宋体"/>
          <w:b/>
          <w:bCs/>
          <w:color w:val="auto"/>
          <w:sz w:val="24"/>
          <w:szCs w:val="24"/>
          <w:highlight w:val="none"/>
          <w:u w:val="single"/>
        </w:rPr>
        <w:t>由承包人与当地公安部门协商，在现场建立治安管理机构或联防组织，统一管理施工场地的治安保卫事项，履行合同工程的治安保卫职责，发包人做好配合。</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b/>
          <w:bCs/>
          <w:color w:val="auto"/>
          <w:sz w:val="24"/>
          <w:szCs w:val="24"/>
          <w:highlight w:val="none"/>
          <w:u w:val="single"/>
        </w:rPr>
        <w:t>由承包人在开工后7日内编制施工场地治安管理计划，制定应对突发治安事件的紧急预案。</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6.1.5文明施工</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（1）遵守地方政府和有关部门对施工场地交通、环卫、安全和施工噪音等管理规定，并办理相关审批手续。</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（2）</w:t>
      </w:r>
      <w:r>
        <w:rPr>
          <w:rFonts w:hint="eastAsia" w:ascii="宋体" w:hAnsi="宋体" w:eastAsia="宋体" w:cs="宋体"/>
          <w:b/>
          <w:color w:val="auto"/>
          <w:sz w:val="24"/>
          <w:szCs w:val="24"/>
          <w:highlight w:val="none"/>
          <w:u w:val="single"/>
        </w:rPr>
        <w:t>施工时承包人应严格遵守施工现场管理规定，服从物业单位的管理，采取有效措施尽量减小尘土和噪音污染。</w:t>
      </w:r>
      <w:r>
        <w:rPr>
          <w:rFonts w:hint="eastAsia" w:ascii="宋体" w:hAnsi="宋体" w:eastAsia="宋体" w:cs="宋体"/>
          <w:b/>
          <w:bCs/>
          <w:color w:val="auto"/>
          <w:kern w:val="0"/>
          <w:sz w:val="24"/>
          <w:szCs w:val="24"/>
          <w:highlight w:val="none"/>
          <w:u w:val="single"/>
        </w:rPr>
        <w:t xml:space="preserve"> </w:t>
      </w:r>
    </w:p>
    <w:p>
      <w:pPr>
        <w:pStyle w:val="726"/>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highlight w:val="none"/>
          <w:u w:val="single"/>
        </w:rPr>
        <w:t>如发包人要求须暂停施工，承包人须无条件服从，并采取夜间加班等措施保证工程进度不拖延，加班等所需全部费用包含在合同报价中，不得以发包人要求暂停施工为由调整合同价格。</w:t>
      </w:r>
    </w:p>
    <w:p>
      <w:pPr>
        <w:pStyle w:val="726"/>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color w:val="auto"/>
          <w:kern w:val="2"/>
          <w:sz w:val="24"/>
          <w:szCs w:val="24"/>
          <w:highlight w:val="none"/>
          <w:u w:val="single"/>
          <w:shd w:val="clear"/>
        </w:rPr>
      </w:pPr>
      <w:r>
        <w:rPr>
          <w:rFonts w:hint="eastAsia" w:ascii="宋体" w:hAnsi="宋体" w:eastAsia="宋体" w:cs="宋体"/>
          <w:b/>
          <w:color w:val="auto"/>
          <w:kern w:val="2"/>
          <w:sz w:val="24"/>
          <w:szCs w:val="24"/>
          <w:highlight w:val="none"/>
          <w:u w:val="single"/>
        </w:rPr>
        <w:t>如因发包人原因导致施工暂停时间较多通过夜间加班也无法确保工期的，工期延长时间须经发包人、监理人审核同意。</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（4）承包人应对进入施工现场的施工人员进行人员安全文明施工教育，配备必须的劳动保护用具，保证工程的施工安全和人身安全。</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（5）承包人由于违反安全操作规范，被政府有关部门处罚，如通报批评、警告和罚款等，承包人承担一切责任，并每被查处一次，发包人每次扣罚违约金5000元，</w:t>
      </w:r>
      <w:r>
        <w:rPr>
          <w:rFonts w:hint="eastAsia" w:ascii="宋体" w:hAnsi="宋体" w:eastAsia="宋体" w:cs="宋体"/>
          <w:b/>
          <w:bCs/>
          <w:color w:val="auto"/>
          <w:sz w:val="24"/>
          <w:szCs w:val="24"/>
          <w:highlight w:val="none"/>
          <w:u w:val="single"/>
        </w:rPr>
        <w:t>上述扣款在工程进度款中逐期扣除。</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eastAsia="宋体" w:cs="宋体"/>
          <w:b/>
          <w:bCs/>
          <w:color w:val="auto"/>
          <w:sz w:val="24"/>
          <w:szCs w:val="24"/>
          <w:highlight w:val="none"/>
          <w:u w:val="single"/>
        </w:rPr>
        <w:t>上述扣款在工程进度款中逐期扣除</w:t>
      </w:r>
      <w:r>
        <w:rPr>
          <w:rFonts w:hint="eastAsia" w:ascii="宋体" w:hAnsi="宋体" w:eastAsia="宋体" w:cs="宋体"/>
          <w:b/>
          <w:bCs/>
          <w:color w:val="auto"/>
          <w:kern w:val="0"/>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（7）发包人或监理工程师有权对承包人的安全施工状况进行检查，发现有违反安全施工情况的，有权提出整改要求，承包人须按要求进行整改。</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（8）上述手续办理费用约定如下： 由承包人承担。</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6.1.6关于安全文明施工费支付比例和支付期限的约定，按以下</w:t>
      </w:r>
      <w:r>
        <w:rPr>
          <w:rFonts w:hint="eastAsia" w:ascii="宋体" w:hAnsi="宋体" w:eastAsia="宋体" w:cs="宋体"/>
          <w:color w:val="auto"/>
          <w:sz w:val="24"/>
          <w:szCs w:val="24"/>
          <w:highlight w:val="none"/>
          <w:u w:val="single"/>
        </w:rPr>
        <w:t>第（1）种方式</w:t>
      </w:r>
      <w:r>
        <w:rPr>
          <w:rFonts w:hint="eastAsia" w:ascii="宋体" w:hAnsi="宋体" w:eastAsia="宋体" w:cs="宋体"/>
          <w:color w:val="auto"/>
          <w:sz w:val="24"/>
          <w:szCs w:val="24"/>
          <w:highlight w:val="none"/>
        </w:rPr>
        <w:t>约定：</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u w:val="single"/>
        </w:rPr>
        <w:t>（1）安全文明施工费总额的60%包含在工程预付款中支付，剩余部分根据工程进度在进度款中支付</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（2）其他：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7、工期和进度</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7.1施工组织设计</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b/>
          <w:bCs/>
          <w:color w:val="auto"/>
          <w:sz w:val="24"/>
          <w:szCs w:val="24"/>
          <w:highlight w:val="none"/>
          <w:u w:val="single"/>
        </w:rPr>
        <w:t>按《通用合同条款》7.1.1条执行</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7.1.2</w:t>
      </w:r>
      <w:r>
        <w:rPr>
          <w:rFonts w:hint="eastAsia" w:ascii="宋体" w:hAnsi="宋体" w:eastAsia="宋体" w:cs="宋体"/>
          <w:color w:val="auto"/>
          <w:kern w:val="0"/>
          <w:sz w:val="24"/>
          <w:szCs w:val="24"/>
          <w:highlight w:val="none"/>
        </w:rPr>
        <w:t>施工组织设计的提交和修改</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b/>
          <w:bCs/>
          <w:color w:val="auto"/>
          <w:sz w:val="24"/>
          <w:szCs w:val="24"/>
          <w:highlight w:val="none"/>
          <w:u w:val="single"/>
        </w:rPr>
        <w:t>合同签订后5天内提供详细施工组织设计（施工方案）和进度计划。</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b/>
          <w:bCs/>
          <w:color w:val="auto"/>
          <w:sz w:val="24"/>
          <w:szCs w:val="24"/>
          <w:highlight w:val="none"/>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7.2施工进度计划</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7.2.2施工进度计划的修订</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b/>
          <w:bCs/>
          <w:color w:val="auto"/>
          <w:sz w:val="24"/>
          <w:szCs w:val="24"/>
          <w:highlight w:val="none"/>
          <w:u w:val="single"/>
        </w:rPr>
        <w:t>收到完整资料后7天内确认或提出修改意见。</w:t>
      </w:r>
      <w:r>
        <w:rPr>
          <w:rFonts w:hint="eastAsia" w:ascii="宋体" w:hAnsi="宋体" w:eastAsia="宋体" w:cs="宋体"/>
          <w:color w:val="auto"/>
          <w:sz w:val="24"/>
          <w:szCs w:val="24"/>
          <w:highlight w:val="none"/>
        </w:rPr>
        <w:t>发包人、监理单位对施工进度计划的确认是对施工进度计划可行性的确认，并不是对所涉费用的确认，也不免除承包人对施工进度计划应承担的责任。</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7.3开工</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7.3.1开工准备</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b/>
          <w:bCs/>
          <w:color w:val="auto"/>
          <w:sz w:val="24"/>
          <w:szCs w:val="24"/>
          <w:highlight w:val="none"/>
          <w:u w:val="single"/>
        </w:rPr>
        <w:t>开工日期前7天。</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b/>
          <w:bCs/>
          <w:color w:val="auto"/>
          <w:sz w:val="24"/>
          <w:szCs w:val="24"/>
          <w:highlight w:val="none"/>
          <w:u w:val="single"/>
        </w:rPr>
        <w:t>开工日期前7天。</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b/>
          <w:bCs/>
          <w:color w:val="auto"/>
          <w:sz w:val="24"/>
          <w:szCs w:val="24"/>
          <w:highlight w:val="none"/>
          <w:u w:val="single"/>
        </w:rPr>
        <w:t>开工日期前7天。</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b/>
          <w:bCs/>
          <w:color w:val="auto"/>
          <w:sz w:val="24"/>
          <w:szCs w:val="24"/>
          <w:highlight w:val="none"/>
          <w:u w:val="single"/>
        </w:rPr>
        <w:t xml:space="preserve"> 90 </w:t>
      </w:r>
      <w:r>
        <w:rPr>
          <w:rFonts w:hint="eastAsia" w:ascii="宋体" w:hAnsi="宋体" w:eastAsia="宋体" w:cs="宋体"/>
          <w:color w:val="auto"/>
          <w:sz w:val="24"/>
          <w:szCs w:val="24"/>
          <w:highlight w:val="none"/>
        </w:rPr>
        <w:t>天内发出开工通知的，承包人有权提出价格调整要求，或者解除合同。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7.4测量放线</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7.5工期延误</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7.5.1因发包人原因导致工期延误</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①重大设计变更引起的工期延误；</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②其他：不可抗力。</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7.5.2因承包人原因导致工期延误</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r>
        <w:rPr>
          <w:rFonts w:hint="eastAsia" w:ascii="宋体" w:hAnsi="宋体" w:eastAsia="宋体" w:cs="宋体"/>
          <w:b/>
          <w:bCs/>
          <w:color w:val="auto"/>
          <w:sz w:val="24"/>
          <w:szCs w:val="24"/>
          <w:highlight w:val="none"/>
          <w:u w:val="single"/>
        </w:rPr>
        <w:t>因承包人原因造成延误工期每延误一天，扣罚2000元</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b/>
          <w:bCs/>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7.6不利物质条件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 xml:space="preserve">（1）施工场地周围地下管线  </w:t>
      </w:r>
      <w:r>
        <w:rPr>
          <w:rFonts w:hint="eastAsia" w:ascii="宋体" w:hAnsi="宋体" w:eastAsia="宋体" w:cs="宋体"/>
          <w:b/>
          <w:bCs/>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 xml:space="preserve">（2）地下障碍物和污染物  </w:t>
      </w:r>
      <w:r>
        <w:rPr>
          <w:rFonts w:hint="eastAsia" w:ascii="宋体" w:hAnsi="宋体" w:eastAsia="宋体" w:cs="宋体"/>
          <w:b/>
          <w:bCs/>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 xml:space="preserve">（3）其他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r>
        <w:rPr>
          <w:rFonts w:hint="eastAsia" w:ascii="宋体" w:hAnsi="宋体" w:eastAsia="宋体" w:cs="宋体"/>
          <w:b/>
          <w:bCs/>
          <w:color w:val="auto"/>
          <w:sz w:val="24"/>
          <w:szCs w:val="24"/>
          <w:highlight w:val="none"/>
          <w:u w:val="single"/>
        </w:rPr>
        <w:t>持续半小时10级及10级以上的台风、3小时内降雨量达50毫米、6小时内降雪量达15毫米、日气温超过40度或低于零下10度</w:t>
      </w:r>
      <w:r>
        <w:rPr>
          <w:rFonts w:hint="eastAsia" w:ascii="宋体" w:hAnsi="宋体" w:eastAsia="宋体" w:cs="宋体"/>
          <w:b/>
          <w:bCs/>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7.8提前竣工的奖励</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8、材料与设备</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8.4.1发包人供应的材料设备的保管费用的承担：</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8.6样品</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8.6.1样品的报送与封存</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b/>
          <w:bCs/>
          <w:color w:val="auto"/>
          <w:sz w:val="24"/>
          <w:szCs w:val="24"/>
          <w:highlight w:val="none"/>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8.8施工设备和临时设施</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8.8.1承包人提供的施工设备和临时设施</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b/>
          <w:bCs/>
          <w:color w:val="auto"/>
          <w:sz w:val="24"/>
          <w:szCs w:val="24"/>
          <w:highlight w:val="none"/>
          <w:u w:val="single"/>
        </w:rPr>
        <w:t>由承包人自行考虑，相关费用计入报价。</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9、试验与检验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9.1.2试验设备</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由承包人提供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由承包人提供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由承包人提供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kern w:val="0"/>
          <w:sz w:val="24"/>
          <w:szCs w:val="24"/>
          <w:highlight w:val="none"/>
        </w:rPr>
        <w:t>材料、工程设备和工程的试验和检验</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试验、检测单位资质条件约定：</w:t>
      </w:r>
      <w:r>
        <w:rPr>
          <w:rFonts w:hint="eastAsia" w:ascii="宋体" w:hAnsi="宋体" w:eastAsia="宋体" w:cs="宋体"/>
          <w:b/>
          <w:bCs/>
          <w:color w:val="auto"/>
          <w:sz w:val="24"/>
          <w:szCs w:val="24"/>
          <w:highlight w:val="none"/>
          <w:u w:val="single"/>
        </w:rPr>
        <w:t>按有关规定执行；</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kern w:val="0"/>
          <w:sz w:val="24"/>
          <w:szCs w:val="24"/>
          <w:highlight w:val="none"/>
        </w:rPr>
        <w:t>试验、检测单位选择约定：</w:t>
      </w:r>
      <w:r>
        <w:rPr>
          <w:rFonts w:hint="eastAsia" w:ascii="宋体" w:hAnsi="宋体" w:eastAsia="宋体" w:cs="宋体"/>
          <w:b/>
          <w:bCs/>
          <w:color w:val="auto"/>
          <w:sz w:val="24"/>
          <w:szCs w:val="24"/>
          <w:highlight w:val="none"/>
          <w:u w:val="single"/>
        </w:rPr>
        <w:t>报监理及发包人审核批准；</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试验、检测费用约定：</w:t>
      </w:r>
      <w:r>
        <w:rPr>
          <w:rFonts w:hint="eastAsia" w:ascii="宋体" w:hAnsi="宋体" w:eastAsia="宋体" w:cs="宋体"/>
          <w:b/>
          <w:bCs/>
          <w:color w:val="auto"/>
          <w:sz w:val="24"/>
          <w:szCs w:val="24"/>
          <w:highlight w:val="none"/>
          <w:u w:val="single"/>
        </w:rPr>
        <w:t xml:space="preserve"> 按有关规定执行。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按通用条款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10、变更</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按通用条款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10.1.1关于变更范围的约定：按照《杭州市政府投资项目工程变更管理暂行办法》（杭财建[2013]1246号）中工程变更的相关规定。</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10.1.2因承包人擅自变更设计发生的费用和由此导致发包人的直接损失，由承包人承担，延误的工期不予顺延。</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10.1.3承包人提出的合理化建议涉及到的工程变更，须经发包人同意并办理相关变更审查手续。未经同意擅自更改的，承包人承担由此产生的费用，并赔偿发包人的有关损失，延误的工期不予顺延。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10.4变更估价</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10.4.1变更估价原则</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关于变更估价的约定: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（1）已标价工程量清单或预算书有相同项目的，按照相同项目单价确定。</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（2）已标价工程量清单或预算书中无相同项目，但有类似项目的，参照类似项目的单价确定。</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②清单项目某一特征或工程内容变化，不影响其他特征及工程内容价格的，其他特征组合标准不变，仅调整发生变化的组合子目价格。</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（3）已标价工程量清单或预算书中无相同项目及类似项目单价的，其单价的确定，按以下约定：</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按照《建设工程工程量清单计价规范》（GB50500-2013）9.6.2条规定，增加部分的工程量的综合单价应予调低，减少后剩余部分的工程量的综合单价应予调高，可按下列公式调整:</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凡合价金额占合同总价2%及以上的分部分项清单项目，</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①当Q1&gt;1.15Q0时:    S=1.15Q0×P0+（Q1-1.15 Q0）×P1</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②当Q1&lt;0.85Q0时:    S=Q1×P1</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凡合价金额占合同总价不到2%的分部分项清单项目，</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③当Q1&gt;1.25Q0时:    S=1.25Q0×P0+（Q1-1.25 Q0）×P1</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④当Q1&lt;0.75Q0时:    S=Q1×P1</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式中 S——调整后某一分部分项工程费结算价；</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Q1——最终完成的工程量；</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Q0——招标工程量清单中列出的工程量；</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P0——承包人在已标价工程量清单中填报的综合单价</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P1——按照最终完成工程量重新调整后的综合单价，按本合同第10.4.1条（3）款计算结果和P0比较，在工程量增加时，若计算结果大于P0的,取 P1= P0，在工程量减少时，若计算结果小于P0的,取P1= P0。</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（5）其他：</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①工程量必须按照《建设工程工程量清单计价规范》（GB50500-2013）规定的工程量计算规则计算。工程量必须以承包人完成合同工程应予计量的工程量确定。最终结算工程量应首先报监理及发包人初审。</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②工程变更管理按《杭州市政府投资项目工程变更管理暂行办法》（杭财建[2013]1246号）执行，未履行规定程序的联系单，不得纳入工程结算。</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rPr>
        <w:t>⑥发包人与承包人在询标过程中，涉及到合同价款结算有须明确或澄清的事项包括：</w:t>
      </w:r>
      <w:r>
        <w:rPr>
          <w:rFonts w:hint="eastAsia" w:ascii="宋体" w:hAnsi="宋体" w:eastAsia="宋体" w:cs="宋体"/>
          <w:color w:val="auto"/>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u w:val="single"/>
        </w:rPr>
        <w:t>⑦本工程结算造价以国家审计或财政评审为准。</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10.5承包人的合理化建议</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b/>
          <w:bCs/>
          <w:color w:val="auto"/>
          <w:sz w:val="24"/>
          <w:szCs w:val="24"/>
          <w:highlight w:val="none"/>
          <w:u w:val="single"/>
        </w:rPr>
        <w:t xml:space="preserve">按通用条款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b/>
          <w:bCs/>
          <w:color w:val="auto"/>
          <w:sz w:val="24"/>
          <w:szCs w:val="24"/>
          <w:highlight w:val="none"/>
          <w:u w:val="single"/>
        </w:rPr>
        <w:t xml:space="preserve">按通用条款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10.7暂估价</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暂估价材料和工程设备的明细详见附件11：《</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10.7.1依法必须招标的暂估价项目</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种方式确定。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10.7.2不属于依法必须招标的暂估价项目</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种方式确定。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10.8暂列金额</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11、价格调整</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11.1市场价格波动引起的调整</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kern w:val="0"/>
          <w:sz w:val="24"/>
          <w:szCs w:val="24"/>
          <w:highlight w:val="none"/>
          <w:u w:val="single"/>
        </w:rPr>
        <w:t>调整</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b/>
          <w:bCs/>
          <w:color w:val="auto"/>
          <w:sz w:val="24"/>
          <w:szCs w:val="24"/>
          <w:highlight w:val="none"/>
          <w:u w:val="single"/>
        </w:rPr>
        <w:t xml:space="preserve">  3   </w:t>
      </w:r>
      <w:r>
        <w:rPr>
          <w:rFonts w:hint="eastAsia" w:ascii="宋体" w:hAnsi="宋体" w:eastAsia="宋体" w:cs="宋体"/>
          <w:color w:val="auto"/>
          <w:sz w:val="24"/>
          <w:szCs w:val="24"/>
          <w:highlight w:val="none"/>
        </w:rPr>
        <w:t>种方式对合同价格进行调整：</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③承包人在已标价工程量清单或预算书中载明的材料单价等于基准单价的：专用合同条款合同履行期间材料单价涨跌幅以基准单价为基础超过±%时，其超过部分据实调整。</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第3种方式：</w:t>
      </w:r>
      <w:r>
        <w:rPr>
          <w:rFonts w:hint="eastAsia" w:ascii="宋体" w:hAnsi="宋体" w:eastAsia="宋体" w:cs="宋体"/>
          <w:b/>
          <w:bCs/>
          <w:color w:val="auto"/>
          <w:sz w:val="24"/>
          <w:szCs w:val="24"/>
          <w:highlight w:val="none"/>
          <w:u w:val="single"/>
        </w:rPr>
        <w:t>采用政策性文件进行价格调整</w:t>
      </w:r>
      <w:r>
        <w:rPr>
          <w:rFonts w:hint="eastAsia" w:ascii="宋体" w:hAnsi="宋体" w:eastAsia="宋体" w:cs="宋体"/>
          <w:b/>
          <w:bCs/>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政府投资工程因市场价格波动引起的调整：</w:t>
      </w:r>
      <w:r>
        <w:rPr>
          <w:rFonts w:hint="eastAsia" w:ascii="宋体" w:hAnsi="宋体" w:eastAsia="宋体" w:cs="宋体"/>
          <w:color w:val="auto"/>
          <w:kern w:val="0"/>
          <w:sz w:val="24"/>
          <w:szCs w:val="24"/>
          <w:highlight w:val="none"/>
          <w:u w:val="single"/>
        </w:rPr>
        <w:t>按《关于进一步加强杭州市建设工程市场要素价格动态管理的指导意见》(杭建市发〔2018）579号)文执行。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其中：</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1、风险范围及幅度的约定：</w:t>
      </w:r>
    </w:p>
    <w:p>
      <w:pPr>
        <w:keepNext w:val="0"/>
        <w:keepLines w:val="0"/>
        <w:pageBreakBefore w:val="0"/>
        <w:widowControl/>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（1）人工价格风险幅度为5%；</w:t>
      </w:r>
    </w:p>
    <w:p>
      <w:pPr>
        <w:keepNext w:val="0"/>
        <w:keepLines w:val="0"/>
        <w:pageBreakBefore w:val="0"/>
        <w:widowControl/>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（2）单种规格材料价格风险幅度为5%；</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2、材料价款动态调整结算方式采用以下</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第（3）种方式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约定：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（1）按时间进度分段结算： /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（2）按工程形象部位(目标)分段结算：/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 xml:space="preserve">（3）竣工后一次性结算调价。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①当单种规格材料价格上涨超过约定的风险幅度时，材料差价（正值）=〔合同工期内各月份信息价算术平均值-编制期信息价×（1+风险幅度）〕×单种规格材料用量。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②当单种规格材料价格下跌超过约定的风险幅度时，材料差价（负值）=〔合同工期内各月份信息价算术平均值-编制期信息价×（1-风险幅度)〕×单种规格材料用量。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3、非承包人原因引起的延期，经发包人、监理单位审批同意顺延后，经批准的顺延工期可计入合同工期，未经审批同意，不得延长合同工期。</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4、承包人办理工程结算时必须向审核部门提供预算软件导出的带有计价软件格式的电子结算文件。</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12、合同价格、计量与支付</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12.1合同价格形式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 xml:space="preserve">（1）应由承包人承担的工、料、机在磋商编制期或预算书编制期与合同实施期间所发生的市场价格波动。 </w:t>
      </w:r>
    </w:p>
    <w:p>
      <w:pPr>
        <w:keepNext w:val="0"/>
        <w:keepLines w:val="0"/>
        <w:pageBreakBefore w:val="0"/>
        <w:widowControl/>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u w:val="single"/>
        </w:rPr>
        <w:t>（2）其他：按通用条款</w:t>
      </w:r>
    </w:p>
    <w:p>
      <w:pPr>
        <w:keepNext w:val="0"/>
        <w:keepLines w:val="0"/>
        <w:pageBreakBefore w:val="0"/>
        <w:widowControl/>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b/>
          <w:bCs/>
          <w:color w:val="auto"/>
          <w:kern w:val="0"/>
          <w:sz w:val="24"/>
          <w:szCs w:val="24"/>
          <w:highlight w:val="none"/>
          <w:u w:val="single"/>
        </w:rPr>
        <w:t>风险因素范围内的风险费用不在合同价外另行计列及调整。</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（1）市场价格波动引起的调整按本合同11.1约定计算。</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 xml:space="preserve">（2）其他：  /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合同总价的40%</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合同签订后且主要施工人员和机械进场后 </w:t>
      </w:r>
      <w:r>
        <w:rPr>
          <w:rFonts w:hint="eastAsia" w:ascii="宋体" w:hAnsi="宋体" w:eastAsia="宋体" w:cs="宋体"/>
          <w:b/>
          <w:bCs/>
          <w:color w:val="auto"/>
          <w:sz w:val="24"/>
          <w:szCs w:val="24"/>
          <w:highlight w:val="none"/>
          <w:u w:val="single"/>
          <w:lang w:val="en-US" w:eastAsia="zh-CN"/>
        </w:rPr>
        <w:t>5个工作日</w:t>
      </w:r>
      <w:r>
        <w:rPr>
          <w:rFonts w:hint="eastAsia" w:ascii="宋体" w:hAnsi="宋体" w:eastAsia="宋体" w:cs="宋体"/>
          <w:b/>
          <w:bCs/>
          <w:color w:val="auto"/>
          <w:sz w:val="24"/>
          <w:szCs w:val="24"/>
          <w:highlight w:val="none"/>
          <w:u w:val="single"/>
        </w:rPr>
        <w:t xml:space="preserve">内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12.3计量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12.3.1计量原则</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u w:val="single"/>
        </w:rPr>
        <w:t xml:space="preserve"> 实行工程量清单计价的工程项目，其工程量的计算规则应按国家标准工程量计算规范及省级行业主管部门颁布的补充规定执行。</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u w:val="single"/>
        </w:rPr>
        <w:t>不实行工程量清单计价的工程项目，工程量的计算规则应按省、市行业主管部门颁布的各专业工程定额的工程量计算规则执行。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12.3.2计量周期</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b/>
          <w:bCs/>
          <w:color w:val="auto"/>
          <w:sz w:val="24"/>
          <w:szCs w:val="24"/>
          <w:highlight w:val="none"/>
          <w:u w:val="single"/>
        </w:rPr>
        <w:t>每月25日前提交已完工程量报告</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12.3.3单价合同的计量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b/>
          <w:bCs/>
          <w:color w:val="auto"/>
          <w:sz w:val="24"/>
          <w:szCs w:val="24"/>
          <w:highlight w:val="none"/>
          <w:u w:val="single"/>
        </w:rPr>
        <w:t xml:space="preserve">按通用条款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12.3.4总价合同的计量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12.3.6其他价格形式合同的计量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12.4工程进度款支付</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12.4.1付款周期</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关于付款周期的约定：</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（1）支付工程款前，承包人须按相关要求递交履约保证金，否则发包人有权暂停支付相关款项；</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）工程竣工验收合格、提交所有竣工资料（包括但不限于监理工程师签署的全部工程验收合格的资料、缺陷修补完成的证明材料等）、并移交接收管理部门后，支付</w:t>
      </w:r>
      <w:r>
        <w:rPr>
          <w:rFonts w:hint="eastAsia" w:ascii="宋体" w:hAnsi="宋体" w:eastAsia="宋体" w:cs="宋体"/>
          <w:b/>
          <w:bCs/>
          <w:color w:val="auto"/>
          <w:sz w:val="24"/>
          <w:szCs w:val="24"/>
          <w:highlight w:val="none"/>
          <w:u w:val="single"/>
          <w:lang w:val="en-US" w:eastAsia="zh-CN"/>
        </w:rPr>
        <w:t>合同金额的45%</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）待工程决算审价结束且资料归档后，付至经审定的工程结算总价（本工程结算造价以第三方审计单位审核为准）的100％；</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工程承包人收取工程款时应开具符合税务部门要求的正式的建筑安装工程发票, 发包人凭票付款，承包人未提交发票的，发包人有权拒绝付款；</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）承包人清楚本工程为政府工程，如因支付审批流程致使付款延迟的，不视为发包人违约。</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12.4.2进度付款申请单的编制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b/>
          <w:bCs/>
          <w:color w:val="auto"/>
          <w:sz w:val="24"/>
          <w:szCs w:val="24"/>
          <w:highlight w:val="none"/>
          <w:u w:val="single"/>
        </w:rPr>
        <w:t>不考虑因变更、索赔、合同约定应增加的金额。</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12.4.3进度付款申请单的提交</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b/>
          <w:bCs/>
          <w:color w:val="auto"/>
          <w:sz w:val="24"/>
          <w:szCs w:val="24"/>
          <w:highlight w:val="none"/>
          <w:u w:val="single"/>
        </w:rPr>
        <w:t>按通用条款。</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12.4.4进度款审核和支付</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b/>
          <w:bCs/>
          <w:color w:val="auto"/>
          <w:sz w:val="24"/>
          <w:szCs w:val="24"/>
          <w:highlight w:val="none"/>
          <w:u w:val="single"/>
        </w:rPr>
        <w:t xml:space="preserve">按通用条款。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b/>
          <w:bCs/>
          <w:color w:val="auto"/>
          <w:sz w:val="24"/>
          <w:szCs w:val="24"/>
          <w:highlight w:val="none"/>
          <w:u w:val="single"/>
        </w:rPr>
        <w:t>按通用条款。</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b/>
          <w:bCs/>
          <w:color w:val="auto"/>
          <w:sz w:val="24"/>
          <w:szCs w:val="24"/>
          <w:highlight w:val="none"/>
          <w:u w:val="single"/>
        </w:rPr>
        <w:t xml:space="preserve">按通用条款。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12.4.6支付分解表的编制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13、验收和工程试车</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13.1分部分项工程验收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48 </w:t>
      </w:r>
      <w:r>
        <w:rPr>
          <w:rFonts w:hint="eastAsia" w:ascii="宋体" w:hAnsi="宋体" w:eastAsia="宋体" w:cs="宋体"/>
          <w:color w:val="auto"/>
          <w:sz w:val="24"/>
          <w:szCs w:val="24"/>
          <w:highlight w:val="none"/>
        </w:rPr>
        <w:t>小时。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13.2竣工验收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b/>
          <w:bCs/>
          <w:color w:val="auto"/>
          <w:sz w:val="24"/>
          <w:szCs w:val="24"/>
          <w:highlight w:val="none"/>
          <w:u w:val="single"/>
        </w:rPr>
        <w:t xml:space="preserve">按通用条款执行。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b/>
          <w:bCs/>
          <w:color w:val="auto"/>
          <w:sz w:val="24"/>
          <w:szCs w:val="24"/>
          <w:highlight w:val="none"/>
          <w:u w:val="single"/>
        </w:rPr>
        <w:t xml:space="preserve">按通用条款执行。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b/>
          <w:bCs/>
          <w:color w:val="auto"/>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13.3工程试车</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13.3.1试车程序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b/>
          <w:bCs/>
          <w:color w:val="auto"/>
          <w:sz w:val="24"/>
          <w:szCs w:val="24"/>
          <w:highlight w:val="none"/>
          <w:u w:val="single"/>
        </w:rPr>
        <w:t xml:space="preserve">所有试车费用承包人已在合同价中包干。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承担；</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承担。</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13.3.3投料试车</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13.6竣工退场</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13.6.1竣工退场</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b/>
          <w:bCs/>
          <w:color w:val="auto"/>
          <w:sz w:val="24"/>
          <w:szCs w:val="24"/>
          <w:highlight w:val="none"/>
          <w:u w:val="single"/>
        </w:rPr>
        <w:t xml:space="preserve">10天内。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14、竣工结算</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14.1竣工付款申请</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b/>
          <w:bCs/>
          <w:color w:val="auto"/>
          <w:sz w:val="24"/>
          <w:szCs w:val="24"/>
          <w:highlight w:val="none"/>
          <w:u w:val="single"/>
        </w:rPr>
        <w:t>工程竣工验收报告经发包人认可后的28天内。</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b/>
          <w:bCs/>
          <w:color w:val="auto"/>
          <w:sz w:val="24"/>
          <w:szCs w:val="24"/>
          <w:highlight w:val="none"/>
          <w:u w:val="single"/>
        </w:rPr>
        <w:t>完整的竣工结算书及相关资料。</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14.2竣工结算审核</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14.2.1发包人审批竣工付款申请单的期限：</w:t>
      </w:r>
      <w:r>
        <w:rPr>
          <w:rFonts w:hint="eastAsia" w:ascii="宋体" w:hAnsi="宋体" w:eastAsia="宋体" w:cs="宋体"/>
          <w:b/>
          <w:bCs/>
          <w:color w:val="auto"/>
          <w:sz w:val="24"/>
          <w:szCs w:val="24"/>
          <w:highlight w:val="none"/>
          <w:u w:val="single"/>
        </w:rPr>
        <w:t>竣工结算书文件核对期限是（承包人未按照前述14.1中约定的时限内递交完整的竣工结算书文件及相关资料的，以下关于核对期限的约定将不对发包人产生效力）：</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（1）工程造价500万元以下的单项工程，从收到完整的竣工结算书之日起（20）工作日；</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（2）工程造价500-2000万元的单项工程，从收到完整的竣工结算书之日起（30）工作日；</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（3）工程造价2000-5000万元的单项工程，从收到完整的竣工结算书之日起（45）工作日；</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（4）工程造价5000万元以上的单项工程，从收到完整的竣工结算书之日起（60）工作日。</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b/>
          <w:color w:val="auto"/>
          <w:sz w:val="24"/>
          <w:szCs w:val="24"/>
          <w:highlight w:val="none"/>
          <w:u w:val="single"/>
        </w:rPr>
        <w:t>发包人在收到第三方审计单位出具的竣工结算审计结果文件后1个月内办理工程款结算审批会签。</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b/>
          <w:bCs/>
          <w:color w:val="auto"/>
          <w:sz w:val="24"/>
          <w:szCs w:val="24"/>
          <w:highlight w:val="none"/>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3、发包人收到承包人再次提交的补充资料和修改的竣工结算文件后，在（20）日内予以复核，修正核对意见，并通知承包人。</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4、发、承包人均对修正核对意见无异议的，应于7日内在竣工结算核对意见上签字确认。</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14.2.3 承包人必须保证施工过程所提出的签证内容是合法的、真实的，并不由于发包人和监理工程师的确认而免除承包人的责任。</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14.2.4承包人未按14.1约定时间提交完整的竣工结算书及相关资料的，违约金的计算方法为：</w:t>
      </w:r>
      <w:r>
        <w:rPr>
          <w:rFonts w:hint="eastAsia" w:ascii="宋体" w:hAnsi="宋体" w:eastAsia="宋体" w:cs="宋体"/>
          <w:b/>
          <w:bCs/>
          <w:color w:val="auto"/>
          <w:sz w:val="24"/>
          <w:szCs w:val="24"/>
          <w:highlight w:val="none"/>
          <w:u w:val="single"/>
        </w:rPr>
        <w:t>每延误一天扣罚合同总价千分之五，直至扣完合同总价剩余款项为止</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14.4最终结清</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14.4.1最终结清申请单</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b/>
          <w:bCs/>
          <w:color w:val="auto"/>
          <w:sz w:val="24"/>
          <w:szCs w:val="24"/>
          <w:highlight w:val="none"/>
          <w:u w:val="single"/>
        </w:rPr>
        <w:t xml:space="preserve">  两份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b/>
          <w:bCs/>
          <w:color w:val="auto"/>
          <w:sz w:val="24"/>
          <w:szCs w:val="24"/>
          <w:highlight w:val="none"/>
          <w:u w:val="single"/>
        </w:rPr>
        <w:t xml:space="preserve">保修期满后7天内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b/>
          <w:bCs/>
          <w:color w:val="auto"/>
          <w:sz w:val="24"/>
          <w:szCs w:val="24"/>
          <w:highlight w:val="none"/>
          <w:u w:val="single"/>
        </w:rPr>
        <w:t>收到最终结清申请单后30天内。</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15、缺陷责任期与保修</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15.3质量保证金</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b/>
          <w:bCs/>
          <w:color w:val="auto"/>
          <w:sz w:val="24"/>
          <w:szCs w:val="24"/>
          <w:highlight w:val="none"/>
          <w:u w:val="single"/>
          <w:lang w:val="en-US" w:eastAsia="zh-CN"/>
        </w:rPr>
        <w:t>否</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 xml:space="preserve">15.3.1 </w:t>
      </w:r>
      <w:r>
        <w:rPr>
          <w:rFonts w:hint="eastAsia" w:ascii="宋体" w:hAnsi="宋体" w:eastAsia="宋体" w:cs="宋体"/>
          <w:color w:val="auto"/>
          <w:sz w:val="24"/>
          <w:szCs w:val="24"/>
          <w:highlight w:val="none"/>
        </w:rPr>
        <w:t>质量保证金采用以下第</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种方式：</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jc w:val="both"/>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sz w:val="24"/>
          <w:szCs w:val="24"/>
          <w:highlight w:val="none"/>
          <w:u w:val="single"/>
          <w:lang w:val="en-US"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种方式：</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15.4.1保修责任</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工程保修期为：</w:t>
      </w:r>
      <w:r>
        <w:rPr>
          <w:rFonts w:hint="eastAsia" w:ascii="宋体" w:hAnsi="宋体" w:eastAsia="宋体" w:cs="宋体"/>
          <w:b/>
          <w:bCs/>
          <w:color w:val="auto"/>
          <w:kern w:val="0"/>
          <w:sz w:val="24"/>
          <w:szCs w:val="24"/>
          <w:highlight w:val="none"/>
          <w:u w:val="single"/>
        </w:rPr>
        <w:t xml:space="preserve">  详见《工程质量保修书》</w:t>
      </w:r>
      <w:r>
        <w:rPr>
          <w:rFonts w:hint="eastAsia" w:ascii="宋体" w:hAnsi="宋体" w:eastAsia="宋体" w:cs="宋体"/>
          <w:color w:val="auto"/>
          <w:kern w:val="0"/>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15.4.3修复通知</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b/>
          <w:bCs/>
          <w:color w:val="auto"/>
          <w:kern w:val="0"/>
          <w:sz w:val="24"/>
          <w:szCs w:val="24"/>
          <w:highlight w:val="none"/>
          <w:u w:val="single"/>
        </w:rPr>
        <w:t xml:space="preserve"> 24小时内</w:t>
      </w:r>
      <w:r>
        <w:rPr>
          <w:rFonts w:hint="eastAsia" w:ascii="宋体" w:hAnsi="宋体" w:eastAsia="宋体" w:cs="宋体"/>
          <w:color w:val="auto"/>
          <w:kern w:val="0"/>
          <w:sz w:val="24"/>
          <w:szCs w:val="24"/>
          <w:highlight w:val="none"/>
          <w:u w:val="singl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16、违约</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16.1发包人违约</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 xml:space="preserve">16.2.1 承包人违约的情形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eastAsia="宋体" w:cs="宋体"/>
          <w:b/>
          <w:bCs/>
          <w:color w:val="auto"/>
          <w:sz w:val="24"/>
          <w:szCs w:val="24"/>
          <w:highlight w:val="none"/>
          <w:u w:val="single"/>
        </w:rPr>
        <w:t xml:space="preserve">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17、不可抗力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17.1不可抗力的确认</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b/>
          <w:bCs/>
          <w:color w:val="auto"/>
          <w:sz w:val="24"/>
          <w:szCs w:val="24"/>
          <w:highlight w:val="none"/>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17.4因不可抗力解除合同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 xml:space="preserve">天内完成款项的支付。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18、保险</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18.1工程保险</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b/>
          <w:bCs/>
          <w:color w:val="auto"/>
          <w:kern w:val="0"/>
          <w:sz w:val="24"/>
          <w:szCs w:val="24"/>
          <w:highlight w:val="none"/>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18.3其他保险</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18.7通知义务</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20、争议解决</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20.3争议评审</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b/>
          <w:bCs/>
          <w:color w:val="auto"/>
          <w:sz w:val="24"/>
          <w:szCs w:val="24"/>
          <w:highlight w:val="none"/>
          <w:u w:val="single"/>
        </w:rPr>
        <w:t>不同意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20.3.1争议评审小组的确定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20.3.2争议评审小组的决定</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因合同及合同有关事项发生的争议，双方当事人一致同意按下列解决方式中第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（2）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提交 / 仲裁委员会申请仲裁</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u w:val="single"/>
        </w:rPr>
        <w:t>依法向 工程所在地 人民法院起诉</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21、其他补充事项的约定：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协议书附件：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附件1：承包人承揽工程项目一览表</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附件2：发包人供应材料设备一览表</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附件3：工程质量保修书</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附件4：主要建设工程文件目录</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附件5：承包人用于本工程施工的机械设备表</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附件6：承包人主要施工管理人员表</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附件7：分包人主要施工管理人员表</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附件8：履约担保格式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附件9：预付款担保格式</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附件10：支付担保格式</w:t>
      </w:r>
      <w:r>
        <w:rPr>
          <w:rFonts w:hint="eastAsia" w:ascii="宋体" w:hAnsi="宋体" w:eastAsia="宋体" w:cs="宋体"/>
          <w:b/>
          <w:color w:val="auto"/>
          <w:sz w:val="24"/>
          <w:szCs w:val="24"/>
          <w:highlight w:val="none"/>
        </w:rPr>
        <w:t>（财政性投资项目按相关规定执行）</w:t>
      </w:r>
    </w:p>
    <w:p>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附件11：暂估价一览表</w:t>
      </w:r>
    </w:p>
    <w:p>
      <w:pPr>
        <w:spacing w:line="360" w:lineRule="auto"/>
        <w:jc w:val="left"/>
        <w:rPr>
          <w:rFonts w:hint="eastAsia" w:ascii="宋体" w:hAnsi="宋体" w:eastAsia="宋体" w:cs="宋体"/>
          <w:color w:val="auto"/>
          <w:sz w:val="24"/>
          <w:szCs w:val="24"/>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555" w:bottom="1418" w:left="1531" w:header="851" w:footer="992" w:gutter="0"/>
          <w:cols w:space="720" w:num="1"/>
          <w:titlePg/>
          <w:docGrid w:type="lines" w:linePitch="312" w:charSpace="0"/>
        </w:sectPr>
      </w:pPr>
    </w:p>
    <w:p>
      <w:pPr>
        <w:spacing w:before="156" w:beforeLines="50" w:after="156" w:afterLines="5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spacing w:before="156" w:beforeLines="50" w:after="156"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承包人承揽工程项目一览表</w:t>
      </w:r>
    </w:p>
    <w:tbl>
      <w:tblPr>
        <w:tblStyle w:val="6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单位工程名称</w:t>
            </w:r>
          </w:p>
        </w:tc>
        <w:tc>
          <w:tcPr>
            <w:tcW w:w="1843"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建设规模</w:t>
            </w:r>
          </w:p>
        </w:tc>
        <w:tc>
          <w:tcPr>
            <w:tcW w:w="1417"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建筑面积(m2)</w:t>
            </w:r>
          </w:p>
        </w:tc>
        <w:tc>
          <w:tcPr>
            <w:tcW w:w="2410"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结构形式</w:t>
            </w:r>
          </w:p>
        </w:tc>
        <w:tc>
          <w:tcPr>
            <w:tcW w:w="850"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层数</w:t>
            </w:r>
          </w:p>
        </w:tc>
        <w:tc>
          <w:tcPr>
            <w:tcW w:w="1560"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生产能力</w:t>
            </w:r>
          </w:p>
        </w:tc>
        <w:tc>
          <w:tcPr>
            <w:tcW w:w="2126"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设备安装内容</w:t>
            </w:r>
          </w:p>
        </w:tc>
        <w:tc>
          <w:tcPr>
            <w:tcW w:w="1417"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合同价格（元）</w:t>
            </w:r>
          </w:p>
        </w:tc>
        <w:tc>
          <w:tcPr>
            <w:tcW w:w="851"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开工日期</w:t>
            </w:r>
          </w:p>
        </w:tc>
        <w:tc>
          <w:tcPr>
            <w:tcW w:w="850"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843"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41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56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212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417"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bl>
    <w:p>
      <w:pPr>
        <w:spacing w:line="440" w:lineRule="exact"/>
        <w:rPr>
          <w:rFonts w:hint="eastAsia" w:ascii="宋体" w:hAnsi="宋体" w:eastAsia="宋体" w:cs="宋体"/>
          <w:b/>
          <w:color w:val="auto"/>
          <w:sz w:val="24"/>
          <w:szCs w:val="24"/>
          <w:highlight w:val="none"/>
        </w:rPr>
        <w:sectPr>
          <w:pgSz w:w="16838" w:h="11906" w:orient="landscape"/>
          <w:pgMar w:top="1135" w:right="1418" w:bottom="1531" w:left="1418" w:header="851" w:footer="992" w:gutter="0"/>
          <w:cols w:space="720" w:num="1"/>
          <w:titlePg/>
          <w:docGrid w:type="linesAndChars" w:linePitch="312" w:charSpace="0"/>
        </w:sect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发包人供应材料设备一览表</w:t>
      </w:r>
    </w:p>
    <w:tbl>
      <w:tblPr>
        <w:tblStyle w:val="63"/>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序号</w:t>
            </w:r>
          </w:p>
        </w:tc>
        <w:tc>
          <w:tcPr>
            <w:tcW w:w="1276"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材料、</w:t>
            </w:r>
          </w:p>
          <w:p>
            <w:pPr>
              <w:pStyle w:val="24"/>
              <w:keepNext/>
              <w:spacing w:after="0" w:line="440" w:lineRule="exact"/>
              <w:ind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设备品种</w:t>
            </w:r>
          </w:p>
        </w:tc>
        <w:tc>
          <w:tcPr>
            <w:tcW w:w="1162"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规格型号</w:t>
            </w:r>
          </w:p>
        </w:tc>
        <w:tc>
          <w:tcPr>
            <w:tcW w:w="940"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单位</w:t>
            </w:r>
          </w:p>
        </w:tc>
        <w:tc>
          <w:tcPr>
            <w:tcW w:w="851"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数量</w:t>
            </w:r>
          </w:p>
        </w:tc>
        <w:tc>
          <w:tcPr>
            <w:tcW w:w="1044"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单价（元）</w:t>
            </w:r>
          </w:p>
        </w:tc>
        <w:tc>
          <w:tcPr>
            <w:tcW w:w="731"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质量等级</w:t>
            </w:r>
          </w:p>
        </w:tc>
        <w:tc>
          <w:tcPr>
            <w:tcW w:w="851"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供应时间</w:t>
            </w:r>
          </w:p>
        </w:tc>
        <w:tc>
          <w:tcPr>
            <w:tcW w:w="1314"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送达地点</w:t>
            </w:r>
          </w:p>
        </w:tc>
        <w:tc>
          <w:tcPr>
            <w:tcW w:w="730" w:type="dxa"/>
            <w:tcBorders>
              <w:top w:val="single" w:color="auto" w:sz="12" w:space="0"/>
              <w:bottom w:val="doub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276"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162"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940"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044"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1"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314"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0" w:type="dxa"/>
            <w:tcBorders>
              <w:top w:val="double" w:color="auto" w:sz="6" w:space="0"/>
              <w:bottom w:val="single" w:color="auto" w:sz="6" w:space="0"/>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276"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162"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94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044"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1"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314"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0" w:type="dxa"/>
            <w:tcBorders>
              <w:top w:val="nil"/>
            </w:tcBorders>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27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162"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94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04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31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27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162"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94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04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31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27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162"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94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04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31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27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162"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94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04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31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27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162"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94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04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31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27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162"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94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04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31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eastAsia="宋体" w:cs="宋体"/>
                <w:color w:val="auto"/>
                <w:sz w:val="24"/>
                <w:szCs w:val="24"/>
                <w:highlight w:val="none"/>
              </w:rPr>
            </w:pPr>
          </w:p>
        </w:tc>
        <w:tc>
          <w:tcPr>
            <w:tcW w:w="1276" w:type="dxa"/>
            <w:vAlign w:val="center"/>
          </w:tcPr>
          <w:p>
            <w:pPr>
              <w:jc w:val="center"/>
              <w:rPr>
                <w:rFonts w:hint="eastAsia" w:ascii="宋体" w:hAnsi="宋体" w:eastAsia="宋体" w:cs="宋体"/>
                <w:color w:val="auto"/>
                <w:sz w:val="24"/>
                <w:szCs w:val="24"/>
                <w:highlight w:val="none"/>
              </w:rPr>
            </w:pPr>
          </w:p>
        </w:tc>
        <w:tc>
          <w:tcPr>
            <w:tcW w:w="1162" w:type="dxa"/>
            <w:vAlign w:val="center"/>
          </w:tcPr>
          <w:p>
            <w:pPr>
              <w:jc w:val="center"/>
              <w:rPr>
                <w:rFonts w:hint="eastAsia" w:ascii="宋体" w:hAnsi="宋体" w:eastAsia="宋体" w:cs="宋体"/>
                <w:color w:val="auto"/>
                <w:sz w:val="24"/>
                <w:szCs w:val="24"/>
                <w:highlight w:val="none"/>
              </w:rPr>
            </w:pPr>
          </w:p>
        </w:tc>
        <w:tc>
          <w:tcPr>
            <w:tcW w:w="940"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044" w:type="dxa"/>
            <w:vAlign w:val="center"/>
          </w:tcPr>
          <w:p>
            <w:pPr>
              <w:jc w:val="center"/>
              <w:rPr>
                <w:rFonts w:hint="eastAsia" w:ascii="宋体" w:hAnsi="宋体" w:eastAsia="宋体" w:cs="宋体"/>
                <w:color w:val="auto"/>
                <w:sz w:val="24"/>
                <w:szCs w:val="24"/>
                <w:highlight w:val="none"/>
              </w:rPr>
            </w:pPr>
          </w:p>
        </w:tc>
        <w:tc>
          <w:tcPr>
            <w:tcW w:w="731"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314" w:type="dxa"/>
            <w:vAlign w:val="center"/>
          </w:tcPr>
          <w:p>
            <w:pPr>
              <w:jc w:val="center"/>
              <w:rPr>
                <w:rFonts w:hint="eastAsia" w:ascii="宋体" w:hAnsi="宋体" w:eastAsia="宋体" w:cs="宋体"/>
                <w:color w:val="auto"/>
                <w:sz w:val="24"/>
                <w:szCs w:val="24"/>
                <w:highlight w:val="none"/>
              </w:rPr>
            </w:pPr>
          </w:p>
        </w:tc>
        <w:tc>
          <w:tcPr>
            <w:tcW w:w="730"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276"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162"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94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04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851"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1314"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c>
          <w:tcPr>
            <w:tcW w:w="730" w:type="dxa"/>
            <w:vAlign w:val="center"/>
          </w:tcPr>
          <w:p>
            <w:pPr>
              <w:pStyle w:val="24"/>
              <w:keepNext/>
              <w:spacing w:after="0" w:line="440" w:lineRule="exact"/>
              <w:ind w:left="63" w:right="63"/>
              <w:rPr>
                <w:rFonts w:hint="eastAsia" w:ascii="宋体" w:hAnsi="宋体" w:eastAsia="宋体" w:cs="宋体"/>
                <w:color w:val="auto"/>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eastAsia="宋体" w:cs="宋体"/>
                <w:color w:val="auto"/>
                <w:sz w:val="24"/>
                <w:szCs w:val="24"/>
                <w:highlight w:val="none"/>
              </w:rPr>
            </w:pPr>
          </w:p>
        </w:tc>
        <w:tc>
          <w:tcPr>
            <w:tcW w:w="1276" w:type="dxa"/>
            <w:vAlign w:val="center"/>
          </w:tcPr>
          <w:p>
            <w:pPr>
              <w:jc w:val="center"/>
              <w:rPr>
                <w:rFonts w:hint="eastAsia" w:ascii="宋体" w:hAnsi="宋体" w:eastAsia="宋体" w:cs="宋体"/>
                <w:color w:val="auto"/>
                <w:sz w:val="24"/>
                <w:szCs w:val="24"/>
                <w:highlight w:val="none"/>
              </w:rPr>
            </w:pPr>
          </w:p>
        </w:tc>
        <w:tc>
          <w:tcPr>
            <w:tcW w:w="1162" w:type="dxa"/>
            <w:vAlign w:val="center"/>
          </w:tcPr>
          <w:p>
            <w:pPr>
              <w:jc w:val="center"/>
              <w:rPr>
                <w:rFonts w:hint="eastAsia" w:ascii="宋体" w:hAnsi="宋体" w:eastAsia="宋体" w:cs="宋体"/>
                <w:color w:val="auto"/>
                <w:sz w:val="24"/>
                <w:szCs w:val="24"/>
                <w:highlight w:val="none"/>
              </w:rPr>
            </w:pPr>
          </w:p>
        </w:tc>
        <w:tc>
          <w:tcPr>
            <w:tcW w:w="940"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044" w:type="dxa"/>
            <w:vAlign w:val="center"/>
          </w:tcPr>
          <w:p>
            <w:pPr>
              <w:jc w:val="center"/>
              <w:rPr>
                <w:rFonts w:hint="eastAsia" w:ascii="宋体" w:hAnsi="宋体" w:eastAsia="宋体" w:cs="宋体"/>
                <w:color w:val="auto"/>
                <w:sz w:val="24"/>
                <w:szCs w:val="24"/>
                <w:highlight w:val="none"/>
              </w:rPr>
            </w:pPr>
          </w:p>
        </w:tc>
        <w:tc>
          <w:tcPr>
            <w:tcW w:w="731"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314" w:type="dxa"/>
            <w:vAlign w:val="center"/>
          </w:tcPr>
          <w:p>
            <w:pPr>
              <w:jc w:val="center"/>
              <w:rPr>
                <w:rFonts w:hint="eastAsia" w:ascii="宋体" w:hAnsi="宋体" w:eastAsia="宋体" w:cs="宋体"/>
                <w:color w:val="auto"/>
                <w:sz w:val="24"/>
                <w:szCs w:val="24"/>
                <w:highlight w:val="none"/>
              </w:rPr>
            </w:pPr>
          </w:p>
        </w:tc>
        <w:tc>
          <w:tcPr>
            <w:tcW w:w="730"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eastAsia="宋体" w:cs="宋体"/>
                <w:color w:val="auto"/>
                <w:sz w:val="24"/>
                <w:szCs w:val="24"/>
                <w:highlight w:val="none"/>
              </w:rPr>
            </w:pPr>
          </w:p>
        </w:tc>
        <w:tc>
          <w:tcPr>
            <w:tcW w:w="1276" w:type="dxa"/>
            <w:vAlign w:val="center"/>
          </w:tcPr>
          <w:p>
            <w:pPr>
              <w:jc w:val="center"/>
              <w:rPr>
                <w:rFonts w:hint="eastAsia" w:ascii="宋体" w:hAnsi="宋体" w:eastAsia="宋体" w:cs="宋体"/>
                <w:color w:val="auto"/>
                <w:sz w:val="24"/>
                <w:szCs w:val="24"/>
                <w:highlight w:val="none"/>
              </w:rPr>
            </w:pPr>
          </w:p>
        </w:tc>
        <w:tc>
          <w:tcPr>
            <w:tcW w:w="1162" w:type="dxa"/>
            <w:vAlign w:val="center"/>
          </w:tcPr>
          <w:p>
            <w:pPr>
              <w:jc w:val="center"/>
              <w:rPr>
                <w:rFonts w:hint="eastAsia" w:ascii="宋体" w:hAnsi="宋体" w:eastAsia="宋体" w:cs="宋体"/>
                <w:color w:val="auto"/>
                <w:sz w:val="24"/>
                <w:szCs w:val="24"/>
                <w:highlight w:val="none"/>
              </w:rPr>
            </w:pPr>
          </w:p>
        </w:tc>
        <w:tc>
          <w:tcPr>
            <w:tcW w:w="940"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044" w:type="dxa"/>
            <w:vAlign w:val="center"/>
          </w:tcPr>
          <w:p>
            <w:pPr>
              <w:jc w:val="center"/>
              <w:rPr>
                <w:rFonts w:hint="eastAsia" w:ascii="宋体" w:hAnsi="宋体" w:eastAsia="宋体" w:cs="宋体"/>
                <w:color w:val="auto"/>
                <w:sz w:val="24"/>
                <w:szCs w:val="24"/>
                <w:highlight w:val="none"/>
              </w:rPr>
            </w:pPr>
          </w:p>
        </w:tc>
        <w:tc>
          <w:tcPr>
            <w:tcW w:w="731"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314" w:type="dxa"/>
            <w:vAlign w:val="center"/>
          </w:tcPr>
          <w:p>
            <w:pPr>
              <w:jc w:val="center"/>
              <w:rPr>
                <w:rFonts w:hint="eastAsia" w:ascii="宋体" w:hAnsi="宋体" w:eastAsia="宋体" w:cs="宋体"/>
                <w:color w:val="auto"/>
                <w:sz w:val="24"/>
                <w:szCs w:val="24"/>
                <w:highlight w:val="none"/>
              </w:rPr>
            </w:pPr>
          </w:p>
        </w:tc>
        <w:tc>
          <w:tcPr>
            <w:tcW w:w="730"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89" w:type="dxa"/>
            <w:vAlign w:val="center"/>
          </w:tcPr>
          <w:p>
            <w:pPr>
              <w:jc w:val="center"/>
              <w:rPr>
                <w:rFonts w:hint="eastAsia" w:ascii="宋体" w:hAnsi="宋体" w:eastAsia="宋体" w:cs="宋体"/>
                <w:color w:val="auto"/>
                <w:sz w:val="24"/>
                <w:szCs w:val="24"/>
                <w:highlight w:val="none"/>
              </w:rPr>
            </w:pPr>
          </w:p>
        </w:tc>
        <w:tc>
          <w:tcPr>
            <w:tcW w:w="1276" w:type="dxa"/>
            <w:vAlign w:val="center"/>
          </w:tcPr>
          <w:p>
            <w:pPr>
              <w:jc w:val="center"/>
              <w:rPr>
                <w:rFonts w:hint="eastAsia" w:ascii="宋体" w:hAnsi="宋体" w:eastAsia="宋体" w:cs="宋体"/>
                <w:color w:val="auto"/>
                <w:sz w:val="24"/>
                <w:szCs w:val="24"/>
                <w:highlight w:val="none"/>
              </w:rPr>
            </w:pPr>
          </w:p>
        </w:tc>
        <w:tc>
          <w:tcPr>
            <w:tcW w:w="1162" w:type="dxa"/>
            <w:vAlign w:val="center"/>
          </w:tcPr>
          <w:p>
            <w:pPr>
              <w:jc w:val="center"/>
              <w:rPr>
                <w:rFonts w:hint="eastAsia" w:ascii="宋体" w:hAnsi="宋体" w:eastAsia="宋体" w:cs="宋体"/>
                <w:color w:val="auto"/>
                <w:sz w:val="24"/>
                <w:szCs w:val="24"/>
                <w:highlight w:val="none"/>
              </w:rPr>
            </w:pPr>
          </w:p>
        </w:tc>
        <w:tc>
          <w:tcPr>
            <w:tcW w:w="940"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044" w:type="dxa"/>
            <w:vAlign w:val="center"/>
          </w:tcPr>
          <w:p>
            <w:pPr>
              <w:jc w:val="center"/>
              <w:rPr>
                <w:rFonts w:hint="eastAsia" w:ascii="宋体" w:hAnsi="宋体" w:eastAsia="宋体" w:cs="宋体"/>
                <w:color w:val="auto"/>
                <w:sz w:val="24"/>
                <w:szCs w:val="24"/>
                <w:highlight w:val="none"/>
              </w:rPr>
            </w:pPr>
          </w:p>
        </w:tc>
        <w:tc>
          <w:tcPr>
            <w:tcW w:w="731"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314" w:type="dxa"/>
            <w:vAlign w:val="center"/>
          </w:tcPr>
          <w:p>
            <w:pPr>
              <w:jc w:val="center"/>
              <w:rPr>
                <w:rFonts w:hint="eastAsia" w:ascii="宋体" w:hAnsi="宋体" w:eastAsia="宋体" w:cs="宋体"/>
                <w:color w:val="auto"/>
                <w:sz w:val="24"/>
                <w:szCs w:val="24"/>
                <w:highlight w:val="none"/>
              </w:rPr>
            </w:pPr>
          </w:p>
        </w:tc>
        <w:tc>
          <w:tcPr>
            <w:tcW w:w="730"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eastAsia="宋体" w:cs="宋体"/>
                <w:color w:val="auto"/>
                <w:sz w:val="24"/>
                <w:szCs w:val="24"/>
                <w:highlight w:val="none"/>
              </w:rPr>
            </w:pPr>
          </w:p>
        </w:tc>
        <w:tc>
          <w:tcPr>
            <w:tcW w:w="1276" w:type="dxa"/>
            <w:vAlign w:val="center"/>
          </w:tcPr>
          <w:p>
            <w:pPr>
              <w:jc w:val="center"/>
              <w:rPr>
                <w:rFonts w:hint="eastAsia" w:ascii="宋体" w:hAnsi="宋体" w:eastAsia="宋体" w:cs="宋体"/>
                <w:color w:val="auto"/>
                <w:sz w:val="24"/>
                <w:szCs w:val="24"/>
                <w:highlight w:val="none"/>
              </w:rPr>
            </w:pPr>
          </w:p>
        </w:tc>
        <w:tc>
          <w:tcPr>
            <w:tcW w:w="1162" w:type="dxa"/>
            <w:vAlign w:val="center"/>
          </w:tcPr>
          <w:p>
            <w:pPr>
              <w:jc w:val="center"/>
              <w:rPr>
                <w:rFonts w:hint="eastAsia" w:ascii="宋体" w:hAnsi="宋体" w:eastAsia="宋体" w:cs="宋体"/>
                <w:color w:val="auto"/>
                <w:sz w:val="24"/>
                <w:szCs w:val="24"/>
                <w:highlight w:val="none"/>
              </w:rPr>
            </w:pPr>
          </w:p>
        </w:tc>
        <w:tc>
          <w:tcPr>
            <w:tcW w:w="940"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044" w:type="dxa"/>
            <w:vAlign w:val="center"/>
          </w:tcPr>
          <w:p>
            <w:pPr>
              <w:jc w:val="center"/>
              <w:rPr>
                <w:rFonts w:hint="eastAsia" w:ascii="宋体" w:hAnsi="宋体" w:eastAsia="宋体" w:cs="宋体"/>
                <w:color w:val="auto"/>
                <w:sz w:val="24"/>
                <w:szCs w:val="24"/>
                <w:highlight w:val="none"/>
              </w:rPr>
            </w:pPr>
          </w:p>
        </w:tc>
        <w:tc>
          <w:tcPr>
            <w:tcW w:w="731"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314" w:type="dxa"/>
            <w:vAlign w:val="center"/>
          </w:tcPr>
          <w:p>
            <w:pPr>
              <w:jc w:val="center"/>
              <w:rPr>
                <w:rFonts w:hint="eastAsia" w:ascii="宋体" w:hAnsi="宋体" w:eastAsia="宋体" w:cs="宋体"/>
                <w:color w:val="auto"/>
                <w:sz w:val="24"/>
                <w:szCs w:val="24"/>
                <w:highlight w:val="none"/>
              </w:rPr>
            </w:pPr>
          </w:p>
        </w:tc>
        <w:tc>
          <w:tcPr>
            <w:tcW w:w="730"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eastAsia="宋体" w:cs="宋体"/>
                <w:color w:val="auto"/>
                <w:sz w:val="24"/>
                <w:szCs w:val="24"/>
                <w:highlight w:val="none"/>
              </w:rPr>
            </w:pPr>
          </w:p>
        </w:tc>
        <w:tc>
          <w:tcPr>
            <w:tcW w:w="1276" w:type="dxa"/>
            <w:vAlign w:val="center"/>
          </w:tcPr>
          <w:p>
            <w:pPr>
              <w:jc w:val="center"/>
              <w:rPr>
                <w:rFonts w:hint="eastAsia" w:ascii="宋体" w:hAnsi="宋体" w:eastAsia="宋体" w:cs="宋体"/>
                <w:color w:val="auto"/>
                <w:sz w:val="24"/>
                <w:szCs w:val="24"/>
                <w:highlight w:val="none"/>
              </w:rPr>
            </w:pPr>
          </w:p>
        </w:tc>
        <w:tc>
          <w:tcPr>
            <w:tcW w:w="1162" w:type="dxa"/>
            <w:vAlign w:val="center"/>
          </w:tcPr>
          <w:p>
            <w:pPr>
              <w:jc w:val="center"/>
              <w:rPr>
                <w:rFonts w:hint="eastAsia" w:ascii="宋体" w:hAnsi="宋体" w:eastAsia="宋体" w:cs="宋体"/>
                <w:color w:val="auto"/>
                <w:sz w:val="24"/>
                <w:szCs w:val="24"/>
                <w:highlight w:val="none"/>
              </w:rPr>
            </w:pPr>
          </w:p>
        </w:tc>
        <w:tc>
          <w:tcPr>
            <w:tcW w:w="940"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044" w:type="dxa"/>
            <w:vAlign w:val="center"/>
          </w:tcPr>
          <w:p>
            <w:pPr>
              <w:jc w:val="center"/>
              <w:rPr>
                <w:rFonts w:hint="eastAsia" w:ascii="宋体" w:hAnsi="宋体" w:eastAsia="宋体" w:cs="宋体"/>
                <w:color w:val="auto"/>
                <w:sz w:val="24"/>
                <w:szCs w:val="24"/>
                <w:highlight w:val="none"/>
              </w:rPr>
            </w:pPr>
          </w:p>
        </w:tc>
        <w:tc>
          <w:tcPr>
            <w:tcW w:w="731"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314" w:type="dxa"/>
            <w:vAlign w:val="center"/>
          </w:tcPr>
          <w:p>
            <w:pPr>
              <w:jc w:val="center"/>
              <w:rPr>
                <w:rFonts w:hint="eastAsia" w:ascii="宋体" w:hAnsi="宋体" w:eastAsia="宋体" w:cs="宋体"/>
                <w:color w:val="auto"/>
                <w:sz w:val="24"/>
                <w:szCs w:val="24"/>
                <w:highlight w:val="none"/>
              </w:rPr>
            </w:pPr>
          </w:p>
        </w:tc>
        <w:tc>
          <w:tcPr>
            <w:tcW w:w="730"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eastAsia="宋体" w:cs="宋体"/>
                <w:color w:val="auto"/>
                <w:sz w:val="24"/>
                <w:szCs w:val="24"/>
                <w:highlight w:val="none"/>
              </w:rPr>
            </w:pPr>
          </w:p>
        </w:tc>
        <w:tc>
          <w:tcPr>
            <w:tcW w:w="1276" w:type="dxa"/>
            <w:vAlign w:val="center"/>
          </w:tcPr>
          <w:p>
            <w:pPr>
              <w:jc w:val="center"/>
              <w:rPr>
                <w:rFonts w:hint="eastAsia" w:ascii="宋体" w:hAnsi="宋体" w:eastAsia="宋体" w:cs="宋体"/>
                <w:color w:val="auto"/>
                <w:sz w:val="24"/>
                <w:szCs w:val="24"/>
                <w:highlight w:val="none"/>
              </w:rPr>
            </w:pPr>
          </w:p>
        </w:tc>
        <w:tc>
          <w:tcPr>
            <w:tcW w:w="1162" w:type="dxa"/>
            <w:vAlign w:val="center"/>
          </w:tcPr>
          <w:p>
            <w:pPr>
              <w:jc w:val="center"/>
              <w:rPr>
                <w:rFonts w:hint="eastAsia" w:ascii="宋体" w:hAnsi="宋体" w:eastAsia="宋体" w:cs="宋体"/>
                <w:color w:val="auto"/>
                <w:sz w:val="24"/>
                <w:szCs w:val="24"/>
                <w:highlight w:val="none"/>
              </w:rPr>
            </w:pPr>
          </w:p>
        </w:tc>
        <w:tc>
          <w:tcPr>
            <w:tcW w:w="940"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044" w:type="dxa"/>
            <w:vAlign w:val="center"/>
          </w:tcPr>
          <w:p>
            <w:pPr>
              <w:jc w:val="center"/>
              <w:rPr>
                <w:rFonts w:hint="eastAsia" w:ascii="宋体" w:hAnsi="宋体" w:eastAsia="宋体" w:cs="宋体"/>
                <w:color w:val="auto"/>
                <w:sz w:val="24"/>
                <w:szCs w:val="24"/>
                <w:highlight w:val="none"/>
              </w:rPr>
            </w:pPr>
          </w:p>
        </w:tc>
        <w:tc>
          <w:tcPr>
            <w:tcW w:w="731"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314" w:type="dxa"/>
            <w:vAlign w:val="center"/>
          </w:tcPr>
          <w:p>
            <w:pPr>
              <w:jc w:val="center"/>
              <w:rPr>
                <w:rFonts w:hint="eastAsia" w:ascii="宋体" w:hAnsi="宋体" w:eastAsia="宋体" w:cs="宋体"/>
                <w:color w:val="auto"/>
                <w:sz w:val="24"/>
                <w:szCs w:val="24"/>
                <w:highlight w:val="none"/>
              </w:rPr>
            </w:pPr>
          </w:p>
        </w:tc>
        <w:tc>
          <w:tcPr>
            <w:tcW w:w="730"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eastAsia="宋体" w:cs="宋体"/>
                <w:color w:val="auto"/>
                <w:sz w:val="24"/>
                <w:szCs w:val="24"/>
                <w:highlight w:val="none"/>
              </w:rPr>
            </w:pPr>
          </w:p>
        </w:tc>
        <w:tc>
          <w:tcPr>
            <w:tcW w:w="1276" w:type="dxa"/>
            <w:vAlign w:val="center"/>
          </w:tcPr>
          <w:p>
            <w:pPr>
              <w:jc w:val="center"/>
              <w:rPr>
                <w:rFonts w:hint="eastAsia" w:ascii="宋体" w:hAnsi="宋体" w:eastAsia="宋体" w:cs="宋体"/>
                <w:color w:val="auto"/>
                <w:sz w:val="24"/>
                <w:szCs w:val="24"/>
                <w:highlight w:val="none"/>
              </w:rPr>
            </w:pPr>
          </w:p>
        </w:tc>
        <w:tc>
          <w:tcPr>
            <w:tcW w:w="1162" w:type="dxa"/>
            <w:vAlign w:val="center"/>
          </w:tcPr>
          <w:p>
            <w:pPr>
              <w:jc w:val="center"/>
              <w:rPr>
                <w:rFonts w:hint="eastAsia" w:ascii="宋体" w:hAnsi="宋体" w:eastAsia="宋体" w:cs="宋体"/>
                <w:color w:val="auto"/>
                <w:sz w:val="24"/>
                <w:szCs w:val="24"/>
                <w:highlight w:val="none"/>
              </w:rPr>
            </w:pPr>
          </w:p>
        </w:tc>
        <w:tc>
          <w:tcPr>
            <w:tcW w:w="940"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044" w:type="dxa"/>
            <w:vAlign w:val="center"/>
          </w:tcPr>
          <w:p>
            <w:pPr>
              <w:jc w:val="center"/>
              <w:rPr>
                <w:rFonts w:hint="eastAsia" w:ascii="宋体" w:hAnsi="宋体" w:eastAsia="宋体" w:cs="宋体"/>
                <w:color w:val="auto"/>
                <w:sz w:val="24"/>
                <w:szCs w:val="24"/>
                <w:highlight w:val="none"/>
              </w:rPr>
            </w:pPr>
          </w:p>
        </w:tc>
        <w:tc>
          <w:tcPr>
            <w:tcW w:w="731"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314" w:type="dxa"/>
            <w:vAlign w:val="center"/>
          </w:tcPr>
          <w:p>
            <w:pPr>
              <w:jc w:val="center"/>
              <w:rPr>
                <w:rFonts w:hint="eastAsia" w:ascii="宋体" w:hAnsi="宋体" w:eastAsia="宋体" w:cs="宋体"/>
                <w:color w:val="auto"/>
                <w:sz w:val="24"/>
                <w:szCs w:val="24"/>
                <w:highlight w:val="none"/>
              </w:rPr>
            </w:pPr>
          </w:p>
        </w:tc>
        <w:tc>
          <w:tcPr>
            <w:tcW w:w="730"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89" w:type="dxa"/>
            <w:vAlign w:val="center"/>
          </w:tcPr>
          <w:p>
            <w:pPr>
              <w:jc w:val="center"/>
              <w:rPr>
                <w:rFonts w:hint="eastAsia" w:ascii="宋体" w:hAnsi="宋体" w:eastAsia="宋体" w:cs="宋体"/>
                <w:color w:val="auto"/>
                <w:sz w:val="24"/>
                <w:szCs w:val="24"/>
                <w:highlight w:val="none"/>
              </w:rPr>
            </w:pPr>
          </w:p>
        </w:tc>
        <w:tc>
          <w:tcPr>
            <w:tcW w:w="1276" w:type="dxa"/>
            <w:vAlign w:val="center"/>
          </w:tcPr>
          <w:p>
            <w:pPr>
              <w:jc w:val="center"/>
              <w:rPr>
                <w:rFonts w:hint="eastAsia" w:ascii="宋体" w:hAnsi="宋体" w:eastAsia="宋体" w:cs="宋体"/>
                <w:color w:val="auto"/>
                <w:sz w:val="24"/>
                <w:szCs w:val="24"/>
                <w:highlight w:val="none"/>
              </w:rPr>
            </w:pPr>
          </w:p>
        </w:tc>
        <w:tc>
          <w:tcPr>
            <w:tcW w:w="1162" w:type="dxa"/>
            <w:vAlign w:val="center"/>
          </w:tcPr>
          <w:p>
            <w:pPr>
              <w:jc w:val="center"/>
              <w:rPr>
                <w:rFonts w:hint="eastAsia" w:ascii="宋体" w:hAnsi="宋体" w:eastAsia="宋体" w:cs="宋体"/>
                <w:color w:val="auto"/>
                <w:sz w:val="24"/>
                <w:szCs w:val="24"/>
                <w:highlight w:val="none"/>
              </w:rPr>
            </w:pPr>
          </w:p>
        </w:tc>
        <w:tc>
          <w:tcPr>
            <w:tcW w:w="940"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044" w:type="dxa"/>
            <w:vAlign w:val="center"/>
          </w:tcPr>
          <w:p>
            <w:pPr>
              <w:jc w:val="center"/>
              <w:rPr>
                <w:rFonts w:hint="eastAsia" w:ascii="宋体" w:hAnsi="宋体" w:eastAsia="宋体" w:cs="宋体"/>
                <w:color w:val="auto"/>
                <w:sz w:val="24"/>
                <w:szCs w:val="24"/>
                <w:highlight w:val="none"/>
              </w:rPr>
            </w:pPr>
          </w:p>
        </w:tc>
        <w:tc>
          <w:tcPr>
            <w:tcW w:w="731" w:type="dxa"/>
            <w:vAlign w:val="center"/>
          </w:tcPr>
          <w:p>
            <w:pPr>
              <w:jc w:val="center"/>
              <w:rPr>
                <w:rFonts w:hint="eastAsia" w:ascii="宋体" w:hAnsi="宋体" w:eastAsia="宋体" w:cs="宋体"/>
                <w:color w:val="auto"/>
                <w:sz w:val="24"/>
                <w:szCs w:val="24"/>
                <w:highlight w:val="none"/>
              </w:rPr>
            </w:pPr>
          </w:p>
        </w:tc>
        <w:tc>
          <w:tcPr>
            <w:tcW w:w="851" w:type="dxa"/>
            <w:vAlign w:val="center"/>
          </w:tcPr>
          <w:p>
            <w:pPr>
              <w:jc w:val="center"/>
              <w:rPr>
                <w:rFonts w:hint="eastAsia" w:ascii="宋体" w:hAnsi="宋体" w:eastAsia="宋体" w:cs="宋体"/>
                <w:color w:val="auto"/>
                <w:sz w:val="24"/>
                <w:szCs w:val="24"/>
                <w:highlight w:val="none"/>
              </w:rPr>
            </w:pPr>
          </w:p>
        </w:tc>
        <w:tc>
          <w:tcPr>
            <w:tcW w:w="1314" w:type="dxa"/>
            <w:vAlign w:val="center"/>
          </w:tcPr>
          <w:p>
            <w:pPr>
              <w:jc w:val="center"/>
              <w:rPr>
                <w:rFonts w:hint="eastAsia" w:ascii="宋体" w:hAnsi="宋体" w:eastAsia="宋体" w:cs="宋体"/>
                <w:color w:val="auto"/>
                <w:sz w:val="24"/>
                <w:szCs w:val="24"/>
                <w:highlight w:val="none"/>
              </w:rPr>
            </w:pPr>
          </w:p>
        </w:tc>
        <w:tc>
          <w:tcPr>
            <w:tcW w:w="730" w:type="dxa"/>
            <w:vAlign w:val="center"/>
          </w:tcPr>
          <w:p>
            <w:pPr>
              <w:jc w:val="center"/>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附件3：</w:t>
      </w:r>
    </w:p>
    <w:p>
      <w:pPr>
        <w:autoSpaceDE w:val="0"/>
        <w:autoSpaceDN w:val="0"/>
        <w:adjustRightInd w:val="0"/>
        <w:spacing w:line="360" w:lineRule="auto"/>
        <w:ind w:left="360" w:right="525" w:rightChars="250" w:firstLine="643"/>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房屋建筑工程质量保修书</w:t>
      </w:r>
    </w:p>
    <w:p>
      <w:pPr>
        <w:autoSpaceDE w:val="0"/>
        <w:autoSpaceDN w:val="0"/>
        <w:adjustRightInd w:val="0"/>
        <w:spacing w:line="400" w:lineRule="exact"/>
        <w:ind w:right="525" w:rightChars="250"/>
        <w:jc w:val="left"/>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rPr>
        <w:t>发</w:t>
      </w:r>
      <w:r>
        <w:rPr>
          <w:rFonts w:hint="eastAsia" w:ascii="宋体" w:hAnsi="宋体" w:eastAsia="宋体" w:cs="宋体"/>
          <w:color w:val="auto"/>
          <w:sz w:val="24"/>
          <w:szCs w:val="24"/>
          <w:highlight w:val="none"/>
        </w:rPr>
        <w:t>包人（全称）：</w:t>
      </w:r>
      <w:r>
        <w:rPr>
          <w:rFonts w:hint="eastAsia" w:ascii="宋体" w:hAnsi="宋体" w:eastAsia="宋体" w:cs="宋体"/>
          <w:color w:val="auto"/>
          <w:sz w:val="24"/>
          <w:szCs w:val="24"/>
          <w:highlight w:val="none"/>
          <w:u w:val="single"/>
        </w:rPr>
        <w:t xml:space="preserve">                    </w:t>
      </w:r>
    </w:p>
    <w:p>
      <w:pPr>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pPr>
        <w:autoSpaceDE w:val="0"/>
        <w:autoSpaceDN w:val="0"/>
        <w:adjustRightInd w:val="0"/>
        <w:spacing w:line="400" w:lineRule="exact"/>
        <w:ind w:right="36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发包人、承包人根据《中华人民共和国建筑法》、《建设工程质量管理条例》和《房屋建筑工程质量保修办法》，经协商一致，对签定工程质量保修书。</w:t>
      </w:r>
    </w:p>
    <w:p>
      <w:pPr>
        <w:autoSpaceDE w:val="0"/>
        <w:autoSpaceDN w:val="0"/>
        <w:adjustRightInd w:val="0"/>
        <w:spacing w:line="400" w:lineRule="exact"/>
        <w:ind w:right="525" w:rightChars="25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一、工程质量保修范围和内容</w:t>
      </w:r>
    </w:p>
    <w:p>
      <w:pPr>
        <w:autoSpaceDE w:val="0"/>
        <w:autoSpaceDN w:val="0"/>
        <w:adjustRightInd w:val="0"/>
        <w:spacing w:line="400" w:lineRule="exact"/>
        <w:ind w:right="36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承包人在质量保修期内，按照有关法律、法规、规章的管理规定和双方约定，承担本工程质量保修责任。</w:t>
      </w:r>
    </w:p>
    <w:p>
      <w:pPr>
        <w:autoSpaceDE w:val="0"/>
        <w:autoSpaceDN w:val="0"/>
        <w:adjustRightInd w:val="0"/>
        <w:spacing w:line="400" w:lineRule="exact"/>
        <w:ind w:right="36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质量保修范围包括地基基础工程、主体结构工程，屋面防水工程、外墙面防水工程的防渗漏，电气管线、给排水管道、设备安装和装修工程，以及双方约定的其他项目。具体保修的内容，双方约定如下：</w:t>
      </w:r>
      <w:r>
        <w:rPr>
          <w:rFonts w:hint="eastAsia" w:ascii="宋体" w:hAnsi="宋体" w:eastAsia="宋体" w:cs="宋体"/>
          <w:b/>
          <w:bCs/>
          <w:color w:val="auto"/>
          <w:kern w:val="0"/>
          <w:sz w:val="24"/>
          <w:szCs w:val="24"/>
          <w:highlight w:val="none"/>
          <w:u w:val="single"/>
        </w:rPr>
        <w:t xml:space="preserve"> 承包人承包范围内的所有内容 </w:t>
      </w:r>
      <w:r>
        <w:rPr>
          <w:rFonts w:hint="eastAsia" w:ascii="宋体" w:hAnsi="宋体" w:eastAsia="宋体" w:cs="宋体"/>
          <w:b/>
          <w:bCs/>
          <w:color w:val="auto"/>
          <w:kern w:val="0"/>
          <w:sz w:val="24"/>
          <w:szCs w:val="24"/>
          <w:highlight w:val="none"/>
        </w:rPr>
        <w:t>。</w:t>
      </w:r>
    </w:p>
    <w:p>
      <w:pPr>
        <w:autoSpaceDE w:val="0"/>
        <w:autoSpaceDN w:val="0"/>
        <w:adjustRightInd w:val="0"/>
        <w:spacing w:line="400" w:lineRule="exact"/>
        <w:ind w:right="525" w:rightChars="25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二、质量保修期</w:t>
      </w:r>
    </w:p>
    <w:p>
      <w:pPr>
        <w:autoSpaceDE w:val="0"/>
        <w:autoSpaceDN w:val="0"/>
        <w:adjustRightInd w:val="0"/>
        <w:spacing w:line="400" w:lineRule="exact"/>
        <w:ind w:right="-6"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双方根据《建设工程质量管理条例》及有关规定，约定本工程的质量保修期如下：</w:t>
      </w:r>
    </w:p>
    <w:p>
      <w:pPr>
        <w:autoSpaceDE w:val="0"/>
        <w:autoSpaceDN w:val="0"/>
        <w:adjustRightInd w:val="0"/>
        <w:spacing w:line="400" w:lineRule="exact"/>
        <w:ind w:right="-6"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1、地基基础工程和主体结构工程为设计文件规定的该工程合理使用年限；</w:t>
      </w:r>
    </w:p>
    <w:p>
      <w:pPr>
        <w:autoSpaceDE w:val="0"/>
        <w:autoSpaceDN w:val="0"/>
        <w:adjustRightInd w:val="0"/>
        <w:spacing w:line="400" w:lineRule="exact"/>
        <w:ind w:right="-6"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本工程屋面防水工程、外墙面防水工程的防渗漏 </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p>
    <w:p>
      <w:pPr>
        <w:autoSpaceDE w:val="0"/>
        <w:autoSpaceDN w:val="0"/>
        <w:adjustRightInd w:val="0"/>
        <w:spacing w:line="400" w:lineRule="exact"/>
        <w:ind w:right="-6"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3、装修工程为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pPr>
        <w:autoSpaceDE w:val="0"/>
        <w:autoSpaceDN w:val="0"/>
        <w:adjustRightInd w:val="0"/>
        <w:spacing w:line="400" w:lineRule="exact"/>
        <w:ind w:right="-6"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4、电气管线、给排水管道、设备安装工程为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pPr>
        <w:autoSpaceDE w:val="0"/>
        <w:autoSpaceDN w:val="0"/>
        <w:adjustRightInd w:val="0"/>
        <w:spacing w:line="400" w:lineRule="exact"/>
        <w:ind w:right="-6"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5、供热与供冷系统为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个采暖期、供冷期；</w:t>
      </w:r>
    </w:p>
    <w:p>
      <w:pPr>
        <w:autoSpaceDE w:val="0"/>
        <w:autoSpaceDN w:val="0"/>
        <w:adjustRightInd w:val="0"/>
        <w:spacing w:line="400" w:lineRule="exact"/>
        <w:ind w:right="-6"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6、住宅小区内的给排水设施、道路等配套工程为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pPr>
        <w:autoSpaceDE w:val="0"/>
        <w:autoSpaceDN w:val="0"/>
        <w:adjustRightInd w:val="0"/>
        <w:spacing w:line="400" w:lineRule="exact"/>
        <w:ind w:right="-6"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7、其他项目保修期限：</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pPr>
        <w:autoSpaceDE w:val="0"/>
        <w:autoSpaceDN w:val="0"/>
        <w:adjustRightInd w:val="0"/>
        <w:spacing w:line="400" w:lineRule="exact"/>
        <w:ind w:right="-6"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质量保修期自工程整体移交接收单位之日起计算。 </w:t>
      </w:r>
    </w:p>
    <w:p>
      <w:pPr>
        <w:numPr>
          <w:ilvl w:val="0"/>
          <w:numId w:val="1"/>
        </w:numPr>
        <w:autoSpaceDE w:val="0"/>
        <w:autoSpaceDN w:val="0"/>
        <w:adjustRightInd w:val="0"/>
        <w:spacing w:line="400" w:lineRule="exact"/>
        <w:ind w:right="525" w:rightChars="25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质量保修责任</w:t>
      </w:r>
    </w:p>
    <w:p>
      <w:pPr>
        <w:widowControl/>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和内容的项目，承包人应在接到修理通知之日后24小时内派人修理。承包人不在约定期限内派人修理，发包人可委托其他人员修理，产生的费用由承包人加倍支付，同意由发包人在工程保修金中扣除。</w:t>
      </w:r>
    </w:p>
    <w:p>
      <w:pPr>
        <w:widowControl/>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2、发生紧急抢修事故的，承包人接到事故通知后，应立即（2小时内）到达事故现场抢修。</w:t>
      </w:r>
    </w:p>
    <w:p>
      <w:pPr>
        <w:widowControl/>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涉及结构安全的质量问题，应当按照《房屋建筑工程质量保修办法》的规定，立即向当地建设行政主管部门报告，采取安全防范措施；由原设计单位或具有相当资质等级的设计单位提出保修方案，承包人组织验收。</w:t>
      </w:r>
    </w:p>
    <w:p>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遇下列特殊情况时，在承包人到达之前，承包人同意发包人可以先行采取应急措施处理：</w:t>
      </w:r>
    </w:p>
    <w:p>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4．1发生紧急抢修事故时，为避免损失进一步扩大；</w:t>
      </w:r>
    </w:p>
    <w:p>
      <w:pPr>
        <w:autoSpaceDE w:val="0"/>
        <w:autoSpaceDN w:val="0"/>
        <w:adjustRightInd w:val="0"/>
        <w:spacing w:line="400" w:lineRule="exact"/>
        <w:ind w:right="36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4．2直接影响到业主正常生活，威胁业主人身财产及公司财产安全时。</w:t>
      </w:r>
    </w:p>
    <w:p>
      <w:pPr>
        <w:autoSpaceDE w:val="0"/>
        <w:autoSpaceDN w:val="0"/>
        <w:adjustRightInd w:val="0"/>
        <w:spacing w:line="400" w:lineRule="exact"/>
        <w:ind w:right="525" w:rightChars="25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四、保修费用</w:t>
      </w:r>
    </w:p>
    <w:p>
      <w:pPr>
        <w:autoSpaceDE w:val="0"/>
        <w:autoSpaceDN w:val="0"/>
        <w:adjustRightInd w:val="0"/>
        <w:spacing w:line="400" w:lineRule="exact"/>
        <w:ind w:right="525" w:rightChars="25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保修费用由造成质量缺陷的责任方承担。</w:t>
      </w:r>
    </w:p>
    <w:p>
      <w:pPr>
        <w:autoSpaceDE w:val="0"/>
        <w:autoSpaceDN w:val="0"/>
        <w:adjustRightInd w:val="0"/>
        <w:spacing w:line="400" w:lineRule="exact"/>
        <w:ind w:right="525" w:rightChars="25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五、其他</w:t>
      </w:r>
    </w:p>
    <w:p>
      <w:pPr>
        <w:autoSpaceDE w:val="0"/>
        <w:autoSpaceDN w:val="0"/>
        <w:adjustRightInd w:val="0"/>
        <w:spacing w:line="400" w:lineRule="exact"/>
        <w:ind w:right="525" w:rightChars="250"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双方约定的其他工程质量保修事宜：</w:t>
      </w:r>
    </w:p>
    <w:p>
      <w:pPr>
        <w:autoSpaceDE w:val="0"/>
        <w:autoSpaceDN w:val="0"/>
        <w:adjustRightInd w:val="0"/>
        <w:spacing w:line="400" w:lineRule="exact"/>
        <w:ind w:right="36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本工程质量保修书，由施工合同发包人、承包人双方在施工合同签订时共同签署，作为施工合同附件，其有效期限至保修期满。</w:t>
      </w:r>
    </w:p>
    <w:p>
      <w:pPr>
        <w:autoSpaceDE w:val="0"/>
        <w:autoSpaceDN w:val="0"/>
        <w:adjustRightInd w:val="0"/>
        <w:spacing w:line="400" w:lineRule="exact"/>
        <w:ind w:left="593" w:leftChars="225" w:right="525" w:rightChars="250" w:hanging="120" w:hangingChar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发包人（公章）：                           承包人（公章）：               </w:t>
      </w:r>
    </w:p>
    <w:p>
      <w:pPr>
        <w:autoSpaceDE w:val="0"/>
        <w:autoSpaceDN w:val="0"/>
        <w:adjustRightInd w:val="0"/>
        <w:spacing w:line="400" w:lineRule="exact"/>
        <w:ind w:left="593" w:leftChars="225" w:right="525" w:rightChars="250" w:hanging="120" w:hangingChar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                 法定代表人（签字或盖章）</w:t>
      </w:r>
    </w:p>
    <w:p>
      <w:pPr>
        <w:autoSpaceDE w:val="0"/>
        <w:autoSpaceDN w:val="0"/>
        <w:adjustRightInd w:val="0"/>
        <w:spacing w:line="400" w:lineRule="exact"/>
        <w:ind w:left="593" w:leftChars="225" w:right="525" w:rightChars="250" w:hanging="120" w:hangingChars="50"/>
        <w:jc w:val="left"/>
        <w:rPr>
          <w:rFonts w:hint="eastAsia" w:ascii="宋体" w:hAnsi="宋体" w:eastAsia="宋体" w:cs="宋体"/>
          <w:color w:val="auto"/>
          <w:kern w:val="0"/>
          <w:sz w:val="24"/>
          <w:szCs w:val="24"/>
          <w:highlight w:val="none"/>
        </w:rPr>
      </w:pPr>
    </w:p>
    <w:p>
      <w:pPr>
        <w:spacing w:line="40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rPr>
        <w:t>年  月  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  月  日</w:t>
      </w:r>
    </w:p>
    <w:p>
      <w:pPr>
        <w:spacing w:line="400" w:lineRule="exact"/>
        <w:rPr>
          <w:rFonts w:hint="eastAsia" w:ascii="宋体" w:hAnsi="宋体" w:eastAsia="宋体" w:cs="宋体"/>
          <w:color w:val="auto"/>
          <w:sz w:val="21"/>
          <w:szCs w:val="21"/>
          <w:highlight w:val="none"/>
        </w:rPr>
        <w:sectPr>
          <w:headerReference r:id="rId16" w:type="first"/>
          <w:footerReference r:id="rId18" w:type="first"/>
          <w:headerReference r:id="rId15" w:type="default"/>
          <w:footerReference r:id="rId17" w:type="default"/>
          <w:pgSz w:w="11906" w:h="16838"/>
          <w:pgMar w:top="1440" w:right="1080" w:bottom="1440" w:left="1080" w:header="851" w:footer="992" w:gutter="0"/>
          <w:cols w:space="720" w:num="1"/>
          <w:titlePg/>
          <w:docGrid w:linePitch="312" w:charSpace="0"/>
        </w:sectPr>
      </w:pPr>
    </w:p>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w:t>
      </w:r>
    </w:p>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主要建设工程文件目录</w:t>
      </w:r>
    </w:p>
    <w:tbl>
      <w:tblPr>
        <w:tblStyle w:val="6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文件名称</w:t>
            </w:r>
          </w:p>
        </w:tc>
        <w:tc>
          <w:tcPr>
            <w:tcW w:w="1276"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套数</w:t>
            </w:r>
          </w:p>
        </w:tc>
        <w:tc>
          <w:tcPr>
            <w:tcW w:w="1450"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费用（元）</w:t>
            </w:r>
          </w:p>
        </w:tc>
        <w:tc>
          <w:tcPr>
            <w:tcW w:w="1243"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w:t>
            </w:r>
          </w:p>
        </w:tc>
        <w:tc>
          <w:tcPr>
            <w:tcW w:w="1450" w:type="dxa"/>
            <w:tcBorders>
              <w:top w:val="single" w:color="auto" w:sz="12" w:space="0"/>
              <w:bottom w:val="double" w:color="auto" w:sz="6" w:space="0"/>
            </w:tcBorders>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1667" w:type="dxa"/>
            <w:tcBorders>
              <w:top w:val="single" w:color="auto" w:sz="12" w:space="0"/>
              <w:bottom w:val="double" w:color="auto" w:sz="6" w:space="0"/>
            </w:tcBorders>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76"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43"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667"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76"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43"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667"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76"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4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667"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76"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4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667"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76"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4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667"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76"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4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667"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76"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4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667"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76"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4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667"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sz w:val="24"/>
                <w:szCs w:val="24"/>
                <w:highlight w:val="none"/>
              </w:rPr>
            </w:pPr>
          </w:p>
        </w:tc>
        <w:tc>
          <w:tcPr>
            <w:tcW w:w="1276"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243"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667"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76"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243"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667"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sz w:val="24"/>
                <w:szCs w:val="24"/>
                <w:highlight w:val="none"/>
              </w:rPr>
            </w:pPr>
          </w:p>
        </w:tc>
        <w:tc>
          <w:tcPr>
            <w:tcW w:w="1276"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243"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667"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sz w:val="24"/>
                <w:szCs w:val="24"/>
                <w:highlight w:val="none"/>
              </w:rPr>
            </w:pPr>
          </w:p>
        </w:tc>
        <w:tc>
          <w:tcPr>
            <w:tcW w:w="1276"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243"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667"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sz w:val="24"/>
                <w:szCs w:val="24"/>
                <w:highlight w:val="none"/>
              </w:rPr>
            </w:pPr>
          </w:p>
        </w:tc>
        <w:tc>
          <w:tcPr>
            <w:tcW w:w="1276"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243"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667"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sz w:val="24"/>
                <w:szCs w:val="24"/>
                <w:highlight w:val="none"/>
              </w:rPr>
            </w:pPr>
          </w:p>
        </w:tc>
        <w:tc>
          <w:tcPr>
            <w:tcW w:w="1276"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243"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667"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sz w:val="24"/>
                <w:szCs w:val="24"/>
                <w:highlight w:val="none"/>
              </w:rPr>
            </w:pPr>
          </w:p>
        </w:tc>
        <w:tc>
          <w:tcPr>
            <w:tcW w:w="1276"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243"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667"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sz w:val="24"/>
                <w:szCs w:val="24"/>
                <w:highlight w:val="none"/>
              </w:rPr>
            </w:pPr>
          </w:p>
        </w:tc>
        <w:tc>
          <w:tcPr>
            <w:tcW w:w="1276"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243"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667"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sz w:val="24"/>
                <w:szCs w:val="24"/>
                <w:highlight w:val="none"/>
              </w:rPr>
            </w:pPr>
          </w:p>
        </w:tc>
        <w:tc>
          <w:tcPr>
            <w:tcW w:w="1276"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243"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667"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sz w:val="24"/>
                <w:szCs w:val="24"/>
                <w:highlight w:val="none"/>
              </w:rPr>
            </w:pPr>
          </w:p>
        </w:tc>
        <w:tc>
          <w:tcPr>
            <w:tcW w:w="1276"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243"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667"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eastAsia="宋体" w:cs="宋体"/>
                <w:color w:val="auto"/>
                <w:sz w:val="24"/>
                <w:szCs w:val="24"/>
                <w:highlight w:val="none"/>
              </w:rPr>
            </w:pPr>
          </w:p>
        </w:tc>
        <w:tc>
          <w:tcPr>
            <w:tcW w:w="1276"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243" w:type="dxa"/>
          </w:tcPr>
          <w:p>
            <w:pPr>
              <w:rPr>
                <w:rFonts w:hint="eastAsia" w:ascii="宋体" w:hAnsi="宋体" w:eastAsia="宋体" w:cs="宋体"/>
                <w:color w:val="auto"/>
                <w:sz w:val="24"/>
                <w:szCs w:val="24"/>
                <w:highlight w:val="none"/>
              </w:rPr>
            </w:pPr>
          </w:p>
        </w:tc>
        <w:tc>
          <w:tcPr>
            <w:tcW w:w="1450" w:type="dxa"/>
          </w:tcPr>
          <w:p>
            <w:pPr>
              <w:rPr>
                <w:rFonts w:hint="eastAsia" w:ascii="宋体" w:hAnsi="宋体" w:eastAsia="宋体" w:cs="宋体"/>
                <w:color w:val="auto"/>
                <w:sz w:val="24"/>
                <w:szCs w:val="24"/>
                <w:highlight w:val="none"/>
              </w:rPr>
            </w:pPr>
          </w:p>
        </w:tc>
        <w:tc>
          <w:tcPr>
            <w:tcW w:w="1667" w:type="dxa"/>
          </w:tcPr>
          <w:p>
            <w:pPr>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06" w:name="_Toc296346728"/>
      <w:bookmarkStart w:id="407" w:name="_Toc296891055"/>
      <w:bookmarkStart w:id="408" w:name="_Toc296944566"/>
      <w:bookmarkStart w:id="409" w:name="_Toc296891267"/>
      <w:bookmarkStart w:id="410" w:name="_Toc267261698"/>
      <w:bookmarkStart w:id="411" w:name="_Toc296347226"/>
      <w:bookmarkStart w:id="412" w:name="_Toc296503227"/>
      <w:r>
        <w:rPr>
          <w:rFonts w:hint="eastAsia" w:ascii="宋体" w:hAnsi="宋体" w:eastAsia="宋体" w:cs="宋体"/>
          <w:color w:val="auto"/>
          <w:sz w:val="24"/>
          <w:szCs w:val="24"/>
          <w:highlight w:val="none"/>
        </w:rPr>
        <w:t>件5：</w:t>
      </w:r>
    </w:p>
    <w:bookmarkEnd w:id="406"/>
    <w:bookmarkEnd w:id="407"/>
    <w:bookmarkEnd w:id="408"/>
    <w:bookmarkEnd w:id="409"/>
    <w:bookmarkEnd w:id="410"/>
    <w:bookmarkEnd w:id="411"/>
    <w:bookmarkEnd w:id="412"/>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承包人用于本工程施工的机械设备表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418"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机械或设备名称</w:t>
            </w:r>
          </w:p>
        </w:tc>
        <w:tc>
          <w:tcPr>
            <w:tcW w:w="850"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规格型号</w:t>
            </w:r>
          </w:p>
        </w:tc>
        <w:tc>
          <w:tcPr>
            <w:tcW w:w="1058"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880"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产地</w:t>
            </w:r>
          </w:p>
        </w:tc>
        <w:tc>
          <w:tcPr>
            <w:tcW w:w="1020"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制造年份</w:t>
            </w:r>
          </w:p>
        </w:tc>
        <w:tc>
          <w:tcPr>
            <w:tcW w:w="1480"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额定功率(kW)</w:t>
            </w:r>
          </w:p>
        </w:tc>
        <w:tc>
          <w:tcPr>
            <w:tcW w:w="1020"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生产能力</w:t>
            </w:r>
          </w:p>
        </w:tc>
        <w:tc>
          <w:tcPr>
            <w:tcW w:w="921"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0"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58"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80"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80"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921" w:type="dxa"/>
            <w:tcBorders>
              <w:top w:val="double" w:color="auto" w:sz="6" w:space="0"/>
              <w:bottom w:val="sing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0"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58"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80"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80"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921"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5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92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5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92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5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92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5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92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5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92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5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92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24"/>
                <w:szCs w:val="24"/>
                <w:highlight w:val="none"/>
              </w:rPr>
            </w:pPr>
          </w:p>
        </w:tc>
        <w:tc>
          <w:tcPr>
            <w:tcW w:w="1418" w:type="dxa"/>
          </w:tcPr>
          <w:p>
            <w:pPr>
              <w:rPr>
                <w:rFonts w:hint="eastAsia" w:ascii="宋体" w:hAnsi="宋体" w:eastAsia="宋体" w:cs="宋体"/>
                <w:color w:val="auto"/>
                <w:sz w:val="24"/>
                <w:szCs w:val="24"/>
                <w:highlight w:val="none"/>
              </w:rPr>
            </w:pPr>
          </w:p>
        </w:tc>
        <w:tc>
          <w:tcPr>
            <w:tcW w:w="850" w:type="dxa"/>
          </w:tcPr>
          <w:p>
            <w:pPr>
              <w:rPr>
                <w:rFonts w:hint="eastAsia" w:ascii="宋体" w:hAnsi="宋体" w:eastAsia="宋体" w:cs="宋体"/>
                <w:color w:val="auto"/>
                <w:sz w:val="24"/>
                <w:szCs w:val="24"/>
                <w:highlight w:val="none"/>
              </w:rPr>
            </w:pPr>
          </w:p>
        </w:tc>
        <w:tc>
          <w:tcPr>
            <w:tcW w:w="1058" w:type="dxa"/>
          </w:tcPr>
          <w:p>
            <w:pPr>
              <w:rPr>
                <w:rFonts w:hint="eastAsia" w:ascii="宋体" w:hAnsi="宋体" w:eastAsia="宋体" w:cs="宋体"/>
                <w:color w:val="auto"/>
                <w:sz w:val="24"/>
                <w:szCs w:val="24"/>
                <w:highlight w:val="none"/>
              </w:rPr>
            </w:pPr>
          </w:p>
        </w:tc>
        <w:tc>
          <w:tcPr>
            <w:tcW w:w="8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14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921"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5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8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020"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92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24"/>
                <w:szCs w:val="24"/>
                <w:highlight w:val="none"/>
              </w:rPr>
            </w:pPr>
          </w:p>
        </w:tc>
        <w:tc>
          <w:tcPr>
            <w:tcW w:w="1418" w:type="dxa"/>
          </w:tcPr>
          <w:p>
            <w:pPr>
              <w:rPr>
                <w:rFonts w:hint="eastAsia" w:ascii="宋体" w:hAnsi="宋体" w:eastAsia="宋体" w:cs="宋体"/>
                <w:color w:val="auto"/>
                <w:sz w:val="24"/>
                <w:szCs w:val="24"/>
                <w:highlight w:val="none"/>
              </w:rPr>
            </w:pPr>
          </w:p>
        </w:tc>
        <w:tc>
          <w:tcPr>
            <w:tcW w:w="850" w:type="dxa"/>
          </w:tcPr>
          <w:p>
            <w:pPr>
              <w:rPr>
                <w:rFonts w:hint="eastAsia" w:ascii="宋体" w:hAnsi="宋体" w:eastAsia="宋体" w:cs="宋体"/>
                <w:color w:val="auto"/>
                <w:sz w:val="24"/>
                <w:szCs w:val="24"/>
                <w:highlight w:val="none"/>
              </w:rPr>
            </w:pPr>
          </w:p>
        </w:tc>
        <w:tc>
          <w:tcPr>
            <w:tcW w:w="1058" w:type="dxa"/>
          </w:tcPr>
          <w:p>
            <w:pPr>
              <w:rPr>
                <w:rFonts w:hint="eastAsia" w:ascii="宋体" w:hAnsi="宋体" w:eastAsia="宋体" w:cs="宋体"/>
                <w:color w:val="auto"/>
                <w:sz w:val="24"/>
                <w:szCs w:val="24"/>
                <w:highlight w:val="none"/>
              </w:rPr>
            </w:pPr>
          </w:p>
        </w:tc>
        <w:tc>
          <w:tcPr>
            <w:tcW w:w="8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14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921"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24"/>
                <w:szCs w:val="24"/>
                <w:highlight w:val="none"/>
              </w:rPr>
            </w:pPr>
          </w:p>
        </w:tc>
        <w:tc>
          <w:tcPr>
            <w:tcW w:w="1418" w:type="dxa"/>
          </w:tcPr>
          <w:p>
            <w:pPr>
              <w:rPr>
                <w:rFonts w:hint="eastAsia" w:ascii="宋体" w:hAnsi="宋体" w:eastAsia="宋体" w:cs="宋体"/>
                <w:color w:val="auto"/>
                <w:sz w:val="24"/>
                <w:szCs w:val="24"/>
                <w:highlight w:val="none"/>
              </w:rPr>
            </w:pPr>
          </w:p>
        </w:tc>
        <w:tc>
          <w:tcPr>
            <w:tcW w:w="850" w:type="dxa"/>
          </w:tcPr>
          <w:p>
            <w:pPr>
              <w:rPr>
                <w:rFonts w:hint="eastAsia" w:ascii="宋体" w:hAnsi="宋体" w:eastAsia="宋体" w:cs="宋体"/>
                <w:color w:val="auto"/>
                <w:sz w:val="24"/>
                <w:szCs w:val="24"/>
                <w:highlight w:val="none"/>
              </w:rPr>
            </w:pPr>
          </w:p>
        </w:tc>
        <w:tc>
          <w:tcPr>
            <w:tcW w:w="1058" w:type="dxa"/>
          </w:tcPr>
          <w:p>
            <w:pPr>
              <w:rPr>
                <w:rFonts w:hint="eastAsia" w:ascii="宋体" w:hAnsi="宋体" w:eastAsia="宋体" w:cs="宋体"/>
                <w:color w:val="auto"/>
                <w:sz w:val="24"/>
                <w:szCs w:val="24"/>
                <w:highlight w:val="none"/>
              </w:rPr>
            </w:pPr>
          </w:p>
        </w:tc>
        <w:tc>
          <w:tcPr>
            <w:tcW w:w="8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14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921"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24"/>
                <w:szCs w:val="24"/>
                <w:highlight w:val="none"/>
              </w:rPr>
            </w:pPr>
          </w:p>
        </w:tc>
        <w:tc>
          <w:tcPr>
            <w:tcW w:w="1418" w:type="dxa"/>
          </w:tcPr>
          <w:p>
            <w:pPr>
              <w:rPr>
                <w:rFonts w:hint="eastAsia" w:ascii="宋体" w:hAnsi="宋体" w:eastAsia="宋体" w:cs="宋体"/>
                <w:color w:val="auto"/>
                <w:sz w:val="24"/>
                <w:szCs w:val="24"/>
                <w:highlight w:val="none"/>
              </w:rPr>
            </w:pPr>
          </w:p>
        </w:tc>
        <w:tc>
          <w:tcPr>
            <w:tcW w:w="850" w:type="dxa"/>
          </w:tcPr>
          <w:p>
            <w:pPr>
              <w:rPr>
                <w:rFonts w:hint="eastAsia" w:ascii="宋体" w:hAnsi="宋体" w:eastAsia="宋体" w:cs="宋体"/>
                <w:color w:val="auto"/>
                <w:sz w:val="24"/>
                <w:szCs w:val="24"/>
                <w:highlight w:val="none"/>
              </w:rPr>
            </w:pPr>
          </w:p>
        </w:tc>
        <w:tc>
          <w:tcPr>
            <w:tcW w:w="1058" w:type="dxa"/>
          </w:tcPr>
          <w:p>
            <w:pPr>
              <w:rPr>
                <w:rFonts w:hint="eastAsia" w:ascii="宋体" w:hAnsi="宋体" w:eastAsia="宋体" w:cs="宋体"/>
                <w:color w:val="auto"/>
                <w:sz w:val="24"/>
                <w:szCs w:val="24"/>
                <w:highlight w:val="none"/>
              </w:rPr>
            </w:pPr>
          </w:p>
        </w:tc>
        <w:tc>
          <w:tcPr>
            <w:tcW w:w="8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14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921"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24"/>
                <w:szCs w:val="24"/>
                <w:highlight w:val="none"/>
              </w:rPr>
            </w:pPr>
          </w:p>
        </w:tc>
        <w:tc>
          <w:tcPr>
            <w:tcW w:w="1418" w:type="dxa"/>
          </w:tcPr>
          <w:p>
            <w:pPr>
              <w:rPr>
                <w:rFonts w:hint="eastAsia" w:ascii="宋体" w:hAnsi="宋体" w:eastAsia="宋体" w:cs="宋体"/>
                <w:color w:val="auto"/>
                <w:sz w:val="24"/>
                <w:szCs w:val="24"/>
                <w:highlight w:val="none"/>
              </w:rPr>
            </w:pPr>
          </w:p>
        </w:tc>
        <w:tc>
          <w:tcPr>
            <w:tcW w:w="850" w:type="dxa"/>
          </w:tcPr>
          <w:p>
            <w:pPr>
              <w:rPr>
                <w:rFonts w:hint="eastAsia" w:ascii="宋体" w:hAnsi="宋体" w:eastAsia="宋体" w:cs="宋体"/>
                <w:color w:val="auto"/>
                <w:sz w:val="24"/>
                <w:szCs w:val="24"/>
                <w:highlight w:val="none"/>
              </w:rPr>
            </w:pPr>
          </w:p>
        </w:tc>
        <w:tc>
          <w:tcPr>
            <w:tcW w:w="1058" w:type="dxa"/>
          </w:tcPr>
          <w:p>
            <w:pPr>
              <w:rPr>
                <w:rFonts w:hint="eastAsia" w:ascii="宋体" w:hAnsi="宋体" w:eastAsia="宋体" w:cs="宋体"/>
                <w:color w:val="auto"/>
                <w:sz w:val="24"/>
                <w:szCs w:val="24"/>
                <w:highlight w:val="none"/>
              </w:rPr>
            </w:pPr>
          </w:p>
        </w:tc>
        <w:tc>
          <w:tcPr>
            <w:tcW w:w="8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14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921"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24"/>
                <w:szCs w:val="24"/>
                <w:highlight w:val="none"/>
              </w:rPr>
            </w:pPr>
          </w:p>
        </w:tc>
        <w:tc>
          <w:tcPr>
            <w:tcW w:w="1418" w:type="dxa"/>
          </w:tcPr>
          <w:p>
            <w:pPr>
              <w:rPr>
                <w:rFonts w:hint="eastAsia" w:ascii="宋体" w:hAnsi="宋体" w:eastAsia="宋体" w:cs="宋体"/>
                <w:color w:val="auto"/>
                <w:sz w:val="24"/>
                <w:szCs w:val="24"/>
                <w:highlight w:val="none"/>
              </w:rPr>
            </w:pPr>
          </w:p>
        </w:tc>
        <w:tc>
          <w:tcPr>
            <w:tcW w:w="850" w:type="dxa"/>
          </w:tcPr>
          <w:p>
            <w:pPr>
              <w:rPr>
                <w:rFonts w:hint="eastAsia" w:ascii="宋体" w:hAnsi="宋体" w:eastAsia="宋体" w:cs="宋体"/>
                <w:color w:val="auto"/>
                <w:sz w:val="24"/>
                <w:szCs w:val="24"/>
                <w:highlight w:val="none"/>
              </w:rPr>
            </w:pPr>
          </w:p>
        </w:tc>
        <w:tc>
          <w:tcPr>
            <w:tcW w:w="1058" w:type="dxa"/>
          </w:tcPr>
          <w:p>
            <w:pPr>
              <w:rPr>
                <w:rFonts w:hint="eastAsia" w:ascii="宋体" w:hAnsi="宋体" w:eastAsia="宋体" w:cs="宋体"/>
                <w:color w:val="auto"/>
                <w:sz w:val="24"/>
                <w:szCs w:val="24"/>
                <w:highlight w:val="none"/>
              </w:rPr>
            </w:pPr>
          </w:p>
        </w:tc>
        <w:tc>
          <w:tcPr>
            <w:tcW w:w="8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14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921"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24"/>
                <w:szCs w:val="24"/>
                <w:highlight w:val="none"/>
              </w:rPr>
            </w:pPr>
          </w:p>
        </w:tc>
        <w:tc>
          <w:tcPr>
            <w:tcW w:w="1418" w:type="dxa"/>
          </w:tcPr>
          <w:p>
            <w:pPr>
              <w:rPr>
                <w:rFonts w:hint="eastAsia" w:ascii="宋体" w:hAnsi="宋体" w:eastAsia="宋体" w:cs="宋体"/>
                <w:color w:val="auto"/>
                <w:sz w:val="24"/>
                <w:szCs w:val="24"/>
                <w:highlight w:val="none"/>
              </w:rPr>
            </w:pPr>
          </w:p>
        </w:tc>
        <w:tc>
          <w:tcPr>
            <w:tcW w:w="850" w:type="dxa"/>
          </w:tcPr>
          <w:p>
            <w:pPr>
              <w:rPr>
                <w:rFonts w:hint="eastAsia" w:ascii="宋体" w:hAnsi="宋体" w:eastAsia="宋体" w:cs="宋体"/>
                <w:color w:val="auto"/>
                <w:sz w:val="24"/>
                <w:szCs w:val="24"/>
                <w:highlight w:val="none"/>
              </w:rPr>
            </w:pPr>
          </w:p>
        </w:tc>
        <w:tc>
          <w:tcPr>
            <w:tcW w:w="1058" w:type="dxa"/>
          </w:tcPr>
          <w:p>
            <w:pPr>
              <w:rPr>
                <w:rFonts w:hint="eastAsia" w:ascii="宋体" w:hAnsi="宋体" w:eastAsia="宋体" w:cs="宋体"/>
                <w:color w:val="auto"/>
                <w:sz w:val="24"/>
                <w:szCs w:val="24"/>
                <w:highlight w:val="none"/>
              </w:rPr>
            </w:pPr>
          </w:p>
        </w:tc>
        <w:tc>
          <w:tcPr>
            <w:tcW w:w="8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14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921"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24"/>
                <w:szCs w:val="24"/>
                <w:highlight w:val="none"/>
              </w:rPr>
            </w:pPr>
          </w:p>
        </w:tc>
        <w:tc>
          <w:tcPr>
            <w:tcW w:w="1418" w:type="dxa"/>
          </w:tcPr>
          <w:p>
            <w:pPr>
              <w:rPr>
                <w:rFonts w:hint="eastAsia" w:ascii="宋体" w:hAnsi="宋体" w:eastAsia="宋体" w:cs="宋体"/>
                <w:color w:val="auto"/>
                <w:sz w:val="24"/>
                <w:szCs w:val="24"/>
                <w:highlight w:val="none"/>
              </w:rPr>
            </w:pPr>
          </w:p>
        </w:tc>
        <w:tc>
          <w:tcPr>
            <w:tcW w:w="850" w:type="dxa"/>
          </w:tcPr>
          <w:p>
            <w:pPr>
              <w:rPr>
                <w:rFonts w:hint="eastAsia" w:ascii="宋体" w:hAnsi="宋体" w:eastAsia="宋体" w:cs="宋体"/>
                <w:color w:val="auto"/>
                <w:sz w:val="24"/>
                <w:szCs w:val="24"/>
                <w:highlight w:val="none"/>
              </w:rPr>
            </w:pPr>
          </w:p>
        </w:tc>
        <w:tc>
          <w:tcPr>
            <w:tcW w:w="1058" w:type="dxa"/>
          </w:tcPr>
          <w:p>
            <w:pPr>
              <w:rPr>
                <w:rFonts w:hint="eastAsia" w:ascii="宋体" w:hAnsi="宋体" w:eastAsia="宋体" w:cs="宋体"/>
                <w:color w:val="auto"/>
                <w:sz w:val="24"/>
                <w:szCs w:val="24"/>
                <w:highlight w:val="none"/>
              </w:rPr>
            </w:pPr>
          </w:p>
        </w:tc>
        <w:tc>
          <w:tcPr>
            <w:tcW w:w="8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14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921"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24"/>
                <w:szCs w:val="24"/>
                <w:highlight w:val="none"/>
              </w:rPr>
            </w:pPr>
          </w:p>
        </w:tc>
        <w:tc>
          <w:tcPr>
            <w:tcW w:w="1418" w:type="dxa"/>
          </w:tcPr>
          <w:p>
            <w:pPr>
              <w:rPr>
                <w:rFonts w:hint="eastAsia" w:ascii="宋体" w:hAnsi="宋体" w:eastAsia="宋体" w:cs="宋体"/>
                <w:color w:val="auto"/>
                <w:sz w:val="24"/>
                <w:szCs w:val="24"/>
                <w:highlight w:val="none"/>
              </w:rPr>
            </w:pPr>
          </w:p>
        </w:tc>
        <w:tc>
          <w:tcPr>
            <w:tcW w:w="850" w:type="dxa"/>
          </w:tcPr>
          <w:p>
            <w:pPr>
              <w:rPr>
                <w:rFonts w:hint="eastAsia" w:ascii="宋体" w:hAnsi="宋体" w:eastAsia="宋体" w:cs="宋体"/>
                <w:color w:val="auto"/>
                <w:sz w:val="24"/>
                <w:szCs w:val="24"/>
                <w:highlight w:val="none"/>
              </w:rPr>
            </w:pPr>
          </w:p>
        </w:tc>
        <w:tc>
          <w:tcPr>
            <w:tcW w:w="1058" w:type="dxa"/>
          </w:tcPr>
          <w:p>
            <w:pPr>
              <w:rPr>
                <w:rFonts w:hint="eastAsia" w:ascii="宋体" w:hAnsi="宋体" w:eastAsia="宋体" w:cs="宋体"/>
                <w:color w:val="auto"/>
                <w:sz w:val="24"/>
                <w:szCs w:val="24"/>
                <w:highlight w:val="none"/>
              </w:rPr>
            </w:pPr>
          </w:p>
        </w:tc>
        <w:tc>
          <w:tcPr>
            <w:tcW w:w="8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14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921" w:type="dxa"/>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24"/>
                <w:szCs w:val="24"/>
                <w:highlight w:val="none"/>
              </w:rPr>
            </w:pPr>
          </w:p>
        </w:tc>
        <w:tc>
          <w:tcPr>
            <w:tcW w:w="1418" w:type="dxa"/>
          </w:tcPr>
          <w:p>
            <w:pPr>
              <w:rPr>
                <w:rFonts w:hint="eastAsia" w:ascii="宋体" w:hAnsi="宋体" w:eastAsia="宋体" w:cs="宋体"/>
                <w:color w:val="auto"/>
                <w:sz w:val="24"/>
                <w:szCs w:val="24"/>
                <w:highlight w:val="none"/>
              </w:rPr>
            </w:pPr>
          </w:p>
        </w:tc>
        <w:tc>
          <w:tcPr>
            <w:tcW w:w="850" w:type="dxa"/>
          </w:tcPr>
          <w:p>
            <w:pPr>
              <w:rPr>
                <w:rFonts w:hint="eastAsia" w:ascii="宋体" w:hAnsi="宋体" w:eastAsia="宋体" w:cs="宋体"/>
                <w:color w:val="auto"/>
                <w:sz w:val="24"/>
                <w:szCs w:val="24"/>
                <w:highlight w:val="none"/>
              </w:rPr>
            </w:pPr>
          </w:p>
        </w:tc>
        <w:tc>
          <w:tcPr>
            <w:tcW w:w="1058" w:type="dxa"/>
          </w:tcPr>
          <w:p>
            <w:pPr>
              <w:rPr>
                <w:rFonts w:hint="eastAsia" w:ascii="宋体" w:hAnsi="宋体" w:eastAsia="宋体" w:cs="宋体"/>
                <w:color w:val="auto"/>
                <w:sz w:val="24"/>
                <w:szCs w:val="24"/>
                <w:highlight w:val="none"/>
              </w:rPr>
            </w:pPr>
          </w:p>
        </w:tc>
        <w:tc>
          <w:tcPr>
            <w:tcW w:w="8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1480" w:type="dxa"/>
          </w:tcPr>
          <w:p>
            <w:pPr>
              <w:rPr>
                <w:rFonts w:hint="eastAsia" w:ascii="宋体" w:hAnsi="宋体" w:eastAsia="宋体" w:cs="宋体"/>
                <w:color w:val="auto"/>
                <w:sz w:val="24"/>
                <w:szCs w:val="24"/>
                <w:highlight w:val="none"/>
              </w:rPr>
            </w:pPr>
          </w:p>
        </w:tc>
        <w:tc>
          <w:tcPr>
            <w:tcW w:w="1020" w:type="dxa"/>
          </w:tcPr>
          <w:p>
            <w:pPr>
              <w:rPr>
                <w:rFonts w:hint="eastAsia" w:ascii="宋体" w:hAnsi="宋体" w:eastAsia="宋体" w:cs="宋体"/>
                <w:color w:val="auto"/>
                <w:sz w:val="24"/>
                <w:szCs w:val="24"/>
                <w:highlight w:val="none"/>
              </w:rPr>
            </w:pPr>
          </w:p>
        </w:tc>
        <w:tc>
          <w:tcPr>
            <w:tcW w:w="921" w:type="dxa"/>
          </w:tcPr>
          <w:p>
            <w:pPr>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13" w:name="_Toc296891056"/>
      <w:bookmarkStart w:id="414" w:name="_Toc296944567"/>
      <w:bookmarkStart w:id="415" w:name="_Toc296347227"/>
      <w:bookmarkStart w:id="416" w:name="_Toc296891268"/>
      <w:bookmarkStart w:id="417" w:name="_Toc296503228"/>
      <w:bookmarkStart w:id="418" w:name="_Toc296346729"/>
      <w:bookmarkStart w:id="419" w:name="_Toc267261699"/>
      <w:r>
        <w:rPr>
          <w:rFonts w:hint="eastAsia" w:ascii="宋体" w:hAnsi="宋体" w:eastAsia="宋体" w:cs="宋体"/>
          <w:color w:val="auto"/>
          <w:sz w:val="24"/>
          <w:szCs w:val="24"/>
          <w:highlight w:val="none"/>
        </w:rPr>
        <w:t>件6：</w:t>
      </w:r>
    </w:p>
    <w:bookmarkEnd w:id="413"/>
    <w:bookmarkEnd w:id="414"/>
    <w:bookmarkEnd w:id="415"/>
    <w:bookmarkEnd w:id="416"/>
    <w:bookmarkEnd w:id="417"/>
    <w:bookmarkEnd w:id="418"/>
    <w:bookmarkEnd w:id="419"/>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18"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52"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18"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Borders>
              <w:bottom w:val="single" w:color="auto" w:sz="12"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tcBorders>
              <w:bottom w:val="single" w:color="auto" w:sz="12"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bl>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20" w:name="_Toc267261701"/>
      <w:r>
        <w:rPr>
          <w:rFonts w:hint="eastAsia" w:ascii="宋体" w:hAnsi="宋体" w:eastAsia="宋体" w:cs="宋体"/>
          <w:color w:val="auto"/>
          <w:sz w:val="24"/>
          <w:szCs w:val="24"/>
          <w:highlight w:val="none"/>
        </w:rPr>
        <w:t>附件7：</w:t>
      </w:r>
    </w:p>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18"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52" w:type="dxa"/>
            <w:tcBorders>
              <w:top w:val="single" w:color="auto" w:sz="12" w:space="0"/>
              <w:bottom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18"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tcBorders>
              <w:top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Borders>
              <w:bottom w:val="single" w:color="auto" w:sz="12"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4252" w:type="dxa"/>
            <w:tcBorders>
              <w:bottom w:val="single" w:color="auto" w:sz="12" w:space="0"/>
            </w:tcBorders>
            <w:vAlign w:val="center"/>
          </w:tcPr>
          <w:p>
            <w:pPr>
              <w:pStyle w:val="24"/>
              <w:keepNext/>
              <w:spacing w:line="440" w:lineRule="exact"/>
              <w:ind w:left="63" w:right="63"/>
              <w:rPr>
                <w:rFonts w:hint="eastAsia" w:ascii="宋体" w:hAnsi="宋体" w:eastAsia="宋体" w:cs="宋体"/>
                <w:color w:val="auto"/>
                <w:sz w:val="24"/>
                <w:szCs w:val="24"/>
                <w:highlight w:val="none"/>
                <w:lang w:val="en-US"/>
              </w:rPr>
            </w:pPr>
          </w:p>
        </w:tc>
      </w:tr>
    </w:tbl>
    <w:p>
      <w:pPr>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21" w:name="_Toc296891059"/>
      <w:bookmarkStart w:id="422" w:name="_Toc296944570"/>
      <w:bookmarkStart w:id="423" w:name="_Toc296891271"/>
      <w:bookmarkStart w:id="424" w:name="_Toc296347230"/>
      <w:bookmarkStart w:id="425" w:name="_Toc296503231"/>
      <w:bookmarkStart w:id="426" w:name="_Toc296346732"/>
      <w:r>
        <w:rPr>
          <w:rFonts w:hint="eastAsia" w:ascii="宋体" w:hAnsi="宋体" w:eastAsia="宋体" w:cs="宋体"/>
          <w:color w:val="auto"/>
          <w:sz w:val="24"/>
          <w:szCs w:val="24"/>
          <w:highlight w:val="none"/>
        </w:rPr>
        <w:t>件8：</w:t>
      </w:r>
    </w:p>
    <w:bookmarkEnd w:id="420"/>
    <w:bookmarkEnd w:id="421"/>
    <w:bookmarkEnd w:id="422"/>
    <w:bookmarkEnd w:id="423"/>
    <w:bookmarkEnd w:id="424"/>
    <w:bookmarkEnd w:id="425"/>
    <w:bookmarkEnd w:id="426"/>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（发包人名称）：</w:t>
      </w:r>
    </w:p>
    <w:p>
      <w:pPr>
        <w:spacing w:line="440" w:lineRule="exact"/>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（承包人名称）（以下称“承包人”）于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1.担保金额人民币（大写）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2.担保有效期自你方与承包人签订的合同生效之日起至你方签发或应签发工程接收证书之日止。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4.你方和承包人按合同约定变更合同时，我方承担本担保规定的义务不变。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5.因本保函发生的纠纷，可由双方协商解决，协商不成的，任何一方均可向工程所在地人民法院起诉。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6.本保函自我方法定代表人（或其授权代理人）签字并加盖公章之日起生效。</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 保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pPr>
        <w:spacing w:line="360" w:lineRule="auto"/>
        <w:jc w:val="left"/>
        <w:rPr>
          <w:rFonts w:hint="eastAsia" w:ascii="宋体" w:hAnsi="宋体" w:eastAsia="宋体" w:cs="宋体"/>
          <w:color w:val="auto"/>
          <w:sz w:val="24"/>
          <w:szCs w:val="24"/>
          <w:highlight w:val="none"/>
          <w:u w:val="single"/>
        </w:rPr>
      </w:pPr>
    </w:p>
    <w:p>
      <w:pPr>
        <w:spacing w:line="360" w:lineRule="auto"/>
        <w:ind w:left="1329" w:hanging="1519" w:hangingChars="6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ind w:left="1519" w:hanging="1519" w:hangingChars="6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27" w:name="_Toc296891060"/>
      <w:bookmarkStart w:id="428" w:name="_Toc296347231"/>
      <w:bookmarkStart w:id="429" w:name="_Toc267261702"/>
      <w:bookmarkStart w:id="430" w:name="_Toc296346733"/>
      <w:bookmarkStart w:id="431" w:name="_Toc296891272"/>
      <w:bookmarkStart w:id="432" w:name="_Toc296944571"/>
      <w:bookmarkStart w:id="433" w:name="_Toc296503232"/>
      <w:r>
        <w:rPr>
          <w:rFonts w:hint="eastAsia" w:ascii="宋体" w:hAnsi="宋体" w:eastAsia="宋体" w:cs="宋体"/>
          <w:color w:val="auto"/>
          <w:sz w:val="24"/>
          <w:szCs w:val="24"/>
          <w:highlight w:val="none"/>
        </w:rPr>
        <w:t>件9 ：</w:t>
      </w:r>
    </w:p>
    <w:bookmarkEnd w:id="427"/>
    <w:bookmarkEnd w:id="428"/>
    <w:bookmarkEnd w:id="429"/>
    <w:bookmarkEnd w:id="430"/>
    <w:bookmarkEnd w:id="431"/>
    <w:bookmarkEnd w:id="432"/>
    <w:bookmarkEnd w:id="433"/>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（发包人名称）：</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（承包人名称）（以下称“承包人”）与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（发包人名称）（以下简称“发包人”）于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1.担保金额人民币（大写）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2.担保有效期自预付款支付给承包人起生效，至你方签发的进度款支付证书说明已完全扣清止。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4.你方和承包人按合同约定变更合同时，我方承担本保函规定的义务不变。</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5.因本保函发生的纠纷，可由双方协商解决，协商不成的，任何一方均可向工程所在地人民法院起诉。</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6.本保函自我方法定代表人（或其授权代理人）签字并加盖公章之日起生效。</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color w:val="auto"/>
          <w:sz w:val="24"/>
          <w:szCs w:val="24"/>
          <w:highlight w:val="none"/>
        </w:rPr>
        <w:t>附</w:t>
      </w:r>
      <w:bookmarkStart w:id="434" w:name="_Toc296503233"/>
      <w:bookmarkStart w:id="435" w:name="_Toc296891061"/>
      <w:bookmarkStart w:id="436" w:name="_Toc296346734"/>
      <w:bookmarkStart w:id="437" w:name="_Toc296891273"/>
      <w:bookmarkStart w:id="438" w:name="_Toc296944572"/>
      <w:bookmarkStart w:id="439" w:name="_Toc296347232"/>
      <w:r>
        <w:rPr>
          <w:rFonts w:hint="eastAsia" w:ascii="宋体" w:hAnsi="宋体" w:eastAsia="宋体" w:cs="宋体"/>
          <w:color w:val="auto"/>
          <w:sz w:val="24"/>
          <w:szCs w:val="24"/>
          <w:highlight w:val="none"/>
        </w:rPr>
        <w:t xml:space="preserve">件10:  </w:t>
      </w:r>
    </w:p>
    <w:bookmarkEnd w:id="434"/>
    <w:bookmarkEnd w:id="435"/>
    <w:bookmarkEnd w:id="436"/>
    <w:bookmarkEnd w:id="437"/>
    <w:bookmarkEnd w:id="438"/>
    <w:bookmarkEnd w:id="439"/>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w:t>
      </w:r>
    </w:p>
    <w:p>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w:t>
      </w:r>
    </w:p>
    <w:p>
      <w:pPr>
        <w:spacing w:line="440" w:lineRule="exact"/>
        <w:jc w:val="left"/>
        <w:rPr>
          <w:rFonts w:hint="eastAsia" w:ascii="宋体" w:hAnsi="宋体" w:eastAsia="宋体" w:cs="宋体"/>
          <w:color w:val="auto"/>
          <w:sz w:val="24"/>
          <w:szCs w:val="24"/>
          <w:highlight w:val="none"/>
        </w:rPr>
      </w:pP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鉴于你方作为承包人已经与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（发包人名称）（以下称“发包人”）于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（工程名称）《建设工程施工合同》（以下称“主合同”），应发包人的申请，我方愿就发包人履行主合同约定的工程款支付义务以保证的方式向你方提供如下担保：</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一、保证的范围及保证金额</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1.我方的保证范围是主合同约定的工程款。</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2.本保函所称主合同约定的工程款是指主合同约定的除工程质量保证金以外的合同价款。</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3.我方保证的金额是主合同约定的工程款的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%，数额最高不超过人民币元（大写：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二、保证的方式及保证期间</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1.我方保证的方式为：连带责任保证。</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2.我方保证的期间为：自本合同生效之日起至主合同约定的工程款支付完毕之日后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3.你方与发包人协议变更工程款支付日期的，经我方书面同意后，保证期间按照变更后的支付日期做相应调整。</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三、承担保证责任的形式</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我方承担保证责任的形式是代为支付。发包人未按主合同约定向你方支付工程款的，由我方在保证金额内代为支付。</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四、代偿的安排</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1.你方要求我方承担保证责任的，应向我方发出书面索赔通知及发包人未支付主合同约定工程款的证明材料。索赔通知应写明要求索赔的金额，支付款项应到达的账号。</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3.我方收到你方的书面索赔通知及相应的证明材料后７天内无条件支付。</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五、保证责任的解除</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1.在本保函承诺的保证期间内，你方未书面向我方主张保证责任的，自保证期间届满次日起，我方保证责任解除。</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2.发包人按主合同约定履行了工程款的全部支付义务的，自本保函承诺的保证期间届满次日起，我方保证责任解除。</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3.我方按照本保函向你方履行保证责任所支付金额达到本保函保证金额时，自我方向你方支付（支付款项从我方账户划出）之日起，保证责任即解除。</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4.按照法律法规的规定或出现应解除我方保证责任的其他情形的，我方在本保函项下的保证责任亦解除。</w:t>
      </w:r>
    </w:p>
    <w:p>
      <w:pPr>
        <w:spacing w:line="312" w:lineRule="auto"/>
        <w:jc w:val="left"/>
        <w:rPr>
          <w:rFonts w:hint="eastAsia" w:ascii="宋体" w:hAnsi="宋体" w:eastAsia="宋体" w:cs="宋体"/>
          <w:color w:val="auto"/>
          <w:sz w:val="24"/>
          <w:szCs w:val="24"/>
          <w:highlight w:val="none"/>
        </w:rPr>
      </w:pP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5.我方解除保证责任后，你方应自我方保证责任解除之日起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个工作日内，将本保函原件返还我方。</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六、免责条款</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1.因你方违约致使发包人不能履行义务的，我方不承担保证责任。</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2.依照法律法规的规定或你方与发包人的另行约定，免除发包人部分或全部义务的，我方亦免除其相应的保证责任。</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4.因不可抗力造成发包人不能履行义务的，我方不承担保证责任。</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七、争议解决</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因本保函或本保函相关事项发生的纠纷，可由双方协商解决，协商不成的，按下列第</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种方式解决：</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工程所在地</w:t>
      </w:r>
      <w:r>
        <w:rPr>
          <w:rFonts w:hint="eastAsia" w:ascii="宋体" w:hAnsi="宋体" w:eastAsia="宋体" w:cs="宋体"/>
          <w:color w:val="auto"/>
          <w:sz w:val="24"/>
          <w:szCs w:val="24"/>
          <w:highlight w:val="none"/>
        </w:rPr>
        <w:t>人民法院起诉。</w:t>
      </w:r>
    </w:p>
    <w:p>
      <w:pPr>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八、保函的生效</w:t>
      </w:r>
    </w:p>
    <w:p>
      <w:pPr>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本保函自我方法定代表人（或其授权代理人）签字并加盖公章之日起生效。</w:t>
      </w:r>
    </w:p>
    <w:p>
      <w:pPr>
        <w:spacing w:line="312" w:lineRule="auto"/>
        <w:ind w:firstLine="480" w:firstLineChars="200"/>
        <w:jc w:val="left"/>
        <w:rPr>
          <w:rFonts w:hint="eastAsia" w:ascii="宋体" w:hAnsi="宋体" w:eastAsia="宋体" w:cs="宋体"/>
          <w:color w:val="auto"/>
          <w:sz w:val="24"/>
          <w:szCs w:val="24"/>
          <w:highlight w:val="none"/>
        </w:rPr>
      </w:pPr>
    </w:p>
    <w:p>
      <w:pPr>
        <w:spacing w:line="312" w:lineRule="auto"/>
        <w:ind w:firstLine="480" w:firstLineChars="200"/>
        <w:jc w:val="left"/>
        <w:rPr>
          <w:rFonts w:hint="eastAsia" w:ascii="宋体" w:hAnsi="宋体" w:eastAsia="宋体" w:cs="宋体"/>
          <w:color w:val="auto"/>
          <w:sz w:val="24"/>
          <w:szCs w:val="24"/>
          <w:highlight w:val="none"/>
        </w:rPr>
      </w:pPr>
    </w:p>
    <w:p>
      <w:pPr>
        <w:spacing w:line="312" w:lineRule="auto"/>
        <w:ind w:right="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pPr>
        <w:spacing w:line="312" w:lineRule="auto"/>
        <w:ind w:right="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spacing w:line="312"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12"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spacing w:line="312"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pPr>
        <w:spacing w:line="312" w:lineRule="auto"/>
        <w:ind w:right="150" w:firstLine="480" w:firstLineChars="200"/>
        <w:jc w:val="left"/>
        <w:rPr>
          <w:rFonts w:hint="eastAsia" w:ascii="宋体" w:hAnsi="宋体" w:eastAsia="宋体" w:cs="宋体"/>
          <w:color w:val="auto"/>
          <w:sz w:val="24"/>
          <w:szCs w:val="24"/>
          <w:highlight w:val="none"/>
          <w:u w:val="single"/>
        </w:rPr>
      </w:pPr>
    </w:p>
    <w:p>
      <w:pPr>
        <w:spacing w:line="312" w:lineRule="auto"/>
        <w:ind w:right="15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附件11：</w:t>
      </w:r>
    </w:p>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11-1：材料暂估价表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984" w:type="dxa"/>
            <w:tcBorders>
              <w:top w:val="single" w:color="auto" w:sz="12" w:space="0"/>
              <w:bottom w:val="doub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p>
        </w:tc>
        <w:tc>
          <w:tcPr>
            <w:tcW w:w="851" w:type="dxa"/>
            <w:tcBorders>
              <w:top w:val="single" w:color="auto" w:sz="12" w:space="0"/>
              <w:bottom w:val="doub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单位</w:t>
            </w:r>
          </w:p>
        </w:tc>
        <w:tc>
          <w:tcPr>
            <w:tcW w:w="774" w:type="dxa"/>
            <w:tcBorders>
              <w:top w:val="single" w:color="auto" w:sz="12" w:space="0"/>
              <w:bottom w:val="doub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1352" w:type="dxa"/>
            <w:tcBorders>
              <w:top w:val="single" w:color="auto" w:sz="12" w:space="0"/>
              <w:bottom w:val="doub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单价（元）</w:t>
            </w:r>
          </w:p>
        </w:tc>
        <w:tc>
          <w:tcPr>
            <w:tcW w:w="1418" w:type="dxa"/>
            <w:tcBorders>
              <w:top w:val="single" w:color="auto" w:sz="12" w:space="0"/>
              <w:bottom w:val="doub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合价（元）</w:t>
            </w:r>
          </w:p>
        </w:tc>
        <w:tc>
          <w:tcPr>
            <w:tcW w:w="1701" w:type="dxa"/>
            <w:tcBorders>
              <w:top w:val="single" w:color="auto" w:sz="12" w:space="0"/>
              <w:bottom w:val="doub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Borders>
              <w:top w:val="double" w:color="auto" w:sz="6" w:space="0"/>
              <w:bottom w:val="sing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Borders>
              <w:top w:val="double" w:color="auto" w:sz="6" w:space="0"/>
              <w:bottom w:val="sing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Borders>
              <w:top w:val="double" w:color="auto" w:sz="6" w:space="0"/>
              <w:bottom w:val="sing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Borders>
              <w:top w:val="double" w:color="auto" w:sz="6" w:space="0"/>
              <w:bottom w:val="sing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Borders>
              <w:top w:val="double" w:color="auto" w:sz="6" w:space="0"/>
              <w:bottom w:val="sing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Borders>
              <w:top w:val="double" w:color="auto" w:sz="6" w:space="0"/>
              <w:bottom w:val="single" w:color="auto" w:sz="6" w:space="0"/>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Borders>
              <w:top w:val="nil"/>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Borders>
              <w:top w:val="nil"/>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Borders>
              <w:top w:val="nil"/>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Borders>
              <w:top w:val="nil"/>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Borders>
              <w:top w:val="nil"/>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Borders>
              <w:top w:val="nil"/>
            </w:tcBorders>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vAlign w:val="top"/>
          </w:tcPr>
          <w:p>
            <w:pPr>
              <w:pStyle w:val="24"/>
              <w:keepNext/>
              <w:spacing w:line="440" w:lineRule="exact"/>
              <w:ind w:left="63" w:right="63"/>
              <w:rPr>
                <w:rFonts w:hint="eastAsia" w:ascii="宋体" w:hAnsi="宋体" w:eastAsia="宋体" w:cs="宋体"/>
                <w:color w:val="auto"/>
                <w:sz w:val="24"/>
                <w:szCs w:val="24"/>
                <w:highlight w:val="none"/>
                <w:lang w:val="en-US"/>
              </w:rPr>
            </w:pPr>
          </w:p>
        </w:tc>
      </w:tr>
    </w:tbl>
    <w:p>
      <w:pPr>
        <w:spacing w:before="120" w:beforeLines="50" w:after="120" w:afterLines="50" w:line="440" w:lineRule="exact"/>
        <w:rPr>
          <w:rFonts w:hint="eastAsia" w:ascii="宋体" w:hAnsi="宋体" w:eastAsia="宋体" w:cs="宋体"/>
          <w:color w:val="auto"/>
          <w:sz w:val="24"/>
          <w:szCs w:val="24"/>
          <w:highlight w:val="none"/>
        </w:rPr>
      </w:pPr>
    </w:p>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11-2：工程设备暂估价表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984"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p>
        </w:tc>
        <w:tc>
          <w:tcPr>
            <w:tcW w:w="851"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单位</w:t>
            </w:r>
          </w:p>
        </w:tc>
        <w:tc>
          <w:tcPr>
            <w:tcW w:w="774"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1352"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单价（元）</w:t>
            </w:r>
          </w:p>
        </w:tc>
        <w:tc>
          <w:tcPr>
            <w:tcW w:w="1418"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合价（元）</w:t>
            </w:r>
          </w:p>
        </w:tc>
        <w:tc>
          <w:tcPr>
            <w:tcW w:w="1701"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bl>
    <w:p>
      <w:pPr>
        <w:spacing w:line="440" w:lineRule="exact"/>
        <w:rPr>
          <w:rFonts w:hint="eastAsia" w:ascii="宋体" w:hAnsi="宋体" w:eastAsia="宋体" w:cs="宋体"/>
          <w:color w:val="auto"/>
          <w:sz w:val="24"/>
          <w:szCs w:val="24"/>
          <w:highlight w:val="none"/>
        </w:rPr>
      </w:pPr>
    </w:p>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11-3：专业工程暂估价表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984"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p>
        </w:tc>
        <w:tc>
          <w:tcPr>
            <w:tcW w:w="851"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单位</w:t>
            </w:r>
          </w:p>
        </w:tc>
        <w:tc>
          <w:tcPr>
            <w:tcW w:w="774"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1352"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单价（元）</w:t>
            </w:r>
          </w:p>
        </w:tc>
        <w:tc>
          <w:tcPr>
            <w:tcW w:w="1418"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合价（元）</w:t>
            </w:r>
          </w:p>
        </w:tc>
        <w:tc>
          <w:tcPr>
            <w:tcW w:w="1701" w:type="dxa"/>
            <w:tcBorders>
              <w:top w:val="single" w:color="auto" w:sz="12" w:space="0"/>
              <w:bottom w:val="doub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Borders>
              <w:top w:val="double" w:color="auto" w:sz="6" w:space="0"/>
              <w:bottom w:val="single" w:color="auto" w:sz="6" w:space="0"/>
            </w:tcBorders>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Borders>
              <w:top w:val="nil"/>
            </w:tcBorders>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98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851"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774"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352"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418" w:type="dxa"/>
          </w:tcPr>
          <w:p>
            <w:pPr>
              <w:pStyle w:val="24"/>
              <w:keepNext/>
              <w:spacing w:line="440" w:lineRule="exact"/>
              <w:ind w:left="63" w:right="63"/>
              <w:rPr>
                <w:rFonts w:hint="eastAsia" w:ascii="宋体" w:hAnsi="宋体" w:eastAsia="宋体" w:cs="宋体"/>
                <w:color w:val="auto"/>
                <w:sz w:val="24"/>
                <w:szCs w:val="24"/>
                <w:highlight w:val="none"/>
                <w:lang w:val="en-US"/>
              </w:rPr>
            </w:pPr>
          </w:p>
        </w:tc>
        <w:tc>
          <w:tcPr>
            <w:tcW w:w="1701" w:type="dxa"/>
          </w:tcPr>
          <w:p>
            <w:pPr>
              <w:pStyle w:val="24"/>
              <w:keepNext/>
              <w:spacing w:line="440" w:lineRule="exact"/>
              <w:ind w:left="63" w:right="63"/>
              <w:rPr>
                <w:rFonts w:hint="eastAsia" w:ascii="宋体" w:hAnsi="宋体" w:eastAsia="宋体" w:cs="宋体"/>
                <w:color w:val="auto"/>
                <w:sz w:val="24"/>
                <w:szCs w:val="24"/>
                <w:highlight w:val="none"/>
                <w:lang w:val="en-US"/>
              </w:rPr>
            </w:pPr>
          </w:p>
        </w:tc>
      </w:tr>
      <w:bookmarkEnd w:id="404"/>
      <w:bookmarkEnd w:id="405"/>
    </w:tbl>
    <w:p>
      <w:pPr>
        <w:rPr>
          <w:rFonts w:ascii="宋体" w:hAnsi="宋体" w:eastAsia="宋体" w:cs="宋体"/>
          <w:szCs w:val="21"/>
          <w:highlight w:val="none"/>
        </w:rPr>
      </w:pPr>
    </w:p>
    <w:p>
      <w:pPr>
        <w:snapToGrid w:val="0"/>
        <w:spacing w:line="360" w:lineRule="auto"/>
        <w:jc w:val="center"/>
        <w:outlineLvl w:val="0"/>
        <w:rPr>
          <w:rFonts w:hint="eastAsia" w:ascii="宋体" w:hAnsi="宋体" w:cs="宋体"/>
          <w:b/>
          <w:sz w:val="36"/>
          <w:szCs w:val="20"/>
          <w:highlight w:val="none"/>
        </w:rPr>
      </w:pPr>
    </w:p>
    <w:p>
      <w:pPr>
        <w:snapToGrid w:val="0"/>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9"/>
      <w:r>
        <w:rPr>
          <w:rFonts w:hint="eastAsia" w:ascii="宋体" w:hAnsi="宋体" w:cs="宋体"/>
          <w:b/>
          <w:sz w:val="36"/>
          <w:szCs w:val="20"/>
          <w:highlight w:val="none"/>
        </w:rPr>
        <w:t xml:space="preserve"> </w:t>
      </w:r>
      <w:bookmarkEnd w:id="400"/>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浙江省杭州第十四中学</w:t>
      </w:r>
      <w:r>
        <w:rPr>
          <w:rFonts w:hint="eastAsia" w:ascii="宋体" w:hAnsi="宋体" w:cs="宋体"/>
          <w:sz w:val="24"/>
          <w:highlight w:val="none"/>
        </w:rPr>
        <w:t>、（采购代理机构）：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杭十四中电梯加装改造项目</w:t>
      </w:r>
      <w:r>
        <w:rPr>
          <w:rFonts w:hint="eastAsia" w:ascii="宋体" w:hAnsi="宋体" w:cs="宋体"/>
          <w:sz w:val="24"/>
          <w:highlight w:val="none"/>
        </w:rPr>
        <w:t>【项目编号：</w:t>
      </w:r>
      <w:r>
        <w:rPr>
          <w:rFonts w:hint="eastAsia" w:ascii="宋体" w:hAnsi="宋体" w:cs="宋体"/>
          <w:sz w:val="24"/>
          <w:highlight w:val="none"/>
          <w:lang w:val="en-US" w:eastAsia="zh-CN"/>
        </w:rPr>
        <w:t xml:space="preserve">            </w:t>
      </w:r>
      <w:r>
        <w:rPr>
          <w:rFonts w:hint="eastAsia" w:ascii="宋体" w:hAnsi="宋体" w:cs="宋体"/>
          <w:sz w:val="24"/>
          <w:highlight w:val="none"/>
        </w:rPr>
        <w:t>】采购活动，郑重承诺：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sectPr>
          <w:headerReference r:id="rId20" w:type="first"/>
          <w:footerReference r:id="rId22" w:type="first"/>
          <w:headerReference r:id="rId19" w:type="default"/>
          <w:footerReference r:id="rId21"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.专门面向中小企业，工程全部由符合政策要求的中小企业（或小微企业）承建的，提供相应的中小企业声明函（附件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），联合协议中中小企业合同金额应当达到竞争性磋商公告载明的比例；如果供应商本身提供所有标的均由中小企业承建的，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），分包意向协议中中小企业合同金额应当达到竞争性磋商公告载明的比例；如果供应商本身提供所有标的均由中小企业承建，</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（根据竞争性磋商公告本项目的特定资格要求提供相应的材料；未要求的，无需提供）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pStyle w:val="3"/>
        <w:rPr>
          <w:rFonts w:ascii="宋体" w:hAnsi="宋体" w:cs="宋体"/>
          <w:b w:val="0"/>
          <w:kern w:val="0"/>
          <w:sz w:val="36"/>
          <w:szCs w:val="36"/>
          <w:highlight w:val="none"/>
        </w:r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响应函……………………………………………………………………………（页码）</w:t>
      </w:r>
    </w:p>
    <w:p>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2）授权委托书或法定代表人（单位负责人、自然人本人）身份证明</w:t>
      </w:r>
      <w:r>
        <w:rPr>
          <w:rFonts w:hint="eastAsia" w:ascii="宋体" w:hAnsi="宋体" w:cs="宋体"/>
          <w:sz w:val="24"/>
          <w:highlight w:val="none"/>
        </w:rPr>
        <w:t>……………（页码）</w:t>
      </w:r>
    </w:p>
    <w:p>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）分包意向协议………………………………………………………………………（页码）</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）符合性审查资料……………………………………………………………………（页码）</w:t>
      </w:r>
    </w:p>
    <w:p>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）评审标准相应的商务技术资料……………………………………………………（页码）（</w:t>
      </w:r>
      <w:r>
        <w:rPr>
          <w:rFonts w:ascii="宋体" w:hAnsi="宋体" w:cs="宋体"/>
          <w:sz w:val="24"/>
          <w:highlight w:val="none"/>
        </w:rPr>
        <w:t>6</w:t>
      </w:r>
      <w:r>
        <w:rPr>
          <w:rFonts w:hint="eastAsia" w:ascii="宋体" w:hAnsi="宋体" w:cs="宋体"/>
          <w:sz w:val="24"/>
          <w:highlight w:val="none"/>
        </w:rPr>
        <w:t>）商务技术偏离表……………………………………………………………………（页码）</w:t>
      </w:r>
    </w:p>
    <w:p>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7</w:t>
      </w:r>
      <w:r>
        <w:rPr>
          <w:rFonts w:hint="eastAsia" w:ascii="宋体" w:hAnsi="宋体" w:cs="宋体"/>
          <w:sz w:val="24"/>
          <w:highlight w:val="none"/>
          <w:lang w:val="zh-CN"/>
        </w:rPr>
        <w:t>）电梯及重要部件规格参数</w:t>
      </w:r>
      <w:r>
        <w:rPr>
          <w:rFonts w:hint="eastAsia" w:ascii="宋体" w:hAnsi="宋体" w:cs="宋体"/>
          <w:sz w:val="24"/>
          <w:highlight w:val="none"/>
        </w:rPr>
        <w:t>…………………………………………………………（页码）</w:t>
      </w:r>
    </w:p>
    <w:p>
      <w:pPr>
        <w:snapToGrid w:val="0"/>
        <w:spacing w:line="360" w:lineRule="auto"/>
        <w:ind w:left="479" w:leftChars="228"/>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）采购供应商廉洁自律承诺书</w:t>
      </w:r>
      <w:r>
        <w:rPr>
          <w:rFonts w:hint="eastAsia" w:ascii="宋体" w:hAnsi="宋体" w:cs="宋体"/>
          <w:sz w:val="24"/>
          <w:highlight w:val="none"/>
        </w:rPr>
        <w:t>………………………………………………………（页码）</w:t>
      </w:r>
    </w:p>
    <w:p>
      <w:pPr>
        <w:snapToGrid w:val="0"/>
        <w:spacing w:line="360" w:lineRule="auto"/>
        <w:jc w:val="center"/>
        <w:rPr>
          <w:rFonts w:ascii="宋体" w:hAnsi="宋体" w:cs="宋体"/>
          <w:b/>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一、响应函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浙江省杭州第十四中学</w:t>
      </w:r>
      <w:r>
        <w:rPr>
          <w:rFonts w:hint="eastAsia" w:ascii="宋体" w:hAnsi="宋体" w:cs="宋体"/>
          <w:sz w:val="24"/>
          <w:highlight w:val="none"/>
        </w:rPr>
        <w:t>、（采购代理机构）：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杭十四中电梯加装改造项目</w:t>
      </w:r>
      <w:r>
        <w:rPr>
          <w:rFonts w:hint="eastAsia" w:ascii="宋体" w:hAnsi="宋体" w:cs="宋体"/>
          <w:sz w:val="24"/>
          <w:highlight w:val="none"/>
        </w:rPr>
        <w:t>【项目编号：</w:t>
      </w:r>
      <w:r>
        <w:rPr>
          <w:rFonts w:hint="eastAsia" w:ascii="宋体" w:hAnsi="宋体" w:cs="宋体"/>
          <w:sz w:val="24"/>
          <w:highlight w:val="none"/>
          <w:lang w:eastAsia="zh-CN"/>
        </w:rPr>
        <w:t>HSZB-2024-518-1</w:t>
      </w:r>
      <w:r>
        <w:rPr>
          <w:rFonts w:hint="eastAsia" w:ascii="宋体" w:hAnsi="宋体" w:cs="宋体"/>
          <w:sz w:val="24"/>
          <w:highlight w:val="none"/>
        </w:rPr>
        <w:t>】采购的有关活动，并对此项目提交响应文件及报价。为此：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1、我方承诺响应文件有效期从提交响应文件的截止之日起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本响应文件在响应文件有效期满之前均具有约束力。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2.2.1响应函；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评审标准相应的商务技术资料；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2.3.1报价单；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2.3.2已标价工程量清单；</w:t>
      </w:r>
    </w:p>
    <w:p>
      <w:pPr>
        <w:pStyle w:val="86"/>
        <w:ind w:firstLine="960" w:firstLineChars="4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3、我方承诺除商务技术偏离表列出的偏离外，我方响应采购文件的全部要求。对</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val="en-US"/>
        </w:rPr>
        <w:t>文件中材料的真实性、合法性负责。</w:t>
      </w:r>
    </w:p>
    <w:p>
      <w:pPr>
        <w:snapToGrid w:val="0"/>
        <w:spacing w:line="360" w:lineRule="auto"/>
        <w:ind w:firstLine="480" w:firstLineChars="200"/>
        <w:rPr>
          <w:rFonts w:hint="eastAsia" w:ascii="宋体" w:hAnsi="宋体" w:cs="宋体"/>
          <w:sz w:val="24"/>
          <w:highlight w:val="none"/>
        </w:rPr>
      </w:pP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4、如我方成交，我方承诺：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授权委托书（适用于非联合体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浙江省杭州第十四中学</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杭十四中电梯加装改造项目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HSZB-2024-518-1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浙江省杭州第十四中学</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杭十四中电梯加装改造项目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HSZB-2024-518-1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jc w:val="center"/>
        <w:rPr>
          <w:rFonts w:ascii="宋体" w:hAnsi="宋体" w:cs="宋体"/>
          <w:b/>
          <w:bCs/>
          <w:sz w:val="32"/>
          <w:szCs w:val="32"/>
          <w:highlight w:val="none"/>
        </w:rPr>
      </w:pPr>
      <w:r>
        <w:rPr>
          <w:rFonts w:hint="eastAsia" w:ascii="宋体" w:hAnsi="宋体" w:cs="宋体"/>
          <w:b/>
          <w:bCs/>
          <w:sz w:val="32"/>
          <w:szCs w:val="32"/>
          <w:highlight w:val="none"/>
          <w:lang w:val="zh-CN"/>
        </w:rPr>
        <w:t>法定代表人、单位负责人或自然人本人</w:t>
      </w:r>
      <w:r>
        <w:rPr>
          <w:rFonts w:hint="eastAsia" w:ascii="宋体" w:hAnsi="宋体" w:cs="宋体"/>
          <w:b/>
          <w:bCs/>
          <w:sz w:val="32"/>
          <w:szCs w:val="32"/>
          <w:highlight w:val="none"/>
        </w:rPr>
        <w:t>的身份证明（适用于法定代表人、单位负责人或者自然人本人代表供应商参加响应）</w:t>
      </w:r>
    </w:p>
    <w:p>
      <w:pPr>
        <w:pStyle w:val="155"/>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5"/>
              <w:adjustRightInd w:val="0"/>
              <w:spacing w:line="360" w:lineRule="auto"/>
              <w:rPr>
                <w:rFonts w:hAnsi="宋体" w:cs="宋体"/>
                <w:bCs/>
                <w:sz w:val="24"/>
                <w:highlight w:val="none"/>
              </w:rPr>
            </w:pPr>
            <w:r>
              <w:rPr>
                <w:rFonts w:hint="eastAsia" w:hAnsi="宋体" w:cs="宋体"/>
                <w:bCs/>
                <w:sz w:val="24"/>
                <w:highlight w:val="none"/>
              </w:rPr>
              <w:t>正面：                                 反面：</w:t>
            </w:r>
          </w:p>
          <w:p>
            <w:pPr>
              <w:pStyle w:val="155"/>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highlight w:val="none"/>
        </w:rPr>
      </w:pPr>
      <w:r>
        <w:rPr>
          <w:rFonts w:hint="eastAsia" w:ascii="宋体" w:hAnsi="宋体" w:cs="宋体"/>
          <w:b/>
          <w:bCs/>
          <w:sz w:val="32"/>
          <w:szCs w:val="32"/>
          <w:highlight w:val="none"/>
        </w:rPr>
        <w:t>三、分包意向协议</w:t>
      </w:r>
    </w:p>
    <w:p>
      <w:pPr>
        <w:widowControl/>
        <w:spacing w:line="360" w:lineRule="auto"/>
        <w:ind w:firstLine="120" w:firstLineChars="50"/>
        <w:jc w:val="left"/>
        <w:rPr>
          <w:rFonts w:ascii="宋体" w:hAnsi="宋体" w:cs="宋体"/>
          <w:sz w:val="24"/>
          <w:highlight w:val="none"/>
        </w:rPr>
      </w:pPr>
      <w:bookmarkStart w:id="440" w:name="_Hlk101169080"/>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；采购人不同意分包或者供应商成交后不以分包方式履行合同的，则不需要提供。</w:t>
      </w:r>
      <w:r>
        <w:rPr>
          <w:rFonts w:hint="eastAsia" w:ascii="宋体" w:hAnsi="宋体" w:cs="宋体"/>
          <w:sz w:val="24"/>
          <w:highlight w:val="none"/>
        </w:rPr>
        <w:t>]</w:t>
      </w:r>
    </w:p>
    <w:bookmarkEnd w:id="440"/>
    <w:p>
      <w:pPr>
        <w:snapToGrid w:val="0"/>
        <w:spacing w:line="360" w:lineRule="auto"/>
        <w:rPr>
          <w:rFonts w:ascii="宋体" w:hAnsi="宋体" w:cs="宋体"/>
          <w:kern w:val="0"/>
          <w:sz w:val="24"/>
          <w:highlight w:val="none"/>
        </w:rPr>
      </w:pPr>
    </w:p>
    <w:p>
      <w:pPr>
        <w:snapToGrid w:val="0"/>
        <w:jc w:val="center"/>
        <w:rPr>
          <w:rFonts w:ascii="宋体" w:hAnsi="宋体" w:cs="宋体"/>
          <w:b/>
          <w:bCs/>
          <w:sz w:val="32"/>
          <w:szCs w:val="32"/>
          <w:highlight w:val="none"/>
        </w:rPr>
      </w:pPr>
      <w:r>
        <w:rPr>
          <w:rFonts w:hint="eastAsia" w:ascii="宋体" w:hAnsi="宋体" w:cs="宋体"/>
          <w:b/>
          <w:bCs/>
          <w:sz w:val="32"/>
          <w:szCs w:val="32"/>
          <w:highlight w:val="none"/>
        </w:rPr>
        <w:t>四、符合性审查资料</w:t>
      </w:r>
    </w:p>
    <w:p>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响应文件中的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1</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pPr>
              <w:rPr>
                <w:rFonts w:ascii="宋体" w:hAnsi="宋体" w:cs="宋体"/>
                <w:sz w:val="24"/>
                <w:highlight w:val="none"/>
              </w:rPr>
            </w:pPr>
            <w:r>
              <w:rPr>
                <w:rFonts w:hint="eastAsia" w:ascii="宋体" w:hAnsi="宋体" w:cs="宋体"/>
                <w:sz w:val="24"/>
                <w:highlight w:val="none"/>
              </w:rPr>
              <w:t>见响应文件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sz w:val="24"/>
                <w:highlight w:val="none"/>
              </w:rPr>
            </w:pPr>
            <w:r>
              <w:rPr>
                <w:rFonts w:hint="eastAsia" w:ascii="宋体" w:hAnsi="宋体" w:cs="宋体"/>
                <w:sz w:val="24"/>
                <w:highlight w:val="none"/>
              </w:rPr>
              <w:t>见响应文件</w:t>
            </w:r>
          </w:p>
          <w:p>
            <w:pPr>
              <w:pStyle w:val="3"/>
              <w:jc w:val="both"/>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3</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响应函</w:t>
            </w:r>
          </w:p>
        </w:tc>
        <w:tc>
          <w:tcPr>
            <w:tcW w:w="1418" w:type="dxa"/>
            <w:vAlign w:val="center"/>
          </w:tcPr>
          <w:p>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4</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jc w:val="center"/>
        <w:rPr>
          <w:rFonts w:ascii="宋体" w:hAnsi="宋体" w:cs="宋体"/>
          <w:b/>
          <w:bCs/>
          <w:sz w:val="32"/>
          <w:szCs w:val="32"/>
          <w:highlight w:val="none"/>
        </w:rPr>
      </w:pPr>
      <w:r>
        <w:rPr>
          <w:rFonts w:hint="eastAsia" w:ascii="宋体" w:hAnsi="宋体" w:cs="宋体"/>
          <w:b/>
          <w:bCs/>
          <w:sz w:val="32"/>
          <w:szCs w:val="32"/>
          <w:highlight w:val="none"/>
        </w:rPr>
        <w:t>五、评审标准相应的商务技术资料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jc w:val="center"/>
        <w:rPr>
          <w:rFonts w:ascii="宋体" w:hAnsi="宋体" w:cs="宋体"/>
          <w:b/>
          <w:bCs/>
          <w:sz w:val="32"/>
          <w:szCs w:val="32"/>
          <w:highlight w:val="none"/>
        </w:rPr>
      </w:pPr>
      <w:r>
        <w:rPr>
          <w:rFonts w:hint="eastAsia" w:ascii="宋体" w:hAnsi="宋体" w:cs="宋体"/>
          <w:b/>
          <w:bCs/>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采购文件章节及具体内容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snapToGrid w:val="0"/>
        <w:jc w:val="center"/>
        <w:rPr>
          <w:rFonts w:hint="eastAsia" w:ascii="宋体" w:hAnsi="宋体" w:eastAsia="宋体" w:cs="宋体"/>
          <w:b/>
          <w:bCs/>
          <w:kern w:val="2"/>
          <w:sz w:val="32"/>
          <w:szCs w:val="32"/>
          <w:highlight w:val="none"/>
        </w:rPr>
      </w:pPr>
      <w:r>
        <w:rPr>
          <w:rFonts w:hint="eastAsia" w:ascii="宋体" w:hAnsi="宋体" w:cs="宋体"/>
          <w:b/>
          <w:bCs/>
          <w:kern w:val="2"/>
          <w:sz w:val="32"/>
          <w:szCs w:val="32"/>
          <w:highlight w:val="none"/>
          <w:lang w:val="en-US" w:eastAsia="zh-CN"/>
        </w:rPr>
        <w:t>七、</w:t>
      </w:r>
      <w:r>
        <w:rPr>
          <w:rFonts w:hint="eastAsia" w:ascii="宋体" w:hAnsi="宋体" w:eastAsia="宋体" w:cs="宋体"/>
          <w:b/>
          <w:bCs/>
          <w:kern w:val="2"/>
          <w:sz w:val="32"/>
          <w:szCs w:val="32"/>
          <w:highlight w:val="none"/>
          <w:lang w:val="zh-CN"/>
        </w:rPr>
        <w:t>电梯及重要部件</w:t>
      </w:r>
      <w:r>
        <w:rPr>
          <w:rFonts w:hint="eastAsia" w:ascii="宋体" w:hAnsi="宋体" w:eastAsia="宋体" w:cs="宋体"/>
          <w:b/>
          <w:bCs/>
          <w:kern w:val="2"/>
          <w:sz w:val="32"/>
          <w:szCs w:val="32"/>
          <w:highlight w:val="none"/>
        </w:rPr>
        <w:t>规格参数</w:t>
      </w:r>
    </w:p>
    <w:p>
      <w:pPr>
        <w:snapToGrid w:val="0"/>
        <w:jc w:val="left"/>
        <w:rPr>
          <w:rFonts w:ascii="宋体" w:hAnsi="宋体" w:eastAsia="宋体" w:cs="宋体"/>
          <w:b/>
          <w:kern w:val="0"/>
          <w:sz w:val="24"/>
          <w:szCs w:val="24"/>
          <w:highlight w:val="none"/>
        </w:rPr>
      </w:pPr>
    </w:p>
    <w:tbl>
      <w:tblPr>
        <w:tblStyle w:val="63"/>
        <w:tblW w:w="4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00"/>
        <w:gridCol w:w="1939"/>
        <w:gridCol w:w="973"/>
        <w:gridCol w:w="132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04" w:type="pct"/>
            <w:vAlign w:val="center"/>
          </w:tcPr>
          <w:p>
            <w:pPr>
              <w:pStyle w:val="33"/>
              <w:snapToGrid w:val="0"/>
              <w:spacing w:before="120" w:after="120"/>
              <w:ind w:left="-108"/>
              <w:jc w:val="center"/>
              <w:rPr>
                <w:rFonts w:hAnsi="宋体" w:cs="宋体"/>
                <w:spacing w:val="-6"/>
                <w:sz w:val="24"/>
                <w:szCs w:val="24"/>
                <w:highlight w:val="none"/>
              </w:rPr>
            </w:pPr>
            <w:r>
              <w:rPr>
                <w:rFonts w:hint="eastAsia" w:hAnsi="宋体" w:cs="宋体"/>
                <w:spacing w:val="-6"/>
                <w:sz w:val="24"/>
                <w:szCs w:val="24"/>
                <w:highlight w:val="none"/>
              </w:rPr>
              <w:t>序号</w:t>
            </w:r>
          </w:p>
        </w:tc>
        <w:tc>
          <w:tcPr>
            <w:tcW w:w="988" w:type="pct"/>
            <w:vAlign w:val="center"/>
          </w:tcPr>
          <w:p>
            <w:pPr>
              <w:pStyle w:val="33"/>
              <w:snapToGrid w:val="0"/>
              <w:spacing w:before="120" w:after="120"/>
              <w:ind w:left="-108"/>
              <w:jc w:val="center"/>
              <w:rPr>
                <w:rFonts w:hAnsi="宋体" w:cs="宋体"/>
                <w:spacing w:val="-6"/>
                <w:sz w:val="24"/>
                <w:szCs w:val="24"/>
                <w:highlight w:val="none"/>
              </w:rPr>
            </w:pPr>
            <w:r>
              <w:rPr>
                <w:rFonts w:hint="eastAsia" w:hAnsi="宋体" w:cs="宋体"/>
                <w:spacing w:val="-6"/>
                <w:sz w:val="24"/>
                <w:szCs w:val="24"/>
                <w:highlight w:val="none"/>
              </w:rPr>
              <w:t>名称</w:t>
            </w:r>
          </w:p>
        </w:tc>
        <w:tc>
          <w:tcPr>
            <w:tcW w:w="1197" w:type="pct"/>
            <w:vAlign w:val="center"/>
          </w:tcPr>
          <w:p>
            <w:pPr>
              <w:pStyle w:val="33"/>
              <w:snapToGrid w:val="0"/>
              <w:spacing w:before="120" w:after="120"/>
              <w:ind w:left="-108"/>
              <w:jc w:val="center"/>
              <w:rPr>
                <w:rFonts w:hAnsi="宋体" w:cs="宋体"/>
                <w:spacing w:val="-6"/>
                <w:sz w:val="24"/>
                <w:szCs w:val="24"/>
                <w:highlight w:val="none"/>
              </w:rPr>
            </w:pPr>
            <w:r>
              <w:rPr>
                <w:rFonts w:hint="eastAsia" w:hAnsi="宋体" w:cs="宋体"/>
                <w:spacing w:val="-6"/>
                <w:sz w:val="24"/>
                <w:szCs w:val="24"/>
                <w:highlight w:val="none"/>
              </w:rPr>
              <w:t>品牌、型号</w:t>
            </w:r>
          </w:p>
        </w:tc>
        <w:tc>
          <w:tcPr>
            <w:tcW w:w="601" w:type="pct"/>
            <w:vAlign w:val="center"/>
          </w:tcPr>
          <w:p>
            <w:pPr>
              <w:pStyle w:val="33"/>
              <w:snapToGrid w:val="0"/>
              <w:spacing w:before="120" w:after="120"/>
              <w:ind w:left="-108"/>
              <w:jc w:val="center"/>
              <w:rPr>
                <w:rFonts w:hAnsi="宋体" w:cs="宋体"/>
                <w:spacing w:val="-6"/>
                <w:sz w:val="24"/>
                <w:szCs w:val="24"/>
                <w:highlight w:val="none"/>
              </w:rPr>
            </w:pPr>
            <w:r>
              <w:rPr>
                <w:rFonts w:hint="eastAsia" w:hAnsi="宋体" w:cs="宋体"/>
                <w:spacing w:val="-6"/>
                <w:sz w:val="24"/>
                <w:szCs w:val="24"/>
                <w:highlight w:val="none"/>
              </w:rPr>
              <w:t>产地</w:t>
            </w:r>
          </w:p>
        </w:tc>
        <w:tc>
          <w:tcPr>
            <w:tcW w:w="817" w:type="pct"/>
            <w:vAlign w:val="center"/>
          </w:tcPr>
          <w:p>
            <w:pPr>
              <w:pStyle w:val="33"/>
              <w:snapToGrid w:val="0"/>
              <w:spacing w:before="120" w:after="120"/>
              <w:ind w:left="-108"/>
              <w:jc w:val="center"/>
              <w:rPr>
                <w:rFonts w:hAnsi="宋体" w:cs="宋体"/>
                <w:spacing w:val="-6"/>
                <w:sz w:val="24"/>
                <w:szCs w:val="24"/>
                <w:highlight w:val="none"/>
              </w:rPr>
            </w:pPr>
            <w:r>
              <w:rPr>
                <w:rFonts w:hint="eastAsia" w:hAnsi="宋体" w:cs="宋体"/>
                <w:spacing w:val="-6"/>
                <w:sz w:val="24"/>
                <w:szCs w:val="24"/>
                <w:highlight w:val="none"/>
              </w:rPr>
              <w:t>数量</w:t>
            </w:r>
          </w:p>
          <w:p>
            <w:pPr>
              <w:pStyle w:val="33"/>
              <w:snapToGrid w:val="0"/>
              <w:spacing w:before="120" w:after="120"/>
              <w:ind w:left="-108"/>
              <w:jc w:val="center"/>
              <w:rPr>
                <w:rFonts w:hAnsi="宋体" w:cs="宋体"/>
                <w:spacing w:val="-6"/>
                <w:sz w:val="24"/>
                <w:szCs w:val="24"/>
                <w:highlight w:val="none"/>
              </w:rPr>
            </w:pPr>
            <w:r>
              <w:rPr>
                <w:rFonts w:hint="eastAsia" w:hAnsi="宋体" w:cs="宋体"/>
                <w:spacing w:val="-6"/>
                <w:sz w:val="24"/>
                <w:szCs w:val="24"/>
                <w:highlight w:val="none"/>
              </w:rPr>
              <w:t>/套</w:t>
            </w:r>
          </w:p>
        </w:tc>
        <w:tc>
          <w:tcPr>
            <w:tcW w:w="889" w:type="pct"/>
            <w:vAlign w:val="center"/>
          </w:tcPr>
          <w:p>
            <w:pPr>
              <w:pStyle w:val="33"/>
              <w:snapToGrid w:val="0"/>
              <w:spacing w:before="120" w:after="120"/>
              <w:ind w:left="-108"/>
              <w:jc w:val="center"/>
              <w:rPr>
                <w:rFonts w:hAnsi="宋体" w:cs="宋体"/>
                <w:spacing w:val="-6"/>
                <w:sz w:val="24"/>
                <w:szCs w:val="24"/>
                <w:highlight w:val="none"/>
              </w:rPr>
            </w:pPr>
            <w:r>
              <w:rPr>
                <w:rFonts w:hint="eastAsia" w:hAnsi="宋体" w:cs="宋体"/>
                <w:spacing w:val="-6"/>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04" w:type="pct"/>
            <w:vAlign w:val="center"/>
          </w:tcPr>
          <w:p>
            <w:pPr>
              <w:jc w:val="center"/>
              <w:rPr>
                <w:rFonts w:ascii="宋体" w:hAnsi="宋体" w:cs="宋体"/>
                <w:kern w:val="0"/>
                <w:sz w:val="24"/>
                <w:szCs w:val="24"/>
                <w:highlight w:val="none"/>
                <w:lang w:bidi="ar"/>
              </w:rPr>
            </w:pPr>
            <w:r>
              <w:rPr>
                <w:rFonts w:ascii="宋体" w:hAnsi="宋体" w:cs="宋体"/>
                <w:kern w:val="0"/>
                <w:sz w:val="24"/>
                <w:szCs w:val="24"/>
                <w:highlight w:val="none"/>
                <w:lang w:bidi="ar"/>
              </w:rPr>
              <w:t>1</w:t>
            </w:r>
          </w:p>
        </w:tc>
        <w:tc>
          <w:tcPr>
            <w:tcW w:w="988" w:type="pct"/>
            <w:vAlign w:val="center"/>
          </w:tcPr>
          <w:p>
            <w:pPr>
              <w:jc w:val="center"/>
              <w:rPr>
                <w:rFonts w:ascii="宋体" w:hAnsi="宋体" w:cs="宋体"/>
                <w:kern w:val="0"/>
                <w:sz w:val="24"/>
                <w:szCs w:val="24"/>
                <w:highlight w:val="none"/>
                <w:lang w:bidi="ar"/>
              </w:rPr>
            </w:pPr>
          </w:p>
        </w:tc>
        <w:tc>
          <w:tcPr>
            <w:tcW w:w="1197" w:type="pct"/>
            <w:vAlign w:val="center"/>
          </w:tcPr>
          <w:p>
            <w:pPr>
              <w:jc w:val="center"/>
              <w:rPr>
                <w:rFonts w:ascii="宋体" w:hAnsi="宋体" w:cs="宋体"/>
                <w:spacing w:val="-6"/>
                <w:sz w:val="24"/>
                <w:szCs w:val="24"/>
                <w:highlight w:val="none"/>
              </w:rPr>
            </w:pPr>
          </w:p>
        </w:tc>
        <w:tc>
          <w:tcPr>
            <w:tcW w:w="601" w:type="pct"/>
            <w:vAlign w:val="center"/>
          </w:tcPr>
          <w:p>
            <w:pPr>
              <w:jc w:val="center"/>
              <w:rPr>
                <w:rFonts w:ascii="宋体" w:hAnsi="宋体" w:cs="宋体"/>
                <w:spacing w:val="-6"/>
                <w:sz w:val="24"/>
                <w:szCs w:val="24"/>
                <w:highlight w:val="none"/>
              </w:rPr>
            </w:pPr>
          </w:p>
        </w:tc>
        <w:tc>
          <w:tcPr>
            <w:tcW w:w="817" w:type="pct"/>
            <w:vAlign w:val="center"/>
          </w:tcPr>
          <w:p>
            <w:pPr>
              <w:jc w:val="center"/>
              <w:rPr>
                <w:rFonts w:ascii="宋体" w:hAnsi="宋体" w:cs="宋体"/>
                <w:spacing w:val="-6"/>
                <w:sz w:val="24"/>
                <w:szCs w:val="24"/>
                <w:highlight w:val="none"/>
              </w:rPr>
            </w:pPr>
          </w:p>
        </w:tc>
        <w:tc>
          <w:tcPr>
            <w:tcW w:w="889" w:type="pct"/>
            <w:vAlign w:val="center"/>
          </w:tcPr>
          <w:p>
            <w:pPr>
              <w:jc w:val="center"/>
              <w:rPr>
                <w:rFonts w:ascii="宋体" w:hAnsi="宋体" w:cs="宋体"/>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04" w:type="pct"/>
            <w:vAlign w:val="center"/>
          </w:tcPr>
          <w:p>
            <w:pPr>
              <w:jc w:val="center"/>
              <w:rPr>
                <w:rFonts w:ascii="宋体" w:hAnsi="宋体" w:cs="宋体"/>
                <w:kern w:val="0"/>
                <w:sz w:val="24"/>
                <w:szCs w:val="24"/>
                <w:highlight w:val="none"/>
                <w:lang w:bidi="ar"/>
              </w:rPr>
            </w:pPr>
            <w:r>
              <w:rPr>
                <w:rFonts w:ascii="宋体" w:hAnsi="宋体" w:cs="宋体"/>
                <w:kern w:val="0"/>
                <w:sz w:val="24"/>
                <w:szCs w:val="24"/>
                <w:highlight w:val="none"/>
                <w:lang w:bidi="ar"/>
              </w:rPr>
              <w:t>2</w:t>
            </w:r>
          </w:p>
        </w:tc>
        <w:tc>
          <w:tcPr>
            <w:tcW w:w="988" w:type="pct"/>
            <w:vAlign w:val="center"/>
          </w:tcPr>
          <w:p>
            <w:pPr>
              <w:jc w:val="center"/>
              <w:rPr>
                <w:rFonts w:ascii="宋体" w:hAnsi="宋体" w:cs="宋体"/>
                <w:spacing w:val="-6"/>
                <w:sz w:val="24"/>
                <w:szCs w:val="24"/>
                <w:highlight w:val="none"/>
              </w:rPr>
            </w:pPr>
          </w:p>
        </w:tc>
        <w:tc>
          <w:tcPr>
            <w:tcW w:w="1197" w:type="pct"/>
            <w:vAlign w:val="center"/>
          </w:tcPr>
          <w:p>
            <w:pPr>
              <w:jc w:val="center"/>
              <w:rPr>
                <w:rFonts w:ascii="宋体" w:hAnsi="宋体" w:cs="宋体"/>
                <w:spacing w:val="-6"/>
                <w:sz w:val="24"/>
                <w:szCs w:val="24"/>
                <w:highlight w:val="none"/>
              </w:rPr>
            </w:pPr>
          </w:p>
        </w:tc>
        <w:tc>
          <w:tcPr>
            <w:tcW w:w="601" w:type="pct"/>
            <w:vAlign w:val="center"/>
          </w:tcPr>
          <w:p>
            <w:pPr>
              <w:jc w:val="center"/>
              <w:rPr>
                <w:rFonts w:ascii="宋体" w:hAnsi="宋体" w:cs="宋体"/>
                <w:spacing w:val="-6"/>
                <w:sz w:val="24"/>
                <w:szCs w:val="24"/>
                <w:highlight w:val="none"/>
              </w:rPr>
            </w:pPr>
          </w:p>
        </w:tc>
        <w:tc>
          <w:tcPr>
            <w:tcW w:w="817" w:type="pct"/>
            <w:vAlign w:val="center"/>
          </w:tcPr>
          <w:p>
            <w:pPr>
              <w:jc w:val="center"/>
              <w:rPr>
                <w:rFonts w:ascii="宋体" w:hAnsi="宋体" w:cs="宋体"/>
                <w:spacing w:val="-6"/>
                <w:sz w:val="24"/>
                <w:szCs w:val="24"/>
                <w:highlight w:val="none"/>
              </w:rPr>
            </w:pPr>
          </w:p>
        </w:tc>
        <w:tc>
          <w:tcPr>
            <w:tcW w:w="889" w:type="pct"/>
            <w:vAlign w:val="center"/>
          </w:tcPr>
          <w:p>
            <w:pPr>
              <w:jc w:val="center"/>
              <w:rPr>
                <w:rFonts w:ascii="宋体" w:hAnsi="宋体" w:cs="宋体"/>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04" w:type="pct"/>
            <w:vAlign w:val="center"/>
          </w:tcPr>
          <w:p>
            <w:pPr>
              <w:jc w:val="center"/>
              <w:rPr>
                <w:rFonts w:ascii="宋体" w:hAnsi="宋体" w:cs="宋体"/>
                <w:kern w:val="0"/>
                <w:sz w:val="24"/>
                <w:szCs w:val="24"/>
                <w:highlight w:val="none"/>
                <w:lang w:bidi="ar"/>
              </w:rPr>
            </w:pPr>
            <w:r>
              <w:rPr>
                <w:rFonts w:ascii="宋体" w:hAnsi="宋体" w:cs="宋体"/>
                <w:kern w:val="0"/>
                <w:sz w:val="24"/>
                <w:szCs w:val="24"/>
                <w:highlight w:val="none"/>
                <w:lang w:bidi="ar"/>
              </w:rPr>
              <w:t>3</w:t>
            </w:r>
          </w:p>
        </w:tc>
        <w:tc>
          <w:tcPr>
            <w:tcW w:w="988" w:type="pct"/>
            <w:vAlign w:val="center"/>
          </w:tcPr>
          <w:p>
            <w:pPr>
              <w:spacing w:line="360" w:lineRule="exact"/>
              <w:jc w:val="center"/>
              <w:rPr>
                <w:rFonts w:ascii="宋体" w:hAnsi="宋体" w:cs="宋体"/>
                <w:sz w:val="24"/>
                <w:szCs w:val="24"/>
                <w:highlight w:val="none"/>
              </w:rPr>
            </w:pPr>
          </w:p>
        </w:tc>
        <w:tc>
          <w:tcPr>
            <w:tcW w:w="1197" w:type="pct"/>
            <w:vAlign w:val="center"/>
          </w:tcPr>
          <w:p>
            <w:pPr>
              <w:jc w:val="center"/>
              <w:rPr>
                <w:rFonts w:ascii="宋体" w:hAnsi="宋体" w:cs="宋体"/>
                <w:spacing w:val="-6"/>
                <w:sz w:val="24"/>
                <w:szCs w:val="24"/>
                <w:highlight w:val="none"/>
              </w:rPr>
            </w:pPr>
          </w:p>
        </w:tc>
        <w:tc>
          <w:tcPr>
            <w:tcW w:w="601" w:type="pct"/>
            <w:vAlign w:val="center"/>
          </w:tcPr>
          <w:p>
            <w:pPr>
              <w:jc w:val="center"/>
              <w:rPr>
                <w:rFonts w:ascii="宋体" w:hAnsi="宋体" w:cs="宋体"/>
                <w:spacing w:val="-6"/>
                <w:sz w:val="24"/>
                <w:szCs w:val="24"/>
                <w:highlight w:val="none"/>
              </w:rPr>
            </w:pPr>
          </w:p>
        </w:tc>
        <w:tc>
          <w:tcPr>
            <w:tcW w:w="817" w:type="pct"/>
            <w:vAlign w:val="center"/>
          </w:tcPr>
          <w:p>
            <w:pPr>
              <w:jc w:val="center"/>
              <w:rPr>
                <w:rFonts w:ascii="宋体" w:hAnsi="宋体" w:cs="宋体"/>
                <w:spacing w:val="-6"/>
                <w:sz w:val="24"/>
                <w:szCs w:val="24"/>
                <w:highlight w:val="none"/>
              </w:rPr>
            </w:pPr>
          </w:p>
        </w:tc>
        <w:tc>
          <w:tcPr>
            <w:tcW w:w="889" w:type="pct"/>
            <w:vAlign w:val="center"/>
          </w:tcPr>
          <w:p>
            <w:pPr>
              <w:jc w:val="center"/>
              <w:rPr>
                <w:rFonts w:ascii="宋体" w:hAnsi="宋体" w:cs="宋体"/>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504" w:type="pct"/>
            <w:vAlign w:val="center"/>
          </w:tcPr>
          <w:p>
            <w:pPr>
              <w:jc w:val="center"/>
              <w:rPr>
                <w:rFonts w:ascii="宋体" w:hAnsi="宋体" w:cs="宋体"/>
                <w:kern w:val="0"/>
                <w:sz w:val="24"/>
                <w:szCs w:val="24"/>
                <w:highlight w:val="none"/>
                <w:lang w:bidi="ar"/>
              </w:rPr>
            </w:pPr>
            <w:r>
              <w:rPr>
                <w:rFonts w:ascii="宋体" w:hAnsi="宋体" w:cs="宋体"/>
                <w:kern w:val="0"/>
                <w:sz w:val="24"/>
                <w:szCs w:val="24"/>
                <w:highlight w:val="none"/>
                <w:lang w:bidi="ar"/>
              </w:rPr>
              <w:t>4</w:t>
            </w:r>
          </w:p>
        </w:tc>
        <w:tc>
          <w:tcPr>
            <w:tcW w:w="988" w:type="pct"/>
            <w:vAlign w:val="center"/>
          </w:tcPr>
          <w:p>
            <w:pPr>
              <w:jc w:val="center"/>
              <w:rPr>
                <w:rFonts w:ascii="宋体" w:hAnsi="宋体" w:cs="宋体"/>
                <w:spacing w:val="-6"/>
                <w:sz w:val="24"/>
                <w:szCs w:val="24"/>
                <w:highlight w:val="none"/>
              </w:rPr>
            </w:pPr>
          </w:p>
        </w:tc>
        <w:tc>
          <w:tcPr>
            <w:tcW w:w="1197" w:type="pct"/>
            <w:vAlign w:val="center"/>
          </w:tcPr>
          <w:p>
            <w:pPr>
              <w:jc w:val="center"/>
              <w:rPr>
                <w:rFonts w:ascii="宋体" w:hAnsi="宋体" w:cs="宋体"/>
                <w:spacing w:val="-6"/>
                <w:sz w:val="24"/>
                <w:szCs w:val="24"/>
                <w:highlight w:val="none"/>
              </w:rPr>
            </w:pPr>
          </w:p>
        </w:tc>
        <w:tc>
          <w:tcPr>
            <w:tcW w:w="601" w:type="pct"/>
            <w:vAlign w:val="center"/>
          </w:tcPr>
          <w:p>
            <w:pPr>
              <w:jc w:val="center"/>
              <w:rPr>
                <w:rFonts w:ascii="宋体" w:hAnsi="宋体" w:cs="宋体"/>
                <w:spacing w:val="-6"/>
                <w:sz w:val="24"/>
                <w:szCs w:val="24"/>
                <w:highlight w:val="none"/>
              </w:rPr>
            </w:pPr>
          </w:p>
        </w:tc>
        <w:tc>
          <w:tcPr>
            <w:tcW w:w="817" w:type="pct"/>
            <w:vAlign w:val="center"/>
          </w:tcPr>
          <w:p>
            <w:pPr>
              <w:jc w:val="center"/>
              <w:rPr>
                <w:rFonts w:ascii="宋体" w:hAnsi="宋体" w:cs="宋体"/>
                <w:spacing w:val="-6"/>
                <w:sz w:val="24"/>
                <w:szCs w:val="24"/>
                <w:highlight w:val="none"/>
              </w:rPr>
            </w:pPr>
          </w:p>
        </w:tc>
        <w:tc>
          <w:tcPr>
            <w:tcW w:w="889" w:type="pct"/>
            <w:vAlign w:val="center"/>
          </w:tcPr>
          <w:p>
            <w:pPr>
              <w:jc w:val="center"/>
              <w:rPr>
                <w:rFonts w:ascii="宋体" w:hAnsi="宋体" w:cs="宋体"/>
                <w:spacing w:val="-6"/>
                <w:sz w:val="24"/>
                <w:szCs w:val="24"/>
                <w:highlight w:val="none"/>
              </w:rPr>
            </w:pPr>
          </w:p>
        </w:tc>
      </w:tr>
    </w:tbl>
    <w:p>
      <w:pPr>
        <w:pStyle w:val="19"/>
        <w:rPr>
          <w:highlight w:val="none"/>
        </w:rPr>
        <w:sectPr>
          <w:footerReference r:id="rId24" w:type="first"/>
          <w:footerReference r:id="rId23"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highlight w:val="none"/>
        </w:rPr>
      </w:pPr>
      <w:r>
        <w:rPr>
          <w:rFonts w:hint="eastAsia" w:ascii="宋体" w:hAnsi="宋体" w:cs="宋体"/>
          <w:b/>
          <w:bCs/>
          <w:sz w:val="32"/>
          <w:szCs w:val="32"/>
          <w:highlight w:val="none"/>
          <w:lang w:val="en-US" w:eastAsia="zh-CN"/>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浙江省杭州第十四中学</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numPr>
          <w:ilvl w:val="0"/>
          <w:numId w:val="2"/>
        </w:numPr>
        <w:snapToGrid w:val="0"/>
        <w:spacing w:line="360" w:lineRule="auto"/>
        <w:rPr>
          <w:rFonts w:hint="eastAsia" w:ascii="宋体" w:hAnsi="宋体" w:cs="宋体"/>
          <w:sz w:val="24"/>
          <w:highlight w:val="none"/>
        </w:rPr>
      </w:pPr>
      <w:r>
        <w:rPr>
          <w:rFonts w:hint="eastAsia" w:ascii="宋体" w:hAnsi="宋体" w:cs="宋体"/>
          <w:sz w:val="24"/>
          <w:highlight w:val="none"/>
        </w:rPr>
        <w:t>报价单…………………………………………………………………………（页码）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）已标价工程量清单……………………………………………………………（页码）</w:t>
      </w:r>
    </w:p>
    <w:p>
      <w:pPr>
        <w:pStyle w:val="86"/>
        <w:rPr>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footerReference r:id="rId27" w:type="first"/>
          <w:headerReference r:id="rId25" w:type="default"/>
          <w:footerReference r:id="rId26" w:type="default"/>
          <w:pgSz w:w="11906" w:h="16838"/>
          <w:pgMar w:top="1440" w:right="1080" w:bottom="1440" w:left="1080"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一、报价单</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浙江省杭州第十四中学</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lang w:eastAsia="zh-CN"/>
        </w:rPr>
        <w:t>杭十四中电梯加装改造项目</w:t>
      </w:r>
      <w:r>
        <w:rPr>
          <w:rFonts w:hint="eastAsia" w:ascii="宋体" w:hAnsi="宋体" w:cs="宋体"/>
          <w:kern w:val="0"/>
          <w:sz w:val="24"/>
          <w:highlight w:val="none"/>
          <w:lang w:val="zh-CN"/>
        </w:rPr>
        <w:t>【项目编号：</w:t>
      </w:r>
      <w:r>
        <w:rPr>
          <w:rFonts w:hint="eastAsia" w:ascii="宋体" w:hAnsi="宋体" w:cs="宋体"/>
          <w:sz w:val="24"/>
          <w:highlight w:val="none"/>
          <w:lang w:val="en-US" w:eastAsia="zh-CN"/>
        </w:rPr>
        <w:t xml:space="preserve">          </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项目名称</w:t>
            </w:r>
          </w:p>
        </w:tc>
        <w:tc>
          <w:tcPr>
            <w:tcW w:w="18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施工范围</w:t>
            </w:r>
          </w:p>
        </w:tc>
        <w:tc>
          <w:tcPr>
            <w:tcW w:w="311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施工工期</w:t>
            </w:r>
          </w:p>
        </w:tc>
        <w:tc>
          <w:tcPr>
            <w:tcW w:w="2552"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项目经理</w:t>
            </w:r>
          </w:p>
        </w:tc>
        <w:tc>
          <w:tcPr>
            <w:tcW w:w="198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执业证书信息</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2552"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磋商报价（小写）</w:t>
            </w:r>
          </w:p>
        </w:tc>
        <w:tc>
          <w:tcPr>
            <w:tcW w:w="7655" w:type="dxa"/>
            <w:gridSpan w:val="3"/>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磋商报价（大写）</w:t>
            </w:r>
          </w:p>
        </w:tc>
        <w:tc>
          <w:tcPr>
            <w:tcW w:w="7655" w:type="dxa"/>
            <w:gridSpan w:val="3"/>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2" w:firstLineChars="200"/>
        <w:rPr>
          <w:rFonts w:ascii="宋体" w:hAnsi="宋体" w:cs="宋体"/>
          <w:b/>
          <w:kern w:val="0"/>
          <w:sz w:val="24"/>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5"/>
        <w:keepNext w:val="0"/>
        <w:pageBreakBefore/>
        <w:tabs>
          <w:tab w:val="clear" w:pos="720"/>
        </w:tabs>
        <w:snapToGrid w:val="0"/>
        <w:spacing w:before="120" w:after="120"/>
        <w:jc w:val="center"/>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二</w:t>
      </w:r>
      <w:r>
        <w:rPr>
          <w:rFonts w:hint="eastAsia" w:ascii="宋体" w:hAnsi="宋体" w:eastAsia="宋体" w:cs="宋体"/>
          <w:kern w:val="2"/>
          <w:sz w:val="32"/>
          <w:szCs w:val="32"/>
          <w:highlight w:val="none"/>
        </w:rPr>
        <w:t>、已标价工程量清单</w:t>
      </w:r>
    </w:p>
    <w:p>
      <w:pPr>
        <w:ind w:right="420"/>
        <w:jc w:val="center"/>
        <w:rPr>
          <w:rFonts w:ascii="宋体" w:hAnsi="宋体" w:cs="宋体"/>
          <w:sz w:val="24"/>
          <w:highlight w:val="none"/>
        </w:rPr>
      </w:pPr>
      <w:r>
        <w:rPr>
          <w:rFonts w:hint="eastAsia" w:ascii="宋体" w:hAnsi="宋体" w:cs="宋体"/>
          <w:sz w:val="24"/>
          <w:highlight w:val="none"/>
        </w:rPr>
        <w:t>注：按采购文件工程量清单编制</w:t>
      </w:r>
    </w:p>
    <w:p>
      <w:pPr>
        <w:pStyle w:val="62"/>
        <w:ind w:firstLine="480"/>
        <w:rPr>
          <w:rFonts w:cs="宋体"/>
          <w:sz w:val="24"/>
          <w:highlight w:val="none"/>
        </w:rPr>
      </w:pPr>
    </w:p>
    <w:p>
      <w:pPr>
        <w:pStyle w:val="62"/>
        <w:ind w:firstLine="480"/>
        <w:rPr>
          <w:rFonts w:cs="宋体"/>
          <w:sz w:val="24"/>
          <w:highlight w:val="none"/>
        </w:rPr>
        <w:sectPr>
          <w:footerReference r:id="rId31" w:type="first"/>
          <w:headerReference r:id="rId28" w:type="default"/>
          <w:footerReference r:id="rId29" w:type="default"/>
          <w:footerReference r:id="rId30" w:type="even"/>
          <w:pgSz w:w="11906" w:h="16838"/>
          <w:pgMar w:top="1440" w:right="1080" w:bottom="1440" w:left="1080"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41" w:name="_Toc465665161"/>
      <w:r>
        <w:rPr>
          <w:rFonts w:hint="eastAsia" w:ascii="宋体" w:hAnsi="宋体" w:cs="宋体"/>
          <w:highlight w:val="none"/>
        </w:rPr>
        <w:t>附件</w:t>
      </w:r>
      <w:bookmarkEnd w:id="441"/>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442" w:name="OLE_LINK13"/>
      <w:bookmarkStart w:id="443" w:name="OLE_LINK14"/>
      <w:r>
        <w:rPr>
          <w:rFonts w:hint="eastAsia" w:ascii="宋体" w:hAnsi="宋体" w:cs="宋体"/>
          <w:b/>
          <w:spacing w:val="6"/>
          <w:sz w:val="32"/>
          <w:szCs w:val="32"/>
          <w:highlight w:val="none"/>
        </w:rPr>
        <w:t>残疾人福利性单位声明函</w:t>
      </w:r>
    </w:p>
    <w:bookmarkEnd w:id="442"/>
    <w:bookmarkEnd w:id="443"/>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autoSpaceDE w:val="0"/>
        <w:autoSpaceDN w:val="0"/>
        <w:jc w:val="both"/>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2</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lang w:eastAsia="zh-CN"/>
        </w:rPr>
        <w:t>杭十四中电梯加装改造项目</w:t>
      </w:r>
      <w:r>
        <w:rPr>
          <w:rFonts w:hint="eastAsia" w:ascii="宋体" w:hAnsi="宋体" w:cs="宋体"/>
          <w:sz w:val="24"/>
          <w:highlight w:val="none"/>
        </w:rPr>
        <w:t>【项目编号：</w:t>
      </w:r>
      <w:r>
        <w:rPr>
          <w:rFonts w:hint="eastAsia" w:ascii="宋体" w:hAnsi="宋体" w:cs="宋体"/>
          <w:sz w:val="24"/>
          <w:highlight w:val="none"/>
          <w:lang w:eastAsia="zh-CN"/>
        </w:rPr>
        <w:t>HSZB-2024-518-1</w:t>
      </w:r>
      <w:r>
        <w:rPr>
          <w:rFonts w:hint="eastAsia" w:ascii="宋体" w:hAnsi="宋体" w:cs="宋体"/>
          <w:sz w:val="24"/>
          <w:highlight w:val="none"/>
        </w:rPr>
        <w:t>】</w:t>
      </w:r>
      <w:r>
        <w:rPr>
          <w:rFonts w:hint="eastAsia" w:ascii="宋体" w:hAnsi="宋体" w:cs="宋体"/>
          <w:kern w:val="0"/>
          <w:sz w:val="24"/>
          <w:highlight w:val="none"/>
        </w:rPr>
        <w:t>响应</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w:t>
      </w:r>
      <w:r>
        <w:rPr>
          <w:rFonts w:hint="eastAsia" w:ascii="宋体" w:hAnsi="宋体" w:cs="宋体"/>
          <w:kern w:val="0"/>
          <w:sz w:val="24"/>
          <w:highlight w:val="none"/>
        </w:rPr>
        <w:t>响应内容</w:t>
      </w:r>
      <w:r>
        <w:rPr>
          <w:rFonts w:hint="eastAsia" w:ascii="宋体" w:hAnsi="宋体" w:cs="宋体"/>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w:t>
      </w:r>
      <w:r>
        <w:rPr>
          <w:rFonts w:hint="eastAsia" w:ascii="宋体" w:hAnsi="宋体" w:cs="宋体"/>
          <w:kern w:val="0"/>
          <w:sz w:val="24"/>
          <w:highlight w:val="none"/>
        </w:rPr>
        <w:t>响应</w:t>
      </w:r>
      <w:r>
        <w:rPr>
          <w:rFonts w:hint="eastAsia" w:ascii="宋体" w:hAnsi="宋体" w:cs="宋体"/>
          <w:kern w:val="0"/>
          <w:sz w:val="24"/>
          <w:highlight w:val="none"/>
          <w:lang w:val="zh-CN"/>
        </w:rPr>
        <w:t>中，分工如下：</w:t>
      </w:r>
    </w:p>
    <w:p>
      <w:pPr>
        <w:snapToGrid w:val="0"/>
        <w:spacing w:line="360" w:lineRule="auto"/>
        <w:ind w:firstLine="576"/>
        <w:rPr>
          <w:rFonts w:ascii="宋体" w:hAnsi="宋体" w:cs="宋体"/>
          <w:kern w:val="0"/>
          <w:sz w:val="24"/>
          <w:highlight w:val="none"/>
          <w:lang w:val="zh-CN"/>
        </w:rPr>
      </w:pPr>
      <w:bookmarkStart w:id="444"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44"/>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提供的全部工程由小微企业承建，其合同份额占到合同总金额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w:t>
      </w:r>
      <w:r>
        <w:rPr>
          <w:rFonts w:hint="eastAsia" w:ascii="宋体" w:hAnsi="宋体" w:cs="宋体"/>
          <w:b/>
          <w:kern w:val="0"/>
          <w:sz w:val="24"/>
          <w:highlight w:val="none"/>
        </w:rPr>
        <w:t>磋商</w:t>
      </w:r>
      <w:r>
        <w:rPr>
          <w:rFonts w:hint="eastAsia" w:ascii="宋体" w:hAnsi="宋体" w:cs="宋体"/>
          <w:b/>
          <w:kern w:val="0"/>
          <w:sz w:val="24"/>
          <w:highlight w:val="none"/>
          <w:lang w:val="zh-CN"/>
        </w:rPr>
        <w:t>的，联合协议约定小微企业的合同份额占到合同总金额30%以上的，对联合体报价给予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w:t>
      </w:r>
      <w:r>
        <w:rPr>
          <w:rFonts w:hint="eastAsia" w:ascii="宋体" w:hAnsi="宋体" w:cs="宋体"/>
          <w:kern w:val="0"/>
          <w:sz w:val="24"/>
          <w:highlight w:val="none"/>
        </w:rPr>
        <w:t>响应</w:t>
      </w:r>
      <w:r>
        <w:rPr>
          <w:rFonts w:hint="eastAsia" w:ascii="宋体" w:hAnsi="宋体" w:cs="宋体"/>
          <w:kern w:val="0"/>
          <w:sz w:val="24"/>
          <w:highlight w:val="none"/>
          <w:lang w:val="zh-CN"/>
        </w:rPr>
        <w:t>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3</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杭十四中电梯加装改造项目</w:t>
      </w:r>
      <w:r>
        <w:rPr>
          <w:rFonts w:hint="eastAsia" w:ascii="宋体" w:hAnsi="宋体" w:cs="宋体"/>
          <w:sz w:val="24"/>
          <w:highlight w:val="none"/>
        </w:rPr>
        <w:t>【项目编号：</w:t>
      </w:r>
      <w:r>
        <w:rPr>
          <w:rFonts w:hint="eastAsia" w:ascii="宋体" w:hAnsi="宋体" w:cs="宋体"/>
          <w:sz w:val="24"/>
          <w:highlight w:val="none"/>
          <w:lang w:eastAsia="zh-CN"/>
        </w:rPr>
        <w:t>HSZB-2024-518-1</w:t>
      </w:r>
      <w:r>
        <w:rPr>
          <w:rFonts w:hint="eastAsia" w:ascii="宋体" w:hAnsi="宋体" w:cs="宋体"/>
          <w:sz w:val="24"/>
          <w:highlight w:val="none"/>
        </w:rPr>
        <w:t>】</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45"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要求合同分包形式参加的项目或采购包，供应商按采购文件第一部分竞争性磋商公告申请人的资格要求中规定的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45"/>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4</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浙江省杭州第十四中学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杭十四中电梯加装改造项目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kern w:val="0"/>
          <w:sz w:val="24"/>
          <w:highlight w:val="none"/>
          <w:u w:val="single"/>
          <w:lang w:eastAsia="zh-CN"/>
        </w:rPr>
        <w:t>杭十四中电梯加装改造项目</w:t>
      </w:r>
      <w:r>
        <w:rPr>
          <w:rFonts w:hint="eastAsia" w:ascii="宋体" w:hAnsi="宋体" w:cs="宋体"/>
          <w:kern w:val="0"/>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kern w:val="0"/>
          <w:sz w:val="24"/>
          <w:highlight w:val="none"/>
          <w:u w:val="single"/>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both"/>
        <w:rPr>
          <w:rFonts w:ascii="宋体" w:hAnsi="宋体" w:cs="宋体"/>
          <w:b/>
          <w:sz w:val="32"/>
          <w:szCs w:val="32"/>
          <w:highlight w:val="none"/>
        </w:rPr>
      </w:pP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5</w:t>
      </w:r>
      <w:r>
        <w:rPr>
          <w:rFonts w:hint="eastAsia" w:ascii="宋体" w:hAnsi="宋体" w:cs="宋体"/>
          <w:b/>
          <w:spacing w:val="6"/>
          <w:sz w:val="32"/>
          <w:szCs w:val="32"/>
          <w:highlight w:val="none"/>
        </w:rPr>
        <w:t>：工程量清单（另附）</w:t>
      </w:r>
    </w:p>
    <w:p>
      <w:pPr>
        <w:spacing w:line="360" w:lineRule="auto"/>
        <w:rPr>
          <w:rFonts w:ascii="宋体" w:hAnsi="宋体" w:cs="宋体"/>
          <w:b/>
          <w:spacing w:val="6"/>
          <w:sz w:val="32"/>
          <w:szCs w:val="32"/>
          <w:highlight w:val="none"/>
        </w:rPr>
      </w:pP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6</w:t>
      </w:r>
      <w:r>
        <w:rPr>
          <w:rFonts w:hint="eastAsia" w:ascii="宋体" w:hAnsi="宋体" w:cs="宋体"/>
          <w:b/>
          <w:spacing w:val="6"/>
          <w:sz w:val="32"/>
          <w:szCs w:val="32"/>
          <w:highlight w:val="none"/>
        </w:rPr>
        <w:t>：图纸（另附）</w:t>
      </w:r>
    </w:p>
    <w:p>
      <w:pPr>
        <w:pStyle w:val="25"/>
        <w:rPr>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46" w:name="_Toc91899912"/>
    <w:bookmarkStart w:id="447" w:name="_Toc164085800"/>
    <w:bookmarkStart w:id="448" w:name="_Toc36110187"/>
    <w:bookmarkStart w:id="449" w:name="_Toc131845147"/>
    <w:r>
      <w:rPr>
        <w:rFonts w:hint="eastAsia" w:ascii="仿宋_GB2312" w:eastAsia="仿宋_GB2312"/>
        <w:kern w:val="0"/>
        <w:szCs w:val="21"/>
      </w:rPr>
      <w:t xml:space="preserve"> 页</w:t>
    </w:r>
    <w:bookmarkEnd w:id="446"/>
    <w:bookmarkEnd w:id="447"/>
    <w:bookmarkEnd w:id="448"/>
    <w:bookmarkEnd w:id="4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8998" w:y="51"/>
      <w:rPr>
        <w:rStyle w:val="73"/>
        <w:rFonts w:ascii="宋体" w:hAnsi="宋体"/>
        <w:sz w:val="28"/>
        <w:szCs w:val="28"/>
      </w:rPr>
    </w:pPr>
    <w:r>
      <w:rPr>
        <w:rStyle w:val="73"/>
        <w:rFonts w:ascii="宋体" w:hAnsi="宋体"/>
        <w:sz w:val="28"/>
        <w:szCs w:val="28"/>
      </w:rPr>
      <w:t xml:space="preserve">— </w:t>
    </w:r>
    <w:r>
      <w:rPr>
        <w:sz w:val="21"/>
        <w:szCs w:val="21"/>
      </w:rPr>
      <w:fldChar w:fldCharType="begin"/>
    </w:r>
    <w:r>
      <w:rPr>
        <w:rStyle w:val="73"/>
        <w:sz w:val="21"/>
        <w:szCs w:val="21"/>
      </w:rPr>
      <w:instrText xml:space="preserve"> PAGE </w:instrText>
    </w:r>
    <w:r>
      <w:rPr>
        <w:sz w:val="21"/>
        <w:szCs w:val="21"/>
      </w:rPr>
      <w:fldChar w:fldCharType="separate"/>
    </w:r>
    <w:r>
      <w:rPr>
        <w:rStyle w:val="73"/>
        <w:sz w:val="21"/>
        <w:szCs w:val="21"/>
      </w:rPr>
      <w:t>67</w:t>
    </w:r>
    <w:r>
      <w:rPr>
        <w:sz w:val="21"/>
        <w:szCs w:val="21"/>
      </w:rPr>
      <w:fldChar w:fldCharType="end"/>
    </w:r>
    <w:r>
      <w:rPr>
        <w:rStyle w:val="73"/>
        <w:rFonts w:ascii="宋体" w:hAnsi="宋体"/>
        <w:sz w:val="28"/>
        <w:szCs w:val="28"/>
      </w:rPr>
      <w:t xml:space="preserve">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8998" w:y="51"/>
      <w:rPr>
        <w:rStyle w:val="73"/>
        <w:rFonts w:ascii="宋体" w:hAnsi="宋体"/>
        <w:sz w:val="28"/>
        <w:szCs w:val="28"/>
      </w:rPr>
    </w:pPr>
    <w:r>
      <w:rPr>
        <w:rStyle w:val="73"/>
        <w:rFonts w:ascii="宋体" w:hAnsi="宋体"/>
        <w:sz w:val="28"/>
        <w:szCs w:val="28"/>
      </w:rPr>
      <w:t xml:space="preserve">— </w:t>
    </w:r>
    <w:r>
      <w:rPr>
        <w:sz w:val="21"/>
        <w:szCs w:val="21"/>
      </w:rPr>
      <w:fldChar w:fldCharType="begin"/>
    </w:r>
    <w:r>
      <w:rPr>
        <w:rStyle w:val="73"/>
        <w:sz w:val="21"/>
        <w:szCs w:val="21"/>
      </w:rPr>
      <w:instrText xml:space="preserve"> PAGE </w:instrText>
    </w:r>
    <w:r>
      <w:rPr>
        <w:sz w:val="21"/>
        <w:szCs w:val="21"/>
      </w:rPr>
      <w:fldChar w:fldCharType="separate"/>
    </w:r>
    <w:r>
      <w:rPr>
        <w:rStyle w:val="73"/>
        <w:sz w:val="21"/>
        <w:szCs w:val="21"/>
      </w:rPr>
      <w:t>67</w:t>
    </w:r>
    <w:r>
      <w:rPr>
        <w:sz w:val="21"/>
        <w:szCs w:val="21"/>
      </w:rPr>
      <w:fldChar w:fldCharType="end"/>
    </w:r>
    <w:r>
      <w:rPr>
        <w:rStyle w:val="73"/>
        <w:rFonts w:ascii="宋体" w:hAnsi="宋体"/>
        <w:sz w:val="28"/>
        <w:szCs w:val="28"/>
      </w:rPr>
      <w:t xml:space="preserve"> —</w: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5731" w:y="34"/>
      <w:rPr>
        <w:rStyle w:val="73"/>
      </w:rPr>
    </w:pPr>
    <w:r>
      <w:fldChar w:fldCharType="begin"/>
    </w:r>
    <w:r>
      <w:rPr>
        <w:rStyle w:val="73"/>
      </w:rPr>
      <w:instrText xml:space="preserve">PAGE  </w:instrText>
    </w:r>
    <w:r>
      <w:fldChar w:fldCharType="separate"/>
    </w:r>
    <w:r>
      <w:t>71</w: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separate"/>
    </w:r>
    <w:r>
      <w:fldChar w:fldCharType="end"/>
    </w:r>
  </w:p>
  <w:p>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Style w:val="73"/>
      </w:rPr>
    </w:pPr>
    <w:r>
      <w:fldChar w:fldCharType="begin"/>
    </w:r>
    <w:r>
      <w:rPr>
        <w:rStyle w:val="73"/>
      </w:rPr>
      <w:instrText xml:space="preserve"> PAGE  \* MERGEFORMAT </w:instrText>
    </w:r>
    <w:r>
      <w:fldChar w:fldCharType="separate"/>
    </w:r>
    <w:r>
      <w:rPr>
        <w:rStyle w:val="73"/>
      </w:rPr>
      <w:t>47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distribute"/>
      <w:rPr>
        <w:sz w:val="21"/>
        <w:szCs w:val="21"/>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distribute"/>
      <w:rPr>
        <w:sz w:val="21"/>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2U5OTk3ODE2Y2JiYzQ2NmZhZDc2NzU4YzFl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130"/>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EC380B"/>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4A58C0"/>
    <w:rsid w:val="05A16594"/>
    <w:rsid w:val="05A7762D"/>
    <w:rsid w:val="060E5941"/>
    <w:rsid w:val="06110FAF"/>
    <w:rsid w:val="061E21DC"/>
    <w:rsid w:val="06493CA7"/>
    <w:rsid w:val="065A6178"/>
    <w:rsid w:val="066F1CF3"/>
    <w:rsid w:val="06930BB8"/>
    <w:rsid w:val="06DF1AF0"/>
    <w:rsid w:val="06F53C79"/>
    <w:rsid w:val="070B0094"/>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2568BD"/>
    <w:rsid w:val="09335624"/>
    <w:rsid w:val="0944690F"/>
    <w:rsid w:val="09535675"/>
    <w:rsid w:val="095F057D"/>
    <w:rsid w:val="09642282"/>
    <w:rsid w:val="09733572"/>
    <w:rsid w:val="09772C16"/>
    <w:rsid w:val="098353B5"/>
    <w:rsid w:val="09A92330"/>
    <w:rsid w:val="09B06B87"/>
    <w:rsid w:val="09C13146"/>
    <w:rsid w:val="09E04166"/>
    <w:rsid w:val="0A1C0718"/>
    <w:rsid w:val="0A2148F3"/>
    <w:rsid w:val="0A3E7710"/>
    <w:rsid w:val="0A5B7E63"/>
    <w:rsid w:val="0A703465"/>
    <w:rsid w:val="0AA374A5"/>
    <w:rsid w:val="0AAB7649"/>
    <w:rsid w:val="0ABC5606"/>
    <w:rsid w:val="0ACD61E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772B7"/>
    <w:rsid w:val="0CC007F7"/>
    <w:rsid w:val="0CC617AC"/>
    <w:rsid w:val="0CD66F96"/>
    <w:rsid w:val="0CE618DF"/>
    <w:rsid w:val="0CFE707A"/>
    <w:rsid w:val="0D063BDA"/>
    <w:rsid w:val="0D08375F"/>
    <w:rsid w:val="0D184CFB"/>
    <w:rsid w:val="0D4A7419"/>
    <w:rsid w:val="0D827401"/>
    <w:rsid w:val="0D84094E"/>
    <w:rsid w:val="0D8A00E9"/>
    <w:rsid w:val="0D8D589E"/>
    <w:rsid w:val="0DA01C73"/>
    <w:rsid w:val="0DD63300"/>
    <w:rsid w:val="0DF50604"/>
    <w:rsid w:val="0DF65989"/>
    <w:rsid w:val="0DF702FE"/>
    <w:rsid w:val="0E060E51"/>
    <w:rsid w:val="0E4D27DF"/>
    <w:rsid w:val="0E5604B2"/>
    <w:rsid w:val="0E6D5D79"/>
    <w:rsid w:val="0E9D0089"/>
    <w:rsid w:val="0EB803EE"/>
    <w:rsid w:val="0EF94D4B"/>
    <w:rsid w:val="0F2F263F"/>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6C0548"/>
    <w:rsid w:val="118963A1"/>
    <w:rsid w:val="11C6522A"/>
    <w:rsid w:val="11E104CC"/>
    <w:rsid w:val="11E20309"/>
    <w:rsid w:val="12255233"/>
    <w:rsid w:val="12437C74"/>
    <w:rsid w:val="12530213"/>
    <w:rsid w:val="127723A9"/>
    <w:rsid w:val="12862074"/>
    <w:rsid w:val="12883966"/>
    <w:rsid w:val="129E45B4"/>
    <w:rsid w:val="12D81596"/>
    <w:rsid w:val="13072A44"/>
    <w:rsid w:val="1311486C"/>
    <w:rsid w:val="135F4BE2"/>
    <w:rsid w:val="139473F1"/>
    <w:rsid w:val="139B1A0A"/>
    <w:rsid w:val="139D25C7"/>
    <w:rsid w:val="13BF3CE4"/>
    <w:rsid w:val="13E72483"/>
    <w:rsid w:val="141008D8"/>
    <w:rsid w:val="14125FE6"/>
    <w:rsid w:val="146D271E"/>
    <w:rsid w:val="14982588"/>
    <w:rsid w:val="149A5AD9"/>
    <w:rsid w:val="14A7619D"/>
    <w:rsid w:val="150536C3"/>
    <w:rsid w:val="150C1963"/>
    <w:rsid w:val="151447A0"/>
    <w:rsid w:val="152B4878"/>
    <w:rsid w:val="154A6454"/>
    <w:rsid w:val="15762120"/>
    <w:rsid w:val="168F7E12"/>
    <w:rsid w:val="16A8729C"/>
    <w:rsid w:val="16B33777"/>
    <w:rsid w:val="16BC70A7"/>
    <w:rsid w:val="16C6339E"/>
    <w:rsid w:val="172F2D79"/>
    <w:rsid w:val="174006E6"/>
    <w:rsid w:val="17557BEF"/>
    <w:rsid w:val="17D349C1"/>
    <w:rsid w:val="1830729E"/>
    <w:rsid w:val="1870062C"/>
    <w:rsid w:val="18817102"/>
    <w:rsid w:val="18830A15"/>
    <w:rsid w:val="18852B28"/>
    <w:rsid w:val="188B5321"/>
    <w:rsid w:val="19832ED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A056C"/>
    <w:rsid w:val="1C1B3B4A"/>
    <w:rsid w:val="1C7725CD"/>
    <w:rsid w:val="1C88086E"/>
    <w:rsid w:val="1CA51364"/>
    <w:rsid w:val="1CBF39E4"/>
    <w:rsid w:val="1CDD7D6D"/>
    <w:rsid w:val="1D266CE1"/>
    <w:rsid w:val="1D3963AF"/>
    <w:rsid w:val="1D3D0FE5"/>
    <w:rsid w:val="1D6A673C"/>
    <w:rsid w:val="1D9247AE"/>
    <w:rsid w:val="1DB567EC"/>
    <w:rsid w:val="1DEF31D0"/>
    <w:rsid w:val="1DF51A98"/>
    <w:rsid w:val="1E3D060F"/>
    <w:rsid w:val="1E3F7D2E"/>
    <w:rsid w:val="1E4134E4"/>
    <w:rsid w:val="1E5062B3"/>
    <w:rsid w:val="1E523514"/>
    <w:rsid w:val="1E714A66"/>
    <w:rsid w:val="1E802593"/>
    <w:rsid w:val="1E8B6156"/>
    <w:rsid w:val="1EA703CC"/>
    <w:rsid w:val="1EB7330C"/>
    <w:rsid w:val="1ED0096A"/>
    <w:rsid w:val="1EEB1EAF"/>
    <w:rsid w:val="1F0827F2"/>
    <w:rsid w:val="1F0A0FF3"/>
    <w:rsid w:val="1F1F101A"/>
    <w:rsid w:val="1F5771FF"/>
    <w:rsid w:val="1F646BF6"/>
    <w:rsid w:val="1F904124"/>
    <w:rsid w:val="1FE868A9"/>
    <w:rsid w:val="1FF57F5C"/>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2A4802"/>
    <w:rsid w:val="22334A87"/>
    <w:rsid w:val="22BE6801"/>
    <w:rsid w:val="233500BF"/>
    <w:rsid w:val="23377FF7"/>
    <w:rsid w:val="236B425F"/>
    <w:rsid w:val="23836192"/>
    <w:rsid w:val="23901F29"/>
    <w:rsid w:val="239C0061"/>
    <w:rsid w:val="23B908A4"/>
    <w:rsid w:val="23E95BEF"/>
    <w:rsid w:val="23FD0064"/>
    <w:rsid w:val="242642DB"/>
    <w:rsid w:val="245375B0"/>
    <w:rsid w:val="24642C0A"/>
    <w:rsid w:val="24B22173"/>
    <w:rsid w:val="24B95AD9"/>
    <w:rsid w:val="24BE24DA"/>
    <w:rsid w:val="24CF5825"/>
    <w:rsid w:val="24D663E6"/>
    <w:rsid w:val="24D77F2B"/>
    <w:rsid w:val="24F93AAC"/>
    <w:rsid w:val="256E67E6"/>
    <w:rsid w:val="258B00E2"/>
    <w:rsid w:val="25A917A6"/>
    <w:rsid w:val="25BE27CC"/>
    <w:rsid w:val="25F211C5"/>
    <w:rsid w:val="25F74A5C"/>
    <w:rsid w:val="26210C1E"/>
    <w:rsid w:val="2628662C"/>
    <w:rsid w:val="262D45DE"/>
    <w:rsid w:val="266F2816"/>
    <w:rsid w:val="26871DC8"/>
    <w:rsid w:val="26A53EF9"/>
    <w:rsid w:val="26A94201"/>
    <w:rsid w:val="26AC274F"/>
    <w:rsid w:val="27044A29"/>
    <w:rsid w:val="271D34C8"/>
    <w:rsid w:val="276142BF"/>
    <w:rsid w:val="27783712"/>
    <w:rsid w:val="27907362"/>
    <w:rsid w:val="27DA63B5"/>
    <w:rsid w:val="281335CC"/>
    <w:rsid w:val="28333E1D"/>
    <w:rsid w:val="28454BD6"/>
    <w:rsid w:val="28455253"/>
    <w:rsid w:val="28551971"/>
    <w:rsid w:val="285B1C53"/>
    <w:rsid w:val="289F7086"/>
    <w:rsid w:val="28C32028"/>
    <w:rsid w:val="28CC490F"/>
    <w:rsid w:val="28DE40AA"/>
    <w:rsid w:val="29345E77"/>
    <w:rsid w:val="294C65AD"/>
    <w:rsid w:val="29806583"/>
    <w:rsid w:val="298B3C4C"/>
    <w:rsid w:val="29E424BB"/>
    <w:rsid w:val="29F26D24"/>
    <w:rsid w:val="2A15033F"/>
    <w:rsid w:val="2A1662C1"/>
    <w:rsid w:val="2A1C7367"/>
    <w:rsid w:val="2A2815FA"/>
    <w:rsid w:val="2A6D6092"/>
    <w:rsid w:val="2A7D76B4"/>
    <w:rsid w:val="2AEF2CC6"/>
    <w:rsid w:val="2B437463"/>
    <w:rsid w:val="2B7807EE"/>
    <w:rsid w:val="2BA50BF7"/>
    <w:rsid w:val="2BBF00EC"/>
    <w:rsid w:val="2BC37CFD"/>
    <w:rsid w:val="2BD5237F"/>
    <w:rsid w:val="2BE536CE"/>
    <w:rsid w:val="2BE758D9"/>
    <w:rsid w:val="2BF11F1F"/>
    <w:rsid w:val="2C09049E"/>
    <w:rsid w:val="2C0A653C"/>
    <w:rsid w:val="2C191F85"/>
    <w:rsid w:val="2CE82D6F"/>
    <w:rsid w:val="2D343236"/>
    <w:rsid w:val="2DD15014"/>
    <w:rsid w:val="2DF72DE4"/>
    <w:rsid w:val="2E0220AF"/>
    <w:rsid w:val="2E4B082A"/>
    <w:rsid w:val="2E5D4E86"/>
    <w:rsid w:val="2E5D790B"/>
    <w:rsid w:val="2E8F7B31"/>
    <w:rsid w:val="2E9A3C18"/>
    <w:rsid w:val="2EBB0FEE"/>
    <w:rsid w:val="2EC63002"/>
    <w:rsid w:val="2F0A6B38"/>
    <w:rsid w:val="2F2D05FC"/>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B62234"/>
    <w:rsid w:val="32BE5C2C"/>
    <w:rsid w:val="32D63C1D"/>
    <w:rsid w:val="32FB6478"/>
    <w:rsid w:val="332410BB"/>
    <w:rsid w:val="33263B3F"/>
    <w:rsid w:val="336963EB"/>
    <w:rsid w:val="33816EEB"/>
    <w:rsid w:val="33B41578"/>
    <w:rsid w:val="33B6537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15A8F"/>
    <w:rsid w:val="37EE7094"/>
    <w:rsid w:val="38296C89"/>
    <w:rsid w:val="383002EB"/>
    <w:rsid w:val="38586797"/>
    <w:rsid w:val="38BC0149"/>
    <w:rsid w:val="38D87D1C"/>
    <w:rsid w:val="38EC419A"/>
    <w:rsid w:val="39636459"/>
    <w:rsid w:val="396B7F6C"/>
    <w:rsid w:val="397321C6"/>
    <w:rsid w:val="39A04924"/>
    <w:rsid w:val="39B417A9"/>
    <w:rsid w:val="39FC5695"/>
    <w:rsid w:val="3A006D8E"/>
    <w:rsid w:val="3A204F94"/>
    <w:rsid w:val="3A3651E5"/>
    <w:rsid w:val="3A744481"/>
    <w:rsid w:val="3A8C7BEF"/>
    <w:rsid w:val="3A906246"/>
    <w:rsid w:val="3B2349B7"/>
    <w:rsid w:val="3B52150B"/>
    <w:rsid w:val="3B616CFF"/>
    <w:rsid w:val="3B6259F6"/>
    <w:rsid w:val="3B976654"/>
    <w:rsid w:val="3BC01EFC"/>
    <w:rsid w:val="3BCA786A"/>
    <w:rsid w:val="3BD31E2F"/>
    <w:rsid w:val="3BF15831"/>
    <w:rsid w:val="3C105946"/>
    <w:rsid w:val="3C471448"/>
    <w:rsid w:val="3C5F759A"/>
    <w:rsid w:val="3C6C525A"/>
    <w:rsid w:val="3CC92038"/>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421CB"/>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B831AD"/>
    <w:rsid w:val="42CD1CE0"/>
    <w:rsid w:val="42E1381E"/>
    <w:rsid w:val="42ED6459"/>
    <w:rsid w:val="42FE58DD"/>
    <w:rsid w:val="43174B3D"/>
    <w:rsid w:val="434B790E"/>
    <w:rsid w:val="4360274F"/>
    <w:rsid w:val="43977AB6"/>
    <w:rsid w:val="43A3342B"/>
    <w:rsid w:val="43C77C27"/>
    <w:rsid w:val="43DE09EE"/>
    <w:rsid w:val="44002FAD"/>
    <w:rsid w:val="441C14FB"/>
    <w:rsid w:val="441C37AA"/>
    <w:rsid w:val="449101DD"/>
    <w:rsid w:val="44DE1391"/>
    <w:rsid w:val="451B225C"/>
    <w:rsid w:val="452410C9"/>
    <w:rsid w:val="45317DFB"/>
    <w:rsid w:val="456D3CE4"/>
    <w:rsid w:val="4579042C"/>
    <w:rsid w:val="457D3E99"/>
    <w:rsid w:val="457F0571"/>
    <w:rsid w:val="45851176"/>
    <w:rsid w:val="458C3AEA"/>
    <w:rsid w:val="45C55BC2"/>
    <w:rsid w:val="45C63B94"/>
    <w:rsid w:val="45F168F2"/>
    <w:rsid w:val="460E7DA5"/>
    <w:rsid w:val="46422483"/>
    <w:rsid w:val="4659254A"/>
    <w:rsid w:val="465B0637"/>
    <w:rsid w:val="465E3F0D"/>
    <w:rsid w:val="466A16E6"/>
    <w:rsid w:val="46893F2B"/>
    <w:rsid w:val="46C444E6"/>
    <w:rsid w:val="46C4686E"/>
    <w:rsid w:val="477B778F"/>
    <w:rsid w:val="478203EC"/>
    <w:rsid w:val="479223B1"/>
    <w:rsid w:val="47A358DE"/>
    <w:rsid w:val="47B025FA"/>
    <w:rsid w:val="48011AED"/>
    <w:rsid w:val="4809698F"/>
    <w:rsid w:val="4811697D"/>
    <w:rsid w:val="487A3E25"/>
    <w:rsid w:val="488B5503"/>
    <w:rsid w:val="48937E21"/>
    <w:rsid w:val="489A0361"/>
    <w:rsid w:val="48A8102D"/>
    <w:rsid w:val="48B94FF3"/>
    <w:rsid w:val="48E37AAB"/>
    <w:rsid w:val="48FD4B4C"/>
    <w:rsid w:val="490A68E0"/>
    <w:rsid w:val="491055FE"/>
    <w:rsid w:val="495F5B3E"/>
    <w:rsid w:val="496C4368"/>
    <w:rsid w:val="496F77D7"/>
    <w:rsid w:val="497654FD"/>
    <w:rsid w:val="49B64211"/>
    <w:rsid w:val="49D41AAC"/>
    <w:rsid w:val="49F6167F"/>
    <w:rsid w:val="4A064FA0"/>
    <w:rsid w:val="4A16615C"/>
    <w:rsid w:val="4A4424D7"/>
    <w:rsid w:val="4AB82D0F"/>
    <w:rsid w:val="4ABA5EC7"/>
    <w:rsid w:val="4AEB7664"/>
    <w:rsid w:val="4AFD7C19"/>
    <w:rsid w:val="4B0065A4"/>
    <w:rsid w:val="4B0567D1"/>
    <w:rsid w:val="4B236AAE"/>
    <w:rsid w:val="4B2F799D"/>
    <w:rsid w:val="4B707271"/>
    <w:rsid w:val="4B9739F7"/>
    <w:rsid w:val="4BEE2503"/>
    <w:rsid w:val="4BF727EA"/>
    <w:rsid w:val="4C245A30"/>
    <w:rsid w:val="4C6B00A8"/>
    <w:rsid w:val="4CB6685F"/>
    <w:rsid w:val="4CC367FE"/>
    <w:rsid w:val="4D077F3C"/>
    <w:rsid w:val="4D123355"/>
    <w:rsid w:val="4D2A3B31"/>
    <w:rsid w:val="4D312C52"/>
    <w:rsid w:val="4D905305"/>
    <w:rsid w:val="4D964A72"/>
    <w:rsid w:val="4D9C1254"/>
    <w:rsid w:val="4D9E5B15"/>
    <w:rsid w:val="4E50267E"/>
    <w:rsid w:val="4E745EC6"/>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32D09"/>
    <w:rsid w:val="522E4CC3"/>
    <w:rsid w:val="5244713B"/>
    <w:rsid w:val="52615633"/>
    <w:rsid w:val="526F4DE4"/>
    <w:rsid w:val="52977FD4"/>
    <w:rsid w:val="52A25790"/>
    <w:rsid w:val="52A96B6F"/>
    <w:rsid w:val="52B45975"/>
    <w:rsid w:val="52D94AA4"/>
    <w:rsid w:val="52E80913"/>
    <w:rsid w:val="52EA3A62"/>
    <w:rsid w:val="52F50BB8"/>
    <w:rsid w:val="53097272"/>
    <w:rsid w:val="534C1537"/>
    <w:rsid w:val="53544462"/>
    <w:rsid w:val="5397158E"/>
    <w:rsid w:val="53E325D5"/>
    <w:rsid w:val="54013861"/>
    <w:rsid w:val="54487265"/>
    <w:rsid w:val="544D6070"/>
    <w:rsid w:val="545C7FCE"/>
    <w:rsid w:val="54605E1E"/>
    <w:rsid w:val="54AA6D09"/>
    <w:rsid w:val="54B3506A"/>
    <w:rsid w:val="54CA0D16"/>
    <w:rsid w:val="54DD4057"/>
    <w:rsid w:val="54E7490F"/>
    <w:rsid w:val="550764A4"/>
    <w:rsid w:val="550B2BF6"/>
    <w:rsid w:val="55144405"/>
    <w:rsid w:val="55214EB5"/>
    <w:rsid w:val="55364EFD"/>
    <w:rsid w:val="555D4828"/>
    <w:rsid w:val="557A4C8B"/>
    <w:rsid w:val="558931E1"/>
    <w:rsid w:val="559002B6"/>
    <w:rsid w:val="55923347"/>
    <w:rsid w:val="55925180"/>
    <w:rsid w:val="55983B1B"/>
    <w:rsid w:val="55A8376B"/>
    <w:rsid w:val="55DC29B6"/>
    <w:rsid w:val="55DD4241"/>
    <w:rsid w:val="55FB7373"/>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A621C"/>
    <w:rsid w:val="58917D2F"/>
    <w:rsid w:val="5894085C"/>
    <w:rsid w:val="58AE4F0C"/>
    <w:rsid w:val="58B85899"/>
    <w:rsid w:val="58E363A9"/>
    <w:rsid w:val="591E264C"/>
    <w:rsid w:val="59446E70"/>
    <w:rsid w:val="595E1678"/>
    <w:rsid w:val="596D5BD4"/>
    <w:rsid w:val="597E3DD8"/>
    <w:rsid w:val="59F80043"/>
    <w:rsid w:val="5A09252F"/>
    <w:rsid w:val="5A0B2778"/>
    <w:rsid w:val="5A2A7C7B"/>
    <w:rsid w:val="5A3E2560"/>
    <w:rsid w:val="5A4A0DBF"/>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6D7394"/>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C1252"/>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F75C8"/>
    <w:rsid w:val="635600A5"/>
    <w:rsid w:val="635B1DB5"/>
    <w:rsid w:val="63711FED"/>
    <w:rsid w:val="63880DDC"/>
    <w:rsid w:val="638D750D"/>
    <w:rsid w:val="63AC6CC0"/>
    <w:rsid w:val="63F23480"/>
    <w:rsid w:val="64055776"/>
    <w:rsid w:val="641F5B67"/>
    <w:rsid w:val="64240056"/>
    <w:rsid w:val="643E143A"/>
    <w:rsid w:val="64491666"/>
    <w:rsid w:val="645D6D76"/>
    <w:rsid w:val="648B6EEF"/>
    <w:rsid w:val="64C158BF"/>
    <w:rsid w:val="64CE2EAA"/>
    <w:rsid w:val="64E21E70"/>
    <w:rsid w:val="65366ABA"/>
    <w:rsid w:val="653C3090"/>
    <w:rsid w:val="654266AF"/>
    <w:rsid w:val="65854376"/>
    <w:rsid w:val="658767BE"/>
    <w:rsid w:val="65892531"/>
    <w:rsid w:val="6611076D"/>
    <w:rsid w:val="66195831"/>
    <w:rsid w:val="662E75B1"/>
    <w:rsid w:val="66342C2E"/>
    <w:rsid w:val="663E784C"/>
    <w:rsid w:val="668B6A45"/>
    <w:rsid w:val="67112C4A"/>
    <w:rsid w:val="672F3F24"/>
    <w:rsid w:val="673E055F"/>
    <w:rsid w:val="67490D3A"/>
    <w:rsid w:val="67551CE3"/>
    <w:rsid w:val="676A5208"/>
    <w:rsid w:val="67A21D31"/>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C58E0"/>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03E37"/>
    <w:rsid w:val="6C8C67B7"/>
    <w:rsid w:val="6C9D744C"/>
    <w:rsid w:val="6D167928"/>
    <w:rsid w:val="6D26299B"/>
    <w:rsid w:val="6D4772EC"/>
    <w:rsid w:val="6D4D4500"/>
    <w:rsid w:val="6D9078AF"/>
    <w:rsid w:val="6DAA3FEF"/>
    <w:rsid w:val="6DC0172B"/>
    <w:rsid w:val="6DCB690C"/>
    <w:rsid w:val="6DD41A5B"/>
    <w:rsid w:val="6DD7688B"/>
    <w:rsid w:val="6DF43C2E"/>
    <w:rsid w:val="6DF51CA3"/>
    <w:rsid w:val="6E8335BD"/>
    <w:rsid w:val="6E8E12EF"/>
    <w:rsid w:val="6E972936"/>
    <w:rsid w:val="6EC40263"/>
    <w:rsid w:val="6ED446C5"/>
    <w:rsid w:val="6F0A44BC"/>
    <w:rsid w:val="6F2A7D94"/>
    <w:rsid w:val="6F4242A3"/>
    <w:rsid w:val="6F8331F1"/>
    <w:rsid w:val="6FAE1A09"/>
    <w:rsid w:val="6FD75BF8"/>
    <w:rsid w:val="707723D0"/>
    <w:rsid w:val="70F5661B"/>
    <w:rsid w:val="71180F56"/>
    <w:rsid w:val="71360107"/>
    <w:rsid w:val="713B688E"/>
    <w:rsid w:val="7148279F"/>
    <w:rsid w:val="71D43752"/>
    <w:rsid w:val="71F1796A"/>
    <w:rsid w:val="71FB63D5"/>
    <w:rsid w:val="72154626"/>
    <w:rsid w:val="72262B5D"/>
    <w:rsid w:val="72283FF7"/>
    <w:rsid w:val="722E7212"/>
    <w:rsid w:val="723A0474"/>
    <w:rsid w:val="725923E4"/>
    <w:rsid w:val="72864BF7"/>
    <w:rsid w:val="729023FC"/>
    <w:rsid w:val="72B64F42"/>
    <w:rsid w:val="73085C46"/>
    <w:rsid w:val="73724CC1"/>
    <w:rsid w:val="73C0646E"/>
    <w:rsid w:val="742222F5"/>
    <w:rsid w:val="74476126"/>
    <w:rsid w:val="74706664"/>
    <w:rsid w:val="747F3682"/>
    <w:rsid w:val="749C4185"/>
    <w:rsid w:val="74F14E44"/>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CF7268"/>
    <w:rsid w:val="76DB4B92"/>
    <w:rsid w:val="77052AA4"/>
    <w:rsid w:val="77136511"/>
    <w:rsid w:val="77340A39"/>
    <w:rsid w:val="77351FD0"/>
    <w:rsid w:val="77472422"/>
    <w:rsid w:val="777F31F2"/>
    <w:rsid w:val="77D1700D"/>
    <w:rsid w:val="77EC04CC"/>
    <w:rsid w:val="78775729"/>
    <w:rsid w:val="78A42DB0"/>
    <w:rsid w:val="78A656AB"/>
    <w:rsid w:val="78B2245C"/>
    <w:rsid w:val="78D6184E"/>
    <w:rsid w:val="78E172CC"/>
    <w:rsid w:val="78EA1D1F"/>
    <w:rsid w:val="79036DC3"/>
    <w:rsid w:val="7904172F"/>
    <w:rsid w:val="790F7E27"/>
    <w:rsid w:val="792A231A"/>
    <w:rsid w:val="79316829"/>
    <w:rsid w:val="79510D9E"/>
    <w:rsid w:val="797E66A9"/>
    <w:rsid w:val="798518A4"/>
    <w:rsid w:val="79A97383"/>
    <w:rsid w:val="79E27E8B"/>
    <w:rsid w:val="79F850CE"/>
    <w:rsid w:val="79FD443C"/>
    <w:rsid w:val="7A1D1975"/>
    <w:rsid w:val="7A2F56B9"/>
    <w:rsid w:val="7A3E5150"/>
    <w:rsid w:val="7A4670D6"/>
    <w:rsid w:val="7A534B63"/>
    <w:rsid w:val="7A615382"/>
    <w:rsid w:val="7A67303B"/>
    <w:rsid w:val="7AAB1D04"/>
    <w:rsid w:val="7AB20098"/>
    <w:rsid w:val="7ABA4368"/>
    <w:rsid w:val="7AD05746"/>
    <w:rsid w:val="7B234AF2"/>
    <w:rsid w:val="7B257FFD"/>
    <w:rsid w:val="7B343476"/>
    <w:rsid w:val="7B5A2978"/>
    <w:rsid w:val="7B5A7E4C"/>
    <w:rsid w:val="7B667AF9"/>
    <w:rsid w:val="7B7468F8"/>
    <w:rsid w:val="7BD25FA8"/>
    <w:rsid w:val="7BEE0103"/>
    <w:rsid w:val="7C0A0FE4"/>
    <w:rsid w:val="7C254906"/>
    <w:rsid w:val="7C590818"/>
    <w:rsid w:val="7C7C10F6"/>
    <w:rsid w:val="7C853BEA"/>
    <w:rsid w:val="7C881368"/>
    <w:rsid w:val="7CD564F7"/>
    <w:rsid w:val="7CE27788"/>
    <w:rsid w:val="7CE95490"/>
    <w:rsid w:val="7D0C32F1"/>
    <w:rsid w:val="7D0F408D"/>
    <w:rsid w:val="7D491C6C"/>
    <w:rsid w:val="7D5429C0"/>
    <w:rsid w:val="7D6E6D43"/>
    <w:rsid w:val="7D823D52"/>
    <w:rsid w:val="7DB57A34"/>
    <w:rsid w:val="7DE60973"/>
    <w:rsid w:val="7DEF0916"/>
    <w:rsid w:val="7E1E5218"/>
    <w:rsid w:val="7E6C679B"/>
    <w:rsid w:val="7E9A4E1F"/>
    <w:rsid w:val="7EA7723A"/>
    <w:rsid w:val="7EF56FBB"/>
    <w:rsid w:val="7F0768EB"/>
    <w:rsid w:val="7F141322"/>
    <w:rsid w:val="7F143BEC"/>
    <w:rsid w:val="7F362021"/>
    <w:rsid w:val="7F715AF2"/>
    <w:rsid w:val="7F7B47F9"/>
    <w:rsid w:val="7F886E69"/>
    <w:rsid w:val="7F910882"/>
    <w:rsid w:val="7FF7635D"/>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8"/>
    <w:autoRedefine/>
    <w:qFormat/>
    <w:uiPriority w:val="0"/>
    <w:pPr>
      <w:shd w:val="clear" w:color="auto" w:fill="000080"/>
    </w:pPr>
  </w:style>
  <w:style w:type="paragraph" w:styleId="19">
    <w:name w:val="toa heading"/>
    <w:basedOn w:val="1"/>
    <w:next w:val="1"/>
    <w:autoRedefine/>
    <w:qFormat/>
    <w:uiPriority w:val="0"/>
    <w:pPr>
      <w:spacing w:before="120"/>
    </w:pPr>
    <w:rPr>
      <w:rFonts w:ascii="Arial"/>
      <w:kern w:val="0"/>
      <w:sz w:val="24"/>
      <w:szCs w:val="20"/>
    </w:rPr>
  </w:style>
  <w:style w:type="paragraph" w:styleId="20">
    <w:name w:val="annotation text"/>
    <w:basedOn w:val="1"/>
    <w:link w:val="348"/>
    <w:autoRedefine/>
    <w:qFormat/>
    <w:uiPriority w:val="99"/>
    <w:pPr>
      <w:jc w:val="left"/>
    </w:pPr>
  </w:style>
  <w:style w:type="paragraph" w:styleId="21">
    <w:name w:val="Salutation"/>
    <w:basedOn w:val="1"/>
    <w:next w:val="1"/>
    <w:link w:val="302"/>
    <w:autoRedefine/>
    <w:qFormat/>
    <w:uiPriority w:val="0"/>
    <w:rPr>
      <w:rFonts w:ascii="仿宋_GB2312" w:eastAsia="仿宋_GB2312"/>
      <w:sz w:val="28"/>
      <w:szCs w:val="20"/>
    </w:rPr>
  </w:style>
  <w:style w:type="paragraph" w:styleId="22">
    <w:name w:val="Body Text 3"/>
    <w:basedOn w:val="1"/>
    <w:link w:val="33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9"/>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7"/>
    <w:autoRedefine/>
    <w:qFormat/>
    <w:uiPriority w:val="0"/>
    <w:pPr>
      <w:ind w:left="100" w:leftChars="2500"/>
    </w:pPr>
    <w:rPr>
      <w:rFonts w:ascii="宋体"/>
      <w:sz w:val="24"/>
      <w:szCs w:val="21"/>
      <w:lang w:val="zh-CN"/>
    </w:rPr>
  </w:style>
  <w:style w:type="paragraph" w:styleId="37">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4"/>
    <w:autoRedefine/>
    <w:qFormat/>
    <w:uiPriority w:val="0"/>
    <w:rPr>
      <w:sz w:val="18"/>
      <w:szCs w:val="18"/>
    </w:rPr>
  </w:style>
  <w:style w:type="paragraph" w:styleId="40">
    <w:name w:val="footer"/>
    <w:basedOn w:val="1"/>
    <w:link w:val="387"/>
    <w:autoRedefine/>
    <w:qFormat/>
    <w:uiPriority w:val="99"/>
    <w:pPr>
      <w:tabs>
        <w:tab w:val="center" w:pos="4153"/>
        <w:tab w:val="right" w:pos="8306"/>
      </w:tabs>
      <w:snapToGrid w:val="0"/>
      <w:jc w:val="left"/>
    </w:pPr>
    <w:rPr>
      <w:sz w:val="18"/>
      <w:szCs w:val="18"/>
    </w:rPr>
  </w:style>
  <w:style w:type="paragraph" w:styleId="41">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9"/>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6"/>
    <w:autoRedefine/>
    <w:qFormat/>
    <w:uiPriority w:val="0"/>
    <w:pPr>
      <w:spacing w:after="120" w:line="480" w:lineRule="auto"/>
    </w:pPr>
  </w:style>
  <w:style w:type="paragraph" w:styleId="57">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2"/>
    <w:autoRedefine/>
    <w:qFormat/>
    <w:uiPriority w:val="0"/>
    <w:rPr>
      <w:b/>
      <w:bCs/>
    </w:rPr>
  </w:style>
  <w:style w:type="paragraph" w:styleId="61">
    <w:name w:val="Body Text First Indent"/>
    <w:basedOn w:val="24"/>
    <w:link w:val="325"/>
    <w:autoRedefine/>
    <w:qFormat/>
    <w:uiPriority w:val="0"/>
    <w:pPr>
      <w:ind w:firstLine="420"/>
    </w:pPr>
    <w:rPr>
      <w:rFonts w:hAnsi="Calibri" w:cs="Times New Roman"/>
      <w:snapToGrid/>
      <w:szCs w:val="20"/>
    </w:rPr>
  </w:style>
  <w:style w:type="paragraph" w:styleId="62">
    <w:name w:val="Body Text First Indent 2"/>
    <w:basedOn w:val="25"/>
    <w:link w:val="127"/>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样式3"/>
    <w:basedOn w:val="81"/>
    <w:autoRedefine/>
    <w:qFormat/>
    <w:uiPriority w:val="0"/>
    <w:pPr>
      <w:spacing w:before="312" w:beforeLines="100"/>
      <w:jc w:val="left"/>
    </w:pPr>
  </w:style>
  <w:style w:type="paragraph" w:customStyle="1" w:styleId="83">
    <w:name w:val="Default"/>
    <w:next w:val="84"/>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basedOn w:val="1"/>
    <w:next w:val="1"/>
    <w:autoRedefine/>
    <w:qFormat/>
    <w:uiPriority w:val="0"/>
    <w:pPr>
      <w:widowControl/>
      <w:wordWrap w:val="0"/>
      <w:spacing w:before="100" w:beforeAutospacing="1" w:after="100" w:afterAutospacing="1"/>
      <w:ind w:left="2550"/>
    </w:pPr>
    <w:rPr>
      <w:rFonts w:ascii="Calibri" w:hAnsi="Calibri" w:eastAsia="宋体" w:cs="Times New Roman"/>
      <w:kern w:val="0"/>
      <w:szCs w:val="21"/>
    </w:rPr>
  </w:style>
  <w:style w:type="paragraph" w:customStyle="1" w:styleId="85">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86">
    <w:name w:val="正文空2字"/>
    <w:basedOn w:val="87"/>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autoRedefine/>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0"/>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62"/>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0"/>
    <w:autoRedefine/>
    <w:qFormat/>
    <w:uiPriority w:val="0"/>
    <w:rPr>
      <w:rFonts w:ascii="Arial" w:hAnsi="Arial" w:eastAsia="黑体" w:cs="Arial"/>
      <w:snapToGrid w:val="0"/>
      <w:kern w:val="0"/>
      <w:szCs w:val="21"/>
    </w:rPr>
  </w:style>
  <w:style w:type="character" w:customStyle="1" w:styleId="131">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47"/>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Char"/>
    <w:link w:val="8"/>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6"/>
    <w:autoRedefine/>
    <w:qFormat/>
    <w:uiPriority w:val="0"/>
    <w:rPr>
      <w:rFonts w:ascii="宋体"/>
      <w:kern w:val="2"/>
      <w:sz w:val="24"/>
      <w:szCs w:val="21"/>
      <w:lang w:val="zh-CN"/>
    </w:rPr>
  </w:style>
  <w:style w:type="character" w:customStyle="1" w:styleId="188">
    <w:name w:val="标题 9 Char"/>
    <w:link w:val="11"/>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39"/>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8"/>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5"/>
    <w:autoRedefine/>
    <w:qFormat/>
    <w:uiPriority w:val="0"/>
    <w:rPr>
      <w:rFonts w:ascii="仿宋_GB2312" w:hAnsi="仿宋" w:eastAsia="仿宋_GB2312" w:cs="仿宋_GB2312"/>
      <w:sz w:val="32"/>
      <w:szCs w:val="30"/>
      <w:lang w:val="zh-CN"/>
    </w:rPr>
  </w:style>
  <w:style w:type="character" w:customStyle="1" w:styleId="224">
    <w:name w:val="HTML 地址 Char"/>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5"/>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59"/>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1"/>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7"/>
    <w:autoRedefine/>
    <w:qFormat/>
    <w:uiPriority w:val="0"/>
    <w:rPr>
      <w:rFonts w:ascii="黑体" w:hAnsi="Courier New" w:eastAsia="黑体"/>
    </w:rPr>
  </w:style>
  <w:style w:type="character" w:customStyle="1" w:styleId="306">
    <w:name w:val="正文文本 2 Char1"/>
    <w:link w:val="56"/>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6"/>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9"/>
    <w:autoRedefine/>
    <w:qFormat/>
    <w:uiPriority w:val="0"/>
    <w:rPr>
      <w:b/>
      <w:bCs/>
      <w:kern w:val="2"/>
      <w:sz w:val="24"/>
      <w:szCs w:val="24"/>
    </w:rPr>
  </w:style>
  <w:style w:type="character" w:customStyle="1" w:styleId="312">
    <w:name w:val="正文文本缩进 2 Char"/>
    <w:link w:val="37"/>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0"/>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basedOn w:val="70"/>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61"/>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6"/>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2"/>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autoRedefine/>
    <w:qFormat/>
    <w:uiPriority w:val="99"/>
    <w:rPr>
      <w:kern w:val="2"/>
      <w:sz w:val="21"/>
      <w:szCs w:val="24"/>
    </w:rPr>
  </w:style>
  <w:style w:type="character" w:customStyle="1" w:styleId="349">
    <w:name w:val="签名 Char"/>
    <w:link w:val="42"/>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3"/>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0"/>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1"/>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0"/>
    <w:autoRedefine/>
    <w:qFormat/>
    <w:uiPriority w:val="0"/>
    <w:rPr>
      <w:rFonts w:ascii="Arial" w:hAnsi="Arial" w:eastAsia="黑体" w:cs="Arial"/>
      <w:snapToGrid w:val="0"/>
      <w:kern w:val="0"/>
      <w:szCs w:val="21"/>
    </w:rPr>
  </w:style>
  <w:style w:type="character" w:customStyle="1" w:styleId="436">
    <w:name w:val="hui"/>
    <w:basedOn w:val="70"/>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3"/>
    <w:next w:val="83"/>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3"/>
    <w:next w:val="83"/>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7"/>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8"/>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2"/>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Normal (Web)1"/>
    <w:basedOn w:val="1"/>
    <w:autoRedefine/>
    <w:qFormat/>
    <w:uiPriority w:val="0"/>
    <w:pPr>
      <w:spacing w:before="100" w:beforeAutospacing="1" w:after="100" w:afterAutospacing="1"/>
      <w:jc w:val="left"/>
    </w:pPr>
    <w:rPr>
      <w:rFonts w:ascii="宋体" w:hAnsi="宋体" w:cs="宋体"/>
      <w:kern w:val="0"/>
      <w:sz w:val="24"/>
    </w:rPr>
  </w:style>
  <w:style w:type="paragraph" w:customStyle="1" w:styleId="970">
    <w:name w:val="招标文件－标准正文"/>
    <w:basedOn w:val="33"/>
    <w:autoRedefine/>
    <w:qFormat/>
    <w:uiPriority w:val="0"/>
    <w:pPr>
      <w:ind w:firstLine="0" w:firstLineChars="0"/>
      <w:jc w:val="both"/>
    </w:pPr>
    <w:rPr>
      <w:rFonts w:hAnsi="宋体" w:cs="Times New Roman"/>
      <w:color w:val="000000"/>
      <w:sz w:val="24"/>
    </w:rPr>
  </w:style>
  <w:style w:type="paragraph" w:customStyle="1" w:styleId="971">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72">
    <w:name w:val="表格正文 五号"/>
    <w:basedOn w:val="973"/>
    <w:autoRedefine/>
    <w:qFormat/>
    <w:uiPriority w:val="0"/>
  </w:style>
  <w:style w:type="paragraph" w:customStyle="1" w:styleId="973">
    <w:name w:val="表格正文小五"/>
    <w:basedOn w:val="1"/>
    <w:autoRedefine/>
    <w:qFormat/>
    <w:uiPriority w:val="0"/>
    <w:pPr>
      <w:snapToGrid w:val="0"/>
      <w:jc w:val="left"/>
    </w:pPr>
    <w:rPr>
      <w:rFonts w:ascii="宋体" w:hAnsi="宋体" w:eastAsia="宋体"/>
      <w:sz w:val="18"/>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theme" Target="theme/theme1.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er" Target="foot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48159</Words>
  <Characters>51265</Characters>
  <Lines>405</Lines>
  <Paragraphs>114</Paragraphs>
  <TotalTime>24</TotalTime>
  <ScaleCrop>false</ScaleCrop>
  <LinksUpToDate>false</LinksUpToDate>
  <CharactersWithSpaces>55839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豪圣</cp:lastModifiedBy>
  <cp:lastPrinted>2021-12-27T11:06:00Z</cp:lastPrinted>
  <dcterms:modified xsi:type="dcterms:W3CDTF">2024-06-24T11:22:29Z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D002E187F65947179A37EA32A4995FA6_13</vt:lpwstr>
  </property>
  <property fmtid="{D5CDD505-2E9C-101B-9397-08002B2CF9AE}" pid="5" name="commondata">
    <vt:lpwstr>eyJoZGlkIjoiNGNlMmFkMDQ1NDY0ZmRiM2Q0NjY4NTFjN2IwMTllYjMifQ==</vt:lpwstr>
  </property>
</Properties>
</file>