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00" w:lineRule="auto"/>
        <w:jc w:val="center"/>
        <w:textAlignment w:val="bottom"/>
        <w:rPr>
          <w:rFonts w:ascii="宋体" w:hAnsi="宋体" w:cs="宋体"/>
          <w:b/>
          <w:spacing w:val="-20"/>
          <w:sz w:val="52"/>
          <w:szCs w:val="52"/>
        </w:rPr>
      </w:pPr>
    </w:p>
    <w:p>
      <w:pPr>
        <w:tabs>
          <w:tab w:val="left" w:pos="0"/>
        </w:tabs>
        <w:adjustRightInd w:val="0"/>
        <w:snapToGrid w:val="0"/>
        <w:spacing w:line="300" w:lineRule="auto"/>
        <w:ind w:firstLine="96" w:firstLineChars="20"/>
        <w:jc w:val="center"/>
        <w:rPr>
          <w:rFonts w:hint="default" w:ascii="宋体" w:hAnsi="宋体" w:cs="宋体"/>
          <w:b/>
          <w:spacing w:val="-20"/>
          <w:sz w:val="52"/>
          <w:szCs w:val="52"/>
        </w:rPr>
      </w:pPr>
      <w:r>
        <w:rPr>
          <w:rFonts w:hint="eastAsia" w:ascii="宋体" w:hAnsi="宋体" w:cs="宋体"/>
          <w:b/>
          <w:spacing w:val="-20"/>
          <w:sz w:val="52"/>
          <w:szCs w:val="52"/>
          <w:lang w:eastAsia="zh-CN"/>
        </w:rPr>
        <w:t>浙江工商大学2024级新生开学典礼和2024届学生毕业典礼策划执行及舞美设备租赁服务项目（重新招标）</w:t>
      </w:r>
    </w:p>
    <w:p>
      <w:pPr>
        <w:tabs>
          <w:tab w:val="left" w:pos="0"/>
        </w:tabs>
        <w:adjustRightInd w:val="0"/>
        <w:snapToGrid w:val="0"/>
        <w:spacing w:line="300" w:lineRule="auto"/>
        <w:ind w:firstLine="201" w:firstLineChars="20"/>
        <w:jc w:val="center"/>
        <w:rPr>
          <w:rFonts w:ascii="宋体" w:hAnsi="宋体" w:cs="宋体"/>
          <w:b/>
          <w:sz w:val="100"/>
          <w:szCs w:val="100"/>
        </w:rPr>
      </w:pPr>
      <w:r>
        <w:rPr>
          <w:rFonts w:hint="eastAsia" w:ascii="宋体" w:hAnsi="宋体" w:cs="宋体"/>
          <w:b/>
          <w:sz w:val="100"/>
          <w:szCs w:val="100"/>
        </w:rPr>
        <w:t>竞争性磋商文件</w:t>
      </w:r>
    </w:p>
    <w:p>
      <w:pPr>
        <w:spacing w:line="360" w:lineRule="auto"/>
        <w:ind w:right="-2"/>
        <w:jc w:val="center"/>
        <w:rPr>
          <w:rFonts w:ascii="宋体" w:hAnsi="宋体" w:cs="宋体"/>
          <w:b/>
          <w:sz w:val="36"/>
        </w:rPr>
      </w:pPr>
      <w:r>
        <w:rPr>
          <w:rFonts w:hint="eastAsia" w:ascii="宋体" w:hAnsi="宋体" w:cs="宋体"/>
          <w:b/>
          <w:sz w:val="36"/>
        </w:rPr>
        <w:t>（线上电子招投标）</w:t>
      </w:r>
    </w:p>
    <w:p>
      <w:pPr>
        <w:adjustRightInd w:val="0"/>
        <w:snapToGrid w:val="0"/>
        <w:spacing w:line="300" w:lineRule="auto"/>
        <w:jc w:val="center"/>
        <w:rPr>
          <w:rFonts w:ascii="宋体" w:hAnsi="宋体" w:cs="宋体"/>
          <w:b/>
          <w:sz w:val="30"/>
          <w:szCs w:val="30"/>
        </w:rPr>
      </w:pPr>
    </w:p>
    <w:p>
      <w:pPr>
        <w:adjustRightInd w:val="0"/>
        <w:snapToGrid w:val="0"/>
        <w:spacing w:line="300" w:lineRule="auto"/>
        <w:ind w:left="424" w:leftChars="202" w:firstLine="425" w:firstLineChars="141"/>
        <w:rPr>
          <w:rFonts w:ascii="宋体" w:hAnsi="宋体" w:cs="宋体"/>
          <w:b/>
          <w:bCs/>
          <w:sz w:val="30"/>
          <w:szCs w:val="30"/>
        </w:rPr>
      </w:pPr>
    </w:p>
    <w:p>
      <w:pPr>
        <w:adjustRightInd w:val="0"/>
        <w:snapToGrid w:val="0"/>
        <w:spacing w:line="300" w:lineRule="auto"/>
        <w:ind w:left="424" w:leftChars="202" w:firstLine="425" w:firstLineChars="141"/>
        <w:rPr>
          <w:rFonts w:ascii="宋体" w:hAnsi="宋体" w:cs="宋体"/>
          <w:b/>
          <w:bCs/>
          <w:sz w:val="30"/>
          <w:szCs w:val="30"/>
        </w:rPr>
      </w:pPr>
    </w:p>
    <w:p>
      <w:pPr>
        <w:adjustRightInd w:val="0"/>
        <w:snapToGrid w:val="0"/>
        <w:spacing w:line="300" w:lineRule="auto"/>
        <w:ind w:left="424" w:leftChars="202" w:firstLine="425" w:firstLineChars="141"/>
        <w:rPr>
          <w:rFonts w:ascii="宋体" w:hAnsi="宋体" w:cs="宋体"/>
          <w:b/>
          <w:bCs/>
          <w:sz w:val="30"/>
          <w:szCs w:val="30"/>
        </w:rPr>
      </w:pPr>
    </w:p>
    <w:p>
      <w:pPr>
        <w:adjustRightInd w:val="0"/>
        <w:snapToGrid w:val="0"/>
        <w:spacing w:line="300" w:lineRule="auto"/>
        <w:ind w:left="424" w:leftChars="202" w:firstLine="425" w:firstLineChars="141"/>
        <w:rPr>
          <w:rFonts w:ascii="宋体" w:hAnsi="宋体" w:cs="宋体"/>
          <w:b/>
          <w:bCs/>
          <w:sz w:val="30"/>
          <w:szCs w:val="30"/>
        </w:rPr>
      </w:pPr>
    </w:p>
    <w:p>
      <w:pPr>
        <w:pStyle w:val="58"/>
      </w:pPr>
    </w:p>
    <w:p>
      <w:pPr>
        <w:pStyle w:val="32"/>
        <w:tabs>
          <w:tab w:val="right" w:leader="dot" w:pos="9403"/>
        </w:tabs>
        <w:rPr>
          <w:rFonts w:ascii="宋体" w:hAnsi="宋体" w:cs="宋体"/>
          <w:b w:val="0"/>
          <w:bCs w:val="0"/>
          <w:sz w:val="30"/>
          <w:szCs w:val="30"/>
        </w:rPr>
      </w:pPr>
    </w:p>
    <w:p>
      <w:pPr>
        <w:rPr>
          <w:rFonts w:ascii="宋体" w:hAnsi="宋体" w:cs="宋体"/>
          <w:b/>
          <w:bCs/>
          <w:sz w:val="30"/>
          <w:szCs w:val="30"/>
        </w:rPr>
      </w:pPr>
    </w:p>
    <w:p>
      <w:pPr>
        <w:pStyle w:val="32"/>
        <w:tabs>
          <w:tab w:val="right" w:leader="dot" w:pos="9403"/>
        </w:tabs>
      </w:pPr>
    </w:p>
    <w:p>
      <w:pPr>
        <w:adjustRightInd w:val="0"/>
        <w:snapToGrid w:val="0"/>
        <w:spacing w:line="300" w:lineRule="auto"/>
        <w:rPr>
          <w:rFonts w:ascii="宋体" w:hAnsi="宋体" w:cs="宋体"/>
          <w:b/>
          <w:bCs/>
          <w:sz w:val="30"/>
          <w:szCs w:val="30"/>
        </w:rPr>
      </w:pPr>
    </w:p>
    <w:p>
      <w:pPr>
        <w:adjustRightInd w:val="0"/>
        <w:snapToGrid w:val="0"/>
        <w:spacing w:line="480" w:lineRule="auto"/>
        <w:ind w:left="424" w:leftChars="202" w:firstLine="425" w:firstLineChars="141"/>
        <w:jc w:val="left"/>
        <w:rPr>
          <w:rFonts w:hint="default" w:ascii="宋体" w:hAnsi="宋体" w:cs="宋体"/>
          <w:b/>
          <w:sz w:val="30"/>
          <w:szCs w:val="30"/>
        </w:rPr>
      </w:pPr>
      <w:r>
        <w:rPr>
          <w:rFonts w:hint="eastAsia" w:ascii="宋体" w:hAnsi="宋体" w:cs="宋体"/>
          <w:b/>
          <w:sz w:val="30"/>
          <w:szCs w:val="30"/>
        </w:rPr>
        <w:t>采购编号：</w:t>
      </w:r>
      <w:r>
        <w:rPr>
          <w:rFonts w:hint="default" w:ascii="宋体" w:hAnsi="宋体" w:cs="宋体"/>
          <w:b/>
          <w:sz w:val="30"/>
          <w:szCs w:val="30"/>
        </w:rPr>
        <w:t>HSZB-2024-335-1</w:t>
      </w:r>
    </w:p>
    <w:p>
      <w:pPr>
        <w:adjustRightInd w:val="0"/>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采 购 人：浙江工商大学</w:t>
      </w:r>
    </w:p>
    <w:p>
      <w:pPr>
        <w:adjustRightInd w:val="0"/>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采购代理机构：浙江豪圣建设项目管理有限公司</w:t>
      </w:r>
    </w:p>
    <w:p>
      <w:pPr>
        <w:adjustRightInd w:val="0"/>
        <w:snapToGrid w:val="0"/>
        <w:spacing w:line="480" w:lineRule="auto"/>
        <w:ind w:left="424" w:leftChars="202" w:firstLine="425" w:firstLineChars="141"/>
        <w:jc w:val="left"/>
        <w:rPr>
          <w:rFonts w:ascii="宋体" w:hAnsi="宋体" w:cs="宋体"/>
          <w:b/>
          <w:sz w:val="30"/>
          <w:szCs w:val="30"/>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sz w:val="30"/>
          <w:szCs w:val="30"/>
        </w:rPr>
        <w:t>日    期：二〇二四年</w:t>
      </w:r>
      <w:r>
        <w:rPr>
          <w:rFonts w:hint="eastAsia" w:ascii="宋体" w:hAnsi="宋体" w:cs="宋体"/>
          <w:b/>
          <w:sz w:val="30"/>
          <w:szCs w:val="30"/>
          <w:lang w:eastAsia="zh-CN"/>
        </w:rPr>
        <w:t>六</w:t>
      </w:r>
      <w:r>
        <w:rPr>
          <w:rFonts w:hint="eastAsia" w:ascii="宋体" w:hAnsi="宋体" w:cs="宋体"/>
          <w:b/>
          <w:sz w:val="30"/>
          <w:szCs w:val="30"/>
        </w:rPr>
        <w:t>月</w:t>
      </w:r>
    </w:p>
    <w:p>
      <w:pPr>
        <w:pageBreakBefore/>
        <w:shd w:val="clear" w:color="auto" w:fill="FFFFFF"/>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32"/>
        <w:tabs>
          <w:tab w:val="right" w:leader="dot" w:pos="8844"/>
        </w:tabs>
        <w:spacing w:line="360" w:lineRule="auto"/>
        <w:rPr>
          <w:sz w:val="21"/>
          <w:szCs w:val="21"/>
        </w:rPr>
      </w:pPr>
      <w:r>
        <w:rPr>
          <w:rFonts w:hint="eastAsia" w:ascii="宋体" w:hAnsi="宋体" w:cs="宋体"/>
          <w:b w:val="0"/>
          <w:sz w:val="21"/>
          <w:szCs w:val="21"/>
        </w:rPr>
        <w:fldChar w:fldCharType="begin"/>
      </w:r>
      <w:r>
        <w:rPr>
          <w:rStyle w:val="52"/>
          <w:rFonts w:hint="eastAsia" w:ascii="宋体" w:hAnsi="宋体" w:cs="宋体"/>
          <w:b w:val="0"/>
          <w:color w:val="auto"/>
          <w:sz w:val="21"/>
          <w:szCs w:val="21"/>
        </w:rPr>
        <w:instrText xml:space="preserve"> TOC \o "1-2" \h \z \u </w:instrText>
      </w:r>
      <w:r>
        <w:rPr>
          <w:rFonts w:hint="eastAsia" w:ascii="宋体" w:hAnsi="宋体" w:cs="宋体"/>
          <w:b w:val="0"/>
          <w:sz w:val="21"/>
          <w:szCs w:val="21"/>
        </w:rPr>
        <w:fldChar w:fldCharType="separate"/>
      </w:r>
      <w:r>
        <w:fldChar w:fldCharType="begin"/>
      </w:r>
      <w:r>
        <w:instrText xml:space="preserve"> HYPERLINK \l "_Toc4776" </w:instrText>
      </w:r>
      <w:r>
        <w:fldChar w:fldCharType="separate"/>
      </w:r>
      <w:r>
        <w:rPr>
          <w:rFonts w:hint="eastAsia" w:ascii="宋体" w:hAnsi="宋体" w:cs="宋体"/>
          <w:sz w:val="21"/>
          <w:szCs w:val="21"/>
        </w:rPr>
        <w:t>第一部分  竞争性磋商公告</w:t>
      </w:r>
      <w:r>
        <w:rPr>
          <w:sz w:val="21"/>
          <w:szCs w:val="21"/>
        </w:rPr>
        <w:tab/>
      </w:r>
      <w:r>
        <w:rPr>
          <w:sz w:val="21"/>
          <w:szCs w:val="21"/>
        </w:rPr>
        <w:fldChar w:fldCharType="begin"/>
      </w:r>
      <w:r>
        <w:rPr>
          <w:sz w:val="21"/>
          <w:szCs w:val="21"/>
        </w:rPr>
        <w:instrText xml:space="preserve"> PAGEREF _Toc4776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2"/>
        <w:tabs>
          <w:tab w:val="right" w:leader="dot" w:pos="8844"/>
        </w:tabs>
        <w:spacing w:line="360" w:lineRule="auto"/>
        <w:rPr>
          <w:sz w:val="21"/>
          <w:szCs w:val="21"/>
        </w:rPr>
      </w:pPr>
      <w:r>
        <w:fldChar w:fldCharType="begin"/>
      </w:r>
      <w:r>
        <w:instrText xml:space="preserve"> HYPERLINK \l "_Toc31035" </w:instrText>
      </w:r>
      <w:r>
        <w:fldChar w:fldCharType="separate"/>
      </w:r>
      <w:r>
        <w:rPr>
          <w:rFonts w:hint="eastAsia" w:ascii="宋体" w:hAnsi="宋体" w:cs="宋体"/>
          <w:sz w:val="21"/>
          <w:szCs w:val="21"/>
        </w:rPr>
        <w:t>第二部分  编制和提交磋商响应文件须知</w:t>
      </w:r>
      <w:r>
        <w:rPr>
          <w:sz w:val="21"/>
          <w:szCs w:val="21"/>
        </w:rPr>
        <w:tab/>
      </w:r>
      <w:r>
        <w:rPr>
          <w:sz w:val="21"/>
          <w:szCs w:val="21"/>
        </w:rPr>
        <w:fldChar w:fldCharType="begin"/>
      </w:r>
      <w:r>
        <w:rPr>
          <w:sz w:val="21"/>
          <w:szCs w:val="21"/>
        </w:rPr>
        <w:instrText xml:space="preserve"> PAGEREF _Toc31035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"_Toc5086" </w:instrText>
      </w:r>
      <w:r>
        <w:fldChar w:fldCharType="separate"/>
      </w:r>
      <w:r>
        <w:rPr>
          <w:rFonts w:hint="eastAsia" w:ascii="宋体" w:hAnsi="宋体" w:cs="宋体"/>
          <w:bCs/>
          <w:sz w:val="21"/>
          <w:szCs w:val="21"/>
        </w:rPr>
        <w:t>一、总 则</w:t>
      </w:r>
      <w:r>
        <w:rPr>
          <w:sz w:val="21"/>
          <w:szCs w:val="21"/>
        </w:rPr>
        <w:tab/>
      </w:r>
      <w:r>
        <w:rPr>
          <w:sz w:val="21"/>
          <w:szCs w:val="21"/>
        </w:rPr>
        <w:fldChar w:fldCharType="begin"/>
      </w:r>
      <w:r>
        <w:rPr>
          <w:sz w:val="21"/>
          <w:szCs w:val="21"/>
        </w:rPr>
        <w:instrText xml:space="preserve"> PAGEREF _Toc5086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"_Toc29333" </w:instrText>
      </w:r>
      <w:r>
        <w:fldChar w:fldCharType="separate"/>
      </w:r>
      <w:r>
        <w:rPr>
          <w:rFonts w:hint="eastAsia" w:ascii="宋体" w:hAnsi="宋体" w:cs="宋体"/>
          <w:sz w:val="21"/>
          <w:szCs w:val="21"/>
        </w:rPr>
        <w:t>三、磋商响应文件的编制</w:t>
      </w:r>
      <w:r>
        <w:rPr>
          <w:sz w:val="21"/>
          <w:szCs w:val="21"/>
        </w:rPr>
        <w:tab/>
      </w:r>
      <w:r>
        <w:rPr>
          <w:sz w:val="21"/>
          <w:szCs w:val="21"/>
        </w:rPr>
        <w:fldChar w:fldCharType="begin"/>
      </w:r>
      <w:r>
        <w:rPr>
          <w:sz w:val="21"/>
          <w:szCs w:val="21"/>
        </w:rPr>
        <w:instrText xml:space="preserve"> PAGEREF _Toc29333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"_Toc15743" </w:instrText>
      </w:r>
      <w:r>
        <w:fldChar w:fldCharType="separate"/>
      </w:r>
      <w:r>
        <w:rPr>
          <w:rFonts w:hint="eastAsia" w:ascii="宋体" w:hAnsi="宋体" w:cs="宋体"/>
          <w:sz w:val="21"/>
          <w:szCs w:val="21"/>
        </w:rPr>
        <w:t>四、磋商响应文件的递交</w:t>
      </w:r>
      <w:r>
        <w:rPr>
          <w:sz w:val="21"/>
          <w:szCs w:val="21"/>
        </w:rPr>
        <w:tab/>
      </w:r>
      <w:r>
        <w:rPr>
          <w:sz w:val="21"/>
          <w:szCs w:val="21"/>
        </w:rPr>
        <w:fldChar w:fldCharType="begin"/>
      </w:r>
      <w:r>
        <w:rPr>
          <w:sz w:val="21"/>
          <w:szCs w:val="21"/>
        </w:rPr>
        <w:instrText xml:space="preserve"> PAGEREF _Toc15743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"_Toc3778" </w:instrText>
      </w:r>
      <w:r>
        <w:fldChar w:fldCharType="separate"/>
      </w:r>
      <w:r>
        <w:rPr>
          <w:rFonts w:hint="eastAsia" w:ascii="宋体" w:hAnsi="宋体" w:cs="宋体"/>
          <w:sz w:val="21"/>
          <w:szCs w:val="21"/>
        </w:rPr>
        <w:t>五、开 标</w:t>
      </w:r>
      <w:r>
        <w:rPr>
          <w:sz w:val="21"/>
          <w:szCs w:val="21"/>
        </w:rPr>
        <w:tab/>
      </w:r>
      <w:r>
        <w:rPr>
          <w:sz w:val="21"/>
          <w:szCs w:val="21"/>
        </w:rPr>
        <w:fldChar w:fldCharType="begin"/>
      </w:r>
      <w:r>
        <w:rPr>
          <w:sz w:val="21"/>
          <w:szCs w:val="21"/>
        </w:rPr>
        <w:instrText xml:space="preserve"> PAGEREF _Toc3778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"_Toc3944" </w:instrText>
      </w:r>
      <w:r>
        <w:fldChar w:fldCharType="separate"/>
      </w:r>
      <w:r>
        <w:rPr>
          <w:rFonts w:hint="eastAsia" w:ascii="宋体" w:hAnsi="宋体" w:cs="宋体"/>
          <w:sz w:val="21"/>
          <w:szCs w:val="21"/>
        </w:rPr>
        <w:t>六、磋 商</w:t>
      </w:r>
      <w:r>
        <w:rPr>
          <w:sz w:val="21"/>
          <w:szCs w:val="21"/>
        </w:rPr>
        <w:tab/>
      </w:r>
      <w:r>
        <w:rPr>
          <w:sz w:val="21"/>
          <w:szCs w:val="21"/>
        </w:rPr>
        <w:fldChar w:fldCharType="begin"/>
      </w:r>
      <w:r>
        <w:rPr>
          <w:sz w:val="21"/>
          <w:szCs w:val="21"/>
        </w:rPr>
        <w:instrText xml:space="preserve"> PAGEREF _Toc3944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38"/>
        <w:tabs>
          <w:tab w:val="right" w:leader="dot" w:pos="8844"/>
        </w:tabs>
        <w:spacing w:line="360" w:lineRule="auto"/>
        <w:rPr>
          <w:sz w:val="21"/>
          <w:szCs w:val="21"/>
        </w:rPr>
      </w:pPr>
      <w:r>
        <w:fldChar w:fldCharType="begin"/>
      </w:r>
      <w:r>
        <w:instrText xml:space="preserve"> HYPERLINK \l "_Toc7290" </w:instrText>
      </w:r>
      <w:r>
        <w:fldChar w:fldCharType="separate"/>
      </w:r>
      <w:r>
        <w:rPr>
          <w:rFonts w:hint="eastAsia" w:ascii="宋体" w:hAnsi="宋体" w:cs="宋体"/>
          <w:bCs/>
          <w:sz w:val="21"/>
          <w:szCs w:val="21"/>
        </w:rPr>
        <w:t>七、合同签订及其他</w:t>
      </w:r>
      <w:r>
        <w:rPr>
          <w:sz w:val="21"/>
          <w:szCs w:val="21"/>
        </w:rPr>
        <w:tab/>
      </w:r>
      <w:r>
        <w:rPr>
          <w:sz w:val="21"/>
          <w:szCs w:val="21"/>
        </w:rPr>
        <w:fldChar w:fldCharType="begin"/>
      </w:r>
      <w:r>
        <w:rPr>
          <w:sz w:val="21"/>
          <w:szCs w:val="21"/>
        </w:rPr>
        <w:instrText xml:space="preserve"> PAGEREF _Toc7290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32"/>
        <w:tabs>
          <w:tab w:val="right" w:leader="dot" w:pos="8844"/>
        </w:tabs>
        <w:spacing w:line="360" w:lineRule="auto"/>
        <w:rPr>
          <w:sz w:val="21"/>
          <w:szCs w:val="21"/>
        </w:rPr>
      </w:pPr>
      <w:r>
        <w:fldChar w:fldCharType="begin"/>
      </w:r>
      <w:r>
        <w:instrText xml:space="preserve"> HYPERLINK \l "_Toc6704" </w:instrText>
      </w:r>
      <w:r>
        <w:fldChar w:fldCharType="separate"/>
      </w:r>
      <w:r>
        <w:rPr>
          <w:rFonts w:hint="eastAsia" w:ascii="宋体" w:hAnsi="宋体" w:cs="宋体"/>
          <w:bCs w:val="0"/>
          <w:sz w:val="21"/>
          <w:szCs w:val="21"/>
        </w:rPr>
        <w:t xml:space="preserve">第三部分  </w:t>
      </w:r>
      <w:r>
        <w:rPr>
          <w:rFonts w:hint="eastAsia" w:ascii="宋体" w:hAnsi="宋体" w:cs="宋体"/>
          <w:sz w:val="21"/>
          <w:szCs w:val="21"/>
        </w:rPr>
        <w:t>项目技术规范和招标需求</w:t>
      </w:r>
      <w:r>
        <w:rPr>
          <w:sz w:val="21"/>
          <w:szCs w:val="21"/>
        </w:rPr>
        <w:tab/>
      </w:r>
      <w:r>
        <w:rPr>
          <w:sz w:val="21"/>
          <w:szCs w:val="21"/>
        </w:rPr>
        <w:fldChar w:fldCharType="begin"/>
      </w:r>
      <w:r>
        <w:rPr>
          <w:sz w:val="21"/>
          <w:szCs w:val="21"/>
        </w:rPr>
        <w:instrText xml:space="preserve"> PAGEREF _Toc6704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32"/>
        <w:tabs>
          <w:tab w:val="right" w:leader="dot" w:pos="8844"/>
        </w:tabs>
        <w:spacing w:line="360" w:lineRule="auto"/>
        <w:rPr>
          <w:sz w:val="21"/>
          <w:szCs w:val="21"/>
        </w:rPr>
      </w:pPr>
      <w:r>
        <w:fldChar w:fldCharType="begin"/>
      </w:r>
      <w:r>
        <w:instrText xml:space="preserve"> HYPERLINK \l "_Toc24248" </w:instrText>
      </w:r>
      <w:r>
        <w:fldChar w:fldCharType="separate"/>
      </w:r>
      <w:r>
        <w:rPr>
          <w:rFonts w:hint="eastAsia" w:ascii="宋体" w:hAnsi="宋体" w:cs="宋体"/>
          <w:sz w:val="21"/>
          <w:szCs w:val="21"/>
        </w:rPr>
        <w:t>第四部分  合同条款</w:t>
      </w:r>
      <w:r>
        <w:rPr>
          <w:sz w:val="21"/>
          <w:szCs w:val="21"/>
        </w:rPr>
        <w:tab/>
      </w:r>
      <w:r>
        <w:rPr>
          <w:sz w:val="21"/>
          <w:szCs w:val="21"/>
        </w:rPr>
        <w:fldChar w:fldCharType="begin"/>
      </w:r>
      <w:r>
        <w:rPr>
          <w:sz w:val="21"/>
          <w:szCs w:val="21"/>
        </w:rPr>
        <w:instrText xml:space="preserve"> PAGEREF _Toc24248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32"/>
        <w:tabs>
          <w:tab w:val="right" w:leader="dot" w:pos="8844"/>
        </w:tabs>
        <w:spacing w:line="360" w:lineRule="auto"/>
        <w:rPr>
          <w:sz w:val="21"/>
          <w:szCs w:val="21"/>
        </w:rPr>
      </w:pPr>
      <w:r>
        <w:fldChar w:fldCharType="begin"/>
      </w:r>
      <w:r>
        <w:instrText xml:space="preserve"> HYPERLINK \l "_Toc6473" </w:instrText>
      </w:r>
      <w:r>
        <w:fldChar w:fldCharType="separate"/>
      </w:r>
      <w:r>
        <w:rPr>
          <w:rFonts w:hint="eastAsia" w:ascii="宋体" w:hAnsi="宋体" w:cs="宋体"/>
          <w:sz w:val="21"/>
          <w:szCs w:val="21"/>
        </w:rPr>
        <w:t>第五部分  应提交的有关格式范例</w:t>
      </w:r>
      <w:r>
        <w:rPr>
          <w:sz w:val="21"/>
          <w:szCs w:val="21"/>
        </w:rPr>
        <w:tab/>
      </w:r>
      <w:r>
        <w:rPr>
          <w:rFonts w:hint="eastAsia"/>
          <w:sz w:val="21"/>
          <w:szCs w:val="21"/>
        </w:rPr>
        <w:t>3</w:t>
      </w:r>
      <w:r>
        <w:rPr>
          <w:rFonts w:hint="eastAsia"/>
          <w:sz w:val="21"/>
          <w:szCs w:val="21"/>
        </w:rPr>
        <w:fldChar w:fldCharType="end"/>
      </w:r>
      <w:r>
        <w:rPr>
          <w:rFonts w:hint="eastAsia" w:ascii="宋体" w:hAnsi="宋体" w:cs="宋体"/>
          <w:sz w:val="21"/>
          <w:szCs w:val="21"/>
        </w:rPr>
        <w:t>1</w:t>
      </w:r>
    </w:p>
    <w:p>
      <w:pPr>
        <w:pStyle w:val="32"/>
        <w:tabs>
          <w:tab w:val="right" w:leader="dot" w:pos="8844"/>
        </w:tabs>
        <w:spacing w:line="360" w:lineRule="auto"/>
        <w:rPr>
          <w:sz w:val="21"/>
          <w:szCs w:val="21"/>
        </w:rPr>
      </w:pPr>
      <w:r>
        <w:fldChar w:fldCharType="begin"/>
      </w:r>
      <w:r>
        <w:instrText xml:space="preserve"> HYPERLINK \l "_Toc20103" </w:instrText>
      </w:r>
      <w:r>
        <w:fldChar w:fldCharType="separate"/>
      </w:r>
      <w:r>
        <w:rPr>
          <w:rFonts w:hint="eastAsia" w:ascii="宋体" w:hAnsi="宋体" w:cs="宋体"/>
          <w:sz w:val="21"/>
          <w:szCs w:val="21"/>
        </w:rPr>
        <w:t>第六部分  评标办法</w:t>
      </w:r>
      <w:r>
        <w:rPr>
          <w:sz w:val="21"/>
          <w:szCs w:val="21"/>
        </w:rPr>
        <w:tab/>
      </w:r>
      <w:r>
        <w:rPr>
          <w:sz w:val="21"/>
          <w:szCs w:val="21"/>
        </w:rPr>
        <w:fldChar w:fldCharType="begin"/>
      </w:r>
      <w:r>
        <w:rPr>
          <w:sz w:val="21"/>
          <w:szCs w:val="21"/>
        </w:rPr>
        <w:instrText xml:space="preserve"> PAGEREF _Toc20103 </w:instrText>
      </w:r>
      <w:r>
        <w:rPr>
          <w:sz w:val="21"/>
          <w:szCs w:val="21"/>
        </w:rPr>
        <w:fldChar w:fldCharType="separate"/>
      </w:r>
      <w:r>
        <w:rPr>
          <w:sz w:val="21"/>
          <w:szCs w:val="21"/>
        </w:rPr>
        <w:t>55</w:t>
      </w:r>
      <w:r>
        <w:rPr>
          <w:sz w:val="21"/>
          <w:szCs w:val="21"/>
        </w:rPr>
        <w:fldChar w:fldCharType="end"/>
      </w:r>
      <w:r>
        <w:rPr>
          <w:sz w:val="21"/>
          <w:szCs w:val="21"/>
        </w:rPr>
        <w:fldChar w:fldCharType="end"/>
      </w:r>
    </w:p>
    <w:p>
      <w:pPr>
        <w:pStyle w:val="32"/>
        <w:tabs>
          <w:tab w:val="right" w:leader="dot" w:pos="8647"/>
        </w:tabs>
        <w:spacing w:line="360" w:lineRule="auto"/>
        <w:ind w:firstLine="249" w:firstLineChars="118"/>
        <w:rPr>
          <w:rFonts w:ascii="宋体" w:hAnsi="宋体" w:cs="宋体"/>
          <w:b w:val="0"/>
          <w:sz w:val="24"/>
          <w:szCs w:val="24"/>
        </w:rPr>
      </w:pPr>
      <w:r>
        <w:rPr>
          <w:rFonts w:hint="eastAsia" w:ascii="宋体" w:hAnsi="宋体" w:cs="宋体"/>
          <w:sz w:val="21"/>
          <w:szCs w:val="21"/>
        </w:rPr>
        <w:fldChar w:fldCharType="end"/>
      </w:r>
    </w:p>
    <w:p>
      <w:pPr>
        <w:pageBreakBefore/>
        <w:shd w:val="clear" w:color="auto" w:fill="FFFFFF"/>
        <w:adjustRightInd w:val="0"/>
        <w:snapToGrid w:val="0"/>
        <w:spacing w:line="360" w:lineRule="auto"/>
        <w:jc w:val="center"/>
        <w:outlineLvl w:val="0"/>
        <w:rPr>
          <w:rFonts w:ascii="宋体" w:hAnsi="宋体" w:cs="宋体"/>
          <w:b/>
          <w:bCs/>
          <w:sz w:val="36"/>
          <w:szCs w:val="36"/>
        </w:rPr>
      </w:pPr>
      <w:bookmarkStart w:id="0" w:name="_Toc361217421"/>
      <w:bookmarkStart w:id="1" w:name="_Toc354996693"/>
      <w:bookmarkStart w:id="2" w:name="_Toc4776"/>
      <w:r>
        <w:rPr>
          <w:rFonts w:hint="eastAsia" w:ascii="宋体" w:hAnsi="宋体" w:cs="宋体"/>
          <w:b/>
          <w:bCs/>
          <w:sz w:val="36"/>
          <w:szCs w:val="36"/>
        </w:rPr>
        <w:t xml:space="preserve">第一部分  </w:t>
      </w:r>
      <w:bookmarkEnd w:id="0"/>
      <w:bookmarkEnd w:id="1"/>
      <w:r>
        <w:rPr>
          <w:rFonts w:hint="eastAsia" w:ascii="宋体" w:hAnsi="宋体" w:cs="宋体"/>
          <w:b/>
          <w:bCs/>
          <w:sz w:val="36"/>
          <w:szCs w:val="36"/>
        </w:rPr>
        <w:t>竞争性磋商公告</w:t>
      </w:r>
      <w:bookmarkEnd w:id="2"/>
    </w:p>
    <w:p>
      <w:pPr>
        <w:adjustRightInd w:val="0"/>
        <w:snapToGrid w:val="0"/>
        <w:spacing w:line="360" w:lineRule="auto"/>
        <w:jc w:val="left"/>
        <w:rPr>
          <w:rFonts w:ascii="宋体" w:hAnsi="宋体" w:cs="宋体"/>
          <w:kern w:val="0"/>
          <w:szCs w:val="21"/>
        </w:rPr>
      </w:pPr>
      <w:bookmarkStart w:id="3" w:name="_Toc28359090"/>
      <w:bookmarkStart w:id="4" w:name="_Toc35393630"/>
      <w:bookmarkStart w:id="5" w:name="_Toc35393799"/>
      <w:bookmarkStart w:id="6" w:name="_Toc28359013"/>
      <w:r>
        <w:rPr>
          <w:rFonts w:hint="eastAsia" w:ascii="宋体" w:hAnsi="宋体" w:cs="宋体"/>
          <w:szCs w:val="21"/>
        </w:rPr>
        <mc:AlternateContent>
          <mc:Choice Requires="wps">
            <w:drawing>
              <wp:anchor distT="0" distB="0" distL="114300" distR="114300" simplePos="0" relativeHeight="251659264" behindDoc="1" locked="0" layoutInCell="1" allowOverlap="1">
                <wp:simplePos x="0" y="0"/>
                <wp:positionH relativeFrom="column">
                  <wp:posOffset>-51435</wp:posOffset>
                </wp:positionH>
                <wp:positionV relativeFrom="paragraph">
                  <wp:posOffset>236220</wp:posOffset>
                </wp:positionV>
                <wp:extent cx="6076950" cy="770255"/>
                <wp:effectExtent l="4445" t="4445" r="14605" b="6350"/>
                <wp:wrapNone/>
                <wp:docPr id="1" name="矩形 6"/>
                <wp:cNvGraphicFramePr/>
                <a:graphic xmlns:a="http://schemas.openxmlformats.org/drawingml/2006/main">
                  <a:graphicData uri="http://schemas.microsoft.com/office/word/2010/wordprocessingShape">
                    <wps:wsp>
                      <wps:cNvSpPr/>
                      <wps:spPr>
                        <a:xfrm>
                          <a:off x="0" y="0"/>
                          <a:ext cx="607695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6" o:spid="_x0000_s1026" o:spt="1" style="position:absolute;left:0pt;margin-left:-4.05pt;margin-top:18.6pt;height:60.65pt;width:478.5pt;z-index:-251657216;mso-width-relative:page;mso-height-relative:page;" fillcolor="#FFFFFF" filled="t" stroked="t" coordsize="21600,21600" o:gfxdata="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DOP2AAAAAkBAAAPAAAAAAAAAAEAIAAAACIA&#10;AABkcnMvZG93bnJldi54bWxQSwECFAAUAAAACACHTuJAtpVwsQkCAAA3BAAADgAAAAAAAAABACAA&#10;AAAnAQAAZHJzL2Uyb0RvYy54bWxQSwUGAAAAAAYABgBZAQAAogUAAAAA&#10;">
                <v:fill on="t" focussize="0,0"/>
                <v:stroke color="#000000" joinstyle="miter"/>
                <v:imagedata o:title=""/>
                <o:lock v:ext="edit" aspectratio="f"/>
                <v:textbox>
                  <w:txbxContent>
                    <w:p/>
                  </w:txbxContent>
                </v:textbox>
              </v:rect>
            </w:pict>
          </mc:Fallback>
        </mc:AlternateContent>
      </w:r>
      <w:r>
        <w:rPr>
          <w:rFonts w:hint="eastAsia" w:ascii="宋体" w:hAnsi="宋体" w:cs="宋体"/>
          <w:kern w:val="0"/>
          <w:szCs w:val="21"/>
        </w:rPr>
        <w:t>项目概况</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eastAsia="zh-CN"/>
        </w:rPr>
        <w:t>浙江工商大学2024级新生开学典礼和2024届学生毕业典礼策划执行及舞美设备租赁服务项目（重新招标）</w:t>
      </w:r>
      <w:r>
        <w:rPr>
          <w:rFonts w:hint="eastAsia" w:ascii="宋体" w:hAnsi="宋体" w:cs="宋体"/>
          <w:kern w:val="0"/>
          <w:szCs w:val="21"/>
        </w:rPr>
        <w:t>的潜在供应商应在浙江政府采购网（http://zfcg.czt.zj.gov.cn/）获取（下载）采购文件，并于</w:t>
      </w:r>
      <w:r>
        <w:rPr>
          <w:rFonts w:hint="eastAsia" w:ascii="宋体" w:hAnsi="宋体" w:cs="宋体"/>
          <w:kern w:val="0"/>
          <w:szCs w:val="21"/>
          <w:lang w:eastAsia="zh-CN"/>
        </w:rPr>
        <w:t>2024年 6 月11 日14：00</w:t>
      </w:r>
      <w:r>
        <w:rPr>
          <w:rFonts w:hint="eastAsia" w:ascii="宋体" w:hAnsi="宋体" w:cs="宋体"/>
          <w:kern w:val="0"/>
          <w:szCs w:val="21"/>
        </w:rPr>
        <w:t>（北京时间）前提交（上传）响应文件。</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一、项目基本情况</w:t>
      </w:r>
    </w:p>
    <w:p>
      <w:pPr>
        <w:adjustRightInd w:val="0"/>
        <w:snapToGrid w:val="0"/>
        <w:spacing w:line="360" w:lineRule="auto"/>
        <w:ind w:firstLine="420" w:firstLineChars="200"/>
        <w:jc w:val="left"/>
        <w:rPr>
          <w:rFonts w:hint="default" w:ascii="宋体" w:hAnsi="宋体" w:cs="宋体"/>
          <w:kern w:val="0"/>
          <w:szCs w:val="21"/>
        </w:rPr>
      </w:pPr>
      <w:r>
        <w:rPr>
          <w:rFonts w:hint="eastAsia" w:ascii="宋体" w:hAnsi="宋体" w:cs="宋体"/>
          <w:kern w:val="0"/>
          <w:szCs w:val="21"/>
        </w:rPr>
        <w:t>项目编号：</w:t>
      </w:r>
      <w:r>
        <w:rPr>
          <w:rFonts w:hint="default" w:ascii="宋体" w:hAnsi="宋体" w:cs="宋体"/>
          <w:kern w:val="0"/>
          <w:szCs w:val="21"/>
        </w:rPr>
        <w:t>HSZB-2024-335-1</w:t>
      </w:r>
    </w:p>
    <w:p>
      <w:pPr>
        <w:adjustRightInd w:val="0"/>
        <w:snapToGrid w:val="0"/>
        <w:spacing w:line="360" w:lineRule="auto"/>
        <w:ind w:firstLine="420" w:firstLineChars="200"/>
        <w:jc w:val="left"/>
        <w:rPr>
          <w:rFonts w:hint="default"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浙江工商大学2024级新生开学典礼和2024届学生毕业典礼策划执行及舞美设备租赁服务项目（重新招标）</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采购方式：竞争性磋商</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预算金额（元）：400000</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最高限价（元）：400000</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采购需求：</w:t>
      </w:r>
    </w:p>
    <w:p>
      <w:pPr>
        <w:adjustRightInd w:val="0"/>
        <w:snapToGrid w:val="0"/>
        <w:spacing w:line="360" w:lineRule="auto"/>
        <w:ind w:left="420" w:leftChars="200"/>
        <w:jc w:val="left"/>
        <w:rPr>
          <w:rFonts w:ascii="宋体" w:hAnsi="宋体" w:cs="宋体"/>
          <w:kern w:val="0"/>
          <w:szCs w:val="21"/>
        </w:rPr>
      </w:pPr>
      <w:r>
        <w:rPr>
          <w:rFonts w:hint="eastAsia" w:ascii="宋体" w:hAnsi="宋体" w:cs="宋体"/>
          <w:kern w:val="0"/>
          <w:szCs w:val="21"/>
        </w:rPr>
        <w:t>数量：1</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预算金额（元）：400000</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单位：项</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简要规格描述：</w:t>
      </w:r>
      <w:r>
        <w:rPr>
          <w:rFonts w:hint="eastAsia" w:ascii="宋体" w:hAnsi="宋体" w:cs="宋体"/>
          <w:kern w:val="0"/>
          <w:szCs w:val="21"/>
          <w:lang w:eastAsia="zh-CN"/>
        </w:rPr>
        <w:t>浙江工商大学2024级新生开学典礼和2024届学生毕业典礼策划执行及舞美设备租赁服务项目（重新招标）</w:t>
      </w:r>
      <w:r>
        <w:rPr>
          <w:rFonts w:hint="eastAsia" w:ascii="宋体" w:hAnsi="宋体" w:cs="宋体"/>
          <w:kern w:val="0"/>
          <w:szCs w:val="21"/>
        </w:rPr>
        <w:t>，具体详见竞争性磋商文件第三部分。</w:t>
      </w:r>
    </w:p>
    <w:p>
      <w:pPr>
        <w:adjustRightInd w:val="0"/>
        <w:snapToGrid w:val="0"/>
        <w:spacing w:line="360" w:lineRule="auto"/>
        <w:ind w:firstLine="420" w:firstLineChars="200"/>
        <w:jc w:val="left"/>
      </w:pPr>
      <w:r>
        <w:rPr>
          <w:rFonts w:hint="eastAsia"/>
        </w:rPr>
        <w:t>备注：</w:t>
      </w:r>
      <w:r>
        <w:rPr>
          <w:rFonts w:hint="eastAsia" w:ascii="宋体" w:hAnsi="宋体" w:cs="宋体"/>
          <w:kern w:val="0"/>
          <w:szCs w:val="21"/>
        </w:rPr>
        <w:t>/</w:t>
      </w:r>
    </w:p>
    <w:p>
      <w:pPr>
        <w:spacing w:line="360" w:lineRule="auto"/>
        <w:ind w:firstLine="420" w:firstLineChars="200"/>
        <w:rPr>
          <w:rFonts w:ascii="宋体" w:hAnsi="宋体" w:cs="宋体"/>
        </w:rPr>
      </w:pPr>
      <w:r>
        <w:rPr>
          <w:rFonts w:hint="eastAsia" w:ascii="宋体" w:hAnsi="宋体" w:cs="宋体"/>
          <w:kern w:val="0"/>
          <w:szCs w:val="21"/>
        </w:rPr>
        <w:t>合同履约期限：合同签订之日至全部活动结束后7天内。</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本项目（是）接受联合体投标。</w:t>
      </w:r>
    </w:p>
    <w:p>
      <w:pPr>
        <w:adjustRightInd w:val="0"/>
        <w:snapToGrid w:val="0"/>
        <w:spacing w:line="360" w:lineRule="auto"/>
        <w:rPr>
          <w:rFonts w:ascii="宋体" w:hAnsi="宋体" w:cs="宋体"/>
          <w:b/>
          <w:sz w:val="24"/>
        </w:rPr>
      </w:pPr>
      <w:r>
        <w:rPr>
          <w:rFonts w:hint="eastAsia" w:ascii="宋体" w:hAnsi="宋体" w:cs="宋体"/>
          <w:b/>
          <w:sz w:val="24"/>
        </w:rPr>
        <w:t>二、</w:t>
      </w:r>
      <w:bookmarkEnd w:id="3"/>
      <w:bookmarkEnd w:id="4"/>
      <w:bookmarkEnd w:id="5"/>
      <w:bookmarkEnd w:id="6"/>
      <w:r>
        <w:rPr>
          <w:rStyle w:val="48"/>
          <w:rFonts w:hint="eastAsia" w:ascii="宋体" w:hAnsi="宋体" w:cs="宋体"/>
          <w:sz w:val="24"/>
          <w:szCs w:val="22"/>
        </w:rPr>
        <w:t>申请人的资格要求：</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s="宋体"/>
          <w:b/>
          <w:bCs/>
          <w:szCs w:val="21"/>
        </w:rPr>
      </w:pPr>
      <w:r>
        <w:rPr>
          <w:rFonts w:hint="eastAsia" w:ascii="宋体" w:hAnsi="宋体" w:cs="宋体"/>
          <w:kern w:val="0"/>
          <w:szCs w:val="21"/>
        </w:rPr>
        <w:t>2.落实政府采购政策需满足的资格要求：专门面向中小企业，服务全部由符合政策要求的中小企业承接，提供中小企业声明函</w:t>
      </w:r>
      <w:r>
        <w:rPr>
          <w:rFonts w:hint="eastAsia" w:ascii="宋体" w:hAnsi="宋体" w:cs="宋体"/>
          <w:b/>
          <w:bCs/>
          <w:szCs w:val="21"/>
        </w:rPr>
        <w:t>。</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3.本项目的特定资格要求：</w:t>
      </w:r>
      <w:r>
        <w:rPr>
          <w:rFonts w:hint="eastAsia" w:ascii="宋体" w:hAnsi="宋体" w:cs="宋体"/>
          <w:b/>
          <w:bCs/>
          <w:kern w:val="0"/>
          <w:szCs w:val="21"/>
        </w:rPr>
        <w:t>无。</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三、获取（下载）采购文件</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时间：/2024年 </w:t>
      </w:r>
      <w:r>
        <w:rPr>
          <w:rFonts w:hint="eastAsia" w:ascii="宋体" w:hAnsi="宋体" w:cs="宋体"/>
          <w:kern w:val="0"/>
          <w:szCs w:val="21"/>
          <w:lang w:val="en-US" w:eastAsia="zh-CN"/>
        </w:rPr>
        <w:t>6</w:t>
      </w:r>
      <w:r>
        <w:rPr>
          <w:rFonts w:hint="eastAsia" w:ascii="宋体" w:hAnsi="宋体" w:cs="宋体"/>
          <w:kern w:val="0"/>
          <w:szCs w:val="21"/>
        </w:rPr>
        <w:t>月</w:t>
      </w:r>
      <w:r>
        <w:rPr>
          <w:rFonts w:hint="eastAsia" w:ascii="宋体" w:hAnsi="宋体" w:cs="宋体"/>
          <w:kern w:val="0"/>
          <w:szCs w:val="21"/>
          <w:lang w:val="en-US" w:eastAsia="zh-CN"/>
        </w:rPr>
        <w:t>11</w:t>
      </w:r>
      <w:r>
        <w:rPr>
          <w:rFonts w:hint="eastAsia" w:ascii="宋体" w:hAnsi="宋体" w:cs="宋体"/>
          <w:kern w:val="0"/>
          <w:szCs w:val="21"/>
        </w:rPr>
        <w:t>日，每天上午00:00至12:00，下午12:00至23:59（北京时间，线上获取法定节假日均可，线下获取文件法定节假日除外）</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地点（网址）：浙江政府采购网（http://zfcg.czt.zj.gov.cn/）</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方式：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售价（元）：0</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四、响应文件提交（上传）</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截止时间：</w:t>
      </w:r>
      <w:r>
        <w:rPr>
          <w:rFonts w:hint="eastAsia" w:ascii="宋体" w:hAnsi="宋体" w:cs="宋体"/>
          <w:kern w:val="0"/>
          <w:szCs w:val="21"/>
          <w:lang w:eastAsia="zh-CN"/>
        </w:rPr>
        <w:t>2024年 6 月11 日14：00</w:t>
      </w:r>
      <w:r>
        <w:rPr>
          <w:rFonts w:hint="eastAsia" w:ascii="宋体" w:hAnsi="宋体" w:cs="宋体"/>
          <w:kern w:val="0"/>
          <w:szCs w:val="21"/>
        </w:rPr>
        <w:t>（北京时间）</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地点（网址）：本项目响应文件通过“政府采购云平台（www.zcygov.cn）”传输递交</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五、响应文件开启</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开启时间</w:t>
      </w:r>
      <w:r>
        <w:rPr>
          <w:rFonts w:hint="eastAsia" w:ascii="宋体" w:hAnsi="宋体" w:cs="宋体"/>
          <w:kern w:val="0"/>
          <w:szCs w:val="21"/>
          <w:lang w:eastAsia="zh-CN"/>
        </w:rPr>
        <w:t>2024年 6 月11 日14：00</w:t>
      </w:r>
      <w:r>
        <w:rPr>
          <w:rFonts w:hint="eastAsia" w:ascii="宋体" w:hAnsi="宋体" w:cs="宋体"/>
          <w:kern w:val="0"/>
          <w:szCs w:val="21"/>
        </w:rPr>
        <w:t>（北京时间）</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地点（网址）：政府采购云平台（www.zcygov.cn）</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六、公告期限</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自本公告发布之日起3个工作日。</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七、其他补充事宜</w:t>
      </w:r>
    </w:p>
    <w:p>
      <w:pPr>
        <w:pStyle w:val="13"/>
        <w:spacing w:line="360" w:lineRule="auto"/>
        <w:ind w:firstLine="420" w:firstLineChars="200"/>
        <w:rPr>
          <w:rFonts w:ascii="宋体" w:hAnsi="宋体" w:eastAsia="宋体"/>
          <w:sz w:val="21"/>
          <w:szCs w:val="21"/>
        </w:rPr>
      </w:pPr>
      <w:r>
        <w:rPr>
          <w:rFonts w:hint="eastAsia" w:ascii="宋体" w:hAnsi="宋体" w:eastAsia="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和2022年2月1日和2022年7月1日开始实施，此前有关规定与上述文件内容不一致的，按上述文件要求执行。</w:t>
      </w:r>
    </w:p>
    <w:p>
      <w:pPr>
        <w:pStyle w:val="13"/>
        <w:spacing w:line="360" w:lineRule="auto"/>
        <w:ind w:firstLine="420" w:firstLineChars="200"/>
        <w:rPr>
          <w:rFonts w:ascii="宋体" w:hAnsi="宋体" w:eastAsia="宋体"/>
          <w:sz w:val="21"/>
          <w:szCs w:val="21"/>
        </w:rPr>
      </w:pPr>
      <w:r>
        <w:rPr>
          <w:rFonts w:hint="eastAsia" w:ascii="宋体" w:hAnsi="宋体" w:eastAsia="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
        <w:spacing w:line="360" w:lineRule="auto"/>
        <w:ind w:firstLine="420" w:firstLineChars="200"/>
        <w:rPr>
          <w:rFonts w:ascii="宋体" w:hAnsi="宋体" w:eastAsia="宋体"/>
          <w:sz w:val="21"/>
          <w:szCs w:val="21"/>
        </w:rPr>
      </w:pPr>
      <w:r>
        <w:rPr>
          <w:rFonts w:hint="eastAsia" w:ascii="宋体" w:hAnsi="宋体" w:eastAsia="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4.其他事项：</w:t>
      </w:r>
      <w:r>
        <w:rPr>
          <w:rFonts w:hint="eastAsia" w:ascii="宋体" w:hAnsi="宋体" w:cs="宋体"/>
          <w:kern w:val="0"/>
          <w:szCs w:val="21"/>
        </w:rPr>
        <w:t>（1）供应商应在响应文件递交前完成CA数字证书办理。（办理流程详见：http://zfcg.czt.zj.gov.cn/bidClientTemplate/2019-05-27/12945.html）。</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（2）供应商应安装“政采云投标客户端”，电子投标工具请供应商自行前往浙江政府采购网下载并安装，（下载网址：http://zfcg.czt.zj.gov.cn/bidClientTemplate/2019-09-24/12975.html）。</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（3）电子交易具体流程详见操作指南：登录“政府采购云平台（www.zcygov.cn）”，从首页-服务中心-帮助文档-项目采购-电子招投标，查看文档和视频。</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（4）如有疑问，可致电政府采购云平台技术支持热线咨询，联系方式：400-881-7190。</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（5）供应商应当在响应文件递交截止时间前，将生成的“电子加密响应文件”上传递交至“政府采购云平台”。响应文件递交截止时间以后上传递交的响应文件将被“政府采购云平台”拒收。</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6）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 </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（8）政府采购云平台技术咨询电话：400-881-7190。</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kern w:val="0"/>
          <w:szCs w:val="21"/>
        </w:rPr>
        <w:t>（9）</w:t>
      </w:r>
      <w:r>
        <w:rPr>
          <w:rFonts w:hint="eastAsia" w:ascii="宋体" w:hAnsi="宋体" w:cs="宋体"/>
          <w:szCs w:val="21"/>
        </w:rPr>
        <w:t>依据《政府采购质疑和投诉办法》第十条第二款规定，</w:t>
      </w:r>
      <w:r>
        <w:rPr>
          <w:rFonts w:hint="eastAsia" w:ascii="宋体" w:hAnsi="宋体" w:cs="宋体"/>
          <w:snapToGrid w:val="0"/>
          <w:kern w:val="0"/>
          <w:szCs w:val="21"/>
        </w:rPr>
        <w:t>本项目要求投标人在法定质疑期内一次性提出针对同一采购程序环节的质疑。投标人在法定质疑期内多次提出针对同一采购程序环节的质疑的，采购人或采购代理机构只受理该投标人的第一次有效质疑。</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（10）采购文件公告期限与招标公告的公告期限一致。</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八、凡对本次招标提出询问、质疑、投诉，请按以下方式联系</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1.采购人信息</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名  称：浙江工商大学</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  址：杭州市钱塘区学正街18号</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传  真：/</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项目联系人（询问）：杨老师  </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项目联系方式（询问）：0571-28877251   </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质疑联系人：陈老师</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质疑联系方式：</w:t>
      </w:r>
      <w:r>
        <w:rPr>
          <w:rFonts w:ascii="宋体" w:hAnsi="宋体" w:cs="宋体"/>
          <w:kern w:val="0"/>
          <w:szCs w:val="21"/>
        </w:rPr>
        <w:t>0571-28877292</w:t>
      </w:r>
      <w:r>
        <w:rPr>
          <w:rFonts w:hint="eastAsia" w:ascii="宋体" w:hAnsi="宋体" w:cs="宋体"/>
          <w:kern w:val="0"/>
          <w:szCs w:val="21"/>
        </w:rPr>
        <w:t xml:space="preserve"> </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2.采购代理机构信息</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名  称：浙江豪圣建设项目管理有限公司</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  址：杭州市拱墅区大关路179号远洋国际中心A座17楼1706室</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传  真：/</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项目联系人（询问）：杨男、曹剑斌、陈敏娇</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项目联系方式（询问）：0571-87981527</w:t>
      </w:r>
    </w:p>
    <w:p>
      <w:pPr>
        <w:adjustRightInd w:val="0"/>
        <w:snapToGrid w:val="0"/>
        <w:spacing w:line="360" w:lineRule="auto"/>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质疑联系人：</w:t>
      </w:r>
      <w:r>
        <w:rPr>
          <w:rFonts w:hint="eastAsia" w:ascii="宋体" w:hAnsi="宋体" w:cs="宋体"/>
          <w:kern w:val="0"/>
          <w:szCs w:val="21"/>
          <w:lang w:val="en-US" w:eastAsia="zh-CN"/>
        </w:rPr>
        <w:t>刘德坤</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质疑联系方式：0571-56321030</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3.该项目由采购人处理采购争议。质疑环节，采购人委托采购代理机构处理的，可由采购代理机构答复。对质疑答复不满意的，向采购人内部设置的采购监督机构反映。</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预算金额未达100万元的采购项目，由采购人处理采购争议。</w:t>
      </w:r>
    </w:p>
    <w:p>
      <w:pPr>
        <w:adjustRightInd w:val="0"/>
        <w:snapToGrid w:val="0"/>
        <w:spacing w:line="360" w:lineRule="auto"/>
        <w:ind w:firstLine="420" w:firstLineChars="200"/>
        <w:jc w:val="left"/>
        <w:rPr>
          <w:rFonts w:ascii="宋体" w:hAnsi="宋体" w:cs="宋体"/>
          <w:kern w:val="0"/>
          <w:szCs w:val="21"/>
        </w:rPr>
      </w:pP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360" w:lineRule="auto"/>
        <w:ind w:firstLine="630" w:firstLineChars="300"/>
        <w:jc w:val="left"/>
        <w:rPr>
          <w:rFonts w:ascii="宋体" w:hAnsi="宋体" w:cs="宋体"/>
          <w:b/>
          <w:bCs/>
          <w:sz w:val="24"/>
        </w:rPr>
      </w:pPr>
      <w:r>
        <w:rPr>
          <w:rFonts w:hint="eastAsia" w:ascii="宋体" w:hAnsi="宋体" w:cs="宋体"/>
          <w:kern w:val="0"/>
          <w:szCs w:val="21"/>
        </w:rPr>
        <w:t>CA问题联系电话（人工）：汇信CA 400-888-4636。天谷CA 400-087-8198。</w:t>
      </w:r>
    </w:p>
    <w:p>
      <w:pPr>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ind w:firstLine="480" w:firstLineChars="200"/>
        <w:jc w:val="left"/>
        <w:rPr>
          <w:rFonts w:ascii="宋体" w:hAnsi="宋体" w:cs="宋体"/>
          <w:kern w:val="0"/>
          <w:sz w:val="24"/>
        </w:rPr>
      </w:pPr>
    </w:p>
    <w:p>
      <w:pPr>
        <w:pageBreakBefore/>
        <w:shd w:val="clear" w:color="auto" w:fill="FFFFFF"/>
        <w:adjustRightInd w:val="0"/>
        <w:snapToGrid w:val="0"/>
        <w:spacing w:line="360" w:lineRule="auto"/>
        <w:jc w:val="center"/>
        <w:outlineLvl w:val="0"/>
        <w:rPr>
          <w:rFonts w:ascii="宋体" w:hAnsi="宋体" w:cs="宋体"/>
          <w:b/>
          <w:bCs/>
          <w:sz w:val="36"/>
          <w:szCs w:val="36"/>
        </w:rPr>
      </w:pPr>
      <w:bookmarkStart w:id="7" w:name="_Hlt74707423"/>
      <w:bookmarkEnd w:id="7"/>
      <w:bookmarkStart w:id="8" w:name="_Hlt74649545"/>
      <w:bookmarkEnd w:id="8"/>
      <w:bookmarkStart w:id="9" w:name="_Hlt74729822"/>
      <w:bookmarkEnd w:id="9"/>
      <w:bookmarkStart w:id="10" w:name="_Hlt74728647"/>
      <w:bookmarkEnd w:id="10"/>
      <w:bookmarkStart w:id="11" w:name="_Toc31035"/>
      <w:bookmarkStart w:id="12" w:name="_Toc361217422"/>
      <w:bookmarkStart w:id="13" w:name="_Toc354996694"/>
      <w:bookmarkStart w:id="14" w:name="_Toc225840107"/>
      <w:r>
        <w:rPr>
          <w:rFonts w:hint="eastAsia" w:ascii="宋体" w:hAnsi="宋体" w:cs="宋体"/>
          <w:b/>
          <w:bCs/>
          <w:sz w:val="36"/>
          <w:szCs w:val="36"/>
        </w:rPr>
        <w:t>第二部分  编制和提交磋商响应文件须知</w:t>
      </w:r>
      <w:bookmarkEnd w:id="11"/>
      <w:bookmarkEnd w:id="12"/>
      <w:bookmarkEnd w:id="13"/>
    </w:p>
    <w:p>
      <w:pPr>
        <w:keepNext/>
        <w:keepLines/>
        <w:shd w:val="clear" w:color="auto" w:fill="FFFFFF"/>
        <w:tabs>
          <w:tab w:val="left" w:pos="706"/>
        </w:tabs>
        <w:spacing w:line="360" w:lineRule="auto"/>
        <w:jc w:val="center"/>
        <w:rPr>
          <w:rFonts w:ascii="宋体" w:hAnsi="宋体" w:cs="宋体"/>
          <w:b/>
          <w:bCs/>
          <w:sz w:val="32"/>
          <w:szCs w:val="32"/>
        </w:rPr>
      </w:pPr>
      <w:bookmarkStart w:id="15" w:name="_Toc354996695"/>
      <w:bookmarkStart w:id="16" w:name="_Toc233618971"/>
      <w:r>
        <w:rPr>
          <w:rFonts w:hint="eastAsia" w:ascii="宋体" w:hAnsi="宋体" w:cs="宋体"/>
          <w:b/>
          <w:bCs/>
          <w:sz w:val="32"/>
          <w:szCs w:val="32"/>
        </w:rPr>
        <w:t>前 附 表</w:t>
      </w:r>
      <w:bookmarkEnd w:id="15"/>
      <w:bookmarkEnd w:id="16"/>
    </w:p>
    <w:tbl>
      <w:tblPr>
        <w:tblStyle w:val="45"/>
        <w:tblW w:w="10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2"/>
        <w:gridCol w:w="1448"/>
        <w:gridCol w:w="565"/>
        <w:gridCol w:w="390"/>
        <w:gridCol w:w="6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2" w:type="dxa"/>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条款</w:t>
            </w:r>
          </w:p>
        </w:tc>
        <w:tc>
          <w:tcPr>
            <w:tcW w:w="9358" w:type="dxa"/>
            <w:gridSpan w:val="4"/>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exact"/>
              <w:jc w:val="center"/>
              <w:rPr>
                <w:rFonts w:ascii="宋体" w:hAnsi="宋体" w:cs="宋体"/>
                <w:b/>
                <w:bCs/>
                <w:szCs w:val="21"/>
              </w:rPr>
            </w:pPr>
            <w:r>
              <w:rPr>
                <w:rFonts w:hint="eastAsia" w:ascii="宋体" w:hAnsi="宋体" w:cs="宋体"/>
                <w:b/>
                <w:bCs/>
                <w:szCs w:val="21"/>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w:t>
            </w:r>
          </w:p>
        </w:tc>
        <w:tc>
          <w:tcPr>
            <w:tcW w:w="9358" w:type="dxa"/>
            <w:gridSpan w:val="4"/>
            <w:tcBorders>
              <w:top w:val="single" w:color="000000" w:sz="2" w:space="0"/>
              <w:left w:val="single" w:color="000000" w:sz="2" w:space="0"/>
              <w:bottom w:val="single" w:color="000000" w:sz="2" w:space="0"/>
              <w:right w:val="single" w:color="000000" w:sz="8" w:space="0"/>
            </w:tcBorders>
          </w:tcPr>
          <w:p>
            <w:pPr>
              <w:adjustRightInd w:val="0"/>
              <w:snapToGrid w:val="0"/>
              <w:spacing w:line="360" w:lineRule="exact"/>
              <w:jc w:val="center"/>
              <w:rPr>
                <w:lang w:val="zh-CN"/>
              </w:rPr>
            </w:pPr>
            <w:r>
              <w:rPr>
                <w:rFonts w:hint="eastAsia"/>
                <w:lang w:val="zh-CN"/>
              </w:rPr>
              <w:t>项目说明</w:t>
            </w:r>
          </w:p>
          <w:p>
            <w:pPr>
              <w:widowControl w:val="0"/>
              <w:numPr>
                <w:ilvl w:val="255"/>
                <w:numId w:val="0"/>
              </w:numPr>
              <w:snapToGrid w:val="0"/>
              <w:spacing w:line="400" w:lineRule="exact"/>
              <w:rPr>
                <w:lang w:val="zh-CN"/>
              </w:rPr>
            </w:pPr>
            <w:r>
              <w:rPr>
                <w:rFonts w:hint="eastAsia"/>
              </w:rPr>
              <w:t>一、</w:t>
            </w:r>
            <w:r>
              <w:rPr>
                <w:rFonts w:hint="eastAsia"/>
                <w:lang w:val="zh-CN"/>
              </w:rPr>
              <w:t>项目名称：</w:t>
            </w:r>
            <w:r>
              <w:rPr>
                <w:rFonts w:hint="eastAsia"/>
                <w:lang w:eastAsia="zh-CN"/>
              </w:rPr>
              <w:t>浙江工商大学2024级新生开学典礼和2024届学生毕业典礼策划执行及舞美设备租赁服务项目（重新招标）</w:t>
            </w:r>
            <w:r>
              <w:rPr>
                <w:rFonts w:hint="eastAsia"/>
                <w:lang w:val="zh-CN"/>
              </w:rPr>
              <w:t>二、实施地点：</w:t>
            </w:r>
            <w:r>
              <w:rPr>
                <w:rFonts w:hint="eastAsia"/>
              </w:rPr>
              <w:t>浙江工商大学</w:t>
            </w:r>
          </w:p>
          <w:p>
            <w:r>
              <w:rPr>
                <w:rFonts w:hint="eastAsia"/>
                <w:lang w:val="zh-CN"/>
              </w:rPr>
              <w:t>三、</w:t>
            </w:r>
            <w:r>
              <w:rPr>
                <w:rFonts w:hint="eastAsia"/>
              </w:rPr>
              <w:t>标项内容</w:t>
            </w:r>
            <w:r>
              <w:rPr>
                <w:rFonts w:hint="eastAsia"/>
                <w:lang w:val="zh-CN"/>
              </w:rPr>
              <w:t>：浙江工商大学2024级新生开学典礼和2024届学生毕业典礼策划执行及舞美设备租赁服务项目（重新招标）</w:t>
            </w:r>
            <w:r>
              <w:rPr>
                <w:rFonts w:hint="eastAsia"/>
              </w:rPr>
              <w:t>，详见采购文件。</w:t>
            </w:r>
          </w:p>
          <w:p>
            <w:r>
              <w:rPr>
                <w:rFonts w:hint="eastAsia"/>
              </w:rPr>
              <w:t>四、履约期限：详见采购文件。</w:t>
            </w:r>
          </w:p>
          <w:p>
            <w:pPr>
              <w:widowControl w:val="0"/>
              <w:snapToGrid w:val="0"/>
              <w:spacing w:line="400" w:lineRule="exact"/>
            </w:pPr>
            <w:r>
              <w:rPr>
                <w:rFonts w:hint="eastAsia"/>
              </w:rPr>
              <w:t>五、</w:t>
            </w:r>
            <w:r>
              <w:t>具体要求</w:t>
            </w:r>
            <w:r>
              <w:rPr>
                <w:rFonts w:hint="eastAsia"/>
              </w:rPr>
              <w:t>：具体详见第三部分。</w:t>
            </w:r>
          </w:p>
          <w:p>
            <w:pPr>
              <w:widowControl w:val="0"/>
              <w:snapToGrid w:val="0"/>
              <w:spacing w:line="400" w:lineRule="exact"/>
            </w:pPr>
            <w:r>
              <w:rPr>
                <w:rFonts w:hint="eastAsia"/>
              </w:rPr>
              <w:t>六</w:t>
            </w:r>
            <w:r>
              <w:t>、本项目采购标的对应的中小企业划分标准所属行业：</w:t>
            </w:r>
            <w:r>
              <w:rPr>
                <w:rFonts w:hint="eastAsia"/>
              </w:rPr>
              <w:t>租赁和商务服务业</w:t>
            </w:r>
            <w:r>
              <w:t>。</w:t>
            </w:r>
          </w:p>
          <w:p>
            <w:pPr>
              <w:widowControl w:val="0"/>
              <w:snapToGrid w:val="0"/>
              <w:spacing w:line="400" w:lineRule="exact"/>
            </w:pPr>
            <w:r>
              <w:rPr>
                <w:rFonts w:hint="eastAsia"/>
              </w:rPr>
              <w:t>七</w:t>
            </w:r>
            <w:r>
              <w:t>、</w:t>
            </w:r>
            <w:r>
              <w:rPr>
                <w:b/>
                <w:bCs/>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2</w:t>
            </w:r>
          </w:p>
        </w:tc>
        <w:tc>
          <w:tcPr>
            <w:tcW w:w="2403" w:type="dxa"/>
            <w:gridSpan w:val="3"/>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60" w:lineRule="exact"/>
              <w:rPr>
                <w:rFonts w:ascii="宋体" w:hAnsi="宋体" w:cs="宋体"/>
                <w:b/>
                <w:bCs/>
                <w:szCs w:val="21"/>
              </w:rPr>
            </w:pPr>
            <w:r>
              <w:rPr>
                <w:rFonts w:hint="eastAsia" w:ascii="宋体" w:hAnsi="宋体" w:cs="宋体"/>
                <w:b/>
                <w:bCs/>
                <w:szCs w:val="21"/>
              </w:rPr>
              <w:t>合同名称</w:t>
            </w:r>
          </w:p>
        </w:tc>
        <w:tc>
          <w:tcPr>
            <w:tcW w:w="6955"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rPr>
                <w:rFonts w:ascii="宋体" w:hAnsi="宋体" w:cs="宋体"/>
                <w:szCs w:val="21"/>
              </w:rPr>
            </w:pPr>
            <w:r>
              <w:rPr>
                <w:rFonts w:hint="eastAsia" w:ascii="宋体" w:hAnsi="宋体" w:cs="宋体"/>
                <w:spacing w:val="-6"/>
                <w:szCs w:val="21"/>
              </w:rPr>
              <w:t>《</w:t>
            </w:r>
            <w:r>
              <w:rPr>
                <w:rFonts w:hint="eastAsia" w:ascii="宋体" w:hAnsi="宋体" w:cs="宋体"/>
                <w:spacing w:val="-6"/>
                <w:szCs w:val="21"/>
                <w:lang w:eastAsia="zh-CN"/>
              </w:rPr>
              <w:t>浙江工商大学2024级新生开学典礼和2024届学生毕业典礼策划执行及舞美设备租赁服务项目（重新招标）</w:t>
            </w:r>
            <w:r>
              <w:rPr>
                <w:rFonts w:hint="eastAsia" w:ascii="宋体" w:hAnsi="宋体" w:cs="宋体"/>
                <w:spacing w:val="-6"/>
                <w:szCs w:val="21"/>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3</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rPr>
                <w:rFonts w:ascii="宋体" w:hAnsi="宋体" w:cs="宋体"/>
                <w:szCs w:val="21"/>
              </w:rPr>
            </w:pPr>
            <w:r>
              <w:rPr>
                <w:rFonts w:hint="eastAsia" w:ascii="宋体" w:hAnsi="宋体" w:cs="宋体"/>
                <w:b/>
                <w:snapToGrid w:val="0"/>
                <w:szCs w:val="21"/>
              </w:rPr>
              <w:t>磋商</w:t>
            </w:r>
            <w:r>
              <w:rPr>
                <w:rFonts w:hint="eastAsia" w:ascii="宋体" w:hAnsi="宋体" w:cs="宋体"/>
                <w:b/>
                <w:bCs/>
                <w:szCs w:val="21"/>
              </w:rPr>
              <w:t>有效期：</w:t>
            </w:r>
            <w:r>
              <w:rPr>
                <w:rFonts w:hint="eastAsia" w:ascii="宋体" w:hAnsi="宋体" w:cs="宋体"/>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4</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rPr>
                <w:rFonts w:ascii="宋体" w:hAnsi="宋体" w:cs="宋体"/>
                <w:szCs w:val="21"/>
              </w:rPr>
            </w:pPr>
            <w:r>
              <w:rPr>
                <w:rFonts w:hint="eastAsia" w:ascii="宋体" w:hAnsi="宋体" w:cs="宋体"/>
                <w:b/>
                <w:snapToGrid w:val="0"/>
                <w:szCs w:val="21"/>
              </w:rPr>
              <w:t>磋商</w:t>
            </w:r>
            <w:r>
              <w:rPr>
                <w:rFonts w:hint="eastAsia" w:ascii="宋体" w:hAnsi="宋体" w:cs="宋体"/>
                <w:b/>
                <w:bCs/>
                <w:szCs w:val="21"/>
              </w:rPr>
              <w:t>保证金数额：</w:t>
            </w: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5</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spacing w:line="360" w:lineRule="exact"/>
              <w:rPr>
                <w:rFonts w:ascii="宋体" w:hAnsi="宋体" w:cs="宋体"/>
                <w:b/>
                <w:snapToGrid w:val="0"/>
                <w:szCs w:val="21"/>
              </w:rPr>
            </w:pPr>
            <w:r>
              <w:rPr>
                <w:rFonts w:hint="eastAsia" w:ascii="宋体" w:hAnsi="宋体" w:cs="宋体"/>
                <w:b/>
                <w:snapToGrid w:val="0"/>
                <w:szCs w:val="21"/>
              </w:rPr>
              <w:t>采购代理服务费：本项目采购代理服务费收费标准参照国家计委《招标代理服务收费管理暂行办法》（计价格[2002]1980号）文件及国家发改委下发的《关于降低部分建设项目收费标准规范收费行为等有关问题的通知》（发改价格[2011]534号）规定的收取标准的70%计取，不足2000元时按2000元收取，对于单个标项采购在200万元人民币以上的项目，一律按200万元人民币为收费基数收取采购代理服务费。由中标人在领取中标通知书时支付给招标代理机构。该费用在投标文件中不单列，由中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7"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6</w:t>
            </w:r>
          </w:p>
        </w:tc>
        <w:tc>
          <w:tcPr>
            <w:tcW w:w="1448"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rPr>
                <w:rFonts w:ascii="宋体" w:hAnsi="宋体" w:cs="宋体"/>
                <w:b/>
                <w:snapToGrid w:val="0"/>
                <w:szCs w:val="21"/>
              </w:rPr>
            </w:pPr>
            <w:r>
              <w:rPr>
                <w:rFonts w:hint="eastAsia" w:ascii="宋体" w:hAnsi="宋体" w:cs="宋体"/>
                <w:b/>
                <w:kern w:val="0"/>
                <w:szCs w:val="21"/>
              </w:rPr>
              <w:t>磋商响应文件形式</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rPr>
              <w:t>“电子加密磋商响应文件”[文件格式.jmbs]：</w:t>
            </w:r>
            <w:r>
              <w:rPr>
                <w:rFonts w:hint="eastAsia" w:ascii="宋体" w:hAnsi="宋体" w:eastAsia="宋体" w:cs="宋体"/>
                <w:sz w:val="21"/>
                <w:szCs w:val="21"/>
              </w:rPr>
              <w:t>“电子加密磋商响应文件”是指通过“政采云电子交易客户端”完成磋商响应文件编制后生成并加密的数据电文形式的磋商响应文件。</w:t>
            </w:r>
          </w:p>
          <w:p>
            <w:pPr>
              <w:adjustRightInd w:val="0"/>
              <w:snapToGrid w:val="0"/>
              <w:spacing w:line="360" w:lineRule="exact"/>
              <w:rPr>
                <w:rFonts w:ascii="宋体" w:hAnsi="宋体" w:cs="宋体"/>
                <w:b/>
                <w:snapToGrid w:val="0"/>
                <w:szCs w:val="21"/>
              </w:rPr>
            </w:pPr>
            <w:r>
              <w:rPr>
                <w:rFonts w:hint="eastAsia" w:ascii="宋体" w:hAnsi="宋体" w:cs="宋体"/>
                <w:szCs w:val="21"/>
              </w:rPr>
              <w:t>2）</w:t>
            </w:r>
            <w:r>
              <w:rPr>
                <w:rFonts w:hint="eastAsia" w:ascii="宋体" w:hAnsi="宋体" w:cs="宋体"/>
                <w:b/>
                <w:bCs/>
                <w:szCs w:val="21"/>
              </w:rPr>
              <w:t>“备份磋商响应文件”[文件格式.bfbs]：</w:t>
            </w:r>
            <w:r>
              <w:rPr>
                <w:rFonts w:hint="eastAsia" w:ascii="宋体" w:hAnsi="宋体" w:cs="宋体"/>
                <w:szCs w:val="21"/>
              </w:rPr>
              <w:t>“备份磋商响应文件”是指与“电子加密磋商响应文件”同时生成的数据电文形式的未加密的电子文件（备份标书），其他方式编制的“备份磋商响应文件”视为无效的“备份磋商响应文件”。</w:t>
            </w:r>
            <w:r>
              <w:rPr>
                <w:rFonts w:hint="eastAsia" w:ascii="宋体" w:hAnsi="宋体" w:cs="宋体"/>
                <w:bCs/>
                <w:kern w:val="0"/>
                <w:szCs w:val="21"/>
              </w:rPr>
              <w:t>“备份磋商响应文件”应当密封包装并在包装上标注投标项目名称、投标单位名称并加盖公章或授权代表签字。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1"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7</w:t>
            </w:r>
          </w:p>
        </w:tc>
        <w:tc>
          <w:tcPr>
            <w:tcW w:w="1448"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rPr>
                <w:rFonts w:ascii="宋体" w:hAnsi="宋体" w:cs="宋体"/>
                <w:b/>
                <w:snapToGrid w:val="0"/>
                <w:szCs w:val="21"/>
              </w:rPr>
            </w:pPr>
            <w:r>
              <w:rPr>
                <w:rFonts w:hint="eastAsia" w:ascii="宋体" w:hAnsi="宋体" w:cs="宋体"/>
                <w:b/>
                <w:bCs/>
                <w:szCs w:val="21"/>
              </w:rPr>
              <w:t>磋商响应文件的组成和份数</w:t>
            </w:r>
            <w:r>
              <w:rPr>
                <w:rFonts w:hint="eastAsia" w:ascii="宋体" w:hAnsi="宋体" w:cs="宋体"/>
                <w:szCs w:val="21"/>
              </w:rPr>
              <w:t>：</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pPr>
              <w:adjustRightInd w:val="0"/>
              <w:snapToGrid w:val="0"/>
              <w:spacing w:line="360" w:lineRule="exact"/>
              <w:contextualSpacing/>
              <w:rPr>
                <w:rFonts w:ascii="宋体" w:hAnsi="宋体" w:cs="宋体"/>
                <w:b/>
                <w:bCs/>
                <w:szCs w:val="21"/>
                <w:u w:val="single"/>
              </w:rPr>
            </w:pPr>
            <w:r>
              <w:rPr>
                <w:rFonts w:hint="eastAsia" w:ascii="宋体" w:hAnsi="宋体" w:cs="宋体"/>
                <w:b/>
                <w:bCs/>
                <w:szCs w:val="21"/>
              </w:rPr>
              <w:t>1）磋商响应文件的组成：</w:t>
            </w:r>
            <w:r>
              <w:rPr>
                <w:rFonts w:hint="eastAsia" w:ascii="宋体" w:hAnsi="宋体" w:cs="宋体"/>
                <w:b/>
                <w:bCs/>
                <w:szCs w:val="21"/>
                <w:u w:val="single"/>
              </w:rPr>
              <w:t>磋商响应文件均由资格文件、商务技术文件、报价文件组成。</w:t>
            </w:r>
          </w:p>
          <w:p>
            <w:pPr>
              <w:pStyle w:val="21"/>
              <w:snapToGrid w:val="0"/>
              <w:spacing w:line="360" w:lineRule="exact"/>
              <w:ind w:firstLine="0"/>
              <w:rPr>
                <w:rFonts w:hAnsi="宋体" w:cs="宋体"/>
                <w:b/>
                <w:bCs/>
                <w:sz w:val="21"/>
                <w:szCs w:val="21"/>
                <w:lang w:val="en-US"/>
              </w:rPr>
            </w:pPr>
            <w:r>
              <w:rPr>
                <w:rFonts w:hint="eastAsia" w:hAnsi="宋体" w:cs="宋体"/>
                <w:b/>
                <w:bCs/>
                <w:sz w:val="21"/>
                <w:szCs w:val="21"/>
                <w:lang w:val="en-US"/>
              </w:rPr>
              <w:t>2）磋商响应文件份数：</w:t>
            </w:r>
          </w:p>
          <w:p>
            <w:pPr>
              <w:numPr>
                <w:ilvl w:val="0"/>
                <w:numId w:val="3"/>
              </w:numPr>
              <w:adjustRightInd w:val="0"/>
              <w:snapToGrid w:val="0"/>
              <w:spacing w:line="360" w:lineRule="exact"/>
              <w:contextualSpacing/>
              <w:rPr>
                <w:rFonts w:ascii="宋体" w:hAnsi="宋体" w:cs="宋体"/>
                <w:szCs w:val="21"/>
              </w:rPr>
            </w:pPr>
            <w:r>
              <w:rPr>
                <w:rFonts w:hint="eastAsia" w:ascii="宋体" w:hAnsi="宋体" w:cs="宋体"/>
                <w:szCs w:val="21"/>
              </w:rPr>
              <w:t>“电子加密磋商响应文件”：在线上传递交、一份。</w:t>
            </w:r>
          </w:p>
          <w:p>
            <w:pPr>
              <w:adjustRightInd w:val="0"/>
              <w:snapToGrid w:val="0"/>
              <w:spacing w:line="360" w:lineRule="exact"/>
              <w:rPr>
                <w:rFonts w:ascii="宋体" w:hAnsi="宋体" w:cs="宋体"/>
                <w:b/>
                <w:snapToGrid w:val="0"/>
                <w:szCs w:val="21"/>
              </w:rPr>
            </w:pPr>
            <w:r>
              <w:rPr>
                <w:rFonts w:hint="eastAsia" w:ascii="宋体" w:hAnsi="宋体" w:cs="宋体"/>
                <w:szCs w:val="21"/>
              </w:rPr>
              <w:t>（2）“备份磋商响应文件”：以介质存储的数据电文形式（U盘）并密封包装后递交、一份。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8</w:t>
            </w:r>
          </w:p>
        </w:tc>
        <w:tc>
          <w:tcPr>
            <w:tcW w:w="1448"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contextualSpacing/>
              <w:rPr>
                <w:rFonts w:ascii="宋体" w:hAnsi="宋体" w:cs="宋体"/>
                <w:szCs w:val="21"/>
              </w:rPr>
            </w:pPr>
            <w:r>
              <w:rPr>
                <w:rFonts w:hint="eastAsia" w:ascii="宋体" w:hAnsi="宋体" w:cs="宋体"/>
                <w:b/>
                <w:bCs/>
                <w:szCs w:val="21"/>
              </w:rPr>
              <w:t>磋商响应文件签章</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pPr>
              <w:adjustRightInd w:val="0"/>
              <w:snapToGrid w:val="0"/>
              <w:spacing w:line="360" w:lineRule="exact"/>
              <w:rPr>
                <w:rFonts w:ascii="宋体" w:hAnsi="宋体" w:cs="宋体"/>
                <w:szCs w:val="21"/>
              </w:rPr>
            </w:pPr>
            <w:r>
              <w:rPr>
                <w:rFonts w:hint="eastAsia" w:ascii="宋体" w:hAnsi="宋体" w:cs="宋体"/>
                <w:szCs w:val="21"/>
              </w:rPr>
              <w:t>电子响应文件中所须加盖公章部分均应采用CA签章。按《第三部分  项目技术规范和招标需求》和《第五部分  应提交的有关格式范例》标注的要求进行盖章、签署（电子签章）。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9</w:t>
            </w:r>
          </w:p>
        </w:tc>
        <w:tc>
          <w:tcPr>
            <w:tcW w:w="1448"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rPr>
                <w:rFonts w:ascii="宋体" w:hAnsi="宋体" w:cs="宋体"/>
                <w:szCs w:val="21"/>
              </w:rPr>
            </w:pPr>
            <w:r>
              <w:rPr>
                <w:rFonts w:hint="eastAsia" w:ascii="宋体" w:hAnsi="宋体" w:cs="宋体"/>
                <w:b/>
                <w:bCs/>
                <w:szCs w:val="21"/>
              </w:rPr>
              <w:t>磋商响应文件的上传和递交</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pPr>
              <w:pStyle w:val="96"/>
              <w:adjustRightInd w:val="0"/>
              <w:snapToGrid w:val="0"/>
              <w:spacing w:before="0" w:line="360" w:lineRule="exact"/>
              <w:ind w:firstLine="0" w:firstLineChars="0"/>
              <w:contextualSpacing/>
              <w:rPr>
                <w:rFonts w:ascii="宋体" w:hAnsi="宋体" w:eastAsia="宋体" w:cs="宋体"/>
                <w:b/>
                <w:bCs/>
                <w:sz w:val="21"/>
                <w:szCs w:val="21"/>
              </w:rPr>
            </w:pPr>
            <w:r>
              <w:rPr>
                <w:rFonts w:hint="eastAsia" w:ascii="宋体" w:hAnsi="宋体" w:eastAsia="宋体" w:cs="宋体"/>
                <w:b/>
                <w:bCs/>
                <w:sz w:val="21"/>
                <w:szCs w:val="21"/>
              </w:rPr>
              <w:t>（1）“电子加密磋商响应文件”的上传、递交：</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a.投标供应商应在投标截止时间前将“电子加密磋商响应文件”成功上传递交至“政府采购云平台”，否则投标无效。</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b.“电子加密磋商响应文件”成功上传递交后，供应商可自行打印磋商响应文件接收回执。</w:t>
            </w:r>
          </w:p>
          <w:p>
            <w:pPr>
              <w:pStyle w:val="96"/>
              <w:adjustRightInd w:val="0"/>
              <w:snapToGrid w:val="0"/>
              <w:spacing w:before="0" w:line="360" w:lineRule="exact"/>
              <w:ind w:firstLine="0" w:firstLineChars="0"/>
              <w:contextualSpacing/>
              <w:rPr>
                <w:rFonts w:ascii="宋体" w:hAnsi="宋体" w:eastAsia="宋体" w:cs="宋体"/>
                <w:b/>
                <w:bCs/>
                <w:sz w:val="21"/>
                <w:szCs w:val="21"/>
              </w:rPr>
            </w:pPr>
            <w:r>
              <w:rPr>
                <w:rFonts w:hint="eastAsia" w:ascii="宋体" w:hAnsi="宋体" w:eastAsia="宋体" w:cs="宋体"/>
                <w:b/>
                <w:bCs/>
                <w:sz w:val="21"/>
                <w:szCs w:val="21"/>
              </w:rPr>
              <w:t>（2）“备份磋商响应文件”的密封包装、递交：</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a.投标供应商在“政府采购云平台”完成“电子加密磋商响应文件”的上传递交后，还可以在投标截止时间前递交以介质（U盘）存储的未加密的“备份磋商响应文件”（一份）。</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b.“备份磋商响应文件”应当密封包装，并在包装上标注投标项目名称、投标单位名称并加盖公章。</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sz w:val="21"/>
                <w:szCs w:val="21"/>
              </w:rPr>
              <w:t>c.通过“政府采购云平台”成功上传递交的“电子加密磋商响应文件”已按时解密的，“备份磋商响应文件”自动失效。投标截止时间前，投标供应商仅递交了“备份磋商响应文件”而未将“电子加密磋商响应文件”成功上传至“政府采购云平台”的，投标无效。</w:t>
            </w:r>
          </w:p>
          <w:p>
            <w:pPr>
              <w:adjustRightInd w:val="0"/>
              <w:snapToGrid w:val="0"/>
              <w:spacing w:line="360" w:lineRule="exact"/>
              <w:rPr>
                <w:rFonts w:ascii="宋体" w:hAnsi="宋体" w:cs="宋体"/>
                <w:b/>
                <w:bCs/>
                <w:szCs w:val="21"/>
              </w:rPr>
            </w:pPr>
            <w:r>
              <w:rPr>
                <w:rFonts w:hint="eastAsia" w:ascii="宋体" w:hAnsi="宋体" w:cs="宋体"/>
                <w:b/>
                <w:bCs/>
                <w:szCs w:val="21"/>
              </w:rPr>
              <w:t>（3）供应商递交以介质存储的数据电文形式（U盘）的备份磋商响应文件时，如出现下列情况之一的，将被拒收：</w:t>
            </w:r>
          </w:p>
          <w:p>
            <w:pPr>
              <w:adjustRightInd w:val="0"/>
              <w:snapToGrid w:val="0"/>
              <w:spacing w:line="360" w:lineRule="exact"/>
              <w:rPr>
                <w:rFonts w:ascii="宋体" w:hAnsi="宋体" w:cs="宋体"/>
                <w:b/>
                <w:bCs/>
                <w:szCs w:val="21"/>
              </w:rPr>
            </w:pPr>
            <w:r>
              <w:rPr>
                <w:rFonts w:hint="eastAsia" w:ascii="宋体" w:hAnsi="宋体" w:cs="宋体"/>
                <w:b/>
                <w:bCs/>
                <w:szCs w:val="21"/>
              </w:rPr>
              <w:t xml:space="preserve">   1）未按规定密封或标记的响应文件。</w:t>
            </w:r>
          </w:p>
          <w:p>
            <w:pPr>
              <w:adjustRightInd w:val="0"/>
              <w:snapToGrid w:val="0"/>
              <w:spacing w:line="360" w:lineRule="exact"/>
              <w:rPr>
                <w:rFonts w:ascii="宋体" w:hAnsi="宋体" w:cs="宋体"/>
                <w:b/>
                <w:bCs/>
                <w:szCs w:val="21"/>
              </w:rPr>
            </w:pPr>
            <w:r>
              <w:rPr>
                <w:rFonts w:hint="eastAsia" w:ascii="宋体" w:hAnsi="宋体" w:cs="宋体"/>
                <w:b/>
                <w:bCs/>
                <w:szCs w:val="21"/>
              </w:rPr>
              <w:t xml:space="preserve">   2）由于包装不妥，在送交途中严重破损或失散的。</w:t>
            </w:r>
          </w:p>
          <w:p>
            <w:pPr>
              <w:adjustRightInd w:val="0"/>
              <w:snapToGrid w:val="0"/>
              <w:spacing w:line="360" w:lineRule="exact"/>
              <w:rPr>
                <w:rFonts w:ascii="宋体" w:hAnsi="宋体" w:cs="宋体"/>
                <w:b/>
                <w:bCs/>
                <w:szCs w:val="21"/>
              </w:rPr>
            </w:pPr>
            <w:r>
              <w:rPr>
                <w:rFonts w:hint="eastAsia" w:ascii="宋体" w:hAnsi="宋体" w:cs="宋体"/>
                <w:b/>
                <w:bCs/>
                <w:szCs w:val="21"/>
              </w:rPr>
              <w:t xml:space="preserve">   3）未按规定获取采购文件的。</w:t>
            </w:r>
          </w:p>
          <w:p>
            <w:pPr>
              <w:adjustRightInd w:val="0"/>
              <w:snapToGrid w:val="0"/>
              <w:spacing w:line="360" w:lineRule="exact"/>
              <w:rPr>
                <w:rFonts w:ascii="宋体" w:hAnsi="宋体" w:cs="宋体"/>
                <w:b/>
                <w:bCs/>
                <w:szCs w:val="21"/>
              </w:rPr>
            </w:pPr>
            <w:r>
              <w:rPr>
                <w:rFonts w:hint="eastAsia" w:ascii="宋体" w:hAnsi="宋体" w:cs="宋体"/>
                <w:b/>
                <w:bCs/>
                <w:szCs w:val="21"/>
              </w:rPr>
              <w:t xml:space="preserve">   4）超过投标截止时间送达的。</w:t>
            </w:r>
          </w:p>
          <w:p>
            <w:pPr>
              <w:adjustRightInd w:val="0"/>
              <w:snapToGrid w:val="0"/>
              <w:spacing w:line="360" w:lineRule="exact"/>
              <w:rPr>
                <w:rFonts w:ascii="宋体" w:hAnsi="宋体" w:cs="宋体"/>
                <w:szCs w:val="21"/>
              </w:rPr>
            </w:pPr>
            <w:r>
              <w:rPr>
                <w:rFonts w:hint="eastAsia" w:ascii="宋体" w:hAnsi="宋体" w:cs="宋体"/>
                <w:b/>
                <w:bCs/>
                <w:szCs w:val="21"/>
              </w:rPr>
              <w:t xml:space="preserve">   5）仅提供备份响应文件的，投标无效。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10</w:t>
            </w:r>
          </w:p>
        </w:tc>
        <w:tc>
          <w:tcPr>
            <w:tcW w:w="1448" w:type="dxa"/>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rPr>
                <w:rFonts w:ascii="宋体" w:hAnsi="宋体" w:cs="宋体"/>
                <w:szCs w:val="21"/>
              </w:rPr>
            </w:pPr>
            <w:r>
              <w:rPr>
                <w:rFonts w:hint="eastAsia" w:ascii="宋体" w:hAnsi="宋体" w:cs="宋体"/>
                <w:b/>
                <w:bCs/>
                <w:szCs w:val="21"/>
              </w:rPr>
              <w:t>电子加密磋商响应文件的解密和异常情况处理</w:t>
            </w:r>
          </w:p>
        </w:tc>
        <w:tc>
          <w:tcPr>
            <w:tcW w:w="7910" w:type="dxa"/>
            <w:gridSpan w:val="3"/>
            <w:tcBorders>
              <w:top w:val="single" w:color="000000" w:sz="2" w:space="0"/>
              <w:left w:val="single" w:color="auto" w:sz="4" w:space="0"/>
              <w:bottom w:val="single" w:color="000000" w:sz="2" w:space="0"/>
              <w:right w:val="single" w:color="000000" w:sz="8" w:space="0"/>
            </w:tcBorders>
            <w:vAlign w:val="center"/>
          </w:tcPr>
          <w:p>
            <w:pPr>
              <w:pStyle w:val="96"/>
              <w:adjustRightInd w:val="0"/>
              <w:snapToGrid w:val="0"/>
              <w:spacing w:before="0" w:line="360" w:lineRule="exact"/>
              <w:ind w:firstLine="0" w:firstLineChars="0"/>
              <w:contextualSpacing/>
              <w:rPr>
                <w:rFonts w:ascii="宋体" w:hAnsi="宋体" w:eastAsia="宋体" w:cs="宋体"/>
                <w:b/>
                <w:bCs/>
                <w:sz w:val="21"/>
                <w:szCs w:val="21"/>
              </w:rPr>
            </w:pPr>
            <w:r>
              <w:rPr>
                <w:rFonts w:hint="eastAsia" w:ascii="宋体" w:hAnsi="宋体" w:eastAsia="宋体" w:cs="宋体"/>
                <w:b/>
                <w:bCs/>
                <w:sz w:val="21"/>
                <w:szCs w:val="21"/>
              </w:rPr>
              <w:t>（1）开标后，采购组织机构将向各投标供应商发出“电子加密磋商响应文件”的解密通知，各投标供应商代表应当在接到解密通知后30分钟内自行完成“电子加密磋商响应文件”的在线解密。</w:t>
            </w:r>
          </w:p>
          <w:p>
            <w:pPr>
              <w:pStyle w:val="96"/>
              <w:adjustRightInd w:val="0"/>
              <w:snapToGrid w:val="0"/>
              <w:spacing w:before="0" w:line="360" w:lineRule="exact"/>
              <w:ind w:firstLine="0" w:firstLineChars="0"/>
              <w:contextualSpacing/>
              <w:rPr>
                <w:rFonts w:ascii="宋体" w:hAnsi="宋体" w:eastAsia="宋体" w:cs="宋体"/>
                <w:b/>
                <w:bCs/>
                <w:sz w:val="21"/>
                <w:szCs w:val="21"/>
              </w:rPr>
            </w:pPr>
            <w:r>
              <w:rPr>
                <w:rFonts w:hint="eastAsia" w:ascii="宋体" w:hAnsi="宋体" w:eastAsia="宋体" w:cs="宋体"/>
                <w:b/>
                <w:bCs/>
                <w:sz w:val="21"/>
                <w:szCs w:val="21"/>
              </w:rPr>
              <w:t>（2）通过“政府采购云平台”成功上传递交的“电子加密磋商响应文件”无法按时解密，投标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pPr>
              <w:pStyle w:val="96"/>
              <w:adjustRightInd w:val="0"/>
              <w:snapToGrid w:val="0"/>
              <w:spacing w:before="0" w:line="360" w:lineRule="exact"/>
              <w:ind w:firstLine="0" w:firstLineChars="0"/>
              <w:contextualSpacing/>
              <w:rPr>
                <w:rFonts w:ascii="宋体" w:hAnsi="宋体" w:eastAsia="宋体" w:cs="宋体"/>
                <w:sz w:val="21"/>
                <w:szCs w:val="21"/>
              </w:rPr>
            </w:pPr>
            <w:r>
              <w:rPr>
                <w:rFonts w:hint="eastAsia" w:ascii="宋体" w:hAnsi="宋体" w:eastAsia="宋体" w:cs="宋体"/>
                <w:b/>
                <w:bCs/>
                <w:sz w:val="21"/>
                <w:szCs w:val="21"/>
              </w:rPr>
              <w:t>（3）投标截止时间前，投标供应商仅递交了“备份磋商响应文件”而未将电子加密磋商响应文件上传至“政府采购云平台”的，投标无效。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11</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rPr>
                <w:rFonts w:ascii="宋体" w:hAnsi="宋体" w:cs="宋体"/>
                <w:szCs w:val="21"/>
              </w:rPr>
            </w:pPr>
            <w:r>
              <w:rPr>
                <w:rFonts w:hint="eastAsia" w:ascii="宋体" w:hAnsi="宋体" w:cs="宋体"/>
                <w:b/>
                <w:szCs w:val="21"/>
              </w:rPr>
              <w:t>磋商截止时间：</w:t>
            </w:r>
            <w:r>
              <w:rPr>
                <w:rFonts w:hint="eastAsia" w:ascii="宋体" w:hAnsi="宋体" w:cs="宋体"/>
                <w:kern w:val="0"/>
                <w:szCs w:val="21"/>
                <w:lang w:eastAsia="zh-CN"/>
              </w:rPr>
              <w:t>2024年 6 月11 日14：00</w:t>
            </w:r>
            <w:r>
              <w:rPr>
                <w:rFonts w:hint="eastAsia" w:ascii="宋体" w:hAnsi="宋体" w:cs="宋体"/>
                <w:kern w:val="0"/>
                <w:szCs w:val="21"/>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9"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12</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pStyle w:val="25"/>
              <w:adjustRightInd w:val="0"/>
              <w:snapToGrid w:val="0"/>
              <w:spacing w:line="360" w:lineRule="exact"/>
              <w:rPr>
                <w:rFonts w:ascii="宋体" w:hAnsi="宋体" w:eastAsia="宋体"/>
              </w:rPr>
            </w:pPr>
            <w:r>
              <w:rPr>
                <w:rFonts w:hint="eastAsia" w:ascii="宋体" w:hAnsi="宋体" w:eastAsia="宋体"/>
                <w:b/>
                <w:bCs/>
              </w:rPr>
              <w:t>备份磋商响应文件</w:t>
            </w:r>
            <w:r>
              <w:rPr>
                <w:rFonts w:hint="eastAsia" w:ascii="宋体" w:hAnsi="宋体" w:eastAsia="宋体"/>
                <w:b/>
              </w:rPr>
              <w:t>递交至单位：</w:t>
            </w:r>
            <w:r>
              <w:rPr>
                <w:rFonts w:hint="eastAsia" w:ascii="宋体" w:hAnsi="宋体" w:eastAsia="宋体"/>
              </w:rPr>
              <w:t>浙江豪圣建设项目管理有限公司。</w:t>
            </w:r>
            <w:r>
              <w:rPr>
                <w:rFonts w:hint="eastAsia" w:ascii="宋体" w:hAnsi="宋体" w:eastAsia="宋体"/>
                <w:bCs/>
                <w:kern w:val="0"/>
              </w:rPr>
              <w:t>通过“政府采购云平台（www.zcygov.cn）”实行在线投标响应（电子投标）。</w:t>
            </w:r>
          </w:p>
          <w:p>
            <w:pPr>
              <w:adjustRightInd w:val="0"/>
              <w:snapToGrid w:val="0"/>
              <w:spacing w:line="360" w:lineRule="exact"/>
              <w:rPr>
                <w:rFonts w:ascii="宋体" w:hAnsi="宋体" w:cs="宋体"/>
                <w:szCs w:val="21"/>
              </w:rPr>
            </w:pPr>
            <w:r>
              <w:rPr>
                <w:rFonts w:hint="eastAsia" w:ascii="宋体" w:hAnsi="宋体" w:cs="宋体"/>
                <w:b/>
                <w:bCs/>
                <w:szCs w:val="21"/>
              </w:rPr>
              <w:t>备份磋商响应文件</w:t>
            </w:r>
            <w:r>
              <w:rPr>
                <w:rFonts w:hint="eastAsia" w:ascii="宋体" w:hAnsi="宋体" w:cs="宋体"/>
                <w:b/>
                <w:szCs w:val="21"/>
              </w:rPr>
              <w:t>递交至地点：</w:t>
            </w:r>
            <w:r>
              <w:rPr>
                <w:rFonts w:hint="eastAsia" w:ascii="宋体" w:hAnsi="宋体" w:cs="宋体"/>
                <w:szCs w:val="21"/>
              </w:rPr>
              <w:t>杭州市拱墅区远洋国际A座17楼1706室</w:t>
            </w:r>
          </w:p>
          <w:p>
            <w:pPr>
              <w:adjustRightInd w:val="0"/>
              <w:snapToGrid w:val="0"/>
              <w:spacing w:line="360" w:lineRule="exact"/>
              <w:rPr>
                <w:rFonts w:ascii="宋体" w:hAnsi="宋体" w:cs="宋体"/>
                <w:b/>
                <w:bCs/>
                <w:szCs w:val="21"/>
              </w:rPr>
            </w:pPr>
            <w:r>
              <w:rPr>
                <w:rFonts w:hint="eastAsia" w:ascii="宋体" w:hAnsi="宋体" w:cs="宋体"/>
                <w:b/>
                <w:bCs/>
                <w:szCs w:val="21"/>
              </w:rPr>
              <w:t>备份投标文件递交截止时间：</w:t>
            </w:r>
            <w:r>
              <w:rPr>
                <w:rFonts w:hint="eastAsia" w:ascii="宋体" w:hAnsi="宋体" w:cs="宋体"/>
                <w:kern w:val="0"/>
                <w:szCs w:val="21"/>
                <w:lang w:eastAsia="zh-CN"/>
              </w:rPr>
              <w:t>2024年 6 月11 日14：00</w:t>
            </w:r>
            <w:r>
              <w:rPr>
                <w:rFonts w:hint="eastAsia" w:ascii="宋体" w:hAnsi="宋体" w:cs="宋体"/>
                <w:kern w:val="0"/>
                <w:szCs w:val="21"/>
              </w:rPr>
              <w:t>（北京时间）</w:t>
            </w:r>
          </w:p>
          <w:p>
            <w:pPr>
              <w:adjustRightInd w:val="0"/>
              <w:snapToGrid w:val="0"/>
              <w:spacing w:line="360" w:lineRule="exact"/>
              <w:rPr>
                <w:rFonts w:ascii="宋体" w:hAnsi="宋体" w:cs="宋体"/>
                <w:b/>
                <w:bCs/>
                <w:szCs w:val="21"/>
              </w:rPr>
            </w:pPr>
            <w:r>
              <w:rPr>
                <w:rFonts w:hint="eastAsia" w:ascii="宋体" w:hAnsi="宋体" w:cs="宋体"/>
                <w:b/>
                <w:bCs/>
                <w:szCs w:val="21"/>
              </w:rPr>
              <w:t>邮寄地址：浙江豪圣建设项目管理有限公司（杭州市拱墅区远洋国际A座17楼1706室）</w:t>
            </w:r>
          </w:p>
          <w:p>
            <w:pPr>
              <w:adjustRightInd w:val="0"/>
              <w:snapToGrid w:val="0"/>
              <w:spacing w:line="360" w:lineRule="exact"/>
              <w:rPr>
                <w:rFonts w:ascii="宋体" w:hAnsi="宋体" w:cs="宋体"/>
                <w:szCs w:val="21"/>
              </w:rPr>
            </w:pPr>
            <w:r>
              <w:rPr>
                <w:rFonts w:hint="eastAsia" w:ascii="宋体" w:hAnsi="宋体" w:cs="宋体"/>
                <w:b/>
                <w:bCs/>
                <w:szCs w:val="21"/>
              </w:rPr>
              <w:t>收件人：杨男，联系电话：0571-87981527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13</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pStyle w:val="12"/>
              <w:adjustRightInd w:val="0"/>
              <w:snapToGrid w:val="0"/>
              <w:spacing w:line="360" w:lineRule="exact"/>
              <w:ind w:firstLine="0"/>
              <w:rPr>
                <w:rFonts w:ascii="宋体" w:hAnsi="宋体" w:eastAsia="宋体" w:cs="宋体"/>
                <w:kern w:val="2"/>
                <w:sz w:val="21"/>
                <w:szCs w:val="21"/>
              </w:rPr>
            </w:pPr>
            <w:r>
              <w:rPr>
                <w:rFonts w:hint="eastAsia" w:ascii="宋体" w:hAnsi="宋体" w:eastAsia="宋体" w:cs="宋体"/>
                <w:b/>
                <w:kern w:val="2"/>
                <w:sz w:val="21"/>
                <w:szCs w:val="21"/>
              </w:rPr>
              <w:t>磋商</w:t>
            </w:r>
            <w:r>
              <w:rPr>
                <w:rFonts w:hint="eastAsia" w:ascii="宋体" w:hAnsi="宋体" w:eastAsia="宋体" w:cs="宋体"/>
                <w:b/>
                <w:kern w:val="10"/>
                <w:sz w:val="21"/>
                <w:szCs w:val="21"/>
              </w:rPr>
              <w:t>时间</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2024年 6 月11 日14：00</w:t>
            </w:r>
            <w:r>
              <w:rPr>
                <w:rFonts w:hint="eastAsia" w:ascii="宋体" w:hAnsi="宋体" w:eastAsia="宋体" w:cs="宋体"/>
                <w:kern w:val="2"/>
                <w:sz w:val="21"/>
                <w:szCs w:val="21"/>
              </w:rPr>
              <w:t>（北京时间）</w:t>
            </w:r>
          </w:p>
          <w:p>
            <w:pPr>
              <w:pStyle w:val="12"/>
              <w:adjustRightInd w:val="0"/>
              <w:snapToGrid w:val="0"/>
              <w:spacing w:line="360" w:lineRule="exact"/>
              <w:ind w:firstLine="0"/>
              <w:rPr>
                <w:rFonts w:ascii="宋体" w:hAnsi="宋体" w:eastAsia="宋体" w:cs="宋体"/>
                <w:kern w:val="2"/>
                <w:sz w:val="21"/>
                <w:szCs w:val="21"/>
              </w:rPr>
            </w:pPr>
            <w:r>
              <w:rPr>
                <w:rFonts w:hint="eastAsia" w:ascii="宋体" w:hAnsi="宋体" w:eastAsia="宋体" w:cs="宋体"/>
                <w:b/>
                <w:kern w:val="2"/>
                <w:sz w:val="21"/>
                <w:szCs w:val="21"/>
              </w:rPr>
              <w:t>磋商地点：</w:t>
            </w:r>
            <w:r>
              <w:rPr>
                <w:rFonts w:hint="eastAsia" w:ascii="宋体" w:hAnsi="宋体" w:eastAsia="宋体" w:cs="宋体"/>
                <w:kern w:val="2"/>
                <w:sz w:val="21"/>
                <w:szCs w:val="21"/>
              </w:rPr>
              <w:t>浙江豪圣建设项目管理有限公司（杭州市拱墅区远洋国际A座17楼1706室评标室）。</w:t>
            </w:r>
            <w:r>
              <w:rPr>
                <w:rFonts w:hint="eastAsia" w:ascii="宋体" w:hAnsi="宋体" w:eastAsia="宋体" w:cs="宋体"/>
                <w:bCs/>
                <w:sz w:val="21"/>
                <w:szCs w:val="21"/>
              </w:rPr>
              <w:t>通过“政府采购云平台（www.zcygov.cn）”实行在线投标响应（电子投标）。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auto" w:sz="4"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14</w:t>
            </w:r>
          </w:p>
        </w:tc>
        <w:tc>
          <w:tcPr>
            <w:tcW w:w="1448" w:type="dxa"/>
            <w:tcBorders>
              <w:top w:val="single" w:color="000000" w:sz="2" w:space="0"/>
              <w:left w:val="single" w:color="000000" w:sz="2" w:space="0"/>
              <w:bottom w:val="single" w:color="auto" w:sz="4" w:space="0"/>
              <w:right w:val="single" w:color="auto" w:sz="4" w:space="0"/>
            </w:tcBorders>
            <w:vAlign w:val="center"/>
          </w:tcPr>
          <w:p>
            <w:pPr>
              <w:adjustRightInd w:val="0"/>
              <w:snapToGrid w:val="0"/>
              <w:spacing w:line="360" w:lineRule="exact"/>
              <w:contextualSpacing/>
              <w:jc w:val="left"/>
              <w:rPr>
                <w:rFonts w:ascii="宋体" w:hAnsi="宋体" w:cs="宋体"/>
                <w:szCs w:val="21"/>
              </w:rPr>
            </w:pPr>
            <w:r>
              <w:rPr>
                <w:rFonts w:hint="eastAsia" w:ascii="宋体" w:hAnsi="宋体" w:cs="宋体"/>
                <w:b/>
                <w:bCs/>
                <w:kern w:val="10"/>
                <w:szCs w:val="21"/>
              </w:rPr>
              <w:t>现场踏勘</w:t>
            </w:r>
          </w:p>
        </w:tc>
        <w:tc>
          <w:tcPr>
            <w:tcW w:w="7910" w:type="dxa"/>
            <w:gridSpan w:val="3"/>
            <w:tcBorders>
              <w:top w:val="single" w:color="000000" w:sz="2" w:space="0"/>
              <w:left w:val="single" w:color="auto" w:sz="4" w:space="0"/>
              <w:bottom w:val="single" w:color="auto" w:sz="4" w:space="0"/>
              <w:right w:val="single" w:color="000000" w:sz="8" w:space="0"/>
            </w:tcBorders>
            <w:vAlign w:val="center"/>
          </w:tcPr>
          <w:p>
            <w:r>
              <w:t>不组织现场踏勘</w:t>
            </w:r>
            <w:r>
              <w:rPr>
                <w:rFonts w:hint="eastAsia"/>
              </w:rPr>
              <w:t>。投标单位如需踏勘，踏勘前自行和采购人代表人进行具体确认</w:t>
            </w:r>
          </w:p>
          <w:p>
            <w:r>
              <w:rPr>
                <w:rFonts w:hint="eastAsia"/>
              </w:rPr>
              <w:t>1、任何因忽视或误解项目实地情况及未踏勘造成的风险损失及不利影响均由投标人自身承担；</w:t>
            </w:r>
          </w:p>
          <w:p>
            <w:r>
              <w:rPr>
                <w:rFonts w:hint="eastAsia"/>
              </w:rPr>
              <w:t>2、结合本文件并经现场踏勘后，投标人认为项目实施过程中可能发生的各项费用均须计入响应总价。成交后，采购人不再另行支付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auto" w:sz="4"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15</w:t>
            </w:r>
          </w:p>
        </w:tc>
        <w:tc>
          <w:tcPr>
            <w:tcW w:w="9358" w:type="dxa"/>
            <w:gridSpan w:val="4"/>
            <w:tcBorders>
              <w:top w:val="single" w:color="000000" w:sz="2" w:space="0"/>
              <w:left w:val="single" w:color="000000" w:sz="2" w:space="0"/>
              <w:bottom w:val="single" w:color="auto" w:sz="4" w:space="0"/>
              <w:right w:val="single" w:color="000000" w:sz="8" w:space="0"/>
            </w:tcBorders>
            <w:vAlign w:val="center"/>
          </w:tcPr>
          <w:p>
            <w:pPr>
              <w:adjustRightInd w:val="0"/>
              <w:snapToGrid w:val="0"/>
              <w:spacing w:line="360" w:lineRule="exact"/>
              <w:rPr>
                <w:rFonts w:ascii="宋体" w:hAnsi="宋体" w:cs="宋体"/>
                <w:kern w:val="0"/>
                <w:szCs w:val="21"/>
              </w:rPr>
            </w:pPr>
            <w:r>
              <w:rPr>
                <w:rFonts w:hint="eastAsia" w:ascii="宋体" w:hAnsi="宋体" w:cs="宋体"/>
                <w:b/>
                <w:snapToGrid w:val="0"/>
                <w:kern w:val="10"/>
                <w:szCs w:val="21"/>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16</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contextualSpacing/>
              <w:rPr>
                <w:rFonts w:ascii="宋体" w:hAnsi="宋体" w:cs="宋体"/>
                <w:bCs/>
                <w:snapToGrid w:val="0"/>
                <w:kern w:val="10"/>
                <w:szCs w:val="21"/>
              </w:rPr>
            </w:pPr>
            <w:r>
              <w:rPr>
                <w:rFonts w:hint="eastAsia" w:ascii="宋体" w:hAnsi="宋体" w:cs="宋体"/>
                <w:b/>
                <w:snapToGrid w:val="0"/>
                <w:kern w:val="10"/>
                <w:szCs w:val="21"/>
              </w:rPr>
              <w:t>1、</w:t>
            </w:r>
            <w:r>
              <w:rPr>
                <w:rFonts w:hint="eastAsia" w:ascii="宋体" w:hAnsi="宋体" w:cs="宋体"/>
                <w:bCs/>
                <w:snapToGrid w:val="0"/>
                <w:kern w:val="10"/>
                <w:szCs w:val="21"/>
              </w:rPr>
              <w:t>投标截止后，在投标有效期内，供应商不能撤销磋商响应文件。供应商强行撤销磋商响应文件的，应按预算金额的2%赔偿对招标代理机构造成的损失。</w:t>
            </w:r>
          </w:p>
          <w:p>
            <w:pPr>
              <w:adjustRightInd w:val="0"/>
              <w:snapToGrid w:val="0"/>
              <w:spacing w:line="360" w:lineRule="exact"/>
              <w:contextualSpacing/>
              <w:rPr>
                <w:rFonts w:ascii="宋体" w:hAnsi="宋体" w:cs="宋体"/>
                <w:bCs/>
                <w:snapToGrid w:val="0"/>
                <w:kern w:val="10"/>
                <w:szCs w:val="21"/>
              </w:rPr>
            </w:pPr>
            <w:r>
              <w:rPr>
                <w:rFonts w:hint="eastAsia" w:ascii="宋体" w:hAnsi="宋体" w:cs="宋体"/>
                <w:bCs/>
                <w:snapToGrid w:val="0"/>
                <w:kern w:val="10"/>
                <w:szCs w:val="21"/>
              </w:rPr>
              <w:t>2、成交后，供应商拒绝签订合同的，采购人可以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adjustRightInd w:val="0"/>
              <w:snapToGrid w:val="0"/>
              <w:spacing w:line="360" w:lineRule="exact"/>
              <w:contextualSpacing/>
              <w:rPr>
                <w:rFonts w:ascii="宋体" w:hAnsi="宋体" w:cs="宋体"/>
                <w:bCs/>
                <w:snapToGrid w:val="0"/>
                <w:kern w:val="10"/>
                <w:szCs w:val="21"/>
              </w:rPr>
            </w:pPr>
            <w:r>
              <w:rPr>
                <w:rFonts w:hint="eastAsia" w:ascii="宋体" w:hAnsi="宋体" w:cs="宋体"/>
                <w:bCs/>
                <w:snapToGrid w:val="0"/>
                <w:kern w:val="10"/>
                <w:szCs w:val="21"/>
              </w:rPr>
              <w:t>3、存在下列行为的，招标代理机构将其失信行为上报政府采购主管部门，由主管部门按有关规定对其违法失信行为记录进行公开：</w:t>
            </w:r>
          </w:p>
          <w:p>
            <w:pPr>
              <w:adjustRightInd w:val="0"/>
              <w:snapToGrid w:val="0"/>
              <w:spacing w:line="360" w:lineRule="exact"/>
              <w:contextualSpacing/>
              <w:rPr>
                <w:rFonts w:ascii="宋体" w:hAnsi="宋体" w:cs="宋体"/>
                <w:bCs/>
                <w:snapToGrid w:val="0"/>
                <w:kern w:val="10"/>
                <w:szCs w:val="21"/>
              </w:rPr>
            </w:pPr>
            <w:r>
              <w:rPr>
                <w:rFonts w:hint="eastAsia" w:ascii="宋体" w:hAnsi="宋体" w:cs="宋体"/>
                <w:bCs/>
                <w:snapToGrid w:val="0"/>
                <w:kern w:val="10"/>
                <w:szCs w:val="21"/>
              </w:rPr>
              <w:t>（1）成交或者成交后，拒绝签订政府采购合同的。</w:t>
            </w:r>
          </w:p>
          <w:p>
            <w:pPr>
              <w:adjustRightInd w:val="0"/>
              <w:snapToGrid w:val="0"/>
              <w:spacing w:line="360" w:lineRule="exact"/>
              <w:contextualSpacing/>
              <w:rPr>
                <w:rFonts w:ascii="宋体" w:hAnsi="宋体" w:cs="宋体"/>
                <w:b/>
                <w:bCs/>
                <w:kern w:val="10"/>
                <w:szCs w:val="21"/>
              </w:rPr>
            </w:pPr>
            <w:r>
              <w:rPr>
                <w:rFonts w:hint="eastAsia" w:ascii="宋体" w:hAnsi="宋体" w:cs="宋体"/>
                <w:bCs/>
                <w:snapToGrid w:val="0"/>
                <w:kern w:val="10"/>
                <w:szCs w:val="21"/>
              </w:rPr>
              <w:t>（2）投标有效期内撤销磋商响应文件的。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17</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jc w:val="left"/>
            </w:pPr>
            <w:r>
              <w:rPr>
                <w:rFonts w:hint="eastAsia"/>
              </w:rPr>
              <w:t>1、本项目属于专门面向中小企业采购的预留份额项目。参加本次采购活动的投标供应商提供的服务全部由符合政策要求的中小企业承接。</w:t>
            </w:r>
          </w:p>
          <w:p>
            <w:pPr>
              <w:jc w:val="left"/>
              <w:rPr>
                <w:b/>
                <w:bCs/>
              </w:rPr>
            </w:pPr>
            <w:r>
              <w:rPr>
                <w:rFonts w:hint="eastAsia"/>
              </w:rPr>
              <w:t>2、</w:t>
            </w:r>
            <w:r>
              <w:rPr>
                <w:rFonts w:hint="eastAsia"/>
                <w:b/>
                <w:bCs/>
              </w:rPr>
              <w:t>本次采购标的为详见第三部分项目技术规范和招标需求中“标的清单”，对应的中小企业划分标准所属行业是：租赁和商务服务业。</w:t>
            </w:r>
          </w:p>
          <w:p>
            <w:pPr>
              <w:jc w:val="left"/>
            </w:pPr>
            <w:r>
              <w:rPr>
                <w:rFonts w:hint="eastAsia"/>
              </w:rPr>
              <w:t>3、节能产品、环境标志产品的强制采购政策（本项目不适用）</w:t>
            </w:r>
          </w:p>
          <w:p>
            <w:pPr>
              <w:jc w:val="left"/>
            </w:pPr>
            <w:r>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jc w:val="left"/>
            </w:pPr>
            <w:r>
              <w:rPr>
                <w:rFonts w:hint="eastAsia"/>
              </w:rPr>
              <w:t>4、节能产品、环境标志产品的优先采购政策</w:t>
            </w:r>
          </w:p>
          <w:p>
            <w:r>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18</w:t>
            </w:r>
          </w:p>
        </w:tc>
        <w:tc>
          <w:tcPr>
            <w:tcW w:w="9358" w:type="dxa"/>
            <w:gridSpan w:val="4"/>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exact"/>
              <w:ind w:left="105" w:leftChars="50"/>
              <w:contextualSpacing/>
              <w:rPr>
                <w:rFonts w:ascii="宋体" w:hAnsi="宋体" w:cs="宋体"/>
                <w:szCs w:val="21"/>
              </w:rPr>
            </w:pPr>
            <w:r>
              <w:rPr>
                <w:rFonts w:hint="eastAsia" w:ascii="宋体" w:hAnsi="宋体" w:cs="宋体"/>
                <w:szCs w:val="21"/>
              </w:rPr>
              <w:t>根据《关于在政府采购活动中查询及使用信用记录有关问题的通知》财库[2016]125号的规定：</w:t>
            </w:r>
          </w:p>
          <w:p>
            <w:pPr>
              <w:adjustRightInd w:val="0"/>
              <w:snapToGrid w:val="0"/>
              <w:spacing w:line="360" w:lineRule="exact"/>
              <w:ind w:left="105" w:leftChars="50"/>
              <w:contextualSpacing/>
              <w:rPr>
                <w:rFonts w:ascii="宋体" w:hAnsi="宋体" w:cs="宋体"/>
                <w:szCs w:val="21"/>
              </w:rPr>
            </w:pPr>
            <w:r>
              <w:rPr>
                <w:rFonts w:hint="eastAsia" w:ascii="宋体" w:hAnsi="宋体" w:cs="宋体"/>
                <w:kern w:val="0"/>
                <w:szCs w:val="21"/>
              </w:rPr>
              <w:t>（</w:t>
            </w:r>
            <w:r>
              <w:rPr>
                <w:rFonts w:hint="eastAsia" w:ascii="宋体" w:hAnsi="宋体" w:cs="宋体"/>
                <w:szCs w:val="21"/>
              </w:rPr>
              <w:t>1）采购人或采购代理机构将对本项目供应商的信用记录进行查询。查询渠道为信用中国网站（www.creditchina.gov.cn）、中国政府采购网（www.ccgp.gov.cn）。</w:t>
            </w:r>
          </w:p>
          <w:p>
            <w:pPr>
              <w:adjustRightInd w:val="0"/>
              <w:snapToGrid w:val="0"/>
              <w:spacing w:line="360" w:lineRule="exact"/>
              <w:ind w:left="105" w:leftChars="50"/>
              <w:contextualSpacing/>
              <w:rPr>
                <w:rFonts w:ascii="宋体" w:hAnsi="宋体" w:cs="宋体"/>
                <w:szCs w:val="21"/>
              </w:rPr>
            </w:pPr>
            <w:r>
              <w:rPr>
                <w:rFonts w:hint="eastAsia" w:ascii="宋体" w:hAnsi="宋体" w:cs="宋体"/>
                <w:kern w:val="0"/>
                <w:szCs w:val="21"/>
              </w:rPr>
              <w:t>（</w:t>
            </w:r>
            <w:r>
              <w:rPr>
                <w:rFonts w:hint="eastAsia" w:ascii="宋体" w:hAnsi="宋体" w:cs="宋体"/>
                <w:szCs w:val="21"/>
              </w:rPr>
              <w:t>2）截止时点：提交磋商响应文件（响应文件）截止时间前3年内。</w:t>
            </w:r>
          </w:p>
          <w:p>
            <w:pPr>
              <w:adjustRightInd w:val="0"/>
              <w:snapToGrid w:val="0"/>
              <w:spacing w:line="360" w:lineRule="exact"/>
              <w:ind w:left="105" w:leftChars="50"/>
              <w:contextualSpacing/>
              <w:rPr>
                <w:rFonts w:ascii="宋体" w:hAnsi="宋体" w:cs="宋体"/>
                <w:szCs w:val="21"/>
              </w:rPr>
            </w:pPr>
            <w:r>
              <w:rPr>
                <w:rFonts w:hint="eastAsia" w:ascii="宋体" w:hAnsi="宋体" w:cs="宋体"/>
                <w:kern w:val="0"/>
                <w:szCs w:val="21"/>
              </w:rPr>
              <w:t>（</w:t>
            </w:r>
            <w:r>
              <w:rPr>
                <w:rFonts w:hint="eastAsia" w:ascii="宋体" w:hAnsi="宋体" w:cs="宋体"/>
                <w:szCs w:val="21"/>
              </w:rPr>
              <w:t>3）查询记录和证据的留存：信用信息查询记录和证据以网页截图等方式留存。</w:t>
            </w:r>
          </w:p>
          <w:p>
            <w:pPr>
              <w:adjustRightInd w:val="0"/>
              <w:snapToGrid w:val="0"/>
              <w:spacing w:line="360" w:lineRule="exact"/>
              <w:ind w:left="105" w:leftChars="50"/>
              <w:contextualSpacing/>
              <w:rPr>
                <w:rFonts w:ascii="宋体" w:hAnsi="宋体" w:cs="宋体"/>
                <w:szCs w:val="21"/>
              </w:rPr>
            </w:pPr>
            <w:r>
              <w:rPr>
                <w:rFonts w:hint="eastAsia" w:ascii="宋体" w:hAnsi="宋体" w:cs="宋体"/>
                <w:kern w:val="0"/>
                <w:szCs w:val="21"/>
              </w:rPr>
              <w:t>（</w:t>
            </w:r>
            <w:r>
              <w:rPr>
                <w:rFonts w:hint="eastAsia" w:ascii="宋体" w:hAnsi="宋体" w:cs="宋体"/>
                <w:szCs w:val="21"/>
              </w:rPr>
              <w:t>4）使用规则：被列入失信被执行人、重大税收违法失信主体、政府采购严重违法失信行为记录名单及其它不符合《中华人民共和国政府采购法》第二十二条规定条件的，其投标将被拒绝。</w:t>
            </w:r>
          </w:p>
          <w:p>
            <w:pPr>
              <w:adjustRightInd w:val="0"/>
              <w:snapToGrid w:val="0"/>
              <w:spacing w:line="360" w:lineRule="exact"/>
              <w:ind w:left="105" w:leftChars="50"/>
              <w:contextualSpacing/>
              <w:rPr>
                <w:rFonts w:ascii="宋体" w:hAnsi="宋体" w:cs="宋体"/>
                <w:szCs w:val="21"/>
              </w:rPr>
            </w:pPr>
            <w:r>
              <w:rPr>
                <w:rFonts w:hint="eastAsia" w:ascii="宋体" w:hAnsi="宋体" w:cs="宋体"/>
                <w:kern w:val="0"/>
                <w:szCs w:val="21"/>
              </w:rPr>
              <w:t>（</w:t>
            </w:r>
            <w:r>
              <w:rPr>
                <w:rFonts w:hint="eastAsia" w:ascii="宋体" w:hAnsi="宋体" w:cs="宋体"/>
                <w:szCs w:val="21"/>
              </w:rPr>
              <w:t xml:space="preserve">5）联合体成员任意一方存在不良信用记录的，视同联合体存在不良信用记录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szCs w:val="21"/>
              </w:rPr>
            </w:pPr>
            <w:r>
              <w:rPr>
                <w:rFonts w:hint="eastAsia" w:ascii="宋体" w:hAnsi="宋体" w:cs="宋体"/>
                <w:kern w:val="0"/>
                <w:szCs w:val="21"/>
                <w:lang w:bidi="ar"/>
              </w:rPr>
              <w:t>19</w:t>
            </w:r>
          </w:p>
        </w:tc>
        <w:tc>
          <w:tcPr>
            <w:tcW w:w="2013" w:type="dxa"/>
            <w:gridSpan w:val="2"/>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exact"/>
              <w:ind w:left="105" w:leftChars="50" w:firstLine="420" w:firstLineChars="200"/>
              <w:contextualSpacing/>
              <w:rPr>
                <w:rFonts w:ascii="宋体" w:hAnsi="宋体" w:cs="宋体"/>
                <w:kern w:val="0"/>
                <w:szCs w:val="21"/>
              </w:rPr>
            </w:pPr>
            <w:r>
              <w:rPr>
                <w:rFonts w:hint="eastAsia" w:ascii="宋体" w:hAnsi="宋体" w:cs="宋体"/>
                <w:szCs w:val="21"/>
              </w:rPr>
              <w:t>重要提醒</w:t>
            </w:r>
          </w:p>
        </w:tc>
        <w:tc>
          <w:tcPr>
            <w:tcW w:w="7345" w:type="dxa"/>
            <w:gridSpan w:val="2"/>
            <w:tcBorders>
              <w:top w:val="single" w:color="000000" w:sz="2" w:space="0"/>
              <w:left w:val="single" w:color="auto" w:sz="4" w:space="0"/>
              <w:bottom w:val="single" w:color="000000" w:sz="2" w:space="0"/>
              <w:right w:val="single" w:color="000000" w:sz="8" w:space="0"/>
            </w:tcBorders>
            <w:vAlign w:val="center"/>
          </w:tcPr>
          <w:p>
            <w:pPr>
              <w:adjustRightInd w:val="0"/>
              <w:snapToGrid w:val="0"/>
              <w:spacing w:line="360" w:lineRule="exact"/>
              <w:ind w:left="105" w:leftChars="50"/>
              <w:contextualSpacing/>
              <w:rPr>
                <w:rFonts w:ascii="宋体" w:hAnsi="宋体" w:cs="宋体"/>
                <w:b/>
                <w:bCs/>
                <w:szCs w:val="21"/>
              </w:rPr>
            </w:pPr>
            <w:r>
              <w:rPr>
                <w:rFonts w:hint="eastAsia" w:ascii="宋体" w:hAnsi="宋体" w:cs="宋体"/>
                <w:b/>
                <w:bCs/>
                <w:szCs w:val="21"/>
              </w:rPr>
              <w:t>（1）投标供应商应仔细对照投标须知条款阅读本表，如本表与须知内容就同一事项规定不一致的，以本表为准。</w:t>
            </w:r>
          </w:p>
          <w:p>
            <w:pPr>
              <w:adjustRightInd w:val="0"/>
              <w:snapToGrid w:val="0"/>
              <w:spacing w:line="360" w:lineRule="exact"/>
              <w:ind w:left="105" w:leftChars="50"/>
              <w:contextualSpacing/>
              <w:rPr>
                <w:rFonts w:ascii="宋体" w:hAnsi="宋体" w:cs="宋体"/>
                <w:b/>
                <w:bCs/>
                <w:szCs w:val="21"/>
              </w:rPr>
            </w:pPr>
            <w:r>
              <w:rPr>
                <w:rFonts w:hint="eastAsia" w:ascii="宋体" w:hAnsi="宋体" w:cs="宋体"/>
                <w:b/>
                <w:bCs/>
                <w:szCs w:val="21"/>
              </w:rPr>
              <w:t>（2）投标供应商在编制磋商响应文件时应作出符合客观事实的真实响应，采购人不接受任何不符客观事实的“响应”或者“应标”，情节严重的可视为“提供虚假材料”行为，并参照“提供虚假材料”进行处理。</w:t>
            </w:r>
          </w:p>
          <w:p>
            <w:pPr>
              <w:adjustRightInd w:val="0"/>
              <w:snapToGrid w:val="0"/>
              <w:spacing w:line="360" w:lineRule="exact"/>
              <w:ind w:left="105" w:leftChars="50"/>
              <w:contextualSpacing/>
              <w:rPr>
                <w:rFonts w:ascii="宋体" w:hAnsi="宋体" w:cs="宋体"/>
                <w:b/>
                <w:bCs/>
                <w:szCs w:val="21"/>
              </w:rPr>
            </w:pPr>
            <w:r>
              <w:rPr>
                <w:rFonts w:hint="eastAsia" w:ascii="宋体" w:hAnsi="宋体" w:cs="宋体"/>
                <w:b/>
                <w:bCs/>
                <w:szCs w:val="21"/>
              </w:rPr>
              <w:t>（3）采购文件成交注“▲”的技术或商务条款均为实质性要求条款，不满足实质性要求条款的投标无效。</w:t>
            </w:r>
          </w:p>
          <w:p>
            <w:pPr>
              <w:adjustRightInd w:val="0"/>
              <w:snapToGrid w:val="0"/>
              <w:spacing w:line="360" w:lineRule="exact"/>
              <w:ind w:left="105" w:leftChars="50"/>
              <w:contextualSpacing/>
              <w:rPr>
                <w:rFonts w:ascii="宋体" w:hAnsi="宋体" w:cs="宋体"/>
                <w:kern w:val="0"/>
                <w:szCs w:val="21"/>
              </w:rPr>
            </w:pPr>
            <w:r>
              <w:rPr>
                <w:rFonts w:hint="eastAsia" w:ascii="宋体" w:hAnsi="宋体" w:cs="宋体"/>
                <w:b/>
                <w:bCs/>
                <w:szCs w:val="21"/>
              </w:rPr>
              <w:t>（4）采购文件中所有加粗及加下划线的条款着重提请各供应商注意，请各供应商认真查看采购文件中的每一个条款及要求，因误读、漏读、错读采购文件内容而造成的一切后果，由供应商自行承担。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jc w:val="center"/>
        </w:trPr>
        <w:tc>
          <w:tcPr>
            <w:tcW w:w="652" w:type="dxa"/>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20</w:t>
            </w:r>
          </w:p>
        </w:tc>
        <w:tc>
          <w:tcPr>
            <w:tcW w:w="2013" w:type="dxa"/>
            <w:gridSpan w:val="2"/>
            <w:tcBorders>
              <w:top w:val="single" w:color="000000" w:sz="2" w:space="0"/>
              <w:left w:val="single" w:color="000000" w:sz="2" w:space="0"/>
              <w:bottom w:val="single" w:color="000000" w:sz="2"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其他</w:t>
            </w:r>
          </w:p>
        </w:tc>
        <w:tc>
          <w:tcPr>
            <w:tcW w:w="7345" w:type="dxa"/>
            <w:gridSpan w:val="2"/>
            <w:tcBorders>
              <w:top w:val="single" w:color="000000" w:sz="2" w:space="0"/>
              <w:left w:val="single" w:color="auto" w:sz="4" w:space="0"/>
              <w:bottom w:val="single" w:color="000000" w:sz="2" w:space="0"/>
              <w:right w:val="single" w:color="000000" w:sz="8" w:space="0"/>
            </w:tcBorders>
            <w:vAlign w:val="center"/>
          </w:tcPr>
          <w:p>
            <w:pPr>
              <w:autoSpaceDE w:val="0"/>
              <w:autoSpaceDN w:val="0"/>
              <w:snapToGrid w:val="0"/>
              <w:spacing w:line="300" w:lineRule="auto"/>
              <w:textAlignment w:val="bottom"/>
              <w:rPr>
                <w:rFonts w:ascii="宋体" w:hAnsi="宋体" w:cs="宋体"/>
                <w:szCs w:val="21"/>
              </w:rPr>
            </w:pPr>
            <w:r>
              <w:rPr>
                <w:rFonts w:hint="eastAsia" w:ascii="宋体" w:hAnsi="宋体" w:cs="宋体"/>
                <w:szCs w:val="21"/>
              </w:rPr>
              <w:t>1、本项目不允许转包。</w:t>
            </w:r>
          </w:p>
          <w:p>
            <w:pPr>
              <w:autoSpaceDE w:val="0"/>
              <w:autoSpaceDN w:val="0"/>
              <w:snapToGrid w:val="0"/>
              <w:spacing w:line="300" w:lineRule="auto"/>
              <w:textAlignment w:val="bottom"/>
              <w:rPr>
                <w:rFonts w:ascii="宋体" w:hAnsi="宋体" w:cs="宋体"/>
                <w:b/>
                <w:bCs/>
                <w:szCs w:val="21"/>
              </w:rPr>
            </w:pPr>
            <w:r>
              <w:rPr>
                <w:rFonts w:hint="eastAsia" w:ascii="宋体" w:hAnsi="宋体" w:cs="宋体"/>
                <w:szCs w:val="21"/>
              </w:rPr>
              <w:t>2、本项目允许分包：</w:t>
            </w:r>
            <w:r>
              <w:rPr>
                <w:rFonts w:hint="eastAsia" w:ascii="宋体" w:hAnsi="宋体" w:cs="宋体"/>
                <w:b/>
                <w:bCs/>
                <w:szCs w:val="21"/>
              </w:rPr>
              <w:t>同意将非主体、非关键性的 租赁设备和运输</w:t>
            </w:r>
            <w:r>
              <w:rPr>
                <w:rFonts w:hint="eastAsia" w:ascii="宋体" w:hAnsi="宋体" w:cs="宋体"/>
                <w:b/>
                <w:bCs/>
                <w:szCs w:val="21"/>
                <w:u w:val="single"/>
              </w:rPr>
              <w:t xml:space="preserve"> </w:t>
            </w:r>
            <w:r>
              <w:rPr>
                <w:rFonts w:hint="eastAsia" w:ascii="宋体" w:hAnsi="宋体" w:cs="宋体"/>
                <w:b/>
                <w:bCs/>
                <w:szCs w:val="21"/>
              </w:rPr>
              <w:t>工作分包。</w:t>
            </w:r>
          </w:p>
        </w:tc>
      </w:tr>
    </w:tbl>
    <w:p>
      <w:pPr>
        <w:shd w:val="clear" w:color="auto" w:fill="FFFFFF"/>
        <w:spacing w:line="360" w:lineRule="auto"/>
        <w:ind w:firstLine="3360" w:firstLineChars="1400"/>
        <w:outlineLvl w:val="1"/>
        <w:rPr>
          <w:rFonts w:ascii="宋体" w:hAnsi="宋体" w:cs="宋体"/>
          <w:b/>
          <w:bCs/>
          <w:sz w:val="24"/>
        </w:rPr>
      </w:pPr>
      <w:r>
        <w:rPr>
          <w:rFonts w:hint="eastAsia" w:ascii="宋体" w:hAnsi="宋体" w:cs="宋体"/>
          <w:kern w:val="0"/>
          <w:sz w:val="24"/>
        </w:rPr>
        <w:br w:type="page"/>
      </w:r>
      <w:bookmarkEnd w:id="14"/>
      <w:bookmarkStart w:id="17" w:name="_Toc354996696"/>
      <w:bookmarkStart w:id="18" w:name="_Toc5086"/>
      <w:bookmarkStart w:id="19" w:name="_Toc442428808"/>
      <w:bookmarkStart w:id="20" w:name="_Toc361217423"/>
      <w:bookmarkStart w:id="21" w:name="_Toc233618972"/>
      <w:bookmarkStart w:id="22" w:name="_Toc226106467"/>
      <w:bookmarkStart w:id="23" w:name="_Toc226106516"/>
      <w:bookmarkStart w:id="24" w:name="_Toc225840109"/>
      <w:bookmarkStart w:id="25" w:name="_Toc226521904"/>
      <w:r>
        <w:rPr>
          <w:rFonts w:hint="eastAsia" w:ascii="宋体" w:hAnsi="宋体" w:cs="宋体"/>
          <w:b/>
          <w:bCs/>
          <w:sz w:val="24"/>
        </w:rPr>
        <w:t>一、总 则</w:t>
      </w:r>
      <w:bookmarkEnd w:id="17"/>
      <w:bookmarkEnd w:id="18"/>
      <w:bookmarkEnd w:id="19"/>
      <w:bookmarkEnd w:id="20"/>
      <w:bookmarkEnd w:id="21"/>
    </w:p>
    <w:p>
      <w:pPr>
        <w:shd w:val="clear" w:color="auto" w:fill="FFFFFF"/>
        <w:adjustRightInd w:val="0"/>
        <w:snapToGrid w:val="0"/>
        <w:spacing w:line="360" w:lineRule="auto"/>
        <w:rPr>
          <w:rFonts w:ascii="宋体" w:hAnsi="宋体" w:cs="宋体"/>
          <w:b/>
          <w:bCs/>
          <w:szCs w:val="21"/>
        </w:rPr>
      </w:pPr>
      <w:bookmarkStart w:id="26" w:name="_Hlt74714665"/>
      <w:bookmarkEnd w:id="26"/>
      <w:bookmarkStart w:id="27" w:name="_Hlt74730295"/>
      <w:bookmarkEnd w:id="27"/>
      <w:bookmarkStart w:id="28" w:name="_Toc91899872"/>
      <w:bookmarkStart w:id="29" w:name="_Hlt74730208"/>
      <w:bookmarkStart w:id="30" w:name="_Hlt74730112"/>
      <w:r>
        <w:rPr>
          <w:rFonts w:hint="eastAsia" w:ascii="宋体" w:hAnsi="宋体" w:cs="宋体"/>
          <w:b/>
          <w:bCs/>
          <w:szCs w:val="21"/>
        </w:rPr>
        <w:t>1</w:t>
      </w:r>
      <w:r>
        <w:rPr>
          <w:rFonts w:hint="eastAsia" w:ascii="宋体" w:hAnsi="宋体" w:cs="宋体"/>
          <w:b/>
          <w:bCs/>
          <w:kern w:val="0"/>
          <w:szCs w:val="21"/>
          <w:lang w:val="zh-CN"/>
        </w:rPr>
        <w:t>、</w:t>
      </w:r>
      <w:r>
        <w:rPr>
          <w:rFonts w:hint="eastAsia" w:ascii="宋体" w:hAnsi="宋体" w:cs="宋体"/>
          <w:b/>
          <w:bCs/>
          <w:szCs w:val="21"/>
        </w:rPr>
        <w:t>项目说明</w:t>
      </w:r>
      <w:bookmarkEnd w:id="28"/>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1.1 项目说明见投标须知前附表(以下称“前附表”)所述。</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1.2 采购单位浙江工商大学为本项目的采购人(合同中的甲方)，浙江豪圣建设项目管理有限公司为采购代理机构，浙江省财政厅为监督管理部门。自愿参加本次项目采购的公司为供应商，经磋商产生并经批准供应商成交人(合同中的乙方)。</w:t>
      </w:r>
    </w:p>
    <w:p>
      <w:pPr>
        <w:shd w:val="clear" w:color="auto" w:fill="FFFFFF"/>
        <w:adjustRightInd w:val="0"/>
        <w:snapToGrid w:val="0"/>
        <w:spacing w:line="360" w:lineRule="auto"/>
        <w:rPr>
          <w:rFonts w:ascii="宋体" w:hAnsi="宋体" w:cs="宋体"/>
          <w:b/>
          <w:bCs/>
          <w:szCs w:val="21"/>
        </w:rPr>
      </w:pPr>
      <w:bookmarkStart w:id="31" w:name="_Toc91899873"/>
      <w:r>
        <w:rPr>
          <w:rFonts w:hint="eastAsia" w:ascii="宋体" w:hAnsi="宋体" w:cs="宋体"/>
          <w:b/>
          <w:bCs/>
          <w:szCs w:val="21"/>
        </w:rPr>
        <w:t>2</w:t>
      </w:r>
      <w:r>
        <w:rPr>
          <w:rFonts w:hint="eastAsia" w:ascii="宋体" w:hAnsi="宋体" w:cs="宋体"/>
          <w:b/>
          <w:bCs/>
          <w:kern w:val="0"/>
          <w:szCs w:val="21"/>
          <w:lang w:val="zh-CN"/>
        </w:rPr>
        <w:t>、</w:t>
      </w:r>
      <w:r>
        <w:rPr>
          <w:rFonts w:hint="eastAsia" w:ascii="宋体" w:hAnsi="宋体" w:cs="宋体"/>
          <w:b/>
          <w:bCs/>
          <w:szCs w:val="21"/>
        </w:rPr>
        <w:t>采购方式</w:t>
      </w:r>
      <w:bookmarkEnd w:id="31"/>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竞争性磋商。</w:t>
      </w:r>
      <w:bookmarkEnd w:id="29"/>
      <w:bookmarkEnd w:id="30"/>
      <w:bookmarkStart w:id="32" w:name="_Hlt68516771"/>
      <w:bookmarkEnd w:id="32"/>
      <w:bookmarkStart w:id="33" w:name="_Hlt74388212"/>
      <w:bookmarkEnd w:id="33"/>
    </w:p>
    <w:p>
      <w:pPr>
        <w:shd w:val="clear" w:color="auto" w:fill="FFFFFF"/>
        <w:adjustRightInd w:val="0"/>
        <w:snapToGrid w:val="0"/>
        <w:spacing w:line="360" w:lineRule="auto"/>
        <w:rPr>
          <w:rFonts w:ascii="宋体" w:hAnsi="宋体" w:cs="宋体"/>
          <w:b/>
          <w:bCs/>
          <w:szCs w:val="21"/>
        </w:rPr>
      </w:pPr>
      <w:bookmarkStart w:id="34" w:name="_Hlt74730301"/>
      <w:bookmarkStart w:id="35" w:name="_Toc91899876"/>
      <w:r>
        <w:rPr>
          <w:rFonts w:hint="eastAsia" w:ascii="宋体" w:hAnsi="宋体" w:cs="宋体"/>
          <w:b/>
          <w:bCs/>
          <w:szCs w:val="21"/>
        </w:rPr>
        <w:t>3</w:t>
      </w:r>
      <w:bookmarkEnd w:id="34"/>
      <w:bookmarkEnd w:id="35"/>
      <w:bookmarkStart w:id="36" w:name="_Hlt74730303"/>
      <w:bookmarkStart w:id="37" w:name="_Toc91899877"/>
      <w:r>
        <w:rPr>
          <w:rFonts w:hint="eastAsia" w:ascii="宋体" w:hAnsi="宋体" w:cs="宋体"/>
          <w:b/>
          <w:bCs/>
          <w:kern w:val="0"/>
          <w:szCs w:val="21"/>
          <w:lang w:val="zh-CN"/>
        </w:rPr>
        <w:t>、定义</w:t>
      </w:r>
    </w:p>
    <w:p>
      <w:pPr>
        <w:shd w:val="clear" w:color="auto" w:fill="FFFFFF"/>
        <w:adjustRightInd w:val="0"/>
        <w:snapToGrid w:val="0"/>
        <w:spacing w:line="360" w:lineRule="auto"/>
        <w:ind w:firstLine="422" w:firstLineChars="200"/>
        <w:rPr>
          <w:rFonts w:ascii="宋体" w:hAnsi="宋体" w:cs="宋体"/>
          <w:kern w:val="0"/>
          <w:szCs w:val="21"/>
        </w:rPr>
      </w:pPr>
      <w:r>
        <w:rPr>
          <w:rFonts w:hint="eastAsia" w:ascii="宋体" w:hAnsi="宋体" w:cs="宋体"/>
          <w:b/>
          <w:bCs/>
          <w:kern w:val="0"/>
          <w:szCs w:val="21"/>
          <w:lang w:val="zh-CN"/>
        </w:rPr>
        <w:t>3.1  合格的供应商应具备的资格要求，</w:t>
      </w:r>
      <w:r>
        <w:rPr>
          <w:rFonts w:hint="eastAsia" w:ascii="宋体" w:hAnsi="宋体" w:cs="宋体"/>
          <w:kern w:val="0"/>
          <w:szCs w:val="21"/>
          <w:lang w:val="zh-CN"/>
        </w:rPr>
        <w:t>见磋商文件第一部分“竞争性磋商公告”。</w:t>
      </w:r>
    </w:p>
    <w:p>
      <w:pPr>
        <w:adjustRightInd w:val="0"/>
        <w:snapToGrid w:val="0"/>
        <w:spacing w:line="360" w:lineRule="auto"/>
        <w:ind w:firstLine="422" w:firstLineChars="200"/>
        <w:contextualSpacing/>
        <w:rPr>
          <w:rFonts w:ascii="宋体" w:hAnsi="宋体" w:cs="宋体"/>
          <w:szCs w:val="21"/>
          <w:lang w:val="zh-CN"/>
        </w:rPr>
      </w:pPr>
      <w:r>
        <w:rPr>
          <w:rFonts w:hint="eastAsia" w:ascii="宋体" w:hAnsi="宋体" w:cs="宋体"/>
          <w:b/>
          <w:bCs/>
          <w:kern w:val="0"/>
          <w:szCs w:val="21"/>
          <w:lang w:val="zh-CN"/>
        </w:rPr>
        <w:t>3.</w:t>
      </w:r>
      <w:r>
        <w:rPr>
          <w:rFonts w:hint="eastAsia" w:ascii="宋体" w:hAnsi="宋体" w:cs="宋体"/>
          <w:b/>
          <w:bCs/>
          <w:kern w:val="0"/>
          <w:szCs w:val="21"/>
        </w:rPr>
        <w:t>2</w:t>
      </w:r>
      <w:r>
        <w:rPr>
          <w:rFonts w:hint="eastAsia" w:ascii="宋体" w:hAnsi="宋体" w:cs="宋体"/>
          <w:b/>
          <w:bCs/>
          <w:kern w:val="0"/>
          <w:szCs w:val="21"/>
          <w:lang w:val="zh-CN"/>
        </w:rPr>
        <w:t xml:space="preserve">  </w:t>
      </w:r>
      <w:r>
        <w:rPr>
          <w:rFonts w:hint="eastAsia" w:ascii="宋体" w:hAnsi="宋体" w:cs="宋体"/>
          <w:szCs w:val="21"/>
        </w:rPr>
        <w:t>“产品”系指供方按磋商文件规定，须向采购人提供的一切设备、保险、税金、备品备件、工具、手册及其它有关技术资料和材料。</w:t>
      </w:r>
    </w:p>
    <w:p>
      <w:pPr>
        <w:shd w:val="clear" w:color="auto" w:fill="FFFFFF"/>
        <w:adjustRightInd w:val="0"/>
        <w:snapToGrid w:val="0"/>
        <w:spacing w:line="360" w:lineRule="auto"/>
        <w:rPr>
          <w:rFonts w:ascii="宋体" w:hAnsi="宋体" w:cs="宋体"/>
          <w:b/>
          <w:bCs/>
          <w:szCs w:val="21"/>
        </w:rPr>
      </w:pPr>
      <w:r>
        <w:rPr>
          <w:rFonts w:hint="eastAsia" w:ascii="宋体" w:hAnsi="宋体" w:cs="宋体"/>
          <w:b/>
          <w:bCs/>
          <w:szCs w:val="21"/>
        </w:rPr>
        <w:t>4</w:t>
      </w:r>
      <w:r>
        <w:rPr>
          <w:rFonts w:hint="eastAsia" w:ascii="宋体" w:hAnsi="宋体" w:cs="宋体"/>
          <w:b/>
          <w:bCs/>
          <w:szCs w:val="21"/>
          <w:lang w:val="zh-CN"/>
        </w:rPr>
        <w:t>、</w:t>
      </w:r>
      <w:r>
        <w:rPr>
          <w:rFonts w:hint="eastAsia" w:ascii="宋体" w:hAnsi="宋体" w:cs="宋体"/>
          <w:b/>
          <w:bCs/>
          <w:szCs w:val="21"/>
        </w:rPr>
        <w:t>投标费用</w:t>
      </w:r>
    </w:p>
    <w:p>
      <w:pPr>
        <w:adjustRightInd w:val="0"/>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rPr>
        <w:t>供应商需自行承担涉及投标的一切税、费用</w:t>
      </w:r>
      <w:r>
        <w:rPr>
          <w:rFonts w:hint="eastAsia" w:ascii="宋体" w:hAnsi="宋体" w:cs="宋体"/>
          <w:kern w:val="0"/>
          <w:szCs w:val="21"/>
          <w:lang w:val="zh-CN"/>
        </w:rPr>
        <w:t>。</w:t>
      </w:r>
    </w:p>
    <w:p>
      <w:pPr>
        <w:pStyle w:val="21"/>
      </w:pPr>
    </w:p>
    <w:bookmarkEnd w:id="36"/>
    <w:bookmarkEnd w:id="37"/>
    <w:p>
      <w:pPr>
        <w:shd w:val="clear" w:color="auto" w:fill="FFFFFF"/>
        <w:tabs>
          <w:tab w:val="left" w:pos="365"/>
        </w:tabs>
        <w:adjustRightInd w:val="0"/>
        <w:snapToGrid w:val="0"/>
        <w:spacing w:line="360" w:lineRule="auto"/>
        <w:ind w:firstLine="525" w:firstLineChars="218"/>
        <w:jc w:val="center"/>
        <w:rPr>
          <w:rFonts w:ascii="宋体" w:hAnsi="宋体" w:cs="宋体"/>
          <w:b/>
          <w:bCs/>
          <w:sz w:val="24"/>
        </w:rPr>
      </w:pPr>
      <w:bookmarkStart w:id="38" w:name="_Hlt68057669"/>
      <w:bookmarkEnd w:id="38"/>
      <w:bookmarkStart w:id="39" w:name="_Hlt74729768"/>
      <w:bookmarkEnd w:id="39"/>
      <w:bookmarkStart w:id="40" w:name="_Hlt75236290"/>
      <w:bookmarkEnd w:id="40"/>
      <w:bookmarkStart w:id="41" w:name="_Hlt74707468"/>
      <w:bookmarkEnd w:id="41"/>
      <w:bookmarkStart w:id="42" w:name="_Hlt68072990"/>
      <w:bookmarkEnd w:id="42"/>
      <w:bookmarkStart w:id="43" w:name="_Toc361217424"/>
      <w:bookmarkStart w:id="44" w:name="_Toc233618973"/>
      <w:bookmarkStart w:id="45" w:name="_Toc354996697"/>
      <w:bookmarkStart w:id="46" w:name="_Toc442428809"/>
      <w:r>
        <w:rPr>
          <w:rFonts w:hint="eastAsia" w:ascii="宋体" w:hAnsi="宋体" w:cs="宋体"/>
          <w:b/>
          <w:bCs/>
          <w:sz w:val="24"/>
        </w:rPr>
        <w:t>二、</w:t>
      </w:r>
      <w:bookmarkEnd w:id="43"/>
      <w:bookmarkEnd w:id="44"/>
      <w:bookmarkEnd w:id="45"/>
      <w:r>
        <w:rPr>
          <w:rFonts w:hint="eastAsia" w:ascii="宋体" w:hAnsi="宋体" w:cs="宋体"/>
          <w:b/>
          <w:bCs/>
          <w:sz w:val="24"/>
        </w:rPr>
        <w:t>磋商文件</w:t>
      </w:r>
      <w:bookmarkEnd w:id="46"/>
    </w:p>
    <w:p>
      <w:pPr>
        <w:pStyle w:val="25"/>
        <w:adjustRightInd w:val="0"/>
        <w:snapToGrid w:val="0"/>
        <w:spacing w:line="360" w:lineRule="auto"/>
        <w:rPr>
          <w:rFonts w:ascii="宋体" w:hAnsi="宋体" w:eastAsia="宋体"/>
          <w:b/>
        </w:rPr>
      </w:pPr>
      <w:bookmarkStart w:id="47" w:name="_Toc91899880"/>
      <w:bookmarkStart w:id="48" w:name="_Hlt74730307"/>
      <w:r>
        <w:rPr>
          <w:rFonts w:hint="eastAsia" w:ascii="宋体" w:hAnsi="宋体" w:eastAsia="宋体"/>
          <w:b/>
        </w:rPr>
        <w:t>5、磋商文件的组成</w:t>
      </w:r>
    </w:p>
    <w:p>
      <w:pPr>
        <w:pStyle w:val="25"/>
        <w:adjustRightInd w:val="0"/>
        <w:snapToGrid w:val="0"/>
        <w:spacing w:line="360" w:lineRule="auto"/>
        <w:ind w:firstLine="420" w:firstLineChars="200"/>
        <w:rPr>
          <w:rFonts w:ascii="宋体" w:hAnsi="宋体" w:eastAsia="宋体"/>
        </w:rPr>
      </w:pPr>
      <w:r>
        <w:rPr>
          <w:rFonts w:hint="eastAsia" w:ascii="宋体" w:hAnsi="宋体" w:eastAsia="宋体"/>
        </w:rPr>
        <w:t>5.1磋商文件包括下列文件及附件：</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第一部分 竞争性磋商公告。</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第二部分 编制和提交磋商响应文件须知。</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 xml:space="preserve">第三部分 </w:t>
      </w:r>
      <w:r>
        <w:rPr>
          <w:rFonts w:hint="eastAsia" w:ascii="宋体" w:hAnsi="宋体" w:cs="宋体"/>
          <w:kern w:val="0"/>
          <w:szCs w:val="21"/>
          <w:lang w:val="zh-CN"/>
        </w:rPr>
        <w:t>项目技术规范和</w:t>
      </w:r>
      <w:r>
        <w:rPr>
          <w:rFonts w:hint="eastAsia" w:ascii="宋体" w:hAnsi="宋体" w:cs="宋体"/>
          <w:kern w:val="0"/>
          <w:szCs w:val="21"/>
        </w:rPr>
        <w:t>招标需求</w:t>
      </w:r>
      <w:r>
        <w:rPr>
          <w:rFonts w:hint="eastAsia" w:ascii="宋体" w:hAnsi="宋体" w:cs="宋体"/>
          <w:szCs w:val="21"/>
        </w:rPr>
        <w:t>。</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第四部分 采购合同的一般和特殊条款。</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第五部分 应提交的有关格式范例。</w:t>
      </w:r>
    </w:p>
    <w:p>
      <w:pPr>
        <w:adjustRightInd w:val="0"/>
        <w:snapToGrid w:val="0"/>
        <w:spacing w:line="360" w:lineRule="auto"/>
        <w:ind w:firstLine="840" w:firstLineChars="400"/>
        <w:rPr>
          <w:rFonts w:ascii="宋体" w:hAnsi="宋体" w:cs="宋体"/>
          <w:szCs w:val="21"/>
        </w:rPr>
      </w:pPr>
      <w:r>
        <w:rPr>
          <w:rFonts w:hint="eastAsia" w:ascii="宋体" w:hAnsi="宋体" w:cs="宋体"/>
          <w:szCs w:val="21"/>
        </w:rPr>
        <w:t>第六部分 评标办法。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5.2供应商应认真审阅磋商文件中所有的内容，包括编制和提交磋商响应文件须知、项目技术规范和招标需求、采购合同的主要条款、应提交的有关格式范例等。如果供应商编制的磋商响应文件没有从实质上响应磋商文件的要求，其磋商响应文件将被采购代理机构拒绝。</w:t>
      </w:r>
    </w:p>
    <w:p>
      <w:pPr>
        <w:pStyle w:val="25"/>
        <w:adjustRightInd w:val="0"/>
        <w:snapToGrid w:val="0"/>
        <w:spacing w:line="360" w:lineRule="auto"/>
        <w:rPr>
          <w:rFonts w:ascii="宋体" w:hAnsi="宋体" w:eastAsia="宋体"/>
        </w:rPr>
      </w:pPr>
      <w:r>
        <w:rPr>
          <w:rFonts w:hint="eastAsia" w:ascii="宋体" w:hAnsi="宋体" w:eastAsia="宋体"/>
          <w:b/>
        </w:rPr>
        <w:t>6、磋商文件的澄清</w:t>
      </w:r>
    </w:p>
    <w:p>
      <w:pPr>
        <w:pStyle w:val="96"/>
        <w:adjustRightInd w:val="0"/>
        <w:snapToGrid w:val="0"/>
        <w:spacing w:before="0"/>
        <w:ind w:left="120" w:leftChars="57" w:firstLine="420"/>
        <w:rPr>
          <w:rFonts w:ascii="宋体" w:hAnsi="宋体" w:eastAsia="宋体" w:cs="宋体"/>
          <w:sz w:val="21"/>
          <w:szCs w:val="21"/>
        </w:rPr>
      </w:pPr>
      <w:r>
        <w:rPr>
          <w:rFonts w:hint="eastAsia" w:ascii="宋体" w:hAnsi="宋体" w:eastAsia="宋体" w:cs="宋体"/>
          <w:sz w:val="21"/>
          <w:szCs w:val="21"/>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得磋商文件的供应商。</w:t>
      </w:r>
    </w:p>
    <w:p>
      <w:pPr>
        <w:tabs>
          <w:tab w:val="left" w:pos="3780"/>
        </w:tabs>
        <w:adjustRightInd w:val="0"/>
        <w:snapToGrid w:val="0"/>
        <w:spacing w:line="360" w:lineRule="auto"/>
        <w:ind w:firstLine="525" w:firstLineChars="250"/>
        <w:rPr>
          <w:rFonts w:ascii="宋体" w:hAnsi="宋体" w:cs="宋体"/>
          <w:szCs w:val="21"/>
        </w:rPr>
      </w:pPr>
      <w:r>
        <w:rPr>
          <w:rFonts w:hint="eastAsia" w:ascii="宋体" w:hAnsi="宋体" w:cs="宋体"/>
          <w:szCs w:val="21"/>
        </w:rPr>
        <w:t>6.2 供应商一旦参与本次采购活动，即被视为接受了本采购文件的所有内容，如有任何异议，均已在答疑截止时间前提出。</w:t>
      </w:r>
    </w:p>
    <w:p>
      <w:pPr>
        <w:pStyle w:val="25"/>
        <w:adjustRightInd w:val="0"/>
        <w:snapToGrid w:val="0"/>
        <w:spacing w:line="360" w:lineRule="auto"/>
        <w:rPr>
          <w:rFonts w:ascii="宋体" w:hAnsi="宋体" w:eastAsia="宋体"/>
          <w:b/>
        </w:rPr>
      </w:pPr>
      <w:r>
        <w:rPr>
          <w:rFonts w:hint="eastAsia" w:ascii="宋体" w:hAnsi="宋体" w:eastAsia="宋体"/>
          <w:b/>
        </w:rPr>
        <w:t>7、磋商文件的修改</w:t>
      </w:r>
    </w:p>
    <w:p>
      <w:pPr>
        <w:pStyle w:val="25"/>
        <w:adjustRightInd w:val="0"/>
        <w:snapToGrid w:val="0"/>
        <w:spacing w:line="360" w:lineRule="auto"/>
        <w:ind w:firstLine="420" w:firstLineChars="200"/>
        <w:rPr>
          <w:rFonts w:ascii="宋体" w:hAnsi="宋体" w:eastAsia="宋体"/>
        </w:rPr>
      </w:pPr>
      <w:r>
        <w:rPr>
          <w:rFonts w:hint="eastAsia" w:ascii="宋体" w:hAnsi="宋体" w:eastAsia="宋体"/>
        </w:rPr>
        <w:t>7.1 磋商文件澄清、答复、修改、补充的内容为磋商文件的组成部分。当磋商文件与磋商文件的答复、澄清、修改、补充通知就同一内容的表述不一致时，以最后发出的书面文件为准。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7.2 若有必要，采购代理机构将酌情延长递交磋商响应文件的截止日期。</w:t>
      </w:r>
    </w:p>
    <w:p>
      <w:pPr>
        <w:shd w:val="clear" w:color="auto" w:fill="FFFFFF"/>
        <w:adjustRightInd w:val="0"/>
        <w:snapToGrid w:val="0"/>
        <w:spacing w:line="360" w:lineRule="auto"/>
        <w:rPr>
          <w:rFonts w:ascii="宋体" w:hAnsi="宋体" w:cs="宋体"/>
          <w:b/>
          <w:bCs/>
          <w:szCs w:val="21"/>
        </w:rPr>
      </w:pPr>
      <w:r>
        <w:rPr>
          <w:rFonts w:hint="eastAsia" w:ascii="宋体" w:hAnsi="宋体" w:cs="宋体"/>
          <w:b/>
          <w:bCs/>
          <w:szCs w:val="21"/>
        </w:rPr>
        <w:t>8</w:t>
      </w:r>
      <w:r>
        <w:rPr>
          <w:rFonts w:hint="eastAsia" w:ascii="宋体" w:hAnsi="宋体" w:cs="宋体"/>
          <w:b/>
          <w:bCs/>
          <w:kern w:val="0"/>
          <w:szCs w:val="21"/>
          <w:lang w:val="zh-CN"/>
        </w:rPr>
        <w:t>、</w:t>
      </w:r>
      <w:r>
        <w:rPr>
          <w:rFonts w:hint="eastAsia" w:ascii="宋体" w:hAnsi="宋体"/>
          <w:b/>
          <w:szCs w:val="21"/>
        </w:rPr>
        <w:t>磋商响应</w:t>
      </w:r>
      <w:r>
        <w:rPr>
          <w:rFonts w:hint="eastAsia" w:ascii="宋体" w:hAnsi="宋体" w:cs="宋体"/>
          <w:b/>
          <w:bCs/>
          <w:szCs w:val="21"/>
        </w:rPr>
        <w:t>报价</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8.1  报价</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有关本项目所需的一切税、费用均计入报价。项目费用包括履行合同所需的全部费用，包括并不限于工时费、服务费、运输费、安装调试费、培训费、购买及制作标书费、税费及其他一切费用。投标供应商应根据《开标一览表》填写相关内容。《开标一览表》是报价的唯一载体。</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8.2  其它费用处理</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采购文件未列明，而投标供应商认为必需的费用也需列入报价。投标供应商在磋商响应文件报价中应充分考虑所有可能发生的费用，否则采购人将视投标总价中已包括所有费用。</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8.3  投标货币</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磋商响应文件中价格全部采用人民币报价。报价应是唯一的，不接受有选择的报价。</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8.4  其他注意事项：</w:t>
      </w:r>
    </w:p>
    <w:p>
      <w:pPr>
        <w:tabs>
          <w:tab w:val="left" w:pos="3780"/>
        </w:tabs>
        <w:adjustRightInd w:val="0"/>
        <w:snapToGrid w:val="0"/>
        <w:spacing w:line="360" w:lineRule="auto"/>
        <w:ind w:firstLine="420" w:firstLineChars="200"/>
        <w:rPr>
          <w:rFonts w:ascii="宋体" w:hAnsi="宋体" w:cs="宋体"/>
          <w:szCs w:val="21"/>
        </w:rPr>
      </w:pPr>
      <w:bookmarkStart w:id="49" w:name="_Toc351898258"/>
      <w:bookmarkStart w:id="50" w:name="_Toc442428810"/>
      <w:bookmarkStart w:id="51" w:name="_Toc394001375"/>
      <w:r>
        <w:rPr>
          <w:rFonts w:hint="eastAsia" w:ascii="宋体" w:hAnsi="宋体" w:cs="宋体"/>
          <w:szCs w:val="21"/>
        </w:rPr>
        <w:t>磋商响应人在磋商响应活动中提供任何虚假材料，其磋商响应无效，并报浙江省财政厅查处。</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8.5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中小企业划分标准：《中小企业划分标准》（工信部联企业[2011]300号）。</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在政府采购活动中，供应商提供的货物、工程或者服务符合下列情形的，享受《政府采购促进中小企业发展管理办法》（财库〔</w:t>
      </w:r>
      <w:r>
        <w:rPr>
          <w:rFonts w:ascii="宋体" w:hAnsi="宋体" w:cs="宋体"/>
          <w:szCs w:val="21"/>
        </w:rPr>
        <w:t>2020</w:t>
      </w:r>
      <w:r>
        <w:rPr>
          <w:rFonts w:hint="eastAsia" w:ascii="宋体" w:hAnsi="宋体" w:cs="宋体"/>
          <w:szCs w:val="21"/>
        </w:rPr>
        <w:t>〕</w:t>
      </w:r>
      <w:r>
        <w:rPr>
          <w:rFonts w:ascii="宋体" w:hAnsi="宋体" w:cs="宋体"/>
          <w:szCs w:val="21"/>
        </w:rPr>
        <w:t>46</w:t>
      </w:r>
      <w:r>
        <w:rPr>
          <w:rFonts w:hint="eastAsia" w:ascii="宋体" w:hAnsi="宋体" w:cs="宋体"/>
          <w:szCs w:val="21"/>
        </w:rPr>
        <w:t>号）规定的中小企业扶持政策：</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）在货物采购项目中，货物由中小企业制造，即货物由中小企业生产且使用该中小企业商号或者注册商标。</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）在工程采购项目中，工程由中小企业承建，即工程施工单位为中小企业。</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pPr>
        <w:shd w:val="clear" w:color="auto" w:fill="FFFFFF"/>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tabs>
          <w:tab w:val="left" w:pos="3780"/>
        </w:tabs>
        <w:adjustRightInd w:val="0"/>
        <w:snapToGrid w:val="0"/>
        <w:spacing w:line="360" w:lineRule="auto"/>
        <w:ind w:firstLine="466" w:firstLineChars="222"/>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adjustRightInd w:val="0"/>
        <w:snapToGrid w:val="0"/>
        <w:spacing w:line="360" w:lineRule="auto"/>
        <w:ind w:firstLine="420" w:firstLineChars="200"/>
        <w:rPr>
          <w:rFonts w:ascii="宋体" w:hAnsi="宋体" w:cs="宋体"/>
          <w:szCs w:val="21"/>
        </w:rPr>
      </w:pPr>
      <w:r>
        <w:rPr>
          <w:rFonts w:hint="eastAsia" w:ascii="宋体" w:hAnsi="宋体" w:cs="宋体"/>
          <w:szCs w:val="21"/>
        </w:rPr>
        <w:t>残疾人福利性单位：符合《财政部民政部中国残疾人联合会关于促进残疾人就业政府采购政策的通知》（财库（2017）141号）的规定单位。</w:t>
      </w:r>
    </w:p>
    <w:p>
      <w:pPr>
        <w:spacing w:line="360" w:lineRule="auto"/>
        <w:ind w:firstLine="420" w:firstLineChars="200"/>
      </w:pPr>
      <w:r>
        <w:rPr>
          <w:rFonts w:hint="eastAsia"/>
        </w:rPr>
        <w:t>8.6 采购人优先采购被认定为首台套产品和“制造精品”的自主创新产品。</w:t>
      </w:r>
    </w:p>
    <w:p>
      <w:pPr>
        <w:spacing w:line="360" w:lineRule="auto"/>
        <w:ind w:firstLine="420" w:firstLineChars="200"/>
      </w:pPr>
      <w:r>
        <w:rPr>
          <w:rFonts w:hint="eastAsia"/>
        </w:rPr>
        <w:t>8.7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25"/>
        <w:snapToGrid w:val="0"/>
        <w:spacing w:line="360" w:lineRule="auto"/>
        <w:ind w:firstLine="420" w:firstLineChars="200"/>
        <w:rPr>
          <w:rFonts w:hAnsi="宋体"/>
        </w:rPr>
      </w:pPr>
      <w:r>
        <w:rPr>
          <w:rFonts w:hint="eastAsia" w:eastAsia="宋体"/>
        </w:rPr>
        <w:t>8.8</w:t>
      </w:r>
      <w:r>
        <w:rPr>
          <w:rFonts w:hAnsi="宋体"/>
        </w:rPr>
        <w:t>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21"/>
        <w:ind w:firstLineChars="200"/>
        <w:rPr>
          <w:rFonts w:ascii="??" w:hAnsi="宋体" w:eastAsia="??" w:cs="宋体"/>
          <w:sz w:val="21"/>
          <w:szCs w:val="21"/>
          <w:lang w:val="en-US"/>
        </w:rPr>
      </w:pPr>
      <w:r>
        <w:rPr>
          <w:rFonts w:ascii="??" w:hAnsi="宋体" w:eastAsia="??" w:cs="宋体"/>
          <w:sz w:val="21"/>
          <w:szCs w:val="21"/>
          <w:lang w:val="en-US"/>
        </w:rPr>
        <w:t>非单一产品采购项目中，多家供应商提供的核心产品品牌相同的，按前款规定处理。</w:t>
      </w:r>
    </w:p>
    <w:p>
      <w:pPr>
        <w:spacing w:line="360" w:lineRule="auto"/>
        <w:jc w:val="center"/>
        <w:outlineLvl w:val="1"/>
        <w:rPr>
          <w:rFonts w:ascii="宋体" w:hAnsi="宋体" w:cs="宋体"/>
          <w:b/>
          <w:sz w:val="24"/>
        </w:rPr>
      </w:pPr>
      <w:bookmarkStart w:id="52" w:name="_Toc29333"/>
      <w:r>
        <w:rPr>
          <w:rFonts w:hint="eastAsia" w:ascii="宋体" w:hAnsi="宋体" w:cs="宋体"/>
          <w:b/>
          <w:sz w:val="24"/>
        </w:rPr>
        <w:t>三、磋商响应文件的编制</w:t>
      </w:r>
      <w:bookmarkEnd w:id="49"/>
      <w:bookmarkEnd w:id="50"/>
      <w:bookmarkEnd w:id="51"/>
      <w:bookmarkEnd w:id="52"/>
    </w:p>
    <w:p>
      <w:pPr>
        <w:adjustRightInd w:val="0"/>
        <w:snapToGrid w:val="0"/>
        <w:spacing w:line="360" w:lineRule="auto"/>
        <w:rPr>
          <w:rFonts w:ascii="宋体" w:hAnsi="宋体" w:cs="宋体"/>
          <w:b/>
          <w:szCs w:val="21"/>
        </w:rPr>
      </w:pPr>
      <w:r>
        <w:rPr>
          <w:rFonts w:hint="eastAsia" w:ascii="宋体" w:hAnsi="宋体" w:cs="宋体"/>
          <w:b/>
          <w:szCs w:val="21"/>
        </w:rPr>
        <w:t>9、磋商响应文件的语言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供应商提交的磋商响应文件，以及供应商与采购有关投标的所有来往电函应使用中文，供应商可以提交用其它语言印制的资料，但必须译成中文，如有差异和矛盾以中文为准。</w:t>
      </w:r>
    </w:p>
    <w:bookmarkEnd w:id="47"/>
    <w:bookmarkEnd w:id="48"/>
    <w:p>
      <w:pPr>
        <w:shd w:val="clear" w:color="auto" w:fill="FFFFFF"/>
        <w:spacing w:line="360" w:lineRule="auto"/>
        <w:ind w:firstLine="422" w:firstLineChars="200"/>
        <w:jc w:val="left"/>
        <w:rPr>
          <w:rFonts w:ascii="宋体" w:hAnsi="宋体" w:cs="宋体"/>
          <w:b/>
          <w:bCs/>
          <w:szCs w:val="21"/>
        </w:rPr>
      </w:pPr>
      <w:r>
        <w:rPr>
          <w:rFonts w:hint="eastAsia" w:ascii="宋体" w:hAnsi="宋体" w:cs="宋体"/>
          <w:b/>
          <w:bCs/>
          <w:szCs w:val="21"/>
        </w:rPr>
        <w:t>10</w:t>
      </w:r>
      <w:r>
        <w:rPr>
          <w:rFonts w:hint="eastAsia" w:ascii="宋体" w:hAnsi="宋体" w:cs="宋体"/>
          <w:b/>
          <w:bCs/>
          <w:kern w:val="0"/>
          <w:szCs w:val="21"/>
          <w:lang w:val="zh-CN"/>
        </w:rPr>
        <w:t>、</w:t>
      </w:r>
      <w:r>
        <w:rPr>
          <w:rFonts w:hint="eastAsia" w:ascii="宋体" w:hAnsi="宋体" w:cs="宋体"/>
          <w:b/>
          <w:bCs/>
          <w:szCs w:val="21"/>
        </w:rPr>
        <w:t>磋商响应文件的组成</w:t>
      </w:r>
    </w:p>
    <w:p>
      <w:pPr>
        <w:adjustRightInd w:val="0"/>
        <w:snapToGrid w:val="0"/>
        <w:spacing w:line="360" w:lineRule="auto"/>
        <w:ind w:firstLine="420" w:firstLineChars="200"/>
        <w:contextualSpacing/>
        <w:rPr>
          <w:rFonts w:ascii="宋体" w:hAnsi="宋体" w:cs="宋体"/>
          <w:bCs/>
          <w:szCs w:val="21"/>
          <w:lang w:val="zh-CN"/>
        </w:rPr>
      </w:pPr>
      <w:r>
        <w:rPr>
          <w:rFonts w:hint="eastAsia" w:ascii="宋体" w:hAnsi="宋体" w:cs="宋体"/>
          <w:bCs/>
          <w:szCs w:val="21"/>
        </w:rPr>
        <w:t>磋商响应文件应当包括以下主要内容：</w:t>
      </w:r>
      <w:r>
        <w:rPr>
          <w:rFonts w:hint="eastAsia" w:ascii="宋体" w:hAnsi="宋体" w:cs="宋体"/>
          <w:bCs/>
          <w:szCs w:val="21"/>
          <w:lang w:val="zh-CN"/>
        </w:rPr>
        <w:t>资格文件、报价文件、商务技术文件</w:t>
      </w:r>
      <w:r>
        <w:rPr>
          <w:rFonts w:hint="eastAsia" w:ascii="宋体" w:hAnsi="宋体" w:cs="宋体"/>
          <w:bCs/>
          <w:szCs w:val="21"/>
        </w:rPr>
        <w:t>。</w:t>
      </w:r>
      <w:r>
        <w:rPr>
          <w:rFonts w:hint="eastAsia" w:ascii="宋体" w:hAnsi="宋体" w:cs="宋体"/>
          <w:b/>
          <w:bCs/>
          <w:kern w:val="0"/>
          <w:szCs w:val="21"/>
          <w:lang w:val="zh-CN"/>
        </w:rPr>
        <w:t>（其中电子</w:t>
      </w:r>
      <w:r>
        <w:rPr>
          <w:rFonts w:hint="eastAsia" w:ascii="宋体" w:hAnsi="宋体" w:cs="宋体"/>
          <w:b/>
          <w:bCs/>
          <w:kern w:val="0"/>
          <w:szCs w:val="21"/>
        </w:rPr>
        <w:t>磋商</w:t>
      </w:r>
      <w:r>
        <w:rPr>
          <w:rFonts w:hint="eastAsia" w:ascii="宋体" w:hAnsi="宋体" w:cs="宋体"/>
          <w:b/>
          <w:bCs/>
          <w:kern w:val="0"/>
          <w:szCs w:val="21"/>
          <w:lang w:val="zh-CN"/>
        </w:rPr>
        <w:t>响应文件中所须加盖公章部分均采用CA签章）</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 xml:space="preserve">10.1 </w:t>
      </w:r>
      <w:r>
        <w:rPr>
          <w:rFonts w:hint="eastAsia" w:ascii="宋体" w:hAnsi="宋体" w:eastAsia="宋体"/>
          <w:bCs/>
          <w:lang w:val="zh-CN"/>
        </w:rPr>
        <w:t xml:space="preserve"> 资格文件</w:t>
      </w:r>
      <w:r>
        <w:rPr>
          <w:rFonts w:hint="eastAsia" w:ascii="宋体" w:hAnsi="宋体" w:eastAsia="宋体"/>
          <w:bCs/>
        </w:rPr>
        <w:t>至少应包括以下内容：</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资格审查资料</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 xml:space="preserve">10.2  </w:t>
      </w:r>
      <w:r>
        <w:rPr>
          <w:rFonts w:hint="eastAsia" w:ascii="宋体" w:hAnsi="宋体" w:eastAsia="宋体"/>
          <w:bCs/>
        </w:rPr>
        <w:t>报价文件至少应包括以下内容：</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（1）投标响应函</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（2）开标一览表</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（3）磋商价格组成明细表</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rPr>
        <w:t>（4）交纳采购代理服务费承诺书</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 xml:space="preserve">10.3  </w:t>
      </w:r>
      <w:r>
        <w:rPr>
          <w:rFonts w:hint="eastAsia" w:ascii="宋体" w:hAnsi="宋体" w:eastAsia="宋体"/>
          <w:bCs/>
        </w:rPr>
        <w:t>商务</w:t>
      </w:r>
      <w:r>
        <w:rPr>
          <w:rFonts w:hint="eastAsia" w:ascii="宋体" w:hAnsi="宋体" w:eastAsia="宋体"/>
          <w:bCs/>
          <w:lang w:val="zh-CN"/>
        </w:rPr>
        <w:t>技术文件</w:t>
      </w:r>
      <w:r>
        <w:rPr>
          <w:rFonts w:hint="eastAsia" w:ascii="宋体" w:hAnsi="宋体" w:eastAsia="宋体"/>
          <w:bCs/>
        </w:rPr>
        <w:t>至少应包括以下内容</w:t>
      </w:r>
      <w:r>
        <w:rPr>
          <w:rFonts w:hint="eastAsia" w:ascii="宋体" w:hAnsi="宋体" w:eastAsia="宋体"/>
          <w:bCs/>
          <w:lang w:val="zh-CN"/>
        </w:rPr>
        <w:t>：</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（1）法定代表人授权委托书</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（2）法定代表人及授权代表人的身份证</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（3）公司介绍及提供同类项目经验。</w:t>
      </w:r>
      <w:r>
        <w:rPr>
          <w:rFonts w:hint="eastAsia" w:ascii="宋体" w:hAnsi="宋体" w:eastAsia="宋体"/>
          <w:b/>
          <w:lang w:val="zh-CN"/>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（4）资质文件（如有）</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（5）</w:t>
      </w:r>
      <w:r>
        <w:rPr>
          <w:rFonts w:hint="eastAsia" w:ascii="宋体" w:hAnsi="宋体" w:eastAsia="宋体"/>
          <w:bCs/>
        </w:rPr>
        <w:t>商务、</w:t>
      </w:r>
      <w:r>
        <w:rPr>
          <w:rFonts w:hint="eastAsia" w:ascii="宋体" w:hAnsi="宋体" w:eastAsia="宋体"/>
          <w:bCs/>
          <w:lang w:val="zh-CN"/>
        </w:rPr>
        <w:t>技术偏离表</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（6）评标标准相应的商务技术资料</w:t>
      </w:r>
    </w:p>
    <w:p>
      <w:pPr>
        <w:ind w:firstLine="420" w:firstLineChars="200"/>
        <w:rPr>
          <w:lang w:val="zh-CN"/>
        </w:rPr>
      </w:pPr>
      <w:r>
        <w:rPr>
          <w:rFonts w:hint="eastAsia"/>
          <w:lang w:val="zh-CN"/>
        </w:rPr>
        <w:t>（</w:t>
      </w:r>
      <w:r>
        <w:rPr>
          <w:rFonts w:hint="eastAsia"/>
        </w:rPr>
        <w:t>7</w:t>
      </w:r>
      <w:r>
        <w:rPr>
          <w:rFonts w:hint="eastAsia"/>
          <w:lang w:val="zh-CN"/>
        </w:rPr>
        <w:t>）分包意向协议（需明确分包的金额比重、中小企业声明函中需体现分包商的信息）（如有）</w:t>
      </w:r>
    </w:p>
    <w:p>
      <w:pPr>
        <w:pStyle w:val="25"/>
        <w:adjustRightInd w:val="0"/>
        <w:snapToGrid w:val="0"/>
        <w:spacing w:line="360" w:lineRule="auto"/>
        <w:ind w:firstLine="420" w:firstLineChars="200"/>
        <w:rPr>
          <w:rFonts w:ascii="宋体" w:hAnsi="宋体" w:eastAsia="宋体"/>
          <w:bCs/>
        </w:rPr>
      </w:pPr>
      <w:r>
        <w:rPr>
          <w:rFonts w:hint="eastAsia" w:ascii="宋体" w:hAnsi="宋体" w:eastAsia="宋体"/>
          <w:bCs/>
          <w:lang w:val="zh-CN"/>
        </w:rPr>
        <w:t>（</w:t>
      </w:r>
      <w:r>
        <w:rPr>
          <w:rFonts w:hint="eastAsia" w:ascii="宋体" w:hAnsi="宋体" w:eastAsia="宋体"/>
          <w:bCs/>
        </w:rPr>
        <w:t>8</w:t>
      </w:r>
      <w:r>
        <w:rPr>
          <w:rFonts w:hint="eastAsia" w:ascii="宋体" w:hAnsi="宋体" w:eastAsia="宋体"/>
          <w:bCs/>
          <w:lang w:val="zh-CN"/>
        </w:rPr>
        <w:t>）其他必要提供的资料</w:t>
      </w:r>
    </w:p>
    <w:p>
      <w:pPr>
        <w:pStyle w:val="25"/>
        <w:adjustRightInd w:val="0"/>
        <w:snapToGrid w:val="0"/>
        <w:spacing w:line="360" w:lineRule="auto"/>
        <w:ind w:firstLine="420" w:firstLineChars="200"/>
        <w:rPr>
          <w:rFonts w:ascii="宋体" w:hAnsi="宋体" w:eastAsia="宋体"/>
          <w:bCs/>
          <w:lang w:val="zh-CN"/>
        </w:rPr>
      </w:pPr>
      <w:r>
        <w:rPr>
          <w:rFonts w:hint="eastAsia" w:ascii="宋体" w:hAnsi="宋体" w:eastAsia="宋体"/>
          <w:bCs/>
          <w:lang w:val="zh-CN"/>
        </w:rPr>
        <w:t>注：上述组成投标文件的各项资料中本</w:t>
      </w:r>
      <w:r>
        <w:rPr>
          <w:rFonts w:hint="eastAsia" w:ascii="宋体" w:hAnsi="宋体" w:eastAsia="宋体"/>
          <w:bCs/>
        </w:rPr>
        <w:t>磋商</w:t>
      </w:r>
      <w:r>
        <w:rPr>
          <w:rFonts w:hint="eastAsia" w:ascii="宋体" w:hAnsi="宋体" w:eastAsia="宋体"/>
          <w:bCs/>
          <w:lang w:val="zh-CN"/>
        </w:rPr>
        <w:t>文件的有规定格式的，应统一按本</w:t>
      </w:r>
      <w:r>
        <w:rPr>
          <w:rFonts w:hint="eastAsia" w:ascii="宋体" w:hAnsi="宋体" w:eastAsia="宋体"/>
          <w:bCs/>
        </w:rPr>
        <w:t>磋商</w:t>
      </w:r>
      <w:r>
        <w:rPr>
          <w:rFonts w:hint="eastAsia" w:ascii="宋体" w:hAnsi="宋体" w:eastAsia="宋体"/>
          <w:bCs/>
          <w:lang w:val="zh-CN"/>
        </w:rPr>
        <w:t>文件的规定格式填写。未有规定格式的资料，供应商应自行编制，但至少要包含以上要求的内容。</w:t>
      </w:r>
    </w:p>
    <w:p>
      <w:pPr>
        <w:spacing w:line="360" w:lineRule="auto"/>
        <w:ind w:firstLine="422" w:firstLineChars="200"/>
        <w:rPr>
          <w:rFonts w:ascii="宋体" w:hAnsi="宋体" w:cs="宋体"/>
          <w:b/>
          <w:bCs/>
          <w:szCs w:val="21"/>
        </w:rPr>
      </w:pPr>
      <w:r>
        <w:rPr>
          <w:rFonts w:hint="eastAsia" w:ascii="宋体" w:hAnsi="宋体" w:cs="宋体"/>
          <w:b/>
          <w:bCs/>
          <w:szCs w:val="21"/>
          <w:lang w:val="zh-CN"/>
        </w:rPr>
        <w:t>供应商应当按照磋商文件的要求编制响应文件，并对其提交的响应文件的真实性、合法性承担法律责任</w:t>
      </w:r>
      <w:r>
        <w:rPr>
          <w:rFonts w:hint="eastAsia" w:ascii="宋体" w:hAnsi="宋体" w:cs="宋体"/>
          <w:b/>
          <w:bCs/>
          <w:szCs w:val="21"/>
        </w:rPr>
        <w:t>。</w:t>
      </w:r>
    </w:p>
    <w:p>
      <w:pPr>
        <w:spacing w:line="360" w:lineRule="auto"/>
        <w:ind w:firstLine="422" w:firstLineChars="200"/>
        <w:rPr>
          <w:b/>
          <w:bCs/>
        </w:rPr>
      </w:pPr>
      <w:r>
        <w:rPr>
          <w:b/>
          <w:bCs/>
        </w:rPr>
        <w:t>注：1、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b/>
          <w:bCs/>
        </w:rPr>
        <w:t>。</w:t>
      </w:r>
      <w:r>
        <w:rPr>
          <w:b/>
          <w:bCs/>
        </w:rPr>
        <w:t>(▲如以联合体形式参加政府采购活动的，联合体协议不符合投标文件规定的联合体协议要求的，投标无效。）</w:t>
      </w:r>
    </w:p>
    <w:p>
      <w:pPr>
        <w:shd w:val="clear" w:color="auto" w:fill="FFFFFF"/>
        <w:adjustRightInd w:val="0"/>
        <w:snapToGrid w:val="0"/>
        <w:spacing w:line="360" w:lineRule="auto"/>
        <w:ind w:firstLine="422" w:firstLineChars="200"/>
        <w:rPr>
          <w:rFonts w:ascii="宋体" w:hAnsi="宋体" w:cs="宋体"/>
          <w:b/>
          <w:bCs/>
          <w:szCs w:val="21"/>
        </w:rPr>
      </w:pPr>
      <w:r>
        <w:rPr>
          <w:b/>
          <w:bCs/>
        </w:rPr>
        <w:t>2、联合体各方资信情况证明文件（营业执照、符合资格条件的声明函、业绩证明材料）由各方成员盖章签字，其他内容以联合体牵头单位为主签署投标文件。</w:t>
      </w:r>
    </w:p>
    <w:p>
      <w:pPr>
        <w:shd w:val="clear" w:color="auto" w:fill="FFFFFF"/>
        <w:adjustRightInd w:val="0"/>
        <w:snapToGrid w:val="0"/>
        <w:spacing w:line="360" w:lineRule="auto"/>
        <w:rPr>
          <w:rFonts w:ascii="宋体" w:hAnsi="宋体" w:cs="宋体"/>
          <w:b/>
          <w:bCs/>
          <w:szCs w:val="21"/>
        </w:rPr>
      </w:pPr>
      <w:r>
        <w:rPr>
          <w:rFonts w:hint="eastAsia" w:ascii="宋体" w:hAnsi="宋体" w:cs="宋体"/>
          <w:b/>
          <w:bCs/>
          <w:szCs w:val="21"/>
        </w:rPr>
        <w:t>11</w:t>
      </w:r>
      <w:r>
        <w:rPr>
          <w:rFonts w:hint="eastAsia" w:ascii="宋体" w:hAnsi="宋体" w:cs="宋体"/>
          <w:b/>
          <w:bCs/>
          <w:kern w:val="0"/>
          <w:szCs w:val="21"/>
          <w:lang w:val="zh-CN"/>
        </w:rPr>
        <w:t>、</w:t>
      </w:r>
      <w:r>
        <w:rPr>
          <w:rFonts w:hint="eastAsia" w:ascii="宋体" w:hAnsi="宋体" w:cs="宋体"/>
          <w:b/>
          <w:bCs/>
          <w:szCs w:val="21"/>
        </w:rPr>
        <w:t>磋商保证金</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无</w:t>
      </w:r>
    </w:p>
    <w:p>
      <w:pPr>
        <w:shd w:val="clear" w:color="auto" w:fill="FFFFFF"/>
        <w:adjustRightInd w:val="0"/>
        <w:snapToGrid w:val="0"/>
        <w:spacing w:line="360" w:lineRule="auto"/>
        <w:rPr>
          <w:rFonts w:ascii="宋体" w:hAnsi="宋体" w:cs="宋体"/>
          <w:b/>
          <w:bCs/>
          <w:szCs w:val="21"/>
        </w:rPr>
      </w:pPr>
      <w:r>
        <w:rPr>
          <w:rFonts w:hint="eastAsia" w:ascii="宋体" w:hAnsi="宋体" w:cs="宋体"/>
          <w:b/>
          <w:bCs/>
          <w:szCs w:val="21"/>
        </w:rPr>
        <w:t>12</w:t>
      </w:r>
      <w:r>
        <w:rPr>
          <w:rFonts w:hint="eastAsia" w:ascii="宋体" w:hAnsi="宋体" w:cs="宋体"/>
          <w:b/>
          <w:bCs/>
          <w:kern w:val="0"/>
          <w:szCs w:val="21"/>
          <w:lang w:val="zh-CN"/>
        </w:rPr>
        <w:t>、</w:t>
      </w:r>
      <w:r>
        <w:rPr>
          <w:rFonts w:hint="eastAsia" w:ascii="宋体" w:hAnsi="宋体" w:cs="宋体"/>
          <w:b/>
          <w:bCs/>
          <w:szCs w:val="21"/>
        </w:rPr>
        <w:t>磋商响应文件的编制和签章</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12.1本项目通过“政府采购云平台（www.zcygov.cn）”实行在线投标响应（电子投标）。供应商应通过“政采云电子交易客户端”，并按照本采购文件和“政府采购云平台”的要求编制并加密磋商响应文件。</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12.2磋商响应供应商应当按照“10</w:t>
      </w:r>
      <w:r>
        <w:rPr>
          <w:rFonts w:hint="eastAsia" w:ascii="宋体" w:hAnsi="宋体" w:cs="宋体"/>
          <w:b/>
          <w:bCs/>
          <w:szCs w:val="21"/>
          <w:lang w:val="zh-CN"/>
        </w:rPr>
        <w:t>、</w:t>
      </w:r>
      <w:r>
        <w:rPr>
          <w:rFonts w:hint="eastAsia" w:ascii="宋体" w:hAnsi="宋体" w:cs="宋体"/>
          <w:b/>
          <w:bCs/>
          <w:szCs w:val="21"/>
        </w:rPr>
        <w:t>磋商响应文件的组成”规定的内容及顺序在“政采云电子交易客户端”编制磋商响应文件。</w:t>
      </w:r>
      <w:r>
        <w:rPr>
          <w:rFonts w:hint="eastAsia" w:ascii="宋体" w:hAnsi="宋体" w:cs="宋体"/>
          <w:b/>
          <w:kern w:val="0"/>
          <w:szCs w:val="21"/>
        </w:rPr>
        <w:t>其中《资格文件》和《商务技术文件》中不得出现本项目</w:t>
      </w:r>
      <w:r>
        <w:rPr>
          <w:rFonts w:hint="eastAsia" w:ascii="宋体" w:hAnsi="宋体" w:cs="宋体"/>
          <w:b/>
          <w:szCs w:val="21"/>
        </w:rPr>
        <w:t>磋商响应文件</w:t>
      </w:r>
      <w:r>
        <w:rPr>
          <w:rFonts w:hint="eastAsia" w:ascii="宋体" w:hAnsi="宋体" w:cs="宋体"/>
          <w:b/>
          <w:kern w:val="0"/>
          <w:szCs w:val="21"/>
        </w:rPr>
        <w:t>报价，如因磋商响应人原因提前泄露</w:t>
      </w:r>
      <w:r>
        <w:rPr>
          <w:rFonts w:hint="eastAsia" w:ascii="宋体" w:hAnsi="宋体" w:cs="宋体"/>
          <w:b/>
          <w:szCs w:val="21"/>
        </w:rPr>
        <w:t>磋商响应文件</w:t>
      </w:r>
      <w:r>
        <w:rPr>
          <w:rFonts w:hint="eastAsia" w:ascii="宋体" w:hAnsi="宋体" w:cs="宋体"/>
          <w:b/>
          <w:kern w:val="0"/>
          <w:szCs w:val="21"/>
        </w:rPr>
        <w:t>报价，后果自负。</w:t>
      </w:r>
    </w:p>
    <w:p>
      <w:pPr>
        <w:adjustRightInd w:val="0"/>
        <w:snapToGrid w:val="0"/>
        <w:spacing w:line="360" w:lineRule="auto"/>
        <w:ind w:firstLine="371" w:firstLineChars="176"/>
        <w:rPr>
          <w:rFonts w:ascii="宋体" w:hAnsi="宋体" w:cs="宋体"/>
          <w:b/>
          <w:bCs/>
          <w:szCs w:val="21"/>
        </w:rPr>
      </w:pPr>
      <w:r>
        <w:rPr>
          <w:rFonts w:hint="eastAsia" w:ascii="宋体" w:hAnsi="宋体" w:cs="宋体"/>
          <w:b/>
          <w:bCs/>
          <w:szCs w:val="21"/>
        </w:rPr>
        <w:t>12.3本文件《第五部分应提交的有关格式范例》中有提供格式的，磋商响应供应商须参照格式进行编制（格式中要求提供相关证明材料的还需后附相关证明材料），并按格式要求在指定位置根据要求进行关联定位并签章。本文件《第五部分  应提交的有关格式范例》未提供格式的，请各磋商响应单位自行拟定格式，并加盖单位公章。</w:t>
      </w:r>
      <w:r>
        <w:rPr>
          <w:rFonts w:hint="eastAsia" w:ascii="宋体" w:hAnsi="宋体" w:cs="宋体"/>
          <w:b/>
          <w:kern w:val="0"/>
          <w:szCs w:val="21"/>
        </w:rPr>
        <w:t>电子签章操作指南详见采购公告附件</w:t>
      </w:r>
      <w:r>
        <w:rPr>
          <w:rFonts w:hint="eastAsia" w:ascii="宋体" w:hAnsi="宋体" w:cs="宋体"/>
          <w:b/>
          <w:szCs w:val="21"/>
        </w:rPr>
        <w:t>《供应商项目采购-电子招投标操作指南》</w:t>
      </w:r>
      <w:r>
        <w:rPr>
          <w:rFonts w:hint="eastAsia" w:ascii="宋体" w:hAnsi="宋体" w:cs="宋体"/>
          <w:szCs w:val="21"/>
        </w:rPr>
        <w:t>。</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12.4本章节“10</w:t>
      </w:r>
      <w:r>
        <w:rPr>
          <w:rFonts w:hint="eastAsia" w:ascii="宋体" w:hAnsi="宋体" w:cs="宋体"/>
          <w:b/>
          <w:bCs/>
          <w:szCs w:val="21"/>
          <w:lang w:val="zh-CN"/>
        </w:rPr>
        <w:t>、</w:t>
      </w:r>
      <w:r>
        <w:rPr>
          <w:rFonts w:hint="eastAsia" w:ascii="宋体" w:hAnsi="宋体" w:cs="宋体"/>
          <w:b/>
          <w:bCs/>
          <w:szCs w:val="21"/>
        </w:rPr>
        <w:t>磋商响应文件的组成”内容中约定可以提供复制件的相关证明材料加盖磋商响应供应商公章（例如：各类资格资质证书、业绩材料、荣誉证书等）。</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12.5本章节“10</w:t>
      </w:r>
      <w:r>
        <w:rPr>
          <w:rFonts w:hint="eastAsia" w:ascii="宋体" w:hAnsi="宋体" w:cs="宋体"/>
          <w:b/>
          <w:bCs/>
          <w:szCs w:val="21"/>
          <w:lang w:val="zh-CN"/>
        </w:rPr>
        <w:t>、</w:t>
      </w:r>
      <w:r>
        <w:rPr>
          <w:rFonts w:hint="eastAsia" w:ascii="宋体" w:hAnsi="宋体" w:cs="宋体"/>
          <w:b/>
          <w:bCs/>
          <w:szCs w:val="21"/>
        </w:rPr>
        <w:t>磋商响应文件的组成”内容中标注“▲”的内容为必须提供的内容，未提供的磋商响应无效。</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12.6《磋商响应文件》内容不完整、编排混乱导致《磋商响应文件》被误读、漏读或者查找不到相关内容的，是磋商响应供应商的责任。</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12.7《磋商响应文件》因字迹潦草或表达不清所引起的后果由磋商响应供应商负责。</w:t>
      </w:r>
    </w:p>
    <w:p>
      <w:pPr>
        <w:shd w:val="clear" w:color="auto" w:fill="FFFFFF"/>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12.8磋商响应供应商没有按照“10</w:t>
      </w:r>
      <w:r>
        <w:rPr>
          <w:rFonts w:hint="eastAsia" w:ascii="宋体" w:hAnsi="宋体" w:cs="宋体"/>
          <w:b/>
          <w:bCs/>
          <w:szCs w:val="21"/>
          <w:lang w:val="zh-CN"/>
        </w:rPr>
        <w:t>、</w:t>
      </w:r>
      <w:r>
        <w:rPr>
          <w:rFonts w:hint="eastAsia" w:ascii="宋体" w:hAnsi="宋体" w:cs="宋体"/>
          <w:b/>
          <w:bCs/>
          <w:szCs w:val="21"/>
        </w:rPr>
        <w:t>磋商响应文件的组成”要求提供全部资料，或者没有仔细阅读采购文件，或者没有对采购文件在各方面的要求作出实质性响应是磋商响应供应商的风险，由此造成的一切后果由磋商响应供应商自行承担。</w:t>
      </w:r>
    </w:p>
    <w:p>
      <w:pPr>
        <w:shd w:val="clear" w:color="auto" w:fill="FFFFFF"/>
        <w:spacing w:line="360" w:lineRule="auto"/>
        <w:ind w:firstLine="422" w:firstLineChars="200"/>
        <w:jc w:val="left"/>
        <w:rPr>
          <w:rFonts w:ascii="宋体" w:hAnsi="宋体" w:cs="宋体"/>
          <w:b/>
          <w:bCs/>
          <w:szCs w:val="21"/>
        </w:rPr>
      </w:pPr>
      <w:r>
        <w:rPr>
          <w:b/>
          <w:bCs/>
        </w:rPr>
        <w:t>单位为主签署投标文件。</w:t>
      </w:r>
    </w:p>
    <w:p>
      <w:pPr>
        <w:shd w:val="clear" w:color="auto" w:fill="FFFFFF"/>
        <w:spacing w:line="360" w:lineRule="auto"/>
        <w:ind w:firstLine="422" w:firstLineChars="200"/>
        <w:jc w:val="left"/>
        <w:rPr>
          <w:rFonts w:ascii="宋体" w:hAnsi="宋体" w:cs="宋体"/>
          <w:b/>
          <w:bCs/>
          <w:szCs w:val="21"/>
        </w:rPr>
      </w:pPr>
      <w:r>
        <w:rPr>
          <w:rFonts w:hint="eastAsia" w:ascii="宋体" w:hAnsi="宋体" w:cs="宋体"/>
          <w:b/>
          <w:bCs/>
          <w:szCs w:val="21"/>
        </w:rPr>
        <w:t>11</w:t>
      </w:r>
      <w:r>
        <w:rPr>
          <w:rFonts w:hint="eastAsia" w:ascii="宋体" w:hAnsi="宋体" w:cs="宋体"/>
          <w:b/>
          <w:bCs/>
          <w:kern w:val="0"/>
          <w:szCs w:val="21"/>
          <w:lang w:val="zh-CN"/>
        </w:rPr>
        <w:t>、</w:t>
      </w:r>
      <w:r>
        <w:rPr>
          <w:rFonts w:hint="eastAsia" w:ascii="宋体" w:hAnsi="宋体" w:cs="宋体"/>
          <w:b/>
          <w:bCs/>
          <w:szCs w:val="21"/>
        </w:rPr>
        <w:t>磋商保证金</w:t>
      </w:r>
    </w:p>
    <w:p>
      <w:pPr>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无</w:t>
      </w:r>
    </w:p>
    <w:p>
      <w:pPr>
        <w:shd w:val="clear" w:color="auto" w:fill="FFFFFF"/>
        <w:spacing w:line="360" w:lineRule="auto"/>
        <w:ind w:firstLine="422" w:firstLineChars="200"/>
        <w:jc w:val="left"/>
        <w:rPr>
          <w:rFonts w:ascii="宋体" w:hAnsi="宋体" w:cs="宋体"/>
          <w:b/>
          <w:bCs/>
          <w:szCs w:val="21"/>
        </w:rPr>
      </w:pPr>
      <w:r>
        <w:rPr>
          <w:rFonts w:hint="eastAsia" w:ascii="宋体" w:hAnsi="宋体" w:cs="宋体"/>
          <w:b/>
          <w:bCs/>
          <w:szCs w:val="21"/>
        </w:rPr>
        <w:t>12</w:t>
      </w:r>
      <w:r>
        <w:rPr>
          <w:rFonts w:hint="eastAsia" w:ascii="宋体" w:hAnsi="宋体" w:cs="宋体"/>
          <w:b/>
          <w:bCs/>
          <w:kern w:val="0"/>
          <w:szCs w:val="21"/>
          <w:lang w:val="zh-CN"/>
        </w:rPr>
        <w:t>、</w:t>
      </w:r>
      <w:r>
        <w:rPr>
          <w:rFonts w:hint="eastAsia" w:ascii="宋体" w:hAnsi="宋体" w:cs="宋体"/>
          <w:b/>
          <w:bCs/>
          <w:szCs w:val="21"/>
        </w:rPr>
        <w:t>磋商响应文件的编制和签章</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12.1本项目通过“政府采购云平台（www.zcygov.cn）”实行在线投标响应（电子投标）。供应商应通过“政采云电子交易客户端”，并按照本采购文件和“政府采购云平台”的要求编制并加密磋商响应文件。</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12.2磋商响应供应商应当按照“10</w:t>
      </w:r>
      <w:r>
        <w:rPr>
          <w:rFonts w:hint="eastAsia" w:ascii="宋体" w:hAnsi="宋体" w:cs="宋体"/>
          <w:b/>
          <w:bCs/>
          <w:szCs w:val="21"/>
          <w:lang w:val="zh-CN"/>
        </w:rPr>
        <w:t>、</w:t>
      </w:r>
      <w:r>
        <w:rPr>
          <w:rFonts w:hint="eastAsia" w:ascii="宋体" w:hAnsi="宋体" w:cs="宋体"/>
          <w:b/>
          <w:bCs/>
          <w:szCs w:val="21"/>
        </w:rPr>
        <w:t>磋商响应文件的组成”规定的内容及顺序在“政采云电子交易客户端”编制磋商响应文件。</w:t>
      </w:r>
      <w:r>
        <w:rPr>
          <w:rFonts w:hint="eastAsia" w:ascii="宋体" w:hAnsi="宋体" w:cs="宋体"/>
          <w:b/>
          <w:kern w:val="0"/>
          <w:szCs w:val="21"/>
        </w:rPr>
        <w:t>其中《资格文件》和《商务技术文件》中不得出现本项目</w:t>
      </w:r>
      <w:r>
        <w:rPr>
          <w:rFonts w:hint="eastAsia" w:ascii="宋体" w:hAnsi="宋体" w:cs="宋体"/>
          <w:b/>
          <w:szCs w:val="21"/>
        </w:rPr>
        <w:t>磋商响应文件</w:t>
      </w:r>
      <w:r>
        <w:rPr>
          <w:rFonts w:hint="eastAsia" w:ascii="宋体" w:hAnsi="宋体" w:cs="宋体"/>
          <w:b/>
          <w:kern w:val="0"/>
          <w:szCs w:val="21"/>
        </w:rPr>
        <w:t>报价，如因磋商响应人原因提前泄露</w:t>
      </w:r>
      <w:r>
        <w:rPr>
          <w:rFonts w:hint="eastAsia" w:ascii="宋体" w:hAnsi="宋体" w:cs="宋体"/>
          <w:b/>
          <w:szCs w:val="21"/>
        </w:rPr>
        <w:t>磋商响应文件</w:t>
      </w:r>
      <w:r>
        <w:rPr>
          <w:rFonts w:hint="eastAsia" w:ascii="宋体" w:hAnsi="宋体" w:cs="宋体"/>
          <w:b/>
          <w:kern w:val="0"/>
          <w:szCs w:val="21"/>
        </w:rPr>
        <w:t>报价，后果自负。</w:t>
      </w:r>
    </w:p>
    <w:p>
      <w:pPr>
        <w:spacing w:line="360" w:lineRule="auto"/>
        <w:ind w:firstLine="422" w:firstLineChars="200"/>
        <w:jc w:val="left"/>
        <w:rPr>
          <w:rFonts w:ascii="宋体" w:hAnsi="宋体" w:cs="宋体"/>
          <w:b/>
          <w:bCs/>
          <w:szCs w:val="21"/>
        </w:rPr>
      </w:pPr>
      <w:r>
        <w:rPr>
          <w:rFonts w:hint="eastAsia" w:ascii="宋体" w:hAnsi="宋体" w:cs="宋体"/>
          <w:b/>
          <w:bCs/>
          <w:szCs w:val="21"/>
        </w:rPr>
        <w:t>12.3本文件《第五部分  应提交的有关格式范例》中有提供格式的，磋商响应供应商须参照格式进行编制（格式中要求提供相关证明材料的还需后附相关证明材料），并按格式要求在指定位置根据要求进行关联定位并签章；本文件《第五部分  应提交的有关格式范例》未提供格式的，请各磋商响应单位自行拟定格式，并加盖单位公章。</w:t>
      </w:r>
      <w:r>
        <w:rPr>
          <w:rFonts w:hint="eastAsia" w:ascii="宋体" w:hAnsi="宋体" w:cs="宋体"/>
          <w:b/>
          <w:kern w:val="0"/>
          <w:szCs w:val="21"/>
        </w:rPr>
        <w:t>电子签章操作指南详见采购公告附件</w:t>
      </w:r>
      <w:r>
        <w:rPr>
          <w:rFonts w:hint="eastAsia" w:ascii="宋体" w:hAnsi="宋体" w:cs="宋体"/>
          <w:b/>
          <w:szCs w:val="21"/>
        </w:rPr>
        <w:t>《供应商项目采购-电子招投标操作指南》</w:t>
      </w:r>
      <w:r>
        <w:rPr>
          <w:rFonts w:hint="eastAsia" w:ascii="宋体" w:hAnsi="宋体" w:cs="宋体"/>
          <w:szCs w:val="21"/>
        </w:rPr>
        <w:t>。</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12.4本章节“10</w:t>
      </w:r>
      <w:r>
        <w:rPr>
          <w:rFonts w:hint="eastAsia" w:ascii="宋体" w:hAnsi="宋体" w:cs="宋体"/>
          <w:b/>
          <w:bCs/>
          <w:szCs w:val="21"/>
          <w:lang w:val="zh-CN"/>
        </w:rPr>
        <w:t>、</w:t>
      </w:r>
      <w:r>
        <w:rPr>
          <w:rFonts w:hint="eastAsia" w:ascii="宋体" w:hAnsi="宋体" w:cs="宋体"/>
          <w:b/>
          <w:bCs/>
          <w:szCs w:val="21"/>
        </w:rPr>
        <w:t>磋商响应文件的组成”内容中约定可以提供复制件的相关证明材料加盖磋商响应供应商公章（例如：各类资格资质证书、业绩材料、荣誉证书等）。</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12.5本章节“10</w:t>
      </w:r>
      <w:r>
        <w:rPr>
          <w:rFonts w:hint="eastAsia" w:ascii="宋体" w:hAnsi="宋体" w:cs="宋体"/>
          <w:b/>
          <w:bCs/>
          <w:szCs w:val="21"/>
          <w:lang w:val="zh-CN"/>
        </w:rPr>
        <w:t>、</w:t>
      </w:r>
      <w:r>
        <w:rPr>
          <w:rFonts w:hint="eastAsia" w:ascii="宋体" w:hAnsi="宋体" w:cs="宋体"/>
          <w:b/>
          <w:bCs/>
          <w:szCs w:val="21"/>
        </w:rPr>
        <w:t>磋商响应文件的组成”内容中标注“▲”的内容为必须提供的内容，未提供的磋商响应无效。</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12.6《磋商响应文件》内容不完整、编排混乱导致《磋商响应文件》被误读、漏读或者查找不到相关内容的，是磋商响应供应商的责任。</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12.7《磋商响应文件》因字迹潦草或表达不清所引起的后果由磋商响应供应商负责。</w:t>
      </w:r>
    </w:p>
    <w:p>
      <w:pPr>
        <w:shd w:val="clear" w:color="auto" w:fill="FFFFFF"/>
        <w:spacing w:line="360" w:lineRule="auto"/>
        <w:ind w:firstLine="422" w:firstLineChars="200"/>
        <w:contextualSpacing/>
        <w:jc w:val="left"/>
        <w:rPr>
          <w:rFonts w:ascii="宋体" w:hAnsi="宋体" w:cs="宋体"/>
          <w:b/>
          <w:bCs/>
          <w:szCs w:val="21"/>
        </w:rPr>
      </w:pPr>
      <w:r>
        <w:rPr>
          <w:rFonts w:hint="eastAsia" w:ascii="宋体" w:hAnsi="宋体" w:cs="宋体"/>
          <w:b/>
          <w:bCs/>
          <w:szCs w:val="21"/>
        </w:rPr>
        <w:t>12.8磋商响应供应商没有按照“10</w:t>
      </w:r>
      <w:r>
        <w:rPr>
          <w:rFonts w:hint="eastAsia" w:ascii="宋体" w:hAnsi="宋体" w:cs="宋体"/>
          <w:b/>
          <w:bCs/>
          <w:szCs w:val="21"/>
          <w:lang w:val="zh-CN"/>
        </w:rPr>
        <w:t>、</w:t>
      </w:r>
      <w:r>
        <w:rPr>
          <w:rFonts w:hint="eastAsia" w:ascii="宋体" w:hAnsi="宋体" w:cs="宋体"/>
          <w:b/>
          <w:bCs/>
          <w:szCs w:val="21"/>
        </w:rPr>
        <w:t>磋商响应文件的组成”要求提供全部资料，或者没有仔细阅读采购文件，或者没有对采购文件在各方面的要求作出实质性响应是磋商响应供应商的风险，由此造成的一切后果由磋商响应供应商自行承担。</w:t>
      </w:r>
    </w:p>
    <w:p>
      <w:pPr>
        <w:adjustRightInd w:val="0"/>
        <w:snapToGrid w:val="0"/>
        <w:spacing w:line="360" w:lineRule="auto"/>
        <w:jc w:val="center"/>
        <w:outlineLvl w:val="1"/>
        <w:rPr>
          <w:rFonts w:ascii="宋体" w:hAnsi="宋体" w:cs="宋体"/>
          <w:b/>
          <w:sz w:val="24"/>
        </w:rPr>
      </w:pPr>
      <w:bookmarkStart w:id="53" w:name="_Toc442428811"/>
      <w:bookmarkStart w:id="54" w:name="_Toc361155992"/>
      <w:bookmarkStart w:id="55" w:name="_Toc15743"/>
      <w:bookmarkStart w:id="56" w:name="_Toc361217426"/>
      <w:bookmarkStart w:id="57" w:name="_Toc233618975"/>
      <w:bookmarkStart w:id="58" w:name="_Toc86216991"/>
      <w:bookmarkStart w:id="59" w:name="_Toc91899892"/>
      <w:bookmarkStart w:id="60" w:name="_Toc354996699"/>
    </w:p>
    <w:p>
      <w:pPr>
        <w:adjustRightInd w:val="0"/>
        <w:snapToGrid w:val="0"/>
        <w:spacing w:line="360" w:lineRule="auto"/>
        <w:jc w:val="center"/>
        <w:outlineLvl w:val="1"/>
        <w:rPr>
          <w:rFonts w:ascii="宋体" w:hAnsi="宋体" w:cs="宋体"/>
          <w:b/>
          <w:sz w:val="24"/>
        </w:rPr>
      </w:pPr>
      <w:r>
        <w:rPr>
          <w:rFonts w:hint="eastAsia" w:ascii="宋体" w:hAnsi="宋体" w:cs="宋体"/>
          <w:b/>
          <w:sz w:val="24"/>
        </w:rPr>
        <w:t>四、磋商响应文件的递交</w:t>
      </w:r>
      <w:bookmarkEnd w:id="53"/>
      <w:bookmarkEnd w:id="54"/>
      <w:bookmarkEnd w:id="55"/>
    </w:p>
    <w:p>
      <w:pPr>
        <w:pStyle w:val="96"/>
        <w:adjustRightInd w:val="0"/>
        <w:snapToGrid w:val="0"/>
        <w:spacing w:before="0"/>
        <w:ind w:firstLine="0" w:firstLineChars="0"/>
        <w:contextualSpacing/>
        <w:rPr>
          <w:rFonts w:ascii="宋体" w:hAnsi="宋体" w:eastAsia="宋体" w:cs="宋体"/>
          <w:b/>
          <w:sz w:val="21"/>
          <w:szCs w:val="21"/>
        </w:rPr>
      </w:pPr>
      <w:r>
        <w:rPr>
          <w:rFonts w:hint="eastAsia" w:ascii="宋体" w:hAnsi="宋体" w:eastAsia="宋体" w:cs="宋体"/>
          <w:b/>
          <w:sz w:val="21"/>
          <w:szCs w:val="21"/>
        </w:rPr>
        <w:t>13、磋商响应文件的上传和递交</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13.1本项目实行网上投标。</w:t>
      </w:r>
    </w:p>
    <w:p>
      <w:pPr>
        <w:adjustRightInd w:val="0"/>
        <w:snapToGrid w:val="0"/>
        <w:spacing w:line="360" w:lineRule="auto"/>
        <w:ind w:firstLine="420" w:firstLineChars="200"/>
        <w:contextualSpacing/>
        <w:rPr>
          <w:rFonts w:ascii="宋体" w:hAnsi="宋体" w:cs="宋体"/>
          <w:b/>
          <w:bCs/>
          <w:szCs w:val="21"/>
        </w:rPr>
      </w:pPr>
      <w:r>
        <w:rPr>
          <w:rFonts w:hint="eastAsia" w:ascii="宋体" w:hAnsi="宋体" w:cs="宋体"/>
          <w:szCs w:val="21"/>
        </w:rPr>
        <w:t>供应商应准备电子响应文件、以介质存储的数据电文形式（U盘）的备份响应文件二类：</w:t>
      </w:r>
      <w:r>
        <w:rPr>
          <w:rFonts w:hint="eastAsia" w:ascii="宋体" w:hAnsi="宋体" w:cs="宋体"/>
          <w:szCs w:val="21"/>
        </w:rPr>
        <w:cr/>
      </w:r>
      <w:r>
        <w:rPr>
          <w:rFonts w:hint="eastAsia" w:ascii="宋体" w:hAnsi="宋体" w:cs="宋体"/>
          <w:b/>
          <w:bCs/>
          <w:szCs w:val="21"/>
        </w:rPr>
        <w:t xml:space="preserve">  （1）电子响应文件，按政采云平台项目采购-电子招投标操作指南及本采购文件要求递交。</w:t>
      </w:r>
      <w:r>
        <w:rPr>
          <w:rFonts w:hint="eastAsia" w:ascii="宋体" w:hAnsi="宋体" w:cs="宋体"/>
          <w:b/>
          <w:bCs/>
          <w:szCs w:val="21"/>
        </w:rPr>
        <w:cr/>
      </w:r>
      <w:r>
        <w:rPr>
          <w:rFonts w:hint="eastAsia" w:ascii="宋体" w:hAnsi="宋体" w:cs="宋体"/>
          <w:b/>
          <w:bCs/>
          <w:szCs w:val="21"/>
        </w:rPr>
        <w:t xml:space="preserve">  （2）以介质存储的数据电文形式（U盘）的备份响应文件，按政采云平台项目采购-电子招投标操作指南中上传的电子响应文件格式，以U盘形式提供。数量为1份。</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13.2磋商响应文件均由资格文件、商务技术文件、报价文件组成。</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13.3仅提供备份响应文件，造成项目开评标活动无法进行下去的，磋商响应无效，相关风险由供应商自行承担。</w:t>
      </w:r>
    </w:p>
    <w:p>
      <w:pPr>
        <w:pStyle w:val="96"/>
        <w:adjustRightInd w:val="0"/>
        <w:snapToGrid w:val="0"/>
        <w:spacing w:before="0"/>
        <w:ind w:firstLine="422"/>
        <w:contextualSpacing/>
        <w:rPr>
          <w:rFonts w:ascii="宋体" w:hAnsi="宋体" w:eastAsia="宋体" w:cs="宋体"/>
          <w:b/>
          <w:bCs/>
          <w:sz w:val="21"/>
          <w:szCs w:val="21"/>
        </w:rPr>
      </w:pPr>
      <w:r>
        <w:rPr>
          <w:rFonts w:hint="eastAsia" w:ascii="宋体" w:hAnsi="宋体" w:eastAsia="宋体" w:cs="宋体"/>
          <w:b/>
          <w:bCs/>
          <w:sz w:val="21"/>
          <w:szCs w:val="21"/>
        </w:rPr>
        <w:t xml:space="preserve">13.4 </w:t>
      </w:r>
      <w:r>
        <w:rPr>
          <w:rFonts w:hint="eastAsia" w:ascii="宋体" w:hAnsi="宋体" w:eastAsia="宋体" w:cs="宋体"/>
          <w:sz w:val="21"/>
          <w:szCs w:val="21"/>
        </w:rPr>
        <w:t>“备份磋商响应文件”</w:t>
      </w:r>
      <w:r>
        <w:rPr>
          <w:rFonts w:hint="eastAsia" w:ascii="宋体" w:hAnsi="宋体" w:eastAsia="宋体" w:cs="宋体"/>
          <w:b/>
          <w:bCs/>
          <w:sz w:val="21"/>
          <w:szCs w:val="21"/>
        </w:rPr>
        <w:t>递交至前附表所述的单位和地址。</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13.5“电子加密磋商响应文件”解密和异常情况处理。</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13.5.1“电子加密磋商响应文件”解密：见《前附表》。</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13.6磋商响应文件的补充、修改或撤回</w:t>
      </w:r>
    </w:p>
    <w:p>
      <w:pPr>
        <w:adjustRightInd w:val="0"/>
        <w:snapToGrid w:val="0"/>
        <w:spacing w:line="360" w:lineRule="auto"/>
        <w:ind w:firstLine="422" w:firstLineChars="200"/>
        <w:contextualSpacing/>
        <w:rPr>
          <w:rFonts w:ascii="宋体" w:hAnsi="宋体" w:cs="宋体"/>
          <w:kern w:val="0"/>
          <w:szCs w:val="21"/>
        </w:rPr>
      </w:pPr>
      <w:r>
        <w:rPr>
          <w:rFonts w:hint="eastAsia" w:ascii="宋体" w:hAnsi="宋体" w:cs="宋体"/>
          <w:b/>
          <w:bCs/>
          <w:szCs w:val="21"/>
        </w:rPr>
        <w:t>13.6.1供应商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r>
        <w:rPr>
          <w:rFonts w:hint="eastAsia" w:ascii="宋体" w:hAnsi="宋体" w:cs="宋体"/>
          <w:b/>
          <w:kern w:val="0"/>
          <w:szCs w:val="21"/>
        </w:rPr>
        <w:t>。</w:t>
      </w:r>
    </w:p>
    <w:p>
      <w:pPr>
        <w:pStyle w:val="96"/>
        <w:adjustRightInd w:val="0"/>
        <w:snapToGrid w:val="0"/>
        <w:spacing w:before="0"/>
        <w:ind w:firstLine="422"/>
        <w:contextualSpacing/>
        <w:rPr>
          <w:rFonts w:ascii="宋体" w:hAnsi="宋体" w:eastAsia="宋体" w:cs="宋体"/>
          <w:sz w:val="21"/>
          <w:szCs w:val="21"/>
        </w:rPr>
      </w:pPr>
      <w:r>
        <w:rPr>
          <w:rFonts w:hint="eastAsia" w:ascii="宋体" w:hAnsi="宋体" w:eastAsia="宋体" w:cs="宋体"/>
          <w:b/>
          <w:kern w:val="0"/>
          <w:sz w:val="21"/>
          <w:szCs w:val="21"/>
        </w:rPr>
        <w:t>13.6.2</w:t>
      </w:r>
      <w:r>
        <w:rPr>
          <w:rFonts w:hint="eastAsia" w:ascii="宋体" w:hAnsi="宋体" w:eastAsia="宋体" w:cs="宋体"/>
          <w:sz w:val="21"/>
          <w:szCs w:val="21"/>
        </w:rPr>
        <w:t xml:space="preserve"> 磋商响应人应按前附表规定的时间、地点完成磋商响应文件的上传、解密。</w:t>
      </w:r>
    </w:p>
    <w:p>
      <w:pPr>
        <w:pStyle w:val="96"/>
        <w:adjustRightInd w:val="0"/>
        <w:snapToGrid w:val="0"/>
        <w:spacing w:before="0"/>
        <w:ind w:firstLine="422"/>
        <w:contextualSpacing/>
        <w:rPr>
          <w:rFonts w:ascii="宋体" w:hAnsi="宋体" w:eastAsia="宋体" w:cs="宋体"/>
          <w:sz w:val="21"/>
          <w:szCs w:val="21"/>
        </w:rPr>
      </w:pPr>
      <w:r>
        <w:rPr>
          <w:rFonts w:hint="eastAsia" w:ascii="宋体" w:hAnsi="宋体" w:eastAsia="宋体" w:cs="宋体"/>
          <w:b/>
          <w:kern w:val="0"/>
          <w:sz w:val="21"/>
          <w:szCs w:val="21"/>
        </w:rPr>
        <w:t>13.6.3</w:t>
      </w:r>
      <w:r>
        <w:rPr>
          <w:rFonts w:hint="eastAsia" w:ascii="宋体" w:hAnsi="宋体" w:eastAsia="宋体" w:cs="宋体"/>
          <w:sz w:val="21"/>
          <w:szCs w:val="21"/>
        </w:rPr>
        <w:t>磋商响应人应按前附表规定的时间、地点完成“备份磋商响应文件”的递交，招标代理机构将拒绝接受逾期送达的“备份磋商响应文件”。</w:t>
      </w:r>
    </w:p>
    <w:p>
      <w:pPr>
        <w:pStyle w:val="96"/>
        <w:adjustRightInd w:val="0"/>
        <w:snapToGrid w:val="0"/>
        <w:spacing w:before="0"/>
        <w:ind w:firstLine="422"/>
        <w:contextualSpacing/>
        <w:rPr>
          <w:rFonts w:ascii="宋体" w:hAnsi="宋体" w:eastAsia="宋体" w:cs="宋体"/>
          <w:b/>
          <w:kern w:val="0"/>
          <w:sz w:val="21"/>
          <w:szCs w:val="21"/>
        </w:rPr>
      </w:pPr>
      <w:r>
        <w:rPr>
          <w:rFonts w:hint="eastAsia" w:ascii="宋体" w:hAnsi="宋体" w:eastAsia="宋体" w:cs="宋体"/>
          <w:b/>
          <w:kern w:val="0"/>
          <w:sz w:val="21"/>
          <w:szCs w:val="21"/>
        </w:rPr>
        <w:t>13.6.4</w:t>
      </w:r>
      <w:r>
        <w:rPr>
          <w:rFonts w:hint="eastAsia" w:ascii="宋体" w:hAnsi="宋体" w:eastAsia="宋体" w:cs="宋体"/>
          <w:sz w:val="21"/>
          <w:szCs w:val="21"/>
        </w:rPr>
        <w:t xml:space="preserve"> 招标代理机构可以按本须知规定以补充通知的方式，酌情延长递交磋商响应文件的截止日期。在上述情况下，招标代理机构与磋商响应人以前在磋商响应截止期方面的全部权利、责任和义务，将适用于延长至新的磋商响应截止期。</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13.6.5磋商上传截止时间后，磋商响应供应商不得撤回、修改《磋商响应文件》。</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13.7磋商响应文件的备选方案</w:t>
      </w:r>
    </w:p>
    <w:p>
      <w:pPr>
        <w:adjustRightInd w:val="0"/>
        <w:snapToGrid w:val="0"/>
        <w:spacing w:line="360" w:lineRule="auto"/>
        <w:ind w:firstLine="422" w:firstLineChars="200"/>
        <w:contextualSpacing/>
        <w:rPr>
          <w:rFonts w:ascii="宋体" w:hAnsi="宋体" w:cs="宋体"/>
          <w:b/>
          <w:bCs/>
          <w:szCs w:val="21"/>
        </w:rPr>
      </w:pPr>
      <w:r>
        <w:rPr>
          <w:rFonts w:hint="eastAsia" w:ascii="宋体" w:hAnsi="宋体" w:cs="宋体"/>
          <w:b/>
          <w:bCs/>
          <w:szCs w:val="21"/>
        </w:rPr>
        <w:t>13.7.1磋商响应供应商不得递交任何的磋商响应备选（替代）方案，否则其磋商响应文件将作无效标处理。与“电子加密磋商响应文件”同时生成的“备份磋商响应文件”不是磋商响应备选（替代）方案。</w:t>
      </w:r>
    </w:p>
    <w:p>
      <w:pPr>
        <w:pStyle w:val="21"/>
      </w:pPr>
    </w:p>
    <w:p>
      <w:pPr>
        <w:adjustRightInd w:val="0"/>
        <w:snapToGrid w:val="0"/>
        <w:spacing w:line="360" w:lineRule="auto"/>
        <w:jc w:val="center"/>
        <w:outlineLvl w:val="1"/>
        <w:rPr>
          <w:rFonts w:ascii="宋体" w:hAnsi="宋体" w:cs="宋体"/>
          <w:b/>
          <w:sz w:val="24"/>
        </w:rPr>
      </w:pPr>
      <w:bookmarkStart w:id="61" w:name="_Toc442428812"/>
      <w:bookmarkStart w:id="62" w:name="_Toc3778"/>
      <w:r>
        <w:rPr>
          <w:rFonts w:hint="eastAsia" w:ascii="宋体" w:hAnsi="宋体" w:cs="宋体"/>
          <w:b/>
          <w:sz w:val="24"/>
        </w:rPr>
        <w:t>五、开 标</w:t>
      </w:r>
      <w:bookmarkEnd w:id="61"/>
      <w:bookmarkEnd w:id="62"/>
    </w:p>
    <w:p>
      <w:pPr>
        <w:pStyle w:val="96"/>
        <w:adjustRightInd w:val="0"/>
        <w:snapToGrid w:val="0"/>
        <w:spacing w:before="0"/>
        <w:ind w:firstLine="0" w:firstLineChars="0"/>
        <w:rPr>
          <w:rFonts w:ascii="宋体" w:hAnsi="宋体" w:eastAsia="宋体" w:cs="宋体"/>
          <w:b/>
          <w:sz w:val="21"/>
          <w:szCs w:val="21"/>
        </w:rPr>
      </w:pPr>
      <w:r>
        <w:rPr>
          <w:rFonts w:hint="eastAsia" w:ascii="宋体" w:hAnsi="宋体" w:eastAsia="宋体" w:cs="宋体"/>
          <w:b/>
          <w:sz w:val="21"/>
          <w:szCs w:val="21"/>
        </w:rPr>
        <w:t>14</w:t>
      </w:r>
      <w:r>
        <w:rPr>
          <w:rFonts w:hint="eastAsia" w:ascii="宋体" w:hAnsi="宋体" w:eastAsia="宋体" w:cs="宋体"/>
          <w:b/>
          <w:kern w:val="0"/>
          <w:sz w:val="21"/>
          <w:szCs w:val="21"/>
          <w:lang w:val="zh-CN"/>
        </w:rPr>
        <w:t>、开标形式</w:t>
      </w:r>
    </w:p>
    <w:p>
      <w:pPr>
        <w:adjustRightInd w:val="0"/>
        <w:snapToGrid w:val="0"/>
        <w:spacing w:line="360" w:lineRule="auto"/>
        <w:ind w:firstLine="371" w:firstLineChars="177"/>
        <w:rPr>
          <w:rFonts w:ascii="宋体" w:hAnsi="宋体" w:cs="宋体"/>
          <w:b/>
          <w:szCs w:val="21"/>
        </w:rPr>
      </w:pPr>
      <w:r>
        <w:rPr>
          <w:rFonts w:hint="eastAsia" w:ascii="宋体" w:hAnsi="宋体" w:cs="宋体"/>
          <w:szCs w:val="21"/>
        </w:rPr>
        <w:t xml:space="preserve">14.1 </w:t>
      </w:r>
      <w:r>
        <w:rPr>
          <w:rFonts w:hint="eastAsia" w:ascii="宋体" w:hAnsi="宋体" w:cs="宋体"/>
          <w:b/>
          <w:szCs w:val="21"/>
        </w:rPr>
        <w:t>采购组织机构将按照采购文件规定的时间通过“政府采购云平台”组织开标、开启磋商响应文件，所有供应商均应当准时在线参加。</w:t>
      </w:r>
    </w:p>
    <w:p>
      <w:pPr>
        <w:pStyle w:val="96"/>
        <w:adjustRightInd w:val="0"/>
        <w:snapToGrid w:val="0"/>
        <w:spacing w:before="0"/>
        <w:ind w:firstLine="0" w:firstLineChars="0"/>
        <w:rPr>
          <w:rFonts w:ascii="宋体" w:hAnsi="宋体" w:eastAsia="宋体" w:cs="宋体"/>
          <w:b/>
          <w:sz w:val="21"/>
          <w:szCs w:val="21"/>
        </w:rPr>
      </w:pPr>
      <w:r>
        <w:rPr>
          <w:rFonts w:hint="eastAsia" w:ascii="宋体" w:hAnsi="宋体" w:eastAsia="宋体" w:cs="宋体"/>
          <w:b/>
          <w:sz w:val="21"/>
          <w:szCs w:val="21"/>
        </w:rPr>
        <w:t>15、开标准备</w:t>
      </w:r>
    </w:p>
    <w:p>
      <w:pPr>
        <w:adjustRightInd w:val="0"/>
        <w:snapToGrid w:val="0"/>
        <w:spacing w:line="360" w:lineRule="auto"/>
        <w:ind w:firstLine="369" w:firstLineChars="176"/>
        <w:rPr>
          <w:rFonts w:ascii="宋体" w:hAnsi="宋体" w:cs="宋体"/>
          <w:kern w:val="0"/>
          <w:szCs w:val="21"/>
        </w:rPr>
      </w:pPr>
      <w:r>
        <w:rPr>
          <w:rFonts w:hint="eastAsia" w:ascii="宋体" w:hAnsi="宋体" w:cs="宋体"/>
          <w:szCs w:val="21"/>
        </w:rPr>
        <w:t>15</w:t>
      </w:r>
      <w:r>
        <w:rPr>
          <w:rFonts w:hint="eastAsia" w:ascii="宋体" w:hAnsi="宋体" w:cs="宋体"/>
          <w:kern w:val="0"/>
          <w:szCs w:val="21"/>
        </w:rPr>
        <w:t>.1开标的准备工作由采购组织机构负责落实。</w:t>
      </w:r>
    </w:p>
    <w:p>
      <w:pPr>
        <w:adjustRightInd w:val="0"/>
        <w:snapToGrid w:val="0"/>
        <w:spacing w:line="360" w:lineRule="auto"/>
        <w:ind w:firstLine="369" w:firstLineChars="176"/>
        <w:rPr>
          <w:rFonts w:ascii="宋体" w:hAnsi="宋体" w:cs="宋体"/>
          <w:kern w:val="0"/>
          <w:szCs w:val="21"/>
        </w:rPr>
      </w:pPr>
      <w:r>
        <w:rPr>
          <w:rFonts w:hint="eastAsia" w:ascii="宋体" w:hAnsi="宋体" w:cs="宋体"/>
          <w:szCs w:val="21"/>
        </w:rPr>
        <w:t>15</w:t>
      </w:r>
      <w:r>
        <w:rPr>
          <w:rFonts w:hint="eastAsia" w:ascii="宋体" w:hAnsi="宋体" w:cs="宋体"/>
          <w:kern w:val="0"/>
          <w:szCs w:val="21"/>
        </w:rPr>
        <w:t>.2</w:t>
      </w:r>
      <w:r>
        <w:rPr>
          <w:rFonts w:hint="eastAsia" w:ascii="宋体" w:hAnsi="宋体" w:cs="宋体"/>
          <w:b/>
          <w:szCs w:val="21"/>
        </w:rPr>
        <w:t>采购组织机构将按照采购文件规定的时间通过“政府采购云平台”组织开标、开启磋商响应文件，所有供应商均应当准时在线参加。磋商响应</w:t>
      </w:r>
      <w:r>
        <w:rPr>
          <w:rFonts w:hint="eastAsia" w:ascii="宋体" w:hAnsi="宋体" w:cs="宋体"/>
          <w:b/>
          <w:kern w:val="0"/>
          <w:szCs w:val="21"/>
        </w:rPr>
        <w:t>供应商如不在线参加开标大会的，视同认可开标结果，事后不得对采购相关人员、开标过程和开标结果提出异议，同时磋商响应供应商因未在线参加开标而导致磋商响应文件无法按时解密等一切后果由供应商自己承担。</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15.3开标流程（两阶段）</w:t>
      </w:r>
    </w:p>
    <w:p>
      <w:pPr>
        <w:adjustRightInd w:val="0"/>
        <w:snapToGrid w:val="0"/>
        <w:spacing w:line="360" w:lineRule="auto"/>
        <w:ind w:firstLine="371" w:firstLineChars="177"/>
        <w:jc w:val="left"/>
        <w:rPr>
          <w:rFonts w:ascii="宋体" w:hAnsi="宋体" w:cs="宋体"/>
          <w:b/>
          <w:kern w:val="0"/>
          <w:szCs w:val="21"/>
        </w:rPr>
      </w:pPr>
      <w:r>
        <w:rPr>
          <w:rFonts w:hint="eastAsia" w:ascii="宋体" w:hAnsi="宋体" w:cs="宋体"/>
          <w:szCs w:val="21"/>
        </w:rPr>
        <w:t>15.3</w:t>
      </w:r>
      <w:r>
        <w:rPr>
          <w:rFonts w:hint="eastAsia" w:ascii="宋体" w:hAnsi="宋体" w:cs="宋体"/>
          <w:b/>
          <w:kern w:val="0"/>
          <w:szCs w:val="21"/>
        </w:rPr>
        <w:t>.1开标第一阶段</w:t>
      </w:r>
    </w:p>
    <w:p>
      <w:pPr>
        <w:adjustRightInd w:val="0"/>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（1）向各</w:t>
      </w:r>
      <w:r>
        <w:rPr>
          <w:rFonts w:hint="eastAsia" w:ascii="宋体" w:hAnsi="宋体" w:cs="宋体"/>
          <w:szCs w:val="21"/>
        </w:rPr>
        <w:t>磋商响应</w:t>
      </w:r>
      <w:r>
        <w:rPr>
          <w:rFonts w:hint="eastAsia" w:ascii="宋体" w:hAnsi="宋体" w:cs="宋体"/>
          <w:kern w:val="0"/>
          <w:szCs w:val="21"/>
        </w:rPr>
        <w:t>供应商发出电子加密磋商响应文件【开始解密】通知，由供应商按采购文件规定的时间内自行进行电子加密磋商响应文件解密。投标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adjustRightInd w:val="0"/>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（2）开启磋商响应文件，进入资格审查。</w:t>
      </w:r>
    </w:p>
    <w:p>
      <w:pPr>
        <w:adjustRightInd w:val="0"/>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（3）对资格审查通过的</w:t>
      </w:r>
      <w:r>
        <w:rPr>
          <w:rFonts w:hint="eastAsia" w:ascii="宋体" w:hAnsi="宋体" w:cs="宋体"/>
          <w:szCs w:val="21"/>
        </w:rPr>
        <w:t>磋商响应</w:t>
      </w:r>
      <w:r>
        <w:rPr>
          <w:rFonts w:hint="eastAsia" w:ascii="宋体" w:hAnsi="宋体" w:cs="宋体"/>
          <w:kern w:val="0"/>
          <w:szCs w:val="21"/>
        </w:rPr>
        <w:t>供应商的商务技术文件进入符合性审查、商务技术评审。</w:t>
      </w:r>
    </w:p>
    <w:p>
      <w:pPr>
        <w:adjustRightInd w:val="0"/>
        <w:snapToGrid w:val="0"/>
        <w:spacing w:line="360" w:lineRule="auto"/>
        <w:ind w:firstLine="373" w:firstLineChars="177"/>
        <w:jc w:val="left"/>
        <w:rPr>
          <w:rFonts w:ascii="宋体" w:hAnsi="宋体" w:cs="宋体"/>
          <w:b/>
          <w:kern w:val="0"/>
          <w:szCs w:val="21"/>
        </w:rPr>
      </w:pPr>
      <w:r>
        <w:rPr>
          <w:rFonts w:hint="eastAsia" w:ascii="宋体" w:hAnsi="宋体" w:cs="宋体"/>
          <w:b/>
          <w:kern w:val="0"/>
          <w:szCs w:val="21"/>
        </w:rPr>
        <w:t>备注：开标大会的第一阶段结束后，磋商小组将对依法对磋商响应供应商的资格进行审查，资格审查结束后进入符合性审查和商务技术的评审工作，具体见本章节“磋商响应供应商资格审查”相关规定。</w:t>
      </w:r>
    </w:p>
    <w:p>
      <w:pPr>
        <w:adjustRightInd w:val="0"/>
        <w:snapToGrid w:val="0"/>
        <w:spacing w:line="360" w:lineRule="auto"/>
        <w:ind w:firstLine="371" w:firstLineChars="177"/>
        <w:jc w:val="left"/>
        <w:rPr>
          <w:rFonts w:ascii="宋体" w:hAnsi="宋体" w:cs="宋体"/>
          <w:kern w:val="0"/>
          <w:szCs w:val="21"/>
        </w:rPr>
      </w:pPr>
      <w:r>
        <w:rPr>
          <w:rFonts w:hint="eastAsia" w:ascii="宋体" w:hAnsi="宋体" w:cs="宋体"/>
          <w:szCs w:val="21"/>
        </w:rPr>
        <w:t>15.3</w:t>
      </w:r>
      <w:r>
        <w:rPr>
          <w:rFonts w:hint="eastAsia" w:ascii="宋体" w:hAnsi="宋体" w:cs="宋体"/>
          <w:kern w:val="0"/>
          <w:szCs w:val="21"/>
        </w:rPr>
        <w:t>.2开标大会第二阶段</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15.3</w:t>
      </w:r>
      <w:r>
        <w:rPr>
          <w:rFonts w:hint="eastAsia" w:ascii="宋体" w:hAnsi="宋体" w:cs="宋体"/>
          <w:kern w:val="0"/>
          <w:szCs w:val="21"/>
        </w:rPr>
        <w:t>.2.1符合性审查、商务技术评审结束后，举行开标大会第二阶段会议。首先公布符合性审查、商务技术评审无效供应商名称及理由。公布经商务技术评审后有效</w:t>
      </w:r>
      <w:r>
        <w:rPr>
          <w:rFonts w:hint="eastAsia" w:ascii="宋体" w:hAnsi="宋体" w:cs="宋体"/>
          <w:szCs w:val="21"/>
        </w:rPr>
        <w:t>磋商响应</w:t>
      </w:r>
      <w:r>
        <w:rPr>
          <w:rFonts w:hint="eastAsia" w:ascii="宋体" w:hAnsi="宋体" w:cs="宋体"/>
          <w:kern w:val="0"/>
          <w:szCs w:val="21"/>
        </w:rPr>
        <w:t>供应商的名单。</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15.3.2.2</w:t>
      </w:r>
      <w:r>
        <w:rPr>
          <w:rFonts w:hint="eastAsia" w:ascii="宋体" w:hAnsi="宋体" w:cs="宋体"/>
          <w:szCs w:val="21"/>
        </w:rPr>
        <w:t>磋商结束后，</w:t>
      </w:r>
      <w:r>
        <w:rPr>
          <w:rFonts w:hint="eastAsia" w:ascii="宋体" w:hAnsi="宋体" w:cs="宋体"/>
          <w:kern w:val="0"/>
          <w:szCs w:val="21"/>
        </w:rPr>
        <w:t>开启符合性审查、商务技术评审有效</w:t>
      </w:r>
      <w:r>
        <w:rPr>
          <w:rFonts w:hint="eastAsia" w:ascii="宋体" w:hAnsi="宋体" w:cs="宋体"/>
          <w:szCs w:val="21"/>
        </w:rPr>
        <w:t>磋商响应</w:t>
      </w:r>
      <w:r>
        <w:rPr>
          <w:rFonts w:hint="eastAsia" w:ascii="宋体" w:hAnsi="宋体" w:cs="宋体"/>
          <w:kern w:val="0"/>
          <w:szCs w:val="21"/>
        </w:rPr>
        <w:t>供应商的初次报价文件，经磋商小组评审及磋商，</w:t>
      </w:r>
      <w:r>
        <w:rPr>
          <w:rFonts w:hint="eastAsia" w:ascii="宋体" w:hAnsi="宋体" w:cs="宋体"/>
          <w:szCs w:val="21"/>
        </w:rPr>
        <w:t>要求所有实质性响应的供应商在规定时间内提交最后报价，采购代理机构</w:t>
      </w:r>
      <w:r>
        <w:rPr>
          <w:rFonts w:hint="eastAsia" w:ascii="宋体" w:hAnsi="宋体" w:cs="宋体"/>
          <w:kern w:val="0"/>
          <w:szCs w:val="21"/>
        </w:rPr>
        <w:t>向各</w:t>
      </w:r>
      <w:r>
        <w:rPr>
          <w:rFonts w:hint="eastAsia" w:ascii="宋体" w:hAnsi="宋体" w:cs="宋体"/>
          <w:szCs w:val="21"/>
        </w:rPr>
        <w:t>磋商响应</w:t>
      </w:r>
      <w:r>
        <w:rPr>
          <w:rFonts w:hint="eastAsia" w:ascii="宋体" w:hAnsi="宋体" w:cs="宋体"/>
          <w:kern w:val="0"/>
          <w:szCs w:val="21"/>
        </w:rPr>
        <w:t>供应商发出最终报价文件通知，由供应商按采购文件规定的时间内自行填写最终报价加盖签章并上传。</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15.3.2.2.1</w:t>
      </w:r>
      <w:r>
        <w:rPr>
          <w:rFonts w:hint="eastAsia" w:ascii="宋体" w:hAnsi="宋体" w:cs="宋体"/>
          <w:szCs w:val="21"/>
        </w:rPr>
        <w:t>最后报价是磋商响应文件的有效组成部分。</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15.3.2.2.2</w:t>
      </w:r>
      <w:r>
        <w:rPr>
          <w:rFonts w:hint="eastAsia" w:ascii="宋体" w:hAnsi="宋体" w:cs="宋体"/>
          <w:szCs w:val="21"/>
        </w:rPr>
        <w:t>已提交磋商响应文件的供应商，在提交最后报价之前，若因磋商文件实质性变动导致供应商无法满足采购需求的，允许供应商退出磋商。</w:t>
      </w:r>
    </w:p>
    <w:p>
      <w:pPr>
        <w:adjustRightInd w:val="0"/>
        <w:snapToGrid w:val="0"/>
        <w:spacing w:line="360" w:lineRule="auto"/>
        <w:ind w:firstLine="420" w:firstLineChars="200"/>
        <w:jc w:val="left"/>
        <w:rPr>
          <w:rFonts w:ascii="宋体" w:hAnsi="宋体" w:cs="宋体"/>
          <w:strike/>
          <w:szCs w:val="21"/>
        </w:rPr>
      </w:pPr>
      <w:r>
        <w:rPr>
          <w:rFonts w:hint="eastAsia" w:ascii="宋体" w:hAnsi="宋体" w:cs="宋体"/>
          <w:kern w:val="0"/>
          <w:szCs w:val="21"/>
        </w:rPr>
        <w:t>15.3.2.3公布其商务技术部分得分情况。公布开标一览表有关内容，制作开标记录表，供应商予以确认。（不予确认的应说明理由，否则视为无异议）。</w:t>
      </w:r>
    </w:p>
    <w:p>
      <w:pPr>
        <w:adjustRightInd w:val="0"/>
        <w:snapToGrid w:val="0"/>
        <w:spacing w:line="360" w:lineRule="auto"/>
        <w:ind w:firstLine="371" w:firstLineChars="177"/>
        <w:jc w:val="left"/>
        <w:rPr>
          <w:rFonts w:ascii="宋体" w:hAnsi="宋体" w:cs="宋体"/>
          <w:kern w:val="0"/>
          <w:szCs w:val="21"/>
        </w:rPr>
      </w:pPr>
      <w:r>
        <w:rPr>
          <w:rFonts w:hint="eastAsia" w:ascii="宋体" w:hAnsi="宋体" w:cs="宋体"/>
          <w:kern w:val="0"/>
          <w:szCs w:val="21"/>
        </w:rPr>
        <w:t>15.3.2.4评审结束后，公布成交候选供应商名单，及采购人最终确定成交供应商名单的时间和公告方式等。</w:t>
      </w:r>
    </w:p>
    <w:p>
      <w:pPr>
        <w:adjustRightInd w:val="0"/>
        <w:snapToGrid w:val="0"/>
        <w:spacing w:line="360" w:lineRule="auto"/>
        <w:ind w:firstLine="373" w:firstLineChars="177"/>
        <w:jc w:val="left"/>
        <w:rPr>
          <w:rFonts w:ascii="宋体" w:hAnsi="宋体" w:cs="宋体"/>
          <w:b/>
          <w:kern w:val="0"/>
          <w:szCs w:val="21"/>
        </w:rPr>
      </w:pPr>
      <w:r>
        <w:rPr>
          <w:rFonts w:hint="eastAsia" w:ascii="宋体" w:hAnsi="宋体" w:cs="宋体"/>
          <w:b/>
          <w:kern w:val="0"/>
          <w:szCs w:val="21"/>
        </w:rPr>
        <w:t>特别说明：如遇“政府采购云平台”电子化开标或磋商程序调整的，按调整后程序执行。</w:t>
      </w:r>
    </w:p>
    <w:p>
      <w:pPr>
        <w:adjustRightInd w:val="0"/>
        <w:snapToGrid w:val="0"/>
        <w:spacing w:line="360" w:lineRule="auto"/>
        <w:ind w:firstLine="420" w:firstLineChars="200"/>
        <w:rPr>
          <w:rFonts w:ascii="宋体" w:hAnsi="宋体" w:cs="宋体"/>
          <w:kern w:val="0"/>
          <w:szCs w:val="21"/>
        </w:rPr>
      </w:pPr>
      <w:bookmarkStart w:id="63" w:name="_Toc24550037"/>
      <w:bookmarkStart w:id="64" w:name="_Toc33194393"/>
      <w:bookmarkStart w:id="65" w:name="_Toc14504"/>
      <w:r>
        <w:rPr>
          <w:rFonts w:hint="eastAsia" w:ascii="宋体" w:hAnsi="宋体" w:cs="宋体"/>
          <w:kern w:val="0"/>
          <w:szCs w:val="21"/>
        </w:rPr>
        <w:t>15.4磋商响应供应商资格审查</w:t>
      </w:r>
      <w:bookmarkEnd w:id="63"/>
      <w:bookmarkEnd w:id="64"/>
      <w:bookmarkEnd w:id="65"/>
    </w:p>
    <w:p>
      <w:pPr>
        <w:adjustRightInd w:val="0"/>
        <w:snapToGrid w:val="0"/>
        <w:spacing w:line="360" w:lineRule="auto"/>
        <w:ind w:firstLine="420" w:firstLineChars="200"/>
        <w:rPr>
          <w:rFonts w:ascii="宋体" w:hAnsi="宋体" w:cs="宋体"/>
          <w:bCs/>
          <w:szCs w:val="21"/>
        </w:rPr>
      </w:pPr>
      <w:r>
        <w:rPr>
          <w:rFonts w:hint="eastAsia" w:ascii="宋体" w:hAnsi="宋体" w:cs="宋体"/>
          <w:kern w:val="0"/>
          <w:szCs w:val="21"/>
        </w:rPr>
        <w:t>15.4.1开标大会第一阶段结束后，磋商小组首先依法对各磋商响应供应商的资格进行审查，审查各磋商响应供应商的资格是否满足采购文件的要求。磋商小组对磋商响应供应商所提交的资</w:t>
      </w:r>
      <w:r>
        <w:rPr>
          <w:rFonts w:hint="eastAsia" w:ascii="宋体" w:hAnsi="宋体" w:cs="宋体"/>
          <w:bCs/>
          <w:szCs w:val="21"/>
        </w:rPr>
        <w:t>格证明材料仅负审核的责任。如发现</w:t>
      </w:r>
      <w:r>
        <w:rPr>
          <w:rFonts w:hint="eastAsia" w:ascii="宋体" w:hAnsi="宋体" w:cs="宋体"/>
          <w:szCs w:val="21"/>
        </w:rPr>
        <w:t>磋商响应</w:t>
      </w:r>
      <w:r>
        <w:rPr>
          <w:rFonts w:hint="eastAsia" w:ascii="宋体" w:hAnsi="宋体" w:cs="宋体"/>
          <w:bCs/>
          <w:szCs w:val="21"/>
        </w:rPr>
        <w:t>供应商所提交的资格证明材料不合法或与事实不符，采购人可取消其成交资格并追究</w:t>
      </w:r>
      <w:r>
        <w:rPr>
          <w:rFonts w:hint="eastAsia" w:ascii="宋体" w:hAnsi="宋体" w:cs="宋体"/>
          <w:szCs w:val="21"/>
        </w:rPr>
        <w:t>磋商响应</w:t>
      </w:r>
      <w:r>
        <w:rPr>
          <w:rFonts w:hint="eastAsia" w:ascii="宋体" w:hAnsi="宋体" w:cs="宋体"/>
          <w:bCs/>
          <w:szCs w:val="21"/>
        </w:rPr>
        <w:t>供应商的法律责任。</w:t>
      </w:r>
    </w:p>
    <w:p>
      <w:pPr>
        <w:adjustRightInd w:val="0"/>
        <w:snapToGrid w:val="0"/>
        <w:spacing w:line="360" w:lineRule="auto"/>
        <w:ind w:firstLine="373" w:firstLineChars="177"/>
        <w:rPr>
          <w:rFonts w:ascii="宋体" w:hAnsi="宋体" w:cs="宋体"/>
          <w:b/>
          <w:kern w:val="0"/>
          <w:szCs w:val="21"/>
        </w:rPr>
      </w:pPr>
      <w:r>
        <w:rPr>
          <w:rFonts w:hint="eastAsia" w:ascii="宋体" w:hAnsi="宋体" w:cs="宋体"/>
          <w:b/>
          <w:szCs w:val="21"/>
        </w:rPr>
        <w:t>15.4.2磋商响应供应商提交的资格证明材料无法证明其符合采购文件规定的“磋商响应供应商资格要求”的，</w:t>
      </w:r>
      <w:r>
        <w:rPr>
          <w:rFonts w:hint="eastAsia" w:ascii="宋体" w:hAnsi="宋体" w:cs="宋体"/>
          <w:b/>
          <w:kern w:val="0"/>
          <w:szCs w:val="21"/>
        </w:rPr>
        <w:t>磋商小组将对其作资格审查不通过处理（无效磋商响应），不再后续磋商。</w:t>
      </w:r>
    </w:p>
    <w:p>
      <w:pPr>
        <w:adjustRightInd w:val="0"/>
        <w:snapToGrid w:val="0"/>
        <w:spacing w:line="360" w:lineRule="auto"/>
        <w:ind w:firstLine="373" w:firstLineChars="177"/>
        <w:rPr>
          <w:rFonts w:ascii="宋体" w:hAnsi="宋体" w:cs="宋体"/>
          <w:szCs w:val="21"/>
        </w:rPr>
      </w:pPr>
      <w:r>
        <w:rPr>
          <w:rFonts w:hint="eastAsia" w:ascii="宋体" w:hAnsi="宋体" w:cs="宋体"/>
          <w:b/>
          <w:szCs w:val="21"/>
        </w:rPr>
        <w:t>15.4</w:t>
      </w:r>
      <w:r>
        <w:rPr>
          <w:rFonts w:hint="eastAsia" w:ascii="宋体" w:hAnsi="宋体" w:cs="宋体"/>
          <w:b/>
          <w:kern w:val="0"/>
          <w:szCs w:val="21"/>
        </w:rPr>
        <w:t>.3单位负责人为同一人或者存在直接控股、管理关系的不同供应商参加同一合同项下的政府采购活动的，相关磋商响应供应商均作资格无效处理。</w:t>
      </w:r>
    </w:p>
    <w:p>
      <w:pPr>
        <w:adjustRightInd w:val="0"/>
        <w:snapToGrid w:val="0"/>
        <w:spacing w:line="360" w:lineRule="auto"/>
        <w:jc w:val="center"/>
        <w:outlineLvl w:val="1"/>
        <w:rPr>
          <w:rFonts w:ascii="宋体" w:hAnsi="宋体" w:cs="宋体"/>
          <w:b/>
          <w:sz w:val="24"/>
        </w:rPr>
      </w:pPr>
      <w:bookmarkStart w:id="66" w:name="_Toc3944"/>
      <w:bookmarkStart w:id="67" w:name="_Toc442428813"/>
    </w:p>
    <w:p>
      <w:pPr>
        <w:adjustRightInd w:val="0"/>
        <w:snapToGrid w:val="0"/>
        <w:spacing w:line="360" w:lineRule="auto"/>
        <w:jc w:val="center"/>
        <w:outlineLvl w:val="1"/>
        <w:rPr>
          <w:rFonts w:ascii="宋体" w:hAnsi="宋体" w:cs="宋体"/>
          <w:b/>
          <w:sz w:val="24"/>
        </w:rPr>
      </w:pPr>
      <w:r>
        <w:rPr>
          <w:rFonts w:hint="eastAsia" w:ascii="宋体" w:hAnsi="宋体" w:cs="宋体"/>
          <w:b/>
          <w:sz w:val="24"/>
        </w:rPr>
        <w:t>六、磋 商</w:t>
      </w:r>
      <w:bookmarkEnd w:id="66"/>
      <w:bookmarkEnd w:id="67"/>
    </w:p>
    <w:p>
      <w:pPr>
        <w:pStyle w:val="25"/>
        <w:adjustRightInd w:val="0"/>
        <w:snapToGrid w:val="0"/>
        <w:spacing w:line="360" w:lineRule="auto"/>
        <w:rPr>
          <w:rFonts w:ascii="宋体" w:hAnsi="宋体" w:eastAsia="宋体"/>
          <w:b/>
        </w:rPr>
      </w:pPr>
      <w:r>
        <w:rPr>
          <w:rFonts w:hint="eastAsia" w:ascii="宋体" w:hAnsi="宋体" w:eastAsia="宋体"/>
          <w:b/>
        </w:rPr>
        <w:t>16</w:t>
      </w:r>
      <w:r>
        <w:rPr>
          <w:rFonts w:hint="eastAsia" w:ascii="宋体" w:hAnsi="宋体" w:eastAsia="宋体"/>
          <w:b/>
          <w:kern w:val="0"/>
          <w:lang w:val="zh-CN"/>
        </w:rPr>
        <w:t>、</w:t>
      </w:r>
      <w:r>
        <w:rPr>
          <w:rFonts w:hint="eastAsia" w:ascii="宋体" w:hAnsi="宋体" w:eastAsia="宋体"/>
          <w:b/>
        </w:rPr>
        <w:t>磋商小组</w:t>
      </w:r>
    </w:p>
    <w:p>
      <w:pPr>
        <w:pStyle w:val="25"/>
        <w:adjustRightInd w:val="0"/>
        <w:snapToGrid w:val="0"/>
        <w:spacing w:line="360" w:lineRule="auto"/>
        <w:ind w:firstLine="420" w:firstLineChars="200"/>
        <w:rPr>
          <w:rFonts w:ascii="宋体" w:hAnsi="宋体" w:eastAsia="宋体"/>
          <w:lang w:val="zh-CN"/>
        </w:rPr>
      </w:pPr>
      <w:r>
        <w:rPr>
          <w:rFonts w:hint="eastAsia" w:ascii="宋体" w:hAnsi="宋体" w:eastAsia="宋体"/>
        </w:rPr>
        <w:t>16.1采购代理机构依法组成由3人(含)以上奇数的人员组成的磋商小组，负责对磋商响应文件进行审查、质询、评审和比较等。磋商小组</w:t>
      </w:r>
      <w:r>
        <w:rPr>
          <w:rFonts w:hint="eastAsia" w:ascii="宋体" w:hAnsi="宋体" w:eastAsia="宋体"/>
          <w:lang w:val="zh-CN"/>
        </w:rPr>
        <w:t>由采购人代表和政府采购咨询专家或经批准推荐的行业临时专家组成，其中政府采购咨询专家或经批准推荐的行业临时专家人数不少于成员总数的三分之二。</w:t>
      </w:r>
    </w:p>
    <w:p>
      <w:pPr>
        <w:pStyle w:val="4"/>
        <w:numPr>
          <w:ilvl w:val="0"/>
          <w:numId w:val="0"/>
        </w:numPr>
        <w:adjustRightInd w:val="0"/>
        <w:snapToGrid w:val="0"/>
        <w:spacing w:before="0" w:after="0"/>
        <w:jc w:val="both"/>
        <w:rPr>
          <w:rFonts w:ascii="宋体" w:hAnsi="宋体" w:eastAsia="宋体" w:cs="宋体"/>
          <w:sz w:val="21"/>
          <w:szCs w:val="21"/>
        </w:rPr>
      </w:pPr>
      <w:r>
        <w:rPr>
          <w:rFonts w:hint="eastAsia" w:ascii="宋体" w:hAnsi="宋体" w:eastAsia="宋体" w:cs="宋体"/>
          <w:sz w:val="21"/>
          <w:szCs w:val="21"/>
        </w:rPr>
        <w:t>16.2磋商小组的职责</w:t>
      </w:r>
    </w:p>
    <w:p>
      <w:pPr>
        <w:pStyle w:val="4"/>
        <w:numPr>
          <w:ilvl w:val="0"/>
          <w:numId w:val="0"/>
        </w:numPr>
        <w:adjustRightInd w:val="0"/>
        <w:snapToGrid w:val="0"/>
        <w:spacing w:before="0" w:after="0"/>
        <w:ind w:firstLine="422" w:firstLineChars="200"/>
        <w:jc w:val="both"/>
        <w:rPr>
          <w:rFonts w:ascii="宋体" w:hAnsi="宋体" w:eastAsia="宋体" w:cs="宋体"/>
          <w:sz w:val="21"/>
          <w:szCs w:val="21"/>
        </w:rPr>
      </w:pPr>
      <w:r>
        <w:rPr>
          <w:rFonts w:hint="eastAsia" w:ascii="宋体" w:hAnsi="宋体" w:eastAsia="宋体" w:cs="宋体"/>
          <w:sz w:val="21"/>
          <w:szCs w:val="21"/>
        </w:rPr>
        <w:t>16.2.1磋商小组负责具体磋商事务，并独立履行下列职责：</w:t>
      </w:r>
    </w:p>
    <w:p>
      <w:pPr>
        <w:adjustRightInd w:val="0"/>
        <w:snapToGrid w:val="0"/>
        <w:spacing w:line="360" w:lineRule="auto"/>
        <w:ind w:firstLine="369" w:firstLineChars="176"/>
        <w:rPr>
          <w:rFonts w:ascii="宋体" w:hAnsi="宋体" w:cs="宋体"/>
          <w:kern w:val="0"/>
          <w:szCs w:val="21"/>
        </w:rPr>
      </w:pPr>
      <w:r>
        <w:rPr>
          <w:rFonts w:hint="eastAsia" w:ascii="宋体" w:hAnsi="宋体" w:cs="宋体"/>
          <w:kern w:val="0"/>
          <w:szCs w:val="21"/>
        </w:rPr>
        <w:t>（1）审查、评价磋商响应文件是否符合采购文件的商务、技术等实质性要求。</w:t>
      </w:r>
    </w:p>
    <w:p>
      <w:pPr>
        <w:adjustRightInd w:val="0"/>
        <w:snapToGrid w:val="0"/>
        <w:spacing w:line="360" w:lineRule="auto"/>
        <w:ind w:firstLine="369" w:firstLineChars="176"/>
        <w:rPr>
          <w:rFonts w:ascii="宋体" w:hAnsi="宋体" w:cs="宋体"/>
          <w:kern w:val="0"/>
          <w:szCs w:val="21"/>
        </w:rPr>
      </w:pPr>
      <w:r>
        <w:rPr>
          <w:rFonts w:hint="eastAsia" w:ascii="宋体" w:hAnsi="宋体" w:cs="宋体"/>
          <w:kern w:val="0"/>
          <w:szCs w:val="21"/>
        </w:rPr>
        <w:t>（2）要求</w:t>
      </w:r>
      <w:r>
        <w:rPr>
          <w:rFonts w:hint="eastAsia" w:ascii="宋体" w:hAnsi="宋体" w:cs="宋体"/>
          <w:szCs w:val="21"/>
        </w:rPr>
        <w:t>磋商响应</w:t>
      </w:r>
      <w:r>
        <w:rPr>
          <w:rFonts w:hint="eastAsia" w:ascii="宋体" w:hAnsi="宋体" w:cs="宋体"/>
          <w:kern w:val="0"/>
          <w:szCs w:val="21"/>
        </w:rPr>
        <w:t>人对磋商响应文件有关事项作出澄清或者说明。</w:t>
      </w:r>
    </w:p>
    <w:p>
      <w:pPr>
        <w:adjustRightInd w:val="0"/>
        <w:snapToGrid w:val="0"/>
        <w:spacing w:line="360" w:lineRule="auto"/>
        <w:ind w:firstLine="369" w:firstLineChars="176"/>
        <w:rPr>
          <w:rFonts w:ascii="宋体" w:hAnsi="宋体" w:cs="宋体"/>
          <w:kern w:val="0"/>
          <w:szCs w:val="21"/>
        </w:rPr>
      </w:pPr>
      <w:r>
        <w:rPr>
          <w:rFonts w:hint="eastAsia" w:ascii="宋体" w:hAnsi="宋体" w:cs="宋体"/>
          <w:kern w:val="0"/>
          <w:szCs w:val="21"/>
        </w:rPr>
        <w:t>（3）对磋商响应文件进行比较和评价。</w:t>
      </w:r>
    </w:p>
    <w:p>
      <w:pPr>
        <w:adjustRightInd w:val="0"/>
        <w:snapToGrid w:val="0"/>
        <w:spacing w:line="360" w:lineRule="auto"/>
        <w:ind w:firstLine="369" w:firstLineChars="176"/>
        <w:rPr>
          <w:rFonts w:ascii="宋体" w:hAnsi="宋体" w:cs="宋体"/>
          <w:kern w:val="0"/>
          <w:szCs w:val="21"/>
        </w:rPr>
      </w:pPr>
      <w:r>
        <w:rPr>
          <w:rFonts w:hint="eastAsia" w:ascii="宋体" w:hAnsi="宋体" w:cs="宋体"/>
          <w:kern w:val="0"/>
          <w:szCs w:val="21"/>
        </w:rPr>
        <w:t>（4）确定成交候选人名单，以及根据采购人委托直接确定成交人。</w:t>
      </w:r>
    </w:p>
    <w:p>
      <w:pPr>
        <w:pStyle w:val="25"/>
        <w:adjustRightInd w:val="0"/>
        <w:snapToGrid w:val="0"/>
        <w:spacing w:line="360" w:lineRule="auto"/>
        <w:ind w:firstLine="420" w:firstLineChars="200"/>
        <w:rPr>
          <w:rFonts w:ascii="宋体" w:hAnsi="宋体" w:eastAsia="宋体"/>
          <w:lang w:val="zh-CN"/>
        </w:rPr>
      </w:pPr>
      <w:r>
        <w:rPr>
          <w:rFonts w:hint="eastAsia" w:ascii="宋体" w:hAnsi="宋体" w:eastAsia="宋体"/>
          <w:kern w:val="0"/>
        </w:rPr>
        <w:t>（5）向采购人、采购代理机构或者有关部门报告磋商中发现的违法行为。</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16.3磋商原则</w:t>
      </w:r>
    </w:p>
    <w:p>
      <w:pPr>
        <w:adjustRightInd w:val="0"/>
        <w:snapToGrid w:val="0"/>
        <w:spacing w:line="360" w:lineRule="auto"/>
        <w:ind w:firstLine="371" w:firstLineChars="177"/>
        <w:rPr>
          <w:rFonts w:ascii="宋体" w:hAnsi="宋体" w:cs="宋体"/>
          <w:szCs w:val="21"/>
        </w:rPr>
      </w:pPr>
      <w:r>
        <w:rPr>
          <w:rFonts w:hint="eastAsia" w:ascii="宋体" w:hAnsi="宋体" w:cs="宋体"/>
          <w:szCs w:val="21"/>
        </w:rPr>
        <w:t>16.3.1磋商原则：</w:t>
      </w:r>
      <w:r>
        <w:rPr>
          <w:rFonts w:hint="eastAsia" w:ascii="宋体" w:hAnsi="宋体" w:cs="宋体"/>
          <w:kern w:val="0"/>
          <w:szCs w:val="21"/>
        </w:rPr>
        <w:t>磋商小组</w:t>
      </w:r>
      <w:r>
        <w:rPr>
          <w:rFonts w:hint="eastAsia" w:ascii="宋体" w:hAnsi="宋体" w:cs="宋体"/>
          <w:szCs w:val="21"/>
        </w:rPr>
        <w:t>按照客观、公正、审慎、择优的原则，根据采购文件规定的磋商程序、磋商方法和磋商标准进行独立评审。</w:t>
      </w:r>
    </w:p>
    <w:p>
      <w:pPr>
        <w:adjustRightInd w:val="0"/>
        <w:snapToGrid w:val="0"/>
        <w:spacing w:line="360" w:lineRule="auto"/>
        <w:ind w:firstLine="371" w:firstLineChars="177"/>
        <w:rPr>
          <w:rFonts w:ascii="宋体" w:hAnsi="宋体" w:cs="宋体"/>
          <w:szCs w:val="21"/>
        </w:rPr>
      </w:pPr>
      <w:r>
        <w:rPr>
          <w:rFonts w:hint="eastAsia" w:ascii="宋体" w:hAnsi="宋体" w:cs="宋体"/>
          <w:szCs w:val="21"/>
        </w:rPr>
        <w:t>16.3.2磋商工作将依据采购</w:t>
      </w:r>
      <w:r>
        <w:rPr>
          <w:rFonts w:hint="eastAsia" w:ascii="宋体" w:hAnsi="宋体" w:cs="宋体"/>
          <w:kern w:val="0"/>
          <w:szCs w:val="21"/>
        </w:rPr>
        <w:t>文件、磋商响应文件及采购文件中事先已列明的内容进行（如现场方案讲解、演示等）。</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16.4磋商意见的争议处理</w:t>
      </w:r>
    </w:p>
    <w:p>
      <w:pPr>
        <w:adjustRightInd w:val="0"/>
        <w:snapToGrid w:val="0"/>
        <w:spacing w:line="360" w:lineRule="auto"/>
        <w:ind w:firstLine="371" w:firstLineChars="177"/>
        <w:rPr>
          <w:rFonts w:ascii="宋体" w:hAnsi="宋体" w:cs="宋体"/>
          <w:bCs/>
          <w:szCs w:val="21"/>
        </w:rPr>
      </w:pPr>
      <w:r>
        <w:rPr>
          <w:rFonts w:hint="eastAsia" w:ascii="宋体" w:hAnsi="宋体" w:cs="宋体"/>
          <w:szCs w:val="21"/>
        </w:rPr>
        <w:t>16.4</w:t>
      </w:r>
      <w:r>
        <w:rPr>
          <w:rFonts w:hint="eastAsia" w:ascii="宋体" w:hAnsi="宋体" w:cs="宋体"/>
          <w:bCs/>
          <w:szCs w:val="21"/>
        </w:rPr>
        <w:t>.1磋商小组成员对需要共同认定的事项存在争议的，按照少数服从多数的原则作出结论。持不同意见的磋商小组成员应当在评审报告上签署不同意见及理由，否则视为同意评审报告。</w:t>
      </w:r>
    </w:p>
    <w:p>
      <w:pPr>
        <w:pStyle w:val="4"/>
        <w:numPr>
          <w:ilvl w:val="0"/>
          <w:numId w:val="0"/>
        </w:numPr>
        <w:adjustRightInd w:val="0"/>
        <w:snapToGrid w:val="0"/>
        <w:spacing w:before="0" w:after="0"/>
        <w:ind w:left="720" w:hanging="720"/>
        <w:jc w:val="both"/>
        <w:rPr>
          <w:rFonts w:ascii="宋体" w:hAnsi="宋体" w:eastAsia="宋体" w:cs="宋体"/>
          <w:sz w:val="21"/>
          <w:szCs w:val="21"/>
        </w:rPr>
      </w:pPr>
      <w:bookmarkStart w:id="68" w:name="_Toc18559"/>
      <w:bookmarkStart w:id="69" w:name="_Toc11216"/>
      <w:bookmarkStart w:id="70" w:name="_Toc33194395"/>
      <w:bookmarkStart w:id="71" w:name="_Toc24550044"/>
      <w:bookmarkStart w:id="72" w:name="_Toc20694"/>
      <w:r>
        <w:rPr>
          <w:rFonts w:hint="eastAsia" w:ascii="宋体" w:hAnsi="宋体" w:eastAsia="宋体" w:cs="宋体"/>
          <w:sz w:val="21"/>
          <w:szCs w:val="21"/>
        </w:rPr>
        <w:t>16.5磋商小组纪律</w:t>
      </w:r>
    </w:p>
    <w:p>
      <w:pPr>
        <w:adjustRightInd w:val="0"/>
        <w:snapToGrid w:val="0"/>
        <w:spacing w:line="360" w:lineRule="auto"/>
        <w:ind w:firstLine="371" w:firstLineChars="177"/>
        <w:rPr>
          <w:rFonts w:ascii="宋体" w:hAnsi="宋体" w:cs="宋体"/>
          <w:kern w:val="0"/>
          <w:szCs w:val="21"/>
        </w:rPr>
      </w:pPr>
      <w:r>
        <w:rPr>
          <w:rFonts w:hint="eastAsia" w:ascii="宋体" w:hAnsi="宋体" w:cs="宋体"/>
          <w:szCs w:val="21"/>
        </w:rPr>
        <w:t>16.5.1磋商小组成员必须严格遵守保密规定，不得泄露磋商的有关情况</w:t>
      </w:r>
      <w:r>
        <w:rPr>
          <w:rFonts w:hint="eastAsia" w:ascii="宋体" w:hAnsi="宋体" w:cs="宋体"/>
          <w:kern w:val="0"/>
          <w:szCs w:val="21"/>
        </w:rPr>
        <w:t>，任何单位和个人不得干扰、影响评标的正常进行，磋商小组成员不得私下与</w:t>
      </w:r>
      <w:r>
        <w:rPr>
          <w:rFonts w:hint="eastAsia" w:ascii="宋体" w:hAnsi="宋体" w:cs="宋体"/>
          <w:szCs w:val="21"/>
        </w:rPr>
        <w:t>磋商响应</w:t>
      </w:r>
      <w:r>
        <w:rPr>
          <w:rFonts w:hint="eastAsia" w:ascii="宋体" w:hAnsi="宋体" w:cs="宋体"/>
          <w:kern w:val="0"/>
          <w:szCs w:val="21"/>
        </w:rPr>
        <w:t>供应商接触，不得出现浙江省政府采购活动现场组织管理办法中规定的其他禁止行为。</w:t>
      </w:r>
    </w:p>
    <w:p>
      <w:pPr>
        <w:pStyle w:val="3"/>
        <w:numPr>
          <w:ilvl w:val="0"/>
          <w:numId w:val="0"/>
        </w:numPr>
        <w:adjustRightInd w:val="0"/>
        <w:snapToGrid w:val="0"/>
        <w:rPr>
          <w:rFonts w:ascii="宋体" w:hAnsi="宋体" w:eastAsia="宋体" w:cs="宋体"/>
          <w:szCs w:val="21"/>
        </w:rPr>
      </w:pPr>
      <w:r>
        <w:rPr>
          <w:rFonts w:hint="eastAsia" w:ascii="宋体" w:hAnsi="宋体" w:eastAsia="宋体" w:cs="宋体"/>
          <w:szCs w:val="21"/>
        </w:rPr>
        <w:t>16.6磋商流程及内容</w:t>
      </w:r>
      <w:bookmarkEnd w:id="68"/>
      <w:bookmarkEnd w:id="69"/>
      <w:bookmarkEnd w:id="70"/>
      <w:bookmarkEnd w:id="71"/>
      <w:bookmarkEnd w:id="72"/>
    </w:p>
    <w:p>
      <w:pPr>
        <w:adjustRightInd w:val="0"/>
        <w:snapToGrid w:val="0"/>
        <w:spacing w:line="360" w:lineRule="auto"/>
        <w:ind w:firstLine="371" w:firstLineChars="176"/>
        <w:rPr>
          <w:rFonts w:ascii="宋体" w:hAnsi="宋体" w:cs="宋体"/>
          <w:szCs w:val="21"/>
        </w:rPr>
      </w:pPr>
      <w:r>
        <w:rPr>
          <w:rFonts w:hint="eastAsia" w:ascii="宋体" w:hAnsi="宋体" w:cs="宋体"/>
          <w:b/>
          <w:kern w:val="0"/>
          <w:szCs w:val="21"/>
        </w:rPr>
        <w:t>本项目具体的磋商事务由磋商小组负责，磋商流程及内容如下：</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16.6.1 磋商前准备</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16.6</w:t>
      </w:r>
      <w:r>
        <w:rPr>
          <w:rFonts w:hint="eastAsia" w:ascii="宋体" w:hAnsi="宋体" w:cs="宋体"/>
          <w:kern w:val="0"/>
          <w:szCs w:val="21"/>
        </w:rPr>
        <w:t>.1.1由磋商小组成员推选磋商小组组长，采购人代表不得担任磋商小组组长。</w:t>
      </w:r>
    </w:p>
    <w:p>
      <w:pPr>
        <w:adjustRightInd w:val="0"/>
        <w:snapToGrid w:val="0"/>
        <w:spacing w:line="360" w:lineRule="auto"/>
        <w:ind w:firstLine="371" w:firstLineChars="177"/>
        <w:rPr>
          <w:rFonts w:ascii="宋体" w:hAnsi="宋体" w:cs="宋体"/>
          <w:b/>
          <w:kern w:val="0"/>
          <w:szCs w:val="21"/>
        </w:rPr>
      </w:pPr>
      <w:r>
        <w:rPr>
          <w:rFonts w:hint="eastAsia" w:ascii="宋体" w:hAnsi="宋体" w:cs="宋体"/>
          <w:szCs w:val="21"/>
        </w:rPr>
        <w:t>16.6</w:t>
      </w:r>
      <w:r>
        <w:rPr>
          <w:rFonts w:hint="eastAsia" w:ascii="宋体" w:hAnsi="宋体" w:cs="宋体"/>
          <w:kern w:val="0"/>
          <w:szCs w:val="21"/>
        </w:rPr>
        <w:t>.1.2由磋商小组组长召集所有磋商小组成员阅读采购文件及相关补充、质疑、答复文件、项目书面说明等材料，熟悉采购项目基本情况、采购需求、合同主要条款、</w:t>
      </w:r>
      <w:r>
        <w:rPr>
          <w:rFonts w:hint="eastAsia" w:ascii="宋体" w:hAnsi="宋体" w:cs="宋体"/>
          <w:szCs w:val="21"/>
        </w:rPr>
        <w:t>磋商响应</w:t>
      </w:r>
      <w:r>
        <w:rPr>
          <w:rFonts w:hint="eastAsia" w:ascii="宋体" w:hAnsi="宋体" w:cs="宋体"/>
          <w:kern w:val="0"/>
          <w:szCs w:val="21"/>
        </w:rPr>
        <w:t>文件无效情形、磋商办法、磋商标准，以及其他与磋商有关的内容。</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16.6.2响应文件的符合性审查</w:t>
      </w:r>
    </w:p>
    <w:p>
      <w:pPr>
        <w:adjustRightInd w:val="0"/>
        <w:snapToGrid w:val="0"/>
        <w:spacing w:line="360" w:lineRule="auto"/>
        <w:ind w:firstLine="373" w:firstLineChars="177"/>
        <w:rPr>
          <w:rFonts w:ascii="宋体" w:hAnsi="宋体" w:cs="宋体"/>
          <w:b/>
          <w:kern w:val="0"/>
          <w:szCs w:val="21"/>
        </w:rPr>
      </w:pPr>
      <w:r>
        <w:rPr>
          <w:rFonts w:hint="eastAsia" w:ascii="宋体" w:hAnsi="宋体" w:cs="宋体"/>
          <w:b/>
          <w:kern w:val="0"/>
          <w:szCs w:val="21"/>
        </w:rPr>
        <w:t>对所有通过资格审查的磋商响应供应商的响应文件进行审查、评价响应文件是否符合采购文件的商务、技术、服务等实质性要求。</w:t>
      </w:r>
    </w:p>
    <w:p>
      <w:pPr>
        <w:adjustRightInd w:val="0"/>
        <w:snapToGrid w:val="0"/>
        <w:spacing w:line="360" w:lineRule="auto"/>
        <w:ind w:firstLine="371" w:firstLineChars="177"/>
        <w:rPr>
          <w:rFonts w:ascii="宋体" w:hAnsi="宋体" w:cs="宋体"/>
          <w:szCs w:val="21"/>
        </w:rPr>
      </w:pPr>
      <w:r>
        <w:rPr>
          <w:rFonts w:hint="eastAsia" w:ascii="宋体" w:hAnsi="宋体" w:cs="宋体"/>
          <w:szCs w:val="21"/>
        </w:rPr>
        <w:t>16.6.2.1磋商小组首先对所有通过资格审查的响应文件进行符合性审查，审查每份响应文件是否实质上响应了采购文件的要求（实质性响应的文件是指响应文件符合采购文件规定的实质性内容、条件和规定）。</w:t>
      </w:r>
    </w:p>
    <w:p>
      <w:pPr>
        <w:pStyle w:val="4"/>
        <w:numPr>
          <w:ilvl w:val="0"/>
          <w:numId w:val="0"/>
        </w:numPr>
        <w:adjustRightInd w:val="0"/>
        <w:snapToGrid w:val="0"/>
        <w:spacing w:before="0" w:after="0"/>
        <w:jc w:val="both"/>
        <w:rPr>
          <w:rFonts w:ascii="宋体" w:hAnsi="宋体" w:eastAsia="宋体" w:cs="宋体"/>
          <w:sz w:val="21"/>
          <w:szCs w:val="21"/>
        </w:rPr>
      </w:pPr>
      <w:r>
        <w:rPr>
          <w:rFonts w:hint="eastAsia" w:ascii="宋体" w:hAnsi="宋体" w:eastAsia="宋体" w:cs="宋体"/>
          <w:sz w:val="21"/>
          <w:szCs w:val="21"/>
        </w:rPr>
        <w:t>16.6.3 响应文件的澄清、说明或补正</w:t>
      </w:r>
    </w:p>
    <w:p>
      <w:pPr>
        <w:adjustRightInd w:val="0"/>
        <w:snapToGrid w:val="0"/>
        <w:spacing w:line="360" w:lineRule="auto"/>
        <w:ind w:firstLine="371" w:firstLineChars="177"/>
        <w:rPr>
          <w:rFonts w:ascii="宋体" w:hAnsi="宋体" w:cs="宋体"/>
          <w:kern w:val="0"/>
          <w:szCs w:val="21"/>
        </w:rPr>
      </w:pPr>
      <w:r>
        <w:rPr>
          <w:rFonts w:hint="eastAsia" w:ascii="宋体" w:hAnsi="宋体" w:cs="宋体"/>
          <w:szCs w:val="21"/>
        </w:rPr>
        <w:t>16.6</w:t>
      </w:r>
      <w:r>
        <w:rPr>
          <w:rFonts w:hint="eastAsia" w:ascii="宋体" w:hAnsi="宋体" w:cs="宋体"/>
          <w:kern w:val="0"/>
          <w:szCs w:val="21"/>
        </w:rPr>
        <w:t>.3.1对于响应文件中含义不明确、同类问题表述不一致或者有明显文字和计算错误的内容，将以书面形式（或通过“政府采购云平台”在线询标）的形式要求</w:t>
      </w:r>
      <w:r>
        <w:rPr>
          <w:rFonts w:hint="eastAsia" w:ascii="宋体" w:hAnsi="宋体" w:cs="宋体"/>
          <w:szCs w:val="21"/>
        </w:rPr>
        <w:t>磋商响应</w:t>
      </w:r>
      <w:r>
        <w:rPr>
          <w:rFonts w:hint="eastAsia" w:ascii="宋体" w:hAnsi="宋体" w:cs="宋体"/>
          <w:kern w:val="0"/>
          <w:szCs w:val="21"/>
        </w:rPr>
        <w:t>供应商在规定的时间内作出必要的澄清、说明或者补正，</w:t>
      </w:r>
      <w:r>
        <w:rPr>
          <w:rFonts w:hint="eastAsia" w:ascii="宋体" w:hAnsi="宋体" w:cs="宋体"/>
          <w:szCs w:val="21"/>
        </w:rPr>
        <w:t>磋商响应</w:t>
      </w:r>
      <w:r>
        <w:rPr>
          <w:rFonts w:hint="eastAsia" w:ascii="宋体" w:hAnsi="宋体" w:cs="宋体"/>
          <w:kern w:val="0"/>
          <w:szCs w:val="21"/>
        </w:rPr>
        <w:t>供应商澄清、说明或补正时间为30分钟。</w:t>
      </w:r>
    </w:p>
    <w:p>
      <w:pPr>
        <w:adjustRightInd w:val="0"/>
        <w:snapToGrid w:val="0"/>
        <w:spacing w:line="360" w:lineRule="auto"/>
        <w:ind w:firstLine="371" w:firstLineChars="177"/>
        <w:rPr>
          <w:rFonts w:ascii="宋体" w:hAnsi="宋体" w:cs="宋体"/>
          <w:kern w:val="0"/>
          <w:szCs w:val="21"/>
        </w:rPr>
      </w:pPr>
      <w:r>
        <w:rPr>
          <w:rFonts w:hint="eastAsia" w:ascii="宋体" w:hAnsi="宋体" w:cs="宋体"/>
          <w:szCs w:val="21"/>
        </w:rPr>
        <w:t>16.6</w:t>
      </w:r>
      <w:r>
        <w:rPr>
          <w:rFonts w:hint="eastAsia" w:ascii="宋体" w:hAnsi="宋体" w:cs="宋体"/>
          <w:kern w:val="0"/>
          <w:szCs w:val="21"/>
        </w:rPr>
        <w:t>.3.2</w:t>
      </w:r>
      <w:r>
        <w:rPr>
          <w:rFonts w:hint="eastAsia" w:ascii="宋体" w:hAnsi="宋体" w:cs="宋体"/>
          <w:szCs w:val="21"/>
        </w:rPr>
        <w:t>磋商响应</w:t>
      </w:r>
      <w:r>
        <w:rPr>
          <w:rFonts w:hint="eastAsia" w:ascii="宋体" w:hAnsi="宋体" w:cs="宋体"/>
          <w:kern w:val="0"/>
          <w:szCs w:val="21"/>
        </w:rPr>
        <w:t>供应商的澄清、说明或者补正应当采用书面（或通过“政府采购云平台”在线答复）形式提交，并加盖公章。</w:t>
      </w:r>
      <w:r>
        <w:rPr>
          <w:rFonts w:hint="eastAsia" w:ascii="宋体" w:hAnsi="宋体" w:cs="宋体"/>
          <w:szCs w:val="21"/>
        </w:rPr>
        <w:t>磋商响应</w:t>
      </w:r>
      <w:r>
        <w:rPr>
          <w:rFonts w:hint="eastAsia" w:ascii="宋体" w:hAnsi="宋体" w:cs="宋体"/>
          <w:kern w:val="0"/>
          <w:szCs w:val="21"/>
        </w:rPr>
        <w:t>供应商的澄清、说明或者补正不得超出</w:t>
      </w:r>
      <w:r>
        <w:rPr>
          <w:rFonts w:hint="eastAsia" w:ascii="宋体" w:hAnsi="宋体" w:cs="宋体"/>
          <w:szCs w:val="21"/>
        </w:rPr>
        <w:t>磋商响应</w:t>
      </w:r>
      <w:r>
        <w:rPr>
          <w:rFonts w:hint="eastAsia" w:ascii="宋体" w:hAnsi="宋体" w:cs="宋体"/>
          <w:kern w:val="0"/>
          <w:szCs w:val="21"/>
        </w:rPr>
        <w:t>文件的范围或者改变</w:t>
      </w:r>
      <w:r>
        <w:rPr>
          <w:rFonts w:hint="eastAsia" w:ascii="宋体" w:hAnsi="宋体" w:cs="宋体"/>
          <w:szCs w:val="21"/>
        </w:rPr>
        <w:t>磋商响应</w:t>
      </w:r>
      <w:r>
        <w:rPr>
          <w:rFonts w:hint="eastAsia" w:ascii="宋体" w:hAnsi="宋体" w:cs="宋体"/>
          <w:kern w:val="0"/>
          <w:szCs w:val="21"/>
        </w:rPr>
        <w:t>文件的实质性内容。</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16.6.4 磋商响应文件的错误修正</w:t>
      </w:r>
    </w:p>
    <w:p>
      <w:pPr>
        <w:adjustRightInd w:val="0"/>
        <w:snapToGrid w:val="0"/>
        <w:spacing w:line="360" w:lineRule="auto"/>
        <w:ind w:firstLine="369" w:firstLineChars="175"/>
        <w:rPr>
          <w:rFonts w:ascii="宋体" w:hAnsi="宋体" w:cs="宋体"/>
          <w:b/>
          <w:bCs/>
          <w:kern w:val="0"/>
          <w:szCs w:val="21"/>
        </w:rPr>
      </w:pPr>
      <w:r>
        <w:rPr>
          <w:rFonts w:hint="eastAsia" w:ascii="宋体" w:hAnsi="宋体" w:cs="宋体"/>
          <w:b/>
          <w:bCs/>
          <w:szCs w:val="21"/>
        </w:rPr>
        <w:t>16.6</w:t>
      </w:r>
      <w:r>
        <w:rPr>
          <w:rFonts w:hint="eastAsia" w:ascii="宋体" w:hAnsi="宋体" w:cs="宋体"/>
          <w:b/>
          <w:bCs/>
          <w:kern w:val="0"/>
          <w:szCs w:val="21"/>
        </w:rPr>
        <w:t>.4.1《磋商响应文件》如果出现计算或表达上的错误，修正错误的原则如下：</w:t>
      </w:r>
    </w:p>
    <w:p>
      <w:pPr>
        <w:adjustRightInd w:val="0"/>
        <w:snapToGrid w:val="0"/>
        <w:spacing w:line="360" w:lineRule="auto"/>
        <w:ind w:firstLine="367" w:firstLineChars="175"/>
        <w:rPr>
          <w:rFonts w:ascii="宋体" w:hAnsi="宋体" w:cs="宋体"/>
          <w:kern w:val="0"/>
          <w:szCs w:val="21"/>
        </w:rPr>
      </w:pPr>
      <w:r>
        <w:rPr>
          <w:rFonts w:hint="eastAsia" w:ascii="宋体" w:hAnsi="宋体" w:cs="宋体"/>
          <w:kern w:val="0"/>
          <w:szCs w:val="21"/>
        </w:rPr>
        <w:t>（1）</w:t>
      </w:r>
      <w:r>
        <w:rPr>
          <w:rFonts w:hint="eastAsia" w:ascii="宋体" w:hAnsi="宋体" w:cs="宋体"/>
          <w:szCs w:val="21"/>
        </w:rPr>
        <w:t>磋商响应文件</w:t>
      </w:r>
      <w:r>
        <w:rPr>
          <w:rFonts w:hint="eastAsia" w:ascii="宋体" w:hAnsi="宋体" w:cs="宋体"/>
          <w:kern w:val="0"/>
          <w:szCs w:val="21"/>
        </w:rPr>
        <w:t>中开标一览表（报价表）内容与</w:t>
      </w:r>
      <w:r>
        <w:rPr>
          <w:rFonts w:hint="eastAsia" w:ascii="宋体" w:hAnsi="宋体" w:cs="宋体"/>
          <w:szCs w:val="21"/>
        </w:rPr>
        <w:t>磋商响应文件</w:t>
      </w:r>
      <w:r>
        <w:rPr>
          <w:rFonts w:hint="eastAsia" w:ascii="宋体" w:hAnsi="宋体" w:cs="宋体"/>
          <w:kern w:val="0"/>
          <w:szCs w:val="21"/>
        </w:rPr>
        <w:t>中相应内容不一致的，以开标一览表（报价表）为准。</w:t>
      </w:r>
    </w:p>
    <w:p>
      <w:pPr>
        <w:adjustRightInd w:val="0"/>
        <w:snapToGrid w:val="0"/>
        <w:spacing w:line="360" w:lineRule="auto"/>
        <w:ind w:firstLine="367" w:firstLineChars="175"/>
        <w:rPr>
          <w:rFonts w:ascii="宋体" w:hAnsi="宋体" w:cs="宋体"/>
          <w:kern w:val="0"/>
          <w:szCs w:val="21"/>
        </w:rPr>
      </w:pPr>
      <w:r>
        <w:rPr>
          <w:rFonts w:hint="eastAsia" w:ascii="宋体" w:hAnsi="宋体" w:cs="宋体"/>
          <w:kern w:val="0"/>
          <w:szCs w:val="21"/>
        </w:rPr>
        <w:t>（2）大写金额和小写金额不一致的，以大写金额为准。</w:t>
      </w:r>
    </w:p>
    <w:p>
      <w:pPr>
        <w:adjustRightInd w:val="0"/>
        <w:snapToGrid w:val="0"/>
        <w:spacing w:line="360" w:lineRule="auto"/>
        <w:ind w:firstLine="367" w:firstLineChars="175"/>
        <w:rPr>
          <w:rFonts w:ascii="宋体" w:hAnsi="宋体" w:cs="宋体"/>
          <w:kern w:val="0"/>
          <w:szCs w:val="21"/>
        </w:rPr>
      </w:pPr>
      <w:r>
        <w:rPr>
          <w:rFonts w:hint="eastAsia" w:ascii="宋体" w:hAnsi="宋体" w:cs="宋体"/>
          <w:kern w:val="0"/>
          <w:szCs w:val="21"/>
        </w:rPr>
        <w:t>（3）单价金额小数点或者百分比有明显错位的，应以开标一览表的总价为准，并修改单价。</w:t>
      </w:r>
    </w:p>
    <w:p>
      <w:pPr>
        <w:adjustRightInd w:val="0"/>
        <w:snapToGrid w:val="0"/>
        <w:spacing w:line="360" w:lineRule="auto"/>
        <w:ind w:firstLine="367" w:firstLineChars="175"/>
        <w:rPr>
          <w:rFonts w:ascii="宋体" w:hAnsi="宋体" w:cs="宋体"/>
          <w:kern w:val="0"/>
          <w:szCs w:val="21"/>
        </w:rPr>
      </w:pPr>
      <w:r>
        <w:rPr>
          <w:rFonts w:hint="eastAsia" w:ascii="宋体" w:hAnsi="宋体" w:cs="宋体"/>
          <w:kern w:val="0"/>
          <w:szCs w:val="21"/>
        </w:rPr>
        <w:t>（4）总价金额与按单价汇总金额不一致的，以单价金额计算结果为准。</w:t>
      </w:r>
    </w:p>
    <w:p>
      <w:pPr>
        <w:adjustRightInd w:val="0"/>
        <w:snapToGrid w:val="0"/>
        <w:spacing w:line="360" w:lineRule="auto"/>
        <w:ind w:firstLine="367" w:firstLineChars="175"/>
        <w:rPr>
          <w:rFonts w:ascii="宋体" w:hAnsi="宋体" w:cs="宋体"/>
          <w:kern w:val="0"/>
          <w:szCs w:val="21"/>
        </w:rPr>
      </w:pPr>
      <w:r>
        <w:rPr>
          <w:rFonts w:hint="eastAsia" w:ascii="宋体" w:hAnsi="宋体" w:cs="宋体"/>
          <w:szCs w:val="21"/>
        </w:rPr>
        <w:t>16.6</w:t>
      </w:r>
      <w:r>
        <w:rPr>
          <w:rFonts w:hint="eastAsia" w:ascii="宋体" w:hAnsi="宋体" w:cs="宋体"/>
          <w:kern w:val="0"/>
          <w:szCs w:val="21"/>
        </w:rPr>
        <w:t>.4.2对不同文字文本《</w:t>
      </w:r>
      <w:r>
        <w:rPr>
          <w:rFonts w:hint="eastAsia" w:ascii="宋体" w:hAnsi="宋体" w:cs="宋体"/>
          <w:szCs w:val="21"/>
        </w:rPr>
        <w:t>磋商响应文件</w:t>
      </w:r>
      <w:r>
        <w:rPr>
          <w:rFonts w:hint="eastAsia" w:ascii="宋体" w:hAnsi="宋体" w:cs="宋体"/>
          <w:kern w:val="0"/>
          <w:szCs w:val="21"/>
        </w:rPr>
        <w:t>》的解释发生异议的，以中文文本为准。</w:t>
      </w:r>
    </w:p>
    <w:p>
      <w:pPr>
        <w:pStyle w:val="119"/>
        <w:autoSpaceDE/>
        <w:snapToGrid w:val="0"/>
        <w:spacing w:before="0" w:line="360" w:lineRule="auto"/>
        <w:ind w:left="0" w:firstLine="0"/>
        <w:rPr>
          <w:rFonts w:ascii="宋体" w:hAnsi="宋体" w:eastAsia="宋体" w:cs="宋体"/>
          <w:b/>
          <w:bCs/>
          <w:kern w:val="2"/>
          <w:sz w:val="21"/>
          <w:szCs w:val="21"/>
        </w:rPr>
      </w:pPr>
      <w:r>
        <w:rPr>
          <w:rFonts w:hint="eastAsia" w:ascii="宋体" w:hAnsi="宋体" w:eastAsia="宋体" w:cs="宋体"/>
          <w:b/>
          <w:bCs/>
          <w:sz w:val="21"/>
          <w:szCs w:val="21"/>
        </w:rPr>
        <w:t>16.7 磋商响应文件</w:t>
      </w:r>
      <w:r>
        <w:rPr>
          <w:rFonts w:hint="eastAsia" w:ascii="宋体" w:hAnsi="宋体" w:eastAsia="宋体" w:cs="宋体"/>
          <w:b/>
          <w:bCs/>
          <w:kern w:val="2"/>
          <w:sz w:val="21"/>
          <w:szCs w:val="21"/>
        </w:rPr>
        <w:t>有下列情况之一者将视为无效：</w:t>
      </w:r>
    </w:p>
    <w:p>
      <w:pPr>
        <w:adjustRightInd w:val="0"/>
        <w:snapToGrid w:val="0"/>
        <w:spacing w:line="360" w:lineRule="auto"/>
        <w:ind w:firstLine="371" w:firstLineChars="176"/>
        <w:rPr>
          <w:rFonts w:ascii="宋体" w:hAnsi="宋体" w:cs="宋体"/>
          <w:b/>
          <w:szCs w:val="21"/>
        </w:rPr>
      </w:pPr>
      <w:bookmarkStart w:id="73" w:name="_Hlk33211013"/>
      <w:r>
        <w:rPr>
          <w:rFonts w:hint="eastAsia" w:ascii="宋体" w:hAnsi="宋体" w:cs="宋体"/>
          <w:b/>
          <w:bCs/>
          <w:szCs w:val="21"/>
        </w:rPr>
        <w:t>16.7</w:t>
      </w:r>
      <w:r>
        <w:rPr>
          <w:rFonts w:hint="eastAsia" w:ascii="宋体" w:hAnsi="宋体" w:cs="宋体"/>
          <w:b/>
          <w:bCs/>
          <w:kern w:val="0"/>
          <w:szCs w:val="21"/>
        </w:rPr>
        <w:t>.1商务、技术文件符合性审查中，存在下列情形之一的，经磋商小组认定后作无效标处</w:t>
      </w:r>
      <w:r>
        <w:rPr>
          <w:rFonts w:hint="eastAsia" w:ascii="宋体" w:hAnsi="宋体" w:cs="宋体"/>
          <w:b/>
          <w:szCs w:val="21"/>
        </w:rPr>
        <w:t>理：</w:t>
      </w:r>
    </w:p>
    <w:p>
      <w:pPr>
        <w:spacing w:line="360" w:lineRule="auto"/>
        <w:ind w:firstLine="422" w:firstLineChars="200"/>
        <w:rPr>
          <w:rFonts w:ascii="宋体" w:hAnsi="宋体" w:cs="宋体"/>
          <w:b/>
          <w:szCs w:val="21"/>
        </w:rPr>
      </w:pPr>
      <w:bookmarkStart w:id="74" w:name="_Toc33194396"/>
      <w:bookmarkStart w:id="75" w:name="_Toc22573"/>
      <w:bookmarkStart w:id="76" w:name="_Toc32019"/>
      <w:bookmarkStart w:id="77" w:name="_Toc8287"/>
      <w:r>
        <w:rPr>
          <w:rFonts w:hint="eastAsia" w:ascii="宋体" w:hAnsi="宋体" w:cs="宋体"/>
          <w:b/>
          <w:szCs w:val="21"/>
        </w:rPr>
        <w:t>（1）磋商响应文件未有效授权，授权委托书等填写不完整</w:t>
      </w:r>
      <w:bookmarkEnd w:id="74"/>
      <w:bookmarkEnd w:id="75"/>
      <w:bookmarkEnd w:id="76"/>
      <w:bookmarkEnd w:id="77"/>
      <w:r>
        <w:rPr>
          <w:rFonts w:hint="eastAsia" w:ascii="宋体" w:hAnsi="宋体" w:cs="宋体"/>
          <w:b/>
          <w:szCs w:val="21"/>
        </w:rPr>
        <w:t>。</w:t>
      </w:r>
    </w:p>
    <w:p>
      <w:pPr>
        <w:spacing w:line="360" w:lineRule="auto"/>
        <w:ind w:firstLine="422" w:firstLineChars="200"/>
        <w:rPr>
          <w:rFonts w:ascii="宋体" w:hAnsi="宋体" w:cs="宋体"/>
          <w:b/>
          <w:szCs w:val="21"/>
        </w:rPr>
      </w:pPr>
      <w:r>
        <w:rPr>
          <w:rFonts w:hint="eastAsia" w:ascii="宋体" w:hAnsi="宋体" w:cs="宋体"/>
          <w:b/>
          <w:szCs w:val="21"/>
        </w:rPr>
        <w:t>（2）投标有效期不满足采购要求的。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（3）磋商响应文件没有对本采购文件作出实质性响应的，或不满足（不响应）本采购文件中标注“▲”的实质性要求条款的，或存在采购文件中明确规定的其他无效标情形的。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（4）磋商响应文件存在一个或一个以上备选（替代）磋商响应方案的。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（5）磋商响应文件组成内容不齐全，本采购文件规定必须提供而未提供的（属于资格审查范围的除外）。</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（6）磋商响应文件标注的响应或偏离情况与事实不符，或提供了虚假材料的。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（7）不响应或擅自改变本采购文件要求或磋商响应文件有采购人不能接受的附加条件的。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（8）参加同一合同项下政府采购活动的不同供应商之间存在利害关系并且存在影响政府采购公平竞争行为的。</w:t>
      </w:r>
    </w:p>
    <w:p>
      <w:pPr>
        <w:adjustRightInd w:val="0"/>
        <w:snapToGrid w:val="0"/>
        <w:spacing w:line="360" w:lineRule="auto"/>
        <w:ind w:firstLine="373" w:firstLineChars="177"/>
      </w:pPr>
      <w:r>
        <w:rPr>
          <w:rFonts w:hint="eastAsia" w:ascii="宋体" w:hAnsi="宋体" w:cs="宋体"/>
          <w:b/>
          <w:szCs w:val="21"/>
        </w:rPr>
        <w:t>（9）供应商串通投标，妨碍其他投标人的竞争行为，损害采购人或者其他投标人的合法权益的</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（10）违反国家或政府部门相关法律、法规、文件规定的。</w:t>
      </w:r>
      <w:bookmarkEnd w:id="73"/>
    </w:p>
    <w:p>
      <w:pPr>
        <w:adjustRightInd w:val="0"/>
        <w:snapToGrid w:val="0"/>
        <w:spacing w:line="360" w:lineRule="auto"/>
        <w:ind w:firstLine="373" w:firstLineChars="177"/>
        <w:rPr>
          <w:rFonts w:ascii="宋体" w:hAnsi="宋体" w:cs="宋体"/>
          <w:b/>
          <w:kern w:val="0"/>
          <w:szCs w:val="21"/>
        </w:rPr>
      </w:pPr>
      <w:r>
        <w:rPr>
          <w:rFonts w:hint="eastAsia" w:ascii="宋体" w:hAnsi="宋体" w:cs="宋体"/>
          <w:b/>
          <w:bCs/>
          <w:szCs w:val="21"/>
        </w:rPr>
        <w:t>16.7</w:t>
      </w:r>
      <w:r>
        <w:rPr>
          <w:rFonts w:hint="eastAsia" w:ascii="宋体" w:hAnsi="宋体" w:cs="宋体"/>
          <w:b/>
          <w:bCs/>
          <w:kern w:val="0"/>
          <w:szCs w:val="21"/>
        </w:rPr>
        <w:t>.2报</w:t>
      </w:r>
      <w:r>
        <w:rPr>
          <w:rFonts w:hint="eastAsia" w:ascii="宋体" w:hAnsi="宋体" w:cs="宋体"/>
          <w:b/>
          <w:kern w:val="0"/>
          <w:szCs w:val="21"/>
        </w:rPr>
        <w:t>价文件符合性审查中，存在下列情形之一的，经磋商小组认定后作无效标处理：</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（1）未在政采云系统规定时间内提交最终报价的。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（2）未按照采购文件标明的币种报价的，或者磋商响应文件中报价涵盖的内容不符合采购文件要求的。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（3）《开标一览表》内容与《磋商响应文件报价明细表》内容不一致且拒不接受修正的。</w:t>
      </w:r>
    </w:p>
    <w:p>
      <w:pPr>
        <w:adjustRightInd w:val="0"/>
        <w:snapToGrid w:val="0"/>
        <w:spacing w:line="360" w:lineRule="auto"/>
        <w:ind w:firstLine="373" w:firstLineChars="177"/>
        <w:rPr>
          <w:rFonts w:ascii="宋体" w:hAnsi="宋体" w:cs="宋体"/>
          <w:b/>
          <w:szCs w:val="21"/>
        </w:rPr>
      </w:pPr>
      <w:r>
        <w:rPr>
          <w:rFonts w:hint="eastAsia" w:ascii="宋体" w:hAnsi="宋体" w:cs="宋体"/>
          <w:b/>
          <w:szCs w:val="21"/>
        </w:rPr>
        <w:t>（4）供应商的磋商报价为零的（包括响应文件中标明：免费或赠予）或磋商总报价未包含全部采购内容或超过了本项目最高限价的。</w:t>
      </w:r>
    </w:p>
    <w:p>
      <w:pPr>
        <w:shd w:val="clear" w:color="auto" w:fill="FFFFFF"/>
        <w:adjustRightInd w:val="0"/>
        <w:snapToGrid w:val="0"/>
        <w:spacing w:line="360" w:lineRule="auto"/>
        <w:ind w:firstLine="422" w:firstLineChars="200"/>
        <w:rPr>
          <w:rFonts w:ascii="宋体" w:hAnsi="宋体" w:cs="宋体"/>
          <w:b/>
          <w:szCs w:val="21"/>
        </w:rPr>
      </w:pPr>
      <w:r>
        <w:rPr>
          <w:rFonts w:hint="eastAsia" w:ascii="宋体" w:hAnsi="宋体" w:cs="宋体"/>
          <w:b/>
          <w:szCs w:val="21"/>
        </w:rPr>
        <w:t>（5）</w:t>
      </w:r>
      <w:r>
        <w:rPr>
          <w:rFonts w:hint="eastAsia" w:ascii="宋体" w:hAnsi="宋体" w:cs="Arial"/>
          <w:b/>
          <w:bCs/>
          <w:lang w:val="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ascii="宋体" w:hAnsi="宋体" w:cs="Arial"/>
          <w:b/>
          <w:bCs/>
          <w:kern w:val="0"/>
          <w:szCs w:val="21"/>
        </w:rPr>
        <w:t>供应商不能证明其报价合理性的</w:t>
      </w:r>
      <w:r>
        <w:rPr>
          <w:rFonts w:hint="eastAsia" w:ascii="宋体" w:hAnsi="宋体" w:cs="Arial"/>
          <w:b/>
          <w:bCs/>
          <w:kern w:val="0"/>
          <w:szCs w:val="21"/>
        </w:rPr>
        <w:t>，磋商小组应将该响应文件作无效处理。</w:t>
      </w:r>
    </w:p>
    <w:p>
      <w:pPr>
        <w:adjustRightInd w:val="0"/>
        <w:snapToGrid w:val="0"/>
        <w:spacing w:line="360" w:lineRule="auto"/>
        <w:ind w:firstLine="373" w:firstLineChars="177"/>
        <w:rPr>
          <w:rFonts w:ascii="宋体" w:hAnsi="宋体" w:cs="宋体"/>
          <w:b/>
          <w:kern w:val="0"/>
          <w:szCs w:val="21"/>
        </w:rPr>
      </w:pPr>
      <w:r>
        <w:rPr>
          <w:rFonts w:hint="eastAsia" w:ascii="宋体" w:hAnsi="宋体" w:cs="宋体"/>
          <w:b/>
          <w:szCs w:val="21"/>
        </w:rPr>
        <w:t>（6）违反国家或政府部门相关法律、法规、文件规定的。</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17、磋商响应文件的评估、比较、评分</w:t>
      </w:r>
    </w:p>
    <w:p>
      <w:pPr>
        <w:adjustRightInd w:val="0"/>
        <w:snapToGrid w:val="0"/>
        <w:spacing w:line="360" w:lineRule="auto"/>
        <w:ind w:firstLine="371" w:firstLineChars="177"/>
        <w:rPr>
          <w:rFonts w:ascii="宋体" w:hAnsi="宋体" w:cs="宋体"/>
          <w:kern w:val="0"/>
          <w:szCs w:val="21"/>
        </w:rPr>
      </w:pPr>
      <w:r>
        <w:rPr>
          <w:rFonts w:hint="eastAsia" w:ascii="宋体" w:hAnsi="宋体" w:cs="宋体"/>
          <w:szCs w:val="21"/>
        </w:rPr>
        <w:t>17</w:t>
      </w:r>
      <w:r>
        <w:rPr>
          <w:rFonts w:hint="eastAsia" w:ascii="宋体" w:hAnsi="宋体" w:cs="宋体"/>
          <w:kern w:val="0"/>
          <w:szCs w:val="21"/>
        </w:rPr>
        <w:t>.1磋商小组应当按照采购文件中规定的磋商方法和标准，对符合性审查合格的</w:t>
      </w:r>
      <w:r>
        <w:rPr>
          <w:rFonts w:hint="eastAsia" w:ascii="宋体" w:hAnsi="宋体" w:cs="宋体"/>
          <w:szCs w:val="21"/>
        </w:rPr>
        <w:t>磋商响应</w:t>
      </w:r>
      <w:r>
        <w:rPr>
          <w:rFonts w:hint="eastAsia" w:ascii="宋体" w:hAnsi="宋体" w:cs="宋体"/>
          <w:kern w:val="0"/>
          <w:szCs w:val="21"/>
        </w:rPr>
        <w:t>文件进行商务和技术评估，综合比较与评价。评标时，磋商小组各成员将独立对每个</w:t>
      </w:r>
      <w:r>
        <w:rPr>
          <w:rFonts w:hint="eastAsia" w:ascii="宋体" w:hAnsi="宋体" w:cs="宋体"/>
          <w:szCs w:val="21"/>
        </w:rPr>
        <w:t>磋商响应</w:t>
      </w:r>
      <w:r>
        <w:rPr>
          <w:rFonts w:hint="eastAsia" w:ascii="宋体" w:hAnsi="宋体" w:cs="宋体"/>
          <w:kern w:val="0"/>
          <w:szCs w:val="21"/>
        </w:rPr>
        <w:t>人的</w:t>
      </w:r>
      <w:r>
        <w:rPr>
          <w:rFonts w:hint="eastAsia" w:ascii="宋体" w:hAnsi="宋体" w:cs="宋体"/>
          <w:szCs w:val="21"/>
        </w:rPr>
        <w:t>磋商响应</w:t>
      </w:r>
      <w:r>
        <w:rPr>
          <w:rFonts w:hint="eastAsia" w:ascii="宋体" w:hAnsi="宋体" w:cs="宋体"/>
          <w:kern w:val="0"/>
          <w:szCs w:val="21"/>
        </w:rPr>
        <w:t>文件进行评价，并汇总每个</w:t>
      </w:r>
      <w:r>
        <w:rPr>
          <w:rFonts w:hint="eastAsia" w:ascii="宋体" w:hAnsi="宋体" w:cs="宋体"/>
          <w:szCs w:val="21"/>
        </w:rPr>
        <w:t>磋商响应</w:t>
      </w:r>
      <w:r>
        <w:rPr>
          <w:rFonts w:hint="eastAsia" w:ascii="宋体" w:hAnsi="宋体" w:cs="宋体"/>
          <w:kern w:val="0"/>
          <w:szCs w:val="21"/>
        </w:rPr>
        <w:t>人的得分。</w:t>
      </w:r>
    </w:p>
    <w:p>
      <w:pPr>
        <w:adjustRightInd w:val="0"/>
        <w:snapToGrid w:val="0"/>
        <w:spacing w:line="360" w:lineRule="auto"/>
        <w:ind w:firstLine="371" w:firstLineChars="177"/>
        <w:rPr>
          <w:rFonts w:ascii="宋体" w:hAnsi="宋体" w:cs="宋体"/>
          <w:b/>
          <w:bCs/>
          <w:kern w:val="0"/>
          <w:szCs w:val="21"/>
        </w:rPr>
      </w:pPr>
      <w:r>
        <w:rPr>
          <w:rFonts w:hint="eastAsia" w:ascii="宋体" w:hAnsi="宋体" w:cs="宋体"/>
          <w:szCs w:val="21"/>
        </w:rPr>
        <w:t>17</w:t>
      </w:r>
      <w:r>
        <w:rPr>
          <w:rFonts w:hint="eastAsia" w:ascii="宋体" w:hAnsi="宋体" w:cs="宋体"/>
          <w:kern w:val="0"/>
          <w:szCs w:val="21"/>
        </w:rPr>
        <w:t>.2对采购组织机构工作人员汇总的磋商结果进行确认。如发现分值汇总计算错误、分项评分超出评分标准范围、客观评分不一致以及存在畸高、畸低（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18、修改磋商结果</w:t>
      </w:r>
    </w:p>
    <w:p>
      <w:pPr>
        <w:adjustRightInd w:val="0"/>
        <w:snapToGrid w:val="0"/>
        <w:spacing w:line="360" w:lineRule="auto"/>
        <w:ind w:firstLine="426" w:firstLineChars="202"/>
        <w:rPr>
          <w:rFonts w:ascii="宋体" w:hAnsi="宋体" w:cs="宋体"/>
          <w:b/>
          <w:szCs w:val="21"/>
        </w:rPr>
      </w:pPr>
      <w:r>
        <w:rPr>
          <w:rFonts w:hint="eastAsia" w:ascii="宋体" w:hAnsi="宋体" w:cs="宋体"/>
          <w:b/>
          <w:szCs w:val="21"/>
        </w:rPr>
        <w:t>18.1磋商结果汇总完成后，除下列情形外，任何人不得修改评标结果：</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（1）分值汇总计算错误的。</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（2）分项评分超出评分标准范围的。</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（3）磋商小组成员对客观评审因素评分不一致的。</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（4）经磋商小组认定评分畸高、畸低的。</w:t>
      </w:r>
    </w:p>
    <w:p>
      <w:pPr>
        <w:adjustRightInd w:val="0"/>
        <w:snapToGrid w:val="0"/>
        <w:spacing w:line="360" w:lineRule="auto"/>
        <w:ind w:firstLine="426" w:firstLineChars="202"/>
        <w:rPr>
          <w:rFonts w:ascii="宋体" w:hAnsi="宋体" w:cs="宋体"/>
          <w:b/>
          <w:szCs w:val="21"/>
        </w:rPr>
      </w:pPr>
      <w:r>
        <w:rPr>
          <w:rFonts w:hint="eastAsia" w:ascii="宋体" w:hAnsi="宋体" w:cs="宋体"/>
          <w:b/>
          <w:bCs/>
          <w:szCs w:val="21"/>
        </w:rPr>
        <w:t>18.2</w:t>
      </w:r>
      <w:r>
        <w:rPr>
          <w:rFonts w:hint="eastAsia" w:ascii="宋体" w:hAnsi="宋体" w:cs="宋体"/>
          <w:b/>
          <w:szCs w:val="21"/>
        </w:rPr>
        <w:t>评标报告签署前，经复核发现存在以上情形之一的，磋商小组将当场修改评标结果，并在评标报告中记载。</w:t>
      </w:r>
    </w:p>
    <w:p>
      <w:pPr>
        <w:adjustRightInd w:val="0"/>
        <w:snapToGrid w:val="0"/>
        <w:spacing w:line="360" w:lineRule="auto"/>
        <w:rPr>
          <w:rFonts w:ascii="宋体" w:hAnsi="宋体" w:cs="宋体"/>
          <w:b/>
          <w:szCs w:val="21"/>
        </w:rPr>
      </w:pPr>
      <w:r>
        <w:rPr>
          <w:rFonts w:hint="eastAsia" w:ascii="宋体" w:hAnsi="宋体" w:cs="宋体"/>
          <w:b/>
          <w:szCs w:val="21"/>
        </w:rPr>
        <w:t>19、供应商排序及推荐中标（成交）候选供应商</w:t>
      </w:r>
    </w:p>
    <w:p>
      <w:pPr>
        <w:adjustRightInd w:val="0"/>
        <w:snapToGrid w:val="0"/>
        <w:spacing w:line="360" w:lineRule="auto"/>
        <w:ind w:firstLine="426" w:firstLineChars="202"/>
        <w:rPr>
          <w:rFonts w:ascii="宋体" w:hAnsi="宋体" w:cs="宋体"/>
          <w:b/>
          <w:szCs w:val="21"/>
        </w:rPr>
      </w:pPr>
      <w:r>
        <w:rPr>
          <w:rFonts w:hint="eastAsia" w:ascii="宋体" w:hAnsi="宋体" w:cs="宋体"/>
          <w:b/>
          <w:szCs w:val="21"/>
        </w:rPr>
        <w:t>磋商小组根据以下规定确定供应商排名并推荐中标（成交）候选供应商。</w:t>
      </w:r>
    </w:p>
    <w:p>
      <w:pPr>
        <w:adjustRightInd w:val="0"/>
        <w:snapToGrid w:val="0"/>
        <w:spacing w:line="360" w:lineRule="auto"/>
        <w:ind w:firstLine="426" w:firstLineChars="202"/>
        <w:rPr>
          <w:rFonts w:ascii="宋体" w:hAnsi="宋体" w:cs="宋体"/>
          <w:b/>
          <w:szCs w:val="21"/>
        </w:rPr>
      </w:pPr>
      <w:r>
        <w:rPr>
          <w:rFonts w:hint="eastAsia" w:ascii="宋体" w:hAnsi="宋体" w:cs="宋体"/>
          <w:b/>
          <w:szCs w:val="21"/>
        </w:rPr>
        <w:t>19.1磋商小组根据各磋商响应供应商的综合得分（商务技术分与报价得分之和）从高到低依次进行排名排序。特殊情形按以下原则处理：</w:t>
      </w:r>
    </w:p>
    <w:p>
      <w:pPr>
        <w:adjustRightInd w:val="0"/>
        <w:snapToGrid w:val="0"/>
        <w:spacing w:line="360" w:lineRule="auto"/>
        <w:ind w:firstLine="405" w:firstLineChars="193"/>
        <w:rPr>
          <w:rFonts w:ascii="宋体" w:hAnsi="宋体" w:cs="宋体"/>
          <w:szCs w:val="21"/>
        </w:rPr>
      </w:pPr>
      <w:r>
        <w:rPr>
          <w:rFonts w:hint="eastAsia" w:ascii="宋体" w:hAnsi="宋体" w:cs="宋体"/>
          <w:szCs w:val="21"/>
        </w:rPr>
        <w:t>（1）综合得分相同的，按磋商响应报价低的优先原则确定排名。</w:t>
      </w:r>
    </w:p>
    <w:p>
      <w:pPr>
        <w:adjustRightInd w:val="0"/>
        <w:snapToGrid w:val="0"/>
        <w:spacing w:line="360" w:lineRule="auto"/>
        <w:ind w:firstLine="405" w:firstLineChars="193"/>
        <w:rPr>
          <w:rFonts w:ascii="宋体" w:hAnsi="宋体" w:cs="宋体"/>
          <w:szCs w:val="21"/>
        </w:rPr>
      </w:pPr>
      <w:r>
        <w:rPr>
          <w:rFonts w:hint="eastAsia" w:ascii="宋体" w:hAnsi="宋体" w:cs="宋体"/>
          <w:szCs w:val="21"/>
        </w:rPr>
        <w:t>（2）综合得分和磋商响应报价均相同的，按技术资信得分从高到低确定排名。</w:t>
      </w:r>
    </w:p>
    <w:p>
      <w:pPr>
        <w:adjustRightInd w:val="0"/>
        <w:snapToGrid w:val="0"/>
        <w:spacing w:line="360" w:lineRule="auto"/>
        <w:ind w:firstLine="405" w:firstLineChars="193"/>
        <w:rPr>
          <w:rFonts w:ascii="宋体" w:hAnsi="宋体" w:cs="宋体"/>
          <w:b/>
          <w:szCs w:val="21"/>
        </w:rPr>
      </w:pPr>
      <w:r>
        <w:rPr>
          <w:rFonts w:hint="eastAsia" w:ascii="宋体" w:hAnsi="宋体" w:cs="宋体"/>
          <w:szCs w:val="21"/>
        </w:rPr>
        <w:t>（3）综合得分、磋商响应报价和技术资信得分均相同的由磋商小组全体成员记名投票按少数服从多数的原则确定排名。</w:t>
      </w:r>
    </w:p>
    <w:p>
      <w:pPr>
        <w:pStyle w:val="4"/>
        <w:numPr>
          <w:ilvl w:val="0"/>
          <w:numId w:val="0"/>
        </w:numPr>
        <w:adjustRightInd w:val="0"/>
        <w:snapToGrid w:val="0"/>
        <w:spacing w:before="0" w:after="0"/>
        <w:ind w:left="720" w:hanging="720"/>
        <w:jc w:val="both"/>
        <w:rPr>
          <w:rFonts w:ascii="宋体" w:hAnsi="宋体" w:eastAsia="宋体" w:cs="宋体"/>
          <w:sz w:val="21"/>
          <w:szCs w:val="21"/>
        </w:rPr>
      </w:pPr>
      <w:r>
        <w:rPr>
          <w:rFonts w:hint="eastAsia" w:ascii="宋体" w:hAnsi="宋体" w:eastAsia="宋体" w:cs="宋体"/>
          <w:sz w:val="21"/>
          <w:szCs w:val="21"/>
        </w:rPr>
        <w:t>20、起草、签署评审报告</w:t>
      </w:r>
    </w:p>
    <w:p>
      <w:pPr>
        <w:adjustRightInd w:val="0"/>
        <w:snapToGrid w:val="0"/>
        <w:spacing w:line="360" w:lineRule="auto"/>
        <w:ind w:firstLine="405" w:firstLineChars="193"/>
        <w:rPr>
          <w:rFonts w:ascii="宋体" w:hAnsi="宋体" w:cs="宋体"/>
          <w:szCs w:val="21"/>
        </w:rPr>
      </w:pPr>
      <w:r>
        <w:rPr>
          <w:rFonts w:hint="eastAsia" w:ascii="宋体" w:hAnsi="宋体" w:cs="宋体"/>
          <w:szCs w:val="21"/>
        </w:rPr>
        <w:t>评审结束后，磋商小组将通过“政府采购云平台”起草评审报告，磋商小组成员应当在评审报告上签字，对自己的磋商意见承担法律责任。对评审报告有异议的，应当在评审报告上签署不同意见，并说明理由，否则视为同意评审报告。</w:t>
      </w:r>
    </w:p>
    <w:p>
      <w:pPr>
        <w:shd w:val="clear" w:color="auto" w:fill="FFFFFF"/>
        <w:adjustRightInd w:val="0"/>
        <w:snapToGrid w:val="0"/>
        <w:spacing w:line="360" w:lineRule="auto"/>
        <w:rPr>
          <w:rFonts w:ascii="宋体" w:hAnsi="宋体" w:cs="宋体"/>
          <w:b/>
          <w:bCs/>
          <w:szCs w:val="21"/>
        </w:rPr>
      </w:pPr>
      <w:r>
        <w:rPr>
          <w:rFonts w:hint="eastAsia" w:ascii="宋体" w:hAnsi="宋体" w:cs="宋体"/>
          <w:b/>
          <w:szCs w:val="21"/>
        </w:rPr>
        <w:t>21、磋商响应文件</w:t>
      </w:r>
      <w:bookmarkEnd w:id="56"/>
      <w:bookmarkEnd w:id="57"/>
      <w:bookmarkEnd w:id="58"/>
      <w:bookmarkEnd w:id="59"/>
      <w:bookmarkEnd w:id="60"/>
      <w:bookmarkStart w:id="78" w:name="_Toc91899903"/>
      <w:r>
        <w:rPr>
          <w:rFonts w:hint="eastAsia" w:ascii="宋体" w:hAnsi="宋体" w:cs="宋体"/>
          <w:b/>
          <w:bCs/>
          <w:szCs w:val="21"/>
        </w:rPr>
        <w:t>磋商内容的保密</w:t>
      </w:r>
    </w:p>
    <w:p>
      <w:pPr>
        <w:shd w:val="clear" w:color="auto" w:fill="FFFFFF"/>
        <w:adjustRightInd w:val="0"/>
        <w:snapToGrid w:val="0"/>
        <w:spacing w:line="360" w:lineRule="auto"/>
        <w:ind w:firstLine="422" w:firstLineChars="200"/>
        <w:rPr>
          <w:rFonts w:ascii="宋体" w:hAnsi="宋体" w:cs="宋体"/>
          <w:szCs w:val="21"/>
        </w:rPr>
      </w:pPr>
      <w:r>
        <w:rPr>
          <w:rFonts w:hint="eastAsia" w:ascii="宋体" w:hAnsi="宋体" w:cs="宋体"/>
          <w:b/>
          <w:szCs w:val="21"/>
        </w:rPr>
        <w:t>21.</w:t>
      </w:r>
      <w:r>
        <w:rPr>
          <w:rFonts w:ascii="宋体" w:hAnsi="宋体" w:cs="宋体"/>
          <w:b/>
          <w:szCs w:val="21"/>
        </w:rPr>
        <w:t>1</w:t>
      </w:r>
      <w:r>
        <w:rPr>
          <w:rFonts w:hint="eastAsia" w:ascii="宋体" w:hAnsi="宋体" w:cs="宋体"/>
          <w:szCs w:val="21"/>
        </w:rPr>
        <w:t>开标后，直到宣布成交单位止，凡属于审查、澄清、评价和比较磋商响应供应商的所有资料，都不应向磋商响应人或与磋商无关的其他人泄露。</w:t>
      </w:r>
    </w:p>
    <w:p>
      <w:pPr>
        <w:shd w:val="clear" w:color="auto" w:fill="FFFFFF"/>
        <w:adjustRightInd w:val="0"/>
        <w:snapToGrid w:val="0"/>
        <w:spacing w:line="360" w:lineRule="auto"/>
        <w:ind w:firstLine="422" w:firstLineChars="200"/>
        <w:rPr>
          <w:rFonts w:ascii="宋体" w:hAnsi="宋体" w:cs="宋体"/>
          <w:b/>
          <w:bCs/>
          <w:szCs w:val="21"/>
        </w:rPr>
      </w:pPr>
      <w:r>
        <w:rPr>
          <w:rFonts w:hint="eastAsia" w:ascii="宋体" w:hAnsi="宋体" w:cs="宋体"/>
          <w:b/>
          <w:szCs w:val="21"/>
        </w:rPr>
        <w:t>21.</w:t>
      </w:r>
      <w:r>
        <w:rPr>
          <w:rFonts w:ascii="宋体" w:hAnsi="宋体" w:cs="宋体"/>
          <w:b/>
          <w:szCs w:val="21"/>
        </w:rPr>
        <w:t>2</w:t>
      </w:r>
      <w:r>
        <w:rPr>
          <w:rFonts w:hint="eastAsia" w:ascii="宋体" w:hAnsi="宋体" w:cs="宋体"/>
          <w:szCs w:val="21"/>
        </w:rPr>
        <w:t>在磋商响应文件的审查、澄清、评价和比较以及确定成交人过程中，磋商响应人对采购人、采购代理机构和磋商小组施加影响的任何行为，都将导致取消资格。</w:t>
      </w:r>
    </w:p>
    <w:p>
      <w:pPr>
        <w:pStyle w:val="13"/>
        <w:adjustRightInd w:val="0"/>
        <w:snapToGrid w:val="0"/>
        <w:spacing w:line="360" w:lineRule="auto"/>
        <w:ind w:firstLine="0"/>
        <w:rPr>
          <w:rFonts w:ascii="宋体" w:hAnsi="宋体" w:eastAsia="宋体"/>
          <w:b/>
          <w:sz w:val="21"/>
          <w:szCs w:val="21"/>
          <w:lang w:val="zh-CN"/>
        </w:rPr>
      </w:pPr>
      <w:r>
        <w:rPr>
          <w:rFonts w:hint="eastAsia" w:ascii="宋体" w:hAnsi="宋体" w:eastAsia="宋体"/>
          <w:b/>
          <w:sz w:val="21"/>
          <w:szCs w:val="21"/>
          <w:lang w:val="zh-CN"/>
        </w:rPr>
        <w:t>2</w:t>
      </w:r>
      <w:r>
        <w:rPr>
          <w:rFonts w:hint="eastAsia" w:ascii="宋体" w:hAnsi="宋体" w:eastAsia="宋体"/>
          <w:b/>
          <w:sz w:val="21"/>
          <w:szCs w:val="21"/>
        </w:rPr>
        <w:t>2</w:t>
      </w:r>
      <w:r>
        <w:rPr>
          <w:rFonts w:hint="eastAsia" w:ascii="宋体" w:hAnsi="宋体" w:eastAsia="宋体"/>
          <w:b/>
          <w:sz w:val="21"/>
          <w:szCs w:val="21"/>
          <w:lang w:val="zh-CN"/>
        </w:rPr>
        <w:t>、废标</w:t>
      </w:r>
    </w:p>
    <w:p>
      <w:pPr>
        <w:pStyle w:val="13"/>
        <w:adjustRightInd w:val="0"/>
        <w:snapToGrid w:val="0"/>
        <w:spacing w:line="360" w:lineRule="auto"/>
        <w:ind w:firstLine="482"/>
        <w:rPr>
          <w:rFonts w:ascii="宋体" w:hAnsi="宋体" w:eastAsia="宋体"/>
          <w:b/>
          <w:sz w:val="21"/>
          <w:szCs w:val="21"/>
          <w:lang w:val="zh-CN"/>
        </w:rPr>
      </w:pPr>
      <w:r>
        <w:rPr>
          <w:rFonts w:hint="eastAsia" w:ascii="宋体" w:hAnsi="宋体" w:eastAsia="宋体"/>
          <w:b/>
          <w:sz w:val="21"/>
          <w:szCs w:val="21"/>
          <w:lang w:val="zh-CN"/>
        </w:rPr>
        <w:t>在采购中，出现下列情形之一的，应予废标：</w:t>
      </w:r>
    </w:p>
    <w:p>
      <w:pPr>
        <w:pStyle w:val="13"/>
        <w:adjustRightInd w:val="0"/>
        <w:snapToGrid w:val="0"/>
        <w:spacing w:line="360" w:lineRule="auto"/>
        <w:ind w:firstLine="482"/>
        <w:rPr>
          <w:rFonts w:ascii="宋体" w:hAnsi="宋体" w:eastAsia="宋体"/>
          <w:b/>
          <w:sz w:val="21"/>
          <w:szCs w:val="21"/>
          <w:lang w:val="zh-CN"/>
        </w:rPr>
      </w:pPr>
      <w:r>
        <w:rPr>
          <w:rFonts w:hint="eastAsia" w:ascii="宋体" w:hAnsi="宋体" w:eastAsia="宋体"/>
          <w:b/>
          <w:sz w:val="21"/>
          <w:szCs w:val="21"/>
          <w:lang w:val="zh-CN"/>
        </w:rPr>
        <w:t>(1)根据《政府采购竞争性磋商采购方式管理暂行办法》，在采购过程中符合要求的供应商或者报价未超过采购预算的供应商不足3家的（</w:t>
      </w:r>
      <w:r>
        <w:rPr>
          <w:rFonts w:hint="eastAsia" w:ascii="宋体" w:hAnsi="宋体" w:eastAsia="宋体"/>
          <w:b/>
          <w:sz w:val="21"/>
          <w:szCs w:val="21"/>
        </w:rPr>
        <w:t>满足财库〔2014〕214号第三条第四项情形的，提交最后报价的供应商可以为2家，或</w:t>
      </w:r>
      <w:r>
        <w:rPr>
          <w:rFonts w:hint="eastAsia" w:ascii="宋体" w:hAnsi="宋体" w:eastAsia="宋体"/>
          <w:b/>
          <w:sz w:val="21"/>
          <w:szCs w:val="21"/>
          <w:lang w:val="zh-CN"/>
        </w:rPr>
        <w:t>财库〔2015〕124号文件规定情形除外）。</w:t>
      </w:r>
    </w:p>
    <w:p>
      <w:pPr>
        <w:pStyle w:val="13"/>
        <w:adjustRightInd w:val="0"/>
        <w:snapToGrid w:val="0"/>
        <w:spacing w:line="360" w:lineRule="auto"/>
        <w:ind w:firstLine="482"/>
        <w:rPr>
          <w:rFonts w:ascii="宋体" w:hAnsi="宋体" w:eastAsia="宋体"/>
          <w:b/>
          <w:sz w:val="21"/>
          <w:szCs w:val="21"/>
          <w:lang w:val="zh-CN"/>
        </w:rPr>
      </w:pPr>
      <w:r>
        <w:rPr>
          <w:rFonts w:hint="eastAsia" w:ascii="宋体" w:hAnsi="宋体" w:eastAsia="宋体"/>
          <w:b/>
          <w:sz w:val="21"/>
          <w:szCs w:val="21"/>
          <w:lang w:val="zh-CN"/>
        </w:rPr>
        <w:t>(2)出现影响采购公正的违法、违规行为的。</w:t>
      </w:r>
    </w:p>
    <w:p>
      <w:pPr>
        <w:pStyle w:val="13"/>
        <w:adjustRightInd w:val="0"/>
        <w:snapToGrid w:val="0"/>
        <w:spacing w:line="360" w:lineRule="auto"/>
        <w:ind w:firstLine="482"/>
        <w:rPr>
          <w:rFonts w:ascii="宋体" w:hAnsi="宋体" w:eastAsia="宋体"/>
          <w:b/>
          <w:sz w:val="21"/>
          <w:szCs w:val="21"/>
        </w:rPr>
      </w:pPr>
      <w:r>
        <w:rPr>
          <w:rFonts w:hint="eastAsia" w:ascii="宋体" w:hAnsi="宋体" w:eastAsia="宋体"/>
          <w:b/>
          <w:sz w:val="21"/>
          <w:szCs w:val="21"/>
        </w:rPr>
        <w:t>(3)报价均超过预算，不能支付的。</w:t>
      </w:r>
    </w:p>
    <w:p>
      <w:pPr>
        <w:pStyle w:val="13"/>
        <w:adjustRightInd w:val="0"/>
        <w:snapToGrid w:val="0"/>
        <w:spacing w:line="360" w:lineRule="auto"/>
        <w:ind w:firstLine="482"/>
        <w:rPr>
          <w:rFonts w:ascii="宋体" w:hAnsi="宋体" w:eastAsia="宋体"/>
          <w:b/>
          <w:sz w:val="21"/>
          <w:szCs w:val="21"/>
        </w:rPr>
      </w:pPr>
      <w:r>
        <w:rPr>
          <w:rFonts w:hint="eastAsia" w:ascii="宋体" w:hAnsi="宋体" w:eastAsia="宋体"/>
          <w:b/>
          <w:sz w:val="21"/>
          <w:szCs w:val="21"/>
        </w:rPr>
        <w:t>(4)因重大变故，采购任务取消的。</w:t>
      </w:r>
    </w:p>
    <w:p>
      <w:pPr>
        <w:pStyle w:val="4"/>
        <w:numPr>
          <w:ilvl w:val="0"/>
          <w:numId w:val="0"/>
        </w:numPr>
        <w:adjustRightInd w:val="0"/>
        <w:snapToGrid w:val="0"/>
        <w:spacing w:before="0" w:after="0"/>
        <w:jc w:val="both"/>
        <w:rPr>
          <w:rFonts w:ascii="宋体" w:hAnsi="宋体" w:eastAsia="宋体"/>
          <w:sz w:val="21"/>
          <w:szCs w:val="21"/>
        </w:rPr>
      </w:pPr>
      <w:r>
        <w:rPr>
          <w:rFonts w:hint="eastAsia" w:ascii="宋体" w:hAnsi="宋体" w:eastAsia="宋体"/>
          <w:sz w:val="21"/>
          <w:szCs w:val="21"/>
        </w:rPr>
        <w:t>23、可中止电子交易活动的情形</w:t>
      </w:r>
    </w:p>
    <w:p>
      <w:pPr>
        <w:adjustRightInd w:val="0"/>
        <w:snapToGrid w:val="0"/>
        <w:spacing w:line="360" w:lineRule="auto"/>
        <w:ind w:firstLine="371" w:firstLineChars="176"/>
        <w:rPr>
          <w:rFonts w:ascii="宋体" w:hAnsi="宋体"/>
          <w:szCs w:val="21"/>
        </w:rPr>
      </w:pPr>
      <w:r>
        <w:rPr>
          <w:rFonts w:hint="eastAsia" w:ascii="宋体" w:hAnsi="宋体"/>
          <w:b/>
          <w:szCs w:val="21"/>
        </w:rPr>
        <w:t>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369" w:firstLineChars="176"/>
        <w:rPr>
          <w:rFonts w:ascii="宋体" w:hAnsi="宋体"/>
          <w:szCs w:val="21"/>
        </w:rPr>
      </w:pPr>
      <w:r>
        <w:rPr>
          <w:rFonts w:hint="eastAsia" w:ascii="宋体" w:hAnsi="宋体"/>
          <w:szCs w:val="21"/>
        </w:rPr>
        <w:t>（1）电子交易平台发生故障而无法登录访问的。</w:t>
      </w:r>
    </w:p>
    <w:p>
      <w:pPr>
        <w:adjustRightInd w:val="0"/>
        <w:snapToGrid w:val="0"/>
        <w:spacing w:line="360" w:lineRule="auto"/>
        <w:ind w:firstLine="369" w:firstLineChars="176"/>
        <w:rPr>
          <w:rFonts w:ascii="宋体" w:hAnsi="宋体"/>
          <w:szCs w:val="21"/>
        </w:rPr>
      </w:pPr>
      <w:r>
        <w:rPr>
          <w:rFonts w:hint="eastAsia" w:ascii="宋体" w:hAnsi="宋体"/>
          <w:szCs w:val="21"/>
        </w:rPr>
        <w:t>（2）电子交易平台应用或数据库出现错误，不能进行正常操作的。</w:t>
      </w:r>
    </w:p>
    <w:p>
      <w:pPr>
        <w:adjustRightInd w:val="0"/>
        <w:snapToGrid w:val="0"/>
        <w:spacing w:line="360" w:lineRule="auto"/>
        <w:ind w:firstLine="369" w:firstLineChars="176"/>
        <w:rPr>
          <w:rFonts w:ascii="宋体" w:hAnsi="宋体"/>
          <w:szCs w:val="21"/>
        </w:rPr>
      </w:pPr>
      <w:r>
        <w:rPr>
          <w:rFonts w:hint="eastAsia" w:ascii="宋体" w:hAnsi="宋体"/>
          <w:szCs w:val="21"/>
        </w:rPr>
        <w:t>（3）电子交易平台发现严重安全漏洞，有潜在泄密危险的。</w:t>
      </w:r>
    </w:p>
    <w:p>
      <w:pPr>
        <w:adjustRightInd w:val="0"/>
        <w:snapToGrid w:val="0"/>
        <w:spacing w:line="360" w:lineRule="auto"/>
        <w:ind w:firstLine="369" w:firstLineChars="176"/>
        <w:rPr>
          <w:rFonts w:ascii="宋体" w:hAnsi="宋体"/>
          <w:szCs w:val="21"/>
        </w:rPr>
      </w:pPr>
      <w:r>
        <w:rPr>
          <w:rFonts w:hint="eastAsia" w:ascii="宋体" w:hAnsi="宋体"/>
          <w:szCs w:val="21"/>
        </w:rPr>
        <w:t>（4）病毒发作导致不能进行正常操作的。</w:t>
      </w:r>
    </w:p>
    <w:p>
      <w:pPr>
        <w:adjustRightInd w:val="0"/>
        <w:snapToGrid w:val="0"/>
        <w:spacing w:line="360" w:lineRule="auto"/>
        <w:ind w:firstLine="369" w:firstLineChars="176"/>
        <w:rPr>
          <w:rFonts w:ascii="宋体" w:hAnsi="宋体"/>
          <w:szCs w:val="21"/>
        </w:rPr>
      </w:pPr>
      <w:r>
        <w:rPr>
          <w:rFonts w:hint="eastAsia" w:ascii="宋体" w:hAnsi="宋体"/>
          <w:szCs w:val="21"/>
        </w:rPr>
        <w:t>（5）其他无法保证电子交易的公平、公正和安全的情况。</w:t>
      </w:r>
    </w:p>
    <w:p>
      <w:pPr>
        <w:adjustRightInd w:val="0"/>
        <w:snapToGrid w:val="0"/>
        <w:spacing w:line="360" w:lineRule="auto"/>
        <w:ind w:firstLine="371" w:firstLineChars="176"/>
        <w:rPr>
          <w:rFonts w:ascii="宋体" w:hAnsi="宋体"/>
          <w:szCs w:val="21"/>
        </w:rPr>
      </w:pPr>
      <w:r>
        <w:rPr>
          <w:rFonts w:hint="eastAsia" w:ascii="宋体" w:hAnsi="宋体"/>
          <w:b/>
          <w:szCs w:val="21"/>
        </w:rPr>
        <w:t>出现前款规定情形，不影响采购公平、公正性的，采购组织机构可以待上述情形消除后继续组织电子交易活动。影响或可能影响采购公平、公正性的，应当重新采购。</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24、磋商小组将根据磋商文件和有关规定，履行评标工作职责，以磋商办法为标准，全面衡量各供应商对磋商文件的响应情况。对实质上响应磋商文件的供应商，以打分的方法，排出推荐成交的供应商的先后顺序，并按顺序提出授标建议。磋商结果报经采购人同意，最终确定成交人。</w:t>
      </w:r>
    </w:p>
    <w:p>
      <w:pPr>
        <w:adjustRightInd w:val="0"/>
        <w:snapToGrid w:val="0"/>
        <w:spacing w:line="360" w:lineRule="auto"/>
        <w:ind w:firstLine="411" w:firstLineChars="196"/>
        <w:rPr>
          <w:rFonts w:ascii="宋体" w:hAnsi="宋体" w:cs="宋体"/>
          <w:bCs/>
          <w:szCs w:val="21"/>
        </w:rPr>
      </w:pPr>
      <w:r>
        <w:rPr>
          <w:rFonts w:hint="eastAsia" w:ascii="宋体" w:hAnsi="宋体" w:cs="宋体"/>
          <w:bCs/>
          <w:szCs w:val="21"/>
        </w:rPr>
        <w:t>25、采购人应当根据磋商小组推荐的顺序确定成交人，不得在磋商小组推荐的成交候选人以外确定成交人。</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26、政府采</w:t>
      </w:r>
      <w:r>
        <w:rPr>
          <w:rFonts w:hint="eastAsia" w:ascii="宋体" w:hAnsi="宋体" w:cs="宋体"/>
          <w:szCs w:val="21"/>
        </w:rPr>
        <w:t>购法规、文件中另有规定的，按照相关规定执行。</w:t>
      </w:r>
    </w:p>
    <w:bookmarkEnd w:id="78"/>
    <w:p>
      <w:pPr>
        <w:shd w:val="clear" w:color="auto" w:fill="FFFFFF"/>
        <w:adjustRightInd w:val="0"/>
        <w:snapToGrid w:val="0"/>
        <w:spacing w:line="360" w:lineRule="auto"/>
        <w:jc w:val="center"/>
        <w:outlineLvl w:val="1"/>
        <w:rPr>
          <w:rFonts w:ascii="宋体" w:hAnsi="宋体" w:cs="宋体"/>
          <w:b/>
          <w:bCs/>
          <w:sz w:val="24"/>
        </w:rPr>
      </w:pPr>
      <w:bookmarkStart w:id="79" w:name="_Hlt75236103"/>
      <w:bookmarkEnd w:id="79"/>
      <w:bookmarkStart w:id="80" w:name="_Toc86216995"/>
      <w:bookmarkStart w:id="81" w:name="_Toc361217430"/>
      <w:bookmarkStart w:id="82" w:name="_Toc7290"/>
      <w:bookmarkStart w:id="83" w:name="_Toc354996703"/>
      <w:bookmarkStart w:id="84" w:name="_Toc442428815"/>
      <w:bookmarkStart w:id="85" w:name="_Toc233618979"/>
      <w:bookmarkStart w:id="86" w:name="_Toc91899910"/>
    </w:p>
    <w:p>
      <w:pPr>
        <w:shd w:val="clear" w:color="auto" w:fill="FFFFFF"/>
        <w:adjustRightInd w:val="0"/>
        <w:snapToGrid w:val="0"/>
        <w:spacing w:line="360" w:lineRule="auto"/>
        <w:jc w:val="center"/>
        <w:outlineLvl w:val="1"/>
        <w:rPr>
          <w:rFonts w:ascii="宋体" w:hAnsi="宋体" w:cs="宋体"/>
          <w:b/>
          <w:bCs/>
          <w:sz w:val="24"/>
        </w:rPr>
      </w:pPr>
      <w:r>
        <w:rPr>
          <w:rFonts w:hint="eastAsia" w:ascii="宋体" w:hAnsi="宋体" w:cs="宋体"/>
          <w:b/>
          <w:bCs/>
          <w:sz w:val="24"/>
        </w:rPr>
        <w:t>七、</w:t>
      </w:r>
      <w:bookmarkEnd w:id="80"/>
      <w:r>
        <w:rPr>
          <w:rFonts w:hint="eastAsia" w:ascii="宋体" w:hAnsi="宋体" w:cs="宋体"/>
          <w:b/>
          <w:bCs/>
          <w:sz w:val="24"/>
        </w:rPr>
        <w:t>合同签订及其他</w:t>
      </w:r>
      <w:bookmarkEnd w:id="81"/>
      <w:bookmarkEnd w:id="82"/>
      <w:bookmarkEnd w:id="83"/>
      <w:bookmarkEnd w:id="84"/>
      <w:bookmarkEnd w:id="85"/>
    </w:p>
    <w:bookmarkEnd w:id="86"/>
    <w:p>
      <w:pPr>
        <w:adjustRightInd w:val="0"/>
        <w:snapToGrid w:val="0"/>
        <w:spacing w:line="360" w:lineRule="auto"/>
        <w:rPr>
          <w:rFonts w:ascii="宋体" w:hAnsi="宋体" w:cs="宋体"/>
          <w:b/>
          <w:szCs w:val="21"/>
        </w:rPr>
      </w:pPr>
      <w:r>
        <w:rPr>
          <w:rFonts w:hint="eastAsia" w:ascii="宋体" w:hAnsi="宋体" w:cs="宋体"/>
          <w:b/>
          <w:kern w:val="0"/>
          <w:szCs w:val="21"/>
        </w:rPr>
        <w:t>27</w:t>
      </w:r>
      <w:r>
        <w:rPr>
          <w:rFonts w:hint="eastAsia" w:ascii="宋体" w:hAnsi="宋体" w:cs="宋体"/>
          <w:b/>
          <w:kern w:val="0"/>
          <w:szCs w:val="21"/>
          <w:lang w:val="zh-CN"/>
        </w:rPr>
        <w:t>、</w:t>
      </w:r>
      <w:r>
        <w:rPr>
          <w:rFonts w:hint="eastAsia" w:ascii="宋体" w:hAnsi="宋体" w:cs="宋体"/>
          <w:b/>
          <w:szCs w:val="21"/>
        </w:rPr>
        <w:t>成交通知书</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（1）确定成交人后，采购代理机构将在网站上公布竞争性磋商结果。</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（2）成交候选供应商全部接受合同条件并签订合同后，成交通知书成为合同的组成部分。</w:t>
      </w:r>
    </w:p>
    <w:p>
      <w:pPr>
        <w:pStyle w:val="96"/>
        <w:tabs>
          <w:tab w:val="left" w:pos="0"/>
        </w:tabs>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3）如成交人拒绝承担成交的项目，或提出采购人不能接受的条件，致使合同无法签订，采购人将取消其成交资格，并根据磋商小组推荐的成交候选人先后顺序，将下一顺序的成交候选供应商作为预成交人进行公示，或由采购人组织磋商小组复议后提出重新组织采购等建议。</w:t>
      </w:r>
    </w:p>
    <w:p>
      <w:pPr>
        <w:pStyle w:val="25"/>
        <w:adjustRightInd w:val="0"/>
        <w:snapToGrid w:val="0"/>
        <w:spacing w:line="360" w:lineRule="auto"/>
        <w:ind w:firstLine="540"/>
        <w:rPr>
          <w:rFonts w:ascii="宋体" w:hAnsi="宋体" w:eastAsia="宋体"/>
        </w:rPr>
      </w:pPr>
      <w:r>
        <w:rPr>
          <w:rFonts w:hint="eastAsia" w:ascii="宋体" w:hAnsi="宋体" w:eastAsia="宋体"/>
        </w:rPr>
        <w:t>（4）如签订合同并生效后，供应商无故拒绝或延期，除按照合同条款处罚外，列入不良行为记录一次，并给予通报。</w:t>
      </w:r>
    </w:p>
    <w:p>
      <w:pPr>
        <w:pStyle w:val="96"/>
        <w:adjustRightInd w:val="0"/>
        <w:snapToGrid w:val="0"/>
        <w:spacing w:before="0"/>
        <w:ind w:firstLine="0" w:firstLineChars="0"/>
        <w:rPr>
          <w:rFonts w:ascii="宋体" w:hAnsi="宋体" w:eastAsia="宋体" w:cs="宋体"/>
          <w:b/>
          <w:sz w:val="21"/>
          <w:szCs w:val="21"/>
        </w:rPr>
      </w:pPr>
      <w:r>
        <w:rPr>
          <w:rFonts w:hint="eastAsia" w:ascii="宋体" w:hAnsi="宋体" w:eastAsia="宋体" w:cs="宋体"/>
          <w:b/>
          <w:sz w:val="21"/>
          <w:szCs w:val="21"/>
        </w:rPr>
        <w:t>28、合同的签订</w:t>
      </w:r>
    </w:p>
    <w:p>
      <w:pPr>
        <w:pStyle w:val="96"/>
        <w:adjustRightInd w:val="0"/>
        <w:snapToGrid w:val="0"/>
        <w:spacing w:before="0"/>
        <w:ind w:firstLine="420"/>
        <w:rPr>
          <w:rFonts w:ascii="宋体" w:hAnsi="宋体" w:eastAsia="宋体" w:cs="宋体"/>
          <w:sz w:val="21"/>
          <w:szCs w:val="21"/>
        </w:rPr>
      </w:pPr>
      <w:r>
        <w:rPr>
          <w:rFonts w:hint="eastAsia" w:ascii="宋体" w:hAnsi="宋体" w:eastAsia="宋体" w:cs="宋体"/>
          <w:sz w:val="21"/>
          <w:szCs w:val="21"/>
        </w:rPr>
        <w:t>成交人按规定的时间、地点，由授权代表与采购人签订合同。</w:t>
      </w:r>
    </w:p>
    <w:p>
      <w:pPr>
        <w:autoSpaceDE w:val="0"/>
        <w:autoSpaceDN w:val="0"/>
        <w:adjustRightInd w:val="0"/>
        <w:snapToGrid w:val="0"/>
        <w:spacing w:line="360" w:lineRule="auto"/>
        <w:contextualSpacing/>
        <w:rPr>
          <w:rFonts w:ascii="宋体" w:hAnsi="宋体" w:cs="宋体"/>
          <w:b/>
          <w:szCs w:val="21"/>
        </w:rPr>
      </w:pPr>
      <w:r>
        <w:rPr>
          <w:rFonts w:hint="eastAsia" w:ascii="宋体" w:hAnsi="宋体" w:cs="宋体"/>
          <w:b/>
          <w:szCs w:val="21"/>
        </w:rPr>
        <w:t>29、履约保证金：详见采购文件</w:t>
      </w:r>
    </w:p>
    <w:p>
      <w:pPr>
        <w:adjustRightInd w:val="0"/>
        <w:snapToGrid w:val="0"/>
        <w:spacing w:line="360" w:lineRule="auto"/>
        <w:rPr>
          <w:rFonts w:ascii="宋体" w:hAnsi="宋体" w:cs="宋体"/>
          <w:b/>
          <w:szCs w:val="21"/>
        </w:rPr>
      </w:pPr>
      <w:r>
        <w:rPr>
          <w:rFonts w:hint="eastAsia" w:ascii="宋体" w:hAnsi="宋体" w:cs="宋体"/>
          <w:b/>
          <w:szCs w:val="21"/>
        </w:rPr>
        <w:t>30、合同款结算方式</w:t>
      </w:r>
    </w:p>
    <w:p>
      <w:pPr>
        <w:pStyle w:val="13"/>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详见合同条款。</w:t>
      </w:r>
    </w:p>
    <w:p>
      <w:pPr>
        <w:rPr>
          <w:rFonts w:ascii="宋体" w:hAnsi="宋体" w:cs="宋体"/>
        </w:rPr>
      </w:pPr>
      <w:r>
        <w:rPr>
          <w:rFonts w:hint="eastAsia" w:ascii="宋体" w:hAnsi="宋体"/>
          <w:b/>
          <w:kern w:val="0"/>
        </w:rPr>
        <w:t>31、项目完成时间</w:t>
      </w:r>
      <w:r>
        <w:rPr>
          <w:rFonts w:hint="eastAsia" w:ascii="宋体" w:hAnsi="宋体"/>
          <w:b/>
        </w:rPr>
        <w:t>:</w:t>
      </w:r>
      <w:r>
        <w:rPr>
          <w:rFonts w:hint="eastAsia" w:ascii="宋体" w:hAnsi="宋体"/>
          <w:spacing w:val="-6"/>
        </w:rPr>
        <w:t>详见采购文件</w:t>
      </w:r>
      <w:r>
        <w:rPr>
          <w:rFonts w:hint="eastAsia" w:hAnsi="宋体"/>
          <w:bCs/>
        </w:rPr>
        <w:t>。</w:t>
      </w:r>
    </w:p>
    <w:p>
      <w:pPr>
        <w:pStyle w:val="25"/>
        <w:widowControl w:val="0"/>
        <w:adjustRightInd w:val="0"/>
        <w:snapToGrid w:val="0"/>
        <w:spacing w:line="360" w:lineRule="auto"/>
        <w:rPr>
          <w:rFonts w:ascii="宋体" w:hAnsi="宋体" w:eastAsia="宋体"/>
          <w:b/>
        </w:rPr>
      </w:pPr>
      <w:r>
        <w:rPr>
          <w:rFonts w:hint="eastAsia" w:ascii="宋体" w:hAnsi="宋体" w:eastAsia="宋体"/>
          <w:b/>
        </w:rPr>
        <w:t>32</w:t>
      </w:r>
      <w:r>
        <w:rPr>
          <w:rFonts w:hint="eastAsia" w:ascii="宋体" w:hAnsi="宋体" w:eastAsia="宋体"/>
          <w:b/>
          <w:kern w:val="0"/>
          <w:lang w:val="zh-CN"/>
        </w:rPr>
        <w:t>、</w:t>
      </w:r>
      <w:r>
        <w:rPr>
          <w:rFonts w:hint="eastAsia" w:ascii="宋体" w:hAnsi="宋体" w:eastAsia="宋体"/>
          <w:b/>
        </w:rPr>
        <w:t>采购方式改变</w:t>
      </w:r>
    </w:p>
    <w:p>
      <w:pPr>
        <w:adjustRightInd w:val="0"/>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在符合资格的供应商不足规定数量或供应商提供的货物、</w:t>
      </w:r>
      <w:r>
        <w:rPr>
          <w:rFonts w:hint="eastAsia" w:ascii="宋体" w:hAnsi="宋体" w:cs="宋体"/>
          <w:kern w:val="0"/>
          <w:szCs w:val="21"/>
        </w:rPr>
        <w:t>服务</w:t>
      </w:r>
      <w:r>
        <w:rPr>
          <w:rFonts w:hint="eastAsia" w:ascii="宋体" w:hAnsi="宋体" w:cs="宋体"/>
          <w:kern w:val="0"/>
          <w:szCs w:val="21"/>
          <w:lang w:val="zh-CN"/>
        </w:rPr>
        <w:t>及其报价、售后服务承诺等不能满足采购人要求，以及</w:t>
      </w:r>
      <w:r>
        <w:rPr>
          <w:rFonts w:hint="eastAsia" w:ascii="宋体" w:hAnsi="宋体" w:cs="宋体"/>
          <w:kern w:val="0"/>
          <w:szCs w:val="21"/>
        </w:rPr>
        <w:t>采购</w:t>
      </w:r>
      <w:r>
        <w:rPr>
          <w:rFonts w:hint="eastAsia" w:ascii="宋体" w:hAnsi="宋体" w:cs="宋体"/>
          <w:kern w:val="0"/>
          <w:szCs w:val="21"/>
          <w:lang w:val="zh-CN"/>
        </w:rPr>
        <w:t>过程中出现其他不正常情况时，经批准，采购代理机构将根据《政府采购货物和服务招标投标管理办法》(财政部第87号令)，重新选择合适的方式进行采购。</w:t>
      </w:r>
    </w:p>
    <w:p>
      <w:pPr>
        <w:pStyle w:val="25"/>
        <w:adjustRightInd w:val="0"/>
        <w:snapToGrid w:val="0"/>
        <w:spacing w:line="360" w:lineRule="auto"/>
        <w:rPr>
          <w:rFonts w:ascii="宋体" w:hAnsi="宋体" w:eastAsia="宋体"/>
          <w:b/>
        </w:rPr>
      </w:pPr>
      <w:r>
        <w:rPr>
          <w:rFonts w:hint="eastAsia" w:ascii="宋体" w:hAnsi="宋体" w:eastAsia="宋体"/>
          <w:b/>
        </w:rPr>
        <w:t>33、质疑与投诉</w:t>
      </w:r>
    </w:p>
    <w:p>
      <w:pPr>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（1）</w:t>
      </w:r>
      <w:r>
        <w:rPr>
          <w:rFonts w:hint="eastAsia" w:ascii="宋体" w:hAnsi="宋体" w:cs="宋体"/>
          <w:szCs w:val="21"/>
        </w:rPr>
        <w:t>供应商认为采购文件、采购过程和成交、成交结果使自己的权益受到损害的，可以在知道或者应知其权益受到损害之日起七个工作日内，以书面形式向采购人、采购代理机构提出质疑。对可以质疑的采购文件提出质疑的，为收到采购文件之日或者采购文件公告期限届满之日。对采购过程提出质疑的，为各采购程序环节结束之日。对成交结果提出质疑的，为成交结果公告期限届满之日。</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采购人或者采购代理机构应当在3个工作日内对供应商依法提出的询问作出答复。供应商提出的询问或者质疑超出采购人对采购代理机构委托授权范围的，采购代理机构应当告知供应商向采购人提出。政府采购磋商小组应当配合采购人或者采购代理机构答复供应商的询问和质疑。</w:t>
      </w:r>
    </w:p>
    <w:p>
      <w:pPr>
        <w:shd w:val="clear" w:color="auto" w:fill="FFFFFF"/>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（3）质疑供应商对采购人、采购代理机构的答复不满意或者采购人、采购代理机构未在规定时间内作出答复的，可以在答复期满后十五个工作日内向同级政府采购监管部门投诉。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（4）</w:t>
      </w:r>
      <w:r>
        <w:rPr>
          <w:rFonts w:hint="eastAsia" w:ascii="宋体" w:hAnsi="宋体" w:cs="宋体"/>
          <w:szCs w:val="21"/>
        </w:rPr>
        <w:t>要求供应商在法定质疑期内一次性提出针对同一采购程序环节的质疑。</w:t>
      </w:r>
    </w:p>
    <w:p>
      <w:pPr>
        <w:shd w:val="clear" w:color="auto" w:fill="FFFFFF"/>
        <w:adjustRightInd w:val="0"/>
        <w:snapToGrid w:val="0"/>
        <w:spacing w:line="360" w:lineRule="auto"/>
        <w:rPr>
          <w:rFonts w:ascii="宋体" w:hAnsi="宋体" w:cs="宋体"/>
          <w:b/>
          <w:bCs/>
          <w:szCs w:val="21"/>
        </w:rPr>
      </w:pPr>
      <w:r>
        <w:rPr>
          <w:rFonts w:hint="eastAsia" w:ascii="宋体" w:hAnsi="宋体" w:cs="宋体"/>
          <w:b/>
          <w:bCs/>
          <w:szCs w:val="21"/>
        </w:rPr>
        <w:t>34</w:t>
      </w:r>
      <w:r>
        <w:rPr>
          <w:rFonts w:hint="eastAsia" w:ascii="宋体" w:hAnsi="宋体" w:cs="宋体"/>
          <w:b/>
          <w:bCs/>
          <w:kern w:val="0"/>
          <w:szCs w:val="21"/>
          <w:lang w:val="zh-CN"/>
        </w:rPr>
        <w:t>、</w:t>
      </w:r>
      <w:r>
        <w:rPr>
          <w:rFonts w:hint="eastAsia" w:ascii="宋体" w:hAnsi="宋体" w:cs="宋体"/>
          <w:b/>
          <w:bCs/>
          <w:szCs w:val="21"/>
        </w:rPr>
        <w:t>解释权</w:t>
      </w:r>
    </w:p>
    <w:p>
      <w:pPr>
        <w:shd w:val="clear" w:color="auto" w:fill="FFFFFF"/>
        <w:adjustRightInd w:val="0"/>
        <w:snapToGrid w:val="0"/>
        <w:spacing w:line="360" w:lineRule="auto"/>
        <w:ind w:firstLine="480"/>
        <w:outlineLvl w:val="0"/>
      </w:pPr>
      <w:bookmarkStart w:id="87" w:name="_Toc28543"/>
      <w:bookmarkStart w:id="88" w:name="_Toc18192"/>
      <w:bookmarkStart w:id="89" w:name="_Toc13691"/>
      <w:bookmarkStart w:id="90" w:name="_Toc458069540"/>
      <w:bookmarkStart w:id="91" w:name="_Toc9225"/>
      <w:bookmarkStart w:id="92" w:name="_Toc442428816"/>
      <w:bookmarkStart w:id="93" w:name="_Toc19670"/>
      <w:bookmarkStart w:id="94" w:name="_Toc464298330"/>
      <w:bookmarkStart w:id="95" w:name="_Toc12509"/>
      <w:bookmarkStart w:id="96" w:name="_Toc135"/>
      <w:r>
        <w:rPr>
          <w:rFonts w:hint="eastAsia" w:ascii="宋体" w:hAnsi="宋体" w:cs="宋体"/>
          <w:snapToGrid w:val="0"/>
          <w:kern w:val="0"/>
          <w:szCs w:val="21"/>
        </w:rPr>
        <w:t>磋商文件的解释权均属于</w:t>
      </w:r>
      <w:r>
        <w:rPr>
          <w:rFonts w:hint="eastAsia" w:ascii="宋体" w:hAnsi="宋体" w:cs="宋体"/>
          <w:szCs w:val="21"/>
        </w:rPr>
        <w:t>浙江工商大学</w:t>
      </w:r>
      <w:r>
        <w:rPr>
          <w:rFonts w:hint="eastAsia" w:ascii="宋体" w:hAnsi="宋体" w:cs="宋体"/>
          <w:snapToGrid w:val="0"/>
          <w:kern w:val="0"/>
          <w:szCs w:val="21"/>
        </w:rPr>
        <w:t>和浙江豪圣建设项目管理有限公司</w:t>
      </w:r>
      <w:r>
        <w:rPr>
          <w:rFonts w:hint="eastAsia" w:ascii="宋体" w:hAnsi="宋体" w:cs="宋体"/>
          <w:snapToGrid w:val="0"/>
          <w:kern w:val="0"/>
          <w:sz w:val="24"/>
        </w:rPr>
        <w:t>。</w:t>
      </w:r>
      <w:bookmarkEnd w:id="87"/>
      <w:bookmarkEnd w:id="88"/>
      <w:bookmarkEnd w:id="89"/>
      <w:bookmarkEnd w:id="90"/>
      <w:bookmarkEnd w:id="91"/>
      <w:bookmarkEnd w:id="92"/>
      <w:bookmarkEnd w:id="93"/>
      <w:bookmarkEnd w:id="94"/>
      <w:bookmarkEnd w:id="95"/>
      <w:bookmarkEnd w:id="96"/>
    </w:p>
    <w:p>
      <w:pPr>
        <w:pageBreakBefore/>
        <w:shd w:val="clear" w:color="auto" w:fill="FFFFFF"/>
        <w:adjustRightInd w:val="0"/>
        <w:snapToGrid w:val="0"/>
        <w:spacing w:line="360" w:lineRule="auto"/>
        <w:jc w:val="center"/>
        <w:outlineLvl w:val="0"/>
        <w:rPr>
          <w:rFonts w:ascii="宋体" w:hAnsi="宋体" w:cs="宋体"/>
          <w:b/>
          <w:kern w:val="0"/>
          <w:szCs w:val="21"/>
        </w:rPr>
      </w:pPr>
      <w:bookmarkStart w:id="97" w:name="_Toc458069541"/>
      <w:bookmarkStart w:id="98" w:name="_Toc354996705"/>
      <w:bookmarkStart w:id="99" w:name="_Toc91899916"/>
      <w:bookmarkStart w:id="100" w:name="_Toc35401305"/>
      <w:bookmarkStart w:id="101" w:name="_Toc233618985"/>
      <w:bookmarkStart w:id="102" w:name="_Toc361217432"/>
      <w:bookmarkStart w:id="103" w:name="_Toc37243119"/>
      <w:bookmarkStart w:id="104" w:name="_Toc6473"/>
      <w:bookmarkStart w:id="105" w:name="_Toc361217433"/>
      <w:bookmarkStart w:id="106" w:name="_Toc233618986"/>
      <w:bookmarkStart w:id="107" w:name="_Toc86217003"/>
      <w:bookmarkStart w:id="108" w:name="_Toc354996706"/>
      <w:r>
        <w:rPr>
          <w:rFonts w:hint="eastAsia" w:ascii="宋体" w:hAnsi="宋体" w:cs="宋体"/>
          <w:b/>
          <w:bCs/>
          <w:sz w:val="36"/>
          <w:szCs w:val="36"/>
        </w:rPr>
        <w:t xml:space="preserve">第三部分 </w:t>
      </w:r>
      <w:bookmarkEnd w:id="97"/>
      <w:bookmarkStart w:id="109" w:name="_Toc6704"/>
      <w:r>
        <w:rPr>
          <w:rFonts w:hint="eastAsia" w:ascii="宋体" w:hAnsi="宋体" w:cs="宋体"/>
          <w:b/>
          <w:bCs/>
          <w:sz w:val="36"/>
          <w:szCs w:val="36"/>
        </w:rPr>
        <w:t>项目技术规范和招标需求</w:t>
      </w:r>
      <w:bookmarkEnd w:id="109"/>
      <w:bookmarkStart w:id="110" w:name="_Toc24248"/>
    </w:p>
    <w:p>
      <w:pPr>
        <w:spacing w:line="360" w:lineRule="auto"/>
        <w:ind w:firstLine="422" w:firstLineChars="200"/>
        <w:rPr>
          <w:rFonts w:ascii="宋体" w:hAnsi="宋体" w:cs="宋体"/>
          <w:b/>
          <w:bCs/>
          <w:szCs w:val="21"/>
        </w:rPr>
      </w:pPr>
    </w:p>
    <w:p>
      <w:pPr>
        <w:spacing w:line="360" w:lineRule="auto"/>
        <w:ind w:firstLine="422" w:firstLineChars="200"/>
        <w:rPr>
          <w:rFonts w:ascii="宋体" w:hAnsi="宋体" w:cs="宋体"/>
          <w:b/>
          <w:bCs/>
          <w:szCs w:val="21"/>
        </w:rPr>
      </w:pPr>
      <w:r>
        <w:rPr>
          <w:rFonts w:hint="eastAsia"/>
          <w:b/>
          <w:bCs/>
          <w:szCs w:val="21"/>
        </w:rPr>
        <w:t>一</w:t>
      </w:r>
      <w:r>
        <w:rPr>
          <w:rFonts w:hint="eastAsia" w:ascii="宋体" w:hAnsi="宋体" w:cs="宋体"/>
          <w:b/>
          <w:bCs/>
          <w:szCs w:val="21"/>
        </w:rPr>
        <w:t>、采购清单（标的清单）</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342"/>
        <w:gridCol w:w="893"/>
        <w:gridCol w:w="1351"/>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0" w:type="pct"/>
            <w:vAlign w:val="center"/>
          </w:tcPr>
          <w:p>
            <w:pPr>
              <w:snapToGrid w:val="0"/>
              <w:jc w:val="center"/>
              <w:rPr>
                <w:snapToGrid w:val="0"/>
                <w:szCs w:val="21"/>
              </w:rPr>
            </w:pPr>
            <w:r>
              <w:rPr>
                <w:snapToGrid w:val="0"/>
                <w:szCs w:val="21"/>
              </w:rPr>
              <w:t>序号</w:t>
            </w:r>
          </w:p>
        </w:tc>
        <w:tc>
          <w:tcPr>
            <w:tcW w:w="1808" w:type="pct"/>
            <w:vAlign w:val="center"/>
          </w:tcPr>
          <w:p>
            <w:pPr>
              <w:snapToGrid w:val="0"/>
              <w:jc w:val="center"/>
              <w:rPr>
                <w:snapToGrid w:val="0"/>
                <w:color w:val="000000"/>
                <w:szCs w:val="21"/>
              </w:rPr>
            </w:pPr>
            <w:r>
              <w:rPr>
                <w:snapToGrid w:val="0"/>
                <w:color w:val="000000"/>
                <w:szCs w:val="21"/>
              </w:rPr>
              <w:t>采购内容</w:t>
            </w:r>
          </w:p>
        </w:tc>
        <w:tc>
          <w:tcPr>
            <w:tcW w:w="483" w:type="pct"/>
            <w:vAlign w:val="center"/>
          </w:tcPr>
          <w:p>
            <w:pPr>
              <w:snapToGrid w:val="0"/>
              <w:jc w:val="center"/>
              <w:rPr>
                <w:snapToGrid w:val="0"/>
                <w:szCs w:val="21"/>
              </w:rPr>
            </w:pPr>
            <w:r>
              <w:rPr>
                <w:snapToGrid w:val="0"/>
                <w:color w:val="000000"/>
                <w:kern w:val="0"/>
                <w:szCs w:val="21"/>
                <w:lang w:bidi="ar"/>
              </w:rPr>
              <w:t>数量</w:t>
            </w:r>
          </w:p>
        </w:tc>
        <w:tc>
          <w:tcPr>
            <w:tcW w:w="731" w:type="pct"/>
            <w:vAlign w:val="center"/>
          </w:tcPr>
          <w:p>
            <w:pPr>
              <w:snapToGrid w:val="0"/>
              <w:jc w:val="center"/>
              <w:rPr>
                <w:snapToGrid w:val="0"/>
                <w:color w:val="000000"/>
                <w:kern w:val="0"/>
                <w:szCs w:val="21"/>
                <w:lang w:bidi="ar"/>
              </w:rPr>
            </w:pPr>
            <w:r>
              <w:rPr>
                <w:rFonts w:hint="eastAsia"/>
                <w:snapToGrid w:val="0"/>
                <w:color w:val="000000"/>
                <w:kern w:val="0"/>
                <w:szCs w:val="21"/>
                <w:lang w:bidi="ar"/>
              </w:rPr>
              <w:t>最高限价</w:t>
            </w:r>
            <w:r>
              <w:rPr>
                <w:snapToGrid w:val="0"/>
                <w:color w:val="000000"/>
                <w:kern w:val="0"/>
                <w:szCs w:val="21"/>
                <w:lang w:bidi="ar"/>
              </w:rPr>
              <w:t>（万元）</w:t>
            </w:r>
          </w:p>
        </w:tc>
        <w:tc>
          <w:tcPr>
            <w:tcW w:w="1588" w:type="pct"/>
            <w:vAlign w:val="center"/>
          </w:tcPr>
          <w:p>
            <w:pPr>
              <w:snapToGrid w:val="0"/>
              <w:jc w:val="center"/>
              <w:rPr>
                <w:snapToGrid w:val="0"/>
                <w:color w:val="000000"/>
                <w:kern w:val="0"/>
                <w:szCs w:val="21"/>
                <w:lang w:bidi="ar"/>
              </w:rPr>
            </w:pPr>
            <w:r>
              <w:rPr>
                <w:snapToGrid w:val="0"/>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0" w:type="pct"/>
            <w:vAlign w:val="center"/>
          </w:tcPr>
          <w:p>
            <w:pPr>
              <w:snapToGrid w:val="0"/>
              <w:jc w:val="center"/>
              <w:rPr>
                <w:snapToGrid w:val="0"/>
                <w:szCs w:val="21"/>
              </w:rPr>
            </w:pPr>
            <w:r>
              <w:rPr>
                <w:snapToGrid w:val="0"/>
                <w:szCs w:val="21"/>
              </w:rPr>
              <w:t>1</w:t>
            </w:r>
          </w:p>
        </w:tc>
        <w:tc>
          <w:tcPr>
            <w:tcW w:w="1808" w:type="pct"/>
            <w:vAlign w:val="center"/>
          </w:tcPr>
          <w:p>
            <w:pPr>
              <w:snapToGrid w:val="0"/>
              <w:jc w:val="center"/>
              <w:rPr>
                <w:snapToGrid w:val="0"/>
                <w:color w:val="000000"/>
                <w:szCs w:val="21"/>
              </w:rPr>
            </w:pPr>
            <w:r>
              <w:rPr>
                <w:snapToGrid w:val="0"/>
                <w:color w:val="000000"/>
                <w:szCs w:val="21"/>
              </w:rPr>
              <w:t>202</w:t>
            </w:r>
            <w:r>
              <w:rPr>
                <w:rFonts w:hint="eastAsia"/>
                <w:snapToGrid w:val="0"/>
                <w:color w:val="000000"/>
                <w:szCs w:val="21"/>
              </w:rPr>
              <w:t>4</w:t>
            </w:r>
            <w:r>
              <w:rPr>
                <w:snapToGrid w:val="0"/>
                <w:color w:val="000000"/>
                <w:szCs w:val="21"/>
              </w:rPr>
              <w:t>届学生毕业典礼策划执行及舞美设备租赁服务</w:t>
            </w:r>
          </w:p>
        </w:tc>
        <w:tc>
          <w:tcPr>
            <w:tcW w:w="483" w:type="pct"/>
            <w:vAlign w:val="center"/>
          </w:tcPr>
          <w:p>
            <w:pPr>
              <w:snapToGrid w:val="0"/>
              <w:jc w:val="center"/>
              <w:rPr>
                <w:snapToGrid w:val="0"/>
                <w:color w:val="000000"/>
                <w:kern w:val="0"/>
                <w:szCs w:val="21"/>
                <w:lang w:bidi="ar"/>
              </w:rPr>
            </w:pPr>
            <w:r>
              <w:rPr>
                <w:snapToGrid w:val="0"/>
                <w:color w:val="000000"/>
                <w:kern w:val="0"/>
                <w:szCs w:val="21"/>
                <w:lang w:bidi="ar"/>
              </w:rPr>
              <w:t>1项</w:t>
            </w:r>
          </w:p>
        </w:tc>
        <w:tc>
          <w:tcPr>
            <w:tcW w:w="731" w:type="pct"/>
            <w:vMerge w:val="restart"/>
            <w:vAlign w:val="center"/>
          </w:tcPr>
          <w:p>
            <w:pPr>
              <w:snapToGrid w:val="0"/>
              <w:jc w:val="center"/>
              <w:rPr>
                <w:snapToGrid w:val="0"/>
                <w:color w:val="000000"/>
                <w:kern w:val="0"/>
                <w:szCs w:val="21"/>
                <w:lang w:bidi="ar"/>
              </w:rPr>
            </w:pPr>
            <w:r>
              <w:rPr>
                <w:rFonts w:hint="eastAsia"/>
                <w:snapToGrid w:val="0"/>
                <w:color w:val="000000"/>
                <w:kern w:val="0"/>
                <w:szCs w:val="21"/>
                <w:lang w:bidi="ar"/>
              </w:rPr>
              <w:t>30</w:t>
            </w:r>
            <w:r>
              <w:rPr>
                <w:snapToGrid w:val="0"/>
                <w:color w:val="000000"/>
                <w:kern w:val="0"/>
                <w:szCs w:val="21"/>
                <w:lang w:bidi="ar"/>
              </w:rPr>
              <w:t>.00</w:t>
            </w:r>
          </w:p>
        </w:tc>
        <w:tc>
          <w:tcPr>
            <w:tcW w:w="1588" w:type="pct"/>
            <w:vMerge w:val="restart"/>
            <w:vAlign w:val="center"/>
          </w:tcPr>
          <w:p>
            <w:pPr>
              <w:snapToGrid w:val="0"/>
              <w:jc w:val="center"/>
              <w:rPr>
                <w:snapToGrid w:val="0"/>
                <w:color w:val="000000"/>
                <w:kern w:val="0"/>
                <w:szCs w:val="21"/>
                <w:lang w:bidi="ar"/>
              </w:rPr>
            </w:pPr>
            <w:r>
              <w:rPr>
                <w:rFonts w:hint="eastAsia"/>
                <w:szCs w:val="21"/>
                <w:lang w:val="zh-CN"/>
              </w:rPr>
              <w:t>序号1、序号2合计报价金额不得超过</w:t>
            </w:r>
            <w:r>
              <w:rPr>
                <w:rFonts w:hint="eastAsia"/>
                <w:szCs w:val="21"/>
              </w:rPr>
              <w:t>最高限价</w:t>
            </w:r>
            <w:r>
              <w:rPr>
                <w:rFonts w:hint="eastAsia"/>
                <w:szCs w:val="21"/>
                <w:lang w:val="zh-CN"/>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0" w:type="pct"/>
            <w:vAlign w:val="center"/>
          </w:tcPr>
          <w:p>
            <w:pPr>
              <w:snapToGrid w:val="0"/>
              <w:jc w:val="center"/>
              <w:rPr>
                <w:snapToGrid w:val="0"/>
                <w:szCs w:val="21"/>
              </w:rPr>
            </w:pPr>
            <w:r>
              <w:rPr>
                <w:snapToGrid w:val="0"/>
                <w:szCs w:val="21"/>
              </w:rPr>
              <w:t>2</w:t>
            </w:r>
          </w:p>
        </w:tc>
        <w:tc>
          <w:tcPr>
            <w:tcW w:w="1808" w:type="pct"/>
            <w:vAlign w:val="center"/>
          </w:tcPr>
          <w:p>
            <w:pPr>
              <w:snapToGrid w:val="0"/>
              <w:jc w:val="center"/>
              <w:rPr>
                <w:snapToGrid w:val="0"/>
                <w:color w:val="000000"/>
                <w:szCs w:val="21"/>
              </w:rPr>
            </w:pPr>
            <w:r>
              <w:rPr>
                <w:snapToGrid w:val="0"/>
                <w:color w:val="000000"/>
                <w:szCs w:val="21"/>
              </w:rPr>
              <w:t>202</w:t>
            </w:r>
            <w:r>
              <w:rPr>
                <w:rFonts w:hint="eastAsia"/>
                <w:snapToGrid w:val="0"/>
                <w:color w:val="000000"/>
                <w:szCs w:val="21"/>
              </w:rPr>
              <w:t>4</w:t>
            </w:r>
            <w:r>
              <w:rPr>
                <w:snapToGrid w:val="0"/>
                <w:color w:val="000000"/>
                <w:szCs w:val="21"/>
              </w:rPr>
              <w:t>级新生开学典礼策划执行及舞美设备租赁服务（分2场）</w:t>
            </w:r>
          </w:p>
        </w:tc>
        <w:tc>
          <w:tcPr>
            <w:tcW w:w="483" w:type="pct"/>
            <w:vAlign w:val="center"/>
          </w:tcPr>
          <w:p>
            <w:pPr>
              <w:snapToGrid w:val="0"/>
              <w:jc w:val="center"/>
              <w:rPr>
                <w:snapToGrid w:val="0"/>
                <w:color w:val="000000"/>
                <w:kern w:val="0"/>
                <w:szCs w:val="21"/>
                <w:lang w:bidi="ar"/>
              </w:rPr>
            </w:pPr>
            <w:r>
              <w:rPr>
                <w:snapToGrid w:val="0"/>
                <w:color w:val="000000"/>
                <w:kern w:val="0"/>
                <w:szCs w:val="21"/>
                <w:lang w:bidi="ar"/>
              </w:rPr>
              <w:t>1项</w:t>
            </w:r>
          </w:p>
        </w:tc>
        <w:tc>
          <w:tcPr>
            <w:tcW w:w="731" w:type="pct"/>
            <w:vMerge w:val="continue"/>
            <w:vAlign w:val="center"/>
          </w:tcPr>
          <w:p>
            <w:pPr>
              <w:snapToGrid w:val="0"/>
              <w:jc w:val="center"/>
              <w:rPr>
                <w:snapToGrid w:val="0"/>
                <w:color w:val="000000"/>
                <w:kern w:val="0"/>
                <w:szCs w:val="21"/>
                <w:lang w:bidi="ar"/>
              </w:rPr>
            </w:pPr>
          </w:p>
        </w:tc>
        <w:tc>
          <w:tcPr>
            <w:tcW w:w="1588" w:type="pct"/>
            <w:vMerge w:val="continue"/>
            <w:vAlign w:val="center"/>
          </w:tcPr>
          <w:p>
            <w:pPr>
              <w:snapToGrid w:val="0"/>
              <w:jc w:val="center"/>
              <w:rPr>
                <w:snapToGrid w:val="0"/>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90" w:type="pct"/>
            <w:vAlign w:val="center"/>
          </w:tcPr>
          <w:p>
            <w:pPr>
              <w:snapToGrid w:val="0"/>
              <w:jc w:val="center"/>
              <w:rPr>
                <w:snapToGrid w:val="0"/>
                <w:szCs w:val="21"/>
              </w:rPr>
            </w:pPr>
            <w:r>
              <w:rPr>
                <w:rFonts w:hint="eastAsia"/>
                <w:snapToGrid w:val="0"/>
                <w:szCs w:val="21"/>
              </w:rPr>
              <w:t>3</w:t>
            </w:r>
          </w:p>
        </w:tc>
        <w:tc>
          <w:tcPr>
            <w:tcW w:w="1808" w:type="pct"/>
            <w:vAlign w:val="center"/>
          </w:tcPr>
          <w:p>
            <w:pPr>
              <w:snapToGrid w:val="0"/>
              <w:jc w:val="center"/>
              <w:rPr>
                <w:snapToGrid w:val="0"/>
                <w:color w:val="000000"/>
                <w:szCs w:val="21"/>
              </w:rPr>
            </w:pPr>
            <w:r>
              <w:rPr>
                <w:snapToGrid w:val="0"/>
                <w:color w:val="000000"/>
                <w:szCs w:val="21"/>
              </w:rPr>
              <w:t>202</w:t>
            </w:r>
            <w:r>
              <w:rPr>
                <w:rFonts w:hint="eastAsia"/>
                <w:snapToGrid w:val="0"/>
                <w:color w:val="000000"/>
                <w:szCs w:val="21"/>
              </w:rPr>
              <w:t>4</w:t>
            </w:r>
            <w:r>
              <w:rPr>
                <w:snapToGrid w:val="0"/>
                <w:color w:val="000000"/>
                <w:szCs w:val="21"/>
              </w:rPr>
              <w:t>届</w:t>
            </w:r>
            <w:r>
              <w:rPr>
                <w:rFonts w:hint="eastAsia"/>
                <w:snapToGrid w:val="0"/>
                <w:color w:val="000000"/>
                <w:szCs w:val="21"/>
              </w:rPr>
              <w:t>毕业生纪念品设计及制作服务</w:t>
            </w:r>
          </w:p>
        </w:tc>
        <w:tc>
          <w:tcPr>
            <w:tcW w:w="483" w:type="pct"/>
            <w:vAlign w:val="center"/>
          </w:tcPr>
          <w:p>
            <w:pPr>
              <w:snapToGrid w:val="0"/>
              <w:jc w:val="center"/>
              <w:rPr>
                <w:snapToGrid w:val="0"/>
                <w:color w:val="000000"/>
                <w:kern w:val="0"/>
                <w:szCs w:val="21"/>
                <w:lang w:bidi="ar"/>
              </w:rPr>
            </w:pPr>
            <w:r>
              <w:rPr>
                <w:snapToGrid w:val="0"/>
                <w:color w:val="000000"/>
                <w:kern w:val="0"/>
                <w:szCs w:val="21"/>
                <w:lang w:bidi="ar"/>
              </w:rPr>
              <w:t>1项</w:t>
            </w:r>
          </w:p>
        </w:tc>
        <w:tc>
          <w:tcPr>
            <w:tcW w:w="731" w:type="pct"/>
            <w:vAlign w:val="center"/>
          </w:tcPr>
          <w:p>
            <w:pPr>
              <w:snapToGrid w:val="0"/>
              <w:jc w:val="center"/>
              <w:rPr>
                <w:snapToGrid w:val="0"/>
                <w:color w:val="000000"/>
                <w:kern w:val="0"/>
                <w:szCs w:val="21"/>
                <w:lang w:bidi="ar"/>
              </w:rPr>
            </w:pPr>
            <w:r>
              <w:rPr>
                <w:rFonts w:hint="eastAsia"/>
                <w:snapToGrid w:val="0"/>
                <w:color w:val="000000"/>
                <w:kern w:val="0"/>
                <w:szCs w:val="21"/>
                <w:lang w:bidi="ar"/>
              </w:rPr>
              <w:t>10.00</w:t>
            </w:r>
          </w:p>
        </w:tc>
        <w:tc>
          <w:tcPr>
            <w:tcW w:w="1588" w:type="pct"/>
            <w:vAlign w:val="center"/>
          </w:tcPr>
          <w:p>
            <w:pPr>
              <w:snapToGrid w:val="0"/>
              <w:jc w:val="center"/>
              <w:rPr>
                <w:snapToGrid w:val="0"/>
                <w:color w:val="000000"/>
                <w:kern w:val="0"/>
                <w:szCs w:val="21"/>
                <w:lang w:bidi="ar"/>
              </w:rPr>
            </w:pPr>
            <w:r>
              <w:rPr>
                <w:rFonts w:hint="eastAsia"/>
                <w:szCs w:val="21"/>
                <w:lang w:val="zh-CN"/>
              </w:rPr>
              <w:t>序号3</w:t>
            </w:r>
            <w:r>
              <w:rPr>
                <w:rFonts w:hint="eastAsia"/>
                <w:color w:val="000000"/>
                <w:szCs w:val="21"/>
              </w:rPr>
              <w:t>报价</w:t>
            </w:r>
            <w:r>
              <w:rPr>
                <w:color w:val="000000"/>
                <w:szCs w:val="21"/>
              </w:rPr>
              <w:t>金额</w:t>
            </w:r>
            <w:r>
              <w:rPr>
                <w:rFonts w:hint="eastAsia"/>
                <w:color w:val="000000"/>
                <w:szCs w:val="21"/>
              </w:rPr>
              <w:t>不得超过最高限价10</w:t>
            </w:r>
            <w:r>
              <w:rPr>
                <w:color w:val="000000"/>
                <w:szCs w:val="21"/>
              </w:rPr>
              <w:t>.00万元</w:t>
            </w:r>
          </w:p>
        </w:tc>
      </w:tr>
    </w:tbl>
    <w:p>
      <w:pPr>
        <w:pStyle w:val="20"/>
        <w:ind w:firstLine="630" w:firstLineChars="3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注：中小企业声明函中需将此表中标的供应商及其他情况填写完整，请勿漏项！</w:t>
      </w:r>
      <w:r>
        <w:rPr>
          <w:rFonts w:hint="eastAsia" w:ascii="宋体" w:hAnsi="宋体" w:eastAsia="宋体" w:cs="宋体"/>
          <w:sz w:val="21"/>
          <w:szCs w:val="21"/>
        </w:rPr>
        <w:t>）</w:t>
      </w:r>
    </w:p>
    <w:p>
      <w:pPr>
        <w:ind w:firstLine="422" w:firstLineChars="200"/>
        <w:rPr>
          <w:b/>
          <w:bCs/>
        </w:rPr>
      </w:pPr>
      <w:r>
        <w:rPr>
          <w:rFonts w:hint="eastAsia"/>
          <w:b/>
          <w:bCs/>
        </w:rPr>
        <w:t>二</w:t>
      </w:r>
      <w:r>
        <w:rPr>
          <w:b/>
          <w:bCs/>
        </w:rPr>
        <w:t>、项目需求及要求</w:t>
      </w:r>
    </w:p>
    <w:p>
      <w:pPr>
        <w:spacing w:line="360" w:lineRule="auto"/>
        <w:ind w:firstLine="398" w:firstLineChars="200"/>
        <w:rPr>
          <w:rFonts w:ascii="宋体" w:hAnsi="宋体" w:cs="宋体"/>
          <w:spacing w:val="-6"/>
          <w:szCs w:val="21"/>
          <w:lang w:val="zh-TW"/>
        </w:rPr>
      </w:pPr>
      <w:r>
        <w:rPr>
          <w:rFonts w:hint="eastAsia" w:ascii="宋体" w:hAnsi="宋体" w:cs="宋体"/>
          <w:b/>
          <w:bCs/>
          <w:spacing w:val="-6"/>
          <w:szCs w:val="21"/>
          <w:lang w:val="zh-TW"/>
        </w:rPr>
        <w:t>1、</w:t>
      </w:r>
      <w:r>
        <w:rPr>
          <w:rFonts w:hint="eastAsia" w:ascii="宋体" w:hAnsi="宋体" w:cs="宋体"/>
          <w:b/>
          <w:bCs/>
          <w:spacing w:val="-6"/>
          <w:szCs w:val="21"/>
          <w:lang w:val="zh-TW" w:eastAsia="zh-TW"/>
        </w:rPr>
        <w:t>整体</w:t>
      </w:r>
      <w:r>
        <w:rPr>
          <w:rFonts w:hint="eastAsia" w:ascii="宋体" w:hAnsi="宋体" w:cs="宋体"/>
          <w:b/>
          <w:bCs/>
          <w:spacing w:val="-6"/>
          <w:szCs w:val="21"/>
          <w:lang w:val="zh-TW"/>
        </w:rPr>
        <w:t>要</w:t>
      </w:r>
      <w:r>
        <w:rPr>
          <w:rFonts w:hint="eastAsia" w:ascii="宋体" w:hAnsi="宋体" w:cs="宋体"/>
          <w:b/>
          <w:bCs/>
          <w:spacing w:val="-6"/>
          <w:szCs w:val="21"/>
          <w:lang w:val="zh-TW" w:eastAsia="zh-TW"/>
        </w:rPr>
        <w:t>求</w:t>
      </w:r>
      <w:r>
        <w:rPr>
          <w:rFonts w:hint="eastAsia" w:ascii="宋体" w:hAnsi="宋体" w:cs="宋体"/>
          <w:spacing w:val="-6"/>
          <w:szCs w:val="21"/>
          <w:lang w:val="zh-TW" w:eastAsia="zh-TW"/>
        </w:rPr>
        <w:t>：</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舞美等整体设计和实施必须满足</w:t>
      </w:r>
      <w:r>
        <w:rPr>
          <w:rFonts w:hint="eastAsia" w:ascii="宋体" w:hAnsi="宋体" w:cs="宋体"/>
          <w:spacing w:val="-6"/>
          <w:szCs w:val="21"/>
          <w:u w:val="single"/>
        </w:rPr>
        <w:t>“</w:t>
      </w:r>
      <w:r>
        <w:rPr>
          <w:rFonts w:hint="eastAsia" w:ascii="宋体" w:hAnsi="宋体" w:cs="宋体"/>
          <w:szCs w:val="21"/>
          <w:u w:val="single"/>
        </w:rPr>
        <w:t>浙江工商大学2024级新生开学典礼和2024届学生毕业典礼策划执行及舞美设备租赁服务</w:t>
      </w:r>
      <w:r>
        <w:rPr>
          <w:rFonts w:hint="eastAsia" w:ascii="宋体" w:hAnsi="宋体" w:cs="宋体"/>
          <w:b/>
          <w:bCs/>
          <w:spacing w:val="-6"/>
          <w:szCs w:val="21"/>
          <w:u w:val="single"/>
        </w:rPr>
        <w:t>”</w:t>
      </w:r>
      <w:r>
        <w:rPr>
          <w:rFonts w:hint="eastAsia" w:ascii="宋体" w:hAnsi="宋体" w:cs="宋体"/>
          <w:spacing w:val="-6"/>
          <w:szCs w:val="21"/>
          <w:lang w:val="zh-TW" w:eastAsia="zh-TW"/>
        </w:rPr>
        <w:t>的需求</w:t>
      </w:r>
      <w:r>
        <w:rPr>
          <w:rFonts w:hint="eastAsia" w:ascii="宋体" w:hAnsi="宋体" w:cs="宋体"/>
          <w:spacing w:val="-6"/>
          <w:szCs w:val="21"/>
          <w:lang w:val="zh-TW"/>
        </w:rPr>
        <w:t>，</w:t>
      </w:r>
      <w:r>
        <w:rPr>
          <w:rFonts w:hint="eastAsia" w:ascii="宋体" w:hAnsi="宋体" w:cs="宋体"/>
          <w:spacing w:val="-6"/>
          <w:szCs w:val="21"/>
        </w:rPr>
        <w:t>活动</w:t>
      </w:r>
      <w:r>
        <w:rPr>
          <w:rFonts w:hint="eastAsia" w:ascii="宋体" w:hAnsi="宋体" w:cs="宋体"/>
          <w:spacing w:val="-6"/>
          <w:szCs w:val="21"/>
          <w:lang w:val="zh-TW" w:eastAsia="zh-TW"/>
        </w:rPr>
        <w:t>场地为浙江工商大学</w:t>
      </w:r>
      <w:r>
        <w:rPr>
          <w:rFonts w:hint="eastAsia" w:ascii="宋体" w:hAnsi="宋体" w:cs="宋体"/>
          <w:spacing w:val="-6"/>
          <w:szCs w:val="21"/>
        </w:rPr>
        <w:t>文体中心</w:t>
      </w:r>
      <w:r>
        <w:rPr>
          <w:rFonts w:hint="eastAsia" w:ascii="宋体" w:hAnsi="宋体" w:cs="宋体"/>
          <w:spacing w:val="-6"/>
          <w:szCs w:val="21"/>
          <w:lang w:val="zh-TW"/>
        </w:rPr>
        <w:t>，</w:t>
      </w:r>
      <w:r>
        <w:rPr>
          <w:rFonts w:hint="eastAsia" w:ascii="宋体" w:hAnsi="宋体" w:cs="宋体"/>
          <w:spacing w:val="-6"/>
          <w:szCs w:val="21"/>
        </w:rPr>
        <w:t>舞台布局设计在文体中心内场南面方位设计，舞台设计需提供整套舞美效果、灯位设计及平面设计图，要求体现典礼的庄重大气与大学生朝气蓬勃的气质，并需附带观众座位布局图；舞美实施需有专业执行团队进行现场负责，并按规定工期实施，需提供专业执行团队资质，保障活动安全、有序、合规。</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2</w:t>
      </w:r>
      <w:r>
        <w:rPr>
          <w:rFonts w:hint="eastAsia" w:ascii="宋体" w:hAnsi="宋体" w:cs="宋体"/>
          <w:b/>
          <w:bCs/>
          <w:spacing w:val="-6"/>
          <w:szCs w:val="21"/>
          <w:lang w:val="zh-TW" w:eastAsia="zh-TW"/>
        </w:rPr>
        <w:t>、</w:t>
      </w:r>
      <w:r>
        <w:rPr>
          <w:rFonts w:hint="eastAsia" w:ascii="宋体" w:hAnsi="宋体" w:cs="宋体"/>
          <w:b/>
          <w:bCs/>
          <w:spacing w:val="-6"/>
          <w:szCs w:val="21"/>
        </w:rPr>
        <w:t>舞美</w:t>
      </w:r>
      <w:r>
        <w:rPr>
          <w:rFonts w:hint="eastAsia" w:ascii="宋体" w:hAnsi="宋体" w:cs="宋体"/>
          <w:b/>
          <w:bCs/>
          <w:spacing w:val="-6"/>
          <w:szCs w:val="21"/>
          <w:lang w:val="zh-TW" w:eastAsia="zh-TW"/>
        </w:rPr>
        <w:t>设计：</w:t>
      </w:r>
    </w:p>
    <w:p>
      <w:pPr>
        <w:spacing w:line="360" w:lineRule="auto"/>
        <w:ind w:firstLine="396" w:firstLineChars="200"/>
        <w:rPr>
          <w:rFonts w:ascii="宋体" w:hAnsi="宋体" w:cs="宋体"/>
          <w:b/>
          <w:bCs/>
          <w:kern w:val="0"/>
          <w:szCs w:val="21"/>
          <w:lang w:val="zh-CN"/>
        </w:rPr>
      </w:pPr>
      <w:r>
        <w:rPr>
          <w:rFonts w:hint="eastAsia" w:ascii="宋体" w:hAnsi="宋体" w:cs="宋体"/>
          <w:spacing w:val="-6"/>
          <w:szCs w:val="21"/>
          <w:lang w:val="zh-TW" w:eastAsia="zh-TW"/>
        </w:rPr>
        <w:t>（</w:t>
      </w:r>
      <w:r>
        <w:rPr>
          <w:rFonts w:hint="eastAsia" w:ascii="宋体" w:hAnsi="宋体" w:cs="宋体"/>
          <w:spacing w:val="-6"/>
          <w:szCs w:val="21"/>
        </w:rPr>
        <w:t>1</w:t>
      </w:r>
      <w:r>
        <w:rPr>
          <w:rFonts w:hint="eastAsia" w:ascii="宋体" w:hAnsi="宋体" w:cs="宋体"/>
          <w:spacing w:val="-6"/>
          <w:szCs w:val="21"/>
          <w:lang w:val="zh-TW" w:eastAsia="zh-TW"/>
        </w:rPr>
        <w:t>）整体造型围绕</w:t>
      </w:r>
      <w:r>
        <w:rPr>
          <w:rFonts w:hint="eastAsia" w:ascii="宋体" w:hAnsi="宋体" w:cs="宋体"/>
          <w:spacing w:val="-6"/>
          <w:szCs w:val="21"/>
          <w:u w:val="single"/>
        </w:rPr>
        <w:t>“</w:t>
      </w:r>
      <w:r>
        <w:rPr>
          <w:rFonts w:hint="eastAsia" w:ascii="宋体" w:hAnsi="宋体" w:cs="宋体"/>
          <w:b/>
          <w:bCs/>
          <w:szCs w:val="21"/>
          <w:u w:val="single"/>
        </w:rPr>
        <w:t>浙江工商大学2024级新生开学典礼和2024届学生毕业典礼策划执行及舞美设备租赁服务</w:t>
      </w:r>
      <w:r>
        <w:rPr>
          <w:rFonts w:hint="eastAsia" w:ascii="宋体" w:hAnsi="宋体" w:cs="宋体"/>
          <w:spacing w:val="-6"/>
          <w:szCs w:val="21"/>
          <w:u w:val="single"/>
        </w:rPr>
        <w:t>”</w:t>
      </w:r>
      <w:r>
        <w:rPr>
          <w:rFonts w:hint="eastAsia" w:ascii="宋体" w:hAnsi="宋体" w:cs="宋体"/>
          <w:spacing w:val="-6"/>
          <w:szCs w:val="21"/>
          <w:lang w:val="zh-TW" w:eastAsia="zh-TW"/>
        </w:rPr>
        <w:t>的活动主题进行设计创意，体现活动文化，庄重、有气势，兼具时尚与现代科技感。现场开放式设计，注重层次，保证现场的整体性、通透性。根据活动现场方向，充分考虑舞台位置及合理的座位设计。</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2</w:t>
      </w:r>
      <w:r>
        <w:rPr>
          <w:rFonts w:hint="eastAsia" w:ascii="宋体" w:hAnsi="宋体" w:cs="宋体"/>
          <w:spacing w:val="-6"/>
          <w:szCs w:val="21"/>
          <w:lang w:val="zh-TW" w:eastAsia="zh-TW"/>
        </w:rPr>
        <w:t>）整体舞台设计，要体现活动的整体要求，运用现代声、光、电</w:t>
      </w:r>
      <w:r>
        <w:rPr>
          <w:rFonts w:hint="eastAsia" w:ascii="宋体" w:hAnsi="宋体" w:cs="宋体"/>
          <w:spacing w:val="-6"/>
          <w:szCs w:val="21"/>
          <w:lang w:val="zh-TW"/>
        </w:rPr>
        <w:t>、</w:t>
      </w:r>
      <w:r>
        <w:rPr>
          <w:rFonts w:hint="eastAsia" w:ascii="宋体" w:hAnsi="宋体" w:cs="宋体"/>
          <w:spacing w:val="-6"/>
          <w:szCs w:val="21"/>
        </w:rPr>
        <w:t>3D投影等技术</w:t>
      </w:r>
      <w:r>
        <w:rPr>
          <w:rFonts w:hint="eastAsia" w:ascii="宋体" w:hAnsi="宋体" w:cs="宋体"/>
          <w:spacing w:val="-6"/>
          <w:szCs w:val="21"/>
          <w:lang w:val="zh-TW" w:eastAsia="zh-TW"/>
        </w:rPr>
        <w:t>，营造现代化舞台效果并着重体现大学</w:t>
      </w:r>
      <w:r>
        <w:rPr>
          <w:rFonts w:hint="eastAsia" w:ascii="宋体" w:hAnsi="宋体" w:cs="宋体"/>
          <w:spacing w:val="-6"/>
          <w:szCs w:val="21"/>
        </w:rPr>
        <w:t>校园</w:t>
      </w:r>
      <w:r>
        <w:rPr>
          <w:rFonts w:hint="eastAsia" w:ascii="宋体" w:hAnsi="宋体" w:cs="宋体"/>
          <w:spacing w:val="-6"/>
          <w:szCs w:val="21"/>
          <w:lang w:val="zh-TW" w:eastAsia="zh-TW"/>
        </w:rPr>
        <w:t>的文化内涵。</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w:t>
      </w:r>
      <w:r>
        <w:rPr>
          <w:rFonts w:hint="eastAsia" w:ascii="宋体" w:hAnsi="宋体" w:cs="宋体"/>
          <w:spacing w:val="-6"/>
          <w:szCs w:val="21"/>
        </w:rPr>
        <w:t>3</w:t>
      </w:r>
      <w:r>
        <w:rPr>
          <w:rFonts w:hint="eastAsia" w:ascii="宋体" w:hAnsi="宋体" w:cs="宋体"/>
          <w:spacing w:val="-6"/>
          <w:szCs w:val="21"/>
          <w:lang w:val="zh-TW" w:eastAsia="zh-TW"/>
        </w:rPr>
        <w:t>）现场开放式设计，应根据舞台整体效果，突出典礼隆重大方，着重选择相关素材和色调进行设计。</w:t>
      </w:r>
    </w:p>
    <w:p>
      <w:pPr>
        <w:pStyle w:val="44"/>
        <w:ind w:left="0" w:leftChars="0" w:firstLine="420" w:firstLineChars="200"/>
      </w:pPr>
      <w:r>
        <w:rPr>
          <w:rFonts w:hint="eastAsia"/>
        </w:rPr>
        <w:t>（4）设计制作毕业典礼和开学典礼内场的氛围营造，并完成制作。</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3</w:t>
      </w:r>
      <w:r>
        <w:rPr>
          <w:rFonts w:hint="eastAsia" w:ascii="宋体" w:hAnsi="宋体" w:cs="宋体"/>
          <w:b/>
          <w:bCs/>
          <w:spacing w:val="-6"/>
          <w:szCs w:val="21"/>
          <w:lang w:val="zh-TW" w:eastAsia="zh-TW"/>
        </w:rPr>
        <w:t>、具体情况如下（下列为计划时间，具体安排可能会根据学校实际要求调整）</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w:t>
      </w:r>
      <w:r>
        <w:rPr>
          <w:rFonts w:hint="eastAsia" w:ascii="宋体" w:hAnsi="宋体" w:cs="宋体"/>
          <w:spacing w:val="-6"/>
          <w:szCs w:val="21"/>
        </w:rPr>
        <w:t>1</w:t>
      </w:r>
      <w:r>
        <w:rPr>
          <w:rFonts w:hint="eastAsia" w:ascii="宋体" w:hAnsi="宋体" w:cs="宋体"/>
          <w:spacing w:val="-6"/>
          <w:szCs w:val="21"/>
          <w:lang w:val="zh-TW" w:eastAsia="zh-TW"/>
        </w:rPr>
        <w:t>）时间和地点：</w:t>
      </w:r>
    </w:p>
    <w:p>
      <w:pPr>
        <w:spacing w:line="360" w:lineRule="auto"/>
        <w:ind w:firstLine="396" w:firstLineChars="200"/>
        <w:rPr>
          <w:rFonts w:ascii="宋体" w:hAnsi="宋体" w:cs="宋体"/>
          <w:spacing w:val="-6"/>
          <w:szCs w:val="21"/>
        </w:rPr>
      </w:pPr>
      <w:r>
        <w:rPr>
          <w:rFonts w:hint="eastAsia" w:ascii="宋体" w:hAnsi="宋体" w:cs="宋体"/>
          <w:spacing w:val="-6"/>
          <w:szCs w:val="21"/>
        </w:rPr>
        <w:t>2024届学生毕业典礼时间为：2024年6月26</w:t>
      </w:r>
      <w:r>
        <w:rPr>
          <w:rFonts w:hint="eastAsia" w:ascii="宋体" w:hAnsi="宋体" w:cs="宋体"/>
          <w:spacing w:val="-6"/>
          <w:szCs w:val="21"/>
          <w:lang w:val="zh-TW" w:eastAsia="zh-TW"/>
        </w:rPr>
        <w:t>日</w:t>
      </w:r>
      <w:r>
        <w:rPr>
          <w:rFonts w:hint="eastAsia" w:ascii="宋体" w:hAnsi="宋体" w:cs="宋体"/>
          <w:spacing w:val="-6"/>
          <w:szCs w:val="21"/>
        </w:rPr>
        <w:t>；</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rPr>
        <w:t>2024级新生开学典礼共分为两场，一场为本科生开学典礼，另一场为研究生开学典礼（</w:t>
      </w:r>
      <w:r>
        <w:rPr>
          <w:rFonts w:hint="eastAsia" w:ascii="宋体" w:hAnsi="宋体" w:cs="宋体"/>
          <w:b/>
          <w:bCs/>
          <w:spacing w:val="-6"/>
          <w:szCs w:val="21"/>
        </w:rPr>
        <w:t>预计时间为2024年9月至10月期间举行，两场开学典礼时间连着</w:t>
      </w:r>
      <w:r>
        <w:rPr>
          <w:rFonts w:hint="eastAsia" w:ascii="宋体" w:hAnsi="宋体" w:cs="宋体"/>
          <w:b/>
          <w:bCs/>
          <w:color w:val="000000" w:themeColor="text1"/>
          <w:spacing w:val="-6"/>
          <w:szCs w:val="21"/>
          <w14:textFill>
            <w14:solidFill>
              <w14:schemeClr w14:val="tx1"/>
            </w14:solidFill>
          </w14:textFill>
        </w:rPr>
        <w:t>两天</w:t>
      </w:r>
      <w:r>
        <w:rPr>
          <w:rFonts w:hint="eastAsia" w:ascii="宋体" w:hAnsi="宋体" w:cs="宋体"/>
          <w:b/>
          <w:bCs/>
          <w:spacing w:val="-6"/>
          <w:szCs w:val="21"/>
        </w:rPr>
        <w:t>举行，具体时间待定</w:t>
      </w:r>
      <w:r>
        <w:rPr>
          <w:rFonts w:hint="eastAsia" w:ascii="宋体" w:hAnsi="宋体" w:cs="宋体"/>
          <w:spacing w:val="-6"/>
          <w:szCs w:val="21"/>
        </w:rPr>
        <w:t>），地点在浙江工商大学文体中心</w:t>
      </w:r>
      <w:r>
        <w:rPr>
          <w:rFonts w:hint="eastAsia" w:ascii="宋体" w:hAnsi="宋体" w:cs="宋体"/>
          <w:spacing w:val="-6"/>
          <w:szCs w:val="21"/>
          <w:lang w:val="zh-TW"/>
        </w:rPr>
        <w:t>。</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w:t>
      </w:r>
      <w:r>
        <w:rPr>
          <w:rFonts w:hint="eastAsia" w:ascii="宋体" w:hAnsi="宋体" w:cs="宋体"/>
          <w:spacing w:val="-6"/>
          <w:szCs w:val="21"/>
        </w:rPr>
        <w:t>2</w:t>
      </w:r>
      <w:r>
        <w:rPr>
          <w:rFonts w:hint="eastAsia" w:ascii="宋体" w:hAnsi="宋体" w:cs="宋体"/>
          <w:spacing w:val="-6"/>
          <w:szCs w:val="21"/>
          <w:lang w:val="zh-TW" w:eastAsia="zh-TW"/>
        </w:rPr>
        <w:t>）</w:t>
      </w:r>
      <w:r>
        <w:rPr>
          <w:rFonts w:hint="eastAsia" w:ascii="宋体" w:hAnsi="宋体" w:cs="宋体"/>
          <w:spacing w:val="-6"/>
          <w:szCs w:val="21"/>
        </w:rPr>
        <w:t>参加人员和数量</w:t>
      </w:r>
      <w:r>
        <w:rPr>
          <w:rFonts w:hint="eastAsia" w:ascii="宋体" w:hAnsi="宋体" w:cs="宋体"/>
          <w:spacing w:val="-6"/>
          <w:szCs w:val="21"/>
          <w:lang w:val="zh-TW" w:eastAsia="zh-TW"/>
        </w:rPr>
        <w:t>：</w:t>
      </w:r>
      <w:r>
        <w:rPr>
          <w:rFonts w:hint="eastAsia" w:ascii="宋体" w:hAnsi="宋体" w:cs="宋体"/>
          <w:spacing w:val="-6"/>
          <w:szCs w:val="21"/>
        </w:rPr>
        <w:t>学校党政领导班子</w:t>
      </w:r>
      <w:r>
        <w:rPr>
          <w:rFonts w:hint="eastAsia" w:ascii="宋体" w:hAnsi="宋体" w:cs="宋体"/>
          <w:spacing w:val="-6"/>
          <w:szCs w:val="21"/>
          <w:lang w:val="zh-TW" w:eastAsia="zh-TW"/>
        </w:rPr>
        <w:t>，各学科性学院院长、书记，相关职能部门负责人</w:t>
      </w:r>
      <w:r>
        <w:rPr>
          <w:rFonts w:hint="eastAsia" w:ascii="宋体" w:hAnsi="宋体" w:cs="宋体"/>
          <w:spacing w:val="-6"/>
          <w:szCs w:val="21"/>
          <w:lang w:val="zh-TW"/>
        </w:rPr>
        <w:t>。</w:t>
      </w:r>
      <w:r>
        <w:rPr>
          <w:rFonts w:hint="eastAsia" w:ascii="宋体" w:hAnsi="宋体" w:cs="宋体"/>
          <w:spacing w:val="-6"/>
          <w:szCs w:val="21"/>
        </w:rPr>
        <w:t>2024届学生毕业典礼5000余人，</w:t>
      </w:r>
      <w:r>
        <w:rPr>
          <w:rFonts w:hint="eastAsia" w:ascii="宋体" w:hAnsi="宋体" w:cs="宋体"/>
          <w:spacing w:val="-6"/>
          <w:szCs w:val="21"/>
          <w:lang w:val="zh-TW"/>
        </w:rPr>
        <w:t>开学典礼为</w:t>
      </w:r>
      <w:r>
        <w:rPr>
          <w:rFonts w:hint="eastAsia" w:ascii="宋体" w:hAnsi="宋体" w:cs="宋体"/>
          <w:spacing w:val="-6"/>
          <w:szCs w:val="21"/>
        </w:rPr>
        <w:t>2024级</w:t>
      </w:r>
      <w:r>
        <w:rPr>
          <w:rFonts w:hint="eastAsia" w:ascii="宋体" w:hAnsi="宋体" w:cs="宋体"/>
          <w:spacing w:val="-6"/>
          <w:szCs w:val="21"/>
          <w:lang w:val="zh-TW" w:eastAsia="zh-TW"/>
        </w:rPr>
        <w:t>全日制本科生</w:t>
      </w:r>
      <w:r>
        <w:rPr>
          <w:rFonts w:hint="eastAsia" w:ascii="宋体" w:hAnsi="宋体" w:cs="宋体"/>
          <w:spacing w:val="-6"/>
          <w:szCs w:val="21"/>
        </w:rPr>
        <w:t>约</w:t>
      </w:r>
      <w:r>
        <w:rPr>
          <w:rFonts w:hint="eastAsia" w:ascii="宋体" w:hAnsi="宋体" w:cs="宋体"/>
          <w:spacing w:val="-6"/>
          <w:szCs w:val="21"/>
          <w:lang w:val="zh-TW"/>
        </w:rPr>
        <w:t>4</w:t>
      </w:r>
      <w:r>
        <w:rPr>
          <w:rFonts w:hint="eastAsia" w:ascii="宋体" w:hAnsi="宋体" w:cs="宋体"/>
          <w:spacing w:val="-6"/>
          <w:szCs w:val="21"/>
          <w:lang w:val="zh-TW" w:eastAsia="zh-TW"/>
        </w:rPr>
        <w:t>500人（第一场）；研究生、国际生</w:t>
      </w:r>
      <w:r>
        <w:rPr>
          <w:rFonts w:hint="eastAsia" w:ascii="宋体" w:hAnsi="宋体" w:cs="宋体"/>
          <w:spacing w:val="-6"/>
          <w:szCs w:val="21"/>
        </w:rPr>
        <w:t>约</w:t>
      </w:r>
      <w:r>
        <w:rPr>
          <w:rFonts w:hint="eastAsia" w:ascii="宋体" w:hAnsi="宋体" w:cs="宋体"/>
          <w:spacing w:val="-6"/>
          <w:szCs w:val="21"/>
          <w:lang w:val="zh-TW"/>
        </w:rPr>
        <w:t>2</w:t>
      </w:r>
      <w:r>
        <w:rPr>
          <w:rFonts w:hint="eastAsia" w:ascii="宋体" w:hAnsi="宋体" w:cs="宋体"/>
          <w:spacing w:val="-6"/>
          <w:szCs w:val="21"/>
        </w:rPr>
        <w:t>800</w:t>
      </w:r>
      <w:r>
        <w:rPr>
          <w:rFonts w:hint="eastAsia" w:ascii="宋体" w:hAnsi="宋体" w:cs="宋体"/>
          <w:spacing w:val="-6"/>
          <w:szCs w:val="21"/>
          <w:lang w:val="zh-TW" w:eastAsia="zh-TW"/>
        </w:rPr>
        <w:t>人（第二场）。</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3</w:t>
      </w:r>
      <w:r>
        <w:rPr>
          <w:rFonts w:hint="eastAsia" w:ascii="宋体" w:hAnsi="宋体" w:cs="宋体"/>
          <w:spacing w:val="-6"/>
          <w:szCs w:val="21"/>
          <w:lang w:val="zh-TW" w:eastAsia="zh-TW"/>
        </w:rPr>
        <w:t>）持续时间</w:t>
      </w:r>
      <w:r>
        <w:rPr>
          <w:rFonts w:hint="eastAsia" w:ascii="宋体" w:hAnsi="宋体" w:cs="宋体"/>
          <w:color w:val="000000"/>
          <w:spacing w:val="-6"/>
          <w:szCs w:val="21"/>
          <w:lang w:val="zh-TW" w:eastAsia="zh-TW"/>
        </w:rPr>
        <w:t>：</w:t>
      </w:r>
      <w:r>
        <w:rPr>
          <w:rFonts w:hint="eastAsia" w:ascii="宋体" w:hAnsi="宋体" w:cs="宋体"/>
          <w:color w:val="000000"/>
          <w:spacing w:val="-6"/>
          <w:szCs w:val="21"/>
        </w:rPr>
        <w:t>毕业典礼时长约360分钟；开学典礼每场</w:t>
      </w:r>
      <w:r>
        <w:rPr>
          <w:rFonts w:hint="eastAsia" w:ascii="宋体" w:hAnsi="宋体" w:cs="宋体"/>
          <w:color w:val="000000"/>
          <w:spacing w:val="-6"/>
          <w:szCs w:val="21"/>
          <w:lang w:val="zh-TW" w:eastAsia="zh-TW"/>
        </w:rPr>
        <w:t>时长各约</w:t>
      </w:r>
      <w:r>
        <w:rPr>
          <w:rFonts w:hint="eastAsia" w:ascii="宋体" w:hAnsi="宋体" w:cs="宋体"/>
          <w:color w:val="000000"/>
          <w:spacing w:val="-6"/>
          <w:szCs w:val="21"/>
        </w:rPr>
        <w:t>90</w:t>
      </w:r>
      <w:r>
        <w:rPr>
          <w:rFonts w:hint="eastAsia" w:ascii="宋体" w:hAnsi="宋体" w:cs="宋体"/>
          <w:color w:val="000000"/>
          <w:spacing w:val="-6"/>
          <w:szCs w:val="21"/>
          <w:lang w:val="zh-TW" w:eastAsia="zh-TW"/>
        </w:rPr>
        <w:t>分钟</w:t>
      </w:r>
      <w:r>
        <w:rPr>
          <w:rFonts w:hint="eastAsia" w:ascii="宋体" w:hAnsi="宋体" w:cs="宋体"/>
          <w:color w:val="000000"/>
          <w:spacing w:val="-6"/>
          <w:szCs w:val="21"/>
          <w:lang w:val="zh-TW"/>
        </w:rPr>
        <w:t>；</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4</w:t>
      </w:r>
      <w:r>
        <w:rPr>
          <w:rFonts w:hint="eastAsia" w:ascii="宋体" w:hAnsi="宋体" w:cs="宋体"/>
          <w:spacing w:val="-6"/>
          <w:szCs w:val="21"/>
          <w:lang w:val="zh-TW" w:eastAsia="zh-TW"/>
        </w:rPr>
        <w:t>）舞美要求：室</w:t>
      </w:r>
      <w:r>
        <w:rPr>
          <w:rFonts w:hint="eastAsia" w:ascii="宋体" w:hAnsi="宋体" w:cs="宋体"/>
          <w:spacing w:val="-6"/>
          <w:szCs w:val="21"/>
        </w:rPr>
        <w:t>内</w:t>
      </w:r>
      <w:r>
        <w:rPr>
          <w:rFonts w:hint="eastAsia" w:ascii="宋体" w:hAnsi="宋体" w:cs="宋体"/>
          <w:spacing w:val="-6"/>
          <w:szCs w:val="21"/>
          <w:lang w:val="zh-TW" w:eastAsia="zh-TW"/>
        </w:rPr>
        <w:t>搭台、布置灯光、音响</w:t>
      </w:r>
      <w:r>
        <w:rPr>
          <w:rFonts w:hint="eastAsia" w:ascii="宋体" w:hAnsi="宋体" w:cs="宋体"/>
          <w:spacing w:val="-6"/>
          <w:szCs w:val="21"/>
          <w:lang w:val="zh-TW"/>
        </w:rPr>
        <w:t>、</w:t>
      </w:r>
      <w:r>
        <w:rPr>
          <w:rFonts w:hint="eastAsia" w:ascii="宋体" w:hAnsi="宋体" w:cs="宋体"/>
          <w:spacing w:val="-6"/>
          <w:szCs w:val="21"/>
        </w:rPr>
        <w:t>大屏</w:t>
      </w:r>
      <w:r>
        <w:rPr>
          <w:rFonts w:hint="eastAsia" w:ascii="宋体" w:hAnsi="宋体" w:cs="宋体"/>
          <w:spacing w:val="-6"/>
          <w:szCs w:val="21"/>
          <w:lang w:val="zh-TW" w:eastAsia="zh-TW"/>
        </w:rPr>
        <w:t>等</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5</w:t>
      </w:r>
      <w:r>
        <w:rPr>
          <w:rFonts w:hint="eastAsia" w:ascii="宋体" w:hAnsi="宋体" w:cs="宋体"/>
          <w:spacing w:val="-6"/>
          <w:szCs w:val="21"/>
          <w:lang w:val="zh-TW" w:eastAsia="zh-TW"/>
        </w:rPr>
        <w:t>）现场禁忌：火、吸烟</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6</w:t>
      </w:r>
      <w:r>
        <w:rPr>
          <w:rFonts w:hint="eastAsia" w:ascii="宋体" w:hAnsi="宋体" w:cs="宋体"/>
          <w:spacing w:val="-6"/>
          <w:szCs w:val="21"/>
          <w:lang w:val="zh-TW" w:eastAsia="zh-TW"/>
        </w:rPr>
        <w:t>）时间进程：</w:t>
      </w:r>
    </w:p>
    <w:p>
      <w:pPr>
        <w:spacing w:line="360" w:lineRule="auto"/>
        <w:ind w:firstLine="596" w:firstLineChars="300"/>
        <w:rPr>
          <w:rFonts w:ascii="宋体" w:hAnsi="宋体" w:cs="宋体"/>
          <w:b/>
          <w:bCs/>
          <w:spacing w:val="-6"/>
          <w:szCs w:val="21"/>
        </w:rPr>
      </w:pPr>
      <w:r>
        <w:rPr>
          <w:rFonts w:hint="eastAsia" w:ascii="宋体" w:hAnsi="宋体" w:cs="宋体"/>
          <w:b/>
          <w:bCs/>
          <w:spacing w:val="-6"/>
          <w:szCs w:val="21"/>
        </w:rPr>
        <w:t>A 2024届学生毕业典礼</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rPr>
        <w:t>2024年6月23</w:t>
      </w:r>
      <w:r>
        <w:rPr>
          <w:rFonts w:hint="eastAsia" w:ascii="宋体" w:hAnsi="宋体" w:cs="宋体"/>
          <w:spacing w:val="-6"/>
          <w:szCs w:val="21"/>
          <w:lang w:val="zh-TW" w:eastAsia="zh-TW"/>
        </w:rPr>
        <w:t>日</w:t>
      </w:r>
      <w:r>
        <w:rPr>
          <w:rFonts w:hint="eastAsia" w:ascii="宋体" w:hAnsi="宋体" w:cs="宋体"/>
          <w:spacing w:val="-6"/>
          <w:szCs w:val="21"/>
          <w:lang w:val="zh-TW"/>
        </w:rPr>
        <w:t>晚上</w:t>
      </w:r>
      <w:r>
        <w:rPr>
          <w:rFonts w:hint="eastAsia" w:ascii="宋体" w:hAnsi="宋体" w:cs="宋体"/>
          <w:spacing w:val="-6"/>
          <w:szCs w:val="21"/>
        </w:rPr>
        <w:t>20:00</w:t>
      </w:r>
      <w:r>
        <w:rPr>
          <w:rFonts w:hint="eastAsia" w:ascii="宋体" w:hAnsi="宋体" w:cs="宋体"/>
          <w:spacing w:val="-6"/>
          <w:szCs w:val="21"/>
          <w:lang w:val="zh-TW" w:eastAsia="zh-TW"/>
        </w:rPr>
        <w:t>前设备调试完毕，满足</w:t>
      </w:r>
      <w:r>
        <w:rPr>
          <w:rFonts w:hint="eastAsia" w:ascii="宋体" w:hAnsi="宋体" w:cs="宋体"/>
          <w:spacing w:val="-6"/>
          <w:szCs w:val="21"/>
        </w:rPr>
        <w:t>毕业典礼</w:t>
      </w:r>
      <w:r>
        <w:rPr>
          <w:rFonts w:hint="eastAsia" w:ascii="宋体" w:hAnsi="宋体" w:cs="宋体"/>
          <w:spacing w:val="-6"/>
          <w:szCs w:val="21"/>
          <w:lang w:val="zh-TW" w:eastAsia="zh-TW"/>
        </w:rPr>
        <w:t>前进行彩排的各项要求，并在彩排期间对设备进行再次调试；</w:t>
      </w:r>
    </w:p>
    <w:p>
      <w:pPr>
        <w:spacing w:line="360" w:lineRule="auto"/>
        <w:ind w:firstLine="396" w:firstLineChars="200"/>
        <w:rPr>
          <w:rFonts w:ascii="宋体" w:hAnsi="宋体" w:cs="宋体"/>
          <w:spacing w:val="-6"/>
          <w:szCs w:val="21"/>
        </w:rPr>
      </w:pPr>
      <w:r>
        <w:rPr>
          <w:rFonts w:hint="eastAsia" w:ascii="宋体" w:hAnsi="宋体" w:cs="宋体"/>
          <w:spacing w:val="-6"/>
          <w:szCs w:val="21"/>
        </w:rPr>
        <w:t>2024年6月24</w:t>
      </w:r>
      <w:r>
        <w:rPr>
          <w:rFonts w:hint="eastAsia" w:ascii="宋体" w:hAnsi="宋体" w:cs="宋体"/>
          <w:spacing w:val="-6"/>
          <w:szCs w:val="21"/>
          <w:lang w:val="zh-TW" w:eastAsia="zh-TW"/>
        </w:rPr>
        <w:t>日</w:t>
      </w:r>
      <w:r>
        <w:rPr>
          <w:rFonts w:hint="eastAsia" w:ascii="宋体" w:hAnsi="宋体" w:cs="宋体"/>
          <w:spacing w:val="-6"/>
          <w:szCs w:val="21"/>
          <w:lang w:val="zh-TW"/>
        </w:rPr>
        <w:t>—</w:t>
      </w:r>
      <w:r>
        <w:rPr>
          <w:rFonts w:hint="eastAsia" w:ascii="宋体" w:hAnsi="宋体" w:cs="宋体"/>
          <w:spacing w:val="-6"/>
          <w:szCs w:val="21"/>
        </w:rPr>
        <w:t>2024年6月25日</w:t>
      </w:r>
      <w:r>
        <w:rPr>
          <w:rFonts w:hint="eastAsia" w:ascii="宋体" w:hAnsi="宋体" w:cs="宋体"/>
          <w:spacing w:val="-6"/>
          <w:szCs w:val="21"/>
          <w:lang w:val="zh-TW" w:eastAsia="zh-TW"/>
        </w:rPr>
        <w:t>为整体彩排时间；</w:t>
      </w:r>
    </w:p>
    <w:p>
      <w:pPr>
        <w:spacing w:line="360" w:lineRule="auto"/>
        <w:ind w:firstLine="396" w:firstLineChars="200"/>
        <w:rPr>
          <w:rFonts w:ascii="宋体" w:hAnsi="宋体" w:cs="宋体"/>
          <w:spacing w:val="-6"/>
          <w:szCs w:val="21"/>
        </w:rPr>
      </w:pPr>
      <w:r>
        <w:rPr>
          <w:rFonts w:hint="eastAsia" w:ascii="宋体" w:hAnsi="宋体" w:cs="宋体"/>
          <w:spacing w:val="-6"/>
          <w:szCs w:val="21"/>
        </w:rPr>
        <w:t>2024年6月26日上午8:30毕业典礼正式开始</w:t>
      </w:r>
      <w:r>
        <w:rPr>
          <w:rFonts w:hint="eastAsia" w:ascii="宋体" w:hAnsi="宋体" w:cs="宋体"/>
          <w:spacing w:val="-6"/>
          <w:szCs w:val="21"/>
          <w:lang w:val="zh-TW" w:eastAsia="zh-TW"/>
        </w:rPr>
        <w:t>直到</w:t>
      </w:r>
      <w:r>
        <w:rPr>
          <w:rFonts w:hint="eastAsia" w:ascii="宋体" w:hAnsi="宋体" w:cs="宋体"/>
          <w:spacing w:val="-6"/>
          <w:szCs w:val="21"/>
        </w:rPr>
        <w:t>典礼和学位授予仪式</w:t>
      </w:r>
      <w:r>
        <w:rPr>
          <w:rFonts w:hint="eastAsia" w:ascii="宋体" w:hAnsi="宋体" w:cs="宋体"/>
          <w:spacing w:val="-6"/>
          <w:szCs w:val="21"/>
          <w:lang w:val="zh-TW" w:eastAsia="zh-TW"/>
        </w:rPr>
        <w:t>结束；</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rPr>
        <w:t>2024年6月27</w:t>
      </w:r>
      <w:r>
        <w:rPr>
          <w:rFonts w:hint="eastAsia" w:ascii="宋体" w:hAnsi="宋体" w:cs="宋体"/>
          <w:spacing w:val="-6"/>
          <w:szCs w:val="21"/>
          <w:lang w:val="zh-TW" w:eastAsia="zh-TW"/>
        </w:rPr>
        <w:t>日前清场完毕</w:t>
      </w:r>
      <w:r>
        <w:rPr>
          <w:rFonts w:hint="eastAsia" w:ascii="宋体" w:hAnsi="宋体" w:cs="宋体"/>
          <w:spacing w:val="-6"/>
          <w:szCs w:val="21"/>
          <w:lang w:val="zh-TW"/>
        </w:rPr>
        <w:t>。</w:t>
      </w:r>
    </w:p>
    <w:p>
      <w:pPr>
        <w:spacing w:line="360" w:lineRule="auto"/>
        <w:ind w:firstLine="596" w:firstLineChars="300"/>
        <w:rPr>
          <w:rFonts w:ascii="宋体" w:hAnsi="宋体" w:cs="宋体"/>
          <w:b/>
          <w:bCs/>
          <w:spacing w:val="-6"/>
          <w:szCs w:val="21"/>
        </w:rPr>
      </w:pPr>
      <w:r>
        <w:rPr>
          <w:rFonts w:hint="eastAsia" w:ascii="宋体" w:hAnsi="宋体" w:cs="宋体"/>
          <w:b/>
          <w:bCs/>
          <w:spacing w:val="-6"/>
          <w:szCs w:val="21"/>
        </w:rPr>
        <w:t>B 2024级新生开学典礼</w:t>
      </w:r>
    </w:p>
    <w:p>
      <w:pPr>
        <w:spacing w:line="360" w:lineRule="auto"/>
        <w:ind w:firstLine="396" w:firstLineChars="200"/>
        <w:rPr>
          <w:rFonts w:ascii="宋体" w:hAnsi="宋体" w:cs="宋体"/>
          <w:szCs w:val="21"/>
        </w:rPr>
      </w:pPr>
      <w:r>
        <w:rPr>
          <w:rFonts w:hint="eastAsia" w:ascii="宋体" w:hAnsi="宋体" w:cs="宋体"/>
          <w:spacing w:val="-6"/>
          <w:szCs w:val="21"/>
        </w:rPr>
        <w:t>根据学校整体安排，待时间确定之后，在正式活动前4天，完成设备调试，满足开学典礼</w:t>
      </w:r>
      <w:r>
        <w:rPr>
          <w:rFonts w:hint="eastAsia" w:ascii="宋体" w:hAnsi="宋体" w:cs="宋体"/>
          <w:spacing w:val="-6"/>
          <w:szCs w:val="21"/>
          <w:lang w:val="zh-TW" w:eastAsia="zh-TW"/>
        </w:rPr>
        <w:t>前进行彩排的各项要求</w:t>
      </w:r>
      <w:r>
        <w:rPr>
          <w:rFonts w:hint="eastAsia" w:ascii="宋体" w:hAnsi="宋体" w:cs="宋体"/>
          <w:spacing w:val="-6"/>
          <w:szCs w:val="21"/>
          <w:lang w:val="zh-TW"/>
        </w:rPr>
        <w:t>，</w:t>
      </w:r>
      <w:r>
        <w:rPr>
          <w:rFonts w:hint="eastAsia" w:ascii="宋体" w:hAnsi="宋体" w:cs="宋体"/>
          <w:spacing w:val="-6"/>
          <w:szCs w:val="21"/>
        </w:rPr>
        <w:t>期间配合学校做好彩排工作，活动结束后两天内完成清场工作。</w:t>
      </w:r>
    </w:p>
    <w:p>
      <w:pPr>
        <w:spacing w:line="360" w:lineRule="auto"/>
        <w:ind w:firstLine="398" w:firstLineChars="200"/>
        <w:rPr>
          <w:rFonts w:ascii="宋体" w:hAnsi="宋体" w:cs="宋体"/>
          <w:spacing w:val="-6"/>
          <w:szCs w:val="21"/>
        </w:rPr>
      </w:pPr>
      <w:r>
        <w:rPr>
          <w:rFonts w:hint="eastAsia" w:ascii="宋体" w:hAnsi="宋体" w:cs="宋体"/>
          <w:b/>
          <w:bCs/>
          <w:spacing w:val="-6"/>
          <w:szCs w:val="21"/>
          <w:lang w:val="zh-TW" w:eastAsia="zh-TW"/>
        </w:rPr>
        <w:t>特别提示：</w:t>
      </w:r>
      <w:r>
        <w:rPr>
          <w:rFonts w:hint="eastAsia" w:ascii="宋体" w:hAnsi="宋体" w:cs="宋体"/>
          <w:b/>
          <w:bCs/>
          <w:spacing w:val="-6"/>
          <w:szCs w:val="21"/>
        </w:rPr>
        <w:t>每场活动</w:t>
      </w:r>
      <w:r>
        <w:rPr>
          <w:rFonts w:hint="eastAsia" w:ascii="宋体" w:hAnsi="宋体" w:cs="宋体"/>
          <w:b/>
          <w:bCs/>
          <w:spacing w:val="-6"/>
          <w:szCs w:val="21"/>
          <w:lang w:val="zh-TW" w:eastAsia="zh-TW"/>
        </w:rPr>
        <w:t>音响系统的使用、调音师、</w:t>
      </w:r>
      <w:r>
        <w:rPr>
          <w:rFonts w:hint="eastAsia" w:ascii="宋体" w:hAnsi="宋体" w:cs="宋体"/>
          <w:b/>
          <w:bCs/>
          <w:spacing w:val="-6"/>
          <w:szCs w:val="21"/>
        </w:rPr>
        <w:t>LED</w:t>
      </w:r>
      <w:r>
        <w:rPr>
          <w:rFonts w:hint="eastAsia" w:ascii="宋体" w:hAnsi="宋体" w:cs="宋体"/>
          <w:b/>
          <w:bCs/>
          <w:spacing w:val="-6"/>
          <w:szCs w:val="21"/>
          <w:lang w:val="zh-TW" w:eastAsia="zh-TW"/>
        </w:rPr>
        <w:t>调试及技术员</w:t>
      </w:r>
      <w:r>
        <w:rPr>
          <w:rFonts w:hint="eastAsia" w:ascii="宋体" w:hAnsi="宋体" w:cs="宋体"/>
          <w:b/>
          <w:bCs/>
          <w:spacing w:val="-6"/>
          <w:szCs w:val="21"/>
          <w:lang w:val="zh-TW"/>
        </w:rPr>
        <w:t>（至少各</w:t>
      </w:r>
      <w:r>
        <w:rPr>
          <w:rFonts w:hint="eastAsia" w:ascii="宋体" w:hAnsi="宋体" w:cs="宋体"/>
          <w:b/>
          <w:bCs/>
          <w:spacing w:val="-6"/>
          <w:szCs w:val="21"/>
        </w:rPr>
        <w:t>2</w:t>
      </w:r>
      <w:r>
        <w:rPr>
          <w:rFonts w:hint="eastAsia" w:ascii="宋体" w:hAnsi="宋体" w:cs="宋体"/>
          <w:b/>
          <w:bCs/>
          <w:spacing w:val="-6"/>
          <w:szCs w:val="21"/>
          <w:lang w:val="zh-TW"/>
        </w:rPr>
        <w:t>人，总数不少于</w:t>
      </w:r>
      <w:r>
        <w:rPr>
          <w:rFonts w:hint="eastAsia" w:ascii="宋体" w:hAnsi="宋体" w:cs="宋体"/>
          <w:b/>
          <w:bCs/>
          <w:spacing w:val="-6"/>
          <w:szCs w:val="21"/>
        </w:rPr>
        <w:t>10</w:t>
      </w:r>
      <w:r>
        <w:rPr>
          <w:rFonts w:hint="eastAsia" w:ascii="宋体" w:hAnsi="宋体" w:cs="宋体"/>
          <w:b/>
          <w:bCs/>
          <w:spacing w:val="-6"/>
          <w:szCs w:val="21"/>
          <w:lang w:val="zh-TW"/>
        </w:rPr>
        <w:t>人）</w:t>
      </w:r>
      <w:r>
        <w:rPr>
          <w:rFonts w:hint="eastAsia" w:ascii="宋体" w:hAnsi="宋体" w:cs="宋体"/>
          <w:b/>
          <w:bCs/>
          <w:spacing w:val="-6"/>
          <w:szCs w:val="21"/>
          <w:lang w:val="zh-TW" w:eastAsia="zh-TW"/>
        </w:rPr>
        <w:t>在彩排、调试、正式</w:t>
      </w:r>
      <w:r>
        <w:rPr>
          <w:rFonts w:hint="eastAsia" w:ascii="宋体" w:hAnsi="宋体" w:cs="宋体"/>
          <w:b/>
          <w:bCs/>
          <w:spacing w:val="-6"/>
          <w:szCs w:val="21"/>
        </w:rPr>
        <w:t>活动</w:t>
      </w:r>
      <w:r>
        <w:rPr>
          <w:rFonts w:hint="eastAsia" w:ascii="宋体" w:hAnsi="宋体" w:cs="宋体"/>
          <w:b/>
          <w:bCs/>
          <w:spacing w:val="-6"/>
          <w:szCs w:val="21"/>
          <w:lang w:val="zh-TW" w:eastAsia="zh-TW"/>
        </w:rPr>
        <w:t>使用期间需全程参加。</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4</w:t>
      </w:r>
      <w:r>
        <w:rPr>
          <w:rFonts w:hint="eastAsia" w:ascii="宋体" w:hAnsi="宋体" w:cs="宋体"/>
          <w:b/>
          <w:bCs/>
          <w:spacing w:val="-6"/>
          <w:szCs w:val="21"/>
          <w:lang w:val="zh-TW" w:eastAsia="zh-TW"/>
        </w:rPr>
        <w:t>、舞</w:t>
      </w:r>
      <w:r>
        <w:rPr>
          <w:rFonts w:hint="eastAsia" w:ascii="宋体" w:hAnsi="宋体" w:cs="宋体"/>
          <w:b/>
          <w:bCs/>
          <w:spacing w:val="-6"/>
          <w:szCs w:val="21"/>
        </w:rPr>
        <w:t>美</w:t>
      </w:r>
      <w:r>
        <w:rPr>
          <w:rFonts w:hint="eastAsia" w:ascii="宋体" w:hAnsi="宋体" w:cs="宋体"/>
          <w:b/>
          <w:bCs/>
          <w:spacing w:val="-6"/>
          <w:szCs w:val="21"/>
          <w:lang w:val="zh-TW" w:eastAsia="zh-TW"/>
        </w:rPr>
        <w:t>设计制作说明：</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1</w:t>
      </w:r>
      <w:r>
        <w:rPr>
          <w:rFonts w:hint="eastAsia" w:ascii="宋体" w:hAnsi="宋体" w:cs="宋体"/>
          <w:spacing w:val="-6"/>
          <w:szCs w:val="21"/>
          <w:lang w:val="zh-TW" w:eastAsia="zh-TW"/>
        </w:rPr>
        <w:t>）主舞台：钢结构舞台要适合典礼及节目穿插使用，须有造型并体现大学</w:t>
      </w:r>
      <w:r>
        <w:rPr>
          <w:rFonts w:hint="eastAsia" w:ascii="宋体" w:hAnsi="宋体" w:cs="宋体"/>
          <w:spacing w:val="-6"/>
          <w:szCs w:val="21"/>
        </w:rPr>
        <w:t>校园</w:t>
      </w:r>
      <w:r>
        <w:rPr>
          <w:rFonts w:hint="eastAsia" w:ascii="宋体" w:hAnsi="宋体" w:cs="宋体"/>
          <w:spacing w:val="-6"/>
          <w:szCs w:val="21"/>
          <w:lang w:val="zh-TW" w:eastAsia="zh-TW"/>
        </w:rPr>
        <w:t>的文化特色并与</w:t>
      </w:r>
      <w:r>
        <w:rPr>
          <w:rFonts w:hint="eastAsia" w:ascii="宋体" w:hAnsi="宋体" w:cs="宋体"/>
          <w:spacing w:val="-6"/>
          <w:szCs w:val="21"/>
        </w:rPr>
        <w:t>典礼</w:t>
      </w:r>
      <w:r>
        <w:rPr>
          <w:rFonts w:hint="eastAsia" w:ascii="宋体" w:hAnsi="宋体" w:cs="宋体"/>
          <w:spacing w:val="-6"/>
          <w:szCs w:val="21"/>
          <w:lang w:val="zh-TW" w:eastAsia="zh-TW"/>
        </w:rPr>
        <w:t>已有场景融为一体；要稳固安全，不能发生摇晃、或者发出异响等现象；如果对已有场地进行改造，则活动结束后要恢复原样。</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2</w:t>
      </w:r>
      <w:r>
        <w:rPr>
          <w:rFonts w:hint="eastAsia" w:ascii="宋体" w:hAnsi="宋体" w:cs="宋体"/>
          <w:spacing w:val="-6"/>
          <w:szCs w:val="21"/>
          <w:lang w:val="zh-TW" w:eastAsia="zh-TW"/>
        </w:rPr>
        <w:t>）其它要求：</w:t>
      </w:r>
    </w:p>
    <w:p>
      <w:pPr>
        <w:spacing w:line="360" w:lineRule="auto"/>
        <w:ind w:firstLine="396" w:firstLineChars="200"/>
        <w:rPr>
          <w:rFonts w:ascii="宋体" w:hAnsi="宋体" w:cs="宋体"/>
          <w:spacing w:val="-6"/>
          <w:szCs w:val="21"/>
        </w:rPr>
      </w:pPr>
      <w:r>
        <w:rPr>
          <w:rFonts w:hint="eastAsia" w:ascii="宋体" w:hAnsi="宋体" w:cs="宋体"/>
          <w:spacing w:val="-6"/>
          <w:szCs w:val="21"/>
        </w:rPr>
        <w:t>A</w:t>
      </w:r>
      <w:r>
        <w:rPr>
          <w:rFonts w:hint="eastAsia" w:ascii="宋体" w:hAnsi="宋体" w:cs="宋体"/>
          <w:spacing w:val="-6"/>
          <w:szCs w:val="21"/>
          <w:lang w:val="zh-TW" w:eastAsia="zh-TW"/>
        </w:rPr>
        <w:t>．所有使用的电线、电缆必须采用国家免检产品，电路变电箱、控制箱须安装在比较方便检修地方（且须有专人负责）。</w:t>
      </w:r>
    </w:p>
    <w:p>
      <w:pPr>
        <w:spacing w:line="360" w:lineRule="auto"/>
        <w:ind w:firstLine="396" w:firstLineChars="200"/>
        <w:rPr>
          <w:rFonts w:ascii="宋体" w:hAnsi="宋体" w:cs="宋体"/>
          <w:spacing w:val="-6"/>
          <w:szCs w:val="21"/>
        </w:rPr>
      </w:pPr>
      <w:r>
        <w:rPr>
          <w:rFonts w:hint="eastAsia" w:ascii="宋体" w:hAnsi="宋体" w:cs="宋体"/>
          <w:spacing w:val="-6"/>
          <w:szCs w:val="21"/>
        </w:rPr>
        <w:t>B</w:t>
      </w:r>
      <w:r>
        <w:rPr>
          <w:rFonts w:hint="eastAsia" w:ascii="宋体" w:hAnsi="宋体" w:cs="宋体"/>
          <w:spacing w:val="-6"/>
          <w:szCs w:val="21"/>
          <w:lang w:val="zh-TW" w:eastAsia="zh-TW"/>
        </w:rPr>
        <w:t>．灯光配电箱输出系统必须是</w:t>
      </w:r>
      <w:r>
        <w:rPr>
          <w:rFonts w:hint="eastAsia" w:ascii="宋体" w:hAnsi="宋体" w:cs="宋体"/>
          <w:spacing w:val="-6"/>
          <w:szCs w:val="21"/>
        </w:rPr>
        <w:t>16A</w:t>
      </w:r>
      <w:r>
        <w:rPr>
          <w:rFonts w:hint="eastAsia" w:ascii="宋体" w:hAnsi="宋体" w:cs="宋体"/>
          <w:spacing w:val="-6"/>
          <w:szCs w:val="21"/>
          <w:lang w:val="zh-TW" w:eastAsia="zh-TW"/>
        </w:rPr>
        <w:t>航空防水插头或</w:t>
      </w:r>
      <w:r>
        <w:rPr>
          <w:rFonts w:hint="eastAsia" w:ascii="宋体" w:hAnsi="宋体" w:cs="宋体"/>
          <w:spacing w:val="-6"/>
          <w:szCs w:val="21"/>
        </w:rPr>
        <w:t>19</w:t>
      </w:r>
      <w:r>
        <w:rPr>
          <w:rFonts w:hint="eastAsia" w:ascii="宋体" w:hAnsi="宋体" w:cs="宋体"/>
          <w:spacing w:val="-6"/>
          <w:szCs w:val="21"/>
          <w:lang w:val="zh-TW" w:eastAsia="zh-TW"/>
        </w:rPr>
        <w:t>芯航空插头，禁止使用</w:t>
      </w:r>
      <w:r>
        <w:rPr>
          <w:rFonts w:hint="eastAsia" w:ascii="宋体" w:hAnsi="宋体" w:cs="宋体"/>
          <w:spacing w:val="-6"/>
          <w:szCs w:val="21"/>
        </w:rPr>
        <w:t>10A</w:t>
      </w:r>
      <w:r>
        <w:rPr>
          <w:rFonts w:hint="eastAsia" w:ascii="宋体" w:hAnsi="宋体" w:cs="宋体"/>
          <w:spacing w:val="-6"/>
          <w:szCs w:val="21"/>
          <w:lang w:val="zh-TW" w:eastAsia="zh-TW"/>
        </w:rPr>
        <w:t>或者</w:t>
      </w:r>
      <w:r>
        <w:rPr>
          <w:rFonts w:hint="eastAsia" w:ascii="宋体" w:hAnsi="宋体" w:cs="宋体"/>
          <w:spacing w:val="-6"/>
          <w:szCs w:val="21"/>
        </w:rPr>
        <w:t>16A</w:t>
      </w:r>
      <w:r>
        <w:rPr>
          <w:rFonts w:hint="eastAsia" w:ascii="宋体" w:hAnsi="宋体" w:cs="宋体"/>
          <w:spacing w:val="-6"/>
          <w:szCs w:val="21"/>
          <w:lang w:val="zh-TW" w:eastAsia="zh-TW"/>
        </w:rPr>
        <w:t>胶木插头。</w:t>
      </w:r>
    </w:p>
    <w:p>
      <w:pPr>
        <w:spacing w:line="360" w:lineRule="auto"/>
        <w:ind w:firstLine="396" w:firstLineChars="200"/>
        <w:rPr>
          <w:rFonts w:ascii="宋体" w:hAnsi="宋体" w:cs="宋体"/>
          <w:spacing w:val="-6"/>
          <w:szCs w:val="21"/>
        </w:rPr>
      </w:pPr>
      <w:r>
        <w:rPr>
          <w:rFonts w:hint="eastAsia" w:ascii="宋体" w:hAnsi="宋体" w:cs="宋体"/>
          <w:spacing w:val="-6"/>
          <w:szCs w:val="21"/>
        </w:rPr>
        <w:t>C</w:t>
      </w:r>
      <w:r>
        <w:rPr>
          <w:rFonts w:hint="eastAsia" w:ascii="宋体" w:hAnsi="宋体" w:cs="宋体"/>
          <w:spacing w:val="-6"/>
          <w:szCs w:val="21"/>
          <w:lang w:val="zh-TW" w:eastAsia="zh-TW"/>
        </w:rPr>
        <w:t>．所使用的搭建材料均须达到国家规定的环保质量要求及标准，不得在搭建验收前后散发刺激性或令人不快的气味。</w:t>
      </w:r>
    </w:p>
    <w:p>
      <w:pPr>
        <w:spacing w:line="360" w:lineRule="auto"/>
        <w:ind w:firstLine="396" w:firstLineChars="200"/>
        <w:rPr>
          <w:rFonts w:ascii="宋体" w:hAnsi="宋体" w:cs="宋体"/>
          <w:spacing w:val="-6"/>
          <w:szCs w:val="21"/>
        </w:rPr>
      </w:pPr>
      <w:r>
        <w:rPr>
          <w:rFonts w:hint="eastAsia" w:ascii="宋体" w:hAnsi="宋体" w:cs="宋体"/>
          <w:spacing w:val="-6"/>
          <w:szCs w:val="21"/>
        </w:rPr>
        <w:t>D</w:t>
      </w:r>
      <w:r>
        <w:rPr>
          <w:rFonts w:hint="eastAsia" w:ascii="宋体" w:hAnsi="宋体" w:cs="宋体"/>
          <w:spacing w:val="-6"/>
          <w:szCs w:val="21"/>
          <w:lang w:val="zh-TW" w:eastAsia="zh-TW"/>
        </w:rPr>
        <w:t>．舞台两侧配置一定数量的灭火器</w:t>
      </w:r>
      <w:r>
        <w:rPr>
          <w:rFonts w:hint="eastAsia" w:ascii="宋体" w:hAnsi="宋体" w:cs="宋体"/>
          <w:spacing w:val="-6"/>
          <w:szCs w:val="21"/>
        </w:rPr>
        <w:t> </w:t>
      </w:r>
      <w:r>
        <w:rPr>
          <w:rFonts w:hint="eastAsia" w:ascii="宋体" w:hAnsi="宋体" w:cs="宋体"/>
          <w:spacing w:val="-6"/>
          <w:szCs w:val="21"/>
          <w:lang w:val="zh-TW" w:eastAsia="zh-TW"/>
        </w:rPr>
        <w:t>。</w:t>
      </w:r>
    </w:p>
    <w:p>
      <w:pPr>
        <w:spacing w:line="360" w:lineRule="auto"/>
        <w:ind w:firstLine="396" w:firstLineChars="200"/>
        <w:rPr>
          <w:rFonts w:ascii="宋体" w:hAnsi="宋体" w:cs="宋体"/>
          <w:spacing w:val="-6"/>
          <w:szCs w:val="21"/>
        </w:rPr>
      </w:pPr>
      <w:r>
        <w:rPr>
          <w:rFonts w:hint="eastAsia" w:ascii="宋体" w:hAnsi="宋体" w:cs="宋体"/>
          <w:spacing w:val="-6"/>
          <w:szCs w:val="21"/>
        </w:rPr>
        <w:t>E</w:t>
      </w:r>
      <w:r>
        <w:rPr>
          <w:rFonts w:hint="eastAsia" w:ascii="宋体" w:hAnsi="宋体" w:cs="宋体"/>
          <w:spacing w:val="-6"/>
          <w:szCs w:val="21"/>
          <w:lang w:val="zh-TW" w:eastAsia="zh-TW"/>
        </w:rPr>
        <w:t>．另需提供后附清单中未列明、为保证舞美效果所需的小型设备；提供各块</w:t>
      </w:r>
      <w:r>
        <w:rPr>
          <w:rFonts w:hint="eastAsia" w:ascii="宋体" w:hAnsi="宋体" w:cs="宋体"/>
          <w:spacing w:val="-6"/>
          <w:szCs w:val="21"/>
        </w:rPr>
        <w:t>LED</w:t>
      </w:r>
      <w:r>
        <w:rPr>
          <w:rFonts w:hint="eastAsia" w:ascii="宋体" w:hAnsi="宋体" w:cs="宋体"/>
          <w:spacing w:val="-6"/>
          <w:szCs w:val="21"/>
          <w:lang w:val="zh-TW" w:eastAsia="zh-TW"/>
        </w:rPr>
        <w:t>视频衔接效果的技术支持。</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lang w:val="zh-TW" w:eastAsia="zh-TW"/>
        </w:rPr>
        <w:t>（</w:t>
      </w:r>
      <w:r>
        <w:rPr>
          <w:rFonts w:hint="eastAsia" w:ascii="宋体" w:hAnsi="宋体" w:cs="宋体"/>
          <w:spacing w:val="-6"/>
          <w:szCs w:val="21"/>
        </w:rPr>
        <w:t>3</w:t>
      </w:r>
      <w:r>
        <w:rPr>
          <w:rFonts w:hint="eastAsia" w:ascii="宋体" w:hAnsi="宋体" w:cs="宋体"/>
          <w:spacing w:val="-6"/>
          <w:szCs w:val="21"/>
          <w:lang w:val="zh-TW" w:eastAsia="zh-TW"/>
        </w:rPr>
        <w:t>）舞台效果图：</w:t>
      </w:r>
      <w:r>
        <w:rPr>
          <w:rFonts w:hint="eastAsia" w:ascii="宋体" w:hAnsi="宋体" w:cs="宋体"/>
          <w:spacing w:val="-6"/>
          <w:szCs w:val="21"/>
          <w:lang w:val="zh-TW"/>
        </w:rPr>
        <w:t>响应方</w:t>
      </w:r>
      <w:r>
        <w:rPr>
          <w:rFonts w:hint="eastAsia" w:ascii="宋体" w:hAnsi="宋体" w:cs="宋体"/>
          <w:spacing w:val="-6"/>
          <w:szCs w:val="21"/>
          <w:lang w:val="zh-TW" w:eastAsia="zh-TW"/>
        </w:rPr>
        <w:t>须根据采购</w:t>
      </w:r>
      <w:r>
        <w:rPr>
          <w:rFonts w:hint="eastAsia" w:ascii="宋体" w:hAnsi="宋体" w:cs="宋体"/>
          <w:spacing w:val="-6"/>
          <w:szCs w:val="21"/>
          <w:lang w:val="zh-TW"/>
        </w:rPr>
        <w:t>方</w:t>
      </w:r>
      <w:r>
        <w:rPr>
          <w:rFonts w:hint="eastAsia" w:ascii="宋体" w:hAnsi="宋体" w:cs="宋体"/>
          <w:spacing w:val="-6"/>
          <w:szCs w:val="21"/>
          <w:lang w:val="zh-TW" w:eastAsia="zh-TW"/>
        </w:rPr>
        <w:t>需求提交</w:t>
      </w:r>
      <w:r>
        <w:rPr>
          <w:rFonts w:hint="eastAsia" w:ascii="宋体" w:hAnsi="宋体" w:cs="宋体"/>
          <w:bCs/>
          <w:szCs w:val="21"/>
        </w:rPr>
        <w:t>浙江工商大学2024届学生毕业典礼和2024级新生开学典礼的</w:t>
      </w:r>
      <w:r>
        <w:rPr>
          <w:rFonts w:hint="eastAsia" w:ascii="宋体" w:hAnsi="宋体" w:cs="宋体"/>
          <w:spacing w:val="-6"/>
          <w:szCs w:val="21"/>
          <w:lang w:val="zh-TW" w:eastAsia="zh-TW"/>
        </w:rPr>
        <w:t>舞台</w:t>
      </w:r>
      <w:r>
        <w:rPr>
          <w:rFonts w:hint="eastAsia" w:ascii="宋体" w:hAnsi="宋体" w:cs="宋体"/>
          <w:spacing w:val="-6"/>
          <w:szCs w:val="21"/>
        </w:rPr>
        <w:t>设计方案</w:t>
      </w:r>
      <w:r>
        <w:rPr>
          <w:rFonts w:hint="eastAsia" w:ascii="宋体" w:hAnsi="宋体" w:cs="宋体"/>
          <w:spacing w:val="-6"/>
          <w:szCs w:val="21"/>
          <w:lang w:val="zh-TW" w:eastAsia="zh-TW"/>
        </w:rPr>
        <w:t>和</w:t>
      </w:r>
      <w:r>
        <w:rPr>
          <w:rFonts w:hint="eastAsia" w:ascii="宋体" w:hAnsi="宋体" w:cs="宋体"/>
          <w:spacing w:val="-6"/>
          <w:szCs w:val="21"/>
        </w:rPr>
        <w:t>舞美灯光</w:t>
      </w:r>
      <w:r>
        <w:rPr>
          <w:rFonts w:hint="eastAsia" w:ascii="宋体" w:hAnsi="宋体" w:cs="宋体"/>
          <w:spacing w:val="-6"/>
          <w:szCs w:val="21"/>
          <w:lang w:val="zh-TW" w:eastAsia="zh-TW"/>
        </w:rPr>
        <w:t>效果图</w:t>
      </w:r>
      <w:r>
        <w:rPr>
          <w:rFonts w:hint="eastAsia" w:ascii="宋体" w:hAnsi="宋体" w:cs="宋体"/>
          <w:spacing w:val="-6"/>
          <w:szCs w:val="21"/>
          <w:lang w:val="zh-TW"/>
        </w:rPr>
        <w:t>（</w:t>
      </w:r>
      <w:r>
        <w:rPr>
          <w:rFonts w:hint="eastAsia" w:ascii="宋体" w:hAnsi="宋体" w:cs="宋体"/>
          <w:spacing w:val="-6"/>
          <w:szCs w:val="21"/>
          <w:lang w:val="zh-TW" w:eastAsia="zh-TW"/>
        </w:rPr>
        <w:t>舞台效果图</w:t>
      </w:r>
      <w:r>
        <w:rPr>
          <w:rFonts w:hint="eastAsia" w:ascii="宋体" w:hAnsi="宋体" w:cs="宋体"/>
          <w:spacing w:val="-6"/>
          <w:szCs w:val="21"/>
          <w:lang w:val="zh-TW"/>
        </w:rPr>
        <w:t>和灯光效果图各不少于5张），</w:t>
      </w:r>
      <w:r>
        <w:rPr>
          <w:rFonts w:hint="eastAsia" w:ascii="宋体" w:hAnsi="宋体" w:cs="宋体"/>
          <w:b/>
          <w:spacing w:val="-6"/>
          <w:szCs w:val="21"/>
          <w:lang w:val="zh-TW"/>
        </w:rPr>
        <w:t>并在响应过程中对</w:t>
      </w:r>
      <w:r>
        <w:rPr>
          <w:rFonts w:hint="eastAsia" w:ascii="宋体" w:hAnsi="宋体" w:cs="宋体"/>
          <w:b/>
          <w:spacing w:val="-6"/>
          <w:szCs w:val="21"/>
        </w:rPr>
        <w:t>项目整体策划和</w:t>
      </w:r>
      <w:r>
        <w:rPr>
          <w:rFonts w:hint="eastAsia" w:ascii="宋体" w:hAnsi="宋体" w:cs="宋体"/>
          <w:b/>
          <w:spacing w:val="-6"/>
          <w:szCs w:val="21"/>
          <w:lang w:val="zh-TW"/>
        </w:rPr>
        <w:t>舞台</w:t>
      </w:r>
      <w:r>
        <w:rPr>
          <w:rFonts w:hint="eastAsia" w:ascii="宋体" w:hAnsi="宋体" w:cs="宋体"/>
          <w:b/>
          <w:spacing w:val="-6"/>
          <w:szCs w:val="21"/>
        </w:rPr>
        <w:t>设计</w:t>
      </w:r>
      <w:r>
        <w:rPr>
          <w:rFonts w:hint="eastAsia" w:ascii="宋体" w:hAnsi="宋体" w:cs="宋体"/>
          <w:b/>
          <w:spacing w:val="-6"/>
          <w:szCs w:val="21"/>
          <w:lang w:val="zh-TW"/>
        </w:rPr>
        <w:t>方案</w:t>
      </w:r>
      <w:r>
        <w:rPr>
          <w:rFonts w:hint="eastAsia" w:ascii="宋体" w:hAnsi="宋体" w:cs="宋体"/>
          <w:b/>
          <w:spacing w:val="-6"/>
          <w:szCs w:val="21"/>
        </w:rPr>
        <w:t>中进行详细描述</w:t>
      </w:r>
      <w:r>
        <w:rPr>
          <w:rFonts w:hint="eastAsia" w:ascii="宋体" w:hAnsi="宋体" w:cs="宋体"/>
          <w:spacing w:val="-6"/>
          <w:szCs w:val="21"/>
          <w:lang w:val="zh-TW"/>
        </w:rPr>
        <w:t>。</w:t>
      </w:r>
      <w:r>
        <w:rPr>
          <w:rFonts w:hint="eastAsia" w:ascii="宋体" w:hAnsi="宋体" w:cs="宋体"/>
          <w:spacing w:val="-6"/>
          <w:szCs w:val="21"/>
        </w:rPr>
        <w:t>建议舞台尺寸：26m*10m*0.8m，结构需为雷亚架结构，开放型舞台设计，配备直播屏幕；舞美最终效果图由成交方在进场前提供，</w:t>
      </w:r>
      <w:r>
        <w:rPr>
          <w:rFonts w:hint="eastAsia" w:ascii="宋体" w:hAnsi="宋体" w:cs="宋体"/>
          <w:spacing w:val="-6"/>
          <w:szCs w:val="21"/>
          <w:lang w:val="zh-TW"/>
        </w:rPr>
        <w:t>由采购方确认后生效，</w:t>
      </w:r>
      <w:r>
        <w:rPr>
          <w:rFonts w:hint="eastAsia" w:ascii="宋体" w:hAnsi="宋体" w:cs="宋体"/>
          <w:spacing w:val="-6"/>
          <w:szCs w:val="21"/>
        </w:rPr>
        <w:t>需提供JPG格式，其他文件格式无效</w:t>
      </w:r>
      <w:r>
        <w:rPr>
          <w:rFonts w:hint="eastAsia" w:ascii="宋体" w:hAnsi="宋体" w:cs="宋体"/>
          <w:spacing w:val="-6"/>
          <w:szCs w:val="21"/>
          <w:lang w:val="zh-TW"/>
        </w:rPr>
        <w:t>。</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rPr>
        <w:t>（</w:t>
      </w:r>
      <w:r>
        <w:rPr>
          <w:rFonts w:hint="eastAsia" w:ascii="宋体" w:hAnsi="宋体" w:cs="宋体"/>
          <w:spacing w:val="-6"/>
          <w:szCs w:val="21"/>
        </w:rPr>
        <w:t>4</w:t>
      </w:r>
      <w:r>
        <w:rPr>
          <w:rFonts w:hint="eastAsia" w:ascii="宋体" w:hAnsi="宋体" w:cs="宋体"/>
          <w:spacing w:val="-6"/>
          <w:szCs w:val="21"/>
          <w:lang w:val="zh-TW"/>
        </w:rPr>
        <w:t>）</w:t>
      </w:r>
      <w:r>
        <w:rPr>
          <w:rFonts w:hint="eastAsia" w:ascii="宋体" w:hAnsi="宋体" w:cs="宋体"/>
          <w:spacing w:val="-6"/>
          <w:szCs w:val="21"/>
        </w:rPr>
        <w:t>室内氛围图：响应方需根据活动的需要，设计室内分为营造的设计方案和制作方案</w:t>
      </w:r>
      <w:r>
        <w:rPr>
          <w:rFonts w:hint="eastAsia" w:ascii="宋体" w:hAnsi="宋体" w:cs="宋体"/>
          <w:spacing w:val="-6"/>
          <w:szCs w:val="21"/>
          <w:lang w:val="zh-TW"/>
        </w:rPr>
        <w:t>（</w:t>
      </w:r>
      <w:r>
        <w:rPr>
          <w:rFonts w:hint="eastAsia" w:ascii="宋体" w:hAnsi="宋体" w:cs="宋体"/>
          <w:spacing w:val="-6"/>
          <w:szCs w:val="21"/>
        </w:rPr>
        <w:t>提供室内氛围营造的</w:t>
      </w:r>
      <w:r>
        <w:rPr>
          <w:rFonts w:hint="eastAsia" w:ascii="宋体" w:hAnsi="宋体" w:cs="宋体"/>
          <w:spacing w:val="-6"/>
          <w:szCs w:val="21"/>
          <w:lang w:val="zh-TW"/>
        </w:rPr>
        <w:t>效果图不少于5张）。</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5</w:t>
      </w:r>
      <w:r>
        <w:rPr>
          <w:rFonts w:hint="eastAsia" w:ascii="宋体" w:hAnsi="宋体" w:cs="宋体"/>
          <w:b/>
          <w:bCs/>
          <w:spacing w:val="-6"/>
          <w:szCs w:val="21"/>
          <w:lang w:val="zh-TW" w:eastAsia="zh-TW"/>
        </w:rPr>
        <w:t>、活动执行：</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1</w:t>
      </w:r>
      <w:r>
        <w:rPr>
          <w:rFonts w:hint="eastAsia" w:ascii="宋体" w:hAnsi="宋体" w:cs="宋体"/>
          <w:spacing w:val="-6"/>
          <w:szCs w:val="21"/>
          <w:lang w:val="zh-TW" w:eastAsia="zh-TW"/>
        </w:rPr>
        <w:t>）执行方案：根据采购人提供的创意思路确定执行方案，要求可操作性强；</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2</w:t>
      </w:r>
      <w:r>
        <w:rPr>
          <w:rFonts w:hint="eastAsia" w:ascii="宋体" w:hAnsi="宋体" w:cs="宋体"/>
          <w:spacing w:val="-6"/>
          <w:szCs w:val="21"/>
          <w:lang w:val="zh-TW" w:eastAsia="zh-TW"/>
        </w:rPr>
        <w:t>）执行过程：根据最后确定的执行方案出具执行细则，考虑现场需求和活动需要，制定严格的过程管控；</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3</w:t>
      </w:r>
      <w:r>
        <w:rPr>
          <w:rFonts w:hint="eastAsia" w:ascii="宋体" w:hAnsi="宋体" w:cs="宋体"/>
          <w:spacing w:val="-6"/>
          <w:szCs w:val="21"/>
          <w:lang w:val="zh-TW" w:eastAsia="zh-TW"/>
        </w:rPr>
        <w:t>）现场执行：根据采购人提供的创意思路需满足现场同步音、视频切换；现场直播；</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w:t>
      </w:r>
      <w:r>
        <w:rPr>
          <w:rFonts w:hint="eastAsia" w:ascii="宋体" w:hAnsi="宋体" w:cs="宋体"/>
          <w:spacing w:val="-6"/>
          <w:szCs w:val="21"/>
        </w:rPr>
        <w:t>4</w:t>
      </w:r>
      <w:r>
        <w:rPr>
          <w:rFonts w:hint="eastAsia" w:ascii="宋体" w:hAnsi="宋体" w:cs="宋体"/>
          <w:spacing w:val="-6"/>
          <w:szCs w:val="21"/>
          <w:lang w:val="zh-TW" w:eastAsia="zh-TW"/>
        </w:rPr>
        <w:t>）相关要求：准备与方案相符的相关硬件设备、满足现场要求及方案要求；</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w:t>
      </w:r>
      <w:r>
        <w:rPr>
          <w:rFonts w:hint="eastAsia" w:ascii="宋体" w:hAnsi="宋体" w:cs="宋体"/>
          <w:spacing w:val="-6"/>
          <w:szCs w:val="21"/>
        </w:rPr>
        <w:t>5</w:t>
      </w:r>
      <w:r>
        <w:rPr>
          <w:rFonts w:hint="eastAsia" w:ascii="宋体" w:hAnsi="宋体" w:cs="宋体"/>
          <w:spacing w:val="-6"/>
          <w:szCs w:val="21"/>
          <w:lang w:val="zh-TW" w:eastAsia="zh-TW"/>
        </w:rPr>
        <w:t>）方案调整：根据活动需要，如果需对舞台作微调，经双方协调，中标单位应尽量配合支持。</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rPr>
        <w:t>（</w:t>
      </w:r>
      <w:r>
        <w:rPr>
          <w:rFonts w:hint="eastAsia" w:ascii="宋体" w:hAnsi="宋体" w:cs="宋体"/>
          <w:spacing w:val="-6"/>
          <w:szCs w:val="21"/>
        </w:rPr>
        <w:t>6</w:t>
      </w:r>
      <w:r>
        <w:rPr>
          <w:rFonts w:hint="eastAsia" w:ascii="宋体" w:hAnsi="宋体" w:cs="宋体"/>
          <w:spacing w:val="-6"/>
          <w:szCs w:val="21"/>
          <w:lang w:val="zh-TW"/>
        </w:rPr>
        <w:t>）</w:t>
      </w:r>
      <w:r>
        <w:rPr>
          <w:rFonts w:hint="eastAsia" w:ascii="宋体" w:hAnsi="宋体" w:cs="宋体"/>
          <w:spacing w:val="-6"/>
          <w:szCs w:val="21"/>
        </w:rPr>
        <w:t>执行团队：执行团队需按采购人要求提供活动执行团队人员资质及详细信息。</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6.2024届毕业生纪念品</w:t>
      </w:r>
    </w:p>
    <w:p>
      <w:pPr>
        <w:spacing w:line="360" w:lineRule="auto"/>
        <w:ind w:firstLine="396" w:firstLineChars="200"/>
        <w:rPr>
          <w:rFonts w:ascii="宋体" w:hAnsi="宋体" w:cs="宋体"/>
          <w:spacing w:val="-6"/>
          <w:szCs w:val="21"/>
        </w:rPr>
      </w:pPr>
      <w:r>
        <w:rPr>
          <w:rFonts w:hint="eastAsia" w:ascii="宋体" w:hAnsi="宋体" w:cs="宋体"/>
          <w:spacing w:val="-6"/>
          <w:szCs w:val="21"/>
        </w:rPr>
        <w:t>（1）纪念品设计：</w:t>
      </w:r>
      <w:r>
        <w:rPr>
          <w:rFonts w:hint="eastAsia" w:ascii="宋体" w:hAnsi="宋体" w:cs="宋体"/>
          <w:spacing w:val="-6"/>
          <w:szCs w:val="21"/>
          <w:lang w:val="zh-TW"/>
        </w:rPr>
        <w:t>毕业</w:t>
      </w:r>
      <w:r>
        <w:rPr>
          <w:rFonts w:hint="eastAsia" w:ascii="宋体" w:hAnsi="宋体" w:cs="宋体"/>
          <w:spacing w:val="-6"/>
          <w:szCs w:val="21"/>
        </w:rPr>
        <w:t>纪念品</w:t>
      </w:r>
      <w:r>
        <w:rPr>
          <w:rFonts w:hint="eastAsia" w:ascii="宋体" w:hAnsi="宋体" w:cs="宋体"/>
          <w:spacing w:val="-6"/>
          <w:szCs w:val="21"/>
          <w:lang w:val="zh-TW"/>
        </w:rPr>
        <w:t>设计体现了学校以学生为中心和构建为学生成长全生命周期服务链条的育人理念，将</w:t>
      </w:r>
      <w:r>
        <w:rPr>
          <w:rFonts w:hint="eastAsia" w:ascii="宋体" w:hAnsi="宋体" w:cs="宋体"/>
          <w:spacing w:val="-6"/>
          <w:szCs w:val="21"/>
        </w:rPr>
        <w:t>“鸿云成长”学生成长助手“梦飞飞”、学校特色景观等元素融入其中，必须包括校名（中英文）、校标、校训等元素，最终设计稿须由采购人确认。</w:t>
      </w:r>
    </w:p>
    <w:p>
      <w:pPr>
        <w:spacing w:line="360" w:lineRule="auto"/>
        <w:ind w:firstLine="396"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spacing w:val="-6"/>
          <w:szCs w:val="21"/>
        </w:rPr>
        <w:t>（2）纪念品数量：5000份，</w:t>
      </w:r>
      <w:r>
        <w:rPr>
          <w:rFonts w:hint="eastAsia" w:ascii="宋体" w:hAnsi="宋体" w:cs="宋体"/>
          <w:color w:val="000000" w:themeColor="text1"/>
          <w:spacing w:val="-6"/>
          <w:szCs w:val="21"/>
          <w14:textFill>
            <w14:solidFill>
              <w14:schemeClr w14:val="tx1"/>
            </w14:solidFill>
          </w14:textFill>
        </w:rPr>
        <w:t>纪念品种类可以是书签、卡套、钥匙扣、冰箱贴、印章等等（仅供参考，每份不限于一种可以是几种组合），制作材料可选用皮革、亚克力、金属、塑料等材质，大小不超过20cm*20cm，供应商响应时需提供5张以内的设计图（也可以是类似成品照片等），在毕业典礼前10天内完成设计和制作。每份需要单独包装，包装材质可采用纸盒、皮套、塑料包装等。</w:t>
      </w:r>
    </w:p>
    <w:p>
      <w:pPr>
        <w:pStyle w:val="44"/>
        <w:ind w:firstLine="0"/>
      </w:pPr>
      <w:r>
        <w:rPr>
          <w:rFonts w:hint="eastAsia"/>
        </w:rPr>
        <w:t>（3）纪念品送货发放：需要在毕业典礼前5天送至浙江工商大学下沙校区采购人指定地点。</w:t>
      </w:r>
    </w:p>
    <w:p>
      <w:pPr>
        <w:rPr>
          <w:rFonts w:ascii="宋体" w:hAnsi="宋体" w:cs="宋体"/>
          <w:b/>
          <w:bCs/>
          <w:spacing w:val="-6"/>
          <w:szCs w:val="21"/>
          <w:lang w:val="zh-TW" w:eastAsia="zh-TW"/>
        </w:rPr>
      </w:pPr>
      <w:r>
        <w:rPr>
          <w:rFonts w:hint="eastAsia" w:ascii="宋体" w:hAnsi="宋体" w:cs="宋体"/>
          <w:b/>
          <w:bCs/>
          <w:spacing w:val="-6"/>
          <w:szCs w:val="21"/>
          <w:lang w:val="zh-TW" w:eastAsia="zh-TW"/>
        </w:rPr>
        <w:br w:type="page"/>
      </w:r>
    </w:p>
    <w:p>
      <w:pPr>
        <w:spacing w:line="360" w:lineRule="auto"/>
        <w:ind w:firstLine="398" w:firstLineChars="200"/>
        <w:rPr>
          <w:rFonts w:ascii="宋体" w:hAnsi="宋体" w:cs="宋体"/>
          <w:b/>
          <w:bCs/>
          <w:spacing w:val="-6"/>
          <w:szCs w:val="21"/>
          <w:lang w:val="zh-TW" w:eastAsia="zh-TW"/>
        </w:rPr>
      </w:pPr>
      <w:r>
        <w:rPr>
          <w:rFonts w:hint="eastAsia" w:ascii="宋体" w:hAnsi="宋体" w:cs="宋体"/>
          <w:b/>
          <w:bCs/>
          <w:spacing w:val="-6"/>
          <w:szCs w:val="21"/>
        </w:rPr>
        <w:t>7</w:t>
      </w:r>
      <w:r>
        <w:rPr>
          <w:rFonts w:hint="eastAsia" w:ascii="宋体" w:hAnsi="宋体" w:cs="宋体"/>
          <w:b/>
          <w:bCs/>
          <w:spacing w:val="-6"/>
          <w:szCs w:val="21"/>
          <w:lang w:val="zh-TW" w:eastAsia="zh-TW"/>
        </w:rPr>
        <w:t>、舞台租赁设备的名称及技术和人员要求：</w:t>
      </w:r>
    </w:p>
    <w:tbl>
      <w:tblPr>
        <w:tblStyle w:val="45"/>
        <w:tblW w:w="5000" w:type="pct"/>
        <w:jc w:val="center"/>
        <w:tblLayout w:type="autofit"/>
        <w:tblCellMar>
          <w:top w:w="15" w:type="dxa"/>
          <w:left w:w="15" w:type="dxa"/>
          <w:bottom w:w="15" w:type="dxa"/>
          <w:right w:w="15" w:type="dxa"/>
        </w:tblCellMar>
      </w:tblPr>
      <w:tblGrid>
        <w:gridCol w:w="456"/>
        <w:gridCol w:w="435"/>
        <w:gridCol w:w="1617"/>
        <w:gridCol w:w="2849"/>
        <w:gridCol w:w="1574"/>
        <w:gridCol w:w="723"/>
        <w:gridCol w:w="741"/>
        <w:gridCol w:w="661"/>
      </w:tblGrid>
      <w:tr>
        <w:tblPrEx>
          <w:tblCellMar>
            <w:top w:w="15" w:type="dxa"/>
            <w:left w:w="15" w:type="dxa"/>
            <w:bottom w:w="15" w:type="dxa"/>
            <w:right w:w="15" w:type="dxa"/>
          </w:tblCellMar>
        </w:tblPrEx>
        <w:trPr>
          <w:trHeight w:val="283" w:hRule="atLeast"/>
          <w:jc w:val="center"/>
        </w:trPr>
        <w:tc>
          <w:tcPr>
            <w:tcW w:w="5000" w:type="pct"/>
            <w:gridSpan w:val="8"/>
            <w:tcBorders>
              <w:bottom w:val="single" w:color="auto"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浙江工商大</w:t>
            </w:r>
            <w:r>
              <w:rPr>
                <w:rFonts w:hint="eastAsia" w:ascii="宋体" w:hAnsi="宋体" w:cs="宋体"/>
                <w:b/>
                <w:kern w:val="0"/>
                <w:szCs w:val="21"/>
              </w:rPr>
              <w:t>学新生开学典礼和毕业典礼设备</w:t>
            </w:r>
            <w:r>
              <w:rPr>
                <w:rFonts w:hint="eastAsia" w:ascii="宋体" w:hAnsi="宋体" w:cs="宋体"/>
                <w:b/>
                <w:color w:val="000000"/>
                <w:kern w:val="0"/>
                <w:szCs w:val="21"/>
              </w:rPr>
              <w:t>和人员清单（仅供参考）</w:t>
            </w:r>
          </w:p>
        </w:tc>
      </w:tr>
      <w:tr>
        <w:tblPrEx>
          <w:tblCellMar>
            <w:top w:w="15" w:type="dxa"/>
            <w:left w:w="15" w:type="dxa"/>
            <w:bottom w:w="15" w:type="dxa"/>
            <w:right w:w="15" w:type="dxa"/>
          </w:tblCellMar>
        </w:tblPrEx>
        <w:trPr>
          <w:trHeight w:val="283"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40"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893"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设备名称</w:t>
            </w:r>
          </w:p>
        </w:tc>
        <w:tc>
          <w:tcPr>
            <w:tcW w:w="1573"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szCs w:val="21"/>
              </w:rPr>
              <w:t>设备参数</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规格</w:t>
            </w:r>
          </w:p>
        </w:tc>
        <w:tc>
          <w:tcPr>
            <w:tcW w:w="39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362"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15" w:type="dxa"/>
            <w:left w:w="15" w:type="dxa"/>
            <w:bottom w:w="15" w:type="dxa"/>
            <w:right w:w="15" w:type="dxa"/>
          </w:tblCellMar>
        </w:tblPrEx>
        <w:trPr>
          <w:trHeight w:val="283" w:hRule="atLeast"/>
          <w:jc w:val="center"/>
        </w:trPr>
        <w:tc>
          <w:tcPr>
            <w:tcW w:w="252"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40" w:type="pct"/>
            <w:vMerge w:val="restar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舞台与雷亚结构</w:t>
            </w:r>
          </w:p>
        </w:tc>
        <w:tc>
          <w:tcPr>
            <w:tcW w:w="893"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主舞台</w:t>
            </w:r>
          </w:p>
        </w:tc>
        <w:tc>
          <w:tcPr>
            <w:tcW w:w="1573"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雷亚架舞台（1m高）</w:t>
            </w:r>
          </w:p>
        </w:tc>
        <w:tc>
          <w:tcPr>
            <w:tcW w:w="869"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26m*10m</w:t>
            </w:r>
          </w:p>
        </w:tc>
        <w:tc>
          <w:tcPr>
            <w:tcW w:w="399"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409" w:type="pc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平方</w:t>
            </w:r>
          </w:p>
        </w:tc>
        <w:tc>
          <w:tcPr>
            <w:tcW w:w="362" w:type="pct"/>
            <w:tcBorders>
              <w:top w:val="single" w:color="auto"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二级舞台</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木制定做舞台（0.8m高）</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26m*2.4m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平方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二级台阶</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木质台阶</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4m*0.8m*0.8m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副</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舞台地毯</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红色丝绒地毯</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26m*20m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szCs w:val="21"/>
              </w:rPr>
              <w:t>520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平方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Cs w:val="21"/>
              </w:rPr>
            </w:pPr>
            <w:r>
              <w:rPr>
                <w:rFonts w:hint="eastAsia" w:ascii="宋体" w:hAnsi="宋体" w:cs="宋体"/>
                <w:color w:val="000000"/>
                <w:kern w:val="0"/>
                <w:szCs w:val="21"/>
              </w:rPr>
              <w:t>主架</w:t>
            </w:r>
          </w:p>
        </w:tc>
        <w:tc>
          <w:tcPr>
            <w:tcW w:w="1573"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Cs w:val="21"/>
              </w:rPr>
            </w:pPr>
            <w:r>
              <w:rPr>
                <w:rFonts w:hint="eastAsia" w:ascii="宋体" w:hAnsi="宋体" w:cs="宋体"/>
                <w:color w:val="000000"/>
                <w:kern w:val="0"/>
                <w:szCs w:val="21"/>
              </w:rPr>
              <w:t>雷亚结构</w:t>
            </w:r>
          </w:p>
        </w:tc>
        <w:tc>
          <w:tcPr>
            <w:tcW w:w="869"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Cs w:val="21"/>
              </w:rPr>
            </w:pPr>
            <w:r>
              <w:rPr>
                <w:rFonts w:hint="eastAsia" w:ascii="宋体" w:hAnsi="宋体" w:cs="宋体"/>
                <w:color w:val="000000"/>
                <w:kern w:val="0"/>
                <w:szCs w:val="21"/>
              </w:rPr>
              <w:t>26m*12m*4m</w:t>
            </w:r>
          </w:p>
        </w:tc>
        <w:tc>
          <w:tcPr>
            <w:tcW w:w="399"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409"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color w:val="000000"/>
                <w:szCs w:val="21"/>
              </w:rPr>
            </w:pPr>
            <w:r>
              <w:rPr>
                <w:rFonts w:hint="eastAsia" w:ascii="宋体" w:hAnsi="宋体" w:cs="宋体"/>
                <w:color w:val="000000"/>
                <w:kern w:val="0"/>
                <w:szCs w:val="21"/>
              </w:rPr>
              <w:t>吨</w:t>
            </w:r>
          </w:p>
        </w:tc>
        <w:tc>
          <w:tcPr>
            <w:tcW w:w="362" w:type="pct"/>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侧架</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雷亚结构</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6m*10m*4m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吨</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szCs w:val="21"/>
              </w:rPr>
              <w:t>7</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发光校徽</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亚克力发光字</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直径2.4m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szCs w:val="21"/>
              </w:rPr>
              <w:t>8</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发光字</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亚克力发光字</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1.2m高</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视效设备</w:t>
            </w: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LED主屏</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2.9屏幕</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24m*6.5m</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平方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LED侧屏</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2.9屏幕</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4*6.5m*2</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平方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光端机</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单芯多模光端机</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总电源线</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国标十平方以上</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视频光钎</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多模光纤</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处理器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MAGNIMAGE LED-R4000</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屏幕视频控台</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MAGNIMAGE  H8*2 （主备）</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屏幕视频切换器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MAGNIMAGE  V8*2 （主备）</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376"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控屏师</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需控制会场内屏幕2块</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3天</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人/天</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屏控助理</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话筒、周边</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3天</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人/天</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灯光音响</w:t>
            </w: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光束灯</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480w</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LED Par灯</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影烽</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54珠</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szCs w:val="21"/>
              </w:rPr>
              <w:t>100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追光灯</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GTD-1500FS追光灯</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2500w</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555"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电脑摇头染色</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FINAL</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高显指</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激光灯</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Tlx2028</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YAG固体激光器</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条形数码频闪灯</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LQE</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36W</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灯控台</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MA-2*2 （主备）</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灯光师</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高级职称</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3天</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人/天</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灯光助理</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3天</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人/天</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线阵列全频扬声器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MEYERSOUND/LINATM</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紧凑型低频扬声器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MEYERSOUND/750-LFC</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返送扬声器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MEYERSOUND 210</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处理器</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SSL FUSION</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母带级 模拟综合效果器 立体声 混音器</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接口箱</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DIGICO D-2R</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声卡</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阿波罗 x8p</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PA数字调音台</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DIGICO SD-12</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一主一备</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电容话筒</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neumann km184</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鹅颈话筒</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aux</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动圈话筒</w:t>
            </w:r>
          </w:p>
        </w:tc>
        <w:tc>
          <w:tcPr>
            <w:tcW w:w="2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SENNHEISER</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音控师</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高级职称</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音响助理</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话筒、周边</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人</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其他</w:t>
            </w: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场地地板保护</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1000平方米左右加厚地毯</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CellMar>
            <w:top w:w="15" w:type="dxa"/>
            <w:left w:w="15" w:type="dxa"/>
            <w:bottom w:w="15" w:type="dxa"/>
            <w:right w:w="15"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气柱</w:t>
            </w:r>
          </w:p>
        </w:tc>
        <w:tc>
          <w:tcPr>
            <w:tcW w:w="15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Cs w:val="21"/>
              </w:rPr>
            </w:pPr>
            <w:r>
              <w:rPr>
                <w:rFonts w:hint="eastAsia" w:ascii="宋体" w:hAnsi="宋体" w:cs="宋体"/>
                <w:kern w:val="0"/>
                <w:szCs w:val="21"/>
              </w:rPr>
              <w:t>电喷干冰气柱</w:t>
            </w:r>
          </w:p>
        </w:tc>
        <w:tc>
          <w:tcPr>
            <w:tcW w:w="86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w:t>
            </w:r>
          </w:p>
        </w:tc>
        <w:tc>
          <w:tcPr>
            <w:tcW w:w="39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362"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bl>
    <w:p>
      <w:pPr>
        <w:spacing w:line="360" w:lineRule="auto"/>
        <w:ind w:firstLine="398" w:firstLineChars="200"/>
        <w:rPr>
          <w:rFonts w:ascii="宋体" w:hAnsi="宋体" w:cs="宋体"/>
          <w:b/>
          <w:szCs w:val="21"/>
        </w:rPr>
      </w:pPr>
      <w:r>
        <w:rPr>
          <w:rFonts w:hint="eastAsia" w:ascii="宋体" w:hAnsi="宋体" w:cs="宋体"/>
          <w:b/>
          <w:spacing w:val="-6"/>
          <w:szCs w:val="21"/>
          <w:lang w:val="zh-TW"/>
        </w:rPr>
        <w:t>注：（</w:t>
      </w:r>
      <w:r>
        <w:rPr>
          <w:rFonts w:ascii="宋体" w:hAnsi="宋体" w:cs="宋体"/>
          <w:b/>
          <w:spacing w:val="-6"/>
          <w:szCs w:val="21"/>
        </w:rPr>
        <w:t>1</w:t>
      </w:r>
      <w:r>
        <w:rPr>
          <w:rFonts w:hint="eastAsia" w:ascii="宋体" w:hAnsi="宋体" w:cs="宋体"/>
          <w:b/>
          <w:spacing w:val="-6"/>
          <w:szCs w:val="21"/>
          <w:lang w:val="zh-TW"/>
        </w:rPr>
        <w:t>）</w:t>
      </w:r>
      <w:r>
        <w:rPr>
          <w:rFonts w:hint="eastAsia" w:ascii="宋体" w:hAnsi="宋体" w:cs="宋体"/>
          <w:b/>
          <w:szCs w:val="21"/>
        </w:rPr>
        <w:t>以上舞美设备租赁种类、数量为预估量，供应商应根据具体的毕业、开学典礼舞美设计方案提供设备清单，由此产生的费用不作调整，供应商可以提供其他规格性能相当的品牌参与磋商活动。</w:t>
      </w:r>
    </w:p>
    <w:p>
      <w:pPr>
        <w:pStyle w:val="44"/>
        <w:ind w:left="0" w:leftChars="0" w:firstLine="422" w:firstLineChars="200"/>
        <w:rPr>
          <w:b/>
        </w:rPr>
      </w:pPr>
      <w:r>
        <w:rPr>
          <w:rFonts w:hint="eastAsia"/>
          <w:b/>
        </w:rPr>
        <w:t>（</w:t>
      </w:r>
      <w:r>
        <w:rPr>
          <w:b/>
        </w:rPr>
        <w:t>2</w:t>
      </w:r>
      <w:r>
        <w:rPr>
          <w:rFonts w:hint="eastAsia"/>
          <w:b/>
        </w:rPr>
        <w:t>）开学典礼需要提供以上所有设备和人员，毕业典礼不需要提供灯光设备音响，（清单仅供参考）。</w:t>
      </w:r>
    </w:p>
    <w:p>
      <w:pPr>
        <w:spacing w:line="360" w:lineRule="auto"/>
        <w:ind w:firstLine="398" w:firstLineChars="200"/>
        <w:rPr>
          <w:rFonts w:ascii="宋体" w:hAnsi="宋体" w:cs="宋体"/>
          <w:b/>
          <w:bCs/>
          <w:spacing w:val="-6"/>
          <w:szCs w:val="21"/>
          <w:lang w:val="zh-TW" w:eastAsia="zh-TW"/>
        </w:rPr>
      </w:pPr>
      <w:bookmarkStart w:id="111" w:name="_Toc16190"/>
      <w:r>
        <w:rPr>
          <w:rFonts w:hint="eastAsia" w:ascii="宋体" w:hAnsi="宋体" w:cs="宋体"/>
          <w:b/>
          <w:bCs/>
          <w:spacing w:val="-6"/>
          <w:szCs w:val="21"/>
        </w:rPr>
        <w:t>8</w:t>
      </w:r>
      <w:r>
        <w:rPr>
          <w:rFonts w:hint="eastAsia" w:ascii="宋体" w:hAnsi="宋体" w:cs="宋体"/>
          <w:b/>
          <w:bCs/>
          <w:spacing w:val="-6"/>
          <w:szCs w:val="21"/>
          <w:lang w:val="zh-TW" w:eastAsia="zh-TW"/>
        </w:rPr>
        <w:t>、舞美灯光专业人员配置</w:t>
      </w:r>
      <w:bookmarkEnd w:id="111"/>
    </w:p>
    <w:p>
      <w:pPr>
        <w:spacing w:line="360" w:lineRule="auto"/>
        <w:ind w:firstLine="420" w:firstLineChars="200"/>
        <w:rPr>
          <w:rFonts w:ascii="宋体" w:hAnsi="宋体" w:cs="宋体"/>
          <w:szCs w:val="21"/>
        </w:rPr>
      </w:pPr>
      <w:r>
        <w:rPr>
          <w:rFonts w:hint="eastAsia" w:ascii="宋体" w:hAnsi="宋体" w:cs="宋体"/>
          <w:kern w:val="0"/>
          <w:szCs w:val="21"/>
        </w:rPr>
        <w:t>供应商应至少配置：舞美设计师（具有人社部门或文旅部门颁发的一级舞美设计师证书）1人、高级音控师1人、高级灯光师1人、控屏师1人。屏控助理、灯光助理、音响助理等若干名。提供相关的证书复印件。</w:t>
      </w:r>
    </w:p>
    <w:p>
      <w:pPr>
        <w:spacing w:line="360" w:lineRule="auto"/>
        <w:ind w:firstLine="422" w:firstLineChars="200"/>
        <w:rPr>
          <w:rFonts w:ascii="宋体" w:hAnsi="宋体" w:cs="宋体"/>
          <w:b/>
          <w:bCs/>
          <w:szCs w:val="21"/>
        </w:rPr>
      </w:pPr>
      <w:r>
        <w:rPr>
          <w:rFonts w:hint="eastAsia" w:ascii="宋体" w:hAnsi="宋体" w:cs="宋体"/>
          <w:b/>
          <w:bCs/>
          <w:szCs w:val="21"/>
        </w:rPr>
        <w:t>注：招标参数要求均为最低指标要求，投标产品指标参数应不低于该要求。</w:t>
      </w:r>
    </w:p>
    <w:p>
      <w:pPr>
        <w:snapToGrid w:val="0"/>
        <w:spacing w:line="360" w:lineRule="auto"/>
        <w:ind w:firstLine="422" w:firstLineChars="200"/>
        <w:rPr>
          <w:rFonts w:ascii="宋体" w:hAnsi="宋体" w:cs="宋体"/>
          <w:b/>
          <w:bCs/>
          <w:szCs w:val="21"/>
        </w:rPr>
      </w:pPr>
      <w:r>
        <w:rPr>
          <w:rFonts w:hint="eastAsia" w:ascii="宋体" w:hAnsi="宋体" w:cs="宋体"/>
          <w:b/>
          <w:bCs/>
          <w:szCs w:val="21"/>
        </w:rPr>
        <w:t>9、其他要求</w:t>
      </w:r>
    </w:p>
    <w:p>
      <w:pPr>
        <w:snapToGrid w:val="0"/>
        <w:spacing w:line="360" w:lineRule="auto"/>
        <w:ind w:firstLine="420" w:firstLineChars="200"/>
        <w:rPr>
          <w:rFonts w:ascii="宋体" w:hAnsi="宋体" w:cs="宋体"/>
          <w:szCs w:val="21"/>
        </w:rPr>
      </w:pPr>
      <w:r>
        <w:rPr>
          <w:rFonts w:hint="eastAsia" w:ascii="宋体" w:hAnsi="宋体" w:cs="宋体"/>
          <w:szCs w:val="21"/>
        </w:rPr>
        <w:t>（1）舞台整体搭建，力求安全、稳定、美观、切题。</w:t>
      </w:r>
    </w:p>
    <w:p>
      <w:pPr>
        <w:snapToGrid w:val="0"/>
        <w:spacing w:line="360" w:lineRule="auto"/>
        <w:ind w:firstLine="420" w:firstLineChars="200"/>
        <w:rPr>
          <w:rFonts w:ascii="宋体" w:hAnsi="宋体" w:cs="宋体"/>
          <w:szCs w:val="21"/>
        </w:rPr>
      </w:pPr>
      <w:r>
        <w:rPr>
          <w:rFonts w:hint="eastAsia" w:ascii="宋体" w:hAnsi="宋体" w:cs="宋体"/>
          <w:szCs w:val="21"/>
        </w:rPr>
        <w:t>（2）舞美租赁设备应符合演出安全标准。</w:t>
      </w:r>
    </w:p>
    <w:p>
      <w:pPr>
        <w:snapToGrid w:val="0"/>
        <w:spacing w:line="360" w:lineRule="auto"/>
        <w:ind w:firstLine="420" w:firstLineChars="200"/>
        <w:rPr>
          <w:rFonts w:ascii="宋体" w:hAnsi="宋体" w:cs="宋体"/>
          <w:szCs w:val="21"/>
        </w:rPr>
      </w:pPr>
      <w:r>
        <w:rPr>
          <w:rFonts w:hint="eastAsia" w:ascii="宋体" w:hAnsi="宋体" w:cs="宋体"/>
          <w:szCs w:val="21"/>
        </w:rPr>
        <w:t>（3）演出场地为第一田径场（</w:t>
      </w:r>
      <w:r>
        <w:rPr>
          <w:rFonts w:hint="eastAsia" w:ascii="宋体" w:hAnsi="宋体" w:cs="宋体"/>
          <w:spacing w:val="-6"/>
          <w:szCs w:val="21"/>
          <w:lang w:val="zh-TW"/>
        </w:rPr>
        <w:t>备选</w:t>
      </w:r>
      <w:r>
        <w:rPr>
          <w:rFonts w:hint="eastAsia" w:ascii="宋体" w:hAnsi="宋体" w:cs="宋体"/>
          <w:spacing w:val="-6"/>
          <w:szCs w:val="21"/>
        </w:rPr>
        <w:t>场地</w:t>
      </w:r>
      <w:r>
        <w:rPr>
          <w:rFonts w:hint="eastAsia" w:ascii="宋体" w:hAnsi="宋体" w:cs="宋体"/>
          <w:spacing w:val="-6"/>
          <w:szCs w:val="21"/>
          <w:lang w:val="zh-TW"/>
        </w:rPr>
        <w:t>：</w:t>
      </w:r>
      <w:r>
        <w:rPr>
          <w:rFonts w:hint="eastAsia" w:ascii="宋体" w:hAnsi="宋体" w:cs="宋体"/>
          <w:spacing w:val="-6"/>
          <w:szCs w:val="21"/>
        </w:rPr>
        <w:t>浙江工商大学文体中心</w:t>
      </w:r>
      <w:r>
        <w:rPr>
          <w:rFonts w:hint="eastAsia" w:ascii="宋体" w:hAnsi="宋体" w:cs="宋体"/>
          <w:szCs w:val="21"/>
        </w:rPr>
        <w:t>），为保证演出顺利进行，需要提供备机，所有舞美道具的要求质量可靠，能满足多次反复使用，出现破损要及时修复或提供备件。</w:t>
      </w:r>
    </w:p>
    <w:p>
      <w:pPr>
        <w:snapToGrid w:val="0"/>
        <w:spacing w:line="360" w:lineRule="auto"/>
        <w:ind w:firstLine="420" w:firstLineChars="200"/>
        <w:rPr>
          <w:rFonts w:ascii="宋体" w:hAnsi="宋体" w:cs="宋体"/>
          <w:szCs w:val="21"/>
        </w:rPr>
      </w:pPr>
      <w:r>
        <w:rPr>
          <w:rFonts w:hint="eastAsia" w:ascii="宋体" w:hAnsi="宋体" w:cs="宋体"/>
          <w:szCs w:val="21"/>
        </w:rPr>
        <w:t>（4）以上设备租赁包含货物本身、货物的运输、安装、调试、相关税金以及售后服务等。</w:t>
      </w:r>
    </w:p>
    <w:p>
      <w:pPr>
        <w:pStyle w:val="166"/>
        <w:ind w:right="0" w:firstLine="420"/>
        <w:rPr>
          <w:rFonts w:ascii="宋体" w:hAnsi="宋体" w:cs="宋体"/>
          <w:b/>
          <w:sz w:val="21"/>
          <w:szCs w:val="21"/>
        </w:rPr>
      </w:pPr>
      <w:r>
        <w:rPr>
          <w:rFonts w:hint="eastAsia" w:ascii="宋体" w:hAnsi="宋体" w:cs="宋体"/>
          <w:sz w:val="21"/>
          <w:szCs w:val="21"/>
        </w:rPr>
        <w:t>（5）成交供应商应负责安装、技术等工作人员的人身安全，做好安装及演出期间的人员管理。</w:t>
      </w:r>
    </w:p>
    <w:p>
      <w:pPr>
        <w:snapToGrid w:val="0"/>
        <w:spacing w:line="360" w:lineRule="auto"/>
        <w:ind w:firstLine="420" w:firstLineChars="200"/>
        <w:rPr>
          <w:rFonts w:ascii="宋体" w:hAnsi="宋体" w:cs="宋体"/>
          <w:kern w:val="0"/>
          <w:szCs w:val="21"/>
        </w:rPr>
      </w:pPr>
      <w:r>
        <w:rPr>
          <w:rFonts w:hint="eastAsia" w:ascii="宋体" w:hAnsi="宋体" w:cs="宋体"/>
          <w:szCs w:val="21"/>
        </w:rPr>
        <w:t>（6）</w:t>
      </w:r>
      <w:r>
        <w:rPr>
          <w:rFonts w:hint="eastAsia" w:ascii="宋体" w:hAnsi="宋体" w:cs="宋体"/>
          <w:kern w:val="0"/>
          <w:szCs w:val="21"/>
        </w:rPr>
        <w:t>供应商需在响应文件中提供</w:t>
      </w:r>
      <w:r>
        <w:rPr>
          <w:rFonts w:hint="eastAsia" w:ascii="宋体" w:hAnsi="宋体" w:cs="宋体"/>
          <w:szCs w:val="21"/>
        </w:rPr>
        <w:t>工作思路、工作目标、工作任务，整体设计方案，服务方案（总体服务方案、创意元素方案、风险隐患分析、应急预案解决办法），重点和难点分析，项目进度计划及安排，安全保障方案；</w:t>
      </w:r>
    </w:p>
    <w:p>
      <w:pPr>
        <w:snapToGrid w:val="0"/>
        <w:spacing w:line="360" w:lineRule="auto"/>
        <w:ind w:firstLine="420" w:firstLineChars="200"/>
        <w:rPr>
          <w:rFonts w:ascii="宋体" w:hAnsi="宋体" w:cs="宋体"/>
          <w:kern w:val="0"/>
          <w:szCs w:val="21"/>
        </w:rPr>
      </w:pPr>
      <w:r>
        <w:rPr>
          <w:rFonts w:hint="eastAsia" w:ascii="宋体" w:hAnsi="宋体" w:cs="宋体"/>
          <w:szCs w:val="21"/>
        </w:rPr>
        <w:t>（7）</w:t>
      </w:r>
      <w:r>
        <w:rPr>
          <w:rFonts w:hint="eastAsia" w:ascii="宋体" w:hAnsi="宋体" w:cs="宋体"/>
          <w:kern w:val="0"/>
          <w:szCs w:val="21"/>
        </w:rPr>
        <w:t>供应商需在响应文件中提供</w:t>
      </w:r>
      <w:r>
        <w:rPr>
          <w:rFonts w:hint="eastAsia" w:ascii="宋体" w:hAnsi="宋体" w:cs="宋体"/>
          <w:szCs w:val="21"/>
        </w:rPr>
        <w:t>现场人员（舞美设计师、高级音控师、高级灯光师）的配置及相关证书</w:t>
      </w:r>
      <w:r>
        <w:rPr>
          <w:rFonts w:hint="eastAsia" w:ascii="宋体" w:hAnsi="宋体" w:cs="宋体"/>
          <w:kern w:val="0"/>
          <w:szCs w:val="21"/>
        </w:rPr>
        <w:t>。</w:t>
      </w:r>
    </w:p>
    <w:p>
      <w:pPr>
        <w:ind w:firstLine="422" w:firstLineChars="200"/>
        <w:rPr>
          <w:rFonts w:ascii="宋体" w:hAnsi="宋体" w:cs="宋体"/>
          <w:szCs w:val="21"/>
        </w:rPr>
      </w:pPr>
      <w:r>
        <w:rPr>
          <w:rFonts w:hint="eastAsia" w:ascii="宋体" w:hAnsi="宋体" w:cs="宋体"/>
          <w:b/>
          <w:bCs/>
          <w:szCs w:val="21"/>
        </w:rPr>
        <w:t>10、资信商务要求</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1"/>
        <w:gridCol w:w="8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pacing w:val="-6"/>
                <w:szCs w:val="21"/>
              </w:rPr>
            </w:pPr>
            <w:r>
              <w:rPr>
                <w:rFonts w:hint="eastAsia" w:ascii="宋体" w:hAnsi="宋体" w:cs="宋体"/>
                <w:spacing w:val="-6"/>
                <w:szCs w:val="21"/>
              </w:rPr>
              <w:t>服务要求</w:t>
            </w:r>
          </w:p>
        </w:tc>
        <w:tc>
          <w:tcPr>
            <w:tcW w:w="443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pacing w:val="-6"/>
                <w:szCs w:val="21"/>
              </w:rPr>
            </w:pPr>
            <w:r>
              <w:rPr>
                <w:rFonts w:hint="eastAsia" w:ascii="宋体" w:hAnsi="宋体" w:cs="宋体"/>
                <w:spacing w:val="-6"/>
                <w:szCs w:val="21"/>
              </w:rPr>
              <w:t>1、地点：采购人指定地点。</w:t>
            </w:r>
          </w:p>
          <w:p>
            <w:pPr>
              <w:autoSpaceDE w:val="0"/>
              <w:autoSpaceDN w:val="0"/>
              <w:snapToGrid w:val="0"/>
              <w:textAlignment w:val="bottom"/>
              <w:rPr>
                <w:rFonts w:ascii="宋体" w:hAnsi="宋体" w:cs="宋体"/>
                <w:spacing w:val="-6"/>
                <w:szCs w:val="21"/>
              </w:rPr>
            </w:pPr>
            <w:r>
              <w:rPr>
                <w:rFonts w:hint="eastAsia" w:ascii="宋体" w:hAnsi="宋体" w:cs="宋体"/>
                <w:spacing w:val="-6"/>
                <w:szCs w:val="21"/>
              </w:rPr>
              <w:t>2、完成时间：接到用户通知后在规定的时间内完成安装和调试，如在规定的时间内由于成交供应商的原因不能完成安装和调试，成交供应商应承担由此给采购人造成的所有损失。</w:t>
            </w:r>
          </w:p>
          <w:p>
            <w:pPr>
              <w:autoSpaceDE w:val="0"/>
              <w:autoSpaceDN w:val="0"/>
              <w:snapToGrid w:val="0"/>
              <w:textAlignment w:val="bottom"/>
              <w:rPr>
                <w:rFonts w:ascii="宋体" w:hAnsi="宋体" w:cs="宋体"/>
                <w:spacing w:val="-6"/>
                <w:szCs w:val="21"/>
              </w:rPr>
            </w:pPr>
            <w:r>
              <w:rPr>
                <w:rFonts w:hint="eastAsia" w:ascii="宋体" w:hAnsi="宋体" w:cs="宋体"/>
                <w:spacing w:val="-6"/>
                <w:szCs w:val="21"/>
              </w:rPr>
              <w:t>3、标准：符合我国国家有关技术规范要求和技术标准，所有的软件和硬件必须保证同时安装、布置到位。</w:t>
            </w:r>
          </w:p>
          <w:p>
            <w:pPr>
              <w:autoSpaceDE w:val="0"/>
              <w:autoSpaceDN w:val="0"/>
              <w:snapToGrid w:val="0"/>
              <w:textAlignment w:val="bottom"/>
              <w:rPr>
                <w:rFonts w:ascii="宋体" w:hAnsi="宋体" w:cs="宋体"/>
                <w:spacing w:val="-6"/>
                <w:szCs w:val="21"/>
              </w:rPr>
            </w:pPr>
            <w:r>
              <w:rPr>
                <w:rFonts w:hint="eastAsia" w:ascii="宋体" w:hAnsi="宋体" w:cs="宋体"/>
                <w:spacing w:val="-6"/>
                <w:szCs w:val="21"/>
              </w:rPr>
              <w:t>4、成交供应商提供租赁设备的安装及拆除服务。</w:t>
            </w:r>
          </w:p>
          <w:p>
            <w:pPr>
              <w:autoSpaceDE w:val="0"/>
              <w:autoSpaceDN w:val="0"/>
              <w:snapToGrid w:val="0"/>
              <w:textAlignment w:val="bottom"/>
              <w:rPr>
                <w:rFonts w:ascii="宋体" w:hAnsi="宋体" w:cs="宋体"/>
                <w:spacing w:val="-6"/>
                <w:szCs w:val="21"/>
              </w:rPr>
            </w:pPr>
            <w:r>
              <w:rPr>
                <w:rFonts w:hint="eastAsia" w:ascii="宋体" w:hAnsi="宋体" w:cs="宋体"/>
                <w:spacing w:val="-6"/>
                <w:szCs w:val="21"/>
              </w:rPr>
              <w:t>5、成交供应商在响应文件中应提供安装调试计划、对安装场地和环境的要求。</w:t>
            </w:r>
          </w:p>
          <w:p>
            <w:pPr>
              <w:autoSpaceDE w:val="0"/>
              <w:autoSpaceDN w:val="0"/>
              <w:snapToGrid w:val="0"/>
              <w:textAlignment w:val="bottom"/>
              <w:rPr>
                <w:rFonts w:ascii="宋体" w:hAnsi="宋体" w:cs="宋体"/>
                <w:szCs w:val="21"/>
              </w:rPr>
            </w:pPr>
            <w:r>
              <w:rPr>
                <w:rFonts w:hint="eastAsia" w:ascii="宋体" w:hAnsi="宋体" w:cs="宋体"/>
                <w:spacing w:val="-6"/>
                <w:szCs w:val="21"/>
              </w:rPr>
              <w:t>6、</w:t>
            </w:r>
            <w:r>
              <w:rPr>
                <w:rFonts w:hint="eastAsia" w:ascii="宋体" w:hAnsi="宋体" w:cs="宋体"/>
                <w:szCs w:val="21"/>
              </w:rPr>
              <w:t>成交供应商在服务过程中必须严格按照有关操作规程进行操作，做好安全防范工作，防止一切事故的发生。在服务期间，出现人身伤亡等事故，一切后果由成交供应商自行承担。</w:t>
            </w:r>
          </w:p>
          <w:p>
            <w:pPr>
              <w:autoSpaceDE w:val="0"/>
              <w:autoSpaceDN w:val="0"/>
              <w:snapToGrid w:val="0"/>
              <w:textAlignment w:val="bottom"/>
              <w:rPr>
                <w:rFonts w:ascii="宋体" w:hAnsi="宋体" w:cs="宋体"/>
                <w:szCs w:val="21"/>
              </w:rPr>
            </w:pPr>
            <w:r>
              <w:rPr>
                <w:rFonts w:hint="eastAsia" w:ascii="宋体" w:hAnsi="宋体" w:cs="宋体"/>
                <w:szCs w:val="21"/>
              </w:rPr>
              <w:t>7、成交供应商需在毕业、开学典礼演出阶段全程保证设备专业技术人员提供服务，现场解决设备问题。</w:t>
            </w:r>
          </w:p>
          <w:p>
            <w:pPr>
              <w:autoSpaceDE w:val="0"/>
              <w:autoSpaceDN w:val="0"/>
              <w:snapToGrid w:val="0"/>
              <w:textAlignment w:val="bottom"/>
              <w:rPr>
                <w:rFonts w:ascii="宋体" w:hAnsi="宋体" w:cs="宋体"/>
                <w:szCs w:val="21"/>
              </w:rPr>
            </w:pPr>
            <w:r>
              <w:rPr>
                <w:rFonts w:hint="eastAsia" w:ascii="宋体" w:hAnsi="宋体" w:cs="宋体"/>
                <w:szCs w:val="21"/>
              </w:rPr>
              <w:t>8、如因演出需要，成交供应商需连夜安装调试设备以保证演出顺利进行。</w:t>
            </w:r>
          </w:p>
          <w:p>
            <w:pPr>
              <w:autoSpaceDE w:val="0"/>
              <w:autoSpaceDN w:val="0"/>
              <w:snapToGrid w:val="0"/>
              <w:textAlignment w:val="bottom"/>
              <w:rPr>
                <w:rFonts w:ascii="宋体" w:hAnsi="宋体" w:cs="宋体"/>
                <w:szCs w:val="21"/>
              </w:rPr>
            </w:pPr>
            <w:r>
              <w:rPr>
                <w:rFonts w:hint="eastAsia" w:ascii="宋体" w:hAnsi="宋体" w:cs="宋体"/>
                <w:szCs w:val="21"/>
              </w:rPr>
              <w:t>9、合同服务期止由成交供应商自行拆除租赁设备，进行场地恢复、清运、清扫现场等工作。未在采购方要求时间内完成赛后拆除、恢复、清运等工作，采购方有权自行处理，产生的费用由供应商承担。</w:t>
            </w:r>
          </w:p>
          <w:p>
            <w:pPr>
              <w:autoSpaceDE w:val="0"/>
              <w:autoSpaceDN w:val="0"/>
              <w:snapToGrid w:val="0"/>
              <w:textAlignment w:val="bottom"/>
              <w:rPr>
                <w:rFonts w:ascii="宋体" w:hAnsi="宋体" w:cs="宋体"/>
                <w:szCs w:val="21"/>
              </w:rPr>
            </w:pPr>
            <w:r>
              <w:rPr>
                <w:rFonts w:hint="eastAsia" w:ascii="宋体" w:hAnsi="宋体" w:cs="宋体"/>
                <w:szCs w:val="21"/>
              </w:rPr>
              <w:t>10、成交供应商需提供与合同等额有效发票用于结算。</w:t>
            </w:r>
          </w:p>
          <w:p>
            <w:pPr>
              <w:autoSpaceDE w:val="0"/>
              <w:autoSpaceDN w:val="0"/>
              <w:snapToGrid w:val="0"/>
              <w:textAlignment w:val="bottom"/>
              <w:rPr>
                <w:rStyle w:val="54"/>
                <w:rFonts w:ascii="宋体" w:hAnsi="宋体" w:cs="宋体"/>
                <w:szCs w:val="21"/>
              </w:rPr>
            </w:pPr>
            <w:r>
              <w:rPr>
                <w:rFonts w:hint="eastAsia" w:ascii="宋体" w:hAnsi="宋体" w:cs="宋体"/>
                <w:szCs w:val="21"/>
              </w:rPr>
              <w:t>11、本次采购含设备租赁、安装、调试、搬运及其他人工服务费，本批租赁设备所产生的运输费包含在报价当中。</w:t>
            </w:r>
          </w:p>
          <w:p>
            <w:pPr>
              <w:autoSpaceDE w:val="0"/>
              <w:autoSpaceDN w:val="0"/>
              <w:snapToGrid w:val="0"/>
              <w:textAlignment w:val="bottom"/>
              <w:rPr>
                <w:rStyle w:val="54"/>
                <w:rFonts w:ascii="宋体" w:hAnsi="宋体" w:cs="宋体"/>
                <w:szCs w:val="21"/>
              </w:rPr>
            </w:pPr>
            <w:r>
              <w:rPr>
                <w:rFonts w:hint="eastAsia" w:ascii="宋体" w:hAnsi="宋体" w:cs="宋体"/>
                <w:szCs w:val="21"/>
              </w:rPr>
              <w:t>12、</w:t>
            </w:r>
            <w:r>
              <w:rPr>
                <w:rStyle w:val="54"/>
                <w:rFonts w:hint="eastAsia" w:ascii="宋体" w:hAnsi="宋体" w:cs="宋体"/>
                <w:szCs w:val="21"/>
              </w:rPr>
              <w:t>本次项目参与人员均配合学校入校管理要求。</w:t>
            </w:r>
          </w:p>
          <w:p>
            <w:pPr>
              <w:autoSpaceDE w:val="0"/>
              <w:autoSpaceDN w:val="0"/>
              <w:snapToGrid w:val="0"/>
              <w:textAlignment w:val="bottom"/>
              <w:rPr>
                <w:rStyle w:val="54"/>
                <w:rFonts w:ascii="宋体" w:hAnsi="宋体" w:cs="宋体"/>
                <w:szCs w:val="21"/>
              </w:rPr>
            </w:pPr>
            <w:r>
              <w:rPr>
                <w:rStyle w:val="54"/>
                <w:rFonts w:hint="eastAsia" w:ascii="宋体" w:hAnsi="宋体" w:cs="宋体"/>
                <w:szCs w:val="21"/>
              </w:rPr>
              <w:t>13、成交供应商需保障严格按照采购要求提供服务，如出现因未严格按照需求出现安全隐患，导致活动期间演职人员的安全事故的，由成交供应商承担。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服务期限</w:t>
            </w:r>
          </w:p>
        </w:tc>
        <w:tc>
          <w:tcPr>
            <w:tcW w:w="443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szCs w:val="21"/>
              </w:rPr>
            </w:pPr>
            <w:r>
              <w:rPr>
                <w:rFonts w:hint="eastAsia" w:ascii="宋体" w:hAnsi="宋体" w:cs="宋体"/>
                <w:color w:val="000000"/>
                <w:szCs w:val="21"/>
              </w:rPr>
              <w:t>合同签订之日至全部活动结束后7天内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pacing w:val="-6"/>
                <w:szCs w:val="21"/>
              </w:rPr>
            </w:pPr>
            <w:r>
              <w:rPr>
                <w:rFonts w:hint="eastAsia" w:ascii="宋体" w:hAnsi="宋体" w:cs="宋体"/>
                <w:spacing w:val="-6"/>
                <w:szCs w:val="21"/>
              </w:rPr>
              <w:t>安装完成时间及地点</w:t>
            </w:r>
          </w:p>
        </w:tc>
        <w:tc>
          <w:tcPr>
            <w:tcW w:w="443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napToGrid w:val="0"/>
                <w:kern w:val="0"/>
                <w:szCs w:val="21"/>
              </w:rPr>
            </w:pPr>
            <w:r>
              <w:rPr>
                <w:rFonts w:hint="eastAsia" w:ascii="宋体" w:hAnsi="宋体" w:cs="宋体"/>
                <w:snapToGrid w:val="0"/>
                <w:kern w:val="0"/>
                <w:szCs w:val="21"/>
              </w:rPr>
              <w:t>1.舞台搭建及安装完成时间：以采购人通知为准，至少在毕业典礼和开学典礼举办之前2个工作日完成所有舞台搭建，音响、灯光等配套设施到位。</w:t>
            </w:r>
          </w:p>
          <w:p>
            <w:pPr>
              <w:snapToGrid w:val="0"/>
              <w:rPr>
                <w:rFonts w:ascii="宋体" w:hAnsi="宋体" w:cs="宋体"/>
                <w:snapToGrid w:val="0"/>
                <w:kern w:val="0"/>
                <w:szCs w:val="21"/>
              </w:rPr>
            </w:pPr>
            <w:r>
              <w:rPr>
                <w:rFonts w:hint="eastAsia" w:ascii="宋体" w:hAnsi="宋体" w:cs="宋体"/>
                <w:snapToGrid w:val="0"/>
                <w:kern w:val="0"/>
                <w:szCs w:val="21"/>
              </w:rPr>
              <w:t>2.舞台搭建及安装完成地点：采购人指定地点。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pacing w:val="-6"/>
                <w:szCs w:val="21"/>
              </w:rPr>
            </w:pPr>
            <w:r>
              <w:rPr>
                <w:rFonts w:hint="eastAsia" w:ascii="宋体" w:hAnsi="宋体" w:cs="宋体"/>
                <w:spacing w:val="-6"/>
                <w:szCs w:val="21"/>
              </w:rPr>
              <w:t>付款条件</w:t>
            </w:r>
          </w:p>
        </w:tc>
        <w:tc>
          <w:tcPr>
            <w:tcW w:w="443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1.供应商提交银行、保险公司等金融机构出具的预付款保函（保函数额与预付款金额相同）；合同生效并具备实施条件后7个工作日内，采购人向供应商支付合同金额40%的预付款。剩余合同款项在验收合格后，凭验收合格证明材料、发票到采购人处结算。采购人在7个工作日内向成交供应商支付全部合同余款。</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履约保证金</w:t>
            </w:r>
          </w:p>
        </w:tc>
        <w:tc>
          <w:tcPr>
            <w:tcW w:w="443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napToGrid w:val="0"/>
                <w:kern w:val="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pacing w:val="-6"/>
                <w:szCs w:val="21"/>
              </w:rPr>
            </w:pPr>
            <w:r>
              <w:rPr>
                <w:rFonts w:hint="eastAsia" w:ascii="宋体" w:hAnsi="宋体" w:cs="宋体"/>
                <w:spacing w:val="-6"/>
                <w:szCs w:val="21"/>
              </w:rPr>
              <w:t>验收方案</w:t>
            </w:r>
          </w:p>
        </w:tc>
        <w:tc>
          <w:tcPr>
            <w:tcW w:w="443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1.验收主体：浙江工商大学。</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2.验收时间：服务内容执行完毕、服务期截止后。</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3.验收程序：成交方向采购人提出申请验收，采购人按验收方案组织履约验收。成交方应将项目执行过程及时记录、收集、整理，向采购人递交验收申请资料。</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4.验收内容：成交方实际完成的情况是否符合采购文件要求和在磋商响应文件中的商务、技术承诺。</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5.验收标准：成交方已经按采购文件要求和在磋商响应文件中的商务、技术承诺完成项目执行。</w:t>
            </w:r>
          </w:p>
          <w:p>
            <w:pPr>
              <w:autoSpaceDE w:val="0"/>
              <w:autoSpaceDN w:val="0"/>
              <w:snapToGrid w:val="0"/>
              <w:textAlignment w:val="bottom"/>
              <w:rPr>
                <w:rFonts w:ascii="宋体" w:hAnsi="宋体" w:cs="宋体"/>
                <w:snapToGrid w:val="0"/>
                <w:kern w:val="0"/>
                <w:szCs w:val="21"/>
              </w:rPr>
            </w:pPr>
            <w:r>
              <w:rPr>
                <w:rFonts w:hint="eastAsia" w:ascii="宋体" w:hAnsi="宋体" w:cs="宋体"/>
                <w:snapToGrid w:val="0"/>
                <w:kern w:val="0"/>
                <w:szCs w:val="21"/>
              </w:rPr>
              <w:t>6.验收时乙方应在现场，验收完毕后作出验收结果报告；验收产生的费用，属于首次验收过程中产生的，由采购人承担；属于首次验收不合格，重新验收过程中产生的，由成交方承担。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pacing w:val="-6"/>
                <w:szCs w:val="21"/>
              </w:rPr>
            </w:pPr>
            <w:r>
              <w:rPr>
                <w:rFonts w:hint="eastAsia" w:ascii="宋体" w:hAnsi="宋体" w:cs="宋体"/>
                <w:spacing w:val="-6"/>
                <w:szCs w:val="21"/>
              </w:rPr>
              <w:t>备注</w:t>
            </w:r>
          </w:p>
        </w:tc>
        <w:tc>
          <w:tcPr>
            <w:tcW w:w="443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r>
              <w:rPr>
                <w:rFonts w:hint="eastAsia" w:ascii="宋体" w:hAnsi="宋体" w:cs="宋体"/>
                <w:b/>
                <w:bCs/>
                <w:szCs w:val="21"/>
              </w:rPr>
              <w:t>1.若本次典礼因其他不可遇见因素导致取消，采购人应提前告知；</w:t>
            </w:r>
          </w:p>
          <w:p>
            <w:pPr>
              <w:rPr>
                <w:rFonts w:ascii="宋体" w:hAnsi="宋体" w:cs="宋体"/>
                <w:b/>
                <w:bCs/>
                <w:szCs w:val="21"/>
              </w:rPr>
            </w:pPr>
            <w:r>
              <w:rPr>
                <w:rFonts w:hint="eastAsia" w:ascii="宋体" w:hAnsi="宋体" w:cs="宋体"/>
                <w:b/>
                <w:bCs/>
                <w:szCs w:val="21"/>
              </w:rPr>
              <w:t>2.若采购人于典礼进场前告知取消，支付取消场次成交金额的10%，主要用于支付成交方舞美设计、整体策划设计等产生成本支出的费用；</w:t>
            </w:r>
          </w:p>
          <w:p>
            <w:pPr>
              <w:rPr>
                <w:rFonts w:ascii="宋体" w:hAnsi="宋体" w:cs="宋体"/>
                <w:b/>
                <w:bCs/>
                <w:szCs w:val="21"/>
              </w:rPr>
            </w:pPr>
            <w:r>
              <w:rPr>
                <w:rFonts w:hint="eastAsia" w:ascii="宋体" w:hAnsi="宋体" w:cs="宋体"/>
                <w:b/>
                <w:bCs/>
                <w:szCs w:val="21"/>
              </w:rPr>
              <w:t>3.若采购人于典礼进场后，晚会开始前告知取消，支付取消场次成交金额的50%，主要用于支付成交方成交方舞美设计、整体策划设计、人工运输等产生的费用；</w:t>
            </w:r>
          </w:p>
          <w:p>
            <w:pPr>
              <w:pStyle w:val="58"/>
              <w:rPr>
                <w:rFonts w:ascii="宋体" w:hAnsi="宋体" w:eastAsia="宋体" w:cs="宋体"/>
                <w:color w:val="FF0000"/>
                <w:sz w:val="21"/>
                <w:szCs w:val="21"/>
              </w:rPr>
            </w:pPr>
            <w:r>
              <w:rPr>
                <w:rFonts w:hint="eastAsia" w:ascii="宋体" w:hAnsi="宋体" w:eastAsia="宋体" w:cs="宋体"/>
                <w:b/>
                <w:bCs/>
                <w:color w:val="auto"/>
                <w:sz w:val="21"/>
                <w:szCs w:val="21"/>
              </w:rPr>
              <w:t>4.若开学典礼场次由2场减少（合并）为1场，支付开学典礼成交金额的80%。</w:t>
            </w:r>
          </w:p>
        </w:tc>
      </w:tr>
    </w:tbl>
    <w:p>
      <w:pPr>
        <w:pStyle w:val="20"/>
        <w:spacing w:line="360" w:lineRule="auto"/>
        <w:rPr>
          <w:rFonts w:ascii="宋体" w:hAnsi="宋体" w:eastAsia="宋体" w:cs="宋体"/>
          <w:sz w:val="21"/>
          <w:szCs w:val="21"/>
        </w:rPr>
      </w:pPr>
    </w:p>
    <w:p>
      <w:pPr>
        <w:rPr>
          <w:rFonts w:ascii="宋体" w:hAnsi="宋体" w:cs="宋体"/>
          <w:sz w:val="32"/>
        </w:rPr>
      </w:pPr>
      <w:bookmarkStart w:id="112" w:name="_Toc14159"/>
      <w:r>
        <w:rPr>
          <w:rFonts w:hint="eastAsia" w:ascii="宋体" w:hAnsi="宋体" w:cs="宋体"/>
          <w:sz w:val="32"/>
        </w:rPr>
        <w:br w:type="page"/>
      </w:r>
    </w:p>
    <w:p>
      <w:pPr>
        <w:pStyle w:val="2"/>
        <w:snapToGrid w:val="0"/>
        <w:ind w:firstLine="643" w:firstLineChars="200"/>
        <w:rPr>
          <w:sz w:val="30"/>
          <w:szCs w:val="30"/>
        </w:rPr>
      </w:pPr>
      <w:r>
        <w:rPr>
          <w:rFonts w:hint="eastAsia" w:ascii="宋体" w:hAnsi="宋体" w:cs="宋体"/>
          <w:sz w:val="32"/>
        </w:rPr>
        <w:t>第四部分 合同条款</w:t>
      </w:r>
      <w:bookmarkEnd w:id="112"/>
    </w:p>
    <w:bookmarkEnd w:id="98"/>
    <w:bookmarkEnd w:id="99"/>
    <w:bookmarkEnd w:id="100"/>
    <w:bookmarkEnd w:id="101"/>
    <w:bookmarkEnd w:id="102"/>
    <w:bookmarkEnd w:id="103"/>
    <w:bookmarkEnd w:id="110"/>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甲方（</w:t>
      </w:r>
      <w:r>
        <w:rPr>
          <w:rFonts w:hint="eastAsia" w:ascii="宋体" w:hAnsi="宋体" w:cs="宋体"/>
          <w:spacing w:val="-6"/>
          <w:szCs w:val="21"/>
          <w:lang w:val="zh-TW"/>
        </w:rPr>
        <w:t>采购人</w:t>
      </w:r>
      <w:r>
        <w:rPr>
          <w:rFonts w:hint="eastAsia" w:ascii="宋体" w:hAnsi="宋体" w:cs="宋体"/>
          <w:spacing w:val="-6"/>
          <w:szCs w:val="21"/>
          <w:lang w:val="zh-TW" w:eastAsia="zh-TW"/>
        </w:rPr>
        <w:t>）：</w:t>
      </w:r>
      <w:r>
        <w:rPr>
          <w:rFonts w:hint="eastAsia" w:ascii="宋体" w:hAnsi="宋体" w:cs="宋体"/>
          <w:spacing w:val="-6"/>
          <w:szCs w:val="21"/>
          <w:lang w:val="zh-TW"/>
        </w:rPr>
        <w:t>浙江工商大学</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lang w:val="zh-TW" w:eastAsia="zh-TW"/>
        </w:rPr>
        <w:t>乙方（供</w:t>
      </w:r>
      <w:r>
        <w:rPr>
          <w:rFonts w:hint="eastAsia" w:ascii="宋体" w:hAnsi="宋体" w:cs="宋体"/>
          <w:spacing w:val="-6"/>
          <w:szCs w:val="21"/>
          <w:lang w:val="zh-TW"/>
        </w:rPr>
        <w:t>应商</w:t>
      </w:r>
      <w:r>
        <w:rPr>
          <w:rFonts w:hint="eastAsia" w:ascii="宋体" w:hAnsi="宋体" w:cs="宋体"/>
          <w:spacing w:val="-6"/>
          <w:szCs w:val="21"/>
          <w:lang w:val="zh-TW" w:eastAsia="zh-TW"/>
        </w:rPr>
        <w:t>）：</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lang w:val="zh-TW" w:eastAsia="zh-TW"/>
        </w:rPr>
        <w:t>采购代理机构（鉴证方）：</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eastAsia="zh-TW"/>
        </w:rPr>
        <w:t>签约地点：杭州</w:t>
      </w:r>
      <w:r>
        <w:rPr>
          <w:rFonts w:hint="eastAsia" w:ascii="宋体" w:hAnsi="宋体" w:cs="宋体"/>
          <w:spacing w:val="-6"/>
          <w:szCs w:val="21"/>
          <w:lang w:val="zh-TW"/>
        </w:rPr>
        <w:t xml:space="preserve">                                  合同编号：</w:t>
      </w:r>
    </w:p>
    <w:p>
      <w:pPr>
        <w:spacing w:line="360" w:lineRule="auto"/>
        <w:ind w:firstLine="420" w:firstLineChars="200"/>
        <w:rPr>
          <w:rFonts w:ascii="宋体" w:hAnsi="宋体" w:cs="宋体"/>
          <w:szCs w:val="21"/>
        </w:rPr>
      </w:pPr>
      <w:r>
        <w:rPr>
          <w:rFonts w:hint="eastAsia" w:ascii="宋体" w:hAnsi="宋体" w:cs="宋体"/>
          <w:szCs w:val="21"/>
        </w:rPr>
        <w:t>甲、乙双方根据</w:t>
      </w:r>
      <w:r>
        <w:rPr>
          <w:rFonts w:hint="eastAsia" w:ascii="宋体" w:hAnsi="宋体" w:cs="宋体"/>
          <w:spacing w:val="-6"/>
          <w:szCs w:val="21"/>
          <w:u w:val="single"/>
          <w:lang w:val="zh-TW"/>
        </w:rPr>
        <w:t xml:space="preserve">        </w:t>
      </w:r>
      <w:r>
        <w:rPr>
          <w:rFonts w:hint="eastAsia" w:ascii="宋体" w:hAnsi="宋体" w:cs="宋体"/>
          <w:szCs w:val="21"/>
        </w:rPr>
        <w:t>关于</w:t>
      </w:r>
      <w:r>
        <w:rPr>
          <w:rFonts w:hint="eastAsia" w:ascii="宋体" w:hAnsi="宋体" w:cs="宋体"/>
          <w:szCs w:val="21"/>
          <w:u w:val="single"/>
        </w:rPr>
        <w:t xml:space="preserve">     </w:t>
      </w:r>
      <w:r>
        <w:rPr>
          <w:rFonts w:hint="eastAsia" w:ascii="宋体" w:hAnsi="宋体" w:cs="宋体"/>
          <w:szCs w:val="21"/>
        </w:rPr>
        <w:t>项目</w:t>
      </w:r>
      <w:r>
        <w:rPr>
          <w:rFonts w:hint="eastAsia" w:ascii="宋体" w:hAnsi="宋体" w:cs="宋体"/>
          <w:szCs w:val="21"/>
          <w:u w:val="single"/>
        </w:rPr>
        <w:t>（编号：   ，</w:t>
      </w:r>
      <w:r>
        <w:rPr>
          <w:rFonts w:hint="eastAsia" w:ascii="宋体" w:hAnsi="宋体" w:cs="宋体"/>
          <w:szCs w:val="21"/>
        </w:rPr>
        <w:t>计划书：</w:t>
      </w:r>
      <w:r>
        <w:rPr>
          <w:rFonts w:hint="eastAsia" w:ascii="宋体" w:hAnsi="宋体" w:cs="宋体"/>
          <w:szCs w:val="21"/>
          <w:u w:val="single"/>
        </w:rPr>
        <w:t xml:space="preserve">   号）</w:t>
      </w:r>
      <w:r>
        <w:rPr>
          <w:rFonts w:hint="eastAsia" w:ascii="宋体" w:hAnsi="宋体" w:cs="宋体"/>
          <w:szCs w:val="21"/>
        </w:rPr>
        <w:t>竞争性磋商的结果，签署本合同。</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lang w:val="zh-TW" w:eastAsia="zh-TW"/>
        </w:rPr>
        <w:t>第一条：采购项目内容及合同价格</w:t>
      </w:r>
    </w:p>
    <w:p>
      <w:pPr>
        <w:pStyle w:val="164"/>
        <w:numPr>
          <w:ilvl w:val="0"/>
          <w:numId w:val="4"/>
        </w:numPr>
        <w:spacing w:line="360" w:lineRule="auto"/>
        <w:ind w:left="0" w:firstLine="396" w:firstLineChars="200"/>
        <w:jc w:val="both"/>
        <w:rPr>
          <w:rFonts w:ascii="宋体" w:hAnsi="宋体" w:cs="宋体"/>
          <w:spacing w:val="-6"/>
          <w:sz w:val="21"/>
          <w:szCs w:val="21"/>
          <w:lang w:val="zh-TW" w:eastAsia="zh-CN"/>
        </w:rPr>
      </w:pPr>
      <w:r>
        <w:rPr>
          <w:rFonts w:hint="eastAsia" w:ascii="宋体" w:hAnsi="宋体" w:cs="宋体"/>
          <w:spacing w:val="-6"/>
          <w:sz w:val="21"/>
          <w:szCs w:val="21"/>
          <w:lang w:val="zh-TW" w:eastAsia="zh-TW"/>
        </w:rPr>
        <w:t>采购项目内容</w:t>
      </w:r>
      <w:r>
        <w:rPr>
          <w:rFonts w:hint="eastAsia" w:ascii="宋体" w:hAnsi="宋体" w:cs="宋体"/>
          <w:spacing w:val="-6"/>
          <w:sz w:val="21"/>
          <w:szCs w:val="21"/>
          <w:lang w:val="zh-TW" w:eastAsia="zh-CN"/>
        </w:rPr>
        <w:t>、</w:t>
      </w:r>
      <w:r>
        <w:rPr>
          <w:rFonts w:hint="eastAsia" w:ascii="宋体" w:hAnsi="宋体" w:cs="宋体"/>
          <w:spacing w:val="-6"/>
          <w:sz w:val="21"/>
          <w:szCs w:val="21"/>
          <w:lang w:val="zh-TW" w:eastAsia="zh-TW"/>
        </w:rPr>
        <w:t>合同价格</w:t>
      </w:r>
    </w:p>
    <w:tbl>
      <w:tblPr>
        <w:tblStyle w:val="157"/>
        <w:tblW w:w="4873"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854"/>
        <w:gridCol w:w="3722"/>
        <w:gridCol w:w="922"/>
        <w:gridCol w:w="1396"/>
        <w:gridCol w:w="19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lang w:val="zh-TW" w:eastAsia="zh-TW"/>
              </w:rPr>
              <w:t>序号</w:t>
            </w:r>
          </w:p>
        </w:tc>
        <w:tc>
          <w:tcPr>
            <w:tcW w:w="209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lang w:val="zh-TW"/>
              </w:rPr>
              <w:t>服务内容</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lang w:val="zh-TW"/>
              </w:rPr>
              <w:t>数量</w:t>
            </w:r>
          </w:p>
        </w:tc>
        <w:tc>
          <w:tcPr>
            <w:tcW w:w="786"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center"/>
            </w:pPr>
            <w:r>
              <w:rPr>
                <w:rFonts w:hint="eastAsia"/>
              </w:rPr>
              <w:t>综合单价</w:t>
            </w:r>
          </w:p>
        </w:tc>
        <w:tc>
          <w:tcPr>
            <w:tcW w:w="1116"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pPr>
            <w:r>
              <w:rPr>
                <w:rFonts w:hint="eastAsia"/>
                <w:lang w:val="zh-TW"/>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0"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1</w:t>
            </w:r>
          </w:p>
        </w:tc>
        <w:tc>
          <w:tcPr>
            <w:tcW w:w="209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2024届学生毕业典礼策划执行及舞美设备租赁服务</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1项</w:t>
            </w:r>
          </w:p>
        </w:tc>
        <w:tc>
          <w:tcPr>
            <w:tcW w:w="786"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left"/>
            </w:pPr>
          </w:p>
        </w:tc>
        <w:tc>
          <w:tcPr>
            <w:tcW w:w="1116"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0"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2</w:t>
            </w:r>
          </w:p>
        </w:tc>
        <w:tc>
          <w:tcPr>
            <w:tcW w:w="209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2024级新生开学典礼策划执行及舞美设备租赁服务（分2场）</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1项</w:t>
            </w:r>
          </w:p>
        </w:tc>
        <w:tc>
          <w:tcPr>
            <w:tcW w:w="786"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left"/>
            </w:pPr>
          </w:p>
        </w:tc>
        <w:tc>
          <w:tcPr>
            <w:tcW w:w="1116"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0"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3</w:t>
            </w:r>
          </w:p>
        </w:tc>
        <w:tc>
          <w:tcPr>
            <w:tcW w:w="209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2024届毕业生纪念品设计及制作服务</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hint="eastAsia"/>
              </w:rPr>
              <w:t>1项</w:t>
            </w:r>
          </w:p>
        </w:tc>
        <w:tc>
          <w:tcPr>
            <w:tcW w:w="786"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left"/>
            </w:pPr>
          </w:p>
        </w:tc>
        <w:tc>
          <w:tcPr>
            <w:tcW w:w="1116"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lang w:val="zh-TW" w:eastAsia="zh-TW"/>
              </w:rPr>
              <w:t>合同总价（人民币）</w:t>
            </w:r>
            <w:r>
              <w:rPr>
                <w:rFonts w:hint="eastAsia"/>
                <w:lang w:val="zh-TW"/>
              </w:rPr>
              <w:t>：大写，小写</w:t>
            </w:r>
          </w:p>
        </w:tc>
      </w:tr>
    </w:tbl>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pacing w:val="-6"/>
          <w:szCs w:val="21"/>
          <w:lang w:val="zh-TW" w:eastAsia="zh-TW"/>
        </w:rPr>
        <w:t>以上合同总价包括设备租用、装卸、人员费用、保险、税金、货到就位以及舞台施工搭建、安装、调试、实施、典礼结束舞台及租用设备拆除等一切税金和费用。</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第二条：质量保证</w:t>
      </w:r>
    </w:p>
    <w:p>
      <w:pPr>
        <w:spacing w:line="360" w:lineRule="auto"/>
        <w:ind w:firstLine="396"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lang w:val="zh-TW" w:eastAsia="zh-TW"/>
        </w:rPr>
        <w:t>舞台制作搭建的技术要求和标准，验收时舞台需达到的品质效果和验收标准，以及验收的方式和验收考核的标准，参照本采购项目的</w:t>
      </w:r>
      <w:r>
        <w:rPr>
          <w:rFonts w:hint="eastAsia" w:ascii="宋体" w:hAnsi="宋体" w:cs="宋体"/>
          <w:spacing w:val="-6"/>
          <w:szCs w:val="21"/>
          <w:lang w:val="zh-TW"/>
        </w:rPr>
        <w:t>竞争性磋商</w:t>
      </w:r>
      <w:r>
        <w:rPr>
          <w:rFonts w:hint="eastAsia" w:ascii="宋体" w:hAnsi="宋体" w:cs="宋体"/>
          <w:spacing w:val="-6"/>
          <w:szCs w:val="21"/>
          <w:lang w:val="zh-TW" w:eastAsia="zh-TW"/>
        </w:rPr>
        <w:t>文件及</w:t>
      </w:r>
      <w:r>
        <w:rPr>
          <w:rFonts w:hint="eastAsia" w:ascii="宋体" w:hAnsi="宋体" w:cs="宋体"/>
          <w:spacing w:val="-6"/>
          <w:szCs w:val="21"/>
          <w:lang w:val="zh-TW"/>
        </w:rPr>
        <w:t>响应</w:t>
      </w:r>
      <w:r>
        <w:rPr>
          <w:rFonts w:hint="eastAsia" w:ascii="宋体" w:hAnsi="宋体" w:cs="宋体"/>
          <w:spacing w:val="-6"/>
          <w:szCs w:val="21"/>
          <w:lang w:val="zh-TW" w:eastAsia="zh-TW"/>
        </w:rPr>
        <w:t>文件，须达到甲方所要求的品质效果和验收标准，如发生所供设备和服务（型号、指标、性能等）不符，甲方有权拒收或退货，由此产生的一切责任和后果由乙方承担。</w:t>
      </w:r>
    </w:p>
    <w:p>
      <w:pPr>
        <w:spacing w:line="360" w:lineRule="auto"/>
        <w:ind w:firstLine="396"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lang w:val="zh-TW" w:eastAsia="zh-TW"/>
        </w:rPr>
        <w:t>如在使用过程中发生质量问题，乙方应安排工作人员在现场立即修复，必要时采取临时调换等措施，以保证甲方的正常工作。</w:t>
      </w:r>
    </w:p>
    <w:p>
      <w:pPr>
        <w:spacing w:line="360" w:lineRule="auto"/>
        <w:ind w:firstLine="396" w:firstLineChars="200"/>
        <w:rPr>
          <w:rFonts w:ascii="宋体" w:hAnsi="宋体" w:cs="宋体"/>
          <w:spacing w:val="-6"/>
          <w:szCs w:val="21"/>
        </w:rPr>
      </w:pPr>
      <w:r>
        <w:rPr>
          <w:rFonts w:hint="eastAsia" w:ascii="宋体" w:hAnsi="宋体" w:cs="宋体"/>
          <w:spacing w:val="-6"/>
          <w:szCs w:val="21"/>
        </w:rPr>
        <w:t>3.</w:t>
      </w:r>
      <w:r>
        <w:rPr>
          <w:rFonts w:hint="eastAsia" w:ascii="宋体" w:hAnsi="宋体" w:cs="宋体"/>
          <w:spacing w:val="-6"/>
          <w:szCs w:val="21"/>
          <w:lang w:val="zh-TW" w:eastAsia="zh-TW"/>
        </w:rPr>
        <w:t>乙方应对所供设备在运输、装卸、安装、搭建、调试、实施、典礼结束舞台及租用设备拆除全过程出现的质量和安全问题负全部责任，负责处理解决并承担一切费用。</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第三条：技术资料</w:t>
      </w:r>
    </w:p>
    <w:p>
      <w:pPr>
        <w:spacing w:line="360" w:lineRule="auto"/>
        <w:ind w:firstLine="396"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lang w:val="zh-TW" w:eastAsia="zh-TW"/>
        </w:rPr>
        <w:t>乙方应按竞争性磋商文件规定的时间向甲方提供使用设备的有关技术资料。</w:t>
      </w:r>
    </w:p>
    <w:p>
      <w:pPr>
        <w:spacing w:line="360" w:lineRule="auto"/>
        <w:ind w:firstLine="396"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lang w:val="zh-TW" w:eastAsia="zh-TW"/>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第四条：知识产权</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乙方应保证所提供的设备或其任何一部分均不会侵犯任何第三方的知识产权。</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第五条：交货时间、地点</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（一）2024届学生毕业典礼</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rPr>
        <w:t>2024年6月23</w:t>
      </w:r>
      <w:r>
        <w:rPr>
          <w:rFonts w:hint="eastAsia" w:ascii="宋体" w:hAnsi="宋体" w:cs="宋体"/>
          <w:spacing w:val="-6"/>
          <w:szCs w:val="21"/>
          <w:lang w:val="zh-TW" w:eastAsia="zh-TW"/>
        </w:rPr>
        <w:t>日</w:t>
      </w:r>
      <w:r>
        <w:rPr>
          <w:rFonts w:hint="eastAsia" w:ascii="宋体" w:hAnsi="宋体" w:cs="宋体"/>
          <w:spacing w:val="-6"/>
          <w:szCs w:val="21"/>
          <w:lang w:val="zh-TW"/>
        </w:rPr>
        <w:t>晚上</w:t>
      </w:r>
      <w:r>
        <w:rPr>
          <w:rFonts w:hint="eastAsia" w:ascii="宋体" w:hAnsi="宋体" w:cs="宋体"/>
          <w:spacing w:val="-6"/>
          <w:szCs w:val="21"/>
        </w:rPr>
        <w:t>20:00</w:t>
      </w:r>
      <w:r>
        <w:rPr>
          <w:rFonts w:hint="eastAsia" w:ascii="宋体" w:hAnsi="宋体" w:cs="宋体"/>
          <w:spacing w:val="-6"/>
          <w:szCs w:val="21"/>
          <w:lang w:val="zh-TW" w:eastAsia="zh-TW"/>
        </w:rPr>
        <w:t>前设备调试完毕，满足</w:t>
      </w:r>
      <w:r>
        <w:rPr>
          <w:rFonts w:hint="eastAsia" w:ascii="宋体" w:hAnsi="宋体" w:cs="宋体"/>
          <w:spacing w:val="-6"/>
          <w:szCs w:val="21"/>
        </w:rPr>
        <w:t>毕业典礼</w:t>
      </w:r>
      <w:r>
        <w:rPr>
          <w:rFonts w:hint="eastAsia" w:ascii="宋体" w:hAnsi="宋体" w:cs="宋体"/>
          <w:spacing w:val="-6"/>
          <w:szCs w:val="21"/>
          <w:lang w:val="zh-TW" w:eastAsia="zh-TW"/>
        </w:rPr>
        <w:t>前进行彩排的各项要求，并在彩排期间对设备进行再次调试；</w:t>
      </w:r>
    </w:p>
    <w:p>
      <w:pPr>
        <w:spacing w:line="360" w:lineRule="auto"/>
        <w:ind w:firstLine="396" w:firstLineChars="200"/>
        <w:rPr>
          <w:rFonts w:ascii="宋体" w:hAnsi="宋体" w:cs="宋体"/>
          <w:spacing w:val="-6"/>
          <w:szCs w:val="21"/>
        </w:rPr>
      </w:pPr>
      <w:r>
        <w:rPr>
          <w:rFonts w:hint="eastAsia" w:ascii="宋体" w:hAnsi="宋体" w:cs="宋体"/>
          <w:spacing w:val="-6"/>
          <w:szCs w:val="21"/>
        </w:rPr>
        <w:t>2024年6月24</w:t>
      </w:r>
      <w:r>
        <w:rPr>
          <w:rFonts w:hint="eastAsia" w:ascii="宋体" w:hAnsi="宋体" w:cs="宋体"/>
          <w:spacing w:val="-6"/>
          <w:szCs w:val="21"/>
          <w:lang w:val="zh-TW" w:eastAsia="zh-TW"/>
        </w:rPr>
        <w:t>日</w:t>
      </w:r>
      <w:r>
        <w:rPr>
          <w:rFonts w:hint="eastAsia" w:ascii="宋体" w:hAnsi="宋体" w:cs="宋体"/>
          <w:spacing w:val="-6"/>
          <w:szCs w:val="21"/>
          <w:lang w:val="zh-TW"/>
        </w:rPr>
        <w:t>—</w:t>
      </w:r>
      <w:r>
        <w:rPr>
          <w:rFonts w:hint="eastAsia" w:ascii="宋体" w:hAnsi="宋体" w:cs="宋体"/>
          <w:spacing w:val="-6"/>
          <w:szCs w:val="21"/>
        </w:rPr>
        <w:t>2024年6月25日</w:t>
      </w:r>
      <w:r>
        <w:rPr>
          <w:rFonts w:hint="eastAsia" w:ascii="宋体" w:hAnsi="宋体" w:cs="宋体"/>
          <w:spacing w:val="-6"/>
          <w:szCs w:val="21"/>
          <w:lang w:val="zh-TW" w:eastAsia="zh-TW"/>
        </w:rPr>
        <w:t>为整体彩排时间；</w:t>
      </w:r>
    </w:p>
    <w:p>
      <w:pPr>
        <w:spacing w:line="360" w:lineRule="auto"/>
        <w:ind w:firstLine="396" w:firstLineChars="200"/>
        <w:rPr>
          <w:rFonts w:ascii="宋体" w:hAnsi="宋体" w:cs="宋体"/>
          <w:spacing w:val="-6"/>
          <w:szCs w:val="21"/>
        </w:rPr>
      </w:pPr>
      <w:r>
        <w:rPr>
          <w:rFonts w:hint="eastAsia" w:ascii="宋体" w:hAnsi="宋体" w:cs="宋体"/>
          <w:spacing w:val="-6"/>
          <w:szCs w:val="21"/>
        </w:rPr>
        <w:t>2024年6月26日上午8:30毕业典礼正式开始</w:t>
      </w:r>
      <w:r>
        <w:rPr>
          <w:rFonts w:hint="eastAsia" w:ascii="宋体" w:hAnsi="宋体" w:cs="宋体"/>
          <w:spacing w:val="-6"/>
          <w:szCs w:val="21"/>
          <w:lang w:val="zh-TW" w:eastAsia="zh-TW"/>
        </w:rPr>
        <w:t>直到</w:t>
      </w:r>
      <w:r>
        <w:rPr>
          <w:rFonts w:hint="eastAsia" w:ascii="宋体" w:hAnsi="宋体" w:cs="宋体"/>
          <w:spacing w:val="-6"/>
          <w:szCs w:val="21"/>
        </w:rPr>
        <w:t>典礼和学位授予仪式</w:t>
      </w:r>
      <w:r>
        <w:rPr>
          <w:rFonts w:hint="eastAsia" w:ascii="宋体" w:hAnsi="宋体" w:cs="宋体"/>
          <w:spacing w:val="-6"/>
          <w:szCs w:val="21"/>
          <w:lang w:val="zh-TW" w:eastAsia="zh-TW"/>
        </w:rPr>
        <w:t>结束；</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rPr>
        <w:t>2024年6月27</w:t>
      </w:r>
      <w:r>
        <w:rPr>
          <w:rFonts w:hint="eastAsia" w:ascii="宋体" w:hAnsi="宋体" w:cs="宋体"/>
          <w:spacing w:val="-6"/>
          <w:szCs w:val="21"/>
          <w:lang w:val="zh-TW" w:eastAsia="zh-TW"/>
        </w:rPr>
        <w:t>日前清场完毕</w:t>
      </w:r>
      <w:r>
        <w:rPr>
          <w:rFonts w:hint="eastAsia" w:ascii="宋体" w:hAnsi="宋体" w:cs="宋体"/>
          <w:spacing w:val="-6"/>
          <w:szCs w:val="21"/>
          <w:lang w:val="zh-TW"/>
        </w:rPr>
        <w:t>。</w:t>
      </w:r>
    </w:p>
    <w:p>
      <w:pPr>
        <w:spacing w:line="360" w:lineRule="auto"/>
        <w:ind w:firstLine="396" w:firstLineChars="200"/>
        <w:rPr>
          <w:rFonts w:ascii="宋体" w:hAnsi="宋体" w:cs="宋体"/>
          <w:spacing w:val="-6"/>
          <w:szCs w:val="21"/>
          <w:lang w:val="zh-TW"/>
        </w:rPr>
      </w:pPr>
      <w:r>
        <w:rPr>
          <w:rFonts w:hint="eastAsia" w:ascii="宋体" w:hAnsi="宋体" w:cs="宋体"/>
          <w:spacing w:val="-6"/>
          <w:szCs w:val="21"/>
          <w:lang w:val="zh-TW"/>
        </w:rPr>
        <w:t>以上为计划时间，具体安排可能会根据甲方实际要求调整</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（二）2024级新生开学典礼</w:t>
      </w:r>
    </w:p>
    <w:p>
      <w:pPr>
        <w:spacing w:line="360" w:lineRule="auto"/>
        <w:ind w:firstLine="396" w:firstLineChars="200"/>
        <w:rPr>
          <w:rFonts w:ascii="宋体" w:hAnsi="宋体" w:cs="宋体"/>
          <w:szCs w:val="21"/>
        </w:rPr>
      </w:pPr>
      <w:r>
        <w:rPr>
          <w:rFonts w:hint="eastAsia" w:ascii="宋体" w:hAnsi="宋体" w:cs="宋体"/>
          <w:spacing w:val="-6"/>
          <w:szCs w:val="21"/>
        </w:rPr>
        <w:t>根据学校整体安排，待时间确定之后，在正式活动前4天，完成设备调试，满足开学典礼</w:t>
      </w:r>
      <w:r>
        <w:rPr>
          <w:rFonts w:hint="eastAsia" w:ascii="宋体" w:hAnsi="宋体" w:cs="宋体"/>
          <w:spacing w:val="-6"/>
          <w:szCs w:val="21"/>
          <w:lang w:val="zh-TW" w:eastAsia="zh-TW"/>
        </w:rPr>
        <w:t>前进行彩排的各项要求</w:t>
      </w:r>
      <w:r>
        <w:rPr>
          <w:rFonts w:hint="eastAsia" w:ascii="宋体" w:hAnsi="宋体" w:cs="宋体"/>
          <w:spacing w:val="-6"/>
          <w:szCs w:val="21"/>
          <w:lang w:val="zh-TW"/>
        </w:rPr>
        <w:t>，</w:t>
      </w:r>
      <w:r>
        <w:rPr>
          <w:rFonts w:hint="eastAsia" w:ascii="宋体" w:hAnsi="宋体" w:cs="宋体"/>
          <w:spacing w:val="-6"/>
          <w:szCs w:val="21"/>
        </w:rPr>
        <w:t>期间配合学校做好彩排工作，活动结束后两天内完成清场工作。</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第六条：调试与验收</w:t>
      </w:r>
    </w:p>
    <w:p>
      <w:pPr>
        <w:spacing w:line="360" w:lineRule="auto"/>
        <w:ind w:firstLine="396"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lang w:val="zh-TW" w:eastAsia="zh-TW"/>
        </w:rPr>
        <w:t>舞台设计的效果、基本结构、面积等必须符合甲方的采购需求；</w:t>
      </w:r>
    </w:p>
    <w:p>
      <w:pPr>
        <w:spacing w:line="360" w:lineRule="auto"/>
        <w:ind w:firstLine="396"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lang w:val="zh-TW" w:eastAsia="zh-TW"/>
        </w:rPr>
        <w:t>舞台搭建后，甲方将组织人员及时进行验收。验收的标准和发现问题处理的方式，参照竞争性磋商文件、</w:t>
      </w:r>
      <w:r>
        <w:rPr>
          <w:rFonts w:hint="eastAsia" w:ascii="宋体" w:hAnsi="宋体" w:cs="宋体"/>
          <w:spacing w:val="-6"/>
          <w:szCs w:val="21"/>
          <w:lang w:val="zh-TW"/>
        </w:rPr>
        <w:t>响应</w:t>
      </w:r>
      <w:r>
        <w:rPr>
          <w:rFonts w:hint="eastAsia" w:ascii="宋体" w:hAnsi="宋体" w:cs="宋体"/>
          <w:spacing w:val="-6"/>
          <w:szCs w:val="21"/>
          <w:lang w:val="zh-TW" w:eastAsia="zh-TW"/>
        </w:rPr>
        <w:t>文件、询标记录、承诺书、设计图纸及双方签订的采购合同等的相关条款的约定执行，验收标准符合有关国家、地方、行业的标准及相关规定。</w:t>
      </w:r>
    </w:p>
    <w:p>
      <w:pPr>
        <w:spacing w:line="360" w:lineRule="auto"/>
        <w:ind w:firstLine="396" w:firstLineChars="200"/>
        <w:rPr>
          <w:rFonts w:ascii="宋体" w:hAnsi="宋体" w:cs="宋体"/>
          <w:spacing w:val="-6"/>
          <w:szCs w:val="21"/>
        </w:rPr>
      </w:pPr>
      <w:r>
        <w:rPr>
          <w:rFonts w:hint="eastAsia" w:ascii="宋体" w:hAnsi="宋体" w:cs="宋体"/>
          <w:spacing w:val="-6"/>
          <w:szCs w:val="21"/>
        </w:rPr>
        <w:t>3.</w:t>
      </w:r>
      <w:r>
        <w:rPr>
          <w:rFonts w:hint="eastAsia" w:ascii="宋体" w:hAnsi="宋体" w:cs="宋体"/>
          <w:spacing w:val="-6"/>
          <w:szCs w:val="21"/>
          <w:lang w:val="zh-TW" w:eastAsia="zh-TW"/>
        </w:rPr>
        <w:t>验收中发现产品、设施及服务达不到验收标准或合同规定的性能指标，乙方必须及时更换，并负担由此给用户造成的损失。如在甲方规定的时间内仍不能完成安装并验收的，甲方有权终止合同，由此造成的损失由乙方承担。</w:t>
      </w:r>
    </w:p>
    <w:p>
      <w:pPr>
        <w:spacing w:line="360" w:lineRule="auto"/>
        <w:ind w:firstLine="396" w:firstLineChars="200"/>
        <w:rPr>
          <w:rFonts w:ascii="宋体" w:hAnsi="宋体" w:cs="宋体"/>
          <w:spacing w:val="-6"/>
          <w:szCs w:val="21"/>
        </w:rPr>
      </w:pPr>
      <w:r>
        <w:rPr>
          <w:rFonts w:hint="eastAsia" w:ascii="宋体" w:hAnsi="宋体" w:cs="宋体"/>
          <w:spacing w:val="-6"/>
          <w:szCs w:val="21"/>
        </w:rPr>
        <w:t>4.</w:t>
      </w:r>
      <w:r>
        <w:rPr>
          <w:rFonts w:hint="eastAsia" w:ascii="宋体" w:hAnsi="宋体" w:cs="宋体"/>
          <w:spacing w:val="-6"/>
          <w:szCs w:val="21"/>
          <w:lang w:val="zh-TW" w:eastAsia="zh-TW"/>
        </w:rPr>
        <w:t>乙方需提供甲方认可的相应检测手段。</w:t>
      </w:r>
    </w:p>
    <w:p>
      <w:pPr>
        <w:spacing w:line="360" w:lineRule="auto"/>
        <w:ind w:firstLine="396" w:firstLineChars="200"/>
        <w:rPr>
          <w:rFonts w:ascii="宋体" w:hAnsi="宋体" w:cs="宋体"/>
          <w:spacing w:val="-6"/>
          <w:szCs w:val="21"/>
        </w:rPr>
      </w:pPr>
      <w:r>
        <w:rPr>
          <w:rFonts w:hint="eastAsia" w:ascii="宋体" w:hAnsi="宋体" w:cs="宋体"/>
          <w:spacing w:val="-6"/>
          <w:szCs w:val="21"/>
        </w:rPr>
        <w:t>5.</w:t>
      </w:r>
      <w:r>
        <w:rPr>
          <w:rFonts w:hint="eastAsia" w:ascii="宋体" w:hAnsi="宋体" w:cs="宋体"/>
          <w:spacing w:val="-6"/>
          <w:szCs w:val="21"/>
          <w:lang w:val="zh-TW" w:eastAsia="zh-TW"/>
        </w:rPr>
        <w:t>甲方对乙方提交的设备依据</w:t>
      </w:r>
      <w:r>
        <w:rPr>
          <w:rFonts w:hint="eastAsia" w:ascii="宋体" w:hAnsi="宋体" w:cs="宋体"/>
          <w:spacing w:val="-6"/>
          <w:szCs w:val="21"/>
          <w:lang w:val="zh-TW"/>
        </w:rPr>
        <w:t>竞争性磋商</w:t>
      </w:r>
      <w:r>
        <w:rPr>
          <w:rFonts w:hint="eastAsia" w:ascii="宋体" w:hAnsi="宋体" w:cs="宋体"/>
          <w:spacing w:val="-6"/>
          <w:szCs w:val="21"/>
          <w:lang w:val="zh-TW" w:eastAsia="zh-TW"/>
        </w:rPr>
        <w:t>文件</w:t>
      </w:r>
      <w:r>
        <w:rPr>
          <w:rFonts w:hint="eastAsia" w:ascii="宋体" w:hAnsi="宋体" w:cs="宋体"/>
          <w:spacing w:val="-6"/>
          <w:szCs w:val="21"/>
          <w:lang w:val="zh-TW"/>
        </w:rPr>
        <w:t>及响应文件</w:t>
      </w:r>
      <w:r>
        <w:rPr>
          <w:rFonts w:hint="eastAsia" w:ascii="宋体" w:hAnsi="宋体" w:cs="宋体"/>
          <w:spacing w:val="-6"/>
          <w:szCs w:val="21"/>
          <w:lang w:val="zh-TW" w:eastAsia="zh-TW"/>
        </w:rPr>
        <w:t>上的技术规格要求和国家有关质量标准进行现场初步验收，外观、说明书符合招投标文件技术要求的，给予签收，初步验收不合格的不予签收。</w:t>
      </w:r>
    </w:p>
    <w:p>
      <w:pPr>
        <w:spacing w:line="360" w:lineRule="auto"/>
        <w:ind w:firstLine="396" w:firstLineChars="200"/>
        <w:rPr>
          <w:rFonts w:ascii="宋体" w:hAnsi="宋体" w:cs="宋体"/>
          <w:spacing w:val="-6"/>
          <w:szCs w:val="21"/>
        </w:rPr>
      </w:pPr>
      <w:r>
        <w:rPr>
          <w:rFonts w:hint="eastAsia" w:ascii="宋体" w:hAnsi="宋体" w:cs="宋体"/>
          <w:spacing w:val="-6"/>
          <w:szCs w:val="21"/>
        </w:rPr>
        <w:t>6.</w:t>
      </w:r>
      <w:r>
        <w:rPr>
          <w:rFonts w:hint="eastAsia" w:ascii="宋体" w:hAnsi="宋体" w:cs="宋体"/>
          <w:spacing w:val="-6"/>
          <w:szCs w:val="21"/>
          <w:lang w:val="zh-TW" w:eastAsia="zh-TW"/>
        </w:rPr>
        <w:t>乙方交货前应对产品作出全面检查和对验收文件进行整理，并列出清单，作为甲方收货验收和使用的技术条件依据，检验的结果应随设备交甲方。</w:t>
      </w:r>
    </w:p>
    <w:p>
      <w:pPr>
        <w:spacing w:line="360" w:lineRule="auto"/>
        <w:ind w:firstLine="396" w:firstLineChars="200"/>
        <w:rPr>
          <w:rFonts w:ascii="宋体" w:hAnsi="宋体" w:cs="宋体"/>
          <w:spacing w:val="-6"/>
          <w:szCs w:val="21"/>
        </w:rPr>
      </w:pPr>
      <w:r>
        <w:rPr>
          <w:rFonts w:hint="eastAsia" w:ascii="宋体" w:hAnsi="宋体" w:cs="宋体"/>
          <w:spacing w:val="-6"/>
          <w:szCs w:val="21"/>
        </w:rPr>
        <w:t>7.</w:t>
      </w:r>
      <w:r>
        <w:rPr>
          <w:rFonts w:hint="eastAsia" w:ascii="宋体" w:hAnsi="宋体" w:cs="宋体"/>
          <w:spacing w:val="-6"/>
          <w:szCs w:val="21"/>
          <w:lang w:val="zh-TW" w:eastAsia="zh-TW"/>
        </w:rPr>
        <w:t>甲方对乙方提供的设备在使用前进行调试时，乙方需负责安装并培训甲方的使用操作人员，并协助甲方一起调试，直到符合技术要求，甲方才做最终验收。</w:t>
      </w:r>
    </w:p>
    <w:p>
      <w:pPr>
        <w:spacing w:line="360" w:lineRule="auto"/>
        <w:ind w:firstLine="396" w:firstLineChars="200"/>
        <w:rPr>
          <w:rFonts w:ascii="宋体" w:hAnsi="宋体" w:cs="宋体"/>
          <w:spacing w:val="-6"/>
          <w:szCs w:val="21"/>
        </w:rPr>
      </w:pPr>
      <w:r>
        <w:rPr>
          <w:rFonts w:hint="eastAsia" w:ascii="宋体" w:hAnsi="宋体" w:cs="宋体"/>
          <w:spacing w:val="-6"/>
          <w:szCs w:val="21"/>
        </w:rPr>
        <w:t>8.</w:t>
      </w:r>
      <w:r>
        <w:rPr>
          <w:rFonts w:hint="eastAsia" w:ascii="宋体" w:hAnsi="宋体" w:cs="宋体"/>
          <w:spacing w:val="-6"/>
          <w:szCs w:val="21"/>
          <w:lang w:val="zh-TW" w:eastAsia="zh-TW"/>
        </w:rPr>
        <w:t>对技术复杂的设备，甲方应请国家认可的专业检测机构参与初步验收及最终验收，并由其出具质量检测报告。</w:t>
      </w:r>
    </w:p>
    <w:p>
      <w:pPr>
        <w:spacing w:line="360" w:lineRule="auto"/>
        <w:ind w:firstLine="396" w:firstLineChars="200"/>
        <w:rPr>
          <w:rFonts w:ascii="宋体" w:hAnsi="宋体" w:cs="宋体"/>
          <w:spacing w:val="-6"/>
          <w:szCs w:val="21"/>
        </w:rPr>
      </w:pPr>
      <w:r>
        <w:rPr>
          <w:rFonts w:hint="eastAsia" w:ascii="宋体" w:hAnsi="宋体" w:cs="宋体"/>
          <w:spacing w:val="-6"/>
          <w:szCs w:val="21"/>
        </w:rPr>
        <w:t>9.</w:t>
      </w:r>
      <w:r>
        <w:rPr>
          <w:rFonts w:hint="eastAsia" w:ascii="宋体" w:hAnsi="宋体" w:cs="宋体"/>
          <w:spacing w:val="-6"/>
          <w:szCs w:val="21"/>
          <w:lang w:val="zh-TW" w:eastAsia="zh-TW"/>
        </w:rPr>
        <w:t>验收时乙方必须在现场，验收完毕后作出验收结果报告；验收费用由乙方负责。</w:t>
      </w:r>
    </w:p>
    <w:p>
      <w:pPr>
        <w:spacing w:line="360" w:lineRule="auto"/>
        <w:ind w:firstLine="396" w:firstLineChars="200"/>
        <w:rPr>
          <w:rFonts w:ascii="宋体" w:hAnsi="宋体" w:cs="宋体"/>
          <w:spacing w:val="-6"/>
          <w:szCs w:val="21"/>
        </w:rPr>
      </w:pPr>
      <w:r>
        <w:rPr>
          <w:rFonts w:hint="eastAsia" w:ascii="宋体" w:hAnsi="宋体" w:cs="宋体"/>
          <w:spacing w:val="-6"/>
          <w:szCs w:val="21"/>
        </w:rPr>
        <w:t>10.</w:t>
      </w:r>
      <w:r>
        <w:rPr>
          <w:rFonts w:hint="eastAsia" w:ascii="宋体" w:hAnsi="宋体" w:cs="宋体"/>
          <w:spacing w:val="-6"/>
          <w:szCs w:val="21"/>
          <w:lang w:val="zh-TW" w:eastAsia="zh-TW"/>
        </w:rPr>
        <w:t>如发现有重大的质量问题，</w:t>
      </w:r>
      <w:r>
        <w:rPr>
          <w:rFonts w:hint="eastAsia" w:ascii="宋体" w:hAnsi="宋体" w:cs="宋体"/>
          <w:spacing w:val="-6"/>
          <w:szCs w:val="21"/>
          <w:lang w:val="zh-TW"/>
        </w:rPr>
        <w:t>经</w:t>
      </w:r>
      <w:r>
        <w:rPr>
          <w:rFonts w:hint="eastAsia" w:ascii="宋体" w:hAnsi="宋体" w:cs="宋体"/>
          <w:spacing w:val="-6"/>
          <w:szCs w:val="21"/>
          <w:lang w:val="zh-TW" w:eastAsia="zh-TW"/>
        </w:rPr>
        <w:t>甲</w:t>
      </w:r>
      <w:r>
        <w:rPr>
          <w:rFonts w:hint="eastAsia" w:ascii="宋体" w:hAnsi="宋体" w:cs="宋体"/>
          <w:spacing w:val="-6"/>
          <w:szCs w:val="21"/>
          <w:lang w:val="zh-TW"/>
        </w:rPr>
        <w:t>乙双</w:t>
      </w:r>
      <w:r>
        <w:rPr>
          <w:rFonts w:hint="eastAsia" w:ascii="宋体" w:hAnsi="宋体" w:cs="宋体"/>
          <w:spacing w:val="-6"/>
          <w:szCs w:val="21"/>
          <w:lang w:val="zh-TW" w:eastAsia="zh-TW"/>
        </w:rPr>
        <w:t>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ascii="宋体" w:hAnsi="宋体" w:cs="宋体"/>
          <w:spacing w:val="-6"/>
          <w:szCs w:val="21"/>
        </w:rPr>
        <w:t>10</w:t>
      </w:r>
      <w:r>
        <w:rPr>
          <w:rFonts w:hint="eastAsia" w:ascii="宋体" w:hAnsi="宋体" w:cs="宋体"/>
          <w:spacing w:val="-6"/>
          <w:szCs w:val="21"/>
          <w:lang w:val="zh-TW" w:eastAsia="zh-TW"/>
        </w:rPr>
        <w:t>％的赔偿金。</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第七条：货款的支付</w:t>
      </w:r>
    </w:p>
    <w:p>
      <w:pPr>
        <w:spacing w:line="360" w:lineRule="auto"/>
        <w:ind w:firstLine="396" w:firstLineChars="200"/>
        <w:rPr>
          <w:rFonts w:ascii="宋体" w:hAnsi="宋体" w:cs="宋体"/>
          <w:spacing w:val="-6"/>
          <w:szCs w:val="21"/>
        </w:rPr>
      </w:pPr>
      <w:r>
        <w:rPr>
          <w:rFonts w:hint="eastAsia" w:ascii="宋体" w:hAnsi="宋体" w:cs="宋体"/>
          <w:spacing w:val="-6"/>
          <w:szCs w:val="21"/>
          <w:lang w:val="zh-TW"/>
        </w:rPr>
        <w:t>根据结果起草。</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第八条：违约责任</w:t>
      </w:r>
    </w:p>
    <w:p>
      <w:pPr>
        <w:spacing w:line="360" w:lineRule="auto"/>
        <w:ind w:firstLine="396"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lang w:val="zh-TW" w:eastAsia="zh-TW"/>
        </w:rPr>
        <w:t>双方任何一方违反合同条款，由违约方向对方支付该条款所涉的相应损失。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lang w:val="zh-TW" w:eastAsia="zh-TW"/>
        </w:rPr>
        <w:t>合同签署后，如需终止合作，已产生的损失由提出方承担。</w:t>
      </w:r>
    </w:p>
    <w:p>
      <w:pPr>
        <w:spacing w:line="360" w:lineRule="auto"/>
        <w:ind w:firstLine="396" w:firstLineChars="200"/>
        <w:rPr>
          <w:rFonts w:ascii="宋体" w:hAnsi="宋体" w:cs="宋体"/>
          <w:spacing w:val="-6"/>
          <w:szCs w:val="21"/>
        </w:rPr>
      </w:pPr>
      <w:r>
        <w:rPr>
          <w:rFonts w:hint="eastAsia" w:ascii="宋体" w:hAnsi="宋体" w:cs="宋体"/>
          <w:spacing w:val="-6"/>
          <w:szCs w:val="21"/>
        </w:rPr>
        <w:t>3.</w:t>
      </w:r>
      <w:r>
        <w:rPr>
          <w:rFonts w:hint="eastAsia" w:ascii="宋体" w:hAnsi="宋体" w:cs="宋体"/>
          <w:spacing w:val="-6"/>
          <w:szCs w:val="21"/>
          <w:lang w:val="zh-TW" w:eastAsia="zh-TW"/>
        </w:rPr>
        <w:t>如遇不可抗力事件，双方未履行本合同，均不视为违约。</w:t>
      </w:r>
    </w:p>
    <w:p>
      <w:pPr>
        <w:spacing w:line="360" w:lineRule="auto"/>
        <w:ind w:firstLine="396" w:firstLineChars="200"/>
        <w:rPr>
          <w:rFonts w:ascii="宋体" w:hAnsi="宋体" w:cs="宋体"/>
          <w:spacing w:val="-6"/>
          <w:szCs w:val="21"/>
        </w:rPr>
      </w:pPr>
      <w:r>
        <w:rPr>
          <w:rFonts w:hint="eastAsia" w:ascii="宋体" w:hAnsi="宋体" w:cs="宋体"/>
          <w:spacing w:val="-6"/>
          <w:szCs w:val="21"/>
        </w:rPr>
        <w:t>4.</w:t>
      </w:r>
      <w:r>
        <w:rPr>
          <w:rFonts w:hint="eastAsia" w:ascii="宋体" w:hAnsi="宋体" w:cs="宋体"/>
          <w:spacing w:val="-6"/>
          <w:szCs w:val="21"/>
          <w:lang w:val="zh-TW" w:eastAsia="zh-TW"/>
        </w:rPr>
        <w:t>乙方须严格按合同约定制作搭建甲方的舞台，并确保舞台结构安全和搭建质量，如果因乙方的制作、施工、维护管理等原因造成以下后果的（以影像、照片等资料作为记录依据），由乙方承担全部责任，并对应赔偿甲方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A</w:t>
      </w:r>
      <w:r>
        <w:rPr>
          <w:rFonts w:hint="eastAsia" w:ascii="宋体" w:hAnsi="宋体" w:cs="宋体"/>
          <w:spacing w:val="-6"/>
          <w:szCs w:val="21"/>
          <w:lang w:val="zh-TW"/>
        </w:rPr>
        <w:t>.</w:t>
      </w:r>
      <w:r>
        <w:rPr>
          <w:rFonts w:hint="eastAsia" w:ascii="宋体" w:hAnsi="宋体" w:cs="宋体"/>
          <w:spacing w:val="-6"/>
          <w:szCs w:val="21"/>
          <w:lang w:val="zh-TW" w:eastAsia="zh-TW"/>
        </w:rPr>
        <w:t>最终验收效果如与合同要求不一致，视舞台的最终验收效果、活动执行效果与合同要求效果的偏差大小，乙方除退回价差外并赔偿甲方合同总金额</w:t>
      </w:r>
      <w:r>
        <w:rPr>
          <w:rFonts w:hint="eastAsia" w:ascii="宋体" w:hAnsi="宋体" w:cs="宋体"/>
          <w:spacing w:val="-6"/>
          <w:szCs w:val="21"/>
        </w:rPr>
        <w:t>5%-50%</w:t>
      </w:r>
      <w:r>
        <w:rPr>
          <w:rFonts w:hint="eastAsia" w:ascii="宋体" w:hAnsi="宋体" w:cs="宋体"/>
          <w:spacing w:val="-6"/>
          <w:szCs w:val="21"/>
          <w:lang w:val="zh-TW" w:eastAsia="zh-TW"/>
        </w:rPr>
        <w:t>的损失。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B</w:t>
      </w:r>
      <w:r>
        <w:rPr>
          <w:rFonts w:hint="eastAsia" w:ascii="宋体" w:hAnsi="宋体" w:cs="宋体"/>
          <w:spacing w:val="-6"/>
          <w:szCs w:val="21"/>
          <w:lang w:val="zh-TW"/>
        </w:rPr>
        <w:t>.</w:t>
      </w:r>
      <w:r>
        <w:rPr>
          <w:rFonts w:hint="eastAsia" w:ascii="宋体" w:hAnsi="宋体" w:cs="宋体"/>
          <w:spacing w:val="-6"/>
          <w:szCs w:val="21"/>
          <w:lang w:val="zh-TW" w:eastAsia="zh-TW"/>
        </w:rPr>
        <w:t>乙方须严格按合同约定及有关的安全规范制作搭建甲方的舞台，并确保舞台结构安全和搭建质量，舞台发生倒塌、断裂等情节严重的重大事故，由乙方负责进行善后处理并承担相应费用，另外乙方须赔偿甲方合同总金额</w:t>
      </w:r>
      <w:r>
        <w:rPr>
          <w:rFonts w:hint="eastAsia" w:ascii="宋体" w:hAnsi="宋体" w:cs="宋体"/>
          <w:spacing w:val="-6"/>
          <w:szCs w:val="21"/>
        </w:rPr>
        <w:t>100%-500%</w:t>
      </w:r>
      <w:r>
        <w:rPr>
          <w:rFonts w:hint="eastAsia" w:ascii="宋体" w:hAnsi="宋体" w:cs="宋体"/>
          <w:spacing w:val="-6"/>
          <w:szCs w:val="21"/>
          <w:lang w:val="zh-TW" w:eastAsia="zh-TW"/>
        </w:rPr>
        <w:t>的损失。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C</w:t>
      </w:r>
      <w:r>
        <w:rPr>
          <w:rFonts w:hint="eastAsia" w:ascii="宋体" w:hAnsi="宋体" w:cs="宋体"/>
          <w:spacing w:val="-6"/>
          <w:szCs w:val="21"/>
          <w:lang w:val="zh-TW"/>
        </w:rPr>
        <w:t>.</w:t>
      </w:r>
      <w:r>
        <w:rPr>
          <w:rFonts w:hint="eastAsia" w:ascii="宋体" w:hAnsi="宋体" w:cs="宋体"/>
          <w:spacing w:val="-6"/>
          <w:szCs w:val="21"/>
          <w:lang w:val="zh-TW" w:eastAsia="zh-TW"/>
        </w:rPr>
        <w:t>舞台发生质量问题由乙方负责及时修复，若不能及时修复到合同约定效果，则视影响程度由乙方对应赔偿甲方合同总金额</w:t>
      </w:r>
      <w:r>
        <w:rPr>
          <w:rFonts w:hint="eastAsia" w:ascii="宋体" w:hAnsi="宋体" w:cs="宋体"/>
          <w:spacing w:val="-6"/>
          <w:szCs w:val="21"/>
        </w:rPr>
        <w:t>3%-30%</w:t>
      </w:r>
      <w:r>
        <w:rPr>
          <w:rFonts w:hint="eastAsia" w:ascii="宋体" w:hAnsi="宋体" w:cs="宋体"/>
          <w:spacing w:val="-6"/>
          <w:szCs w:val="21"/>
          <w:lang w:val="zh-TW" w:eastAsia="zh-TW"/>
        </w:rPr>
        <w:t>的损失。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5.</w:t>
      </w:r>
      <w:r>
        <w:rPr>
          <w:rFonts w:hint="eastAsia" w:ascii="宋体" w:hAnsi="宋体" w:cs="宋体"/>
          <w:spacing w:val="-6"/>
          <w:szCs w:val="21"/>
          <w:lang w:val="zh-TW" w:eastAsia="zh-TW"/>
        </w:rPr>
        <w:t>因乙方原因造成工期延误的，由乙方承担全部责任，并对应赔偿甲方损失，具体如下：如果乙方在</w:t>
      </w:r>
      <w:r>
        <w:rPr>
          <w:rFonts w:hint="eastAsia" w:ascii="宋体" w:hAnsi="宋体" w:cs="宋体"/>
          <w:spacing w:val="-6"/>
          <w:szCs w:val="21"/>
        </w:rPr>
        <w:t>规定时间</w:t>
      </w:r>
      <w:r>
        <w:rPr>
          <w:rFonts w:hint="eastAsia" w:ascii="宋体" w:hAnsi="宋体" w:cs="宋体"/>
          <w:spacing w:val="-6"/>
          <w:szCs w:val="21"/>
          <w:lang w:val="zh-TW" w:eastAsia="zh-TW"/>
        </w:rPr>
        <w:t>前未能完成搭建，视为重大事故，乙方须继续完成搭建外，另外赔偿甲方合同总金额</w:t>
      </w:r>
      <w:r>
        <w:rPr>
          <w:rFonts w:hint="eastAsia" w:ascii="宋体" w:hAnsi="宋体" w:cs="宋体"/>
          <w:spacing w:val="-6"/>
          <w:szCs w:val="21"/>
        </w:rPr>
        <w:t>200%</w:t>
      </w:r>
      <w:r>
        <w:rPr>
          <w:rFonts w:hint="eastAsia" w:ascii="宋体" w:hAnsi="宋体" w:cs="宋体"/>
          <w:spacing w:val="-6"/>
          <w:szCs w:val="21"/>
          <w:lang w:val="zh-TW" w:eastAsia="zh-TW"/>
        </w:rPr>
        <w:t>以上的损失。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6.毕业、</w:t>
      </w:r>
      <w:r>
        <w:rPr>
          <w:rFonts w:hint="eastAsia" w:ascii="宋体" w:hAnsi="宋体" w:cs="宋体"/>
          <w:spacing w:val="-6"/>
          <w:szCs w:val="21"/>
          <w:lang w:val="zh-TW"/>
        </w:rPr>
        <w:t>开学典礼</w:t>
      </w:r>
      <w:r>
        <w:rPr>
          <w:rFonts w:hint="eastAsia" w:ascii="宋体" w:hAnsi="宋体" w:cs="宋体"/>
          <w:spacing w:val="-6"/>
          <w:szCs w:val="21"/>
          <w:lang w:val="zh-TW" w:eastAsia="zh-TW"/>
        </w:rPr>
        <w:t>进行过程中，如果发生断电等问题，根据原因分析，要追究责任。如果由于乙方的原因，则赔偿甲方合同总金额</w:t>
      </w:r>
      <w:r>
        <w:rPr>
          <w:rFonts w:hint="eastAsia" w:ascii="宋体" w:hAnsi="宋体" w:cs="宋体"/>
          <w:spacing w:val="-6"/>
          <w:szCs w:val="21"/>
        </w:rPr>
        <w:t>20%-50%</w:t>
      </w:r>
      <w:r>
        <w:rPr>
          <w:rFonts w:hint="eastAsia" w:ascii="宋体" w:hAnsi="宋体" w:cs="宋体"/>
          <w:spacing w:val="-6"/>
          <w:szCs w:val="21"/>
          <w:lang w:val="zh-TW" w:eastAsia="zh-TW"/>
        </w:rPr>
        <w:t>的损失；如音响、灯光发生技术和设备问题，则由乙方赔偿甲方合同总金额</w:t>
      </w:r>
      <w:r>
        <w:rPr>
          <w:rFonts w:hint="eastAsia" w:ascii="宋体" w:hAnsi="宋体" w:cs="宋体"/>
          <w:spacing w:val="-6"/>
          <w:szCs w:val="21"/>
        </w:rPr>
        <w:t>10%-50%</w:t>
      </w:r>
      <w:r>
        <w:rPr>
          <w:rFonts w:hint="eastAsia" w:ascii="宋体" w:hAnsi="宋体" w:cs="宋体"/>
          <w:spacing w:val="-6"/>
          <w:szCs w:val="21"/>
          <w:lang w:val="zh-TW" w:eastAsia="zh-TW"/>
        </w:rPr>
        <w:t>的损失。</w:t>
      </w:r>
    </w:p>
    <w:p>
      <w:pPr>
        <w:spacing w:line="360" w:lineRule="auto"/>
        <w:ind w:firstLine="396" w:firstLineChars="200"/>
        <w:rPr>
          <w:rFonts w:ascii="宋体" w:hAnsi="宋体" w:cs="宋体"/>
          <w:spacing w:val="-6"/>
          <w:szCs w:val="21"/>
        </w:rPr>
      </w:pPr>
      <w:r>
        <w:rPr>
          <w:rFonts w:hint="eastAsia" w:ascii="宋体" w:hAnsi="宋体" w:cs="宋体"/>
          <w:spacing w:val="-6"/>
          <w:szCs w:val="21"/>
        </w:rPr>
        <w:t>7.</w:t>
      </w:r>
      <w:r>
        <w:rPr>
          <w:rFonts w:hint="eastAsia" w:ascii="宋体" w:hAnsi="宋体" w:cs="宋体"/>
          <w:spacing w:val="-6"/>
          <w:szCs w:val="21"/>
          <w:lang w:val="zh-TW" w:eastAsia="zh-TW"/>
        </w:rPr>
        <w:t>舞台项目进场施工前，乙方</w:t>
      </w:r>
      <w:r>
        <w:rPr>
          <w:rFonts w:hint="eastAsia" w:ascii="宋体" w:hAnsi="宋体" w:cs="宋体"/>
          <w:spacing w:val="-6"/>
          <w:szCs w:val="21"/>
          <w:lang w:val="zh-TW"/>
        </w:rPr>
        <w:t>需与甲方经办部门、</w:t>
      </w:r>
      <w:r>
        <w:rPr>
          <w:rFonts w:hint="eastAsia" w:ascii="宋体" w:hAnsi="宋体" w:cs="宋体"/>
          <w:spacing w:val="-6"/>
          <w:szCs w:val="21"/>
          <w:lang w:val="zh-TW" w:eastAsia="zh-TW"/>
        </w:rPr>
        <w:t>学校保卫处签定安全保障责任书。在舞台搭建及演出运作过程中，乙方需对甲乙双方人员的安全负全部责任并承担相应的经济和法律责任；</w:t>
      </w:r>
    </w:p>
    <w:p>
      <w:pPr>
        <w:spacing w:line="360" w:lineRule="auto"/>
        <w:ind w:firstLine="396" w:firstLineChars="200"/>
        <w:rPr>
          <w:rFonts w:ascii="宋体" w:hAnsi="宋体" w:cs="宋体"/>
          <w:spacing w:val="-6"/>
          <w:szCs w:val="21"/>
        </w:rPr>
      </w:pPr>
      <w:r>
        <w:rPr>
          <w:rFonts w:hint="eastAsia" w:ascii="宋体" w:hAnsi="宋体" w:cs="宋体"/>
          <w:spacing w:val="-6"/>
          <w:szCs w:val="21"/>
        </w:rPr>
        <w:t>8</w:t>
      </w:r>
      <w:r>
        <w:rPr>
          <w:rFonts w:hint="eastAsia" w:ascii="宋体" w:hAnsi="宋体" w:cs="宋体"/>
          <w:spacing w:val="-6"/>
          <w:szCs w:val="21"/>
          <w:lang w:val="zh-TW"/>
        </w:rPr>
        <w:t>.</w:t>
      </w:r>
      <w:r>
        <w:rPr>
          <w:rFonts w:hint="eastAsia" w:ascii="宋体" w:hAnsi="宋体" w:cs="宋体"/>
          <w:spacing w:val="-6"/>
          <w:szCs w:val="21"/>
          <w:lang w:val="zh-TW" w:eastAsia="zh-TW"/>
        </w:rPr>
        <w:t>乙方在甲方的设施设备等由乙方自行负责保管，甲方必须尽力配合协助；</w:t>
      </w:r>
    </w:p>
    <w:p>
      <w:pPr>
        <w:spacing w:line="360" w:lineRule="auto"/>
        <w:ind w:firstLine="396" w:firstLineChars="200"/>
        <w:rPr>
          <w:rFonts w:ascii="宋体" w:hAnsi="宋体" w:cs="宋体"/>
          <w:spacing w:val="-6"/>
          <w:szCs w:val="21"/>
        </w:rPr>
      </w:pPr>
      <w:r>
        <w:rPr>
          <w:rFonts w:hint="eastAsia" w:ascii="宋体" w:hAnsi="宋体" w:cs="宋体"/>
          <w:spacing w:val="-6"/>
          <w:szCs w:val="21"/>
        </w:rPr>
        <w:t>9.</w:t>
      </w:r>
      <w:r>
        <w:rPr>
          <w:rFonts w:hint="eastAsia" w:ascii="宋体" w:hAnsi="宋体" w:cs="宋体"/>
          <w:spacing w:val="-6"/>
          <w:szCs w:val="21"/>
          <w:lang w:val="zh-TW" w:eastAsia="zh-TW"/>
        </w:rPr>
        <w:t>关于舞台制作验收及剩余物资处理方面的违约，按照招投标文件的相关条款处理。</w:t>
      </w:r>
    </w:p>
    <w:p>
      <w:pPr>
        <w:spacing w:line="360" w:lineRule="auto"/>
        <w:ind w:firstLine="396" w:firstLineChars="200"/>
        <w:rPr>
          <w:rFonts w:ascii="宋体" w:hAnsi="宋体" w:cs="宋体"/>
          <w:spacing w:val="-6"/>
          <w:szCs w:val="21"/>
        </w:rPr>
      </w:pPr>
      <w:r>
        <w:rPr>
          <w:rFonts w:hint="eastAsia" w:ascii="宋体" w:hAnsi="宋体" w:cs="宋体"/>
          <w:spacing w:val="-6"/>
          <w:szCs w:val="21"/>
        </w:rPr>
        <w:t>10</w:t>
      </w:r>
      <w:r>
        <w:rPr>
          <w:rFonts w:hint="eastAsia" w:ascii="宋体" w:hAnsi="宋体" w:cs="宋体"/>
          <w:spacing w:val="-6"/>
          <w:szCs w:val="21"/>
          <w:lang w:val="zh-TW"/>
        </w:rPr>
        <w:t>.</w:t>
      </w:r>
      <w:r>
        <w:rPr>
          <w:rFonts w:hint="eastAsia" w:ascii="宋体" w:hAnsi="宋体" w:cs="宋体"/>
          <w:spacing w:val="-6"/>
          <w:szCs w:val="21"/>
          <w:lang w:val="zh-TW" w:eastAsia="zh-TW"/>
        </w:rPr>
        <w:t>其他违约责任按《中华人民共和国民法典》相关条款执行。</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第九条：争议解决</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本合同未尽事宜由</w:t>
      </w:r>
      <w:r>
        <w:rPr>
          <w:rFonts w:hint="eastAsia" w:ascii="宋体" w:hAnsi="宋体" w:cs="宋体"/>
          <w:spacing w:val="-6"/>
          <w:szCs w:val="21"/>
          <w:lang w:val="zh-TW"/>
        </w:rPr>
        <w:t>三</w:t>
      </w:r>
      <w:r>
        <w:rPr>
          <w:rFonts w:hint="eastAsia" w:ascii="宋体" w:hAnsi="宋体" w:cs="宋体"/>
          <w:spacing w:val="-6"/>
          <w:szCs w:val="21"/>
          <w:lang w:val="zh-TW" w:eastAsia="zh-TW"/>
        </w:rPr>
        <w:t>方协商解决，如协商不成，</w:t>
      </w:r>
      <w:r>
        <w:rPr>
          <w:rFonts w:hint="eastAsia" w:ascii="宋体" w:hAnsi="宋体" w:cs="宋体"/>
          <w:spacing w:val="-6"/>
          <w:szCs w:val="21"/>
          <w:lang w:val="zh-TW"/>
        </w:rPr>
        <w:t>三</w:t>
      </w:r>
      <w:r>
        <w:rPr>
          <w:rFonts w:hint="eastAsia" w:ascii="宋体" w:hAnsi="宋体" w:cs="宋体"/>
          <w:spacing w:val="-6"/>
          <w:szCs w:val="21"/>
          <w:lang w:val="zh-TW" w:eastAsia="zh-TW"/>
        </w:rPr>
        <w:t>方同意将本合同引起的争议提交杭州仲裁委员会仲裁解决，仲裁为终局。</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lang w:val="zh-TW" w:eastAsia="zh-TW"/>
        </w:rPr>
        <w:t>第十条：合同生效</w:t>
      </w:r>
    </w:p>
    <w:p>
      <w:pPr>
        <w:spacing w:line="360" w:lineRule="auto"/>
        <w:ind w:firstLine="396"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lang w:val="zh-TW" w:eastAsia="zh-TW"/>
        </w:rPr>
        <w:t>合同经</w:t>
      </w:r>
      <w:r>
        <w:rPr>
          <w:rFonts w:hint="eastAsia" w:ascii="宋体" w:hAnsi="宋体" w:cs="宋体"/>
          <w:spacing w:val="-6"/>
          <w:szCs w:val="21"/>
          <w:lang w:val="zh-TW"/>
        </w:rPr>
        <w:t>三方</w:t>
      </w:r>
      <w:r>
        <w:rPr>
          <w:rFonts w:hint="eastAsia" w:ascii="宋体" w:hAnsi="宋体" w:cs="宋体"/>
          <w:spacing w:val="-6"/>
          <w:szCs w:val="21"/>
          <w:lang w:val="zh-TW" w:eastAsia="zh-TW"/>
        </w:rPr>
        <w:t>签字盖章后生效。</w:t>
      </w:r>
    </w:p>
    <w:p>
      <w:pPr>
        <w:spacing w:line="360" w:lineRule="auto"/>
        <w:ind w:firstLine="396"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lang w:val="zh-TW" w:eastAsia="zh-TW"/>
        </w:rPr>
        <w:t>本合同未尽事宜，遵照《中华人民共和国民法典》有关条款执行。</w:t>
      </w:r>
    </w:p>
    <w:p>
      <w:pPr>
        <w:spacing w:line="360" w:lineRule="auto"/>
        <w:ind w:firstLine="396" w:firstLineChars="200"/>
        <w:rPr>
          <w:rFonts w:ascii="宋体" w:hAnsi="宋体" w:cs="宋体"/>
          <w:spacing w:val="-6"/>
          <w:szCs w:val="21"/>
        </w:rPr>
      </w:pPr>
      <w:r>
        <w:rPr>
          <w:rFonts w:hint="eastAsia" w:ascii="宋体" w:hAnsi="宋体" w:cs="宋体"/>
          <w:spacing w:val="-6"/>
          <w:szCs w:val="21"/>
        </w:rPr>
        <w:t>3.</w:t>
      </w:r>
      <w:r>
        <w:rPr>
          <w:rFonts w:hint="eastAsia" w:ascii="宋体" w:hAnsi="宋体" w:cs="宋体"/>
          <w:spacing w:val="-6"/>
          <w:szCs w:val="21"/>
          <w:lang w:val="zh-TW" w:eastAsia="zh-TW"/>
        </w:rPr>
        <w:t>本合同一式</w:t>
      </w:r>
      <w:r>
        <w:rPr>
          <w:rFonts w:hint="eastAsia" w:ascii="宋体" w:hAnsi="宋体" w:cs="宋体"/>
          <w:spacing w:val="-6"/>
          <w:szCs w:val="21"/>
          <w:lang w:val="zh-TW"/>
        </w:rPr>
        <w:t>陆</w:t>
      </w:r>
      <w:r>
        <w:rPr>
          <w:rFonts w:hint="eastAsia" w:ascii="宋体" w:hAnsi="宋体" w:cs="宋体"/>
          <w:spacing w:val="-6"/>
          <w:szCs w:val="21"/>
          <w:lang w:val="zh-TW" w:eastAsia="zh-TW"/>
        </w:rPr>
        <w:t>份，甲</w:t>
      </w:r>
      <w:r>
        <w:rPr>
          <w:rFonts w:hint="eastAsia" w:ascii="宋体" w:hAnsi="宋体" w:cs="宋体"/>
          <w:spacing w:val="-6"/>
          <w:szCs w:val="21"/>
          <w:lang w:val="zh-TW"/>
        </w:rPr>
        <w:t>方叁份、</w:t>
      </w:r>
      <w:r>
        <w:rPr>
          <w:rFonts w:hint="eastAsia" w:ascii="宋体" w:hAnsi="宋体" w:cs="宋体"/>
          <w:spacing w:val="-6"/>
          <w:szCs w:val="21"/>
          <w:lang w:val="zh-TW" w:eastAsia="zh-TW"/>
        </w:rPr>
        <w:t>乙方</w:t>
      </w:r>
      <w:r>
        <w:rPr>
          <w:rFonts w:hint="eastAsia" w:ascii="宋体" w:hAnsi="宋体" w:cs="宋体"/>
          <w:spacing w:val="-6"/>
          <w:szCs w:val="21"/>
          <w:lang w:val="zh-TW"/>
        </w:rPr>
        <w:t>贰</w:t>
      </w:r>
      <w:r>
        <w:rPr>
          <w:rFonts w:hint="eastAsia" w:ascii="宋体" w:hAnsi="宋体" w:cs="宋体"/>
          <w:spacing w:val="-6"/>
          <w:szCs w:val="21"/>
          <w:lang w:val="zh-TW" w:eastAsia="zh-TW"/>
        </w:rPr>
        <w:t>份</w:t>
      </w:r>
      <w:r>
        <w:rPr>
          <w:rFonts w:hint="eastAsia" w:ascii="宋体" w:hAnsi="宋体" w:cs="宋体"/>
          <w:spacing w:val="-6"/>
          <w:szCs w:val="21"/>
          <w:lang w:val="zh-TW"/>
        </w:rPr>
        <w:t>、</w:t>
      </w:r>
      <w:r>
        <w:rPr>
          <w:rFonts w:hint="eastAsia" w:ascii="宋体" w:hAnsi="宋体" w:cs="宋体"/>
          <w:szCs w:val="21"/>
        </w:rPr>
        <w:t>采购代理机构执一份。</w:t>
      </w:r>
    </w:p>
    <w:p>
      <w:pPr>
        <w:spacing w:line="360" w:lineRule="auto"/>
        <w:ind w:firstLine="396" w:firstLineChars="200"/>
        <w:rPr>
          <w:rFonts w:ascii="宋体" w:hAnsi="宋体" w:cs="宋体"/>
          <w:spacing w:val="-6"/>
          <w:szCs w:val="21"/>
          <w:lang w:val="zh-TW" w:eastAsia="zh-TW"/>
        </w:rPr>
      </w:pPr>
      <w:r>
        <w:rPr>
          <w:rFonts w:hint="eastAsia" w:ascii="宋体" w:hAnsi="宋体" w:cs="宋体"/>
          <w:spacing w:val="-6"/>
          <w:szCs w:val="21"/>
        </w:rPr>
        <w:t>4.</w:t>
      </w:r>
      <w:r>
        <w:rPr>
          <w:rFonts w:hint="eastAsia" w:ascii="宋体" w:hAnsi="宋体" w:cs="宋体"/>
          <w:spacing w:val="-6"/>
          <w:szCs w:val="21"/>
          <w:lang w:val="zh-TW"/>
        </w:rPr>
        <w:t>竞争性磋商</w:t>
      </w:r>
      <w:r>
        <w:rPr>
          <w:rFonts w:hint="eastAsia" w:ascii="宋体" w:hAnsi="宋体" w:cs="宋体"/>
          <w:spacing w:val="-6"/>
          <w:szCs w:val="21"/>
          <w:lang w:val="zh-TW" w:eastAsia="zh-TW"/>
        </w:rPr>
        <w:t>文件、</w:t>
      </w:r>
      <w:r>
        <w:rPr>
          <w:rFonts w:hint="eastAsia" w:ascii="宋体" w:hAnsi="宋体" w:cs="宋体"/>
          <w:spacing w:val="-6"/>
          <w:szCs w:val="21"/>
          <w:lang w:val="zh-TW"/>
        </w:rPr>
        <w:t>竞争磋商响应文件、承诺书作为本</w:t>
      </w:r>
      <w:r>
        <w:rPr>
          <w:rFonts w:hint="eastAsia" w:ascii="宋体" w:hAnsi="宋体" w:cs="宋体"/>
          <w:spacing w:val="-6"/>
          <w:szCs w:val="21"/>
          <w:lang w:val="zh-TW" w:eastAsia="zh-TW"/>
        </w:rPr>
        <w:t>合同</w:t>
      </w:r>
      <w:r>
        <w:rPr>
          <w:rFonts w:hint="eastAsia" w:ascii="宋体" w:hAnsi="宋体" w:cs="宋体"/>
          <w:spacing w:val="-6"/>
          <w:szCs w:val="21"/>
          <w:lang w:val="zh-TW"/>
        </w:rPr>
        <w:t>的组成部分</w:t>
      </w:r>
      <w:r>
        <w:rPr>
          <w:rFonts w:hint="eastAsia" w:ascii="宋体" w:hAnsi="宋体" w:cs="宋体"/>
          <w:spacing w:val="-6"/>
          <w:szCs w:val="21"/>
          <w:lang w:val="zh-TW" w:eastAsia="zh-TW"/>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甲方（签章）：浙江工商大学        乙方（签章）：</w:t>
      </w:r>
    </w:p>
    <w:p>
      <w:pPr>
        <w:spacing w:line="360" w:lineRule="auto"/>
        <w:ind w:firstLine="420" w:firstLineChars="200"/>
        <w:rPr>
          <w:rFonts w:ascii="宋体" w:hAnsi="宋体" w:cs="宋体"/>
          <w:szCs w:val="21"/>
        </w:rPr>
      </w:pPr>
      <w:r>
        <w:rPr>
          <w:rFonts w:hint="eastAsia" w:ascii="宋体" w:hAnsi="宋体" w:cs="宋体"/>
          <w:szCs w:val="21"/>
        </w:rPr>
        <w:t>住所地：杭州市钱塘区学正街18号   住所地：</w:t>
      </w:r>
    </w:p>
    <w:p>
      <w:pPr>
        <w:spacing w:line="360" w:lineRule="auto"/>
        <w:ind w:firstLine="420" w:firstLineChars="200"/>
        <w:rPr>
          <w:rFonts w:ascii="宋体" w:hAnsi="宋体" w:cs="宋体"/>
          <w:szCs w:val="21"/>
        </w:rPr>
      </w:pPr>
      <w:r>
        <w:rPr>
          <w:rFonts w:hint="eastAsia" w:ascii="宋体" w:hAnsi="宋体" w:cs="宋体"/>
          <w:szCs w:val="21"/>
        </w:rPr>
        <w:t>开户行：工行杭州高新支行          开户行：</w:t>
      </w:r>
    </w:p>
    <w:p>
      <w:pPr>
        <w:spacing w:line="360" w:lineRule="auto"/>
        <w:ind w:firstLine="420" w:firstLineChars="200"/>
        <w:rPr>
          <w:rFonts w:ascii="宋体" w:hAnsi="宋体" w:cs="宋体"/>
          <w:szCs w:val="21"/>
        </w:rPr>
      </w:pPr>
      <w:r>
        <w:rPr>
          <w:rFonts w:hint="eastAsia" w:ascii="宋体" w:hAnsi="宋体" w:cs="宋体"/>
          <w:szCs w:val="21"/>
        </w:rPr>
        <w:t>开户帐号：1202026209008930682     开户帐号：</w:t>
      </w:r>
    </w:p>
    <w:p>
      <w:pPr>
        <w:spacing w:line="360" w:lineRule="auto"/>
        <w:ind w:firstLine="420" w:firstLineChars="200"/>
        <w:rPr>
          <w:rFonts w:ascii="宋体" w:hAnsi="宋体" w:cs="宋体"/>
          <w:szCs w:val="21"/>
        </w:rPr>
      </w:pPr>
      <w:r>
        <w:rPr>
          <w:rFonts w:hint="eastAsia" w:ascii="宋体" w:hAnsi="宋体" w:cs="宋体"/>
          <w:szCs w:val="21"/>
        </w:rPr>
        <w:t xml:space="preserve">税号：123300004700090180          </w:t>
      </w:r>
      <w:r>
        <w:rPr>
          <w:rFonts w:hint="eastAsia" w:ascii="宋体" w:hAnsi="宋体" w:cs="宋体"/>
          <w:bCs/>
          <w:szCs w:val="21"/>
        </w:rPr>
        <w:t>统一社会信用代码：</w:t>
      </w:r>
    </w:p>
    <w:p>
      <w:pPr>
        <w:spacing w:line="360" w:lineRule="auto"/>
        <w:ind w:firstLine="420" w:firstLineChars="200"/>
        <w:rPr>
          <w:rFonts w:ascii="宋体" w:hAnsi="宋体" w:cs="宋体"/>
          <w:szCs w:val="21"/>
        </w:rPr>
      </w:pPr>
      <w:r>
        <w:rPr>
          <w:rFonts w:hint="eastAsia" w:ascii="宋体" w:hAnsi="宋体" w:cs="宋体"/>
          <w:szCs w:val="21"/>
        </w:rPr>
        <w:t xml:space="preserve">项目负责人 </w:t>
      </w:r>
    </w:p>
    <w:p>
      <w:pPr>
        <w:spacing w:line="360" w:lineRule="auto"/>
        <w:ind w:firstLine="420" w:firstLineChars="200"/>
        <w:rPr>
          <w:rFonts w:ascii="宋体" w:hAnsi="宋体" w:cs="宋体"/>
          <w:szCs w:val="21"/>
        </w:rPr>
      </w:pPr>
      <w:r>
        <w:rPr>
          <w:rFonts w:hint="eastAsia" w:ascii="宋体" w:hAnsi="宋体" w:cs="宋体"/>
          <w:bCs/>
          <w:szCs w:val="21"/>
        </w:rPr>
        <w:t xml:space="preserve">（签章）：  </w:t>
      </w:r>
    </w:p>
    <w:p>
      <w:pPr>
        <w:spacing w:line="360" w:lineRule="auto"/>
        <w:ind w:firstLine="420" w:firstLineChars="200"/>
        <w:rPr>
          <w:rFonts w:ascii="宋体" w:hAnsi="宋体" w:cs="宋体"/>
          <w:szCs w:val="21"/>
        </w:rPr>
      </w:pPr>
      <w:r>
        <w:rPr>
          <w:rFonts w:hint="eastAsia" w:ascii="宋体" w:hAnsi="宋体" w:cs="宋体"/>
          <w:szCs w:val="21"/>
        </w:rPr>
        <w:t>法定（授权）代表人                法定（授权）代表人</w:t>
      </w: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 xml:space="preserve">（签章）：                        （签章）： </w:t>
      </w:r>
    </w:p>
    <w:p>
      <w:pPr>
        <w:spacing w:line="360" w:lineRule="auto"/>
        <w:ind w:firstLine="420" w:firstLineChars="200"/>
        <w:rPr>
          <w:rFonts w:ascii="宋体" w:hAnsi="宋体" w:cs="宋体"/>
          <w:szCs w:val="21"/>
        </w:rPr>
      </w:pPr>
      <w:r>
        <w:rPr>
          <w:rFonts w:hint="eastAsia" w:ascii="宋体" w:hAnsi="宋体" w:cs="宋体"/>
          <w:szCs w:val="21"/>
        </w:rPr>
        <w:t>签署日期：     年  月   日        签署日期：    年  月  日</w:t>
      </w:r>
    </w:p>
    <w:p>
      <w:pPr>
        <w:tabs>
          <w:tab w:val="left" w:pos="1200"/>
        </w:tabs>
        <w:spacing w:line="360" w:lineRule="auto"/>
        <w:ind w:firstLine="420" w:firstLineChars="200"/>
        <w:rPr>
          <w:rFonts w:ascii="宋体" w:hAnsi="宋体" w:cs="宋体"/>
          <w:bCs/>
          <w:szCs w:val="21"/>
        </w:rPr>
      </w:pP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 xml:space="preserve">鉴证方（签章）： </w:t>
      </w: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 xml:space="preserve">住所地： </w:t>
      </w: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法定（授权）代表人</w:t>
      </w: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（签章）：</w:t>
      </w:r>
    </w:p>
    <w:p>
      <w:pPr>
        <w:tabs>
          <w:tab w:val="left" w:pos="1200"/>
        </w:tabs>
        <w:spacing w:line="360" w:lineRule="auto"/>
        <w:ind w:firstLine="420" w:firstLineChars="200"/>
        <w:rPr>
          <w:rFonts w:ascii="宋体" w:hAnsi="宋体" w:cs="宋体"/>
          <w:bCs/>
          <w:szCs w:val="21"/>
        </w:rPr>
      </w:pPr>
      <w:r>
        <w:rPr>
          <w:rFonts w:hint="eastAsia" w:ascii="宋体" w:hAnsi="宋体" w:cs="宋体"/>
          <w:bCs/>
          <w:szCs w:val="21"/>
        </w:rPr>
        <w:t>鉴证日期：      年   月    日</w:t>
      </w:r>
    </w:p>
    <w:p>
      <w:pPr>
        <w:pStyle w:val="2"/>
        <w:pageBreakBefore/>
        <w:tabs>
          <w:tab w:val="left" w:pos="432"/>
        </w:tabs>
        <w:rPr>
          <w:rFonts w:ascii="宋体" w:hAnsi="宋体" w:cs="宋体"/>
          <w:sz w:val="36"/>
        </w:rPr>
      </w:pPr>
      <w:r>
        <w:rPr>
          <w:rFonts w:hint="eastAsia" w:ascii="宋体" w:hAnsi="宋体" w:cs="宋体"/>
          <w:sz w:val="36"/>
        </w:rPr>
        <w:t>第五部分 应提交的有关格式范例</w:t>
      </w:r>
      <w:bookmarkEnd w:id="104"/>
    </w:p>
    <w:p>
      <w:pPr>
        <w:spacing w:line="360" w:lineRule="auto"/>
        <w:ind w:left="681" w:leftChars="224" w:hanging="211" w:hangingChars="100"/>
        <w:rPr>
          <w:rFonts w:ascii="宋体" w:hAnsi="宋体" w:cs="宋体"/>
          <w:b/>
          <w:szCs w:val="21"/>
        </w:rPr>
      </w:pPr>
      <w:r>
        <w:rPr>
          <w:rFonts w:hint="eastAsia" w:ascii="宋体" w:hAnsi="宋体" w:cs="宋体"/>
          <w:b/>
          <w:szCs w:val="21"/>
        </w:rPr>
        <w:t>一、重要提示</w:t>
      </w:r>
    </w:p>
    <w:p>
      <w:pPr>
        <w:spacing w:line="360" w:lineRule="auto"/>
        <w:ind w:firstLine="420" w:firstLineChars="200"/>
        <w:rPr>
          <w:rFonts w:ascii="宋体" w:hAnsi="宋体" w:cs="宋体"/>
          <w:szCs w:val="21"/>
        </w:rPr>
      </w:pPr>
      <w:r>
        <w:rPr>
          <w:rFonts w:hint="eastAsia" w:ascii="宋体" w:hAnsi="宋体" w:cs="宋体"/>
          <w:szCs w:val="21"/>
        </w:rPr>
        <w:t>1、本章节中有提供格式的，磋商响应供应商须参照本章节提供的格式进行编制（格式中要求提供相关证明材料的还需后附相关证明材料），并按格式要求在指定位置根据要求进行签章）</w:t>
      </w:r>
    </w:p>
    <w:p>
      <w:pPr>
        <w:spacing w:line="360" w:lineRule="auto"/>
        <w:ind w:firstLine="420" w:firstLineChars="200"/>
        <w:rPr>
          <w:rFonts w:ascii="宋体" w:hAnsi="宋体" w:cs="宋体"/>
          <w:szCs w:val="21"/>
        </w:rPr>
      </w:pPr>
      <w:r>
        <w:rPr>
          <w:rFonts w:hint="eastAsia" w:ascii="宋体" w:hAnsi="宋体" w:cs="宋体"/>
          <w:szCs w:val="21"/>
        </w:rPr>
        <w:t xml:space="preserve">  2、本章节未提供格式的，请各</w:t>
      </w:r>
      <w:r>
        <w:rPr>
          <w:rFonts w:hint="eastAsia" w:ascii="宋体" w:hAnsi="宋体"/>
          <w:b/>
          <w:szCs w:val="21"/>
        </w:rPr>
        <w:t>磋商响应</w:t>
      </w:r>
      <w:r>
        <w:rPr>
          <w:rFonts w:hint="eastAsia" w:ascii="宋体" w:hAnsi="宋体" w:cs="宋体"/>
          <w:szCs w:val="21"/>
        </w:rPr>
        <w:t>单位自行拟定格式，并加盖单位公章。</w:t>
      </w:r>
    </w:p>
    <w:p>
      <w:pPr>
        <w:spacing w:line="360" w:lineRule="auto"/>
        <w:ind w:firstLine="420" w:firstLineChars="200"/>
        <w:rPr>
          <w:rFonts w:ascii="宋体" w:hAnsi="宋体" w:cs="宋体"/>
          <w:szCs w:val="21"/>
        </w:rPr>
      </w:pPr>
      <w:r>
        <w:rPr>
          <w:rFonts w:hint="eastAsia" w:ascii="宋体" w:hAnsi="宋体" w:cs="宋体"/>
          <w:szCs w:val="21"/>
        </w:rPr>
        <w:t xml:space="preserve">  3、可以提供复制件的相关证明材料须加盖磋商响应文件供应商公章（例如：各类资格资质证书、业绩材料、许可材料、荣誉证书等）。</w:t>
      </w:r>
    </w:p>
    <w:p>
      <w:pPr>
        <w:spacing w:line="360" w:lineRule="auto"/>
        <w:ind w:firstLine="420" w:firstLineChars="200"/>
        <w:rPr>
          <w:rFonts w:ascii="宋体" w:hAnsi="宋体" w:cs="宋体"/>
          <w:szCs w:val="21"/>
        </w:rPr>
      </w:pPr>
      <w:r>
        <w:rPr>
          <w:rFonts w:hint="eastAsia" w:ascii="宋体" w:hAnsi="宋体" w:cs="宋体"/>
          <w:szCs w:val="21"/>
        </w:rPr>
        <w:t xml:space="preserve">  4、磋商响应文件内容组成清单中标注“▲”的内容为必须提供的内容，未提供的投标无效。</w:t>
      </w:r>
    </w:p>
    <w:p>
      <w:pPr>
        <w:spacing w:line="360" w:lineRule="auto"/>
        <w:ind w:firstLine="420" w:firstLineChars="200"/>
        <w:rPr>
          <w:rFonts w:ascii="宋体" w:hAnsi="宋体" w:cs="宋体"/>
          <w:b/>
          <w:szCs w:val="21"/>
        </w:rPr>
      </w:pPr>
      <w:r>
        <w:rPr>
          <w:rFonts w:hint="eastAsia" w:ascii="宋体" w:hAnsi="宋体" w:cs="宋体"/>
          <w:szCs w:val="21"/>
        </w:rPr>
        <w:t xml:space="preserve">  5、投标文件内容须与评分表内容进行关联定位，如未按要求进行关联定位，后果自负。</w:t>
      </w:r>
    </w:p>
    <w:p>
      <w:pPr>
        <w:spacing w:line="360" w:lineRule="auto"/>
        <w:ind w:firstLine="413" w:firstLineChars="196"/>
        <w:rPr>
          <w:rFonts w:ascii="宋体" w:hAnsi="宋体" w:cs="宋体"/>
          <w:b/>
          <w:szCs w:val="21"/>
        </w:rPr>
      </w:pPr>
      <w:r>
        <w:rPr>
          <w:rFonts w:hint="eastAsia" w:ascii="宋体" w:hAnsi="宋体" w:cs="宋体"/>
          <w:b/>
          <w:szCs w:val="21"/>
        </w:rPr>
        <w:t>二、供应商提交磋商响应文件须知：</w:t>
      </w:r>
    </w:p>
    <w:p>
      <w:pPr>
        <w:spacing w:line="360" w:lineRule="auto"/>
        <w:ind w:firstLine="420" w:firstLineChars="200"/>
        <w:rPr>
          <w:rFonts w:ascii="宋体" w:hAnsi="宋体" w:cs="宋体"/>
          <w:szCs w:val="21"/>
        </w:rPr>
      </w:pPr>
      <w:r>
        <w:rPr>
          <w:rFonts w:hint="eastAsia" w:ascii="宋体" w:hAnsi="宋体" w:cs="宋体"/>
          <w:szCs w:val="21"/>
        </w:rPr>
        <w:t>1、供应商应严格按照以下顺序填写和提交下述规定的全部格式文件以及其他有关资料，混乱的编排导致磋商响应文件被误读或磋商小组查找不到有效文件是供应商的风险。</w:t>
      </w:r>
    </w:p>
    <w:p>
      <w:pPr>
        <w:spacing w:line="360" w:lineRule="auto"/>
        <w:ind w:firstLine="420" w:firstLineChars="200"/>
        <w:rPr>
          <w:rFonts w:ascii="宋体" w:hAnsi="宋体" w:cs="宋体"/>
          <w:szCs w:val="21"/>
        </w:rPr>
      </w:pPr>
      <w:r>
        <w:rPr>
          <w:rFonts w:hint="eastAsia" w:ascii="宋体" w:hAnsi="宋体" w:cs="宋体"/>
          <w:szCs w:val="21"/>
        </w:rPr>
        <w:t>2、所附表格中要求回答的全部问题和/或信息都必须正面回答。</w:t>
      </w:r>
    </w:p>
    <w:p>
      <w:pPr>
        <w:spacing w:line="360" w:lineRule="auto"/>
        <w:ind w:firstLine="420" w:firstLineChars="200"/>
        <w:rPr>
          <w:rFonts w:ascii="宋体" w:hAnsi="宋体" w:cs="宋体"/>
          <w:szCs w:val="21"/>
        </w:rPr>
      </w:pPr>
      <w:r>
        <w:rPr>
          <w:rFonts w:hint="eastAsia" w:ascii="宋体" w:hAnsi="宋体" w:cs="宋体"/>
          <w:szCs w:val="21"/>
        </w:rPr>
        <w:t>3、本声明书保证全部声明和问题的回答是真实的和准确的。</w:t>
      </w:r>
    </w:p>
    <w:p>
      <w:pPr>
        <w:spacing w:line="360" w:lineRule="auto"/>
        <w:ind w:firstLine="420" w:firstLineChars="200"/>
        <w:rPr>
          <w:rFonts w:ascii="宋体" w:hAnsi="宋体" w:cs="宋体"/>
          <w:szCs w:val="21"/>
        </w:rPr>
      </w:pPr>
      <w:r>
        <w:rPr>
          <w:rFonts w:hint="eastAsia" w:ascii="宋体" w:hAnsi="宋体" w:cs="宋体"/>
          <w:szCs w:val="21"/>
        </w:rPr>
        <w:t>4、磋商小组将应用供应商提交的资料作出自己的判断。</w:t>
      </w:r>
    </w:p>
    <w:p>
      <w:pPr>
        <w:spacing w:line="360" w:lineRule="auto"/>
        <w:ind w:firstLine="420" w:firstLineChars="200"/>
        <w:rPr>
          <w:rFonts w:ascii="宋体" w:hAnsi="宋体" w:cs="宋体"/>
          <w:szCs w:val="21"/>
        </w:rPr>
      </w:pPr>
      <w:r>
        <w:rPr>
          <w:rFonts w:hint="eastAsia" w:ascii="宋体" w:hAnsi="宋体" w:cs="宋体"/>
          <w:szCs w:val="21"/>
        </w:rPr>
        <w:t>5、供应商提交的材料将在一定期限内被保密保存，但不退还。</w:t>
      </w:r>
    </w:p>
    <w:p>
      <w:pPr>
        <w:spacing w:line="360" w:lineRule="auto"/>
        <w:ind w:firstLine="420" w:firstLineChars="200"/>
        <w:rPr>
          <w:rFonts w:ascii="宋体" w:hAnsi="宋体" w:cs="宋体"/>
          <w:szCs w:val="21"/>
          <w:lang w:val="zh-CN"/>
        </w:rPr>
      </w:pPr>
      <w:r>
        <w:rPr>
          <w:rFonts w:hint="eastAsia" w:ascii="宋体" w:hAnsi="宋体" w:cs="宋体"/>
          <w:szCs w:val="21"/>
        </w:rPr>
        <w:t>6、全部文件应按供应商须知中规定的语言和份数提交。磋商响应文件组成漏项或未按规定的格式编制，内容不全或内容字迹模糊辨认不清的情况，将有可能被磋商小组认定为投标无效。</w:t>
      </w:r>
    </w:p>
    <w:bookmarkEnd w:id="105"/>
    <w:bookmarkEnd w:id="106"/>
    <w:bookmarkEnd w:id="107"/>
    <w:bookmarkEnd w:id="108"/>
    <w:p>
      <w:pPr>
        <w:shd w:val="clear" w:color="auto" w:fill="FFFFFF"/>
        <w:spacing w:line="360" w:lineRule="auto"/>
        <w:ind w:firstLine="480" w:firstLineChars="200"/>
        <w:rPr>
          <w:rFonts w:ascii="宋体" w:hAnsi="宋体" w:cs="宋体"/>
          <w:sz w:val="24"/>
        </w:rPr>
      </w:pPr>
    </w:p>
    <w:p>
      <w:pPr>
        <w:pageBreakBefore/>
        <w:shd w:val="clear" w:color="auto" w:fill="FFFFFF"/>
        <w:spacing w:line="360" w:lineRule="auto"/>
        <w:outlineLvl w:val="2"/>
        <w:rPr>
          <w:rFonts w:ascii="宋体" w:hAnsi="宋体" w:cs="宋体"/>
          <w:b/>
          <w:bCs/>
          <w:sz w:val="32"/>
          <w:szCs w:val="32"/>
        </w:rPr>
      </w:pPr>
      <w:r>
        <w:rPr>
          <w:rFonts w:hint="eastAsia" w:ascii="宋体" w:hAnsi="宋体" w:cs="宋体"/>
          <w:sz w:val="24"/>
        </w:rPr>
        <w:t> </w:t>
      </w:r>
      <w:bookmarkEnd w:id="22"/>
      <w:bookmarkEnd w:id="23"/>
      <w:bookmarkEnd w:id="24"/>
      <w:bookmarkEnd w:id="25"/>
      <w:bookmarkStart w:id="113" w:name="_Toc233618989"/>
      <w:r>
        <w:rPr>
          <w:rFonts w:hint="eastAsia" w:ascii="宋体" w:hAnsi="宋体" w:cs="宋体"/>
          <w:b/>
          <w:bCs/>
          <w:sz w:val="32"/>
          <w:szCs w:val="32"/>
        </w:rPr>
        <w:t>磋商响应文件封面</w:t>
      </w:r>
    </w:p>
    <w:p>
      <w:pPr>
        <w:shd w:val="clear" w:color="auto" w:fill="FFFFFF"/>
        <w:tabs>
          <w:tab w:val="left" w:pos="0"/>
          <w:tab w:val="left" w:pos="2140"/>
          <w:tab w:val="center" w:pos="4753"/>
        </w:tabs>
        <w:spacing w:line="360" w:lineRule="auto"/>
        <w:jc w:val="center"/>
        <w:rPr>
          <w:rFonts w:ascii="宋体" w:hAnsi="宋体" w:cs="宋体"/>
          <w:b/>
          <w:bCs/>
          <w:sz w:val="44"/>
          <w:szCs w:val="44"/>
        </w:rPr>
      </w:pPr>
    </w:p>
    <w:p>
      <w:pPr>
        <w:shd w:val="clear" w:color="auto" w:fill="FFFFFF"/>
        <w:snapToGrid w:val="0"/>
        <w:spacing w:line="360" w:lineRule="auto"/>
        <w:jc w:val="center"/>
        <w:rPr>
          <w:rFonts w:ascii="宋体" w:hAnsi="宋体" w:cs="宋体"/>
          <w:b/>
          <w:spacing w:val="-11"/>
          <w:kern w:val="0"/>
          <w:sz w:val="44"/>
          <w:szCs w:val="44"/>
          <w:lang w:val="zh-CN"/>
        </w:rPr>
      </w:pPr>
    </w:p>
    <w:p>
      <w:pPr>
        <w:shd w:val="clear" w:color="auto" w:fill="FFFFFF"/>
        <w:snapToGrid w:val="0"/>
        <w:spacing w:line="360" w:lineRule="auto"/>
        <w:jc w:val="center"/>
        <w:rPr>
          <w:rFonts w:ascii="宋体" w:hAnsi="宋体" w:cs="宋体"/>
          <w:b/>
          <w:bCs/>
          <w:sz w:val="44"/>
          <w:szCs w:val="44"/>
        </w:rPr>
      </w:pPr>
      <w:r>
        <w:rPr>
          <w:rFonts w:hint="eastAsia" w:ascii="宋体" w:hAnsi="宋体" w:cs="宋体"/>
          <w:b/>
          <w:spacing w:val="-11"/>
          <w:kern w:val="0"/>
          <w:sz w:val="44"/>
          <w:szCs w:val="44"/>
          <w:lang w:val="zh-CN"/>
        </w:rPr>
        <w:t>浙江工商大学2024级新生开学典礼和2024届学生毕业典礼策划执行及舞美设备租赁服务项目（重新招标）</w:t>
      </w:r>
      <w:r>
        <w:rPr>
          <w:rFonts w:hint="eastAsia" w:ascii="宋体" w:hAnsi="宋体" w:cs="宋体"/>
          <w:b/>
          <w:bCs/>
          <w:sz w:val="44"/>
          <w:szCs w:val="44"/>
        </w:rPr>
        <w:t>（资格文件/报价文件/商务技术文件）</w:t>
      </w:r>
    </w:p>
    <w:p>
      <w:pPr>
        <w:shd w:val="clear" w:color="auto" w:fill="FFFFFF"/>
        <w:spacing w:line="360" w:lineRule="auto"/>
        <w:jc w:val="center"/>
        <w:rPr>
          <w:rFonts w:ascii="宋体" w:hAnsi="宋体" w:cs="宋体"/>
          <w:b/>
          <w:bCs/>
          <w:sz w:val="32"/>
          <w:szCs w:val="32"/>
        </w:rPr>
      </w:pPr>
      <w:r>
        <w:rPr>
          <w:rFonts w:hint="eastAsia" w:ascii="宋体" w:hAnsi="宋体" w:cs="宋体"/>
          <w:b/>
          <w:bCs/>
          <w:sz w:val="32"/>
          <w:szCs w:val="32"/>
        </w:rPr>
        <w:t>采购编号：</w:t>
      </w:r>
      <w:r>
        <w:rPr>
          <w:rFonts w:hint="default" w:ascii="宋体" w:hAnsi="宋体" w:cs="宋体"/>
          <w:b/>
          <w:bCs/>
          <w:sz w:val="32"/>
          <w:szCs w:val="32"/>
        </w:rPr>
        <w:t>HSZB-2024-335-1</w:t>
      </w:r>
      <w:r>
        <w:rPr>
          <w:rFonts w:hint="eastAsia" w:ascii="宋体" w:hAnsi="宋体" w:cs="宋体"/>
          <w:b/>
          <w:bCs/>
          <w:sz w:val="32"/>
          <w:szCs w:val="32"/>
        </w:rPr>
        <w:t xml:space="preserve">    </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磋</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商</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响</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应</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文</w:t>
      </w:r>
    </w:p>
    <w:p>
      <w:pPr>
        <w:shd w:val="clear" w:color="auto" w:fill="FFFFFF"/>
        <w:spacing w:line="360" w:lineRule="auto"/>
        <w:jc w:val="center"/>
        <w:rPr>
          <w:rFonts w:ascii="宋体" w:hAnsi="宋体" w:cs="宋体"/>
          <w:sz w:val="72"/>
          <w:szCs w:val="72"/>
        </w:rPr>
      </w:pPr>
      <w:r>
        <w:rPr>
          <w:rFonts w:hint="eastAsia" w:ascii="宋体" w:hAnsi="宋体" w:cs="宋体"/>
          <w:sz w:val="72"/>
          <w:szCs w:val="72"/>
        </w:rPr>
        <w:t>件</w:t>
      </w:r>
    </w:p>
    <w:p>
      <w:pPr>
        <w:shd w:val="clear" w:color="auto" w:fill="FFFFFF"/>
        <w:spacing w:line="360" w:lineRule="auto"/>
        <w:jc w:val="center"/>
        <w:rPr>
          <w:rFonts w:ascii="宋体" w:hAnsi="宋体" w:cs="宋体"/>
          <w:sz w:val="72"/>
          <w:szCs w:val="72"/>
        </w:rPr>
      </w:pPr>
    </w:p>
    <w:p>
      <w:pPr>
        <w:shd w:val="clear" w:color="auto" w:fill="FFFFFF"/>
        <w:spacing w:line="360" w:lineRule="auto"/>
        <w:ind w:firstLine="2400" w:firstLineChars="750"/>
        <w:rPr>
          <w:rFonts w:ascii="宋体" w:hAnsi="宋体" w:cs="宋体"/>
          <w:sz w:val="32"/>
          <w:szCs w:val="32"/>
        </w:rPr>
      </w:pPr>
      <w:r>
        <w:rPr>
          <w:rFonts w:hint="eastAsia" w:ascii="宋体" w:hAnsi="宋体" w:cs="宋体"/>
          <w:sz w:val="32"/>
          <w:szCs w:val="32"/>
        </w:rPr>
        <w:t>供应商全称：（加盖单位公章）</w:t>
      </w:r>
    </w:p>
    <w:p>
      <w:pPr>
        <w:shd w:val="clear" w:color="auto" w:fill="FFFFFF"/>
        <w:spacing w:line="360" w:lineRule="auto"/>
        <w:jc w:val="center"/>
        <w:rPr>
          <w:rFonts w:ascii="宋体" w:hAnsi="宋体" w:cs="宋体"/>
          <w:sz w:val="24"/>
        </w:rPr>
      </w:pPr>
      <w:r>
        <w:rPr>
          <w:rFonts w:hint="eastAsia" w:ascii="宋体" w:hAnsi="宋体" w:cs="宋体"/>
          <w:sz w:val="32"/>
          <w:szCs w:val="32"/>
        </w:rPr>
        <w:t>年   月   日</w:t>
      </w:r>
    </w:p>
    <w:p>
      <w:pPr>
        <w:adjustRightInd w:val="0"/>
        <w:snapToGrid w:val="0"/>
        <w:spacing w:line="360" w:lineRule="auto"/>
        <w:rPr>
          <w:rFonts w:ascii="宋体" w:hAnsi="宋体" w:cs="宋体"/>
          <w:b/>
          <w:szCs w:val="21"/>
        </w:rPr>
      </w:pPr>
    </w:p>
    <w:p>
      <w:pPr>
        <w:rPr>
          <w:rFonts w:ascii="宋体" w:hAnsi="宋体" w:cs="宋体"/>
        </w:rPr>
      </w:pPr>
      <w:bookmarkStart w:id="114" w:name="_Toc14604"/>
      <w:bookmarkStart w:id="115" w:name="_Toc11786"/>
      <w:bookmarkStart w:id="116" w:name="_Toc29864"/>
      <w:r>
        <w:rPr>
          <w:rFonts w:hint="eastAsia" w:ascii="宋体" w:hAnsi="宋体" w:cs="宋体"/>
        </w:rPr>
        <w:br w:type="page"/>
      </w:r>
    </w:p>
    <w:p>
      <w:pPr>
        <w:pStyle w:val="2"/>
        <w:adjustRightInd w:val="0"/>
        <w:snapToGrid w:val="0"/>
        <w:rPr>
          <w:rFonts w:ascii="宋体" w:hAnsi="宋体" w:cs="宋体"/>
        </w:rPr>
      </w:pPr>
      <w:r>
        <w:rPr>
          <w:rFonts w:hint="eastAsia" w:ascii="宋体" w:hAnsi="宋体" w:cs="宋体"/>
        </w:rPr>
        <w:t>资格文件</w:t>
      </w:r>
      <w:bookmarkEnd w:id="114"/>
      <w:bookmarkEnd w:id="115"/>
      <w:bookmarkEnd w:id="116"/>
    </w:p>
    <w:p>
      <w:pPr>
        <w:snapToGrid w:val="0"/>
        <w:spacing w:line="300" w:lineRule="auto"/>
        <w:ind w:left="-1"/>
        <w:jc w:val="center"/>
        <w:rPr>
          <w:rFonts w:ascii="Arial" w:hAnsi="Arial" w:cs="Arial"/>
          <w:b/>
          <w:bCs/>
          <w:sz w:val="28"/>
          <w:szCs w:val="28"/>
        </w:rPr>
      </w:pPr>
      <w:r>
        <w:rPr>
          <w:rFonts w:ascii="Arial" w:hAnsi="Arial" w:cs="Arial"/>
          <w:b/>
          <w:bCs/>
          <w:sz w:val="28"/>
          <w:szCs w:val="28"/>
        </w:rPr>
        <w:t>资格条件表</w:t>
      </w:r>
    </w:p>
    <w:p>
      <w:pPr>
        <w:snapToGrid w:val="0"/>
        <w:spacing w:line="300" w:lineRule="auto"/>
        <w:rPr>
          <w:rFonts w:hint="eastAsia" w:ascii="Arial" w:hAnsi="Arial" w:cs="Arial"/>
        </w:rPr>
      </w:pPr>
      <w:r>
        <w:rPr>
          <w:rFonts w:ascii="Arial" w:hAnsi="Arial" w:cs="Arial"/>
        </w:rPr>
        <w:t>项目名称：</w:t>
      </w:r>
      <w:r>
        <w:rPr>
          <w:rFonts w:hint="eastAsia" w:ascii="Arial" w:hAnsi="Arial" w:cs="Arial"/>
          <w:lang w:eastAsia="zh-CN"/>
        </w:rPr>
        <w:t>浙江工商大学2024级新生开学典礼和2024届学生毕业典礼策划执行及舞美设备租赁服务项目（重新招标）</w:t>
      </w:r>
      <w:r>
        <w:rPr>
          <w:rFonts w:ascii="Arial" w:hAnsi="Arial" w:cs="Arial"/>
        </w:rPr>
        <w:t>项目编号：</w:t>
      </w:r>
      <w:r>
        <w:rPr>
          <w:rFonts w:hint="default" w:ascii="Arial" w:hAnsi="Arial" w:cs="Arial"/>
        </w:rPr>
        <w:t>HSZB-2024-335-1</w:t>
      </w:r>
      <w:r>
        <w:rPr>
          <w:rFonts w:hint="eastAsia" w:ascii="Arial" w:hAnsi="Arial" w:cs="Arial"/>
        </w:rPr>
        <w:t xml:space="preserve"> </w:t>
      </w:r>
    </w:p>
    <w:p>
      <w:pPr>
        <w:snapToGrid w:val="0"/>
        <w:spacing w:line="300" w:lineRule="auto"/>
        <w:rPr>
          <w:rFonts w:hint="eastAsia" w:ascii="Arial" w:hAnsi="Arial" w:cs="Arial"/>
        </w:rPr>
      </w:pPr>
    </w:p>
    <w:p>
      <w:pPr>
        <w:snapToGrid w:val="0"/>
        <w:spacing w:line="300" w:lineRule="auto"/>
        <w:rPr>
          <w:rFonts w:hint="eastAsia" w:ascii="Arial" w:hAnsi="Arial" w:cs="Arial"/>
        </w:rPr>
      </w:pPr>
      <w:r>
        <w:rPr>
          <w:rFonts w:hint="eastAsia"/>
        </w:rPr>
        <w:t>标段</w:t>
      </w:r>
      <w:r>
        <w:t>名称</w:t>
      </w:r>
      <w:r>
        <w:rPr>
          <w:rFonts w:hint="eastAsia"/>
        </w:rPr>
        <w:t>：</w:t>
      </w:r>
      <w:r>
        <w:rPr>
          <w:rFonts w:hint="eastAsia"/>
          <w:lang w:eastAsia="zh-CN"/>
        </w:rPr>
        <w:t>浙江工商大学2024级新生开学典礼和2024届学生毕业典礼策划执行及舞美设备租赁服务项目（重新招标）</w:t>
      </w:r>
    </w:p>
    <w:tbl>
      <w:tblPr>
        <w:tblStyle w:val="45"/>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300"/>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11" w:type="pct"/>
            <w:vAlign w:val="center"/>
          </w:tcPr>
          <w:p>
            <w:pPr>
              <w:jc w:val="left"/>
            </w:pPr>
            <w:bookmarkStart w:id="151" w:name="_GoBack"/>
            <w:bookmarkEnd w:id="151"/>
            <w:r>
              <w:t>序号</w:t>
            </w:r>
          </w:p>
        </w:tc>
        <w:tc>
          <w:tcPr>
            <w:tcW w:w="2349" w:type="pct"/>
            <w:vAlign w:val="center"/>
          </w:tcPr>
          <w:p>
            <w:pPr>
              <w:jc w:val="left"/>
            </w:pPr>
            <w:r>
              <w:t>资格条件</w:t>
            </w:r>
          </w:p>
        </w:tc>
        <w:tc>
          <w:tcPr>
            <w:tcW w:w="2239" w:type="pct"/>
            <w:vAlign w:val="center"/>
          </w:tcPr>
          <w:p>
            <w:pPr>
              <w:jc w:val="left"/>
            </w:pPr>
            <w:r>
              <w:t>应提供的资格审查资料（除承诺函、说明、声明外的其他证件提供扫描件）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11" w:type="pct"/>
            <w:vAlign w:val="center"/>
          </w:tcPr>
          <w:p>
            <w:pPr>
              <w:jc w:val="center"/>
            </w:pPr>
            <w:r>
              <w:t>1.</w:t>
            </w:r>
          </w:p>
        </w:tc>
        <w:tc>
          <w:tcPr>
            <w:tcW w:w="2349" w:type="pct"/>
            <w:vAlign w:val="center"/>
          </w:tcPr>
          <w:p>
            <w:pPr>
              <w:jc w:val="left"/>
            </w:pPr>
            <w:r>
              <w:t>基本资格要求：</w:t>
            </w:r>
          </w:p>
        </w:tc>
        <w:tc>
          <w:tcPr>
            <w:tcW w:w="2239" w:type="pct"/>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411" w:type="pct"/>
            <w:vAlign w:val="center"/>
          </w:tcPr>
          <w:p>
            <w:pPr>
              <w:jc w:val="center"/>
            </w:pPr>
            <w:r>
              <w:t>（1）</w:t>
            </w:r>
          </w:p>
        </w:tc>
        <w:tc>
          <w:tcPr>
            <w:tcW w:w="2349" w:type="pct"/>
            <w:vAlign w:val="center"/>
          </w:tcPr>
          <w:p>
            <w:pPr>
              <w:jc w:val="left"/>
            </w:pPr>
            <w:r>
              <w:t>1.满足《中华人民共和国政府采购法》第二十二条规定；未被“信用中国”（www.creditchina.gov.cn)、中国政府采购网（www.ccgp.gov.cn）列入失信被执行人、重大税收违法失信主体、政府采购严重违法失信行为记录名单。</w:t>
            </w:r>
          </w:p>
        </w:tc>
        <w:tc>
          <w:tcPr>
            <w:tcW w:w="2239" w:type="pct"/>
            <w:vAlign w:val="center"/>
          </w:tcPr>
          <w:p>
            <w:pPr>
              <w:jc w:val="left"/>
            </w:pPr>
            <w:r>
              <w:rPr>
                <w:lang w:bidi="ar"/>
              </w:rPr>
              <w:t>1）符合参加政府采购活动应当具备的一般条件的承诺函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11" w:type="pct"/>
            <w:vAlign w:val="center"/>
          </w:tcPr>
          <w:p>
            <w:pPr>
              <w:jc w:val="center"/>
            </w:pPr>
            <w:r>
              <w:t>2</w:t>
            </w:r>
          </w:p>
        </w:tc>
        <w:tc>
          <w:tcPr>
            <w:tcW w:w="2349" w:type="pct"/>
            <w:vAlign w:val="center"/>
          </w:tcPr>
          <w:p>
            <w:pPr>
              <w:jc w:val="left"/>
            </w:pPr>
            <w:r>
              <w:t>落实政府采购政策需满足的资格要求</w:t>
            </w:r>
          </w:p>
        </w:tc>
        <w:tc>
          <w:tcPr>
            <w:tcW w:w="2239" w:type="pct"/>
            <w:vAlign w:val="center"/>
          </w:tcPr>
          <w:p>
            <w:pPr>
              <w:jc w:val="left"/>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11" w:type="pct"/>
            <w:vAlign w:val="center"/>
          </w:tcPr>
          <w:p>
            <w:pPr>
              <w:jc w:val="center"/>
            </w:pPr>
            <w:r>
              <w:t>（1）</w:t>
            </w:r>
          </w:p>
        </w:tc>
        <w:tc>
          <w:tcPr>
            <w:tcW w:w="2349" w:type="pct"/>
            <w:vAlign w:val="center"/>
          </w:tcPr>
          <w:p>
            <w:pPr>
              <w:jc w:val="left"/>
            </w:pPr>
            <w:r>
              <w:t>本项目为专门面向中小企业采购的项目</w:t>
            </w:r>
          </w:p>
        </w:tc>
        <w:tc>
          <w:tcPr>
            <w:tcW w:w="2239" w:type="pct"/>
            <w:vAlign w:val="center"/>
          </w:tcPr>
          <w:p>
            <w:pPr>
              <w:jc w:val="left"/>
              <w:rPr>
                <w:lang w:bidi="ar"/>
              </w:rPr>
            </w:pPr>
            <w:r>
              <w:rPr>
                <w:lang w:bidi="ar"/>
              </w:rPr>
              <w:t>2）中小企业声明函或监狱企业、残疾人福利性单位及其他相关的充分的证明材料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1" w:type="pct"/>
            <w:vAlign w:val="center"/>
          </w:tcPr>
          <w:p>
            <w:pPr>
              <w:jc w:val="center"/>
            </w:pPr>
            <w:r>
              <w:t>3</w:t>
            </w:r>
          </w:p>
        </w:tc>
        <w:tc>
          <w:tcPr>
            <w:tcW w:w="2349" w:type="pct"/>
            <w:vAlign w:val="center"/>
          </w:tcPr>
          <w:p>
            <w:pPr>
              <w:jc w:val="left"/>
            </w:pPr>
            <w:r>
              <w:t>联合体（如有）</w:t>
            </w:r>
          </w:p>
        </w:tc>
        <w:tc>
          <w:tcPr>
            <w:tcW w:w="2239" w:type="pct"/>
            <w:vAlign w:val="center"/>
          </w:tcPr>
          <w:p>
            <w:pPr>
              <w:jc w:val="left"/>
            </w:pPr>
            <w:r>
              <w:t>联合体协议（如为联合体投标的，须提供）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1" w:type="pct"/>
            <w:vAlign w:val="center"/>
          </w:tcPr>
          <w:p>
            <w:pPr>
              <w:jc w:val="center"/>
            </w:pPr>
            <w:r>
              <w:t>4.</w:t>
            </w:r>
          </w:p>
        </w:tc>
        <w:tc>
          <w:tcPr>
            <w:tcW w:w="2349" w:type="pct"/>
            <w:vAlign w:val="center"/>
          </w:tcPr>
          <w:p>
            <w:pPr>
              <w:jc w:val="left"/>
            </w:pPr>
            <w:r>
              <w:t>特定资格要求：</w:t>
            </w:r>
          </w:p>
        </w:tc>
        <w:tc>
          <w:tcPr>
            <w:tcW w:w="2239" w:type="pct"/>
            <w:vAlign w:val="center"/>
          </w:tcPr>
          <w:p>
            <w:pPr>
              <w:jc w:val="left"/>
            </w:pPr>
            <w:r>
              <w:t>/</w:t>
            </w:r>
          </w:p>
        </w:tc>
      </w:tr>
    </w:tbl>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证明材料需加盖投标</w:t>
      </w:r>
      <w:r>
        <w:rPr>
          <w:rFonts w:hint="eastAsia" w:ascii="Arial" w:hAnsi="Arial" w:cs="Arial"/>
          <w:b/>
          <w:bCs/>
          <w:szCs w:val="21"/>
          <w:u w:val="single"/>
        </w:rPr>
        <w:t>供应商</w:t>
      </w:r>
      <w:r>
        <w:rPr>
          <w:rFonts w:ascii="Arial" w:hAnsi="Arial" w:cs="Arial"/>
          <w:b/>
          <w:bCs/>
          <w:szCs w:val="21"/>
          <w:u w:val="single"/>
        </w:rPr>
        <w:t>单位公章。</w:t>
      </w:r>
    </w:p>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各声明函格式附后</w:t>
      </w:r>
    </w:p>
    <w:p>
      <w:pPr>
        <w:snapToGrid w:val="0"/>
        <w:spacing w:line="300" w:lineRule="auto"/>
        <w:jc w:val="center"/>
        <w:rPr>
          <w:rFonts w:cs="Arial"/>
          <w:b/>
          <w:kern w:val="0"/>
          <w:sz w:val="32"/>
          <w:szCs w:val="28"/>
        </w:rPr>
      </w:pPr>
    </w:p>
    <w:p>
      <w:pPr>
        <w:snapToGrid w:val="0"/>
        <w:spacing w:line="300" w:lineRule="auto"/>
        <w:jc w:val="center"/>
        <w:rPr>
          <w:rFonts w:cs="Arial"/>
          <w:b/>
          <w:kern w:val="0"/>
          <w:sz w:val="32"/>
          <w:szCs w:val="28"/>
        </w:rPr>
      </w:pPr>
    </w:p>
    <w:p/>
    <w:p>
      <w:pPr>
        <w:pStyle w:val="21"/>
        <w:ind w:firstLine="0"/>
        <w:rPr>
          <w:lang w:val="en-US"/>
        </w:rPr>
      </w:pPr>
    </w:p>
    <w:p>
      <w:pPr>
        <w:snapToGrid w:val="0"/>
        <w:spacing w:line="300" w:lineRule="auto"/>
        <w:jc w:val="center"/>
        <w:rPr>
          <w:rFonts w:cs="Arial"/>
          <w:b/>
          <w:kern w:val="0"/>
          <w:sz w:val="32"/>
          <w:szCs w:val="28"/>
        </w:rPr>
      </w:pPr>
      <w:r>
        <w:rPr>
          <w:rFonts w:hint="eastAsia" w:cs="Arial"/>
          <w:b/>
          <w:kern w:val="0"/>
          <w:sz w:val="32"/>
          <w:szCs w:val="28"/>
        </w:rPr>
        <w:br w:type="page"/>
      </w:r>
      <w:r>
        <w:rPr>
          <w:rFonts w:hint="eastAsia" w:cs="Arial"/>
          <w:b/>
          <w:kern w:val="0"/>
          <w:sz w:val="32"/>
          <w:szCs w:val="28"/>
        </w:rPr>
        <w:t>一、 符合参加政府采购活动应当具备的一般条件的承诺函</w:t>
      </w:r>
    </w:p>
    <w:p>
      <w:pPr>
        <w:snapToGrid w:val="0"/>
        <w:spacing w:line="360" w:lineRule="auto"/>
        <w:rPr>
          <w:rFonts w:ascii="宋体" w:hAnsi="宋体" w:cs="宋体"/>
          <w:szCs w:val="21"/>
        </w:rPr>
      </w:pPr>
    </w:p>
    <w:p>
      <w:pPr>
        <w:snapToGrid w:val="0"/>
        <w:spacing w:line="360" w:lineRule="auto"/>
        <w:ind w:firstLine="210" w:firstLineChars="100"/>
        <w:rPr>
          <w:rFonts w:ascii="宋体" w:hAnsi="宋体" w:cs="宋体"/>
          <w:szCs w:val="21"/>
        </w:rPr>
      </w:pPr>
      <w:r>
        <w:rPr>
          <w:rFonts w:hint="eastAsia" w:ascii="宋体" w:hAnsi="宋体" w:cs="宋体"/>
          <w:szCs w:val="21"/>
        </w:rPr>
        <w:t>（采购人）、（采购代理机构）：</w:t>
      </w:r>
    </w:p>
    <w:p>
      <w:pPr>
        <w:snapToGrid w:val="0"/>
        <w:spacing w:line="360" w:lineRule="auto"/>
        <w:ind w:firstLine="420" w:firstLineChars="200"/>
        <w:rPr>
          <w:rFonts w:ascii="宋体" w:hAnsi="宋体" w:cs="宋体"/>
          <w:szCs w:val="21"/>
        </w:rPr>
      </w:pPr>
      <w:r>
        <w:rPr>
          <w:rFonts w:hint="eastAsia" w:ascii="宋体" w:hAnsi="宋体" w:cs="宋体"/>
          <w:szCs w:val="21"/>
        </w:rPr>
        <w:t>我方参与（项目名称）【招标编号：（采购编号）】政府采购活动，郑重承诺：</w:t>
      </w:r>
    </w:p>
    <w:p>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（二）未被信用中国（www.creditchina.gov.cn)、中国政府采购网（www.ccgp.gov.cn）列入失信被执行人、重大税收违法失信主体、政府采购严重违法失信行为记录名单。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w:t>
      </w:r>
      <w:r>
        <w:rPr>
          <w:rFonts w:hint="eastAsia" w:ascii="宋体" w:hAnsi="宋体" w:cs="宋体"/>
          <w:kern w:val="0"/>
          <w:szCs w:val="21"/>
        </w:rPr>
        <w:t>公章</w:t>
      </w:r>
      <w:r>
        <w:rPr>
          <w:rFonts w:hint="eastAsia" w:ascii="宋体" w:hAnsi="宋体" w:cs="宋体"/>
          <w:kern w:val="0"/>
          <w:szCs w:val="21"/>
          <w:lang w:val="zh-CN"/>
        </w:rPr>
        <w:t>)：</w:t>
      </w:r>
    </w:p>
    <w:p>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pStyle w:val="20"/>
      </w:pPr>
    </w:p>
    <w:p>
      <w:pPr>
        <w:snapToGrid w:val="0"/>
        <w:spacing w:line="300" w:lineRule="auto"/>
        <w:ind w:firstLine="420" w:firstLineChars="200"/>
        <w:jc w:val="left"/>
        <w:rPr>
          <w:rFonts w:ascii="Arial" w:hAnsi="Arial" w:cs="Arial"/>
          <w:szCs w:val="21"/>
        </w:rPr>
      </w:pPr>
    </w:p>
    <w:p>
      <w:pPr>
        <w:jc w:val="center"/>
        <w:rPr>
          <w:b/>
          <w:sz w:val="32"/>
          <w:szCs w:val="32"/>
        </w:rPr>
      </w:pPr>
      <w:r>
        <w:rPr>
          <w:rFonts w:hint="eastAsia"/>
          <w:b/>
          <w:sz w:val="32"/>
          <w:szCs w:val="32"/>
        </w:rPr>
        <w:br w:type="page"/>
      </w:r>
      <w:r>
        <w:rPr>
          <w:rFonts w:hint="eastAsia"/>
          <w:b/>
          <w:sz w:val="32"/>
          <w:szCs w:val="32"/>
        </w:rPr>
        <w:t>二、中小企业声明函或监狱企业、残疾人福利性单位及其他相关的充分的证明材料</w:t>
      </w:r>
    </w:p>
    <w:p>
      <w:pPr>
        <w:pStyle w:val="4"/>
        <w:tabs>
          <w:tab w:val="left" w:pos="0"/>
          <w:tab w:val="clear" w:pos="720"/>
        </w:tabs>
        <w:ind w:left="0" w:firstLine="0"/>
        <w:rPr>
          <w:rFonts w:ascii="宋体" w:hAnsi="宋体" w:eastAsia="宋体" w:cs="宋体"/>
        </w:rPr>
      </w:pPr>
    </w:p>
    <w:p>
      <w:pPr>
        <w:snapToGrid w:val="0"/>
        <w:spacing w:line="360" w:lineRule="auto"/>
        <w:ind w:firstLine="562" w:firstLineChars="200"/>
        <w:jc w:val="center"/>
        <w:rPr>
          <w:b/>
          <w:sz w:val="28"/>
          <w:szCs w:val="28"/>
        </w:rPr>
      </w:pPr>
    </w:p>
    <w:p>
      <w:pPr>
        <w:spacing w:line="360" w:lineRule="auto"/>
        <w:jc w:val="center"/>
        <w:rPr>
          <w:rFonts w:ascii="宋体" w:hAnsi="宋体" w:cs="宋体"/>
          <w:b/>
          <w:szCs w:val="21"/>
        </w:rPr>
      </w:pPr>
      <w:r>
        <w:rPr>
          <w:rFonts w:hint="eastAsia" w:ascii="宋体" w:hAnsi="宋体" w:cs="宋体"/>
          <w:b/>
          <w:szCs w:val="21"/>
        </w:rPr>
        <w:t>中小企业声明函（服务）</w:t>
      </w:r>
    </w:p>
    <w:p>
      <w:pPr>
        <w:spacing w:line="360" w:lineRule="auto"/>
        <w:rPr>
          <w:rFonts w:ascii="宋体" w:hAnsi="宋体" w:cs="宋体"/>
          <w:szCs w:val="21"/>
        </w:rPr>
      </w:pPr>
    </w:p>
    <w:p>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浙江中医药大学</w:t>
      </w:r>
      <w:r>
        <w:rPr>
          <w:rFonts w:hint="eastAsia" w:ascii="宋体" w:hAnsi="宋体" w:cs="宋体"/>
          <w:szCs w:val="21"/>
        </w:rPr>
        <w:t>的</w:t>
      </w:r>
      <w:r>
        <w:rPr>
          <w:rFonts w:hint="eastAsia" w:ascii="宋体" w:hAnsi="宋体" w:cs="宋体"/>
          <w:szCs w:val="21"/>
          <w:u w:val="single"/>
        </w:rPr>
        <w:t xml:space="preserve">浙江中医药大学校园文化活动舞台设备租赁项目标项：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 xml:space="preserve"> </w:t>
      </w:r>
      <w:r>
        <w:rPr>
          <w:b/>
          <w:bCs/>
          <w:snapToGrid w:val="0"/>
          <w:color w:val="000000"/>
          <w:szCs w:val="21"/>
          <w:u w:val="single"/>
        </w:rPr>
        <w:t>202</w:t>
      </w:r>
      <w:r>
        <w:rPr>
          <w:rFonts w:hint="eastAsia"/>
          <w:b/>
          <w:bCs/>
          <w:snapToGrid w:val="0"/>
          <w:color w:val="000000"/>
          <w:szCs w:val="21"/>
          <w:u w:val="single"/>
        </w:rPr>
        <w:t>4</w:t>
      </w:r>
      <w:r>
        <w:rPr>
          <w:b/>
          <w:bCs/>
          <w:snapToGrid w:val="0"/>
          <w:color w:val="000000"/>
          <w:szCs w:val="21"/>
          <w:u w:val="single"/>
        </w:rPr>
        <w:t>届学生毕业典礼策划执行及舞美设备租赁服务</w:t>
      </w:r>
      <w:r>
        <w:rPr>
          <w:rFonts w:hint="eastAsia" w:ascii="宋体" w:hAnsi="宋体" w:cs="宋体"/>
          <w:b/>
          <w:bCs/>
          <w:szCs w:val="21"/>
          <w:u w:val="single"/>
        </w:rPr>
        <w:t xml:space="preserve">   （标的）</w:t>
      </w:r>
      <w:r>
        <w:rPr>
          <w:rFonts w:hint="eastAsia" w:ascii="宋体" w:hAnsi="宋体" w:cs="宋体"/>
          <w:szCs w:val="21"/>
        </w:rPr>
        <w:t>，属于</w:t>
      </w:r>
      <w:r>
        <w:rPr>
          <w:rFonts w:hint="eastAsia" w:ascii="宋体" w:hAnsi="宋体" w:cs="宋体"/>
          <w:b/>
          <w:bCs/>
          <w:szCs w:val="21"/>
          <w:u w:val="single"/>
        </w:rPr>
        <w:t>租赁和商务服务业（行业）</w:t>
      </w:r>
      <w:r>
        <w:rPr>
          <w:rFonts w:hint="eastAsia" w:ascii="宋体" w:hAnsi="宋体" w:cs="宋体"/>
          <w:szCs w:val="21"/>
        </w:rPr>
        <w:t xml:space="preserve">；承建（承接）企业为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u w:val="single"/>
          <w:lang w:val="en-US" w:eastAsia="zh-CN"/>
        </w:rPr>
        <w:t>中型、</w:t>
      </w:r>
      <w:r>
        <w:rPr>
          <w:rFonts w:hint="eastAsia" w:ascii="宋体" w:hAnsi="宋体" w:cs="宋体"/>
          <w:szCs w:val="21"/>
          <w:u w:val="single"/>
        </w:rPr>
        <w:t xml:space="preserve">小型企业、微型企业） </w:t>
      </w:r>
      <w:r>
        <w:rPr>
          <w:rFonts w:hint="eastAsia" w:ascii="宋体" w:hAnsi="宋体" w:cs="宋体"/>
          <w:szCs w:val="21"/>
        </w:rPr>
        <w:t>；</w:t>
      </w:r>
    </w:p>
    <w:p>
      <w:pPr>
        <w:numPr>
          <w:ilvl w:val="0"/>
          <w:numId w:val="5"/>
        </w:numPr>
        <w:spacing w:line="360" w:lineRule="auto"/>
        <w:ind w:firstLine="422" w:firstLineChars="200"/>
        <w:jc w:val="left"/>
        <w:rPr>
          <w:rFonts w:ascii="宋体" w:hAnsi="宋体" w:cs="宋体"/>
          <w:szCs w:val="21"/>
        </w:rPr>
      </w:pPr>
      <w:r>
        <w:rPr>
          <w:rFonts w:hint="eastAsia" w:ascii="宋体" w:hAnsi="宋体" w:cs="宋体"/>
          <w:b/>
          <w:bCs/>
          <w:szCs w:val="21"/>
          <w:u w:val="single"/>
        </w:rPr>
        <w:t xml:space="preserve">  </w:t>
      </w:r>
      <w:r>
        <w:rPr>
          <w:b/>
          <w:bCs/>
          <w:snapToGrid w:val="0"/>
          <w:color w:val="000000"/>
          <w:szCs w:val="21"/>
          <w:u w:val="single"/>
        </w:rPr>
        <w:t>202</w:t>
      </w:r>
      <w:r>
        <w:rPr>
          <w:rFonts w:hint="eastAsia"/>
          <w:b/>
          <w:bCs/>
          <w:snapToGrid w:val="0"/>
          <w:color w:val="000000"/>
          <w:szCs w:val="21"/>
          <w:u w:val="single"/>
        </w:rPr>
        <w:t>4</w:t>
      </w:r>
      <w:r>
        <w:rPr>
          <w:b/>
          <w:bCs/>
          <w:snapToGrid w:val="0"/>
          <w:color w:val="000000"/>
          <w:szCs w:val="21"/>
          <w:u w:val="single"/>
        </w:rPr>
        <w:t>级新生开学典礼策划执行及舞美设备租赁服务（分2场）</w:t>
      </w:r>
      <w:r>
        <w:rPr>
          <w:rFonts w:hint="eastAsia" w:ascii="宋体" w:hAnsi="宋体" w:cs="宋体"/>
          <w:b/>
          <w:bCs/>
          <w:szCs w:val="21"/>
          <w:u w:val="single"/>
        </w:rPr>
        <w:t xml:space="preserve">  （标的）</w:t>
      </w:r>
      <w:r>
        <w:rPr>
          <w:rFonts w:hint="eastAsia" w:ascii="宋体" w:hAnsi="宋体" w:cs="宋体"/>
          <w:szCs w:val="21"/>
        </w:rPr>
        <w:t>，属于</w:t>
      </w:r>
      <w:r>
        <w:rPr>
          <w:rFonts w:hint="eastAsia" w:ascii="宋体" w:hAnsi="宋体" w:cs="宋体"/>
          <w:b/>
          <w:bCs/>
          <w:szCs w:val="21"/>
          <w:u w:val="single"/>
        </w:rPr>
        <w:t>租赁和商务服务业（行业）</w:t>
      </w:r>
      <w:r>
        <w:rPr>
          <w:rFonts w:hint="eastAsia" w:ascii="宋体" w:hAnsi="宋体" w:cs="宋体"/>
          <w:szCs w:val="21"/>
        </w:rPr>
        <w:t xml:space="preserve">；承建（承接）企业为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u w:val="single"/>
          <w:lang w:val="en-US" w:eastAsia="zh-CN"/>
        </w:rPr>
        <w:t>中型、</w:t>
      </w:r>
      <w:r>
        <w:rPr>
          <w:rFonts w:hint="eastAsia" w:ascii="宋体" w:hAnsi="宋体" w:cs="宋体"/>
          <w:szCs w:val="21"/>
          <w:u w:val="single"/>
        </w:rPr>
        <w:t xml:space="preserve">小型企业、微型企业） </w:t>
      </w:r>
      <w:r>
        <w:rPr>
          <w:rFonts w:hint="eastAsia" w:ascii="宋体" w:hAnsi="宋体" w:cs="宋体"/>
          <w:szCs w:val="21"/>
        </w:rPr>
        <w:t>；</w:t>
      </w:r>
    </w:p>
    <w:p>
      <w:pPr>
        <w:numPr>
          <w:ilvl w:val="0"/>
          <w:numId w:val="5"/>
        </w:num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b/>
          <w:bCs/>
          <w:szCs w:val="21"/>
          <w:u w:val="single"/>
        </w:rPr>
        <w:t xml:space="preserve"> </w:t>
      </w:r>
      <w:r>
        <w:rPr>
          <w:b/>
          <w:bCs/>
          <w:snapToGrid w:val="0"/>
          <w:color w:val="000000"/>
          <w:szCs w:val="21"/>
          <w:u w:val="single"/>
        </w:rPr>
        <w:t>202</w:t>
      </w:r>
      <w:r>
        <w:rPr>
          <w:rFonts w:hint="eastAsia"/>
          <w:b/>
          <w:bCs/>
          <w:snapToGrid w:val="0"/>
          <w:color w:val="000000"/>
          <w:szCs w:val="21"/>
          <w:u w:val="single"/>
        </w:rPr>
        <w:t>4</w:t>
      </w:r>
      <w:r>
        <w:rPr>
          <w:b/>
          <w:bCs/>
          <w:snapToGrid w:val="0"/>
          <w:color w:val="000000"/>
          <w:szCs w:val="21"/>
          <w:u w:val="single"/>
        </w:rPr>
        <w:t>届</w:t>
      </w:r>
      <w:r>
        <w:rPr>
          <w:rFonts w:hint="eastAsia"/>
          <w:b/>
          <w:bCs/>
          <w:snapToGrid w:val="0"/>
          <w:color w:val="000000"/>
          <w:szCs w:val="21"/>
          <w:u w:val="single"/>
        </w:rPr>
        <w:t>毕业生纪念品设计及制作服务</w:t>
      </w:r>
      <w:r>
        <w:rPr>
          <w:rFonts w:hint="eastAsia" w:ascii="宋体" w:hAnsi="宋体" w:cs="宋体"/>
          <w:b/>
          <w:bCs/>
          <w:szCs w:val="21"/>
          <w:u w:val="single"/>
        </w:rPr>
        <w:t xml:space="preserve">  （标的）</w:t>
      </w:r>
      <w:r>
        <w:rPr>
          <w:rFonts w:hint="eastAsia" w:ascii="宋体" w:hAnsi="宋体" w:cs="宋体"/>
          <w:szCs w:val="21"/>
        </w:rPr>
        <w:t>，属于</w:t>
      </w:r>
      <w:r>
        <w:rPr>
          <w:rFonts w:hint="eastAsia" w:ascii="宋体" w:hAnsi="宋体" w:cs="宋体"/>
          <w:b/>
          <w:bCs/>
          <w:szCs w:val="21"/>
          <w:u w:val="single"/>
        </w:rPr>
        <w:t>租赁和商务服务业（行业）</w:t>
      </w:r>
      <w:r>
        <w:rPr>
          <w:rFonts w:hint="eastAsia" w:ascii="宋体" w:hAnsi="宋体" w:cs="宋体"/>
          <w:szCs w:val="21"/>
        </w:rPr>
        <w:t xml:space="preserve">；承建（承接）企业为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u w:val="single"/>
          <w:lang w:val="en-US" w:eastAsia="zh-CN"/>
        </w:rPr>
        <w:t>中型、</w:t>
      </w:r>
      <w:r>
        <w:rPr>
          <w:rFonts w:hint="eastAsia" w:ascii="宋体" w:hAnsi="宋体" w:cs="宋体"/>
          <w:szCs w:val="21"/>
          <w:u w:val="single"/>
        </w:rPr>
        <w:t xml:space="preserve">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right="1760"/>
        <w:jc w:val="right"/>
        <w:rPr>
          <w:rFonts w:ascii="宋体" w:hAnsi="宋体" w:cs="宋体"/>
          <w:szCs w:val="21"/>
        </w:rPr>
      </w:pPr>
      <w:r>
        <w:rPr>
          <w:rFonts w:hint="eastAsia" w:ascii="宋体" w:hAnsi="宋体" w:cs="宋体"/>
          <w:szCs w:val="21"/>
        </w:rPr>
        <w:t>投标人名称（公章）：</w:t>
      </w:r>
    </w:p>
    <w:p>
      <w:pPr>
        <w:spacing w:line="360" w:lineRule="auto"/>
        <w:ind w:right="1120" w:firstLine="5145" w:firstLineChars="2450"/>
        <w:rPr>
          <w:rFonts w:ascii="宋体" w:hAnsi="宋体" w:cs="宋体"/>
          <w:szCs w:val="21"/>
        </w:rPr>
      </w:pPr>
      <w:r>
        <w:rPr>
          <w:rFonts w:hint="eastAsia" w:ascii="宋体" w:hAnsi="宋体" w:cs="宋体"/>
          <w:szCs w:val="21"/>
        </w:rPr>
        <w:t>日 期：</w:t>
      </w:r>
    </w:p>
    <w:p>
      <w:pPr>
        <w:spacing w:line="360" w:lineRule="auto"/>
        <w:ind w:firstLine="310" w:firstLineChars="147"/>
        <w:jc w:val="left"/>
        <w:rPr>
          <w:rFonts w:ascii="宋体" w:hAnsi="宋体" w:cs="宋体"/>
          <w:b/>
          <w:szCs w:val="21"/>
        </w:rPr>
      </w:pPr>
    </w:p>
    <w:p>
      <w:pPr>
        <w:spacing w:line="360" w:lineRule="auto"/>
        <w:ind w:right="420"/>
        <w:jc w:val="left"/>
        <w:rPr>
          <w:rFonts w:ascii="宋体" w:hAnsi="宋体" w:cs="宋体"/>
          <w:b/>
          <w:kern w:val="0"/>
          <w:szCs w:val="21"/>
        </w:rPr>
      </w:pPr>
      <w:r>
        <w:rPr>
          <w:rFonts w:hint="eastAsia" w:ascii="宋体" w:hAnsi="宋体" w:cs="宋体"/>
          <w:szCs w:val="21"/>
        </w:rPr>
        <w:t xml:space="preserve">   注：填写要求：从业人员、营业收入、资产总额填报上一年度数据，无上一年度数据的新成立企业可不填报；中型企业、小型企业、微型企业等3种企业类型，结合以上数据，依据《中小企业划型标准规定》（工信部联企业〔2011〕300号）确定；投标人提供的《中小企业声明函》与实际情况不符的或者未按以上要求填写的，中小企业声明函无效，不享受中小企业扶持政策。声明内容不实的，属于提供虚假材料谋取中标、成交的，依法承担法律责任。 </w:t>
      </w:r>
    </w:p>
    <w:p>
      <w:pPr>
        <w:snapToGrid w:val="0"/>
        <w:spacing w:line="360" w:lineRule="auto"/>
        <w:ind w:firstLine="602" w:firstLineChars="200"/>
        <w:jc w:val="center"/>
        <w:rPr>
          <w:rFonts w:ascii="宋体" w:hAnsi="宋体" w:cs="宋体"/>
          <w:b/>
          <w:kern w:val="0"/>
          <w:sz w:val="30"/>
          <w:szCs w:val="30"/>
        </w:rPr>
      </w:pPr>
    </w:p>
    <w:p>
      <w:pPr>
        <w:snapToGrid w:val="0"/>
        <w:spacing w:line="360" w:lineRule="auto"/>
        <w:ind w:firstLine="602" w:firstLineChars="200"/>
        <w:jc w:val="center"/>
        <w:rPr>
          <w:rFonts w:ascii="宋体" w:hAnsi="宋体" w:cs="宋体"/>
          <w:b/>
          <w:kern w:val="0"/>
          <w:sz w:val="30"/>
          <w:szCs w:val="30"/>
        </w:rPr>
      </w:pPr>
    </w:p>
    <w:p>
      <w:pPr>
        <w:snapToGrid w:val="0"/>
        <w:spacing w:line="360" w:lineRule="auto"/>
        <w:ind w:firstLine="602" w:firstLineChars="200"/>
        <w:jc w:val="center"/>
        <w:rPr>
          <w:rFonts w:ascii="宋体" w:hAnsi="宋体" w:cs="宋体"/>
          <w:b/>
          <w:kern w:val="0"/>
          <w:sz w:val="30"/>
          <w:szCs w:val="30"/>
        </w:rPr>
      </w:pPr>
    </w:p>
    <w:p>
      <w:pPr>
        <w:pStyle w:val="3"/>
        <w:numPr>
          <w:ilvl w:val="0"/>
          <w:numId w:val="0"/>
        </w:numPr>
        <w:ind w:left="560"/>
      </w:pPr>
    </w:p>
    <w:p>
      <w:pPr>
        <w:snapToGrid w:val="0"/>
        <w:spacing w:line="360" w:lineRule="auto"/>
        <w:ind w:firstLine="602" w:firstLineChars="200"/>
        <w:jc w:val="center"/>
        <w:rPr>
          <w:rFonts w:ascii="宋体" w:hAnsi="宋体" w:cs="宋体"/>
          <w:b/>
          <w:kern w:val="0"/>
          <w:sz w:val="30"/>
          <w:szCs w:val="30"/>
        </w:rPr>
      </w:pPr>
      <w:r>
        <w:rPr>
          <w:rFonts w:hint="eastAsia" w:ascii="宋体" w:hAnsi="宋体" w:cs="宋体"/>
          <w:b/>
          <w:kern w:val="0"/>
          <w:sz w:val="30"/>
          <w:szCs w:val="30"/>
        </w:rPr>
        <w:t>残疾人福利性单位声明函及其相关的充分的证明材料（如有）</w:t>
      </w:r>
    </w:p>
    <w:p>
      <w:pPr>
        <w:pStyle w:val="13"/>
        <w:ind w:firstLine="883"/>
        <w:rPr>
          <w:rFonts w:ascii="宋体" w:hAnsi="宋体" w:eastAsia="宋体"/>
        </w:rPr>
      </w:pPr>
    </w:p>
    <w:p>
      <w:pPr>
        <w:snapToGrid w:val="0"/>
        <w:spacing w:line="360" w:lineRule="auto"/>
        <w:ind w:firstLine="602" w:firstLineChars="200"/>
        <w:jc w:val="center"/>
        <w:rPr>
          <w:rFonts w:ascii="宋体" w:hAnsi="宋体" w:cs="宋体"/>
          <w:b/>
          <w:kern w:val="0"/>
          <w:sz w:val="30"/>
          <w:szCs w:val="30"/>
        </w:rPr>
      </w:pPr>
      <w:r>
        <w:rPr>
          <w:rFonts w:hint="eastAsia" w:ascii="宋体" w:hAnsi="宋体" w:cs="宋体"/>
          <w:b/>
          <w:kern w:val="0"/>
          <w:sz w:val="30"/>
          <w:szCs w:val="30"/>
        </w:rPr>
        <w:t>残疾人福利性单位声明函</w:t>
      </w:r>
    </w:p>
    <w:p>
      <w:pPr>
        <w:snapToGrid w:val="0"/>
        <w:spacing w:line="360" w:lineRule="auto"/>
        <w:ind w:firstLine="422" w:firstLineChars="200"/>
        <w:rPr>
          <w:rFonts w:ascii="宋体" w:hAnsi="宋体" w:cs="宋体"/>
          <w:b/>
          <w:kern w:val="0"/>
          <w:szCs w:val="21"/>
        </w:rPr>
      </w:pPr>
    </w:p>
    <w:p>
      <w:pPr>
        <w:snapToGrid w:val="0"/>
        <w:spacing w:line="360" w:lineRule="auto"/>
        <w:ind w:firstLine="420" w:firstLineChars="200"/>
        <w:jc w:val="left"/>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line="360" w:lineRule="auto"/>
        <w:ind w:firstLine="420" w:firstLineChars="200"/>
        <w:rPr>
          <w:rFonts w:ascii="宋体" w:hAnsi="宋体" w:cs="宋体"/>
          <w:szCs w:val="21"/>
        </w:rPr>
      </w:pPr>
    </w:p>
    <w:p>
      <w:pPr>
        <w:tabs>
          <w:tab w:val="left" w:pos="4860"/>
        </w:tabs>
        <w:snapToGrid w:val="0"/>
        <w:spacing w:line="360" w:lineRule="auto"/>
        <w:ind w:right="1560" w:firstLine="420" w:firstLineChars="200"/>
        <w:jc w:val="left"/>
        <w:rPr>
          <w:rFonts w:ascii="宋体" w:hAnsi="宋体" w:cs="宋体"/>
          <w:szCs w:val="21"/>
        </w:rPr>
      </w:pPr>
      <w:r>
        <w:rPr>
          <w:rFonts w:hint="eastAsia" w:ascii="宋体" w:hAnsi="宋体" w:cs="宋体"/>
          <w:szCs w:val="21"/>
        </w:rPr>
        <w:t xml:space="preserve">       单位名称（盖章）：       日  期：</w:t>
      </w:r>
    </w:p>
    <w:p>
      <w:pPr>
        <w:snapToGrid w:val="0"/>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注：符合《关于促进残疾人就业政府采购政策的通知》（财库〔2017〕141号）规定的条件并提供《残疾人福利性单位声明函》的残疾人福利性单位视同小型、微型企业；</w:t>
      </w:r>
    </w:p>
    <w:p>
      <w:pPr>
        <w:rPr>
          <w:rFonts w:ascii="宋体" w:hAnsi="宋体" w:cs="宋体"/>
          <w:szCs w:val="21"/>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numPr>
          <w:ilvl w:val="0"/>
          <w:numId w:val="6"/>
        </w:numPr>
        <w:tabs>
          <w:tab w:val="clear" w:pos="706"/>
        </w:tabs>
        <w:rPr>
          <w:rFonts w:ascii="宋体" w:hAnsi="宋体" w:eastAsia="宋体" w:cs="宋体"/>
          <w:szCs w:val="21"/>
        </w:rPr>
        <w:sectPr>
          <w:headerReference r:id="rId4" w:type="default"/>
          <w:footerReference r:id="rId5" w:type="default"/>
          <w:pgSz w:w="11906" w:h="16838"/>
          <w:pgMar w:top="1440" w:right="1440" w:bottom="1440" w:left="1440" w:header="850" w:footer="992" w:gutter="0"/>
          <w:cols w:space="720" w:num="1"/>
          <w:docGrid w:type="lines" w:linePitch="312" w:charSpace="0"/>
        </w:sectPr>
      </w:pPr>
    </w:p>
    <w:p>
      <w:pPr>
        <w:pStyle w:val="25"/>
        <w:spacing w:line="420" w:lineRule="exact"/>
        <w:jc w:val="center"/>
        <w:rPr>
          <w:rFonts w:ascii="宋体" w:hAnsi="宋体"/>
        </w:rPr>
      </w:pPr>
      <w:r>
        <w:rPr>
          <w:rFonts w:hint="eastAsia"/>
          <w:b/>
          <w:sz w:val="32"/>
          <w:szCs w:val="32"/>
        </w:rPr>
        <w:t>三</w:t>
      </w:r>
      <w:r>
        <w:rPr>
          <w:b/>
          <w:sz w:val="32"/>
          <w:szCs w:val="32"/>
        </w:rPr>
        <w:t>、</w:t>
      </w:r>
      <w:r>
        <w:rPr>
          <w:rFonts w:hint="eastAsia" w:ascii="Arial" w:hAnsi="Arial" w:eastAsia="宋体" w:cs="Arial"/>
          <w:b/>
          <w:kern w:val="0"/>
          <w:sz w:val="32"/>
          <w:szCs w:val="32"/>
        </w:rPr>
        <w:t>联合体协议（如为联合体投标的，须提供）</w:t>
      </w:r>
    </w:p>
    <w:p>
      <w:pPr>
        <w:jc w:val="center"/>
        <w:rPr>
          <w:rFonts w:ascii="宋体" w:hAnsi="宋体" w:cs="宋体"/>
          <w:b/>
          <w:kern w:val="0"/>
          <w:sz w:val="32"/>
          <w:szCs w:val="32"/>
          <w:lang w:val="zh-CN"/>
        </w:rPr>
      </w:pPr>
      <w:r>
        <w:rPr>
          <w:rFonts w:hint="eastAsia" w:ascii="宋体" w:hAnsi="宋体" w:cs="宋体"/>
          <w:b/>
          <w:kern w:val="0"/>
          <w:sz w:val="32"/>
          <w:szCs w:val="32"/>
          <w:lang w:val="zh-CN"/>
        </w:rPr>
        <w:t>联合</w:t>
      </w:r>
      <w:r>
        <w:rPr>
          <w:rFonts w:hint="eastAsia" w:ascii="宋体" w:hAnsi="宋体" w:cs="宋体"/>
          <w:b/>
          <w:kern w:val="0"/>
          <w:sz w:val="32"/>
          <w:szCs w:val="32"/>
        </w:rPr>
        <w:t>体</w:t>
      </w:r>
      <w:r>
        <w:rPr>
          <w:rFonts w:hint="eastAsia" w:ascii="宋体" w:hAnsi="宋体" w:cs="宋体"/>
          <w:b/>
          <w:kern w:val="0"/>
          <w:sz w:val="32"/>
          <w:szCs w:val="32"/>
          <w:lang w:val="zh-CN"/>
        </w:rPr>
        <w:t>协议</w:t>
      </w:r>
    </w:p>
    <w:p>
      <w:pPr>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（项目名称）【招标编号：（采购编号）】标项：</w:t>
      </w:r>
      <w:r>
        <w:rPr>
          <w:rFonts w:hint="eastAsia" w:ascii="宋体" w:hAnsi="宋体" w:cs="宋体"/>
          <w:kern w:val="0"/>
          <w:szCs w:val="21"/>
          <w:lang w:val="zh-CN"/>
        </w:rPr>
        <w:t xml:space="preserve">投标。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四、</w:t>
      </w:r>
      <w:r>
        <w:rPr>
          <w:rFonts w:hint="eastAsia" w:ascii="宋体" w:hAnsi="宋体" w:cs="宋体"/>
          <w:kern w:val="0"/>
          <w:szCs w:val="21"/>
          <w:u w:val="single"/>
        </w:rPr>
        <w:t>（联合体其中一方成员名称）</w:t>
      </w:r>
      <w:r>
        <w:rPr>
          <w:rFonts w:hint="eastAsia" w:ascii="宋体" w:hAnsi="宋体" w:cs="宋体"/>
          <w:kern w:val="0"/>
          <w:szCs w:val="21"/>
        </w:rPr>
        <w:t>提供的全部服务由小微企业承接，其合同份额占到合同总金额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（未预留份额专门面向中小企业采购的的采购项目，以及预留份额中的非预留部分采购包，接受联合体投标的，联合体其中一方提供的</w:t>
      </w:r>
      <w:r>
        <w:rPr>
          <w:rFonts w:hint="eastAsia" w:ascii="宋体" w:hAnsi="宋体" w:cs="宋体"/>
          <w:b/>
          <w:kern w:val="0"/>
          <w:szCs w:val="21"/>
        </w:rPr>
        <w:t>服务</w:t>
      </w:r>
      <w:r>
        <w:rPr>
          <w:rFonts w:hint="eastAsia" w:ascii="宋体" w:hAnsi="宋体" w:cs="宋体"/>
          <w:b/>
          <w:kern w:val="0"/>
          <w:szCs w:val="21"/>
          <w:lang w:val="zh-CN"/>
        </w:rPr>
        <w:t>全部由小微企业</w:t>
      </w:r>
      <w:r>
        <w:rPr>
          <w:rFonts w:hint="eastAsia" w:ascii="宋体" w:hAnsi="宋体" w:cs="宋体"/>
          <w:b/>
          <w:kern w:val="0"/>
          <w:szCs w:val="21"/>
        </w:rPr>
        <w:t>承接</w:t>
      </w:r>
      <w:r>
        <w:rPr>
          <w:rFonts w:hint="eastAsia" w:ascii="宋体" w:hAnsi="宋体" w:cs="宋体"/>
          <w:b/>
          <w:kern w:val="0"/>
          <w:szCs w:val="21"/>
          <w:lang w:val="zh-CN"/>
        </w:rPr>
        <w:t>，且其合同份额占到合同总金额 30%以上，对联合体报价给予</w:t>
      </w:r>
      <w:r>
        <w:rPr>
          <w:rFonts w:hint="eastAsia" w:ascii="宋体" w:hAnsi="宋体" w:cs="宋体"/>
          <w:b/>
          <w:kern w:val="0"/>
          <w:szCs w:val="21"/>
        </w:rPr>
        <w:t>4</w:t>
      </w:r>
      <w:r>
        <w:rPr>
          <w:rFonts w:hint="eastAsia" w:ascii="宋体" w:hAnsi="宋体" w:cs="宋体"/>
          <w:b/>
          <w:kern w:val="0"/>
          <w:szCs w:val="21"/>
          <w:lang w:val="zh-CN"/>
        </w:rPr>
        <w:t>%的扣除）</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联合体成员名称(公章)：</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right="420"/>
        <w:rPr>
          <w:rFonts w:ascii="宋体" w:hAnsi="宋体" w:cs="宋体"/>
          <w:szCs w:val="21"/>
        </w:rPr>
      </w:pPr>
      <w:r>
        <w:rPr>
          <w:rFonts w:hint="eastAsia" w:ascii="宋体" w:hAnsi="宋体" w:cs="宋体"/>
          <w:szCs w:val="21"/>
        </w:rPr>
        <w:t>注：按本格式和要求提供。</w:t>
      </w:r>
    </w:p>
    <w:p>
      <w:pPr>
        <w:rPr>
          <w:b/>
          <w:bCs/>
          <w:lang w:val="zh-CN"/>
        </w:rPr>
      </w:pPr>
      <w:r>
        <w:rPr>
          <w:rFonts w:hint="eastAsia"/>
          <w:b/>
          <w:bCs/>
          <w:lang w:val="zh-CN"/>
        </w:rPr>
        <w:t>▲特别重要提示：供应商如为联合体投标应在制作投标响应文件前通过“政采云”平台自行组成联合体，如制作投标响应文件未通过“政采云”平台自行组成联合体的，将可能被视为投标无效。</w:t>
      </w:r>
    </w:p>
    <w:p>
      <w:pPr>
        <w:jc w:val="center"/>
        <w:rPr>
          <w:rFonts w:ascii="??" w:hAnsi="??" w:eastAsia="??" w:cs="宋体"/>
          <w:b/>
          <w:sz w:val="32"/>
          <w:szCs w:val="32"/>
        </w:rPr>
      </w:pPr>
    </w:p>
    <w:p>
      <w:pPr>
        <w:jc w:val="center"/>
      </w:pPr>
      <w:r>
        <w:rPr>
          <w:rFonts w:hint="eastAsia" w:ascii="??" w:hAnsi="??" w:eastAsia="??" w:cs="宋体"/>
          <w:b/>
          <w:sz w:val="32"/>
          <w:szCs w:val="32"/>
        </w:rPr>
        <w:t>四</w:t>
      </w:r>
      <w:r>
        <w:rPr>
          <w:rFonts w:hint="eastAsia"/>
          <w:b/>
          <w:sz w:val="32"/>
          <w:szCs w:val="32"/>
        </w:rPr>
        <w:t>、</w:t>
      </w:r>
      <w:r>
        <w:rPr>
          <w:b/>
          <w:sz w:val="32"/>
          <w:szCs w:val="32"/>
        </w:rPr>
        <w:t>符合特定资格条件的相关证明材料</w:t>
      </w:r>
      <w:r>
        <w:rPr>
          <w:rFonts w:hint="eastAsia"/>
          <w:b/>
          <w:sz w:val="32"/>
          <w:szCs w:val="32"/>
        </w:rPr>
        <w:t>（如有）</w:t>
      </w:r>
    </w:p>
    <w:p>
      <w:pPr>
        <w:snapToGrid w:val="0"/>
        <w:spacing w:before="50" w:after="50" w:line="360" w:lineRule="auto"/>
        <w:jc w:val="center"/>
        <w:rPr>
          <w:rFonts w:ascii="仿宋_GB2312" w:hAnsi="仿宋" w:eastAsia="仿宋_GB2312" w:cs="仿宋_GB2312"/>
          <w:b/>
          <w:kern w:val="0"/>
          <w:sz w:val="32"/>
          <w:szCs w:val="32"/>
        </w:rPr>
      </w:pPr>
    </w:p>
    <w:p>
      <w:pPr>
        <w:rPr>
          <w:rFonts w:ascii="Arial" w:hAnsi="Arial" w:cs="Arial"/>
          <w:szCs w:val="21"/>
        </w:rPr>
      </w:pPr>
      <w:r>
        <w:rPr>
          <w:rFonts w:ascii="Arial" w:hAnsi="Arial" w:cs="Arial"/>
          <w:szCs w:val="21"/>
        </w:rPr>
        <w:br w:type="page"/>
      </w:r>
    </w:p>
    <w:p>
      <w:pPr>
        <w:shd w:val="clear" w:color="auto" w:fill="FFFFFF"/>
        <w:adjustRightInd w:val="0"/>
        <w:snapToGrid w:val="0"/>
        <w:spacing w:line="360" w:lineRule="auto"/>
        <w:jc w:val="center"/>
        <w:outlineLvl w:val="1"/>
        <w:rPr>
          <w:rFonts w:ascii="宋体" w:hAnsi="宋体" w:cs="宋体"/>
          <w:b/>
          <w:kern w:val="36"/>
          <w:sz w:val="32"/>
          <w:szCs w:val="28"/>
        </w:rPr>
      </w:pPr>
      <w:bookmarkStart w:id="117" w:name="_Toc354996707"/>
      <w:bookmarkStart w:id="118" w:name="_Toc18112"/>
      <w:bookmarkStart w:id="119" w:name="_Toc31953"/>
      <w:bookmarkStart w:id="120" w:name="_Toc2547"/>
      <w:r>
        <w:rPr>
          <w:rFonts w:hint="eastAsia" w:ascii="宋体" w:hAnsi="宋体" w:cs="宋体"/>
          <w:b/>
          <w:kern w:val="36"/>
          <w:sz w:val="32"/>
          <w:szCs w:val="28"/>
        </w:rPr>
        <w:t>报价文件</w:t>
      </w:r>
      <w:bookmarkEnd w:id="117"/>
      <w:bookmarkEnd w:id="118"/>
      <w:bookmarkEnd w:id="119"/>
      <w:bookmarkEnd w:id="120"/>
    </w:p>
    <w:p>
      <w:pPr>
        <w:shd w:val="clear" w:color="auto" w:fill="FFFFFF"/>
        <w:adjustRightInd w:val="0"/>
        <w:snapToGrid w:val="0"/>
        <w:spacing w:line="360" w:lineRule="auto"/>
        <w:jc w:val="center"/>
        <w:rPr>
          <w:rFonts w:ascii="宋体" w:hAnsi="宋体" w:cs="宋体"/>
          <w:b/>
          <w:bCs/>
          <w:kern w:val="0"/>
          <w:sz w:val="24"/>
        </w:rPr>
      </w:pPr>
    </w:p>
    <w:p>
      <w:pPr>
        <w:shd w:val="clear" w:color="auto" w:fill="FFFFFF"/>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目录</w:t>
      </w: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（1）投标响应函…………………………………………………………………（页码）</w:t>
      </w: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（2）开标一览表…………………………………………………………………（页码）</w:t>
      </w: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（3）磋商价格组成明细表………………………………………………………（页码）</w:t>
      </w: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（4）交纳采购代理服务费承诺书………………………………………………（页码）</w:t>
      </w:r>
    </w:p>
    <w:p>
      <w:pPr>
        <w:pageBreakBefore/>
        <w:shd w:val="clear" w:color="auto" w:fill="FFFFFF"/>
        <w:adjustRightInd w:val="0"/>
        <w:snapToGrid w:val="0"/>
        <w:spacing w:line="360" w:lineRule="auto"/>
        <w:jc w:val="center"/>
        <w:outlineLvl w:val="2"/>
        <w:rPr>
          <w:rFonts w:ascii="宋体" w:hAnsi="宋体" w:cs="宋体"/>
          <w:b/>
          <w:bCs/>
          <w:sz w:val="24"/>
        </w:rPr>
      </w:pPr>
      <w:bookmarkStart w:id="121" w:name="_Toc233618990"/>
      <w:r>
        <w:rPr>
          <w:rFonts w:hint="eastAsia" w:ascii="宋体" w:hAnsi="宋体" w:cs="宋体"/>
          <w:b/>
          <w:bCs/>
          <w:kern w:val="0"/>
          <w:sz w:val="24"/>
        </w:rPr>
        <w:t>一、投标响应</w:t>
      </w:r>
      <w:r>
        <w:rPr>
          <w:rFonts w:hint="eastAsia" w:ascii="宋体" w:hAnsi="宋体" w:cs="宋体"/>
          <w:b/>
          <w:bCs/>
          <w:sz w:val="24"/>
        </w:rPr>
        <w:t>函</w:t>
      </w:r>
      <w:bookmarkEnd w:id="121"/>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浙江工商大学、浙江豪圣建设项目管理有限公司：</w:t>
      </w:r>
    </w:p>
    <w:p>
      <w:pPr>
        <w:shd w:val="clear" w:color="auto" w:fill="FFFFFF"/>
        <w:adjustRightInd w:val="0"/>
        <w:snapToGrid w:val="0"/>
        <w:spacing w:line="360" w:lineRule="auto"/>
        <w:rPr>
          <w:rFonts w:ascii="宋体" w:hAnsi="宋体" w:cs="宋体"/>
          <w:szCs w:val="21"/>
        </w:rPr>
      </w:pPr>
      <w:r>
        <w:rPr>
          <w:rFonts w:hint="eastAsia" w:ascii="宋体" w:hAnsi="宋体" w:cs="宋体"/>
          <w:kern w:val="0"/>
          <w:szCs w:val="21"/>
          <w:lang w:val="zh-CN"/>
        </w:rPr>
        <w:t xml:space="preserve">    </w:t>
      </w:r>
      <w:r>
        <w:rPr>
          <w:rFonts w:hint="eastAsia" w:ascii="宋体" w:hAnsi="宋体" w:cs="宋体"/>
          <w:kern w:val="0"/>
          <w:szCs w:val="21"/>
          <w:u w:val="single"/>
          <w:lang w:val="zh-CN"/>
        </w:rPr>
        <w:t xml:space="preserve">                                   </w:t>
      </w:r>
      <w:r>
        <w:rPr>
          <w:rFonts w:hint="eastAsia" w:ascii="宋体" w:hAnsi="宋体" w:cs="宋体"/>
          <w:szCs w:val="21"/>
        </w:rPr>
        <w:t>(投标供应商全称)授权</w:t>
      </w:r>
      <w:r>
        <w:rPr>
          <w:rFonts w:hint="eastAsia" w:ascii="宋体" w:hAnsi="宋体" w:cs="宋体"/>
          <w:kern w:val="0"/>
          <w:szCs w:val="21"/>
          <w:u w:val="single"/>
          <w:lang w:val="zh-CN"/>
        </w:rPr>
        <w:t xml:space="preserve">          </w:t>
      </w:r>
      <w:r>
        <w:rPr>
          <w:rFonts w:hint="eastAsia" w:ascii="宋体" w:hAnsi="宋体" w:cs="宋体"/>
          <w:szCs w:val="21"/>
        </w:rPr>
        <w:t>(全权代表姓名)</w:t>
      </w:r>
      <w:r>
        <w:rPr>
          <w:rFonts w:hint="eastAsia" w:ascii="宋体" w:hAnsi="宋体" w:cs="宋体"/>
          <w:kern w:val="0"/>
          <w:szCs w:val="21"/>
          <w:u w:val="single"/>
          <w:lang w:val="zh-CN"/>
        </w:rPr>
        <w:t xml:space="preserve">              </w:t>
      </w:r>
      <w:r>
        <w:rPr>
          <w:rFonts w:hint="eastAsia" w:ascii="宋体" w:hAnsi="宋体" w:cs="宋体"/>
          <w:szCs w:val="21"/>
        </w:rPr>
        <w:t>(职务、职称)为全权代表，参加贵方组织的</w:t>
      </w:r>
      <w:r>
        <w:rPr>
          <w:rFonts w:hint="eastAsia" w:ascii="宋体" w:hAnsi="宋体" w:cs="宋体"/>
          <w:szCs w:val="21"/>
          <w:lang w:eastAsia="zh-CN"/>
        </w:rPr>
        <w:t>浙江工商大学2024级新生开学典礼和2024届学生毕业典礼策划执行及舞美设备租赁服务项目（重新招标）</w:t>
      </w:r>
      <w:r>
        <w:rPr>
          <w:rFonts w:hint="eastAsia" w:ascii="宋体" w:hAnsi="宋体" w:cs="宋体"/>
          <w:szCs w:val="21"/>
        </w:rPr>
        <w:t>(招标编号：</w:t>
      </w:r>
      <w:r>
        <w:rPr>
          <w:rFonts w:hint="default" w:ascii="宋体" w:hAnsi="宋体" w:cs="宋体"/>
          <w:szCs w:val="21"/>
        </w:rPr>
        <w:t>HSZB-2024-335-1</w:t>
      </w:r>
      <w:r>
        <w:rPr>
          <w:rFonts w:hint="eastAsia" w:ascii="宋体" w:hAnsi="宋体" w:cs="宋体"/>
          <w:kern w:val="0"/>
          <w:szCs w:val="21"/>
          <w:lang w:val="zh-CN"/>
        </w:rPr>
        <w:t>)</w:t>
      </w:r>
      <w:r>
        <w:rPr>
          <w:rFonts w:hint="eastAsia" w:ascii="宋体" w:hAnsi="宋体" w:cs="宋体"/>
          <w:szCs w:val="21"/>
        </w:rPr>
        <w:t>招标的有关活动，并对此项目进行磋商。为此：</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1、我方同意在供应商</w:t>
      </w:r>
      <w:r>
        <w:rPr>
          <w:rFonts w:hint="eastAsia" w:ascii="宋体" w:hAnsi="宋体" w:cs="宋体"/>
          <w:kern w:val="44"/>
          <w:szCs w:val="21"/>
        </w:rPr>
        <w:t>编制和提交磋商响应文件须知</w:t>
      </w:r>
      <w:r>
        <w:rPr>
          <w:rFonts w:hint="eastAsia" w:ascii="宋体" w:hAnsi="宋体" w:cs="宋体"/>
          <w:szCs w:val="21"/>
        </w:rPr>
        <w:t>规定的开标日期起遵守本标书中的承诺且在投标有效期满之前均具有约束力。</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2、我方承诺已经具备《中华人民共和国政府采购法》中规定的参加政府采购活动的供应商应当具备的条件：</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(2)遵守国家法律、行政法规，具有良好的信誉和商业道德。</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(3)具有履行合同的能力和良好的履行合同记录。</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(4)良好的资金、财务状况。</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(5)提供的产品和服务符合中国政府规定的相应标准和环保标准。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(6)没有违反政府采购法规、政策的记录。</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(7)没有发生重大经济纠纷和走私犯罪记录。</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3、提供</w:t>
      </w:r>
      <w:r>
        <w:rPr>
          <w:rFonts w:hint="eastAsia" w:ascii="宋体" w:hAnsi="宋体" w:cs="宋体"/>
          <w:kern w:val="44"/>
          <w:szCs w:val="21"/>
        </w:rPr>
        <w:t>编制和提交磋商响应文件须知</w:t>
      </w:r>
      <w:r>
        <w:rPr>
          <w:rFonts w:hint="eastAsia" w:ascii="宋体" w:hAnsi="宋体" w:cs="宋体"/>
          <w:szCs w:val="21"/>
        </w:rPr>
        <w:t>规定的全部磋商响应文件，包括资格文件、报价文件、商务技术文件。具体内容为：</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(1)资格文件。</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(2)报价文件。</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商务</w:t>
      </w:r>
      <w:r>
        <w:rPr>
          <w:rFonts w:hint="eastAsia" w:ascii="宋体" w:hAnsi="宋体" w:cs="宋体"/>
          <w:kern w:val="0"/>
          <w:szCs w:val="21"/>
          <w:lang w:val="zh-CN"/>
        </w:rPr>
        <w:t>技术文件</w:t>
      </w:r>
      <w:r>
        <w:rPr>
          <w:rFonts w:hint="eastAsia" w:ascii="宋体" w:hAnsi="宋体" w:cs="宋体"/>
          <w:szCs w:val="21"/>
        </w:rPr>
        <w:t>。</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kern w:val="44"/>
          <w:szCs w:val="21"/>
        </w:rPr>
        <w:t>编制和提交磋商响应文件须知</w:t>
      </w:r>
      <w:r>
        <w:rPr>
          <w:rFonts w:hint="eastAsia" w:ascii="宋体" w:hAnsi="宋体" w:cs="宋体"/>
          <w:szCs w:val="21"/>
        </w:rPr>
        <w:t>要求供应商提交的全部文件。</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(5)按采购文件要求提供和交付的货物和服务的报价详见开标一览表。</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(6)保证忠实地执行双方所签订的合同，并承担合同规定的责任和义务。</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(7)保证遵守采购文件中的其他有关规定。</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4、投标有效期内不撤销响应文件。强行撤销的，承诺按本项目预算金额的2%赔偿对招标代理机构造成的损失。</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5、我方完全理解贵方不一定要接受最低价的投标。</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6、我方愿意向贵方提供任何与该项投标有关的数据、情况和服务资料。若贵方需要，我方愿意提供我方作出的一切承诺的证明材料。</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7、我方已详细审核全部采购文件，包括采购文件修改书（如有的话）、参考资料及有关附件，确认无误。我方完全理解并接受采购文件的各项规定和要求，对采购文件的合理性、合法性不再有异议。</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(1)提供虚假材料谋取成交、成交的。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(2)采取不正当手段诋毁、排挤其他供应商的。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(3)与采购人、其它供应商或者招标代理机构恶意串通的。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(4)向采购人、招标代理机构行贿或者提供其他不正当利益的。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(5)在招标采购过程中与采购人进行协商谈判的。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(6)拒绝有关部门监督检查或提供虚假情况的。</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供应商有前款第(1)至(5)项情形之一的，成交、成交无效。</w:t>
      </w:r>
    </w:p>
    <w:p>
      <w:pPr>
        <w:shd w:val="clear" w:color="auto" w:fill="FFFFFF"/>
        <w:adjustRightInd w:val="0"/>
        <w:snapToGrid w:val="0"/>
        <w:spacing w:line="360" w:lineRule="auto"/>
        <w:ind w:left="420" w:leftChars="200"/>
        <w:rPr>
          <w:rFonts w:ascii="宋体" w:hAnsi="宋体" w:cs="宋体"/>
          <w:kern w:val="0"/>
          <w:szCs w:val="21"/>
          <w:lang w:val="zh-CN"/>
        </w:rPr>
      </w:pPr>
    </w:p>
    <w:p>
      <w:pPr>
        <w:shd w:val="clear" w:color="auto" w:fill="FFFFFF"/>
        <w:adjustRightInd w:val="0"/>
        <w:snapToGrid w:val="0"/>
        <w:spacing w:line="360" w:lineRule="auto"/>
        <w:ind w:left="420" w:leftChars="200"/>
        <w:rPr>
          <w:rFonts w:ascii="宋体" w:hAnsi="宋体" w:cs="宋体"/>
          <w:kern w:val="0"/>
          <w:szCs w:val="21"/>
          <w:lang w:val="zh-CN"/>
        </w:rPr>
      </w:pPr>
    </w:p>
    <w:p>
      <w:pPr>
        <w:shd w:val="clear" w:color="auto" w:fill="FFFFFF"/>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ab/>
      </w:r>
    </w:p>
    <w:p>
      <w:pPr>
        <w:shd w:val="clear" w:color="auto" w:fill="FFFFFF"/>
        <w:adjustRightInd w:val="0"/>
        <w:snapToGri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rPr>
        <w:t>投标供应商公</w:t>
      </w:r>
      <w:r>
        <w:rPr>
          <w:rFonts w:hint="eastAsia" w:ascii="宋体" w:hAnsi="宋体" w:cs="宋体"/>
          <w:kern w:val="0"/>
          <w:szCs w:val="21"/>
          <w:lang w:val="zh-CN"/>
        </w:rPr>
        <w:t>章：</w:t>
      </w:r>
      <w:r>
        <w:rPr>
          <w:rFonts w:hint="eastAsia" w:ascii="宋体" w:hAnsi="宋体" w:cs="宋体"/>
          <w:kern w:val="0"/>
          <w:szCs w:val="21"/>
          <w:u w:val="single"/>
          <w:lang w:val="zh-CN"/>
        </w:rPr>
        <w:t xml:space="preserve">                     </w:t>
      </w:r>
      <w:r>
        <w:rPr>
          <w:rFonts w:hint="eastAsia" w:ascii="宋体" w:hAnsi="宋体" w:cs="宋体"/>
          <w:kern w:val="0"/>
          <w:szCs w:val="21"/>
        </w:rPr>
        <w:tab/>
      </w:r>
      <w:r>
        <w:rPr>
          <w:rFonts w:hint="eastAsia" w:ascii="宋体" w:hAnsi="宋体" w:cs="宋体"/>
          <w:kern w:val="0"/>
          <w:szCs w:val="21"/>
          <w:u w:val="single"/>
          <w:lang w:val="zh-CN"/>
        </w:rPr>
        <w:t xml:space="preserve">                      </w:t>
      </w:r>
    </w:p>
    <w:p>
      <w:pPr>
        <w:shd w:val="clear" w:color="auto" w:fill="FFFFFF"/>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 xml:space="preserve">联系电话： </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传真：  </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电子邮件：  </w:t>
      </w:r>
      <w:r>
        <w:rPr>
          <w:rFonts w:hint="eastAsia" w:ascii="宋体" w:hAnsi="宋体" w:cs="宋体"/>
          <w:kern w:val="0"/>
          <w:szCs w:val="21"/>
          <w:u w:val="single"/>
          <w:lang w:val="zh-CN"/>
        </w:rPr>
        <w:t xml:space="preserve">              </w:t>
      </w:r>
    </w:p>
    <w:p>
      <w:pPr>
        <w:shd w:val="clear" w:color="auto" w:fill="FFFFFF"/>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联系地址：</w:t>
      </w:r>
      <w:r>
        <w:rPr>
          <w:rFonts w:hint="eastAsia" w:ascii="宋体" w:hAnsi="宋体" w:cs="宋体"/>
          <w:kern w:val="0"/>
          <w:szCs w:val="21"/>
          <w:u w:val="single"/>
          <w:lang w:val="zh-CN"/>
        </w:rPr>
        <w:t xml:space="preserve">                    </w:t>
      </w:r>
      <w:r>
        <w:rPr>
          <w:rFonts w:hint="eastAsia" w:ascii="宋体" w:hAnsi="宋体" w:cs="宋体"/>
          <w:kern w:val="0"/>
          <w:szCs w:val="21"/>
        </w:rPr>
        <w:tab/>
      </w:r>
      <w:r>
        <w:rPr>
          <w:rFonts w:hint="eastAsia" w:ascii="宋体" w:hAnsi="宋体" w:cs="宋体"/>
          <w:kern w:val="0"/>
          <w:szCs w:val="21"/>
          <w:u w:val="single"/>
          <w:lang w:val="zh-CN"/>
        </w:rPr>
        <w:t xml:space="preserve">                                                    </w:t>
      </w:r>
    </w:p>
    <w:p>
      <w:pPr>
        <w:shd w:val="clear" w:color="auto" w:fill="FFFFFF"/>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zh-CN"/>
        </w:rPr>
        <w:t>邮政编码：</w:t>
      </w:r>
      <w:r>
        <w:rPr>
          <w:rFonts w:hint="eastAsia" w:ascii="宋体" w:hAnsi="宋体" w:cs="宋体"/>
          <w:kern w:val="0"/>
          <w:szCs w:val="21"/>
          <w:u w:val="single"/>
          <w:lang w:val="zh-CN"/>
        </w:rPr>
        <w:t xml:space="preserve">                     </w:t>
      </w:r>
      <w:r>
        <w:rPr>
          <w:rFonts w:hint="eastAsia" w:ascii="宋体" w:hAnsi="宋体" w:cs="宋体"/>
          <w:kern w:val="0"/>
          <w:szCs w:val="21"/>
          <w:lang w:val="zh-CN"/>
        </w:rPr>
        <w:t>传真号码：</w:t>
      </w:r>
      <w:r>
        <w:rPr>
          <w:rFonts w:hint="eastAsia" w:ascii="宋体" w:hAnsi="宋体" w:cs="宋体"/>
          <w:kern w:val="0"/>
          <w:szCs w:val="21"/>
          <w:u w:val="single"/>
          <w:lang w:val="zh-CN"/>
        </w:rPr>
        <w:t xml:space="preserve">                     </w:t>
      </w:r>
    </w:p>
    <w:p>
      <w:pPr>
        <w:shd w:val="clear" w:color="auto" w:fill="FFFFFF"/>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lang w:val="zh-CN"/>
        </w:rPr>
        <w:t>日</w:t>
      </w:r>
      <w:r>
        <w:rPr>
          <w:rFonts w:hint="eastAsia" w:ascii="宋体" w:hAnsi="宋体" w:cs="宋体"/>
          <w:kern w:val="0"/>
          <w:szCs w:val="21"/>
        </w:rPr>
        <w:t xml:space="preserve">    </w:t>
      </w:r>
      <w:r>
        <w:rPr>
          <w:rFonts w:hint="eastAsia" w:ascii="宋体" w:hAnsi="宋体" w:cs="宋体"/>
          <w:kern w:val="0"/>
          <w:szCs w:val="21"/>
          <w:lang w:val="zh-CN"/>
        </w:rPr>
        <w:t>期</w:t>
      </w: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lang w:val="zh-CN"/>
        </w:rPr>
        <w:t>年</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lang w:val="zh-CN"/>
        </w:rPr>
        <w:t>月</w:t>
      </w:r>
      <w:r>
        <w:rPr>
          <w:rFonts w:hint="eastAsia" w:ascii="宋体" w:hAnsi="宋体" w:cs="宋体"/>
          <w:kern w:val="0"/>
          <w:szCs w:val="21"/>
          <w:u w:val="single"/>
          <w:lang w:val="zh-CN"/>
        </w:rPr>
        <w:t xml:space="preserve">    </w:t>
      </w:r>
      <w:r>
        <w:rPr>
          <w:rFonts w:hint="eastAsia" w:ascii="宋体" w:hAnsi="宋体" w:cs="宋体"/>
          <w:kern w:val="0"/>
          <w:szCs w:val="21"/>
          <w:lang w:val="zh-CN"/>
        </w:rPr>
        <w:t>日</w:t>
      </w:r>
    </w:p>
    <w:p>
      <w:pPr>
        <w:shd w:val="clear" w:color="auto" w:fill="FFFFFF"/>
        <w:adjustRightInd w:val="0"/>
        <w:snapToGrid w:val="0"/>
        <w:spacing w:line="360" w:lineRule="auto"/>
        <w:rPr>
          <w:rFonts w:ascii="宋体" w:hAnsi="宋体" w:cs="宋体"/>
          <w:b/>
          <w:bCs/>
          <w:kern w:val="0"/>
          <w:szCs w:val="21"/>
          <w:lang w:val="zh-CN"/>
        </w:rPr>
      </w:pPr>
      <w:r>
        <w:rPr>
          <w:rFonts w:hint="eastAsia" w:ascii="宋体" w:hAnsi="宋体" w:cs="宋体"/>
          <w:b/>
          <w:bCs/>
          <w:kern w:val="0"/>
          <w:szCs w:val="21"/>
          <w:lang w:val="zh-CN"/>
        </w:rPr>
        <w:t>注：未按照本</w:t>
      </w:r>
      <w:r>
        <w:rPr>
          <w:rFonts w:hint="eastAsia" w:ascii="宋体" w:hAnsi="宋体" w:cs="宋体"/>
          <w:b/>
          <w:bCs/>
          <w:kern w:val="0"/>
          <w:szCs w:val="21"/>
        </w:rPr>
        <w:t>项目</w:t>
      </w:r>
      <w:r>
        <w:rPr>
          <w:rFonts w:hint="eastAsia" w:ascii="宋体" w:hAnsi="宋体" w:cs="宋体"/>
          <w:b/>
          <w:bCs/>
          <w:kern w:val="0"/>
          <w:szCs w:val="21"/>
          <w:lang w:val="zh-CN"/>
        </w:rPr>
        <w:t>响应函要求填报的将被视为非实质性响应，从而可能导致该磋商响应文件被拒绝。</w:t>
      </w:r>
    </w:p>
    <w:p>
      <w:pPr>
        <w:pStyle w:val="58"/>
        <w:rPr>
          <w:rFonts w:ascii="宋体" w:hAnsi="宋体" w:eastAsia="宋体" w:cs="宋体"/>
          <w:b/>
          <w:bCs/>
          <w:color w:val="auto"/>
          <w:sz w:val="21"/>
          <w:szCs w:val="21"/>
          <w:lang w:val="zh-CN"/>
        </w:rPr>
      </w:pPr>
    </w:p>
    <w:p>
      <w:pPr>
        <w:pageBreakBefore/>
        <w:shd w:val="clear" w:color="auto" w:fill="FFFFFF"/>
        <w:adjustRightInd w:val="0"/>
        <w:snapToGrid w:val="0"/>
        <w:spacing w:line="360" w:lineRule="auto"/>
        <w:jc w:val="center"/>
        <w:outlineLvl w:val="2"/>
        <w:rPr>
          <w:rFonts w:ascii="宋体" w:hAnsi="宋体" w:cs="宋体"/>
          <w:b/>
          <w:sz w:val="28"/>
          <w:szCs w:val="28"/>
        </w:rPr>
      </w:pPr>
      <w:r>
        <w:rPr>
          <w:rFonts w:hint="eastAsia" w:ascii="宋体" w:hAnsi="宋体" w:cs="宋体"/>
          <w:b/>
          <w:sz w:val="28"/>
          <w:szCs w:val="28"/>
        </w:rPr>
        <w:t>二、开标一览表</w:t>
      </w:r>
    </w:p>
    <w:p>
      <w:pPr>
        <w:shd w:val="clear" w:color="auto" w:fill="FFFFFF"/>
        <w:adjustRightInd w:val="0"/>
        <w:snapToGrid w:val="0"/>
        <w:spacing w:line="360" w:lineRule="auto"/>
        <w:rPr>
          <w:rFonts w:ascii="宋体" w:hAnsi="宋体" w:cs="宋体"/>
          <w:szCs w:val="21"/>
        </w:rPr>
      </w:pPr>
    </w:p>
    <w:p>
      <w:pPr>
        <w:shd w:val="clear" w:color="auto" w:fill="FFFFFF"/>
        <w:adjustRightInd w:val="0"/>
        <w:snapToGrid w:val="0"/>
        <w:spacing w:line="360" w:lineRule="auto"/>
        <w:rPr>
          <w:rFonts w:ascii="宋体" w:hAnsi="宋体" w:cs="宋体"/>
          <w:b/>
          <w:bCs/>
          <w:szCs w:val="21"/>
        </w:rPr>
      </w:pPr>
      <w:r>
        <w:rPr>
          <w:rFonts w:hint="eastAsia" w:ascii="宋体" w:hAnsi="宋体" w:cs="宋体"/>
          <w:szCs w:val="21"/>
        </w:rPr>
        <w:t>浙江工商大学、浙江豪圣建设项目管理有限公司：</w:t>
      </w:r>
    </w:p>
    <w:p>
      <w:pPr>
        <w:pStyle w:val="59"/>
        <w:spacing w:line="360" w:lineRule="auto"/>
        <w:ind w:left="0" w:firstLine="420" w:firstLineChars="200"/>
        <w:rPr>
          <w:rFonts w:ascii="宋体" w:hAnsi="宋体" w:cs="宋体"/>
          <w:szCs w:val="21"/>
          <w:lang w:val="zh-CN"/>
        </w:rPr>
      </w:pPr>
      <w:r>
        <w:rPr>
          <w:rFonts w:hint="eastAsia" w:ascii="宋体" w:hAnsi="宋体" w:cs="宋体"/>
          <w:szCs w:val="21"/>
          <w:lang w:val="zh-CN"/>
        </w:rPr>
        <w:t>按你方磋商文件要求，本磋商响</w:t>
      </w:r>
      <w:r>
        <w:rPr>
          <w:rFonts w:hint="eastAsia" w:ascii="宋体" w:hAnsi="宋体" w:cs="宋体"/>
          <w:szCs w:val="21"/>
        </w:rPr>
        <w:t>应</w:t>
      </w:r>
      <w:r>
        <w:rPr>
          <w:rFonts w:hint="eastAsia" w:ascii="宋体" w:hAnsi="宋体" w:cs="宋体"/>
          <w:szCs w:val="21"/>
          <w:lang w:val="zh-CN"/>
        </w:rPr>
        <w:t>方，谨此向你方发出要约如下：如你方接受本磋商响应文件，我方承诺按照如下开标一览表的价格完成编号为</w:t>
      </w:r>
      <w:r>
        <w:rPr>
          <w:rFonts w:hint="default" w:ascii="宋体" w:hAnsi="宋体" w:cs="宋体"/>
          <w:szCs w:val="21"/>
        </w:rPr>
        <w:t>HSZB-2024-335-1</w:t>
      </w:r>
      <w:r>
        <w:rPr>
          <w:rFonts w:hint="eastAsia" w:ascii="宋体" w:hAnsi="宋体" w:cs="宋体"/>
          <w:szCs w:val="21"/>
          <w:lang w:val="zh-CN"/>
        </w:rPr>
        <w:t>的磋商文件[项目名称浙江工商大学2024级新生开学典礼和2024届学生毕业典礼策划执行及舞美设备租赁服务项目（重新招标）</w:t>
      </w:r>
      <w:r>
        <w:rPr>
          <w:rFonts w:hint="eastAsia" w:ascii="宋体" w:hAnsi="宋体" w:cs="宋体"/>
          <w:szCs w:val="21"/>
        </w:rPr>
        <w:t>]</w:t>
      </w:r>
      <w:r>
        <w:rPr>
          <w:rFonts w:hint="eastAsia" w:ascii="宋体" w:hAnsi="宋体" w:cs="宋体"/>
          <w:szCs w:val="21"/>
          <w:lang w:val="zh-CN"/>
        </w:rPr>
        <w:t>实施。</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4655"/>
        <w:gridCol w:w="235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80" w:type="pct"/>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序号</w:t>
            </w:r>
          </w:p>
        </w:tc>
        <w:tc>
          <w:tcPr>
            <w:tcW w:w="2569" w:type="pct"/>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项目名称</w:t>
            </w:r>
          </w:p>
        </w:tc>
        <w:tc>
          <w:tcPr>
            <w:tcW w:w="1301" w:type="pct"/>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投标报价（元）</w:t>
            </w:r>
          </w:p>
        </w:tc>
        <w:tc>
          <w:tcPr>
            <w:tcW w:w="548" w:type="pct"/>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80" w:type="pct"/>
            <w:vAlign w:val="center"/>
          </w:tcPr>
          <w:p>
            <w:pPr>
              <w:spacing w:line="360" w:lineRule="auto"/>
              <w:jc w:val="center"/>
              <w:rPr>
                <w:rFonts w:ascii="宋体" w:hAnsi="宋体" w:cs="宋体"/>
                <w:kern w:val="0"/>
                <w:szCs w:val="21"/>
                <w:lang w:val="zh-CN"/>
              </w:rPr>
            </w:pPr>
            <w:r>
              <w:rPr>
                <w:rFonts w:hint="eastAsia" w:ascii="宋体" w:hAnsi="宋体" w:cs="宋体"/>
                <w:kern w:val="0"/>
                <w:szCs w:val="21"/>
                <w:lang w:val="zh-CN"/>
              </w:rPr>
              <w:t>1</w:t>
            </w:r>
          </w:p>
        </w:tc>
        <w:tc>
          <w:tcPr>
            <w:tcW w:w="2569" w:type="pct"/>
            <w:vAlign w:val="center"/>
          </w:tcPr>
          <w:p>
            <w:pPr>
              <w:autoSpaceDE w:val="0"/>
              <w:autoSpaceDN w:val="0"/>
              <w:adjustRightInd w:val="0"/>
              <w:snapToGrid w:val="0"/>
              <w:spacing w:line="300" w:lineRule="auto"/>
              <w:jc w:val="center"/>
              <w:textAlignment w:val="bottom"/>
              <w:rPr>
                <w:rFonts w:ascii="宋体" w:hAnsi="宋体" w:cs="宋体"/>
                <w:kern w:val="0"/>
                <w:szCs w:val="21"/>
                <w:lang w:val="zh-CN"/>
              </w:rPr>
            </w:pPr>
            <w:r>
              <w:rPr>
                <w:rFonts w:hint="eastAsia" w:ascii="宋体" w:hAnsi="宋体" w:cs="宋体"/>
                <w:kern w:val="0"/>
                <w:szCs w:val="21"/>
                <w:lang w:val="zh-CN"/>
              </w:rPr>
              <w:t>浙江工商大学2024级新生开学典礼和2024届学生毕业典礼策划执行及舞美设备租赁服务项目（重新招标）</w:t>
            </w:r>
          </w:p>
        </w:tc>
        <w:tc>
          <w:tcPr>
            <w:tcW w:w="1301" w:type="pct"/>
            <w:vAlign w:val="center"/>
          </w:tcPr>
          <w:p>
            <w:pPr>
              <w:jc w:val="center"/>
              <w:rPr>
                <w:rFonts w:ascii="宋体" w:hAnsi="宋体" w:cs="宋体"/>
                <w:kern w:val="0"/>
                <w:szCs w:val="21"/>
                <w:lang w:val="zh-CN"/>
              </w:rPr>
            </w:pPr>
          </w:p>
        </w:tc>
        <w:tc>
          <w:tcPr>
            <w:tcW w:w="548" w:type="pct"/>
            <w:vAlign w:val="center"/>
          </w:tcPr>
          <w:p>
            <w:pPr>
              <w:jc w:val="center"/>
              <w:rPr>
                <w:rFonts w:ascii="宋体" w:hAnsi="宋体" w:cs="宋体"/>
                <w:kern w:val="0"/>
                <w:szCs w:val="21"/>
                <w:lang w:val="zh-CN"/>
              </w:rPr>
            </w:pPr>
          </w:p>
        </w:tc>
      </w:tr>
    </w:tbl>
    <w:p>
      <w:pPr>
        <w:snapToGrid w:val="0"/>
        <w:spacing w:before="50" w:after="50" w:line="360" w:lineRule="exact"/>
        <w:jc w:val="left"/>
        <w:rPr>
          <w:rFonts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2、以上报价应与“投标费用明细表”中的“合计”数相一致。</w:t>
      </w:r>
    </w:p>
    <w:p>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3、</w:t>
      </w:r>
      <w:r>
        <w:rPr>
          <w:rFonts w:hint="eastAsia"/>
          <w:color w:val="000000"/>
          <w:szCs w:val="21"/>
        </w:rPr>
        <w:t>.</w:t>
      </w:r>
      <w:r>
        <w:rPr>
          <w:szCs w:val="21"/>
          <w:lang w:val="zh-CN"/>
        </w:rPr>
        <w:t>报价总价包含</w:t>
      </w:r>
      <w:r>
        <w:rPr>
          <w:szCs w:val="21"/>
        </w:rPr>
        <w:t>浙江工商大学202</w:t>
      </w:r>
      <w:r>
        <w:rPr>
          <w:rFonts w:hint="eastAsia"/>
          <w:szCs w:val="21"/>
        </w:rPr>
        <w:t>4</w:t>
      </w:r>
      <w:r>
        <w:rPr>
          <w:szCs w:val="21"/>
        </w:rPr>
        <w:t>级新生开学典礼和202</w:t>
      </w:r>
      <w:r>
        <w:rPr>
          <w:rFonts w:hint="eastAsia"/>
          <w:szCs w:val="21"/>
        </w:rPr>
        <w:t>4</w:t>
      </w:r>
      <w:r>
        <w:rPr>
          <w:szCs w:val="21"/>
        </w:rPr>
        <w:t>届学生毕业典礼策划执行及舞美设备租赁服务</w:t>
      </w:r>
      <w:r>
        <w:rPr>
          <w:bCs/>
          <w:color w:val="000000"/>
          <w:kern w:val="0"/>
          <w:szCs w:val="21"/>
        </w:rPr>
        <w:t>全流程服务</w:t>
      </w:r>
      <w:r>
        <w:rPr>
          <w:szCs w:val="21"/>
          <w:lang w:val="zh-CN"/>
        </w:rPr>
        <w:t>达到预期使用效果所需的一切费用</w:t>
      </w:r>
    </w:p>
    <w:p>
      <w:pPr>
        <w:shd w:val="clear" w:color="auto" w:fill="FFFFFF"/>
        <w:adjustRightInd w:val="0"/>
        <w:snapToGrid w:val="0"/>
        <w:spacing w:line="360" w:lineRule="auto"/>
        <w:rPr>
          <w:rFonts w:ascii="宋体" w:hAnsi="宋体" w:cs="宋体"/>
          <w:kern w:val="0"/>
          <w:szCs w:val="21"/>
        </w:rPr>
      </w:pP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供应商名称（公章）:</w:t>
      </w:r>
      <w:r>
        <w:rPr>
          <w:rFonts w:hint="eastAsia" w:ascii="宋体" w:hAnsi="宋体" w:cs="宋体"/>
          <w:kern w:val="0"/>
          <w:szCs w:val="21"/>
          <w:u w:val="single"/>
          <w:lang w:val="zh-CN"/>
        </w:rPr>
        <w:t xml:space="preserve">                </w:t>
      </w:r>
    </w:p>
    <w:p>
      <w:pPr>
        <w:rPr>
          <w:lang w:val="zh-CN"/>
        </w:rPr>
      </w:pPr>
      <w:r>
        <w:rPr>
          <w:rFonts w:hint="eastAsia" w:ascii="宋体" w:hAnsi="宋体" w:cs="宋体"/>
          <w:kern w:val="0"/>
          <w:szCs w:val="21"/>
          <w:lang w:val="zh-CN"/>
        </w:rPr>
        <w:t>日期：</w:t>
      </w:r>
      <w:r>
        <w:rPr>
          <w:rFonts w:hint="eastAsia" w:ascii="宋体" w:hAnsi="宋体" w:cs="宋体"/>
          <w:kern w:val="0"/>
          <w:szCs w:val="21"/>
          <w:u w:val="single"/>
          <w:lang w:val="zh-CN"/>
        </w:rPr>
        <w:t xml:space="preserve">                </w:t>
      </w:r>
    </w:p>
    <w:p>
      <w:pPr>
        <w:pStyle w:val="58"/>
        <w:rPr>
          <w:color w:val="auto"/>
          <w:lang w:val="zh-CN"/>
        </w:rPr>
      </w:pPr>
    </w:p>
    <w:p>
      <w:pPr>
        <w:pStyle w:val="59"/>
        <w:rPr>
          <w:lang w:val="zh-CN"/>
        </w:rPr>
      </w:pPr>
    </w:p>
    <w:p>
      <w:pPr>
        <w:rPr>
          <w:lang w:val="zh-CN"/>
        </w:rPr>
      </w:pPr>
    </w:p>
    <w:p>
      <w:pPr>
        <w:shd w:val="clear" w:color="auto" w:fill="FFFFFF"/>
        <w:adjustRightInd w:val="0"/>
        <w:snapToGrid w:val="0"/>
        <w:spacing w:line="360" w:lineRule="auto"/>
        <w:rPr>
          <w:rFonts w:ascii="宋体" w:hAnsi="宋体" w:cs="宋体"/>
          <w:b/>
          <w:bCs/>
          <w:kern w:val="0"/>
          <w:sz w:val="24"/>
          <w:lang w:val="zh-CN"/>
        </w:rPr>
        <w:sectPr>
          <w:pgSz w:w="11906" w:h="16838"/>
          <w:pgMar w:top="1478" w:right="1474" w:bottom="860" w:left="1588" w:header="851" w:footer="992" w:gutter="0"/>
          <w:cols w:space="720" w:num="1"/>
          <w:docGrid w:type="lines" w:linePitch="312" w:charSpace="0"/>
        </w:sectPr>
      </w:pPr>
    </w:p>
    <w:p>
      <w:pPr>
        <w:pageBreakBefore/>
        <w:shd w:val="clear" w:color="auto" w:fill="FFFFFF"/>
        <w:adjustRightInd w:val="0"/>
        <w:snapToGrid w:val="0"/>
        <w:spacing w:line="360" w:lineRule="auto"/>
        <w:jc w:val="center"/>
        <w:outlineLvl w:val="2"/>
        <w:rPr>
          <w:rFonts w:ascii="宋体" w:hAnsi="宋体" w:cs="宋体"/>
          <w:b/>
          <w:sz w:val="24"/>
        </w:rPr>
      </w:pPr>
      <w:r>
        <w:rPr>
          <w:rFonts w:hint="eastAsia" w:ascii="宋体" w:hAnsi="宋体" w:cs="宋体"/>
          <w:b/>
          <w:bCs/>
          <w:sz w:val="24"/>
        </w:rPr>
        <w:t>三、磋商响应文件报价明细表</w:t>
      </w:r>
    </w:p>
    <w:p>
      <w:pPr>
        <w:shd w:val="clear" w:color="auto" w:fill="FFFFFF"/>
        <w:adjustRightInd w:val="0"/>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项目名称：浙江工商大学2024级新生开学典礼和2024届学生毕业典礼策划执行及舞美设备租赁服务</w:t>
      </w:r>
    </w:p>
    <w:p>
      <w:pPr>
        <w:shd w:val="clear" w:color="auto" w:fill="FFFFFF"/>
        <w:adjustRightInd w:val="0"/>
        <w:snapToGrid w:val="0"/>
        <w:spacing w:line="360" w:lineRule="auto"/>
        <w:ind w:firstLine="420" w:firstLineChars="200"/>
        <w:rPr>
          <w:rFonts w:hint="default" w:ascii="宋体" w:hAnsi="宋体" w:cs="宋体"/>
          <w:kern w:val="0"/>
          <w:szCs w:val="21"/>
        </w:rPr>
      </w:pPr>
      <w:r>
        <w:rPr>
          <w:rFonts w:hint="eastAsia" w:ascii="宋体" w:hAnsi="宋体" w:cs="宋体"/>
          <w:kern w:val="0"/>
          <w:szCs w:val="21"/>
          <w:lang w:val="zh-CN"/>
        </w:rPr>
        <w:t>项目编号：</w:t>
      </w:r>
      <w:r>
        <w:rPr>
          <w:rFonts w:hint="default" w:ascii="宋体" w:hAnsi="宋体" w:cs="宋体"/>
          <w:kern w:val="0"/>
          <w:szCs w:val="21"/>
        </w:rPr>
        <w:t>HSZB-2024-335-1</w:t>
      </w:r>
    </w:p>
    <w:p>
      <w:pPr>
        <w:shd w:val="clear" w:color="auto" w:fill="FFFFFF"/>
        <w:adjustRightInd w:val="0"/>
        <w:snapToGrid w:val="0"/>
        <w:spacing w:line="360" w:lineRule="auto"/>
        <w:ind w:firstLine="420" w:firstLineChars="200"/>
        <w:jc w:val="right"/>
        <w:rPr>
          <w:rFonts w:ascii="宋体" w:hAnsi="宋体" w:cs="宋体"/>
          <w:kern w:val="0"/>
          <w:szCs w:val="21"/>
          <w:lang w:val="zh-CN"/>
        </w:rPr>
      </w:pPr>
      <w:r>
        <w:rPr>
          <w:rFonts w:hint="eastAsia" w:ascii="宋体" w:hAnsi="宋体" w:cs="宋体"/>
          <w:kern w:val="0"/>
          <w:szCs w:val="21"/>
          <w:lang w:val="zh-CN"/>
        </w:rPr>
        <w:t>金额单位：人民币（元）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778"/>
        <w:gridCol w:w="993"/>
        <w:gridCol w:w="1574"/>
        <w:gridCol w:w="141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jc w:val="center"/>
            </w:pPr>
            <w:r>
              <w:t>序号</w:t>
            </w:r>
          </w:p>
        </w:tc>
        <w:tc>
          <w:tcPr>
            <w:tcW w:w="2778" w:type="dxa"/>
            <w:vAlign w:val="center"/>
          </w:tcPr>
          <w:p>
            <w:pPr>
              <w:jc w:val="center"/>
            </w:pPr>
            <w:r>
              <w:t>服务内容</w:t>
            </w:r>
          </w:p>
        </w:tc>
        <w:tc>
          <w:tcPr>
            <w:tcW w:w="993" w:type="dxa"/>
            <w:vAlign w:val="center"/>
          </w:tcPr>
          <w:p>
            <w:pPr>
              <w:jc w:val="center"/>
            </w:pPr>
            <w:r>
              <w:t>数量</w:t>
            </w:r>
          </w:p>
        </w:tc>
        <w:tc>
          <w:tcPr>
            <w:tcW w:w="1574" w:type="dxa"/>
            <w:vAlign w:val="center"/>
          </w:tcPr>
          <w:p>
            <w:pPr>
              <w:jc w:val="center"/>
            </w:pPr>
            <w:r>
              <w:rPr>
                <w:rFonts w:hint="eastAsia"/>
                <w:lang w:val="en-US" w:eastAsia="zh-CN"/>
              </w:rPr>
              <w:t>综合单价</w:t>
            </w:r>
            <w:r>
              <w:t>（元）</w:t>
            </w:r>
          </w:p>
        </w:tc>
        <w:tc>
          <w:tcPr>
            <w:tcW w:w="1411" w:type="dxa"/>
            <w:vAlign w:val="center"/>
          </w:tcPr>
          <w:p>
            <w:pPr>
              <w:jc w:val="center"/>
            </w:pPr>
            <w:r>
              <w:t>金额（元）</w:t>
            </w:r>
          </w:p>
        </w:tc>
        <w:tc>
          <w:tcPr>
            <w:tcW w:w="1034"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2" w:type="dxa"/>
            <w:vAlign w:val="center"/>
          </w:tcPr>
          <w:p>
            <w:pPr>
              <w:jc w:val="center"/>
            </w:pPr>
            <w:r>
              <w:t>1</w:t>
            </w:r>
          </w:p>
        </w:tc>
        <w:tc>
          <w:tcPr>
            <w:tcW w:w="2778" w:type="dxa"/>
            <w:vAlign w:val="center"/>
          </w:tcPr>
          <w:p>
            <w:pPr>
              <w:jc w:val="center"/>
            </w:pPr>
            <w:r>
              <w:rPr>
                <w:rFonts w:hint="eastAsia"/>
              </w:rPr>
              <w:t>2024届学生毕业典礼策划执行及舞美设备租赁服务</w:t>
            </w:r>
          </w:p>
        </w:tc>
        <w:tc>
          <w:tcPr>
            <w:tcW w:w="993" w:type="dxa"/>
            <w:vAlign w:val="center"/>
          </w:tcPr>
          <w:p>
            <w:pPr>
              <w:jc w:val="center"/>
            </w:pPr>
            <w:r>
              <w:t>1项</w:t>
            </w:r>
          </w:p>
        </w:tc>
        <w:tc>
          <w:tcPr>
            <w:tcW w:w="1574" w:type="dxa"/>
            <w:vAlign w:val="center"/>
          </w:tcPr>
          <w:p>
            <w:pPr>
              <w:jc w:val="center"/>
            </w:pPr>
          </w:p>
        </w:tc>
        <w:tc>
          <w:tcPr>
            <w:tcW w:w="1411" w:type="dxa"/>
            <w:vAlign w:val="center"/>
          </w:tcPr>
          <w:p/>
        </w:tc>
        <w:tc>
          <w:tcPr>
            <w:tcW w:w="10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2" w:type="dxa"/>
            <w:vAlign w:val="center"/>
          </w:tcPr>
          <w:p>
            <w:pPr>
              <w:jc w:val="center"/>
            </w:pPr>
            <w:r>
              <w:rPr>
                <w:rFonts w:hint="eastAsia"/>
              </w:rPr>
              <w:t>2</w:t>
            </w:r>
          </w:p>
        </w:tc>
        <w:tc>
          <w:tcPr>
            <w:tcW w:w="2778" w:type="dxa"/>
            <w:vAlign w:val="center"/>
          </w:tcPr>
          <w:p>
            <w:pPr>
              <w:jc w:val="center"/>
            </w:pPr>
            <w:r>
              <w:rPr>
                <w:rFonts w:hint="eastAsia"/>
              </w:rPr>
              <w:t>2024级新生开学典礼策划执行及舞美设备租赁服务（分2场）</w:t>
            </w:r>
          </w:p>
        </w:tc>
        <w:tc>
          <w:tcPr>
            <w:tcW w:w="993" w:type="dxa"/>
            <w:vAlign w:val="center"/>
          </w:tcPr>
          <w:p>
            <w:pPr>
              <w:jc w:val="center"/>
            </w:pPr>
            <w:r>
              <w:t>1项</w:t>
            </w:r>
          </w:p>
        </w:tc>
        <w:tc>
          <w:tcPr>
            <w:tcW w:w="1574" w:type="dxa"/>
            <w:vAlign w:val="center"/>
          </w:tcPr>
          <w:p>
            <w:pPr>
              <w:jc w:val="center"/>
            </w:pPr>
          </w:p>
        </w:tc>
        <w:tc>
          <w:tcPr>
            <w:tcW w:w="1411" w:type="dxa"/>
            <w:vAlign w:val="center"/>
          </w:tcPr>
          <w:p/>
        </w:tc>
        <w:tc>
          <w:tcPr>
            <w:tcW w:w="10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2" w:type="dxa"/>
            <w:vAlign w:val="center"/>
          </w:tcPr>
          <w:p>
            <w:pPr>
              <w:jc w:val="center"/>
            </w:pPr>
            <w:r>
              <w:rPr>
                <w:rFonts w:hint="eastAsia"/>
              </w:rPr>
              <w:t>3</w:t>
            </w:r>
          </w:p>
        </w:tc>
        <w:tc>
          <w:tcPr>
            <w:tcW w:w="2778" w:type="dxa"/>
            <w:vAlign w:val="center"/>
          </w:tcPr>
          <w:p>
            <w:pPr>
              <w:jc w:val="center"/>
            </w:pPr>
            <w:r>
              <w:rPr>
                <w:rFonts w:hint="eastAsia"/>
              </w:rPr>
              <w:t>2024届毕业生纪念品设计及制作服务</w:t>
            </w:r>
          </w:p>
        </w:tc>
        <w:tc>
          <w:tcPr>
            <w:tcW w:w="993" w:type="dxa"/>
            <w:vAlign w:val="center"/>
          </w:tcPr>
          <w:p>
            <w:pPr>
              <w:jc w:val="center"/>
            </w:pPr>
            <w:r>
              <w:rPr>
                <w:rFonts w:hint="eastAsia"/>
              </w:rPr>
              <w:t>1项</w:t>
            </w:r>
          </w:p>
        </w:tc>
        <w:tc>
          <w:tcPr>
            <w:tcW w:w="1574" w:type="dxa"/>
            <w:vAlign w:val="center"/>
          </w:tcPr>
          <w:p>
            <w:pPr>
              <w:jc w:val="center"/>
            </w:pPr>
          </w:p>
        </w:tc>
        <w:tc>
          <w:tcPr>
            <w:tcW w:w="1411" w:type="dxa"/>
            <w:vAlign w:val="center"/>
          </w:tcPr>
          <w:p/>
        </w:tc>
        <w:tc>
          <w:tcPr>
            <w:tcW w:w="10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22" w:type="dxa"/>
            <w:gridSpan w:val="6"/>
            <w:vAlign w:val="center"/>
          </w:tcPr>
          <w:p>
            <w:r>
              <w:t>报价总价： 人民币大写：             整，小写：￥</w:t>
            </w:r>
          </w:p>
        </w:tc>
      </w:tr>
    </w:tbl>
    <w:p>
      <w:pPr>
        <w:pStyle w:val="25"/>
        <w:snapToGrid w:val="0"/>
        <w:spacing w:line="360" w:lineRule="auto"/>
        <w:ind w:firstLine="420" w:firstLineChars="200"/>
        <w:rPr>
          <w:rFonts w:ascii="Times New Roman" w:hAnsi="Times New Roman"/>
          <w:color w:val="000000"/>
        </w:rPr>
      </w:pPr>
    </w:p>
    <w:p>
      <w:pPr>
        <w:pStyle w:val="25"/>
        <w:snapToGrid w:val="0"/>
        <w:spacing w:line="360" w:lineRule="auto"/>
        <w:ind w:firstLine="420" w:firstLineChars="200"/>
        <w:rPr>
          <w:rFonts w:ascii="Times New Roman" w:hAnsi="Times New Roman"/>
          <w:lang w:val="zh-CN"/>
        </w:rPr>
      </w:pPr>
      <w:r>
        <w:rPr>
          <w:rFonts w:ascii="Times New Roman" w:hAnsi="Times New Roman"/>
          <w:color w:val="000000"/>
        </w:rPr>
        <w:t>注：</w:t>
      </w:r>
      <w:r>
        <w:rPr>
          <w:rFonts w:hint="eastAsia" w:ascii="Times New Roman" w:hAnsi="Times New Roman"/>
          <w:color w:val="000000"/>
        </w:rPr>
        <w:t>1.</w:t>
      </w:r>
      <w:r>
        <w:rPr>
          <w:rFonts w:ascii="Times New Roman" w:hAnsi="Times New Roman"/>
          <w:lang w:val="zh-CN"/>
        </w:rPr>
        <w:t>报价总价包含</w:t>
      </w:r>
      <w:r>
        <w:rPr>
          <w:rFonts w:ascii="Times New Roman" w:hAnsi="Times New Roman"/>
        </w:rPr>
        <w:t>浙江工商大学202</w:t>
      </w:r>
      <w:r>
        <w:rPr>
          <w:rFonts w:hint="eastAsia" w:ascii="Times New Roman" w:hAnsi="Times New Roman"/>
        </w:rPr>
        <w:t>4</w:t>
      </w:r>
      <w:r>
        <w:rPr>
          <w:rFonts w:ascii="Times New Roman" w:hAnsi="Times New Roman"/>
        </w:rPr>
        <w:t>级新生开学典礼和202</w:t>
      </w:r>
      <w:r>
        <w:rPr>
          <w:rFonts w:hint="eastAsia" w:ascii="Times New Roman" w:hAnsi="Times New Roman"/>
        </w:rPr>
        <w:t>4</w:t>
      </w:r>
      <w:r>
        <w:rPr>
          <w:rFonts w:ascii="Times New Roman" w:hAnsi="Times New Roman"/>
        </w:rPr>
        <w:t>届学生毕业典礼策划执行及舞美设备租赁服务</w:t>
      </w:r>
      <w:r>
        <w:rPr>
          <w:rFonts w:ascii="Times New Roman" w:hAnsi="Times New Roman"/>
          <w:bCs/>
          <w:color w:val="000000"/>
          <w:kern w:val="0"/>
        </w:rPr>
        <w:t>全流程服务</w:t>
      </w:r>
      <w:r>
        <w:rPr>
          <w:rFonts w:ascii="Times New Roman" w:hAnsi="Times New Roman"/>
          <w:lang w:val="zh-CN"/>
        </w:rPr>
        <w:t>达到预期使用效果所需的一切费用。</w:t>
      </w:r>
    </w:p>
    <w:p>
      <w:pPr>
        <w:pStyle w:val="25"/>
        <w:snapToGrid w:val="0"/>
        <w:spacing w:line="360" w:lineRule="auto"/>
        <w:ind w:firstLine="420" w:firstLineChars="200"/>
        <w:rPr>
          <w:rFonts w:ascii="Times New Roman" w:hAnsi="Times New Roman" w:eastAsia="宋体"/>
        </w:rPr>
      </w:pPr>
      <w:r>
        <w:rPr>
          <w:rFonts w:hint="eastAsia" w:ascii="Times New Roman" w:hAnsi="Times New Roman"/>
          <w:lang w:val="zh-CN"/>
        </w:rPr>
        <w:t>2.</w:t>
      </w:r>
      <w:r>
        <w:rPr>
          <w:rFonts w:hint="eastAsia" w:ascii="宋体" w:hAnsi="宋体" w:eastAsia="宋体"/>
          <w:lang w:val="zh-CN"/>
        </w:rPr>
        <w:t>▲</w:t>
      </w:r>
      <w:r>
        <w:rPr>
          <w:rFonts w:hint="eastAsia" w:ascii="Times New Roman" w:hAnsi="Times New Roman"/>
          <w:lang w:val="zh-CN"/>
        </w:rPr>
        <w:t>序号1、序号2合计报价金额不得超过</w:t>
      </w:r>
      <w:r>
        <w:rPr>
          <w:rFonts w:hint="eastAsia" w:ascii="Times New Roman" w:hAnsi="Times New Roman" w:eastAsia="宋体"/>
        </w:rPr>
        <w:t>最高限价</w:t>
      </w:r>
      <w:r>
        <w:rPr>
          <w:rFonts w:hint="eastAsia" w:ascii="Times New Roman" w:hAnsi="Times New Roman"/>
          <w:lang w:val="zh-CN"/>
        </w:rPr>
        <w:t>30.00万元、序号3</w:t>
      </w:r>
      <w:r>
        <w:rPr>
          <w:rFonts w:hint="eastAsia" w:ascii="Times New Roman" w:hAnsi="Times New Roman"/>
          <w:color w:val="000000"/>
        </w:rPr>
        <w:t>报价</w:t>
      </w:r>
      <w:r>
        <w:rPr>
          <w:rFonts w:ascii="Times New Roman" w:hAnsi="Times New Roman"/>
          <w:color w:val="000000"/>
        </w:rPr>
        <w:t>金额</w:t>
      </w:r>
      <w:r>
        <w:rPr>
          <w:rFonts w:hint="eastAsia" w:ascii="Times New Roman" w:hAnsi="Times New Roman"/>
          <w:color w:val="000000"/>
        </w:rPr>
        <w:t>不得超过</w:t>
      </w:r>
      <w:r>
        <w:rPr>
          <w:rFonts w:hint="eastAsia" w:ascii="Times New Roman" w:hAnsi="Times New Roman" w:eastAsia="宋体"/>
          <w:color w:val="000000"/>
        </w:rPr>
        <w:t>最高限价</w:t>
      </w:r>
      <w:r>
        <w:rPr>
          <w:rFonts w:hint="eastAsia" w:ascii="Times New Roman" w:hAnsi="Times New Roman"/>
          <w:color w:val="000000"/>
        </w:rPr>
        <w:t>10</w:t>
      </w:r>
      <w:r>
        <w:rPr>
          <w:rFonts w:ascii="Times New Roman" w:hAnsi="Times New Roman"/>
          <w:color w:val="000000"/>
        </w:rPr>
        <w:t>.00万元</w:t>
      </w:r>
      <w:r>
        <w:rPr>
          <w:rFonts w:hint="eastAsia" w:ascii="Times New Roman" w:hAnsi="Times New Roman" w:eastAsia="宋体"/>
          <w:color w:val="000000"/>
        </w:rPr>
        <w:t>。超过做无效标处理。</w:t>
      </w:r>
    </w:p>
    <w:p>
      <w:pPr>
        <w:rPr>
          <w:lang w:val="zh-CN"/>
        </w:rPr>
      </w:pPr>
    </w:p>
    <w:p>
      <w:pPr>
        <w:rPr>
          <w:lang w:val="zh-CN"/>
        </w:rPr>
      </w:pPr>
    </w:p>
    <w:p>
      <w:pPr>
        <w:shd w:val="clear" w:color="auto" w:fill="FFFFFF"/>
        <w:adjustRightInd w:val="0"/>
        <w:snapToGrid w:val="0"/>
        <w:spacing w:line="360" w:lineRule="auto"/>
        <w:rPr>
          <w:rFonts w:ascii="宋体" w:hAnsi="宋体" w:cs="宋体"/>
          <w:kern w:val="0"/>
          <w:szCs w:val="21"/>
        </w:rPr>
      </w:pPr>
      <w:r>
        <w:rPr>
          <w:rFonts w:hint="eastAsia" w:ascii="宋体" w:hAnsi="宋体" w:cs="宋体"/>
          <w:kern w:val="0"/>
          <w:szCs w:val="21"/>
        </w:rPr>
        <w:t>供应商名称（公章）:</w:t>
      </w:r>
      <w:r>
        <w:rPr>
          <w:rFonts w:hint="eastAsia" w:ascii="宋体" w:hAnsi="宋体" w:cs="宋体"/>
          <w:kern w:val="0"/>
          <w:szCs w:val="21"/>
          <w:u w:val="single"/>
          <w:lang w:val="zh-CN"/>
        </w:rPr>
        <w:t xml:space="preserve">                </w:t>
      </w:r>
    </w:p>
    <w:p>
      <w:pPr>
        <w:pStyle w:val="58"/>
        <w:rPr>
          <w:rFonts w:ascii="宋体" w:hAnsi="宋体" w:eastAsia="宋体" w:cs="宋体"/>
          <w:color w:val="auto"/>
          <w:sz w:val="21"/>
          <w:szCs w:val="21"/>
          <w:u w:val="single"/>
          <w:lang w:val="zh-CN"/>
        </w:rPr>
        <w:sectPr>
          <w:pgSz w:w="11906" w:h="16838"/>
          <w:pgMar w:top="2098" w:right="1531" w:bottom="1701" w:left="1531" w:header="851" w:footer="992" w:gutter="0"/>
          <w:cols w:space="720" w:num="1"/>
          <w:docGrid w:type="lines" w:linePitch="312" w:charSpace="0"/>
        </w:sectPr>
      </w:pPr>
      <w:r>
        <w:rPr>
          <w:rFonts w:hint="eastAsia" w:ascii="宋体" w:hAnsi="宋体" w:eastAsia="宋体" w:cs="宋体"/>
          <w:color w:val="auto"/>
          <w:sz w:val="21"/>
          <w:szCs w:val="21"/>
          <w:lang w:val="zh-CN"/>
        </w:rPr>
        <w:t>日期：</w:t>
      </w:r>
      <w:r>
        <w:rPr>
          <w:rFonts w:hint="eastAsia" w:ascii="宋体" w:hAnsi="宋体" w:eastAsia="宋体" w:cs="宋体"/>
          <w:color w:val="auto"/>
          <w:sz w:val="21"/>
          <w:szCs w:val="21"/>
          <w:u w:val="single"/>
          <w:lang w:val="zh-CN"/>
        </w:rPr>
        <w:t xml:space="preserve">                </w:t>
      </w:r>
    </w:p>
    <w:p>
      <w:pPr>
        <w:pageBreakBefore/>
        <w:shd w:val="clear" w:color="auto" w:fill="FFFFFF"/>
        <w:adjustRightInd w:val="0"/>
        <w:snapToGrid w:val="0"/>
        <w:spacing w:line="360" w:lineRule="auto"/>
        <w:ind w:firstLine="482" w:firstLineChars="200"/>
        <w:jc w:val="center"/>
        <w:outlineLvl w:val="2"/>
        <w:rPr>
          <w:rFonts w:ascii="宋体" w:hAnsi="宋体" w:cs="宋体"/>
          <w:b/>
          <w:bCs/>
          <w:sz w:val="24"/>
        </w:rPr>
      </w:pPr>
      <w:bookmarkStart w:id="122" w:name="_Toc354996708"/>
      <w:r>
        <w:rPr>
          <w:rFonts w:hint="eastAsia" w:ascii="宋体" w:hAnsi="宋体" w:cs="宋体"/>
          <w:b/>
          <w:bCs/>
          <w:sz w:val="24"/>
        </w:rPr>
        <w:t>四、交纳采购代理服务费承诺书</w:t>
      </w:r>
    </w:p>
    <w:p>
      <w:pPr>
        <w:adjustRightInd w:val="0"/>
        <w:snapToGrid w:val="0"/>
        <w:spacing w:line="360" w:lineRule="auto"/>
        <w:outlineLvl w:val="1"/>
        <w:rPr>
          <w:rFonts w:ascii="宋体" w:hAnsi="宋体" w:cs="宋体"/>
          <w:kern w:val="0"/>
          <w:szCs w:val="21"/>
        </w:rPr>
      </w:pPr>
    </w:p>
    <w:p>
      <w:pPr>
        <w:adjustRightInd w:val="0"/>
        <w:snapToGrid w:val="0"/>
        <w:spacing w:line="360" w:lineRule="auto"/>
        <w:ind w:firstLine="420" w:firstLineChars="200"/>
        <w:outlineLvl w:val="1"/>
        <w:rPr>
          <w:rFonts w:ascii="宋体" w:hAnsi="宋体" w:cs="宋体"/>
          <w:kern w:val="0"/>
          <w:szCs w:val="21"/>
        </w:rPr>
      </w:pPr>
      <w:bookmarkStart w:id="123" w:name="_Toc10064"/>
      <w:bookmarkStart w:id="124" w:name="_Toc21508"/>
      <w:r>
        <w:rPr>
          <w:rFonts w:hint="eastAsia" w:ascii="宋体" w:hAnsi="宋体" w:cs="宋体"/>
          <w:kern w:val="0"/>
          <w:szCs w:val="21"/>
        </w:rPr>
        <w:t>浙江豪圣建设项目管理有限公司：</w:t>
      </w:r>
      <w:bookmarkEnd w:id="123"/>
      <w:bookmarkEnd w:id="124"/>
    </w:p>
    <w:p>
      <w:pPr>
        <w:adjustRightInd w:val="0"/>
        <w:snapToGrid w:val="0"/>
        <w:spacing w:line="360" w:lineRule="auto"/>
        <w:ind w:firstLine="420" w:firstLineChars="200"/>
        <w:outlineLvl w:val="1"/>
        <w:rPr>
          <w:rFonts w:ascii="宋体" w:hAnsi="宋体" w:cs="宋体"/>
          <w:kern w:val="0"/>
          <w:szCs w:val="21"/>
        </w:rPr>
      </w:pPr>
      <w:bookmarkStart w:id="125" w:name="_Toc132"/>
      <w:bookmarkStart w:id="126" w:name="_Toc981"/>
      <w:r>
        <w:rPr>
          <w:rFonts w:hint="eastAsia" w:ascii="宋体" w:hAnsi="宋体" w:cs="宋体"/>
          <w:kern w:val="0"/>
          <w:szCs w:val="21"/>
        </w:rPr>
        <w:t>我公司在你公司组织的</w:t>
      </w:r>
      <w:r>
        <w:rPr>
          <w:rFonts w:hint="eastAsia" w:ascii="宋体" w:hAnsi="宋体" w:cs="宋体"/>
          <w:kern w:val="0"/>
          <w:szCs w:val="21"/>
          <w:u w:val="single"/>
        </w:rPr>
        <w:t>浙江工商大学</w:t>
      </w:r>
      <w:r>
        <w:rPr>
          <w:rFonts w:hint="eastAsia" w:ascii="宋体" w:hAnsi="宋体" w:cs="宋体"/>
          <w:kern w:val="0"/>
          <w:szCs w:val="21"/>
        </w:rPr>
        <w:t>（采购人）</w:t>
      </w:r>
      <w:r>
        <w:rPr>
          <w:rFonts w:hint="eastAsia" w:ascii="宋体" w:hAnsi="宋体" w:cs="宋体"/>
          <w:kern w:val="0"/>
          <w:szCs w:val="21"/>
          <w:lang w:eastAsia="zh-CN"/>
        </w:rPr>
        <w:t>浙江工商大学2024级新生开学典礼和2024届学生毕业典礼策划执行及舞美设备租赁服务项目（重新招标）</w:t>
      </w:r>
      <w:r>
        <w:rPr>
          <w:rFonts w:hint="eastAsia" w:ascii="宋体" w:hAnsi="宋体" w:cs="宋体"/>
          <w:kern w:val="0"/>
          <w:szCs w:val="21"/>
        </w:rPr>
        <w:t>（项目名称）</w:t>
      </w:r>
      <w:r>
        <w:rPr>
          <w:rFonts w:hint="default" w:ascii="宋体" w:hAnsi="宋体" w:cs="宋体"/>
          <w:kern w:val="0"/>
          <w:szCs w:val="21"/>
        </w:rPr>
        <w:t>HSZB-2024-335-1</w:t>
      </w:r>
      <w:r>
        <w:rPr>
          <w:rFonts w:hint="eastAsia" w:ascii="宋体" w:hAnsi="宋体" w:cs="宋体"/>
          <w:kern w:val="0"/>
          <w:szCs w:val="21"/>
        </w:rPr>
        <w:t>（项目编号）的招标中若获中标，我公司保证在收到你公司通知后按采购文件中前附表的规定，向你公司即浙江豪圣建设项目管理有限公司支付采购代理服务费（户名：浙江豪圣建设项目管理有限公司。开户：上海浦东发展银行股份有限公司杭州和睦支行。账号：95160154800000653）。</w:t>
      </w:r>
      <w:bookmarkEnd w:id="125"/>
      <w:bookmarkEnd w:id="126"/>
    </w:p>
    <w:p>
      <w:pPr>
        <w:adjustRightInd w:val="0"/>
        <w:snapToGrid w:val="0"/>
        <w:spacing w:line="360" w:lineRule="auto"/>
        <w:outlineLvl w:val="1"/>
        <w:rPr>
          <w:rFonts w:ascii="宋体" w:hAnsi="宋体" w:cs="宋体"/>
          <w:kern w:val="0"/>
          <w:szCs w:val="21"/>
        </w:rPr>
      </w:pPr>
    </w:p>
    <w:p>
      <w:pPr>
        <w:adjustRightInd w:val="0"/>
        <w:snapToGrid w:val="0"/>
        <w:spacing w:line="360" w:lineRule="auto"/>
        <w:outlineLvl w:val="1"/>
        <w:rPr>
          <w:rFonts w:ascii="宋体" w:hAnsi="宋体" w:cs="宋体"/>
          <w:kern w:val="0"/>
          <w:szCs w:val="21"/>
        </w:rPr>
      </w:pPr>
      <w:bookmarkStart w:id="127" w:name="_Toc17898"/>
      <w:bookmarkStart w:id="128" w:name="_Toc15703"/>
      <w:r>
        <w:rPr>
          <w:rFonts w:hint="eastAsia" w:ascii="宋体" w:hAnsi="宋体" w:cs="宋体"/>
          <w:kern w:val="0"/>
          <w:szCs w:val="21"/>
        </w:rPr>
        <w:t>特此承诺。</w:t>
      </w:r>
      <w:bookmarkEnd w:id="127"/>
      <w:bookmarkEnd w:id="128"/>
    </w:p>
    <w:p>
      <w:pPr>
        <w:adjustRightInd w:val="0"/>
        <w:snapToGrid w:val="0"/>
        <w:spacing w:line="360" w:lineRule="auto"/>
        <w:outlineLvl w:val="1"/>
        <w:rPr>
          <w:rFonts w:ascii="宋体" w:hAnsi="宋体" w:cs="宋体"/>
          <w:kern w:val="0"/>
          <w:szCs w:val="21"/>
        </w:rPr>
      </w:pPr>
      <w:bookmarkStart w:id="129" w:name="_Toc14944"/>
      <w:bookmarkStart w:id="130" w:name="_Toc32162"/>
      <w:r>
        <w:rPr>
          <w:rFonts w:hint="eastAsia" w:ascii="宋体" w:hAnsi="宋体" w:cs="宋体"/>
          <w:kern w:val="0"/>
          <w:szCs w:val="21"/>
        </w:rPr>
        <w:t>投标供应商全称（盖单位公章）：</w:t>
      </w:r>
      <w:bookmarkEnd w:id="129"/>
      <w:bookmarkEnd w:id="130"/>
    </w:p>
    <w:p>
      <w:pPr>
        <w:adjustRightInd w:val="0"/>
        <w:snapToGrid w:val="0"/>
        <w:spacing w:line="360" w:lineRule="auto"/>
        <w:outlineLvl w:val="1"/>
        <w:rPr>
          <w:rFonts w:ascii="宋体" w:hAnsi="宋体" w:cs="宋体"/>
          <w:kern w:val="0"/>
          <w:szCs w:val="21"/>
        </w:rPr>
      </w:pPr>
      <w:bookmarkStart w:id="131" w:name="_Toc31054"/>
      <w:bookmarkStart w:id="132" w:name="_Toc3564"/>
      <w:r>
        <w:rPr>
          <w:rFonts w:hint="eastAsia" w:ascii="宋体" w:hAnsi="宋体" w:cs="宋体"/>
          <w:kern w:val="0"/>
          <w:szCs w:val="21"/>
        </w:rPr>
        <w:t>日期：年</w:t>
      </w:r>
      <w:bookmarkEnd w:id="131"/>
      <w:bookmarkEnd w:id="132"/>
      <w:r>
        <w:rPr>
          <w:rFonts w:hint="eastAsia" w:ascii="宋体" w:hAnsi="宋体" w:cs="宋体"/>
          <w:kern w:val="0"/>
          <w:szCs w:val="21"/>
        </w:rPr>
        <w:t xml:space="preserve"> 月 日</w:t>
      </w:r>
    </w:p>
    <w:p>
      <w:pPr>
        <w:adjustRightInd w:val="0"/>
        <w:snapToGrid w:val="0"/>
        <w:spacing w:line="360" w:lineRule="auto"/>
        <w:outlineLvl w:val="1"/>
        <w:rPr>
          <w:rFonts w:ascii="宋体" w:hAnsi="宋体" w:cs="宋体"/>
          <w:kern w:val="0"/>
          <w:szCs w:val="21"/>
        </w:rPr>
      </w:pPr>
    </w:p>
    <w:p>
      <w:pPr>
        <w:pStyle w:val="22"/>
        <w:ind w:left="0" w:leftChars="0" w:right="1470"/>
        <w:sectPr>
          <w:pgSz w:w="11906" w:h="16838"/>
          <w:pgMar w:top="2098" w:right="1474" w:bottom="1701" w:left="1588" w:header="851" w:footer="992" w:gutter="0"/>
          <w:cols w:space="720" w:num="1"/>
          <w:docGrid w:type="lines" w:linePitch="312" w:charSpace="0"/>
        </w:sectPr>
      </w:pPr>
    </w:p>
    <w:p>
      <w:pPr>
        <w:adjustRightInd w:val="0"/>
        <w:snapToGrid w:val="0"/>
        <w:spacing w:line="360" w:lineRule="auto"/>
        <w:outlineLvl w:val="1"/>
        <w:rPr>
          <w:rFonts w:ascii="宋体" w:hAnsi="宋体" w:cs="宋体"/>
          <w:kern w:val="0"/>
          <w:szCs w:val="21"/>
        </w:rPr>
      </w:pPr>
    </w:p>
    <w:p>
      <w:pPr>
        <w:adjustRightInd w:val="0"/>
        <w:snapToGrid w:val="0"/>
        <w:spacing w:line="360" w:lineRule="auto"/>
        <w:outlineLvl w:val="1"/>
        <w:rPr>
          <w:rFonts w:ascii="宋体" w:hAnsi="宋体" w:cs="宋体"/>
          <w:kern w:val="0"/>
          <w:szCs w:val="21"/>
        </w:rPr>
      </w:pPr>
    </w:p>
    <w:p>
      <w:pPr>
        <w:adjustRightInd w:val="0"/>
        <w:snapToGrid w:val="0"/>
        <w:spacing w:line="360" w:lineRule="auto"/>
        <w:jc w:val="center"/>
        <w:outlineLvl w:val="1"/>
        <w:rPr>
          <w:rFonts w:ascii="宋体" w:hAnsi="宋体" w:cs="宋体"/>
          <w:b/>
          <w:kern w:val="0"/>
          <w:sz w:val="36"/>
          <w:szCs w:val="36"/>
        </w:rPr>
      </w:pPr>
      <w:bookmarkStart w:id="133" w:name="_Toc16984"/>
      <w:bookmarkStart w:id="134" w:name="_Toc2346"/>
      <w:bookmarkStart w:id="135" w:name="_Toc8933"/>
      <w:r>
        <w:rPr>
          <w:rFonts w:hint="eastAsia" w:ascii="宋体" w:hAnsi="宋体" w:cs="宋体"/>
          <w:b/>
          <w:kern w:val="0"/>
          <w:sz w:val="36"/>
          <w:szCs w:val="36"/>
        </w:rPr>
        <w:t>商务</w:t>
      </w:r>
      <w:bookmarkEnd w:id="122"/>
      <w:bookmarkStart w:id="136" w:name="_Toc354996709"/>
      <w:r>
        <w:rPr>
          <w:rFonts w:hint="eastAsia" w:ascii="宋体" w:hAnsi="宋体" w:cs="宋体"/>
          <w:b/>
          <w:kern w:val="0"/>
          <w:sz w:val="36"/>
          <w:szCs w:val="36"/>
        </w:rPr>
        <w:t>技术文件</w:t>
      </w:r>
      <w:bookmarkEnd w:id="133"/>
      <w:bookmarkEnd w:id="134"/>
      <w:bookmarkEnd w:id="135"/>
    </w:p>
    <w:p>
      <w:pPr>
        <w:pStyle w:val="2"/>
        <w:adjustRightInd w:val="0"/>
        <w:snapToGrid w:val="0"/>
        <w:rPr>
          <w:rFonts w:ascii="宋体" w:hAnsi="宋体" w:cs="宋体"/>
        </w:rPr>
      </w:pPr>
      <w:bookmarkStart w:id="137" w:name="_Toc30182"/>
      <w:bookmarkStart w:id="138" w:name="_Toc23505"/>
      <w:bookmarkStart w:id="139" w:name="_Toc25554"/>
      <w:bookmarkStart w:id="140" w:name="_Toc7803"/>
      <w:bookmarkStart w:id="141" w:name="_Toc28323"/>
      <w:bookmarkStart w:id="142" w:name="_Toc6570"/>
      <w:bookmarkStart w:id="143" w:name="_Toc20650"/>
      <w:bookmarkStart w:id="144" w:name="_Toc13194"/>
      <w:bookmarkStart w:id="145" w:name="_Toc7049"/>
      <w:bookmarkStart w:id="146" w:name="_Toc7660"/>
      <w:bookmarkStart w:id="147" w:name="_Toc27129"/>
      <w:r>
        <w:rPr>
          <w:rFonts w:hint="eastAsia" w:ascii="宋体" w:hAnsi="宋体" w:cs="宋体"/>
        </w:rPr>
        <w:t>目录</w:t>
      </w:r>
      <w:bookmarkEnd w:id="137"/>
      <w:bookmarkEnd w:id="138"/>
      <w:bookmarkEnd w:id="139"/>
      <w:bookmarkEnd w:id="140"/>
      <w:bookmarkEnd w:id="141"/>
      <w:bookmarkEnd w:id="142"/>
      <w:bookmarkEnd w:id="143"/>
      <w:bookmarkEnd w:id="144"/>
      <w:bookmarkEnd w:id="145"/>
      <w:bookmarkEnd w:id="146"/>
      <w:bookmarkEnd w:id="147"/>
    </w:p>
    <w:p>
      <w:pPr>
        <w:spacing w:line="360" w:lineRule="auto"/>
      </w:pPr>
      <w:r>
        <w:rPr>
          <w:rFonts w:hint="eastAsia"/>
        </w:rPr>
        <w:t>（1）授权委托书………………………………………………………………………………（页码）</w:t>
      </w:r>
    </w:p>
    <w:p>
      <w:pPr>
        <w:spacing w:line="360" w:lineRule="auto"/>
      </w:pPr>
      <w:r>
        <w:rPr>
          <w:rFonts w:hint="eastAsia"/>
        </w:rPr>
        <w:t>（2）</w:t>
      </w:r>
      <w:r>
        <w:t>法定代表人及授权委托人的身份证(复印件)</w:t>
      </w:r>
      <w:r>
        <w:rPr>
          <w:rFonts w:hint="eastAsia"/>
        </w:rPr>
        <w:t>…………………………………………（页码）</w:t>
      </w:r>
    </w:p>
    <w:p>
      <w:pPr>
        <w:spacing w:line="360" w:lineRule="auto"/>
      </w:pPr>
      <w:r>
        <w:rPr>
          <w:rFonts w:hint="eastAsia"/>
        </w:rPr>
        <w:t>（3）</w:t>
      </w:r>
      <w:r>
        <w:rPr>
          <w:rFonts w:hint="eastAsia" w:ascii="宋体" w:hAnsi="宋体"/>
          <w:bCs/>
          <w:lang w:val="zh-CN"/>
        </w:rPr>
        <w:t>公司介绍及提供同类项目经验</w:t>
      </w:r>
      <w:r>
        <w:rPr>
          <w:rFonts w:hint="eastAsia"/>
        </w:rPr>
        <w:t>…………………………………………………………（页码）</w:t>
      </w:r>
    </w:p>
    <w:p>
      <w:r>
        <w:rPr>
          <w:rFonts w:hint="eastAsia"/>
        </w:rPr>
        <w:t>（4）</w:t>
      </w:r>
      <w:r>
        <w:rPr>
          <w:rFonts w:hint="eastAsia" w:ascii="宋体" w:hAnsi="宋体"/>
          <w:bCs/>
          <w:lang w:val="zh-CN"/>
        </w:rPr>
        <w:t>资质文件（如有）</w:t>
      </w:r>
      <w:r>
        <w:rPr>
          <w:rFonts w:hint="eastAsia"/>
        </w:rPr>
        <w:t>………………………………………………………………………（页码）</w:t>
      </w:r>
    </w:p>
    <w:p>
      <w:pPr>
        <w:spacing w:line="360" w:lineRule="auto"/>
      </w:pPr>
      <w:r>
        <w:rPr>
          <w:rFonts w:hint="eastAsia"/>
        </w:rPr>
        <w:t>（5）商务、</w:t>
      </w:r>
      <w:r>
        <w:rPr>
          <w:rFonts w:hint="eastAsia" w:ascii="宋体" w:hAnsi="宋体"/>
          <w:bCs/>
        </w:rPr>
        <w:t>技术偏离表</w:t>
      </w:r>
      <w:r>
        <w:rPr>
          <w:rFonts w:hint="eastAsia"/>
        </w:rPr>
        <w:t>………………………………………………………………………（页码）</w:t>
      </w:r>
    </w:p>
    <w:p>
      <w:r>
        <w:rPr>
          <w:rFonts w:hint="eastAsia"/>
        </w:rPr>
        <w:t>（6）</w:t>
      </w:r>
      <w:r>
        <w:rPr>
          <w:rFonts w:hint="eastAsia"/>
          <w:lang w:val="zh-CN"/>
        </w:rPr>
        <w:t>评标标准相应的商务技术资料</w:t>
      </w:r>
      <w:r>
        <w:rPr>
          <w:rFonts w:hint="eastAsia"/>
        </w:rPr>
        <w:t>………………………………………………………  （页码）</w:t>
      </w:r>
    </w:p>
    <w:bookmarkEnd w:id="136"/>
    <w:p>
      <w:pPr>
        <w:spacing w:line="360" w:lineRule="auto"/>
      </w:pPr>
      <w:r>
        <w:rPr>
          <w:rFonts w:hint="eastAsia"/>
        </w:rPr>
        <w:t>（7）</w:t>
      </w:r>
      <w:r>
        <w:rPr>
          <w:rFonts w:hint="eastAsia" w:ascii="宋体" w:hAnsi="宋体"/>
        </w:rPr>
        <w:t>分包意向协议（需明确分包的金额比重、中小企业声明函中需体现分包商的信息）（如有）</w:t>
      </w:r>
      <w:r>
        <w:rPr>
          <w:rFonts w:hint="eastAsia"/>
        </w:rPr>
        <w:t>…………………………………………………………………………………………… （页码）</w:t>
      </w:r>
    </w:p>
    <w:p>
      <w:pPr>
        <w:pStyle w:val="25"/>
        <w:adjustRightInd w:val="0"/>
        <w:snapToGrid w:val="0"/>
        <w:spacing w:line="360" w:lineRule="auto"/>
        <w:outlineLvl w:val="2"/>
        <w:rPr>
          <w:rFonts w:ascii="宋体" w:hAnsi="宋体" w:eastAsia="宋体"/>
        </w:rPr>
      </w:pPr>
      <w:r>
        <w:rPr>
          <w:rFonts w:hint="eastAsia" w:ascii="宋体" w:hAnsi="宋体" w:eastAsia="宋体"/>
        </w:rPr>
        <w:t>（8）</w:t>
      </w:r>
      <w:r>
        <w:rPr>
          <w:rFonts w:hint="eastAsia" w:hAnsi="宋体" w:eastAsia="宋体" w:cs="Arial"/>
        </w:rPr>
        <w:t>其他必要提供的材料</w:t>
      </w:r>
      <w:r>
        <w:rPr>
          <w:rFonts w:hint="eastAsia" w:ascii="宋体" w:hAnsi="宋体" w:eastAsia="宋体"/>
        </w:rPr>
        <w:t>………………………………………………………………… （页码）</w:t>
      </w:r>
    </w:p>
    <w:p>
      <w:pPr>
        <w:pStyle w:val="25"/>
        <w:adjustRightInd w:val="0"/>
        <w:snapToGrid w:val="0"/>
        <w:spacing w:line="360" w:lineRule="auto"/>
        <w:outlineLvl w:val="2"/>
        <w:rPr>
          <w:rFonts w:ascii="宋体" w:hAnsi="宋体" w:eastAsia="宋体"/>
          <w:sz w:val="24"/>
        </w:rPr>
      </w:pPr>
    </w:p>
    <w:p>
      <w:pPr>
        <w:pStyle w:val="25"/>
        <w:adjustRightInd w:val="0"/>
        <w:snapToGrid w:val="0"/>
        <w:spacing w:line="360" w:lineRule="auto"/>
        <w:outlineLvl w:val="2"/>
        <w:rPr>
          <w:rFonts w:ascii="宋体" w:hAnsi="宋体" w:eastAsia="宋体"/>
          <w:sz w:val="24"/>
        </w:rPr>
      </w:pPr>
    </w:p>
    <w:p>
      <w:pPr>
        <w:pStyle w:val="25"/>
        <w:adjustRightInd w:val="0"/>
        <w:snapToGrid w:val="0"/>
        <w:spacing w:line="360" w:lineRule="auto"/>
        <w:outlineLvl w:val="2"/>
        <w:rPr>
          <w:rFonts w:ascii="宋体" w:hAnsi="宋体" w:eastAsia="宋体"/>
          <w:sz w:val="24"/>
        </w:rPr>
      </w:pPr>
    </w:p>
    <w:p>
      <w:pPr>
        <w:pStyle w:val="25"/>
        <w:adjustRightInd w:val="0"/>
        <w:snapToGrid w:val="0"/>
        <w:spacing w:line="360" w:lineRule="auto"/>
        <w:outlineLvl w:val="2"/>
        <w:rPr>
          <w:rFonts w:ascii="宋体" w:hAnsi="宋体" w:eastAsia="宋体"/>
          <w:sz w:val="24"/>
        </w:rPr>
      </w:pPr>
    </w:p>
    <w:p>
      <w:pPr>
        <w:pStyle w:val="25"/>
        <w:adjustRightInd w:val="0"/>
        <w:snapToGrid w:val="0"/>
        <w:spacing w:line="360" w:lineRule="auto"/>
        <w:outlineLvl w:val="2"/>
        <w:rPr>
          <w:rFonts w:ascii="宋体" w:hAnsi="宋体" w:eastAsia="宋体"/>
          <w:sz w:val="24"/>
        </w:rPr>
        <w:sectPr>
          <w:pgSz w:w="11906" w:h="16838"/>
          <w:pgMar w:top="2098" w:right="1474" w:bottom="1701" w:left="1588" w:header="851" w:footer="992" w:gutter="0"/>
          <w:cols w:space="720" w:num="1"/>
          <w:docGrid w:type="lines" w:linePitch="312" w:charSpace="0"/>
        </w:sectPr>
      </w:pPr>
    </w:p>
    <w:p>
      <w:pPr>
        <w:autoSpaceDE w:val="0"/>
        <w:autoSpaceDN w:val="0"/>
        <w:adjustRightInd w:val="0"/>
        <w:snapToGrid w:val="0"/>
        <w:spacing w:line="360" w:lineRule="auto"/>
        <w:rPr>
          <w:rFonts w:ascii="宋体" w:hAnsi="宋体" w:cs="宋体"/>
          <w:b/>
          <w:sz w:val="32"/>
          <w:szCs w:val="32"/>
          <w:lang w:val="zh-CN"/>
        </w:rPr>
      </w:pPr>
    </w:p>
    <w:p>
      <w:pPr>
        <w:pStyle w:val="21"/>
      </w:pPr>
    </w:p>
    <w:p>
      <w:pPr>
        <w:pStyle w:val="25"/>
        <w:snapToGrid w:val="0"/>
        <w:spacing w:line="360" w:lineRule="auto"/>
        <w:ind w:firstLine="640" w:firstLineChars="200"/>
        <w:jc w:val="center"/>
        <w:outlineLvl w:val="0"/>
        <w:rPr>
          <w:rFonts w:ascii="Times New Roman" w:hAnsi="Times New Roman"/>
          <w:b/>
          <w:sz w:val="32"/>
          <w:szCs w:val="32"/>
          <w:lang w:val="zh-CN"/>
        </w:rPr>
      </w:pPr>
      <w:bookmarkStart w:id="148" w:name="_Toc1020"/>
      <w:r>
        <w:rPr>
          <w:rFonts w:ascii="Times New Roman" w:hAnsi="Times New Roman"/>
          <w:b/>
          <w:sz w:val="32"/>
          <w:szCs w:val="32"/>
          <w:lang w:val="zh-CN"/>
        </w:rPr>
        <w:t>一、法定代表人授权委托书</w:t>
      </w:r>
      <w:bookmarkEnd w:id="148"/>
      <w:r>
        <w:rPr>
          <w:rFonts w:hint="eastAsia" w:ascii="Times New Roman" w:hAnsi="Times New Roman"/>
          <w:b/>
          <w:sz w:val="32"/>
          <w:szCs w:val="32"/>
          <w:lang w:val="zh-CN"/>
        </w:rPr>
        <w:t>（</w:t>
      </w:r>
      <w:r>
        <w:rPr>
          <w:rFonts w:hint="eastAsia" w:ascii="宋体" w:hAnsi="宋体" w:eastAsia="宋体"/>
          <w:b/>
          <w:kern w:val="0"/>
          <w:sz w:val="32"/>
          <w:szCs w:val="32"/>
          <w:lang w:val="zh-CN"/>
        </w:rPr>
        <w:t>适用于非联合体投标</w:t>
      </w:r>
      <w:r>
        <w:rPr>
          <w:rFonts w:hint="eastAsia" w:ascii="Times New Roman" w:hAnsi="Times New Roman"/>
          <w:b/>
          <w:sz w:val="32"/>
          <w:szCs w:val="32"/>
          <w:lang w:val="zh-CN"/>
        </w:rPr>
        <w:t>）</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浙江工商大学  </w:t>
      </w:r>
    </w:p>
    <w:p>
      <w:pPr>
        <w:shd w:val="clear" w:color="auto" w:fill="FFFFFF"/>
        <w:snapToGrid w:val="0"/>
        <w:spacing w:line="360" w:lineRule="auto"/>
        <w:rPr>
          <w:rFonts w:ascii="宋体" w:hAnsi="宋体" w:cs="宋体"/>
          <w:szCs w:val="21"/>
        </w:rPr>
      </w:pPr>
      <w:r>
        <w:rPr>
          <w:rFonts w:hint="eastAsia" w:ascii="宋体" w:hAnsi="宋体" w:cs="宋体"/>
          <w:szCs w:val="21"/>
        </w:rPr>
        <w:t>浙江豪圣建设项目管理有限公司：</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kern w:val="0"/>
          <w:szCs w:val="21"/>
          <w:lang w:val="zh-CN"/>
        </w:rPr>
        <w:t>兹委派我公司</w:t>
      </w:r>
      <w:r>
        <w:rPr>
          <w:rFonts w:hint="eastAsia" w:ascii="宋体" w:hAnsi="宋体" w:cs="宋体"/>
          <w:kern w:val="0"/>
          <w:szCs w:val="21"/>
          <w:u w:val="single"/>
          <w:lang w:val="zh-CN"/>
        </w:rPr>
        <w:t xml:space="preserve">                </w:t>
      </w:r>
      <w:r>
        <w:rPr>
          <w:rFonts w:hint="eastAsia" w:ascii="宋体" w:hAnsi="宋体" w:cs="宋体"/>
          <w:kern w:val="0"/>
          <w:szCs w:val="21"/>
          <w:lang w:val="zh-CN"/>
        </w:rPr>
        <w:t>先生/女士(其在本公司的职务是：</w:t>
      </w:r>
      <w:r>
        <w:rPr>
          <w:rFonts w:hint="eastAsia" w:ascii="宋体" w:hAnsi="宋体" w:cs="宋体"/>
          <w:kern w:val="0"/>
          <w:szCs w:val="21"/>
          <w:u w:val="single"/>
          <w:lang w:val="zh-CN"/>
        </w:rPr>
        <w:t xml:space="preserve">                </w:t>
      </w:r>
      <w:r>
        <w:rPr>
          <w:rFonts w:hint="eastAsia" w:ascii="宋体" w:hAnsi="宋体" w:cs="宋体"/>
          <w:kern w:val="0"/>
          <w:szCs w:val="21"/>
          <w:lang w:val="zh-CN"/>
        </w:rPr>
        <w:t>，联系电话：</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传真：</w:t>
      </w:r>
      <w:r>
        <w:rPr>
          <w:rFonts w:hint="eastAsia" w:ascii="宋体" w:hAnsi="宋体" w:cs="宋体"/>
          <w:kern w:val="0"/>
          <w:szCs w:val="21"/>
          <w:u w:val="single"/>
          <w:lang w:val="zh-CN"/>
        </w:rPr>
        <w:t xml:space="preserve">           </w:t>
      </w:r>
      <w:r>
        <w:rPr>
          <w:rFonts w:hint="eastAsia" w:ascii="宋体" w:hAnsi="宋体" w:cs="宋体"/>
          <w:kern w:val="0"/>
          <w:szCs w:val="21"/>
          <w:lang w:val="zh-CN"/>
        </w:rPr>
        <w:t>)，代表我公司全权处理</w:t>
      </w:r>
      <w:r>
        <w:rPr>
          <w:rFonts w:hint="eastAsia" w:ascii="宋体" w:hAnsi="宋体" w:cs="宋体"/>
          <w:szCs w:val="21"/>
          <w:u w:val="single"/>
        </w:rPr>
        <w:t xml:space="preserve">              </w:t>
      </w:r>
      <w:r>
        <w:rPr>
          <w:rFonts w:hint="eastAsia" w:ascii="宋体" w:hAnsi="宋体" w:cs="宋体"/>
          <w:szCs w:val="21"/>
        </w:rPr>
        <w:t>(项目编号：XXXX)政府采购投标的一切事项，若中标则全权代表本公司签订相关合同，</w:t>
      </w:r>
      <w:r>
        <w:rPr>
          <w:rFonts w:hint="eastAsia" w:ascii="宋体" w:hAnsi="宋体" w:cs="宋体"/>
          <w:kern w:val="0"/>
          <w:szCs w:val="21"/>
          <w:lang w:val="zh-CN"/>
        </w:rPr>
        <w:t>并负责处理合同履行等事宜。</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lang w:val="zh-CN"/>
        </w:rPr>
        <w:t xml:space="preserve">    特此告知。</w:t>
      </w:r>
    </w:p>
    <w:p>
      <w:pPr>
        <w:shd w:val="clear" w:color="auto" w:fill="FFFFFF"/>
        <w:snapToGrid w:val="0"/>
        <w:spacing w:line="360" w:lineRule="auto"/>
        <w:jc w:val="left"/>
        <w:rPr>
          <w:rFonts w:ascii="宋体" w:hAnsi="宋体" w:cs="宋体"/>
          <w:kern w:val="0"/>
          <w:szCs w:val="21"/>
        </w:rPr>
      </w:pP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供应商名称（盖章） ：</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法定代表人或其授权代表（签字或盖章）：</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日期：     年  月  日</w:t>
      </w:r>
    </w:p>
    <w:p>
      <w:pPr>
        <w:shd w:val="clear" w:color="auto" w:fill="FFFFFF"/>
        <w:snapToGrid w:val="0"/>
        <w:spacing w:line="360" w:lineRule="auto"/>
        <w:ind w:right="480"/>
        <w:jc w:val="center"/>
        <w:rPr>
          <w:rFonts w:ascii="宋体" w:hAnsi="宋体" w:cs="宋体"/>
          <w:b/>
          <w:bCs/>
          <w:kern w:val="0"/>
          <w:szCs w:val="21"/>
          <w:lang w:val="zh-CN"/>
        </w:rPr>
      </w:pPr>
    </w:p>
    <w:p>
      <w:pPr>
        <w:pStyle w:val="25"/>
        <w:snapToGrid w:val="0"/>
        <w:spacing w:line="360" w:lineRule="auto"/>
        <w:ind w:firstLine="640" w:firstLineChars="200"/>
        <w:jc w:val="center"/>
        <w:outlineLvl w:val="0"/>
        <w:rPr>
          <w:rFonts w:ascii="Times New Roman" w:hAnsi="Times New Roman"/>
          <w:b/>
          <w:sz w:val="32"/>
          <w:szCs w:val="32"/>
          <w:lang w:val="zh-CN"/>
        </w:rPr>
      </w:pPr>
    </w:p>
    <w:p>
      <w:pPr>
        <w:pStyle w:val="25"/>
        <w:snapToGrid w:val="0"/>
        <w:spacing w:line="360" w:lineRule="auto"/>
        <w:ind w:firstLine="640" w:firstLineChars="200"/>
        <w:jc w:val="center"/>
        <w:outlineLvl w:val="0"/>
        <w:rPr>
          <w:rFonts w:ascii="Times New Roman" w:hAnsi="Times New Roman"/>
          <w:b/>
          <w:sz w:val="32"/>
          <w:szCs w:val="32"/>
          <w:lang w:val="zh-CN"/>
        </w:rPr>
      </w:pPr>
      <w:r>
        <w:rPr>
          <w:rFonts w:ascii="Times New Roman" w:hAnsi="Times New Roman"/>
          <w:b/>
          <w:sz w:val="32"/>
          <w:szCs w:val="32"/>
          <w:lang w:val="zh-CN"/>
        </w:rPr>
        <w:t>法定代表人授权委托书</w:t>
      </w:r>
      <w:r>
        <w:rPr>
          <w:rFonts w:hint="eastAsia" w:ascii="Times New Roman" w:hAnsi="Times New Roman"/>
          <w:b/>
          <w:sz w:val="32"/>
          <w:szCs w:val="32"/>
          <w:lang w:val="zh-CN"/>
        </w:rPr>
        <w:t>（</w:t>
      </w:r>
      <w:r>
        <w:rPr>
          <w:rFonts w:hint="eastAsia" w:ascii="宋体" w:hAnsi="宋体" w:eastAsia="宋体"/>
          <w:b/>
          <w:kern w:val="0"/>
          <w:sz w:val="32"/>
          <w:szCs w:val="32"/>
          <w:lang w:val="zh-CN"/>
        </w:rPr>
        <w:t>适用于联合体投标</w:t>
      </w:r>
      <w:r>
        <w:rPr>
          <w:rFonts w:hint="eastAsia" w:ascii="Times New Roman" w:hAnsi="Times New Roman"/>
          <w:b/>
          <w:sz w:val="32"/>
          <w:szCs w:val="32"/>
          <w:lang w:val="zh-CN"/>
        </w:rPr>
        <w:t>）</w:t>
      </w:r>
    </w:p>
    <w:p>
      <w:pPr>
        <w:shd w:val="clear" w:color="auto" w:fill="FFFFFF"/>
        <w:snapToGrid w:val="0"/>
        <w:spacing w:line="360" w:lineRule="auto"/>
        <w:rPr>
          <w:rFonts w:ascii="宋体" w:hAnsi="宋体" w:cs="宋体"/>
          <w:szCs w:val="21"/>
        </w:rPr>
      </w:pPr>
      <w:r>
        <w:rPr>
          <w:rFonts w:hint="eastAsia" w:ascii="宋体" w:hAnsi="宋体" w:cs="宋体"/>
          <w:szCs w:val="21"/>
        </w:rPr>
        <w:t xml:space="preserve">浙江工商大学  </w:t>
      </w:r>
    </w:p>
    <w:p>
      <w:pPr>
        <w:shd w:val="clear" w:color="auto" w:fill="FFFFFF"/>
        <w:snapToGrid w:val="0"/>
        <w:spacing w:line="360" w:lineRule="auto"/>
        <w:rPr>
          <w:rFonts w:ascii="宋体" w:hAnsi="宋体" w:cs="宋体"/>
          <w:szCs w:val="21"/>
        </w:rPr>
      </w:pPr>
      <w:r>
        <w:rPr>
          <w:rFonts w:hint="eastAsia" w:ascii="宋体" w:hAnsi="宋体" w:cs="宋体"/>
          <w:szCs w:val="21"/>
        </w:rPr>
        <w:t>浙江豪圣建设项目管理有限公司：</w:t>
      </w:r>
    </w:p>
    <w:p>
      <w:pPr>
        <w:shd w:val="clear" w:color="auto" w:fill="FFFFFF"/>
        <w:snapToGrid w:val="0"/>
        <w:spacing w:line="360" w:lineRule="auto"/>
        <w:ind w:firstLine="420" w:firstLineChars="200"/>
        <w:rPr>
          <w:rFonts w:ascii="宋体" w:hAnsi="宋体" w:cs="宋体"/>
          <w:szCs w:val="21"/>
        </w:rPr>
      </w:pPr>
      <w:r>
        <w:rPr>
          <w:rFonts w:hint="eastAsia" w:ascii="宋体" w:hAnsi="宋体" w:cs="宋体"/>
          <w:kern w:val="0"/>
          <w:szCs w:val="21"/>
          <w:lang w:val="zh-CN"/>
        </w:rPr>
        <w:t>兹委派我公司</w:t>
      </w:r>
      <w:r>
        <w:rPr>
          <w:rFonts w:hint="eastAsia" w:ascii="宋体" w:hAnsi="宋体" w:cs="宋体"/>
          <w:kern w:val="0"/>
          <w:szCs w:val="21"/>
          <w:u w:val="single"/>
          <w:lang w:val="zh-CN"/>
        </w:rPr>
        <w:t xml:space="preserve">                </w:t>
      </w:r>
      <w:r>
        <w:rPr>
          <w:rFonts w:hint="eastAsia" w:ascii="宋体" w:hAnsi="宋体" w:cs="宋体"/>
          <w:kern w:val="0"/>
          <w:szCs w:val="21"/>
          <w:lang w:val="zh-CN"/>
        </w:rPr>
        <w:t>先生/女士(其在本公司的职务是：</w:t>
      </w:r>
      <w:r>
        <w:rPr>
          <w:rFonts w:hint="eastAsia" w:ascii="宋体" w:hAnsi="宋体" w:cs="宋体"/>
          <w:kern w:val="0"/>
          <w:szCs w:val="21"/>
          <w:u w:val="single"/>
          <w:lang w:val="zh-CN"/>
        </w:rPr>
        <w:t xml:space="preserve">                </w:t>
      </w:r>
      <w:r>
        <w:rPr>
          <w:rFonts w:hint="eastAsia" w:ascii="宋体" w:hAnsi="宋体" w:cs="宋体"/>
          <w:kern w:val="0"/>
          <w:szCs w:val="21"/>
          <w:lang w:val="zh-CN"/>
        </w:rPr>
        <w:t>，联系电话：</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传真：</w:t>
      </w:r>
      <w:r>
        <w:rPr>
          <w:rFonts w:hint="eastAsia" w:ascii="宋体" w:hAnsi="宋体" w:cs="宋体"/>
          <w:kern w:val="0"/>
          <w:szCs w:val="21"/>
          <w:u w:val="single"/>
          <w:lang w:val="zh-CN"/>
        </w:rPr>
        <w:t xml:space="preserve">           </w:t>
      </w:r>
      <w:r>
        <w:rPr>
          <w:rFonts w:hint="eastAsia" w:ascii="宋体" w:hAnsi="宋体" w:cs="宋体"/>
          <w:kern w:val="0"/>
          <w:szCs w:val="21"/>
          <w:lang w:val="zh-CN"/>
        </w:rPr>
        <w:t>)，代表我公司全权处理</w:t>
      </w:r>
      <w:r>
        <w:rPr>
          <w:rFonts w:hint="eastAsia" w:ascii="宋体" w:hAnsi="宋体" w:cs="宋体"/>
          <w:szCs w:val="21"/>
          <w:u w:val="single"/>
        </w:rPr>
        <w:t xml:space="preserve">               </w:t>
      </w:r>
      <w:r>
        <w:rPr>
          <w:rFonts w:hint="eastAsia" w:ascii="宋体" w:hAnsi="宋体" w:cs="宋体"/>
          <w:szCs w:val="21"/>
        </w:rPr>
        <w:t>(项目编号：XXXX)政府采购投标的一切事项，若中标则全权代表本公司签订相关合同，</w:t>
      </w:r>
      <w:r>
        <w:rPr>
          <w:rFonts w:hint="eastAsia" w:ascii="宋体" w:hAnsi="宋体" w:cs="宋体"/>
          <w:kern w:val="0"/>
          <w:szCs w:val="21"/>
          <w:lang w:val="zh-CN"/>
        </w:rPr>
        <w:t>并负责处理合同履行等事宜。</w:t>
      </w:r>
    </w:p>
    <w:p>
      <w:pPr>
        <w:shd w:val="clear" w:color="auto" w:fill="FFFFFF"/>
        <w:snapToGrid w:val="0"/>
        <w:spacing w:line="360" w:lineRule="auto"/>
        <w:rPr>
          <w:rFonts w:ascii="宋体" w:hAnsi="宋体" w:cs="宋体"/>
          <w:kern w:val="0"/>
          <w:szCs w:val="21"/>
        </w:rPr>
      </w:pPr>
      <w:r>
        <w:rPr>
          <w:rFonts w:hint="eastAsia" w:ascii="宋体" w:hAnsi="宋体" w:cs="宋体"/>
          <w:kern w:val="0"/>
          <w:szCs w:val="21"/>
          <w:lang w:val="zh-CN"/>
        </w:rPr>
        <w:t xml:space="preserve">    特此告知。</w:t>
      </w:r>
    </w:p>
    <w:p>
      <w:pPr>
        <w:shd w:val="clear" w:color="auto" w:fill="FFFFFF"/>
        <w:snapToGrid w:val="0"/>
        <w:spacing w:line="360" w:lineRule="auto"/>
        <w:jc w:val="left"/>
        <w:rPr>
          <w:rFonts w:ascii="宋体" w:hAnsi="宋体" w:cs="宋体"/>
          <w:kern w:val="0"/>
          <w:szCs w:val="21"/>
        </w:rPr>
      </w:pP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pStyle w:val="25"/>
        <w:snapToGrid w:val="0"/>
        <w:spacing w:line="360" w:lineRule="auto"/>
        <w:ind w:firstLine="420" w:firstLineChars="200"/>
        <w:jc w:val="center"/>
        <w:outlineLvl w:val="0"/>
        <w:rPr>
          <w:rFonts w:ascii="宋体" w:hAnsi="宋体" w:eastAsia="宋体"/>
          <w:b/>
          <w:lang w:val="zh-CN"/>
        </w:rPr>
      </w:pPr>
      <w:r>
        <w:rPr>
          <w:rFonts w:hint="eastAsia" w:ascii="宋体" w:hAnsi="宋体" w:eastAsia="宋体"/>
          <w:kern w:val="0"/>
        </w:rPr>
        <w:t xml:space="preserve">                         日期：     年  月  日</w:t>
      </w:r>
    </w:p>
    <w:p>
      <w:pPr>
        <w:pStyle w:val="25"/>
        <w:snapToGrid w:val="0"/>
        <w:spacing w:line="360" w:lineRule="auto"/>
        <w:ind w:firstLine="422" w:firstLineChars="200"/>
        <w:jc w:val="center"/>
        <w:outlineLvl w:val="0"/>
        <w:rPr>
          <w:rFonts w:ascii="宋体" w:hAnsi="宋体" w:eastAsia="宋体"/>
          <w:b/>
          <w:lang w:val="zh-CN"/>
        </w:rPr>
        <w:sectPr>
          <w:pgSz w:w="11906" w:h="16838"/>
          <w:pgMar w:top="1134" w:right="1247" w:bottom="1247" w:left="1304" w:header="794" w:footer="794" w:gutter="0"/>
          <w:cols w:space="720" w:num="1"/>
          <w:docGrid w:type="lines" w:linePitch="312" w:charSpace="0"/>
        </w:sectPr>
      </w:pPr>
    </w:p>
    <w:p>
      <w:pPr>
        <w:shd w:val="clear" w:color="auto" w:fill="FFFFFF"/>
        <w:adjustRightInd w:val="0"/>
        <w:snapToGrid w:val="0"/>
        <w:spacing w:line="360" w:lineRule="auto"/>
        <w:ind w:firstLine="422" w:firstLineChars="200"/>
        <w:rPr>
          <w:rFonts w:ascii="宋体" w:hAnsi="宋体" w:cs="宋体"/>
          <w:b/>
          <w:bCs/>
          <w:kern w:val="0"/>
          <w:szCs w:val="21"/>
          <w:lang w:val="zh-CN"/>
        </w:rPr>
      </w:pPr>
    </w:p>
    <w:p>
      <w:pPr>
        <w:pStyle w:val="58"/>
        <w:rPr>
          <w:color w:val="auto"/>
          <w:lang w:val="zh-CN"/>
        </w:rPr>
      </w:pPr>
    </w:p>
    <w:p>
      <w:pPr>
        <w:pStyle w:val="59"/>
        <w:rPr>
          <w:lang w:val="zh-CN"/>
        </w:rPr>
      </w:pPr>
    </w:p>
    <w:p>
      <w:pPr>
        <w:pStyle w:val="25"/>
        <w:snapToGrid w:val="0"/>
        <w:spacing w:line="360" w:lineRule="auto"/>
        <w:ind w:firstLine="640" w:firstLineChars="20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t>二、法定代表人及授权代表人的身份证 (复印件加盖公章)</w:t>
      </w:r>
    </w:p>
    <w:p>
      <w:pPr>
        <w:pStyle w:val="25"/>
        <w:snapToGrid w:val="0"/>
        <w:spacing w:line="360" w:lineRule="auto"/>
        <w:jc w:val="center"/>
        <w:outlineLvl w:val="0"/>
        <w:rPr>
          <w:rFonts w:ascii="Times New Roman" w:hAnsi="Times New Roman" w:cs="Times New Roman"/>
          <w:b/>
          <w:sz w:val="32"/>
          <w:szCs w:val="32"/>
          <w:lang w:val="zh-CN"/>
        </w:rPr>
      </w:pPr>
      <w:r>
        <w:rPr>
          <w:rFonts w:hint="eastAsia" w:ascii="Times New Roman" w:hAnsi="Times New Roman" w:cs="Times New Roman"/>
          <w:b/>
          <w:sz w:val="32"/>
          <w:szCs w:val="32"/>
        </w:rPr>
        <w:t>三、</w:t>
      </w:r>
      <w:r>
        <w:rPr>
          <w:rFonts w:ascii="Times New Roman" w:hAnsi="Times New Roman" w:cs="Times New Roman"/>
          <w:b/>
          <w:sz w:val="32"/>
          <w:szCs w:val="32"/>
          <w:lang w:val="zh-CN"/>
        </w:rPr>
        <w:t>公司介绍及提供同类项目经验</w:t>
      </w:r>
      <w:r>
        <w:rPr>
          <w:rFonts w:hint="eastAsia" w:ascii="Times New Roman" w:hAnsi="Times New Roman" w:cs="Times New Roman"/>
          <w:b/>
          <w:sz w:val="32"/>
          <w:szCs w:val="32"/>
          <w:lang w:val="zh-CN"/>
        </w:rPr>
        <w:t>。</w:t>
      </w:r>
    </w:p>
    <w:p>
      <w:pPr>
        <w:pStyle w:val="25"/>
        <w:snapToGrid w:val="0"/>
        <w:spacing w:line="360" w:lineRule="auto"/>
        <w:ind w:firstLine="640" w:firstLineChars="200"/>
        <w:jc w:val="center"/>
        <w:outlineLvl w:val="0"/>
        <w:rPr>
          <w:rFonts w:ascii="Times New Roman" w:hAnsi="Times New Roman" w:cs="Times New Roman"/>
          <w:b/>
          <w:sz w:val="32"/>
          <w:szCs w:val="32"/>
          <w:lang w:val="zh-CN"/>
        </w:rPr>
      </w:pPr>
      <w:r>
        <w:rPr>
          <w:rFonts w:hint="eastAsia" w:ascii="Times New Roman" w:hAnsi="Times New Roman" w:cs="Times New Roman"/>
          <w:b/>
          <w:sz w:val="32"/>
          <w:szCs w:val="32"/>
        </w:rPr>
        <w:t>四、</w:t>
      </w:r>
      <w:r>
        <w:rPr>
          <w:rFonts w:ascii="Times New Roman" w:hAnsi="Times New Roman" w:cs="Times New Roman"/>
          <w:b/>
          <w:sz w:val="32"/>
          <w:szCs w:val="32"/>
          <w:lang w:val="zh-CN"/>
        </w:rPr>
        <w:t>资质文件（如有）</w:t>
      </w:r>
      <w:r>
        <w:rPr>
          <w:rFonts w:hint="eastAsia" w:ascii="Times New Roman" w:hAnsi="Times New Roman" w:cs="Times New Roman"/>
          <w:b/>
          <w:sz w:val="32"/>
          <w:szCs w:val="32"/>
          <w:lang w:val="zh-CN"/>
        </w:rPr>
        <w:t>。</w:t>
      </w:r>
    </w:p>
    <w:p>
      <w:pPr>
        <w:pStyle w:val="25"/>
        <w:snapToGrid w:val="0"/>
        <w:spacing w:line="360" w:lineRule="auto"/>
        <w:ind w:firstLine="640" w:firstLineChars="200"/>
        <w:jc w:val="center"/>
        <w:outlineLvl w:val="0"/>
        <w:rPr>
          <w:rFonts w:ascii="Times New Roman" w:hAnsi="Times New Roman" w:cs="Times New Roman"/>
          <w:b/>
          <w:sz w:val="32"/>
          <w:szCs w:val="32"/>
        </w:rPr>
      </w:pPr>
    </w:p>
    <w:p>
      <w:pPr>
        <w:pStyle w:val="25"/>
        <w:snapToGrid w:val="0"/>
        <w:spacing w:line="360" w:lineRule="auto"/>
        <w:ind w:firstLine="640" w:firstLineChars="200"/>
        <w:jc w:val="center"/>
        <w:outlineLvl w:val="0"/>
        <w:rPr>
          <w:rFonts w:ascii="Times New Roman" w:hAnsi="Times New Roman" w:cs="Times New Roman"/>
          <w:b/>
          <w:sz w:val="32"/>
          <w:szCs w:val="32"/>
        </w:rPr>
      </w:pPr>
    </w:p>
    <w:p>
      <w:pPr>
        <w:pStyle w:val="25"/>
        <w:snapToGrid w:val="0"/>
        <w:spacing w:line="360" w:lineRule="auto"/>
        <w:ind w:firstLine="640" w:firstLineChars="200"/>
        <w:jc w:val="center"/>
        <w:outlineLvl w:val="0"/>
        <w:rPr>
          <w:rFonts w:ascii="Times New Roman" w:hAnsi="Times New Roman" w:cs="Times New Roman"/>
          <w:b/>
          <w:sz w:val="32"/>
          <w:szCs w:val="32"/>
        </w:rPr>
      </w:pPr>
    </w:p>
    <w:p>
      <w:pPr>
        <w:pStyle w:val="25"/>
        <w:snapToGrid w:val="0"/>
        <w:spacing w:line="360" w:lineRule="auto"/>
        <w:ind w:firstLine="640" w:firstLineChars="200"/>
        <w:jc w:val="center"/>
        <w:outlineLvl w:val="0"/>
        <w:rPr>
          <w:rFonts w:ascii="Times New Roman" w:hAnsi="Times New Roman" w:cs="Times New Roman"/>
          <w:b/>
          <w:sz w:val="32"/>
          <w:szCs w:val="32"/>
          <w:lang w:val="zh-CN"/>
        </w:rPr>
      </w:pPr>
      <w:r>
        <w:rPr>
          <w:rFonts w:hint="eastAsia" w:ascii="Times New Roman" w:hAnsi="Times New Roman" w:cs="Times New Roman"/>
          <w:b/>
          <w:sz w:val="32"/>
          <w:szCs w:val="32"/>
        </w:rPr>
        <w:t>五、商务、</w:t>
      </w:r>
      <w:r>
        <w:rPr>
          <w:rFonts w:ascii="Times New Roman" w:hAnsi="Times New Roman" w:cs="Times New Roman"/>
          <w:b/>
          <w:sz w:val="32"/>
          <w:szCs w:val="32"/>
          <w:lang w:val="zh-CN"/>
        </w:rPr>
        <w:t>技术偏离表</w:t>
      </w:r>
      <w:r>
        <w:rPr>
          <w:rFonts w:hint="eastAsia" w:ascii="Times New Roman" w:hAnsi="Times New Roman" w:cs="Times New Roman"/>
          <w:b/>
          <w:sz w:val="32"/>
          <w:szCs w:val="32"/>
          <w:lang w:val="zh-CN"/>
        </w:rPr>
        <w:t>。</w:t>
      </w:r>
    </w:p>
    <w:p>
      <w:pPr>
        <w:tabs>
          <w:tab w:val="left" w:pos="1418"/>
        </w:tabs>
        <w:snapToGrid w:val="0"/>
        <w:spacing w:before="50" w:after="50" w:line="360" w:lineRule="auto"/>
        <w:ind w:firstLine="480" w:firstLineChars="200"/>
        <w:rPr>
          <w:sz w:val="24"/>
        </w:rPr>
      </w:pPr>
      <w:r>
        <w:rPr>
          <w:sz w:val="24"/>
        </w:rPr>
        <w:t>项目名称：</w:t>
      </w:r>
      <w:r>
        <w:rPr>
          <w:sz w:val="24"/>
          <w:u w:val="single"/>
        </w:rPr>
        <w:t xml:space="preserve">              </w:t>
      </w:r>
      <w:r>
        <w:rPr>
          <w:sz w:val="24"/>
        </w:rPr>
        <w:t xml:space="preserve">                       项目编号：</w:t>
      </w:r>
      <w:r>
        <w:rPr>
          <w:sz w:val="24"/>
          <w:u w:val="single"/>
        </w:rPr>
        <w:t xml:space="preserve">              </w:t>
      </w:r>
      <w:r>
        <w:rPr>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946"/>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rPr>
            </w:pPr>
            <w:r>
              <w:rPr>
                <w:sz w:val="24"/>
              </w:rPr>
              <w:t>采购文件要求</w:t>
            </w:r>
          </w:p>
        </w:tc>
        <w:tc>
          <w:tcPr>
            <w:tcW w:w="1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rPr>
            </w:pPr>
            <w:r>
              <w:rPr>
                <w:sz w:val="24"/>
              </w:rPr>
              <w:t>采购文件响应</w:t>
            </w:r>
          </w:p>
        </w:tc>
        <w:tc>
          <w:tcPr>
            <w:tcW w:w="1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rPr>
            </w:pPr>
            <w:r>
              <w:rPr>
                <w:sz w:val="24"/>
              </w:rPr>
              <w:t>偏离</w:t>
            </w:r>
          </w:p>
        </w:tc>
        <w:tc>
          <w:tcPr>
            <w:tcW w:w="22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19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c>
          <w:tcPr>
            <w:tcW w:w="22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sz w:val="24"/>
              </w:rPr>
            </w:pPr>
          </w:p>
        </w:tc>
      </w:tr>
    </w:tbl>
    <w:p>
      <w:pPr>
        <w:snapToGrid w:val="0"/>
        <w:spacing w:line="360" w:lineRule="auto"/>
        <w:ind w:firstLine="211" w:firstLineChars="100"/>
        <w:rPr>
          <w:b/>
          <w:bCs/>
        </w:rPr>
      </w:pPr>
    </w:p>
    <w:p>
      <w:pPr>
        <w:autoSpaceDE w:val="0"/>
        <w:autoSpaceDN w:val="0"/>
        <w:snapToGrid w:val="0"/>
        <w:spacing w:line="360" w:lineRule="auto"/>
        <w:ind w:firstLine="5160" w:firstLineChars="2150"/>
        <w:rPr>
          <w:kern w:val="0"/>
          <w:sz w:val="24"/>
          <w:lang w:val="zh-CN"/>
        </w:rPr>
      </w:pPr>
    </w:p>
    <w:p>
      <w:pPr>
        <w:snapToGrid w:val="0"/>
        <w:spacing w:line="360" w:lineRule="auto"/>
        <w:ind w:firstLine="480" w:firstLineChars="200"/>
        <w:jc w:val="left"/>
        <w:rPr>
          <w:kern w:val="0"/>
          <w:sz w:val="24"/>
        </w:rPr>
      </w:pPr>
      <w:r>
        <w:rPr>
          <w:kern w:val="0"/>
          <w:sz w:val="24"/>
        </w:rPr>
        <w:t>供应商名称（盖章） ：</w:t>
      </w:r>
    </w:p>
    <w:p>
      <w:pPr>
        <w:snapToGrid w:val="0"/>
        <w:spacing w:line="360" w:lineRule="auto"/>
        <w:ind w:firstLine="480" w:firstLineChars="200"/>
        <w:jc w:val="left"/>
        <w:rPr>
          <w:kern w:val="0"/>
          <w:sz w:val="24"/>
        </w:rPr>
      </w:pPr>
      <w:r>
        <w:rPr>
          <w:kern w:val="0"/>
          <w:sz w:val="24"/>
        </w:rPr>
        <w:t>法定代表人或其授权代表（签字或盖章）：</w:t>
      </w:r>
    </w:p>
    <w:p>
      <w:pPr>
        <w:autoSpaceDE w:val="0"/>
        <w:autoSpaceDN w:val="0"/>
        <w:snapToGrid w:val="0"/>
        <w:spacing w:line="360" w:lineRule="auto"/>
        <w:ind w:firstLine="480" w:firstLineChars="200"/>
        <w:rPr>
          <w:kern w:val="0"/>
          <w:sz w:val="24"/>
          <w:lang w:val="zh-CN"/>
        </w:rPr>
      </w:pPr>
      <w:r>
        <w:rPr>
          <w:kern w:val="0"/>
          <w:sz w:val="24"/>
        </w:rPr>
        <w:t>日期：     年  月  日</w:t>
      </w:r>
    </w:p>
    <w:p>
      <w:pPr>
        <w:snapToGrid w:val="0"/>
        <w:spacing w:line="360" w:lineRule="auto"/>
        <w:ind w:firstLine="211" w:firstLineChars="100"/>
        <w:rPr>
          <w:b/>
          <w:bCs/>
        </w:rPr>
      </w:pPr>
    </w:p>
    <w:p>
      <w:pPr>
        <w:pStyle w:val="25"/>
        <w:snapToGrid w:val="0"/>
        <w:spacing w:line="360" w:lineRule="auto"/>
        <w:ind w:firstLine="640" w:firstLineChars="200"/>
        <w:jc w:val="center"/>
        <w:outlineLvl w:val="0"/>
        <w:rPr>
          <w:rFonts w:ascii="Times New Roman" w:hAnsi="Times New Roman" w:cs="Times New Roman"/>
          <w:b/>
          <w:sz w:val="32"/>
          <w:szCs w:val="32"/>
          <w:lang w:val="zh-CN"/>
        </w:rPr>
        <w:sectPr>
          <w:pgSz w:w="11906" w:h="16838"/>
          <w:pgMar w:top="1134" w:right="1247" w:bottom="1247" w:left="1304" w:header="794" w:footer="794" w:gutter="0"/>
          <w:cols w:space="720" w:num="1"/>
          <w:docGrid w:type="lines" w:linePitch="312" w:charSpace="0"/>
        </w:sectPr>
      </w:pPr>
    </w:p>
    <w:p>
      <w:pPr>
        <w:ind w:firstLine="2891" w:firstLineChars="900"/>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六、</w:t>
      </w:r>
      <w:r>
        <w:rPr>
          <w:rFonts w:ascii="宋体" w:hAnsi="宋体" w:cs="宋体"/>
          <w:b/>
          <w:kern w:val="0"/>
          <w:sz w:val="32"/>
          <w:szCs w:val="32"/>
        </w:rPr>
        <w:t>投标标的清单</w:t>
      </w:r>
    </w:p>
    <w:p>
      <w:pPr>
        <w:pStyle w:val="25"/>
        <w:numPr>
          <w:ilvl w:val="255"/>
          <w:numId w:val="0"/>
        </w:numPr>
        <w:snapToGrid w:val="0"/>
        <w:spacing w:line="360" w:lineRule="auto"/>
        <w:jc w:val="center"/>
        <w:outlineLvl w:val="0"/>
        <w:rPr>
          <w:rFonts w:ascii="Times New Roman" w:hAnsi="Times New Roman" w:cs="Times New Roman"/>
          <w:b/>
          <w:sz w:val="32"/>
          <w:szCs w:val="32"/>
          <w:lang w:val="zh-CN"/>
        </w:rPr>
      </w:pPr>
    </w:p>
    <w:tbl>
      <w:tblPr>
        <w:tblStyle w:val="4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26"/>
        <w:gridCol w:w="1843"/>
        <w:gridCol w:w="1843"/>
        <w:gridCol w:w="130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序号</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规格型号</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ascii="宋体" w:hAnsi="宋体" w:cs="宋体"/>
                <w:b/>
                <w:sz w:val="24"/>
              </w:rPr>
              <w:t>备注</w:t>
            </w:r>
            <w:r>
              <w:rPr>
                <w:rFonts w:hint="eastAsia" w:ascii="宋体" w:hAnsi="宋体" w:cs="宋体"/>
                <w:b/>
                <w:sz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ascii="宋体" w:hAnsi="宋体" w:cs="宋体"/>
                <w:sz w:val="24"/>
              </w:rPr>
              <w:t>1</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ascii="宋体" w:hAnsi="宋体" w:cs="宋体"/>
                <w:sz w:val="24"/>
              </w:rPr>
              <w:t>2</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ascii="宋体" w:hAnsi="宋体" w:cs="宋体"/>
                <w:sz w:val="24"/>
              </w:rPr>
              <w:t>……</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rPr>
          <w:lang w:val="zh-CN"/>
        </w:rPr>
      </w:pPr>
    </w:p>
    <w:p>
      <w:pPr>
        <w:pStyle w:val="32"/>
        <w:rPr>
          <w:lang w:val="zh-CN"/>
        </w:rPr>
      </w:pPr>
    </w:p>
    <w:p>
      <w:pPr>
        <w:pStyle w:val="25"/>
        <w:snapToGrid w:val="0"/>
        <w:spacing w:line="360" w:lineRule="auto"/>
        <w:jc w:val="center"/>
        <w:outlineLvl w:val="0"/>
        <w:rPr>
          <w:rFonts w:ascii="Times New Roman" w:hAnsi="Times New Roman" w:cs="Times New Roman"/>
          <w:b/>
          <w:sz w:val="32"/>
          <w:szCs w:val="32"/>
          <w:lang w:val="zh-CN"/>
        </w:rPr>
      </w:pPr>
      <w:r>
        <w:rPr>
          <w:rFonts w:hint="eastAsia" w:ascii="Times New Roman" w:hAnsi="Times New Roman" w:cs="Times New Roman"/>
          <w:b/>
          <w:sz w:val="32"/>
          <w:szCs w:val="32"/>
        </w:rPr>
        <w:t>七</w:t>
      </w:r>
      <w:r>
        <w:rPr>
          <w:rFonts w:hint="eastAsia" w:ascii="Times New Roman" w:hAnsi="Times New Roman" w:cs="Times New Roman"/>
          <w:b/>
          <w:sz w:val="32"/>
          <w:szCs w:val="32"/>
          <w:lang w:val="zh-CN"/>
        </w:rPr>
        <w:t>、评标标准相应的商务技术资料</w:t>
      </w:r>
    </w:p>
    <w:p>
      <w:pPr>
        <w:rPr>
          <w:lang w:val="zh-CN"/>
        </w:rPr>
      </w:pPr>
    </w:p>
    <w:p>
      <w:pPr>
        <w:pStyle w:val="32"/>
      </w:pPr>
    </w:p>
    <w:p>
      <w:pPr>
        <w:snapToGrid w:val="0"/>
        <w:spacing w:line="360" w:lineRule="auto"/>
        <w:jc w:val="center"/>
        <w:rPr>
          <w:rFonts w:ascii="宋体" w:hAnsi="宋体" w:cs="宋体"/>
          <w:b/>
          <w:bCs/>
          <w:szCs w:val="21"/>
        </w:rPr>
      </w:pPr>
      <w:r>
        <w:rPr>
          <w:rFonts w:hint="eastAsia"/>
          <w:b/>
          <w:sz w:val="32"/>
          <w:szCs w:val="32"/>
        </w:rPr>
        <w:br w:type="page"/>
      </w:r>
      <w:r>
        <w:rPr>
          <w:rFonts w:hint="eastAsia"/>
          <w:b/>
          <w:sz w:val="32"/>
          <w:szCs w:val="32"/>
        </w:rPr>
        <w:t>八、分包意向协议</w:t>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分包意向协议</w:t>
      </w:r>
    </w:p>
    <w:p>
      <w:pPr>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szCs w:val="21"/>
          <w:u w:val="single"/>
        </w:rPr>
        <w:t>（标项：     ）</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3"/>
        <w:tabs>
          <w:tab w:val="left" w:pos="432"/>
          <w:tab w:val="left" w:pos="1110"/>
          <w:tab w:val="clear" w:pos="706"/>
        </w:tabs>
        <w:ind w:left="664" w:leftChars="316" w:firstLine="200" w:firstLineChars="95"/>
        <w:rPr>
          <w:rFonts w:ascii="宋体" w:hAnsi="宋体" w:eastAsia="宋体" w:cs="宋体"/>
          <w:szCs w:val="21"/>
        </w:rPr>
      </w:pPr>
      <w:r>
        <w:rPr>
          <w:rFonts w:hint="eastAsia" w:ascii="宋体" w:hAnsi="宋体" w:eastAsia="宋体" w:cs="宋体"/>
          <w:kern w:val="0"/>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u w:val="single"/>
        </w:rPr>
        <w:t>（分包供应商名称）提供的服务全部由小微企业承接，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（未预留份额专门面向中小企业采购的采购项目，以及预留份额中的非预留部分采购包，允许分包的，分包供应商提供的</w:t>
      </w:r>
      <w:r>
        <w:rPr>
          <w:rFonts w:hint="eastAsia" w:ascii="宋体" w:hAnsi="宋体" w:cs="宋体"/>
          <w:b/>
          <w:kern w:val="0"/>
          <w:szCs w:val="21"/>
        </w:rPr>
        <w:t>服务</w:t>
      </w:r>
      <w:r>
        <w:rPr>
          <w:rFonts w:hint="eastAsia" w:ascii="宋体" w:hAnsi="宋体" w:cs="宋体"/>
          <w:b/>
          <w:kern w:val="0"/>
          <w:szCs w:val="21"/>
          <w:lang w:val="zh-CN"/>
        </w:rPr>
        <w:t>全部由小微企业</w:t>
      </w:r>
      <w:r>
        <w:rPr>
          <w:rFonts w:hint="eastAsia" w:ascii="宋体" w:hAnsi="宋体" w:cs="宋体"/>
          <w:b/>
          <w:kern w:val="0"/>
          <w:szCs w:val="21"/>
        </w:rPr>
        <w:t>承接</w:t>
      </w:r>
      <w:r>
        <w:rPr>
          <w:rFonts w:hint="eastAsia" w:ascii="宋体" w:hAnsi="宋体" w:cs="宋体"/>
          <w:b/>
          <w:kern w:val="0"/>
          <w:szCs w:val="21"/>
          <w:lang w:val="zh-CN"/>
        </w:rPr>
        <w:t>，且其合同份额占到合同总金额30%以上的，对大中型企业的报价给予</w:t>
      </w:r>
      <w:r>
        <w:rPr>
          <w:rFonts w:hint="eastAsia" w:ascii="宋体" w:hAnsi="宋体" w:cs="宋体"/>
          <w:b/>
          <w:kern w:val="0"/>
          <w:szCs w:val="21"/>
        </w:rPr>
        <w:t>4</w:t>
      </w:r>
      <w:r>
        <w:rPr>
          <w:rFonts w:hint="eastAsia" w:ascii="宋体" w:hAnsi="宋体" w:cs="宋体"/>
          <w:b/>
          <w:kern w:val="0"/>
          <w:szCs w:val="21"/>
          <w:lang w:val="zh-CN"/>
        </w:rPr>
        <w:t>%的扣除）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w:t>
      </w:r>
      <w:r>
        <w:rPr>
          <w:rFonts w:hint="eastAsia" w:ascii="宋体" w:hAnsi="宋体" w:cs="宋体"/>
          <w:kern w:val="0"/>
          <w:szCs w:val="21"/>
        </w:rPr>
        <w:t>公章</w:t>
      </w:r>
      <w:r>
        <w:rPr>
          <w:rFonts w:hint="eastAsia" w:ascii="宋体" w:hAnsi="宋体" w:cs="宋体"/>
          <w:kern w:val="0"/>
          <w:szCs w:val="21"/>
          <w:lang w:val="zh-CN"/>
        </w:rPr>
        <w:t>)：</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pacing w:line="360" w:lineRule="auto"/>
        <w:ind w:right="420"/>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right="420"/>
        <w:rPr>
          <w:rFonts w:ascii="宋体" w:hAnsi="宋体" w:cs="宋体"/>
          <w:szCs w:val="21"/>
        </w:rPr>
      </w:pPr>
      <w:r>
        <w:rPr>
          <w:rFonts w:hint="eastAsia" w:ascii="宋体" w:hAnsi="宋体" w:cs="宋体"/>
          <w:szCs w:val="21"/>
        </w:rPr>
        <w:t>注：按本格式和要求提供。</w:t>
      </w:r>
    </w:p>
    <w:p>
      <w:pPr>
        <w:pStyle w:val="25"/>
        <w:snapToGrid w:val="0"/>
        <w:spacing w:line="360" w:lineRule="auto"/>
        <w:ind w:firstLine="640" w:firstLineChars="200"/>
        <w:jc w:val="center"/>
        <w:outlineLvl w:val="0"/>
        <w:rPr>
          <w:rFonts w:ascii="Times New Roman" w:hAnsi="Times New Roman" w:cs="Times New Roman"/>
          <w:b/>
          <w:sz w:val="32"/>
          <w:szCs w:val="32"/>
        </w:rPr>
      </w:pPr>
    </w:p>
    <w:p>
      <w:pPr>
        <w:pStyle w:val="25"/>
        <w:snapToGrid w:val="0"/>
        <w:spacing w:line="360" w:lineRule="auto"/>
        <w:ind w:firstLine="643" w:firstLineChars="200"/>
        <w:jc w:val="center"/>
        <w:outlineLvl w:val="0"/>
        <w:rPr>
          <w:rFonts w:ascii="Times New Roman" w:hAnsi="Times New Roman" w:cs="Times New Roman"/>
          <w:b/>
          <w:sz w:val="32"/>
          <w:szCs w:val="32"/>
          <w:lang w:val="zh-CN"/>
        </w:rPr>
      </w:pPr>
      <w:r>
        <w:rPr>
          <w:rFonts w:hint="eastAsia" w:ascii="Times New Roman" w:hAnsi="Times New Roman" w:eastAsia="宋体" w:cs="Times New Roman"/>
          <w:b/>
          <w:sz w:val="32"/>
          <w:szCs w:val="32"/>
        </w:rPr>
        <w:t>九</w:t>
      </w:r>
      <w:r>
        <w:rPr>
          <w:rFonts w:hint="eastAsia" w:ascii="Times New Roman" w:hAnsi="Times New Roman" w:cs="Times New Roman"/>
          <w:b/>
          <w:sz w:val="32"/>
          <w:szCs w:val="32"/>
        </w:rPr>
        <w:t>、</w:t>
      </w:r>
      <w:r>
        <w:rPr>
          <w:rFonts w:ascii="Times New Roman" w:hAnsi="Times New Roman" w:cs="Times New Roman"/>
          <w:b/>
          <w:sz w:val="32"/>
          <w:szCs w:val="32"/>
          <w:lang w:val="zh-CN"/>
        </w:rPr>
        <w:t>其他必要提供的资料</w:t>
      </w:r>
      <w:r>
        <w:rPr>
          <w:rFonts w:hint="eastAsia" w:ascii="Times New Roman" w:hAnsi="Times New Roman" w:cs="Times New Roman"/>
          <w:b/>
          <w:sz w:val="32"/>
          <w:szCs w:val="32"/>
          <w:lang w:val="zh-CN"/>
        </w:rPr>
        <w:t>。</w:t>
      </w:r>
    </w:p>
    <w:p>
      <w:pPr>
        <w:pStyle w:val="35"/>
        <w:rPr>
          <w:lang w:val="zh-CN"/>
        </w:rPr>
      </w:pPr>
    </w:p>
    <w:p>
      <w:pPr>
        <w:rPr>
          <w:lang w:val="zh-CN"/>
        </w:rPr>
      </w:pPr>
    </w:p>
    <w:p>
      <w:pPr>
        <w:pStyle w:val="32"/>
        <w:rPr>
          <w:lang w:val="zh-CN"/>
        </w:rPr>
      </w:pPr>
    </w:p>
    <w:p>
      <w:pPr>
        <w:rPr>
          <w:lang w:val="zh-CN"/>
        </w:rPr>
      </w:pPr>
    </w:p>
    <w:p>
      <w:pPr>
        <w:pStyle w:val="32"/>
      </w:pPr>
    </w:p>
    <w:bookmarkEnd w:id="113"/>
    <w:p>
      <w:pPr>
        <w:pStyle w:val="2"/>
        <w:pageBreakBefore/>
        <w:tabs>
          <w:tab w:val="left" w:pos="432"/>
        </w:tabs>
        <w:rPr>
          <w:rFonts w:ascii="宋体" w:hAnsi="宋体" w:cs="宋体"/>
          <w:sz w:val="36"/>
        </w:rPr>
      </w:pPr>
      <w:bookmarkStart w:id="149" w:name="_Toc20103"/>
      <w:r>
        <w:rPr>
          <w:rFonts w:hint="eastAsia" w:ascii="宋体" w:hAnsi="宋体" w:cs="宋体"/>
          <w:sz w:val="36"/>
        </w:rPr>
        <w:t>第六部分 评标办法</w:t>
      </w:r>
      <w:bookmarkEnd w:id="149"/>
    </w:p>
    <w:p>
      <w:pPr>
        <w:adjustRightInd w:val="0"/>
        <w:snapToGrid w:val="0"/>
        <w:spacing w:line="360" w:lineRule="auto"/>
        <w:rPr>
          <w:rFonts w:ascii="宋体" w:hAnsi="宋体" w:cs="宋体"/>
          <w:b/>
          <w:szCs w:val="21"/>
        </w:rPr>
      </w:pPr>
    </w:p>
    <w:p>
      <w:pPr>
        <w:adjustRightInd w:val="0"/>
        <w:snapToGrid w:val="0"/>
        <w:spacing w:line="360" w:lineRule="auto"/>
        <w:ind w:firstLine="420" w:firstLineChars="200"/>
        <w:rPr>
          <w:rFonts w:ascii="宋体" w:hAnsi="宋体" w:cs="Arial"/>
        </w:rPr>
      </w:pPr>
      <w:r>
        <w:rPr>
          <w:rFonts w:ascii="宋体" w:hAnsi="宋体" w:cs="Arial"/>
        </w:rPr>
        <w:t>本评审办法遵照《中华人民共和国政府采购法》</w:t>
      </w:r>
      <w:r>
        <w:rPr>
          <w:rFonts w:hint="eastAsia" w:ascii="宋体" w:hAnsi="宋体" w:cs="Arial"/>
          <w:kern w:val="0"/>
          <w:szCs w:val="21"/>
        </w:rPr>
        <w:t>、《政府采购竞争性磋商采购方式管理暂行办法》</w:t>
      </w:r>
      <w:r>
        <w:rPr>
          <w:rFonts w:hint="eastAsia" w:ascii="宋体" w:hAnsi="宋体" w:cs="Arial"/>
        </w:rPr>
        <w:t>等</w:t>
      </w:r>
      <w:r>
        <w:rPr>
          <w:rFonts w:ascii="宋体" w:hAnsi="宋体" w:cs="Arial"/>
        </w:rPr>
        <w:t>有关规定，并结合本项目的具体情况制定。</w:t>
      </w:r>
    </w:p>
    <w:p>
      <w:pPr>
        <w:adjustRightInd w:val="0"/>
        <w:snapToGrid w:val="0"/>
        <w:spacing w:line="360" w:lineRule="auto"/>
        <w:ind w:firstLine="420" w:firstLineChars="200"/>
        <w:rPr>
          <w:rFonts w:ascii="宋体" w:hAnsi="宋体" w:cs="Arial"/>
        </w:rPr>
      </w:pPr>
      <w:r>
        <w:rPr>
          <w:rFonts w:hint="eastAsia" w:ascii="宋体" w:hAnsi="宋体" w:cs="Arial"/>
        </w:rPr>
        <w:t>本</w:t>
      </w:r>
      <w:r>
        <w:rPr>
          <w:rFonts w:ascii="宋体" w:hAnsi="宋体" w:cs="Arial"/>
        </w:rPr>
        <w:t>采购项目采用综合评分法</w:t>
      </w:r>
      <w:r>
        <w:rPr>
          <w:rFonts w:hint="eastAsia" w:ascii="宋体" w:hAnsi="宋体" w:cs="Arial"/>
        </w:rPr>
        <w:t>。</w:t>
      </w:r>
    </w:p>
    <w:p>
      <w:pPr>
        <w:adjustRightInd w:val="0"/>
        <w:snapToGrid w:val="0"/>
        <w:spacing w:line="360" w:lineRule="auto"/>
        <w:ind w:firstLine="422" w:firstLineChars="200"/>
        <w:rPr>
          <w:rFonts w:ascii="宋体" w:hAnsi="宋体" w:cs="Arial"/>
          <w:b/>
          <w:bCs/>
        </w:rPr>
      </w:pPr>
      <w:r>
        <w:rPr>
          <w:rFonts w:ascii="宋体" w:hAnsi="宋体" w:cs="Arial"/>
          <w:b/>
          <w:bCs/>
        </w:rPr>
        <w:t>一、总则</w:t>
      </w:r>
    </w:p>
    <w:p>
      <w:pPr>
        <w:snapToGrid w:val="0"/>
        <w:spacing w:line="360" w:lineRule="auto"/>
        <w:ind w:firstLine="420" w:firstLineChars="200"/>
        <w:rPr>
          <w:rFonts w:ascii="宋体" w:hAnsi="宋体" w:cs="Arial"/>
        </w:rPr>
      </w:pPr>
      <w:r>
        <w:rPr>
          <w:rFonts w:hint="eastAsia" w:ascii="宋体" w:hAnsi="宋体" w:cs="Arial"/>
        </w:rPr>
        <w:t>磋商小组成员应当按照客观、公正、审慎的原则，根据磋商文件规定的评审程序、评审方法和评审标准进行独立评审。</w:t>
      </w:r>
    </w:p>
    <w:p>
      <w:pPr>
        <w:snapToGrid w:val="0"/>
        <w:spacing w:line="360" w:lineRule="auto"/>
        <w:ind w:firstLine="420" w:firstLineChars="200"/>
        <w:rPr>
          <w:rFonts w:ascii="宋体" w:hAnsi="宋体" w:cs="Arial"/>
        </w:rPr>
      </w:pPr>
      <w:r>
        <w:rPr>
          <w:rFonts w:ascii="宋体" w:hAnsi="宋体" w:cs="Arial"/>
        </w:rPr>
        <w:t>对落标人，磋商小组不作任何落标解释。</w:t>
      </w:r>
    </w:p>
    <w:p>
      <w:pPr>
        <w:adjustRightInd w:val="0"/>
        <w:snapToGrid w:val="0"/>
        <w:spacing w:line="360" w:lineRule="auto"/>
        <w:ind w:firstLine="422" w:firstLineChars="200"/>
        <w:rPr>
          <w:rFonts w:ascii="宋体" w:hAnsi="宋体" w:cs="Arial"/>
          <w:b/>
          <w:bCs/>
        </w:rPr>
      </w:pPr>
      <w:r>
        <w:rPr>
          <w:rFonts w:ascii="宋体" w:hAnsi="宋体" w:cs="Arial"/>
          <w:b/>
          <w:bCs/>
        </w:rPr>
        <w:t>二、评审组织</w:t>
      </w:r>
    </w:p>
    <w:p>
      <w:pPr>
        <w:snapToGrid w:val="0"/>
        <w:spacing w:line="360" w:lineRule="auto"/>
        <w:ind w:firstLine="420" w:firstLineChars="200"/>
        <w:rPr>
          <w:rFonts w:ascii="宋体" w:hAnsi="宋体" w:cs="Arial"/>
        </w:rPr>
      </w:pPr>
      <w:r>
        <w:rPr>
          <w:rFonts w:ascii="宋体" w:hAnsi="宋体" w:cs="Arial"/>
        </w:rPr>
        <w:t>评审工作由采购单位依法组建的磋商小组负责。磋商小组负责审标、询标、评审等工作，并向采购人提出评审意见和评审报告。</w:t>
      </w:r>
    </w:p>
    <w:p>
      <w:pPr>
        <w:tabs>
          <w:tab w:val="left" w:pos="3219"/>
        </w:tabs>
        <w:adjustRightInd w:val="0"/>
        <w:snapToGrid w:val="0"/>
        <w:spacing w:line="360" w:lineRule="auto"/>
        <w:ind w:firstLine="420" w:firstLineChars="200"/>
        <w:rPr>
          <w:rFonts w:ascii="宋体" w:hAnsi="宋体" w:cs="Arial"/>
          <w:b/>
          <w:bCs/>
        </w:rPr>
      </w:pPr>
      <w:r>
        <w:rPr>
          <w:rFonts w:ascii="宋体" w:hAnsi="宋体" w:cs="Arial"/>
        </w:rPr>
        <w:t>三、</w:t>
      </w:r>
      <w:r>
        <w:rPr>
          <w:rFonts w:hint="eastAsia" w:ascii="宋体" w:hAnsi="宋体" w:cs="Arial"/>
          <w:b/>
          <w:bCs/>
        </w:rPr>
        <w:t>评标程序</w:t>
      </w:r>
    </w:p>
    <w:p>
      <w:pPr>
        <w:adjustRightInd w:val="0"/>
        <w:snapToGrid w:val="0"/>
        <w:spacing w:line="360" w:lineRule="auto"/>
        <w:ind w:firstLine="420" w:firstLineChars="200"/>
        <w:rPr>
          <w:rFonts w:ascii="宋体" w:hAnsi="宋体" w:cs="Arial"/>
        </w:rPr>
      </w:pPr>
      <w:r>
        <w:rPr>
          <w:rFonts w:ascii="宋体" w:hAnsi="宋体" w:cs="Arial"/>
        </w:rPr>
        <w:t>程序如下：</w:t>
      </w:r>
    </w:p>
    <w:p>
      <w:pPr>
        <w:adjustRightInd w:val="0"/>
        <w:snapToGrid w:val="0"/>
        <w:spacing w:line="360" w:lineRule="auto"/>
        <w:ind w:firstLine="420" w:firstLineChars="200"/>
        <w:rPr>
          <w:rFonts w:ascii="宋体" w:hAnsi="宋体" w:cs="Arial"/>
        </w:rPr>
      </w:pPr>
      <w:r>
        <w:rPr>
          <w:rFonts w:ascii="宋体" w:hAnsi="宋体" w:cs="Arial"/>
        </w:rPr>
        <w:t>第一步：</w:t>
      </w:r>
      <w:r>
        <w:rPr>
          <w:rFonts w:hint="eastAsia" w:ascii="宋体" w:hAnsi="宋体" w:cs="Arial"/>
        </w:rPr>
        <w:t>磋商小组</w:t>
      </w:r>
      <w:r>
        <w:rPr>
          <w:rFonts w:ascii="宋体" w:hAnsi="宋体" w:cs="Arial"/>
        </w:rPr>
        <w:t>根据评审原则和评审办法</w:t>
      </w:r>
      <w:r>
        <w:rPr>
          <w:rFonts w:hint="eastAsia" w:ascii="宋体" w:hAnsi="宋体" w:cs="Arial"/>
        </w:rPr>
        <w:t>，对供应商的响应文件进行初审（符合性审查、报价评审）。</w:t>
      </w:r>
    </w:p>
    <w:p>
      <w:pPr>
        <w:adjustRightInd w:val="0"/>
        <w:snapToGrid w:val="0"/>
        <w:spacing w:line="360" w:lineRule="auto"/>
        <w:ind w:firstLine="420" w:firstLineChars="200"/>
        <w:rPr>
          <w:rFonts w:ascii="宋体" w:hAnsi="宋体" w:cs="Arial"/>
        </w:rPr>
      </w:pPr>
      <w:r>
        <w:rPr>
          <w:rFonts w:hint="eastAsia" w:ascii="宋体" w:hAnsi="宋体" w:cs="Arial"/>
        </w:rPr>
        <w:t>第二步：对初审合格的供应商进行磋商，供应商根据磋商文件的变动情况和磋商小组的要求重新提交响应文件。</w:t>
      </w:r>
    </w:p>
    <w:p>
      <w:pPr>
        <w:adjustRightInd w:val="0"/>
        <w:snapToGrid w:val="0"/>
        <w:spacing w:line="360" w:lineRule="auto"/>
        <w:ind w:firstLine="420" w:firstLineChars="200"/>
        <w:rPr>
          <w:rFonts w:ascii="宋体" w:hAnsi="宋体" w:cs="Arial"/>
        </w:rPr>
      </w:pPr>
      <w:r>
        <w:rPr>
          <w:rFonts w:hint="eastAsia" w:ascii="宋体" w:hAnsi="宋体" w:cs="Arial"/>
        </w:rPr>
        <w:t>第三步：对各供应商的商务技术标</w:t>
      </w:r>
      <w:r>
        <w:rPr>
          <w:rFonts w:ascii="宋体" w:hAnsi="宋体" w:cs="Arial"/>
        </w:rPr>
        <w:t>进行</w:t>
      </w:r>
      <w:r>
        <w:rPr>
          <w:rFonts w:hint="eastAsia" w:ascii="宋体" w:hAnsi="宋体" w:cs="Arial"/>
        </w:rPr>
        <w:t>评审并汇总。</w:t>
      </w:r>
    </w:p>
    <w:p>
      <w:pPr>
        <w:adjustRightInd w:val="0"/>
        <w:snapToGrid w:val="0"/>
        <w:spacing w:line="360" w:lineRule="auto"/>
        <w:ind w:firstLine="420" w:firstLineChars="200"/>
        <w:rPr>
          <w:rFonts w:ascii="宋体" w:hAnsi="宋体" w:cs="Arial"/>
        </w:rPr>
      </w:pPr>
      <w:r>
        <w:rPr>
          <w:rFonts w:hint="eastAsia" w:ascii="宋体" w:hAnsi="宋体" w:cs="Arial"/>
        </w:rPr>
        <w:t>第四步：商务和技术评审结束后，公布其商务和技术得分情况，公布最终报价。</w:t>
      </w:r>
    </w:p>
    <w:p>
      <w:pPr>
        <w:adjustRightInd w:val="0"/>
        <w:snapToGrid w:val="0"/>
        <w:spacing w:line="360" w:lineRule="auto"/>
        <w:ind w:firstLine="420" w:firstLineChars="200"/>
        <w:rPr>
          <w:rFonts w:ascii="宋体" w:hAnsi="宋体" w:cs="Arial"/>
        </w:rPr>
      </w:pPr>
      <w:r>
        <w:rPr>
          <w:rFonts w:ascii="宋体" w:hAnsi="宋体" w:cs="Arial"/>
        </w:rPr>
        <w:t>第</w:t>
      </w:r>
      <w:r>
        <w:rPr>
          <w:rFonts w:hint="eastAsia" w:ascii="宋体" w:hAnsi="宋体" w:cs="Arial"/>
        </w:rPr>
        <w:t>五</w:t>
      </w:r>
      <w:r>
        <w:rPr>
          <w:rFonts w:ascii="宋体" w:hAnsi="宋体" w:cs="Arial"/>
        </w:rPr>
        <w:t>步：磋商小组以</w:t>
      </w:r>
      <w:r>
        <w:rPr>
          <w:rFonts w:hint="eastAsia" w:ascii="宋体" w:hAnsi="宋体" w:cs="Arial"/>
        </w:rPr>
        <w:t>商务技术标</w:t>
      </w:r>
      <w:r>
        <w:rPr>
          <w:rFonts w:ascii="宋体" w:hAnsi="宋体" w:cs="Arial"/>
        </w:rPr>
        <w:t>和</w:t>
      </w:r>
      <w:r>
        <w:rPr>
          <w:rFonts w:hint="eastAsia" w:ascii="宋体" w:hAnsi="宋体" w:cs="Arial"/>
        </w:rPr>
        <w:t>报价标</w:t>
      </w:r>
      <w:r>
        <w:rPr>
          <w:rFonts w:ascii="宋体" w:hAnsi="宋体" w:cs="Arial"/>
        </w:rPr>
        <w:t>合计分值由高到低的顺序</w:t>
      </w:r>
      <w:r>
        <w:rPr>
          <w:rFonts w:hint="eastAsia" w:ascii="宋体" w:hAnsi="宋体" w:cs="Arial"/>
        </w:rPr>
        <w:t>依次推荐得分第一名的为第一中标候选单位，推荐得分第二名的为第二中标候选单位，推荐得分第三名的为第三中标候选单位，</w:t>
      </w:r>
      <w:r>
        <w:rPr>
          <w:rFonts w:ascii="宋体" w:hAnsi="宋体" w:cs="Arial"/>
        </w:rPr>
        <w:t>并提交书面评</w:t>
      </w:r>
      <w:r>
        <w:rPr>
          <w:rFonts w:hint="eastAsia" w:ascii="宋体" w:hAnsi="宋体" w:cs="Arial"/>
        </w:rPr>
        <w:t>标</w:t>
      </w:r>
      <w:r>
        <w:rPr>
          <w:rFonts w:ascii="宋体" w:hAnsi="宋体" w:cs="Arial"/>
        </w:rPr>
        <w:t>报告。</w:t>
      </w:r>
      <w:r>
        <w:rPr>
          <w:rFonts w:hint="eastAsia" w:ascii="宋体" w:hAnsi="宋体" w:cs="Arial"/>
        </w:rPr>
        <w:t>合计分值相同时以报价标得分高为先，合计分值、报价标得分均相同时由磋商小组全体成员记名投票按少数服从多数的原则确定中标候选顺序。</w:t>
      </w:r>
    </w:p>
    <w:p>
      <w:pPr>
        <w:tabs>
          <w:tab w:val="left" w:pos="3219"/>
        </w:tabs>
        <w:adjustRightInd w:val="0"/>
        <w:snapToGrid w:val="0"/>
        <w:spacing w:line="360" w:lineRule="auto"/>
        <w:ind w:firstLine="420" w:firstLineChars="200"/>
        <w:rPr>
          <w:rFonts w:ascii="宋体" w:hAnsi="宋体" w:cs="Arial"/>
          <w:b/>
          <w:bCs/>
        </w:rPr>
      </w:pPr>
      <w:r>
        <w:rPr>
          <w:rFonts w:ascii="宋体" w:hAnsi="宋体" w:cs="Arial"/>
        </w:rPr>
        <w:t>三、</w:t>
      </w:r>
      <w:r>
        <w:rPr>
          <w:rFonts w:hint="eastAsia" w:ascii="宋体" w:hAnsi="宋体" w:cs="Arial"/>
          <w:b/>
          <w:bCs/>
        </w:rPr>
        <w:t>磋商要求</w:t>
      </w:r>
    </w:p>
    <w:p>
      <w:pPr>
        <w:adjustRightInd w:val="0"/>
        <w:snapToGrid w:val="0"/>
        <w:spacing w:line="360" w:lineRule="auto"/>
        <w:ind w:firstLine="420" w:firstLineChars="200"/>
        <w:rPr>
          <w:rFonts w:ascii="宋体" w:hAnsi="宋体" w:cs="Arial"/>
        </w:rPr>
      </w:pPr>
      <w:r>
        <w:rPr>
          <w:rFonts w:hint="eastAsia" w:ascii="宋体" w:hAnsi="宋体" w:cs="Arial"/>
        </w:rPr>
        <w:t>1、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2轮。在磋商过程中，采购人及磋商小组有权变更相关要求，不对因此而受影响的供应商承担责任。磋商中如有实质性变动，磋商小组将用书面形式通知参加磋商的供应商。</w:t>
      </w:r>
    </w:p>
    <w:p>
      <w:pPr>
        <w:widowControl w:val="0"/>
        <w:adjustRightInd w:val="0"/>
        <w:snapToGrid w:val="0"/>
        <w:spacing w:line="360" w:lineRule="auto"/>
        <w:ind w:firstLine="420" w:firstLineChars="200"/>
        <w:rPr>
          <w:rFonts w:ascii="宋体" w:hAnsi="宋体" w:cs="Arial"/>
        </w:rPr>
      </w:pPr>
      <w:r>
        <w:rPr>
          <w:rFonts w:hint="eastAsia" w:ascii="宋体" w:hAnsi="宋体" w:cs="Arial"/>
        </w:rPr>
        <w:t>2、磋商小组将要求所有参加磋商的供应商按磋商小组提出的要求并在规定时间内分别进行最终报价，各供应商在规定时间之后的报价将被视为无效。</w:t>
      </w:r>
    </w:p>
    <w:p>
      <w:pPr>
        <w:widowControl w:val="0"/>
        <w:adjustRightInd w:val="0"/>
        <w:snapToGrid w:val="0"/>
        <w:spacing w:line="360" w:lineRule="auto"/>
        <w:ind w:firstLine="420" w:firstLineChars="200"/>
        <w:rPr>
          <w:rFonts w:ascii="宋体" w:hAnsi="宋体" w:cs="Arial"/>
          <w:bCs/>
        </w:rPr>
      </w:pPr>
      <w:r>
        <w:rPr>
          <w:rFonts w:hint="eastAsia" w:ascii="宋体" w:hAnsi="宋体" w:cs="Arial"/>
          <w:bCs/>
        </w:rPr>
        <w:t>3、磋商结束后，磋商小组应当要求所有实质性响应的供应商在规定时间内提交最后报价，提交最后报价的供应商一般不得少于3家。</w:t>
      </w:r>
    </w:p>
    <w:p>
      <w:pPr>
        <w:adjustRightInd w:val="0"/>
        <w:snapToGrid w:val="0"/>
        <w:spacing w:line="360" w:lineRule="auto"/>
        <w:ind w:firstLine="420" w:firstLineChars="200"/>
        <w:rPr>
          <w:rFonts w:ascii="宋体" w:hAnsi="宋体" w:cs="Arial"/>
          <w:b/>
          <w:bCs/>
        </w:rPr>
      </w:pPr>
      <w:r>
        <w:rPr>
          <w:rFonts w:hint="eastAsia" w:ascii="宋体" w:hAnsi="宋体" w:cs="Arial"/>
          <w:bCs/>
        </w:rPr>
        <w:t>4、最后报价是供应商响应文件的有效组成部分。符合《政府采购竞争性磋商采购方式管理暂行办法》第三条第四项情形或满足财库[2015]24号文件的，提交最后报价的供应商可以为2家。</w:t>
      </w:r>
    </w:p>
    <w:p>
      <w:pPr>
        <w:adjustRightInd w:val="0"/>
        <w:snapToGrid w:val="0"/>
        <w:spacing w:line="360" w:lineRule="auto"/>
        <w:ind w:firstLine="422" w:firstLineChars="200"/>
        <w:rPr>
          <w:rFonts w:ascii="宋体" w:hAnsi="宋体" w:cs="Arial"/>
          <w:b/>
          <w:bCs/>
        </w:rPr>
      </w:pPr>
      <w:r>
        <w:rPr>
          <w:rFonts w:ascii="宋体" w:hAnsi="宋体" w:cs="Arial"/>
          <w:b/>
          <w:bCs/>
        </w:rPr>
        <w:t>四、评审细则</w:t>
      </w:r>
    </w:p>
    <w:p>
      <w:pPr>
        <w:pStyle w:val="28"/>
        <w:adjustRightInd w:val="0"/>
        <w:snapToGrid w:val="0"/>
        <w:spacing w:line="360" w:lineRule="auto"/>
        <w:ind w:firstLine="420" w:firstLineChars="200"/>
        <w:jc w:val="left"/>
        <w:rPr>
          <w:rFonts w:hAnsi="宋体" w:cs="Arial"/>
          <w:sz w:val="21"/>
          <w:szCs w:val="21"/>
        </w:rPr>
      </w:pPr>
      <w:r>
        <w:rPr>
          <w:rFonts w:hint="eastAsia" w:ascii="宋体" w:hAnsi="宋体" w:eastAsia="宋体"/>
          <w:sz w:val="21"/>
          <w:szCs w:val="21"/>
        </w:rPr>
        <w:t>评</w:t>
      </w:r>
      <w:r>
        <w:rPr>
          <w:rFonts w:hAnsi="宋体" w:cs="Arial"/>
          <w:sz w:val="21"/>
          <w:szCs w:val="21"/>
        </w:rPr>
        <w:t>标采用综合评分法，磋商小组从</w:t>
      </w:r>
      <w:r>
        <w:rPr>
          <w:rFonts w:hint="eastAsia" w:hAnsi="宋体" w:cs="Arial"/>
          <w:sz w:val="21"/>
          <w:szCs w:val="21"/>
        </w:rPr>
        <w:t>最终</w:t>
      </w:r>
      <w:r>
        <w:rPr>
          <w:rFonts w:hAnsi="宋体" w:cs="Arial"/>
          <w:sz w:val="21"/>
          <w:szCs w:val="21"/>
        </w:rPr>
        <w:t>投标报价、供应商的</w:t>
      </w:r>
      <w:r>
        <w:rPr>
          <w:rFonts w:hint="eastAsia" w:hAnsi="宋体" w:cs="Arial"/>
          <w:sz w:val="21"/>
          <w:szCs w:val="21"/>
        </w:rPr>
        <w:t>资信</w:t>
      </w:r>
      <w:r>
        <w:rPr>
          <w:rFonts w:hAnsi="宋体" w:cs="Arial"/>
          <w:sz w:val="21"/>
          <w:szCs w:val="21"/>
        </w:rPr>
        <w:t>、业绩、</w:t>
      </w:r>
      <w:r>
        <w:rPr>
          <w:rFonts w:hint="eastAsia" w:hAnsi="宋体" w:cs="Arial"/>
          <w:sz w:val="21"/>
          <w:szCs w:val="21"/>
        </w:rPr>
        <w:t>技术方案、</w:t>
      </w:r>
      <w:r>
        <w:rPr>
          <w:rFonts w:hAnsi="宋体" w:cs="Arial"/>
          <w:sz w:val="21"/>
          <w:szCs w:val="21"/>
        </w:rPr>
        <w:t>服务</w:t>
      </w:r>
      <w:r>
        <w:rPr>
          <w:rFonts w:hint="eastAsia" w:hAnsi="宋体" w:cs="Arial"/>
          <w:sz w:val="21"/>
          <w:szCs w:val="21"/>
        </w:rPr>
        <w:t>承诺</w:t>
      </w:r>
      <w:r>
        <w:rPr>
          <w:rFonts w:hAnsi="宋体" w:cs="Arial"/>
          <w:sz w:val="21"/>
          <w:szCs w:val="21"/>
        </w:rPr>
        <w:t>、等方面进行评审。磋商小组根据评审情况，对各供应商的商务报价方面在分值范围内进行统一打分，对各供应商的资信商务方面在分值范围内进行统一打分，对各供应商的技术方面在分值范围内进行独立打分。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28"/>
        <w:adjustRightInd w:val="0"/>
        <w:snapToGrid w:val="0"/>
        <w:spacing w:line="360" w:lineRule="auto"/>
        <w:ind w:firstLine="422" w:firstLineChars="200"/>
        <w:jc w:val="left"/>
        <w:rPr>
          <w:rFonts w:hAnsi="宋体" w:cs="Arial"/>
          <w:b/>
          <w:bCs/>
          <w:sz w:val="21"/>
          <w:szCs w:val="21"/>
        </w:rPr>
      </w:pPr>
      <w:r>
        <w:rPr>
          <w:rFonts w:hint="eastAsia" w:ascii="宋体" w:hAnsi="宋体" w:eastAsia="宋体"/>
          <w:b/>
          <w:bCs/>
          <w:sz w:val="21"/>
          <w:szCs w:val="21"/>
        </w:rPr>
        <w:t>每</w:t>
      </w:r>
      <w:r>
        <w:rPr>
          <w:rFonts w:hAnsi="宋体" w:cs="Arial"/>
          <w:b/>
          <w:bCs/>
          <w:sz w:val="21"/>
          <w:szCs w:val="21"/>
        </w:rPr>
        <w:t>个供应商最终得分=</w:t>
      </w:r>
      <w:r>
        <w:rPr>
          <w:rFonts w:hint="eastAsia" w:hAnsi="宋体" w:cs="Arial"/>
          <w:b/>
          <w:bCs/>
          <w:sz w:val="21"/>
          <w:szCs w:val="21"/>
        </w:rPr>
        <w:t>商务技术</w:t>
      </w:r>
      <w:r>
        <w:rPr>
          <w:rFonts w:hAnsi="宋体" w:cs="Arial"/>
          <w:b/>
          <w:bCs/>
          <w:sz w:val="21"/>
          <w:szCs w:val="21"/>
        </w:rPr>
        <w:t>分+报价分</w:t>
      </w:r>
    </w:p>
    <w:p>
      <w:pPr>
        <w:pStyle w:val="36"/>
        <w:numPr>
          <w:ilvl w:val="0"/>
          <w:numId w:val="7"/>
        </w:numPr>
        <w:adjustRightInd w:val="0"/>
        <w:snapToGrid w:val="0"/>
        <w:spacing w:line="360" w:lineRule="auto"/>
        <w:ind w:firstLine="315" w:firstLineChars="150"/>
        <w:jc w:val="left"/>
        <w:rPr>
          <w:rFonts w:ascii="宋体" w:hAnsi="宋体" w:eastAsia="宋体" w:cs="Arial"/>
          <w:sz w:val="21"/>
          <w:szCs w:val="21"/>
        </w:rPr>
      </w:pPr>
      <w:r>
        <w:rPr>
          <w:rFonts w:hint="eastAsia" w:ascii="宋体" w:hAnsi="宋体" w:eastAsia="宋体" w:cs="Arial"/>
          <w:sz w:val="21"/>
          <w:szCs w:val="21"/>
        </w:rPr>
        <w:t>商务技术分：90分</w:t>
      </w:r>
    </w:p>
    <w:p>
      <w:pPr>
        <w:pStyle w:val="36"/>
        <w:numPr>
          <w:ilvl w:val="255"/>
          <w:numId w:val="0"/>
        </w:numPr>
        <w:adjustRightInd w:val="0"/>
        <w:snapToGrid w:val="0"/>
        <w:spacing w:line="360" w:lineRule="auto"/>
        <w:ind w:firstLine="420" w:firstLineChars="200"/>
        <w:jc w:val="left"/>
        <w:rPr>
          <w:rFonts w:ascii="宋体" w:hAnsi="宋体" w:eastAsia="宋体" w:cs="Arial"/>
          <w:sz w:val="21"/>
          <w:szCs w:val="21"/>
        </w:rPr>
      </w:pPr>
      <w:r>
        <w:rPr>
          <w:rFonts w:hint="eastAsia" w:ascii="宋体" w:hAnsi="宋体" w:eastAsia="宋体" w:cs="Arial"/>
          <w:sz w:val="21"/>
          <w:szCs w:val="21"/>
        </w:rPr>
        <w:t>该评分分值由磋商小组根据评审情况在分值范围内统一打分（具体分值设定详见表格）。所有磋商小组成员评分的算术平均值作为该供应商的商务技术分。</w:t>
      </w:r>
    </w:p>
    <w:tbl>
      <w:tblPr>
        <w:tblStyle w:val="4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920"/>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Align w:val="center"/>
          </w:tcPr>
          <w:p>
            <w:pPr>
              <w:spacing w:line="288" w:lineRule="auto"/>
              <w:jc w:val="center"/>
              <w:rPr>
                <w:rFonts w:ascii="宋体" w:hAnsi="宋体" w:cs="宋体"/>
                <w:b/>
                <w:color w:val="auto"/>
                <w:spacing w:val="-6"/>
                <w:szCs w:val="21"/>
              </w:rPr>
            </w:pPr>
            <w:r>
              <w:rPr>
                <w:rFonts w:hint="eastAsia" w:ascii="宋体" w:hAnsi="宋体" w:cs="宋体"/>
                <w:b/>
                <w:color w:val="auto"/>
                <w:spacing w:val="-6"/>
                <w:szCs w:val="21"/>
              </w:rPr>
              <w:t>评审因素</w:t>
            </w:r>
          </w:p>
        </w:tc>
        <w:tc>
          <w:tcPr>
            <w:tcW w:w="920" w:type="dxa"/>
            <w:vAlign w:val="center"/>
          </w:tcPr>
          <w:p>
            <w:pPr>
              <w:spacing w:line="288" w:lineRule="auto"/>
              <w:jc w:val="center"/>
              <w:rPr>
                <w:rFonts w:ascii="宋体" w:hAnsi="宋体" w:cs="宋体"/>
                <w:b/>
                <w:color w:val="auto"/>
                <w:spacing w:val="-6"/>
                <w:szCs w:val="21"/>
              </w:rPr>
            </w:pPr>
            <w:r>
              <w:rPr>
                <w:rFonts w:hint="eastAsia" w:ascii="宋体" w:hAnsi="宋体" w:cs="宋体"/>
                <w:b/>
                <w:color w:val="auto"/>
                <w:spacing w:val="-6"/>
                <w:szCs w:val="21"/>
              </w:rPr>
              <w:t>分值</w:t>
            </w:r>
          </w:p>
        </w:tc>
        <w:tc>
          <w:tcPr>
            <w:tcW w:w="6790" w:type="dxa"/>
            <w:vAlign w:val="center"/>
          </w:tcPr>
          <w:p>
            <w:pPr>
              <w:pStyle w:val="100"/>
              <w:spacing w:line="288" w:lineRule="auto"/>
              <w:rPr>
                <w:rFonts w:ascii="宋体" w:hAnsi="宋体" w:eastAsia="宋体" w:cs="宋体"/>
                <w:b/>
                <w:color w:val="auto"/>
                <w:spacing w:val="-6"/>
                <w:sz w:val="21"/>
                <w:szCs w:val="21"/>
              </w:rPr>
            </w:pPr>
            <w:r>
              <w:rPr>
                <w:rFonts w:hint="eastAsia" w:ascii="宋体" w:hAnsi="宋体" w:eastAsia="宋体" w:cs="宋体"/>
                <w:b/>
                <w:color w:val="auto"/>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2" w:type="dxa"/>
            <w:gridSpan w:val="3"/>
            <w:vAlign w:val="center"/>
          </w:tcPr>
          <w:p>
            <w:pPr>
              <w:pStyle w:val="100"/>
              <w:spacing w:line="288" w:lineRule="auto"/>
              <w:rPr>
                <w:rFonts w:ascii="宋体" w:hAnsi="宋体" w:eastAsia="宋体" w:cs="宋体"/>
                <w:b/>
                <w:color w:val="auto"/>
                <w:spacing w:val="-6"/>
                <w:sz w:val="21"/>
                <w:szCs w:val="21"/>
              </w:rPr>
            </w:pPr>
            <w:r>
              <w:rPr>
                <w:rFonts w:hint="eastAsia" w:ascii="宋体" w:hAnsi="宋体" w:eastAsia="宋体" w:cs="宋体"/>
                <w:b/>
                <w:color w:val="auto"/>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业绩</w:t>
            </w:r>
          </w:p>
        </w:tc>
        <w:tc>
          <w:tcPr>
            <w:tcW w:w="920"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1</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供应商自2021年1月1日以来（以签订时间为准）的同类项目业绩，每提供一份得0.5分，最高1分。</w:t>
            </w:r>
          </w:p>
          <w:p>
            <w:pPr>
              <w:rPr>
                <w:rFonts w:ascii="宋体" w:hAnsi="宋体" w:cs="宋体"/>
                <w:color w:val="auto"/>
                <w:szCs w:val="21"/>
              </w:rPr>
            </w:pPr>
            <w:r>
              <w:rPr>
                <w:rFonts w:hint="eastAsia" w:ascii="宋体" w:hAnsi="宋体" w:cs="宋体"/>
                <w:color w:val="auto"/>
                <w:spacing w:val="-6"/>
                <w:szCs w:val="21"/>
              </w:rPr>
              <w:t>注：需提供完整合同扫描件，否则不得分。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12" w:type="dxa"/>
            <w:gridSpan w:val="3"/>
            <w:vAlign w:val="center"/>
          </w:tcPr>
          <w:p>
            <w:pPr>
              <w:pStyle w:val="13"/>
              <w:spacing w:line="288" w:lineRule="auto"/>
              <w:ind w:firstLine="0"/>
              <w:jc w:val="center"/>
              <w:rPr>
                <w:rFonts w:ascii="宋体" w:hAnsi="宋体" w:eastAsia="宋体"/>
                <w:color w:val="auto"/>
                <w:spacing w:val="-6"/>
                <w:sz w:val="21"/>
                <w:szCs w:val="21"/>
              </w:rPr>
            </w:pPr>
            <w:r>
              <w:rPr>
                <w:rFonts w:hint="eastAsia" w:ascii="宋体" w:hAnsi="宋体" w:eastAsia="宋体"/>
                <w:b/>
                <w:color w:val="auto"/>
                <w:spacing w:val="-6"/>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restart"/>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响应程度</w:t>
            </w:r>
          </w:p>
        </w:tc>
        <w:tc>
          <w:tcPr>
            <w:tcW w:w="920"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20</w:t>
            </w:r>
          </w:p>
        </w:tc>
        <w:tc>
          <w:tcPr>
            <w:tcW w:w="6790" w:type="dxa"/>
            <w:vAlign w:val="center"/>
          </w:tcPr>
          <w:p>
            <w:pPr>
              <w:snapToGrid w:val="0"/>
              <w:rPr>
                <w:rFonts w:ascii="宋体" w:hAnsi="宋体" w:cs="宋体"/>
                <w:color w:val="auto"/>
                <w:szCs w:val="21"/>
              </w:rPr>
            </w:pPr>
            <w:r>
              <w:rPr>
                <w:rFonts w:hint="eastAsia" w:ascii="宋体" w:hAnsi="宋体" w:cs="宋体"/>
                <w:color w:val="auto"/>
                <w:szCs w:val="21"/>
              </w:rPr>
              <w:t>根据响应（满足）程度进行评析：完全满足采购文件第三部分项目技术规范和招标需求中“二、</w:t>
            </w:r>
            <w:r>
              <w:rPr>
                <w:rFonts w:hint="eastAsia" w:ascii="宋体" w:hAnsi="宋体" w:cs="宋体"/>
                <w:b/>
                <w:bCs/>
                <w:color w:val="auto"/>
                <w:szCs w:val="21"/>
              </w:rPr>
              <w:t>项目需求及要求</w:t>
            </w:r>
            <w:r>
              <w:rPr>
                <w:rFonts w:hint="eastAsia" w:ascii="宋体" w:hAnsi="宋体" w:cs="宋体"/>
                <w:color w:val="auto"/>
                <w:szCs w:val="21"/>
              </w:rPr>
              <w:t>”（10条）的得20分，条款、参数有偏离的，负偏离每项扣2分。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snapToGrid w:val="0"/>
                <w:color w:val="auto"/>
                <w:spacing w:val="-4"/>
                <w:szCs w:val="21"/>
              </w:rPr>
            </w:pPr>
          </w:p>
        </w:tc>
        <w:tc>
          <w:tcPr>
            <w:tcW w:w="920"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3</w:t>
            </w:r>
          </w:p>
        </w:tc>
        <w:tc>
          <w:tcPr>
            <w:tcW w:w="6790" w:type="dxa"/>
            <w:vAlign w:val="center"/>
          </w:tcPr>
          <w:p>
            <w:pPr>
              <w:rPr>
                <w:rFonts w:ascii="宋体" w:hAnsi="宋体" w:cs="宋体"/>
                <w:snapToGrid w:val="0"/>
                <w:color w:val="auto"/>
                <w:spacing w:val="-4"/>
                <w:szCs w:val="21"/>
              </w:rPr>
            </w:pPr>
            <w:r>
              <w:rPr>
                <w:rFonts w:hint="eastAsia" w:ascii="宋体" w:hAnsi="宋体" w:cs="宋体"/>
                <w:color w:val="auto"/>
                <w:szCs w:val="21"/>
              </w:rPr>
              <w:t>供应商所提供租赁设备的描述的完整性、针对性情况：包括（①主要性能、特点②操作说明和质量水平的描述）（评审分值为1分或2分或3分）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Align w:val="center"/>
          </w:tcPr>
          <w:p>
            <w:pPr>
              <w:spacing w:line="288" w:lineRule="auto"/>
              <w:jc w:val="center"/>
              <w:rPr>
                <w:rFonts w:ascii="宋体" w:hAnsi="宋体" w:cs="宋体"/>
                <w:color w:val="auto"/>
                <w:spacing w:val="-6"/>
                <w:szCs w:val="21"/>
              </w:rPr>
            </w:pPr>
            <w:r>
              <w:rPr>
                <w:rFonts w:hint="eastAsia" w:ascii="宋体" w:hAnsi="宋体" w:cs="宋体"/>
                <w:color w:val="auto"/>
                <w:szCs w:val="21"/>
              </w:rPr>
              <w:t>对本项目的理解与认识</w:t>
            </w:r>
          </w:p>
        </w:tc>
        <w:tc>
          <w:tcPr>
            <w:tcW w:w="920"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6</w:t>
            </w:r>
          </w:p>
        </w:tc>
        <w:tc>
          <w:tcPr>
            <w:tcW w:w="6790" w:type="dxa"/>
            <w:vAlign w:val="center"/>
          </w:tcPr>
          <w:p>
            <w:pPr>
              <w:snapToGrid w:val="0"/>
              <w:ind w:right="-21" w:rightChars="-10"/>
              <w:jc w:val="left"/>
              <w:rPr>
                <w:rFonts w:ascii="宋体" w:hAnsi="宋体" w:cs="宋体"/>
                <w:color w:val="auto"/>
                <w:szCs w:val="21"/>
              </w:rPr>
            </w:pPr>
            <w:r>
              <w:rPr>
                <w:rFonts w:hint="eastAsia" w:ascii="宋体" w:hAnsi="宋体" w:cs="宋体"/>
                <w:color w:val="auto"/>
                <w:szCs w:val="21"/>
              </w:rPr>
              <w:t>根据投标人对于项目背景、概况、目的准确理解和把握情况综合评审。</w:t>
            </w:r>
          </w:p>
          <w:p>
            <w:pPr>
              <w:snapToGrid w:val="0"/>
              <w:ind w:right="-21" w:rightChars="-10"/>
              <w:jc w:val="left"/>
              <w:rPr>
                <w:rFonts w:ascii="宋体" w:hAnsi="宋体" w:cs="宋体"/>
                <w:color w:val="auto"/>
                <w:szCs w:val="21"/>
              </w:rPr>
            </w:pPr>
            <w:r>
              <w:rPr>
                <w:rFonts w:hint="eastAsia" w:ascii="宋体" w:hAnsi="宋体" w:cs="宋体"/>
                <w:color w:val="auto"/>
                <w:szCs w:val="21"/>
              </w:rPr>
              <w:t>①根据投标人对于项目背景、概况、目的准确理解和把握；</w:t>
            </w:r>
          </w:p>
          <w:p>
            <w:pPr>
              <w:snapToGrid w:val="0"/>
              <w:ind w:right="-21" w:rightChars="-10"/>
              <w:jc w:val="left"/>
              <w:rPr>
                <w:rFonts w:ascii="宋体" w:hAnsi="宋体" w:cs="宋体"/>
                <w:color w:val="auto"/>
                <w:szCs w:val="21"/>
              </w:rPr>
            </w:pPr>
            <w:r>
              <w:rPr>
                <w:rFonts w:hint="eastAsia" w:ascii="宋体" w:hAnsi="宋体" w:cs="宋体"/>
                <w:color w:val="auto"/>
                <w:szCs w:val="21"/>
              </w:rPr>
              <w:t>②对所有涉及工作任务进行分解、归类；</w:t>
            </w:r>
          </w:p>
          <w:p>
            <w:pPr>
              <w:snapToGrid w:val="0"/>
              <w:ind w:right="-21" w:rightChars="-10"/>
              <w:jc w:val="left"/>
              <w:rPr>
                <w:rFonts w:ascii="宋体" w:hAnsi="宋体" w:cs="宋体"/>
                <w:color w:val="auto"/>
                <w:szCs w:val="21"/>
              </w:rPr>
            </w:pPr>
            <w:r>
              <w:rPr>
                <w:rFonts w:hint="eastAsia" w:ascii="宋体" w:hAnsi="宋体" w:cs="宋体"/>
                <w:color w:val="auto"/>
                <w:szCs w:val="21"/>
              </w:rPr>
              <w:t>内容完整、理解分析准确、科学周密、匹配性强，符合采购人实际视为合理。</w:t>
            </w:r>
          </w:p>
          <w:p>
            <w:pPr>
              <w:rPr>
                <w:rFonts w:ascii="宋体" w:hAnsi="宋体" w:cs="宋体"/>
                <w:color w:val="auto"/>
                <w:szCs w:val="21"/>
              </w:rPr>
            </w:pPr>
            <w:r>
              <w:rPr>
                <w:rFonts w:hint="eastAsia" w:ascii="宋体" w:hAnsi="宋体" w:cs="宋体"/>
                <w:color w:val="auto"/>
                <w:szCs w:val="21"/>
              </w:rPr>
              <w:t>每项内容缺乏相应数据或理解有一定的偏离的得1.5分；每项内容不合理得0分。每项最高得3分，总共得6分。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Align w:val="center"/>
          </w:tcPr>
          <w:p>
            <w:pPr>
              <w:spacing w:line="288" w:lineRule="auto"/>
              <w:jc w:val="center"/>
              <w:rPr>
                <w:rFonts w:ascii="宋体" w:hAnsi="宋体" w:cs="宋体"/>
                <w:color w:val="auto"/>
                <w:spacing w:val="-6"/>
                <w:szCs w:val="21"/>
              </w:rPr>
            </w:pPr>
            <w:r>
              <w:rPr>
                <w:rFonts w:hint="eastAsia" w:ascii="宋体" w:hAnsi="宋体" w:cs="宋体"/>
                <w:color w:val="auto"/>
                <w:spacing w:val="-6"/>
                <w:szCs w:val="21"/>
              </w:rPr>
              <w:t>组织实施情况</w:t>
            </w: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6</w:t>
            </w:r>
          </w:p>
        </w:tc>
        <w:tc>
          <w:tcPr>
            <w:tcW w:w="6790" w:type="dxa"/>
          </w:tcPr>
          <w:p>
            <w:pPr>
              <w:spacing w:line="288" w:lineRule="auto"/>
              <w:rPr>
                <w:rFonts w:ascii="宋体" w:hAnsi="宋体" w:cs="宋体"/>
                <w:color w:val="auto"/>
                <w:spacing w:val="-6"/>
                <w:szCs w:val="21"/>
              </w:rPr>
            </w:pPr>
            <w:r>
              <w:rPr>
                <w:rFonts w:hint="eastAsia" w:ascii="宋体" w:hAnsi="宋体" w:cs="宋体"/>
                <w:color w:val="auto"/>
                <w:spacing w:val="-6"/>
                <w:szCs w:val="21"/>
              </w:rPr>
              <w:t>提供项目服务期内养管工作计划，组织机构情况、总体质量管理保障体系和控制措施的思路和要点等内容方案。</w:t>
            </w:r>
          </w:p>
          <w:p>
            <w:pPr>
              <w:spacing w:line="288" w:lineRule="auto"/>
              <w:rPr>
                <w:rFonts w:ascii="宋体" w:hAnsi="宋体" w:cs="宋体"/>
                <w:color w:val="auto"/>
                <w:spacing w:val="-6"/>
                <w:szCs w:val="21"/>
              </w:rPr>
            </w:pPr>
            <w:r>
              <w:rPr>
                <w:rFonts w:hint="eastAsia" w:ascii="宋体" w:hAnsi="宋体" w:cs="宋体"/>
                <w:color w:val="auto"/>
                <w:spacing w:val="-6"/>
                <w:szCs w:val="21"/>
              </w:rPr>
              <w:t>①提供项目工作计划表（内容完整、计划安排具体合理、整体计划对采购人有利符合采购需求得2分，部分满足采购人要求的得1分，不符合不得分）；</w:t>
            </w:r>
          </w:p>
          <w:p>
            <w:pPr>
              <w:spacing w:line="288" w:lineRule="auto"/>
              <w:rPr>
                <w:rFonts w:ascii="宋体" w:hAnsi="宋体" w:cs="宋体"/>
                <w:color w:val="auto"/>
                <w:spacing w:val="-6"/>
                <w:szCs w:val="21"/>
              </w:rPr>
            </w:pPr>
            <w:r>
              <w:rPr>
                <w:rFonts w:hint="eastAsia" w:ascii="宋体" w:hAnsi="宋体" w:cs="宋体"/>
                <w:color w:val="auto"/>
                <w:spacing w:val="-6"/>
                <w:szCs w:val="21"/>
              </w:rPr>
              <w:t>②提供组织机构、工作程序和步骤、管理和协调方法、关键步骤的思路和要点。内容完整、措施具体有效，满足采购人要求的得2分，部分满足采购人要求的得1分；</w:t>
            </w:r>
          </w:p>
          <w:p>
            <w:pPr>
              <w:spacing w:line="288" w:lineRule="auto"/>
              <w:rPr>
                <w:rFonts w:ascii="宋体" w:hAnsi="宋体" w:cs="宋体"/>
                <w:color w:val="auto"/>
                <w:spacing w:val="-6"/>
                <w:szCs w:val="21"/>
              </w:rPr>
            </w:pPr>
            <w:r>
              <w:rPr>
                <w:rFonts w:hint="eastAsia" w:ascii="宋体" w:hAnsi="宋体" w:cs="宋体"/>
                <w:color w:val="auto"/>
                <w:spacing w:val="-6"/>
                <w:szCs w:val="21"/>
              </w:rPr>
              <w:t>③提供总体质量管理保障体系和控制措施。内容完整、措施具体有效，满足采购人要求的得2分，部分满足采购人要求的得1分；</w:t>
            </w:r>
          </w:p>
          <w:p>
            <w:pPr>
              <w:pStyle w:val="58"/>
              <w:rPr>
                <w:rFonts w:ascii="宋体" w:hAnsi="宋体" w:eastAsia="宋体" w:cs="宋体"/>
                <w:color w:val="auto"/>
                <w:sz w:val="21"/>
                <w:szCs w:val="21"/>
              </w:rPr>
            </w:pPr>
            <w:r>
              <w:rPr>
                <w:rFonts w:hint="eastAsia" w:ascii="宋体" w:hAnsi="宋体" w:eastAsia="宋体" w:cs="宋体"/>
                <w:color w:val="auto"/>
                <w:spacing w:val="-6"/>
                <w:kern w:val="2"/>
                <w:sz w:val="21"/>
                <w:szCs w:val="21"/>
              </w:rPr>
              <w:t>未提供相对应内容，不得分。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restart"/>
            <w:vAlign w:val="center"/>
          </w:tcPr>
          <w:p>
            <w:pPr>
              <w:spacing w:line="288" w:lineRule="auto"/>
              <w:jc w:val="center"/>
              <w:rPr>
                <w:rFonts w:ascii="宋体" w:hAnsi="宋体" w:cs="宋体"/>
                <w:b/>
                <w:bCs/>
                <w:color w:val="auto"/>
                <w:spacing w:val="-6"/>
                <w:szCs w:val="21"/>
              </w:rPr>
            </w:pPr>
            <w:r>
              <w:rPr>
                <w:rFonts w:hint="eastAsia" w:ascii="宋体" w:hAnsi="宋体" w:cs="宋体"/>
                <w:b/>
                <w:bCs/>
                <w:color w:val="auto"/>
                <w:spacing w:val="-6"/>
                <w:szCs w:val="21"/>
              </w:rPr>
              <w:t>整体设计方案</w:t>
            </w: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8</w:t>
            </w:r>
          </w:p>
        </w:tc>
        <w:tc>
          <w:tcPr>
            <w:tcW w:w="6790" w:type="dxa"/>
          </w:tcPr>
          <w:p>
            <w:pPr>
              <w:spacing w:line="288" w:lineRule="auto"/>
              <w:rPr>
                <w:rFonts w:ascii="宋体" w:hAnsi="宋体" w:cs="宋体"/>
                <w:color w:val="auto"/>
                <w:spacing w:val="-6"/>
                <w:szCs w:val="21"/>
                <w:lang w:val="zh-TW" w:eastAsia="zh-TW"/>
              </w:rPr>
            </w:pPr>
            <w:r>
              <w:rPr>
                <w:rFonts w:hint="eastAsia" w:ascii="宋体" w:hAnsi="宋体" w:cs="宋体"/>
                <w:color w:val="auto"/>
                <w:szCs w:val="21"/>
              </w:rPr>
              <w:t>根</w:t>
            </w:r>
            <w:r>
              <w:rPr>
                <w:rFonts w:hint="eastAsia" w:ascii="宋体" w:hAnsi="宋体" w:cs="宋体"/>
                <w:color w:val="auto"/>
                <w:spacing w:val="-6"/>
                <w:szCs w:val="21"/>
              </w:rPr>
              <w:t>据供应商所提供的舞美</w:t>
            </w:r>
            <w:r>
              <w:rPr>
                <w:rFonts w:hint="eastAsia" w:ascii="宋体" w:hAnsi="宋体" w:cs="宋体"/>
                <w:color w:val="auto"/>
                <w:spacing w:val="-6"/>
                <w:szCs w:val="21"/>
                <w:lang w:val="zh-TW" w:eastAsia="zh-TW"/>
              </w:rPr>
              <w:t>设计</w:t>
            </w:r>
            <w:r>
              <w:rPr>
                <w:rFonts w:hint="eastAsia" w:ascii="宋体" w:hAnsi="宋体" w:cs="宋体"/>
                <w:color w:val="auto"/>
                <w:spacing w:val="-6"/>
                <w:szCs w:val="21"/>
              </w:rPr>
              <w:t>方案情况综合评审，包括①</w:t>
            </w:r>
            <w:r>
              <w:rPr>
                <w:rFonts w:hint="eastAsia" w:ascii="宋体" w:hAnsi="宋体" w:cs="宋体"/>
                <w:color w:val="auto"/>
                <w:spacing w:val="-6"/>
                <w:szCs w:val="21"/>
                <w:lang w:val="zh-TW" w:eastAsia="zh-TW"/>
              </w:rPr>
              <w:t>活动主题设计</w:t>
            </w:r>
            <w:r>
              <w:rPr>
                <w:rFonts w:hint="eastAsia" w:ascii="宋体" w:hAnsi="宋体" w:cs="宋体"/>
                <w:color w:val="auto"/>
                <w:spacing w:val="-6"/>
                <w:szCs w:val="21"/>
              </w:rPr>
              <w:t>②</w:t>
            </w:r>
            <w:r>
              <w:rPr>
                <w:rFonts w:hint="eastAsia" w:ascii="宋体" w:hAnsi="宋体" w:cs="宋体"/>
                <w:color w:val="auto"/>
                <w:spacing w:val="-6"/>
                <w:szCs w:val="21"/>
                <w:lang w:val="zh-TW" w:eastAsia="zh-TW"/>
              </w:rPr>
              <w:t>整体舞台设计</w:t>
            </w:r>
            <w:r>
              <w:rPr>
                <w:rFonts w:hint="eastAsia" w:ascii="宋体" w:hAnsi="宋体" w:cs="宋体"/>
                <w:color w:val="auto"/>
                <w:spacing w:val="-6"/>
                <w:szCs w:val="21"/>
              </w:rPr>
              <w:t>③</w:t>
            </w:r>
            <w:r>
              <w:rPr>
                <w:rFonts w:hint="eastAsia" w:ascii="宋体" w:hAnsi="宋体" w:cs="宋体"/>
                <w:color w:val="auto"/>
                <w:spacing w:val="-6"/>
                <w:szCs w:val="21"/>
                <w:lang w:val="zh-TW" w:eastAsia="zh-TW"/>
              </w:rPr>
              <w:t>现场开放式设计</w:t>
            </w:r>
            <w:r>
              <w:rPr>
                <w:rFonts w:hint="eastAsia" w:ascii="宋体" w:hAnsi="宋体" w:cs="宋体"/>
                <w:color w:val="auto"/>
                <w:spacing w:val="-6"/>
                <w:szCs w:val="21"/>
                <w:lang w:val="zh-TW" w:eastAsia="zh-TW"/>
              </w:rPr>
              <w:fldChar w:fldCharType="begin"/>
            </w:r>
            <w:r>
              <w:rPr>
                <w:rFonts w:hint="eastAsia" w:ascii="宋体" w:hAnsi="宋体" w:cs="宋体"/>
                <w:color w:val="auto"/>
                <w:spacing w:val="-6"/>
                <w:szCs w:val="21"/>
                <w:lang w:val="zh-TW" w:eastAsia="zh-TW"/>
              </w:rPr>
              <w:instrText xml:space="preserve"> = 4 \* GB3 \* MERGEFORMAT </w:instrText>
            </w:r>
            <w:r>
              <w:rPr>
                <w:rFonts w:hint="eastAsia" w:ascii="宋体" w:hAnsi="宋体" w:cs="宋体"/>
                <w:color w:val="auto"/>
                <w:spacing w:val="-6"/>
                <w:szCs w:val="21"/>
                <w:lang w:val="zh-TW" w:eastAsia="zh-TW"/>
              </w:rPr>
              <w:fldChar w:fldCharType="separate"/>
            </w:r>
            <w:r>
              <w:rPr>
                <w:rFonts w:hint="eastAsia" w:ascii="宋体" w:hAnsi="宋体" w:cs="宋体"/>
                <w:color w:val="auto"/>
                <w:szCs w:val="21"/>
              </w:rPr>
              <w:t>④</w:t>
            </w:r>
            <w:r>
              <w:rPr>
                <w:rFonts w:hint="eastAsia" w:ascii="宋体" w:hAnsi="宋体" w:cs="宋体"/>
                <w:color w:val="auto"/>
                <w:spacing w:val="-6"/>
                <w:szCs w:val="21"/>
                <w:lang w:val="zh-TW" w:eastAsia="zh-TW"/>
              </w:rPr>
              <w:fldChar w:fldCharType="end"/>
            </w:r>
            <w:r>
              <w:rPr>
                <w:rFonts w:hint="eastAsia" w:ascii="宋体" w:hAnsi="宋体" w:cs="宋体"/>
                <w:color w:val="auto"/>
                <w:szCs w:val="21"/>
              </w:rPr>
              <w:t>创意元素方案</w:t>
            </w:r>
          </w:p>
          <w:p>
            <w:pPr>
              <w:spacing w:line="288" w:lineRule="auto"/>
              <w:rPr>
                <w:rFonts w:ascii="宋体" w:hAnsi="宋体" w:cs="宋体"/>
                <w:color w:val="auto"/>
                <w:spacing w:val="-6"/>
                <w:szCs w:val="21"/>
              </w:rPr>
            </w:pPr>
            <w:r>
              <w:rPr>
                <w:rFonts w:hint="eastAsia" w:ascii="宋体" w:hAnsi="宋体" w:cs="宋体"/>
                <w:color w:val="auto"/>
                <w:spacing w:val="-6"/>
                <w:szCs w:val="21"/>
              </w:rPr>
              <w:t>（1）每提供以上一个方案内容得1分，最高得4分</w:t>
            </w:r>
          </w:p>
          <w:p>
            <w:pPr>
              <w:numPr>
                <w:ilvl w:val="255"/>
                <w:numId w:val="0"/>
              </w:numPr>
              <w:spacing w:line="288" w:lineRule="auto"/>
              <w:rPr>
                <w:rFonts w:ascii="宋体" w:hAnsi="宋体" w:cs="宋体"/>
                <w:color w:val="auto"/>
                <w:spacing w:val="-6"/>
                <w:szCs w:val="21"/>
                <w:lang w:val="zh-TW" w:eastAsia="zh-TW"/>
              </w:rPr>
            </w:pPr>
            <w:r>
              <w:rPr>
                <w:rFonts w:hint="eastAsia" w:ascii="宋体" w:hAnsi="宋体" w:cs="宋体"/>
                <w:color w:val="auto"/>
                <w:spacing w:val="-6"/>
                <w:szCs w:val="21"/>
              </w:rPr>
              <w:t>（2）对以上所提供方案①内容完整性、是否对采购人</w:t>
            </w:r>
            <w:r>
              <w:rPr>
                <w:rFonts w:hint="eastAsia" w:ascii="宋体" w:hAnsi="宋体" w:cs="宋体"/>
                <w:color w:val="auto"/>
                <w:spacing w:val="-6"/>
                <w:szCs w:val="21"/>
                <w:lang w:val="zh-TW" w:eastAsia="zh-TW"/>
              </w:rPr>
              <w:t>有利符合采购需求</w:t>
            </w:r>
            <w:r>
              <w:rPr>
                <w:rFonts w:hint="eastAsia" w:ascii="宋体" w:hAnsi="宋体" w:cs="宋体"/>
                <w:color w:val="auto"/>
                <w:spacing w:val="-6"/>
                <w:szCs w:val="21"/>
              </w:rPr>
              <w:t>②主题设计具体合理③</w:t>
            </w:r>
            <w:r>
              <w:rPr>
                <w:rFonts w:hint="eastAsia" w:ascii="宋体" w:hAnsi="宋体" w:cs="宋体"/>
                <w:color w:val="auto"/>
                <w:szCs w:val="21"/>
              </w:rPr>
              <w:t>灯光电、投影互动、数字技术、虚拟现实等技术设计</w:t>
            </w:r>
            <w:r>
              <w:rPr>
                <w:rFonts w:hint="eastAsia" w:ascii="宋体" w:hAnsi="宋体" w:cs="宋体"/>
                <w:color w:val="auto"/>
                <w:spacing w:val="-6"/>
                <w:szCs w:val="21"/>
                <w:lang w:val="zh-TW" w:eastAsia="zh-TW"/>
              </w:rPr>
              <w:t>情况评审（评审分值1分或2分或3分</w:t>
            </w:r>
            <w:r>
              <w:rPr>
                <w:rFonts w:hint="eastAsia" w:ascii="宋体" w:hAnsi="宋体" w:cs="宋体"/>
                <w:color w:val="auto"/>
                <w:spacing w:val="-6"/>
                <w:szCs w:val="21"/>
              </w:rPr>
              <w:t>或4分</w:t>
            </w:r>
            <w:r>
              <w:rPr>
                <w:rFonts w:hint="eastAsia" w:ascii="宋体" w:hAnsi="宋体" w:cs="宋体"/>
                <w:color w:val="auto"/>
                <w:spacing w:val="-6"/>
                <w:szCs w:val="21"/>
                <w:lang w:val="zh-TW" w:eastAsia="zh-TW"/>
              </w:rPr>
              <w:t>）</w:t>
            </w:r>
          </w:p>
          <w:p>
            <w:pPr>
              <w:spacing w:line="288" w:lineRule="auto"/>
              <w:rPr>
                <w:rFonts w:ascii="宋体" w:hAnsi="宋体" w:cs="宋体"/>
                <w:color w:val="auto"/>
                <w:szCs w:val="21"/>
              </w:rPr>
            </w:pPr>
            <w:r>
              <w:rPr>
                <w:rFonts w:hint="eastAsia" w:ascii="宋体" w:hAnsi="宋体" w:cs="宋体"/>
                <w:color w:val="auto"/>
                <w:spacing w:val="-6"/>
                <w:szCs w:val="21"/>
                <w:lang w:val="zh-TW" w:eastAsia="zh-TW"/>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b/>
                <w:bCs/>
                <w:color w:val="auto"/>
                <w:spacing w:val="-6"/>
                <w:szCs w:val="21"/>
              </w:rPr>
            </w:pP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5</w:t>
            </w:r>
          </w:p>
        </w:tc>
        <w:tc>
          <w:tcPr>
            <w:tcW w:w="6790" w:type="dxa"/>
            <w:vAlign w:val="center"/>
          </w:tcPr>
          <w:p>
            <w:pPr>
              <w:spacing w:line="288" w:lineRule="auto"/>
              <w:rPr>
                <w:rFonts w:ascii="宋体" w:hAnsi="宋体" w:cs="宋体"/>
                <w:color w:val="auto"/>
                <w:spacing w:val="-6"/>
                <w:szCs w:val="21"/>
              </w:rPr>
            </w:pPr>
            <w:r>
              <w:rPr>
                <w:rFonts w:hint="eastAsia" w:ascii="宋体" w:hAnsi="宋体" w:cs="宋体"/>
                <w:color w:val="auto"/>
                <w:spacing w:val="-6"/>
                <w:szCs w:val="21"/>
              </w:rPr>
              <w:t>舞台呈现效果展示情况：供应商须提供不少于5张得舞台效果图，并进行详细的设计描述。根据效果图所体现的①满足采购人需求情况②布局合理、视觉呈现美观情况综合评审；（评审分值1分或2分或3分或4分或5分）未提供相对应内容，不得分。提供舞台效果图少于5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b/>
                <w:bCs/>
                <w:color w:val="auto"/>
                <w:spacing w:val="-6"/>
                <w:szCs w:val="21"/>
              </w:rPr>
            </w:pP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5</w:t>
            </w:r>
          </w:p>
        </w:tc>
        <w:tc>
          <w:tcPr>
            <w:tcW w:w="6790" w:type="dxa"/>
            <w:vAlign w:val="center"/>
          </w:tcPr>
          <w:p>
            <w:pPr>
              <w:spacing w:line="288" w:lineRule="auto"/>
              <w:rPr>
                <w:rFonts w:ascii="宋体" w:hAnsi="宋体" w:cs="宋体"/>
                <w:color w:val="auto"/>
                <w:spacing w:val="-6"/>
                <w:szCs w:val="21"/>
              </w:rPr>
            </w:pPr>
            <w:r>
              <w:rPr>
                <w:rFonts w:hint="eastAsia" w:ascii="宋体" w:hAnsi="宋体" w:cs="宋体"/>
                <w:color w:val="auto"/>
                <w:spacing w:val="-6"/>
                <w:szCs w:val="21"/>
              </w:rPr>
              <w:t>舞台灯位设计：供应商提供不少于5张的灯光效果图，并进行详细的设计描述。根据效果图所体现的①满足采购人需求情况②布局合理、设计方案专业、全面，展示效果情况综合评审；（评审分值1分或2分或3分或4分或5分）未提供相对应内容，不得分。提供舞台灯位设计少于5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b/>
                <w:bCs/>
                <w:color w:val="auto"/>
                <w:spacing w:val="-6"/>
                <w:szCs w:val="21"/>
              </w:rPr>
            </w:pP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5</w:t>
            </w:r>
          </w:p>
        </w:tc>
        <w:tc>
          <w:tcPr>
            <w:tcW w:w="6790" w:type="dxa"/>
            <w:vAlign w:val="center"/>
          </w:tcPr>
          <w:p>
            <w:pPr>
              <w:spacing w:line="288" w:lineRule="auto"/>
              <w:rPr>
                <w:rFonts w:ascii="宋体" w:hAnsi="宋体" w:cs="宋体"/>
                <w:color w:val="auto"/>
                <w:spacing w:val="-6"/>
                <w:szCs w:val="21"/>
              </w:rPr>
            </w:pPr>
            <w:r>
              <w:rPr>
                <w:rFonts w:hint="eastAsia" w:ascii="宋体" w:hAnsi="宋体" w:cs="宋体"/>
                <w:color w:val="auto"/>
                <w:spacing w:val="-6"/>
                <w:szCs w:val="21"/>
              </w:rPr>
              <w:t>室内宣传分为营造方案：提供设计室内氛围营造的设计方案，提供不少于5张的效果图，并进行详细的设计描述。根据效果图所体现的①满足采购人需求情况②布局合理、视觉呈现美观情况综合评审；（评审分值1分或2分或3分或4分或5分）未提供相对应内容，不得分。提供设计室内氛围营造的设计方案少于5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color w:val="auto"/>
                <w:spacing w:val="-6"/>
                <w:szCs w:val="21"/>
              </w:rPr>
            </w:pPr>
          </w:p>
        </w:tc>
        <w:tc>
          <w:tcPr>
            <w:tcW w:w="920" w:type="dxa"/>
            <w:vAlign w:val="center"/>
          </w:tcPr>
          <w:p>
            <w:pPr>
              <w:spacing w:line="288" w:lineRule="auto"/>
              <w:jc w:val="center"/>
              <w:rPr>
                <w:rFonts w:ascii="宋体" w:hAnsi="宋体" w:cs="宋体"/>
                <w:color w:val="auto"/>
                <w:kern w:val="0"/>
                <w:szCs w:val="21"/>
              </w:rPr>
            </w:pPr>
            <w:r>
              <w:rPr>
                <w:rFonts w:hint="eastAsia" w:ascii="宋体" w:hAnsi="宋体" w:cs="宋体"/>
                <w:color w:val="auto"/>
                <w:kern w:val="0"/>
                <w:szCs w:val="21"/>
              </w:rPr>
              <w:t>5</w:t>
            </w:r>
          </w:p>
        </w:tc>
        <w:tc>
          <w:tcPr>
            <w:tcW w:w="6790" w:type="dxa"/>
          </w:tcPr>
          <w:p>
            <w:pPr>
              <w:rPr>
                <w:rFonts w:ascii="宋体" w:hAnsi="宋体" w:cs="宋体"/>
                <w:bCs/>
                <w:color w:val="auto"/>
                <w:szCs w:val="21"/>
              </w:rPr>
            </w:pPr>
            <w:r>
              <w:rPr>
                <w:rFonts w:hint="eastAsia" w:ascii="宋体" w:hAnsi="宋体" w:cs="宋体"/>
                <w:color w:val="auto"/>
                <w:szCs w:val="21"/>
              </w:rPr>
              <w:t>供应商根据项目级别、场地情况、项目需求所提供的</w:t>
            </w:r>
            <w:r>
              <w:rPr>
                <w:rFonts w:hint="eastAsia" w:ascii="宋体" w:hAnsi="宋体" w:cs="宋体"/>
                <w:color w:val="auto"/>
                <w:spacing w:val="-6"/>
                <w:szCs w:val="21"/>
              </w:rPr>
              <w:t>租赁设备运行方案的针对性，可实施性进行评审。包括①</w:t>
            </w:r>
            <w:r>
              <w:rPr>
                <w:rFonts w:hint="eastAsia" w:ascii="宋体" w:hAnsi="宋体" w:cs="宋体"/>
                <w:color w:val="auto"/>
                <w:szCs w:val="21"/>
              </w:rPr>
              <w:t>保证租赁设备质量的技术方案和措施</w:t>
            </w:r>
            <w:r>
              <w:rPr>
                <w:rFonts w:hint="eastAsia" w:ascii="宋体" w:hAnsi="宋体" w:cs="宋体"/>
                <w:color w:val="auto"/>
                <w:spacing w:val="-6"/>
                <w:szCs w:val="21"/>
              </w:rPr>
              <w:t>②</w:t>
            </w:r>
            <w:r>
              <w:rPr>
                <w:rFonts w:hint="eastAsia" w:ascii="宋体" w:hAnsi="宋体" w:cs="宋体"/>
                <w:color w:val="auto"/>
                <w:szCs w:val="21"/>
              </w:rPr>
              <w:t>租赁设备安装、调试的方案和措施。（评审分值1分或2分或3分或4分或5分）</w:t>
            </w:r>
            <w:r>
              <w:rPr>
                <w:rFonts w:hint="eastAsia" w:ascii="宋体" w:hAnsi="宋体" w:cs="宋体"/>
                <w:color w:val="auto"/>
                <w:spacing w:val="-6"/>
                <w:szCs w:val="21"/>
              </w:rPr>
              <w:t>未提供相对应内容，不得分。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restart"/>
            <w:vAlign w:val="center"/>
          </w:tcPr>
          <w:p>
            <w:pPr>
              <w:spacing w:line="288" w:lineRule="auto"/>
              <w:jc w:val="center"/>
              <w:rPr>
                <w:rFonts w:ascii="宋体" w:hAnsi="宋体" w:cs="宋体"/>
                <w:bCs/>
                <w:color w:val="auto"/>
                <w:szCs w:val="21"/>
              </w:rPr>
            </w:pPr>
            <w:r>
              <w:rPr>
                <w:rFonts w:hint="eastAsia" w:ascii="宋体" w:hAnsi="宋体" w:cs="宋体"/>
                <w:bCs/>
                <w:color w:val="auto"/>
                <w:szCs w:val="21"/>
              </w:rPr>
              <w:t>服务方案</w:t>
            </w:r>
          </w:p>
        </w:tc>
        <w:tc>
          <w:tcPr>
            <w:tcW w:w="920" w:type="dxa"/>
            <w:vAlign w:val="center"/>
          </w:tcPr>
          <w:p>
            <w:pPr>
              <w:pStyle w:val="13"/>
              <w:spacing w:line="288" w:lineRule="auto"/>
              <w:ind w:firstLine="0"/>
              <w:jc w:val="center"/>
              <w:rPr>
                <w:rFonts w:ascii="宋体" w:hAnsi="宋体" w:eastAsia="宋体"/>
                <w:color w:val="auto"/>
                <w:sz w:val="21"/>
                <w:szCs w:val="21"/>
              </w:rPr>
            </w:pPr>
            <w:r>
              <w:rPr>
                <w:rFonts w:hint="eastAsia" w:ascii="宋体" w:hAnsi="宋体" w:eastAsia="宋体"/>
                <w:color w:val="auto"/>
                <w:sz w:val="21"/>
                <w:szCs w:val="21"/>
              </w:rPr>
              <w:t>6</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根据供应商所提供的总体服务方案情况综合评审，包括①活动执行方案②风险隐患分析方案③安全保障方案</w:t>
            </w:r>
          </w:p>
          <w:p>
            <w:pPr>
              <w:rPr>
                <w:rFonts w:ascii="宋体" w:hAnsi="宋体" w:cs="宋体"/>
                <w:color w:val="auto"/>
                <w:spacing w:val="-6"/>
                <w:szCs w:val="21"/>
              </w:rPr>
            </w:pPr>
            <w:r>
              <w:rPr>
                <w:rFonts w:hint="eastAsia" w:ascii="宋体" w:hAnsi="宋体" w:cs="宋体"/>
                <w:color w:val="auto"/>
                <w:spacing w:val="-6"/>
                <w:szCs w:val="21"/>
              </w:rPr>
              <w:t>（1）每提供以上一个方案内容得1分，最高得3分</w:t>
            </w:r>
          </w:p>
          <w:p>
            <w:pPr>
              <w:numPr>
                <w:ilvl w:val="255"/>
                <w:numId w:val="0"/>
              </w:numPr>
              <w:rPr>
                <w:rFonts w:ascii="宋体" w:hAnsi="宋体" w:cs="宋体"/>
                <w:color w:val="auto"/>
                <w:spacing w:val="-6"/>
                <w:szCs w:val="21"/>
              </w:rPr>
            </w:pPr>
            <w:r>
              <w:rPr>
                <w:rFonts w:hint="eastAsia" w:ascii="宋体" w:hAnsi="宋体" w:cs="宋体"/>
                <w:color w:val="auto"/>
                <w:spacing w:val="-6"/>
                <w:szCs w:val="21"/>
              </w:rPr>
              <w:t>（2）对以上所提供方案①内容完整性、是否对采购人有利符合采购需求②风险预判做出的分类分级处理措施的对应及可实施情况③信息安全、设备安全解决方案的针对合理性等情况评审（评审分值1分或2分或3分）</w:t>
            </w:r>
          </w:p>
          <w:p>
            <w:pPr>
              <w:jc w:val="left"/>
              <w:rPr>
                <w:rFonts w:ascii="宋体" w:hAnsi="宋体" w:cs="宋体"/>
                <w:color w:val="auto"/>
                <w:spacing w:val="-6"/>
                <w:szCs w:val="21"/>
              </w:rPr>
            </w:pPr>
            <w:r>
              <w:rPr>
                <w:rFonts w:hint="eastAsia" w:ascii="宋体" w:hAnsi="宋体" w:cs="宋体"/>
                <w:color w:val="auto"/>
                <w:spacing w:val="-6"/>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bCs/>
                <w:color w:val="auto"/>
                <w:szCs w:val="21"/>
              </w:rPr>
            </w:pPr>
          </w:p>
        </w:tc>
        <w:tc>
          <w:tcPr>
            <w:tcW w:w="920" w:type="dxa"/>
            <w:vAlign w:val="center"/>
          </w:tcPr>
          <w:p>
            <w:pPr>
              <w:pStyle w:val="13"/>
              <w:spacing w:line="288" w:lineRule="auto"/>
              <w:ind w:firstLine="0"/>
              <w:jc w:val="center"/>
              <w:rPr>
                <w:rFonts w:ascii="宋体" w:hAnsi="宋体" w:eastAsia="宋体"/>
                <w:color w:val="auto"/>
                <w:sz w:val="21"/>
                <w:szCs w:val="21"/>
              </w:rPr>
            </w:pPr>
            <w:r>
              <w:rPr>
                <w:rFonts w:hint="eastAsia" w:ascii="宋体" w:hAnsi="宋体" w:eastAsia="宋体"/>
                <w:color w:val="auto"/>
                <w:sz w:val="21"/>
                <w:szCs w:val="21"/>
              </w:rPr>
              <w:t>4</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应急预案：包括①设备故障的响应、处理情况②活动过程中的应急事件解决办法。</w:t>
            </w:r>
          </w:p>
          <w:p>
            <w:pPr>
              <w:jc w:val="left"/>
              <w:rPr>
                <w:rFonts w:ascii="宋体" w:hAnsi="宋体" w:cs="宋体"/>
                <w:color w:val="auto"/>
                <w:spacing w:val="-6"/>
                <w:szCs w:val="21"/>
              </w:rPr>
            </w:pPr>
            <w:r>
              <w:rPr>
                <w:rFonts w:hint="eastAsia" w:ascii="宋体" w:hAnsi="宋体" w:cs="宋体"/>
                <w:color w:val="auto"/>
                <w:spacing w:val="-6"/>
                <w:szCs w:val="21"/>
              </w:rPr>
              <w:t>根据应急预案合理完整性、针对性进行评审（评审分值为1分或2分或3分或4分），未提供不得分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restart"/>
            <w:vAlign w:val="center"/>
          </w:tcPr>
          <w:p>
            <w:pPr>
              <w:spacing w:line="288" w:lineRule="auto"/>
              <w:jc w:val="center"/>
              <w:rPr>
                <w:rFonts w:ascii="宋体" w:hAnsi="宋体" w:cs="宋体"/>
                <w:bCs/>
                <w:color w:val="auto"/>
                <w:szCs w:val="21"/>
              </w:rPr>
            </w:pPr>
            <w:r>
              <w:rPr>
                <w:rFonts w:hint="eastAsia" w:ascii="宋体" w:hAnsi="宋体" w:cs="宋体"/>
                <w:bCs/>
                <w:color w:val="auto"/>
                <w:szCs w:val="21"/>
              </w:rPr>
              <w:t>团队成员</w:t>
            </w:r>
          </w:p>
        </w:tc>
        <w:tc>
          <w:tcPr>
            <w:tcW w:w="920" w:type="dxa"/>
            <w:vAlign w:val="center"/>
          </w:tcPr>
          <w:p>
            <w:pPr>
              <w:pStyle w:val="13"/>
              <w:spacing w:line="288" w:lineRule="auto"/>
              <w:ind w:firstLine="0"/>
              <w:jc w:val="center"/>
              <w:rPr>
                <w:rFonts w:ascii="宋体" w:hAnsi="宋体" w:eastAsia="宋体"/>
                <w:color w:val="auto"/>
                <w:kern w:val="0"/>
                <w:sz w:val="21"/>
                <w:szCs w:val="21"/>
              </w:rPr>
            </w:pPr>
            <w:r>
              <w:rPr>
                <w:rFonts w:hint="eastAsia" w:ascii="宋体" w:hAnsi="宋体" w:eastAsia="宋体"/>
                <w:color w:val="auto"/>
                <w:sz w:val="21"/>
                <w:szCs w:val="21"/>
              </w:rPr>
              <w:t>3</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供应商应提供舞美设计师（具有人社部门或文旅部门颁发的一级舞美设计师证书）2人及以上，提供相关的证书复印件，符合要求的得3分，未提供的得0分。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spacing w:line="288" w:lineRule="auto"/>
              <w:jc w:val="center"/>
              <w:rPr>
                <w:rFonts w:ascii="宋体" w:hAnsi="宋体" w:cs="宋体"/>
                <w:bCs/>
                <w:color w:val="auto"/>
                <w:szCs w:val="21"/>
              </w:rPr>
            </w:pPr>
          </w:p>
        </w:tc>
        <w:tc>
          <w:tcPr>
            <w:tcW w:w="920" w:type="dxa"/>
            <w:vAlign w:val="center"/>
          </w:tcPr>
          <w:p>
            <w:pPr>
              <w:pStyle w:val="13"/>
              <w:spacing w:line="288" w:lineRule="auto"/>
              <w:ind w:firstLine="0"/>
              <w:jc w:val="center"/>
              <w:rPr>
                <w:rFonts w:ascii="宋体" w:hAnsi="宋体" w:eastAsia="宋体"/>
                <w:color w:val="auto"/>
                <w:kern w:val="0"/>
                <w:sz w:val="21"/>
                <w:szCs w:val="21"/>
              </w:rPr>
            </w:pPr>
            <w:r>
              <w:rPr>
                <w:rFonts w:hint="eastAsia" w:ascii="宋体" w:hAnsi="宋体" w:eastAsia="宋体"/>
                <w:color w:val="auto"/>
                <w:sz w:val="21"/>
                <w:szCs w:val="21"/>
              </w:rPr>
              <w:t>3</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供应商提供高级音控师2人及以上；提供相关的证书复印件，符合要求的得3分，未提供的得0分。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Merge w:val="continue"/>
            <w:vAlign w:val="center"/>
          </w:tcPr>
          <w:p>
            <w:pPr>
              <w:jc w:val="center"/>
              <w:rPr>
                <w:rFonts w:ascii="宋体" w:hAnsi="宋体" w:cs="宋体"/>
                <w:color w:val="auto"/>
                <w:szCs w:val="21"/>
              </w:rPr>
            </w:pPr>
          </w:p>
        </w:tc>
        <w:tc>
          <w:tcPr>
            <w:tcW w:w="92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6790" w:type="dxa"/>
            <w:vAlign w:val="center"/>
          </w:tcPr>
          <w:p>
            <w:pPr>
              <w:rPr>
                <w:rFonts w:ascii="宋体" w:hAnsi="宋体" w:cs="宋体"/>
                <w:color w:val="auto"/>
                <w:spacing w:val="-6"/>
                <w:szCs w:val="21"/>
              </w:rPr>
            </w:pPr>
            <w:r>
              <w:rPr>
                <w:rFonts w:hint="eastAsia" w:ascii="宋体" w:hAnsi="宋体" w:cs="宋体"/>
                <w:color w:val="auto"/>
                <w:spacing w:val="-6"/>
                <w:szCs w:val="21"/>
              </w:rPr>
              <w:t>供应商提供高级灯光师2人及以上；提供相关的证书复印件，符合要求的得3分，未提供的得0分。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毕业生纪念品</w:t>
            </w:r>
          </w:p>
        </w:tc>
        <w:tc>
          <w:tcPr>
            <w:tcW w:w="920"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790" w:type="dxa"/>
            <w:vAlign w:val="center"/>
          </w:tcPr>
          <w:p>
            <w:pPr>
              <w:spacing w:after="0" w:line="240" w:lineRule="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毕业生纪念品情况：供应商提供不少于5张的设计图或类似成品的照片，并进行详细的设计描述。根据所体现的</w:t>
            </w:r>
          </w:p>
          <w:p>
            <w:pPr>
              <w:spacing w:after="0" w:line="240" w:lineRule="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①符合学校主题的设计理念</w:t>
            </w:r>
            <w:r>
              <w:rPr>
                <w:rFonts w:hint="eastAsia" w:ascii="宋体" w:hAnsi="宋体" w:cs="宋体"/>
                <w:color w:val="auto"/>
                <w:sz w:val="21"/>
                <w:szCs w:val="21"/>
                <w:highlight w:val="none"/>
                <w:lang w:val="en-US" w:eastAsia="zh-CN"/>
                <w14:ligatures w14:val="none"/>
              </w:rPr>
              <w:t>情况：包括与学校主题的紧密结合情况，</w:t>
            </w:r>
            <w:r>
              <w:rPr>
                <w:rFonts w:hint="eastAsia" w:ascii="宋体" w:hAnsi="宋体" w:cs="宋体"/>
                <w:color w:val="auto"/>
                <w:spacing w:val="-6"/>
                <w:szCs w:val="21"/>
                <w:highlight w:val="none"/>
              </w:rPr>
              <w:t>校名（中英文）、校标、校训等元素</w:t>
            </w:r>
            <w:r>
              <w:rPr>
                <w:rFonts w:hint="eastAsia" w:ascii="宋体" w:hAnsi="宋体" w:cs="宋体"/>
                <w:color w:val="auto"/>
                <w:spacing w:val="-6"/>
                <w:szCs w:val="21"/>
                <w:highlight w:val="none"/>
                <w:lang w:val="en-US" w:eastAsia="zh-CN"/>
              </w:rPr>
              <w:t>设计情况</w:t>
            </w:r>
            <w:r>
              <w:rPr>
                <w:rFonts w:hint="eastAsia" w:ascii="宋体" w:hAnsi="宋体" w:eastAsia="宋体" w:cs="宋体"/>
                <w:color w:val="auto"/>
                <w:sz w:val="21"/>
                <w:szCs w:val="21"/>
                <w:highlight w:val="none"/>
                <w14:ligatures w14:val="none"/>
              </w:rPr>
              <w:t>（评审分值1分或2分或3分）未提供相对应内容，不得分；</w:t>
            </w:r>
          </w:p>
          <w:p>
            <w:pPr>
              <w:spacing w:after="0" w:line="240" w:lineRule="auto"/>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②纪念品材质质量情况</w:t>
            </w:r>
            <w:r>
              <w:rPr>
                <w:rFonts w:hint="eastAsia" w:ascii="宋体" w:hAnsi="宋体" w:cs="宋体"/>
                <w:color w:val="auto"/>
                <w:sz w:val="21"/>
                <w:szCs w:val="21"/>
                <w:highlight w:val="none"/>
                <w:lang w:eastAsia="zh-CN"/>
                <w14:ligatures w14:val="none"/>
              </w:rPr>
              <w:t>：</w:t>
            </w:r>
            <w:r>
              <w:rPr>
                <w:rFonts w:hint="eastAsia" w:ascii="宋体" w:hAnsi="宋体" w:cs="宋体"/>
                <w:color w:val="auto"/>
                <w:sz w:val="21"/>
                <w:szCs w:val="21"/>
                <w:highlight w:val="none"/>
                <w:lang w:val="en-US" w:eastAsia="zh-CN"/>
                <w14:ligatures w14:val="none"/>
              </w:rPr>
              <w:t>包括耐用性、环保性情况</w:t>
            </w:r>
            <w:r>
              <w:rPr>
                <w:rFonts w:hint="eastAsia" w:ascii="宋体" w:hAnsi="宋体" w:eastAsia="宋体" w:cs="宋体"/>
                <w:color w:val="auto"/>
                <w:sz w:val="21"/>
                <w:szCs w:val="21"/>
                <w:highlight w:val="none"/>
                <w14:ligatures w14:val="none"/>
              </w:rPr>
              <w:t>综合评审（评审分值1分或2分或3分或4分）</w:t>
            </w:r>
          </w:p>
          <w:p>
            <w:pPr>
              <w:spacing w:after="0" w:line="240"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1"/>
                <w:szCs w:val="21"/>
                <w:highlight w:val="none"/>
                <w14:ligatures w14:val="none"/>
              </w:rPr>
              <w:t>未提供相对应内容，不得分。提供设计图或类似成品的照片少于5张的不得分。</w:t>
            </w:r>
          </w:p>
        </w:tc>
      </w:tr>
    </w:tbl>
    <w:p>
      <w:pPr>
        <w:pStyle w:val="28"/>
        <w:adjustRightInd w:val="0"/>
        <w:snapToGrid w:val="0"/>
        <w:spacing w:line="360" w:lineRule="auto"/>
        <w:ind w:firstLine="420" w:firstLineChars="200"/>
        <w:jc w:val="left"/>
        <w:rPr>
          <w:rFonts w:hAnsi="宋体" w:cs="Arial"/>
          <w:b/>
          <w:bCs/>
          <w:sz w:val="21"/>
          <w:szCs w:val="21"/>
        </w:rPr>
      </w:pPr>
      <w:r>
        <w:rPr>
          <w:rFonts w:hint="eastAsia" w:ascii="宋体" w:hAnsi="宋体" w:eastAsia="宋体"/>
          <w:iCs/>
          <w:sz w:val="21"/>
          <w:szCs w:val="21"/>
        </w:rPr>
        <w:t>备</w:t>
      </w:r>
      <w:r>
        <w:rPr>
          <w:rFonts w:hint="eastAsia" w:ascii="宋体" w:hAnsi="宋体"/>
          <w:iCs/>
          <w:sz w:val="21"/>
          <w:szCs w:val="21"/>
        </w:rPr>
        <w:t>注：</w:t>
      </w:r>
      <w:r>
        <w:rPr>
          <w:rFonts w:hint="eastAsia" w:ascii="宋体" w:hAnsi="宋体" w:eastAsia="宋体"/>
          <w:iCs/>
          <w:sz w:val="21"/>
          <w:szCs w:val="21"/>
        </w:rPr>
        <w:t>磋商小组</w:t>
      </w:r>
      <w:r>
        <w:rPr>
          <w:rFonts w:hint="eastAsia" w:ascii="宋体" w:hAnsi="宋体"/>
          <w:iCs/>
          <w:sz w:val="21"/>
          <w:szCs w:val="21"/>
        </w:rPr>
        <w:t>在项目评审直至合同签订、履约期间，有权要求</w:t>
      </w:r>
      <w:r>
        <w:rPr>
          <w:rFonts w:hint="eastAsia" w:ascii="宋体" w:hAnsi="宋体" w:eastAsia="宋体"/>
          <w:iCs/>
          <w:sz w:val="21"/>
          <w:szCs w:val="21"/>
        </w:rPr>
        <w:t>供应商</w:t>
      </w:r>
      <w:r>
        <w:rPr>
          <w:rFonts w:hint="eastAsia" w:ascii="宋体" w:hAnsi="宋体"/>
          <w:iCs/>
          <w:sz w:val="21"/>
          <w:szCs w:val="21"/>
        </w:rPr>
        <w:t>出具投标文件中的主要业绩证明合同等其他原件，予以确认其的真实性和有效性，</w:t>
      </w:r>
      <w:r>
        <w:rPr>
          <w:rFonts w:hint="eastAsia" w:ascii="宋体" w:hAnsi="宋体"/>
          <w:b/>
          <w:iCs/>
          <w:sz w:val="21"/>
          <w:szCs w:val="21"/>
        </w:rPr>
        <w:t>如出现与事实不符等情况，将根据有关规定以“提供虚假材料谋取中标”上报主管部门予以处理</w:t>
      </w:r>
      <w:r>
        <w:rPr>
          <w:rFonts w:hint="eastAsia" w:ascii="宋体" w:hAnsi="宋体"/>
          <w:iCs/>
          <w:sz w:val="21"/>
          <w:szCs w:val="21"/>
        </w:rPr>
        <w:t>。</w:t>
      </w:r>
    </w:p>
    <w:p>
      <w:pPr>
        <w:pStyle w:val="36"/>
        <w:adjustRightInd w:val="0"/>
        <w:snapToGrid w:val="0"/>
        <w:spacing w:line="360" w:lineRule="auto"/>
        <w:ind w:firstLine="0"/>
        <w:rPr>
          <w:rFonts w:ascii="宋体" w:hAnsi="宋体" w:eastAsia="宋体" w:cs="Arial"/>
          <w:b/>
          <w:sz w:val="21"/>
          <w:szCs w:val="21"/>
        </w:rPr>
      </w:pPr>
      <w:bookmarkStart w:id="150" w:name="_Toc345320401"/>
      <w:r>
        <w:rPr>
          <w:rFonts w:hint="eastAsia" w:ascii="宋体" w:hAnsi="宋体" w:eastAsia="宋体" w:cs="Arial"/>
          <w:b/>
          <w:sz w:val="21"/>
          <w:szCs w:val="21"/>
        </w:rPr>
        <w:t>2</w:t>
      </w:r>
      <w:r>
        <w:rPr>
          <w:rFonts w:ascii="宋体" w:hAnsi="宋体" w:eastAsia="宋体" w:cs="Arial"/>
          <w:b/>
          <w:sz w:val="21"/>
          <w:szCs w:val="21"/>
        </w:rPr>
        <w:t>、报价分  总分</w:t>
      </w:r>
      <w:r>
        <w:rPr>
          <w:rFonts w:hint="eastAsia" w:ascii="宋体" w:hAnsi="宋体" w:eastAsia="宋体" w:cs="Arial"/>
          <w:b/>
          <w:sz w:val="21"/>
          <w:szCs w:val="21"/>
          <w:u w:val="single"/>
        </w:rPr>
        <w:t>10</w:t>
      </w:r>
      <w:r>
        <w:rPr>
          <w:rFonts w:ascii="宋体" w:hAnsi="宋体" w:eastAsia="宋体" w:cs="Arial"/>
          <w:b/>
          <w:sz w:val="21"/>
          <w:szCs w:val="21"/>
        </w:rPr>
        <w:t>分</w:t>
      </w:r>
      <w:bookmarkEnd w:id="150"/>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报价评分将在有效供应商范围内进行，最高得</w:t>
      </w:r>
      <w:r>
        <w:rPr>
          <w:rFonts w:hint="eastAsia" w:ascii="宋体" w:hAnsi="宋体" w:cs="Arial"/>
          <w:kern w:val="0"/>
          <w:szCs w:val="21"/>
          <w:u w:val="single"/>
        </w:rPr>
        <w:t>10</w:t>
      </w:r>
      <w:r>
        <w:rPr>
          <w:rFonts w:ascii="宋体" w:hAnsi="宋体" w:cs="Arial"/>
          <w:kern w:val="0"/>
          <w:szCs w:val="21"/>
        </w:rPr>
        <w:t>分，最低得</w:t>
      </w:r>
      <w:r>
        <w:rPr>
          <w:rFonts w:ascii="宋体" w:hAnsi="宋体" w:cs="Arial"/>
          <w:kern w:val="0"/>
          <w:szCs w:val="21"/>
          <w:u w:val="single"/>
        </w:rPr>
        <w:t xml:space="preserve"> </w:t>
      </w:r>
      <w:r>
        <w:rPr>
          <w:rFonts w:hint="eastAsia" w:ascii="宋体" w:hAnsi="宋体" w:cs="Arial"/>
          <w:kern w:val="0"/>
          <w:szCs w:val="21"/>
          <w:u w:val="single"/>
        </w:rPr>
        <w:t>0</w:t>
      </w:r>
      <w:r>
        <w:rPr>
          <w:rFonts w:ascii="宋体" w:hAnsi="宋体" w:cs="Arial"/>
          <w:kern w:val="0"/>
          <w:szCs w:val="21"/>
          <w:u w:val="single"/>
        </w:rPr>
        <w:t xml:space="preserve"> </w:t>
      </w:r>
      <w:r>
        <w:rPr>
          <w:rFonts w:ascii="宋体" w:hAnsi="宋体" w:cs="Arial"/>
          <w:kern w:val="0"/>
          <w:szCs w:val="21"/>
        </w:rPr>
        <w:t>分。满足竞争性磋商文件要求且</w:t>
      </w:r>
      <w:r>
        <w:rPr>
          <w:rFonts w:hint="eastAsia" w:ascii="宋体" w:hAnsi="宋体" w:cs="Arial"/>
          <w:kern w:val="0"/>
          <w:szCs w:val="21"/>
        </w:rPr>
        <w:t>最后报价</w:t>
      </w:r>
      <w:r>
        <w:rPr>
          <w:rFonts w:ascii="宋体" w:hAnsi="宋体" w:cs="Arial"/>
          <w:kern w:val="0"/>
          <w:szCs w:val="21"/>
        </w:rPr>
        <w:t>最低的</w:t>
      </w:r>
      <w:r>
        <w:rPr>
          <w:rFonts w:hint="eastAsia" w:ascii="宋体" w:hAnsi="宋体" w:cs="Arial"/>
          <w:b/>
          <w:kern w:val="0"/>
          <w:szCs w:val="21"/>
          <w:u w:val="thick"/>
        </w:rPr>
        <w:t>磋商</w:t>
      </w:r>
      <w:r>
        <w:rPr>
          <w:rFonts w:ascii="宋体" w:hAnsi="宋体" w:cs="Arial"/>
          <w:b/>
          <w:kern w:val="0"/>
          <w:szCs w:val="21"/>
          <w:u w:val="thick"/>
        </w:rPr>
        <w:t>报价</w:t>
      </w:r>
      <w:r>
        <w:rPr>
          <w:rFonts w:ascii="宋体" w:hAnsi="宋体" w:cs="Arial"/>
          <w:kern w:val="0"/>
          <w:szCs w:val="21"/>
        </w:rPr>
        <w:t>为</w:t>
      </w:r>
      <w:r>
        <w:rPr>
          <w:rFonts w:hint="eastAsia" w:ascii="宋体" w:hAnsi="宋体" w:cs="Arial"/>
          <w:b/>
          <w:kern w:val="0"/>
          <w:szCs w:val="21"/>
          <w:u w:val="thick"/>
        </w:rPr>
        <w:t>磋商</w:t>
      </w:r>
      <w:r>
        <w:rPr>
          <w:rFonts w:ascii="宋体" w:hAnsi="宋体" w:cs="Arial"/>
          <w:b/>
          <w:kern w:val="0"/>
          <w:szCs w:val="21"/>
          <w:u w:val="thick"/>
        </w:rPr>
        <w:t>基准价</w:t>
      </w:r>
      <w:r>
        <w:rPr>
          <w:rFonts w:ascii="宋体" w:hAnsi="宋体" w:cs="Arial"/>
          <w:kern w:val="0"/>
          <w:szCs w:val="21"/>
        </w:rPr>
        <w:t>，供应商的价格分统一按照下列公式计算：</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磋商报价得分=（磋商基准价/最后磋商报价）×价格权值×100</w:t>
      </w:r>
    </w:p>
    <w:p>
      <w:pPr>
        <w:adjustRightInd w:val="0"/>
        <w:snapToGrid w:val="0"/>
        <w:spacing w:line="360" w:lineRule="auto"/>
        <w:ind w:firstLine="420" w:firstLineChars="200"/>
        <w:rPr>
          <w:rFonts w:ascii="宋体" w:hAnsi="宋体" w:cs="Arial"/>
          <w:kern w:val="0"/>
          <w:szCs w:val="21"/>
        </w:rPr>
      </w:pPr>
      <w:r>
        <w:rPr>
          <w:rFonts w:ascii="宋体" w:hAnsi="宋体" w:cs="Arial"/>
          <w:kern w:val="0"/>
          <w:szCs w:val="21"/>
        </w:rPr>
        <w:t>此项由磋商小组集体核实后统一打分。</w:t>
      </w:r>
    </w:p>
    <w:p>
      <w:pPr>
        <w:shd w:val="clear" w:color="auto" w:fill="FFFFFF"/>
        <w:adjustRightInd w:val="0"/>
        <w:snapToGrid w:val="0"/>
        <w:spacing w:line="360" w:lineRule="auto"/>
        <w:ind w:firstLine="422" w:firstLineChars="200"/>
        <w:rPr>
          <w:rFonts w:ascii="宋体" w:hAnsi="宋体" w:cs="Arial"/>
          <w:b/>
          <w:bCs/>
          <w:lang w:val="zh-CN"/>
        </w:rPr>
      </w:pPr>
      <w:r>
        <w:rPr>
          <w:rFonts w:hint="eastAsia" w:ascii="宋体" w:hAnsi="宋体" w:cs="宋体"/>
          <w:b/>
          <w:bCs/>
          <w:lang w:val="zh-CN"/>
        </w:rPr>
        <w:t>▲</w:t>
      </w:r>
      <w:r>
        <w:rPr>
          <w:rFonts w:hint="eastAsia" w:ascii="宋体" w:hAnsi="宋体" w:cs="Arial"/>
          <w:b/>
          <w:bCs/>
          <w:lang w:val="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ascii="宋体" w:hAnsi="宋体" w:cs="Arial"/>
          <w:b/>
          <w:bCs/>
          <w:kern w:val="0"/>
          <w:szCs w:val="21"/>
        </w:rPr>
        <w:t>供应商不能证明其报价合理性的</w:t>
      </w:r>
      <w:r>
        <w:rPr>
          <w:rFonts w:hint="eastAsia" w:ascii="宋体" w:hAnsi="宋体" w:cs="Arial"/>
          <w:b/>
          <w:bCs/>
          <w:kern w:val="0"/>
          <w:szCs w:val="21"/>
        </w:rPr>
        <w:t>，磋商小组应将该响应文件作无效处理。</w:t>
      </w:r>
    </w:p>
    <w:p>
      <w:pPr>
        <w:adjustRightInd w:val="0"/>
        <w:snapToGrid w:val="0"/>
        <w:spacing w:line="360" w:lineRule="auto"/>
        <w:ind w:firstLine="422" w:firstLineChars="200"/>
        <w:jc w:val="left"/>
        <w:rPr>
          <w:rFonts w:ascii="宋体" w:hAnsi="宋体" w:cs="宋体"/>
          <w:szCs w:val="21"/>
        </w:rPr>
      </w:pPr>
      <w:r>
        <w:rPr>
          <w:rFonts w:hint="eastAsia" w:ascii="宋体" w:hAnsi="宋体" w:cs="Arial"/>
          <w:b/>
          <w:bCs/>
          <w:lang w:val="zh-CN"/>
        </w:rPr>
        <w:t>落实政府采购政策说明：</w:t>
      </w:r>
      <w:r>
        <w:rPr>
          <w:rFonts w:hint="eastAsia" w:ascii="宋体" w:hAnsi="宋体" w:cs="宋体"/>
          <w:b/>
          <w:bCs/>
          <w:kern w:val="0"/>
          <w:szCs w:val="21"/>
          <w:lang w:bidi="ar"/>
        </w:rPr>
        <w:t>落实政府采购政策说明：本项目面向中小企业采购，不进行价格扣除或价格分加分。</w:t>
      </w:r>
    </w:p>
    <w:p>
      <w:pPr>
        <w:adjustRightInd w:val="0"/>
        <w:snapToGrid w:val="0"/>
        <w:spacing w:line="360" w:lineRule="auto"/>
        <w:ind w:firstLine="420" w:firstLineChars="200"/>
        <w:rPr>
          <w:rFonts w:ascii="宋体" w:hAnsi="宋体" w:cs="Arial"/>
          <w:b/>
          <w:bCs/>
        </w:rPr>
      </w:pPr>
      <w:r>
        <w:rPr>
          <w:rFonts w:ascii="宋体" w:hAnsi="宋体" w:cs="Arial"/>
          <w:kern w:val="0"/>
          <w:szCs w:val="21"/>
        </w:rPr>
        <w:t>此项由磋商小组集体核实后统一打分。</w:t>
      </w:r>
    </w:p>
    <w:p>
      <w:pPr>
        <w:adjustRightInd w:val="0"/>
        <w:snapToGrid w:val="0"/>
        <w:spacing w:line="360" w:lineRule="auto"/>
        <w:ind w:firstLine="422" w:firstLineChars="200"/>
        <w:rPr>
          <w:rFonts w:ascii="宋体" w:hAnsi="宋体" w:cs="Arial"/>
          <w:b/>
          <w:bCs/>
        </w:rPr>
      </w:pPr>
      <w:r>
        <w:rPr>
          <w:rFonts w:hint="eastAsia" w:ascii="宋体" w:hAnsi="宋体" w:cs="Arial"/>
          <w:b/>
          <w:bCs/>
        </w:rPr>
        <w:t>五</w:t>
      </w:r>
      <w:r>
        <w:rPr>
          <w:rFonts w:ascii="宋体" w:hAnsi="宋体" w:cs="Arial"/>
          <w:b/>
          <w:bCs/>
        </w:rPr>
        <w:t>、</w:t>
      </w:r>
      <w:r>
        <w:rPr>
          <w:rFonts w:hint="eastAsia" w:ascii="宋体" w:hAnsi="宋体" w:cs="Arial"/>
          <w:b/>
          <w:bCs/>
        </w:rPr>
        <w:t>成交</w:t>
      </w:r>
      <w:r>
        <w:rPr>
          <w:rFonts w:ascii="宋体" w:hAnsi="宋体" w:cs="Arial"/>
          <w:b/>
          <w:bCs/>
        </w:rPr>
        <w:t>办法</w:t>
      </w:r>
    </w:p>
    <w:p>
      <w:pPr>
        <w:pStyle w:val="114"/>
        <w:adjustRightInd w:val="0"/>
        <w:snapToGrid w:val="0"/>
        <w:ind w:firstLine="420"/>
      </w:pPr>
      <w:r>
        <w:rPr>
          <w:rFonts w:hint="eastAsia" w:cs="Arial"/>
          <w:kern w:val="0"/>
          <w:sz w:val="21"/>
          <w:szCs w:val="21"/>
        </w:rPr>
        <w:t>采购人将根据磋商小组提交的评审报告及推荐的成交候选人，按有关规定确定成交人。</w:t>
      </w:r>
    </w:p>
    <w:sectPr>
      <w:headerReference r:id="rId6" w:type="default"/>
      <w:footerReference r:id="rId7" w:type="default"/>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微软雅黑"/>
    <w:panose1 w:val="00000000000000000000"/>
    <w:charset w:val="00"/>
    <w:family w:val="roman"/>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ヒラギノ角ゴ Pro W3">
    <w:altName w:val="MS UI Gothic"/>
    <w:panose1 w:val="00000000000000000000"/>
    <w:charset w:val="80"/>
    <w:family w:val="swiss"/>
    <w:pitch w:val="default"/>
    <w:sig w:usb0="00000000" w:usb1="00000000" w:usb2="00000012" w:usb3="00000000" w:csb0="0002000D"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Baskerville">
    <w:altName w:val="Times New Roman"/>
    <w:panose1 w:val="00000000000000000000"/>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80" w:firstLineChars="200"/>
      <w:rPr>
        <w:rFonts w:ascii="宋体" w:hAnsi="宋体"/>
        <w:sz w:val="24"/>
      </w:rPr>
    </w:pPr>
  </w:p>
  <w:p>
    <w:pP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50</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57</w:t>
    </w:r>
    <w:r>
      <w:fldChar w:fldCharType="end"/>
    </w:r>
  </w:p>
  <w:p>
    <w:pPr>
      <w:pStyle w:val="30"/>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52A32"/>
    <w:multiLevelType w:val="singleLevel"/>
    <w:tmpl w:val="91F52A32"/>
    <w:lvl w:ilvl="0" w:tentative="0">
      <w:start w:val="1"/>
      <w:numFmt w:val="decimal"/>
      <w:suff w:val="space"/>
      <w:lvlText w:val="%1."/>
      <w:lvlJc w:val="left"/>
    </w:lvl>
  </w:abstractNum>
  <w:abstractNum w:abstractNumId="1">
    <w:nsid w:val="CEB0BA44"/>
    <w:multiLevelType w:val="singleLevel"/>
    <w:tmpl w:val="CEB0BA44"/>
    <w:lvl w:ilvl="0" w:tentative="0">
      <w:start w:val="3"/>
      <w:numFmt w:val="chineseCounting"/>
      <w:suff w:val="nothing"/>
      <w:lvlText w:val="%1、"/>
      <w:lvlJc w:val="left"/>
      <w:pPr>
        <w:ind w:left="210"/>
      </w:pPr>
      <w:rPr>
        <w:rFonts w:hint="eastAsia"/>
      </w:rPr>
    </w:lvl>
  </w:abstractNum>
  <w:abstractNum w:abstractNumId="2">
    <w:nsid w:val="F30178E4"/>
    <w:multiLevelType w:val="singleLevel"/>
    <w:tmpl w:val="F30178E4"/>
    <w:lvl w:ilvl="0" w:tentative="0">
      <w:start w:val="1"/>
      <w:numFmt w:val="decimal"/>
      <w:suff w:val="nothing"/>
      <w:lvlText w:val="%1、"/>
      <w:lvlJc w:val="left"/>
    </w:lvl>
  </w:abstractNum>
  <w:abstractNum w:abstractNumId="3">
    <w:nsid w:val="F3F541C0"/>
    <w:multiLevelType w:val="singleLevel"/>
    <w:tmpl w:val="F3F541C0"/>
    <w:lvl w:ilvl="0" w:tentative="0">
      <w:start w:val="1"/>
      <w:numFmt w:val="decimal"/>
      <w:suff w:val="nothing"/>
      <w:lvlText w:val="（%1）"/>
      <w:lvlJc w:val="left"/>
    </w:lvl>
  </w:abstractNum>
  <w:abstractNum w:abstractNumId="4">
    <w:nsid w:val="0000001B"/>
    <w:multiLevelType w:val="multilevel"/>
    <w:tmpl w:val="0000001B"/>
    <w:lvl w:ilvl="0" w:tentative="0">
      <w:start w:val="1"/>
      <w:numFmt w:val="chineseCountingThousand"/>
      <w:pStyle w:val="104"/>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7"/>
      <w:lvlText w:val="           "/>
      <w:lvlJc w:val="left"/>
      <w:pPr>
        <w:tabs>
          <w:tab w:val="left" w:pos="1440"/>
        </w:tabs>
        <w:ind w:left="1152" w:hanging="1152"/>
      </w:pPr>
    </w:lvl>
    <w:lvl w:ilvl="6" w:tentative="0">
      <w:start w:val="1"/>
      <w:numFmt w:val="decimal"/>
      <w:pStyle w:val="8"/>
      <w:lvlText w:val="%1.%2.%3.%4.%5.%6.%7"/>
      <w:lvlJc w:val="left"/>
      <w:pPr>
        <w:tabs>
          <w:tab w:val="left" w:pos="2520"/>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1C"/>
    <w:multiLevelType w:val="multilevel"/>
    <w:tmpl w:val="0000001C"/>
    <w:lvl w:ilvl="0" w:tentative="0">
      <w:start w:val="1"/>
      <w:numFmt w:val="chineseCountingThousand"/>
      <w:pStyle w:val="3"/>
      <w:lvlText w:val="%1、"/>
      <w:lvlJc w:val="left"/>
      <w:rPr>
        <w:rFonts w:hint="default" w:ascii="??" w:hAnsi="??" w:eastAsia="??"/>
        <w:b/>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715C1B4B"/>
    <w:multiLevelType w:val="multilevel"/>
    <w:tmpl w:val="715C1B4B"/>
    <w:lvl w:ilvl="0" w:tentative="0">
      <w:start w:val="1"/>
      <w:numFmt w:val="decimal"/>
      <w:lvlText w:val="%1．"/>
      <w:lvlJc w:val="left"/>
      <w:pPr>
        <w:ind w:left="816" w:hanging="360"/>
      </w:pPr>
      <w:rPr>
        <w:rFonts w:hint="default"/>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M2U5OTk3ODE2Y2JiYzQ2NmZhZDc2NzU4YzFlZDIifQ=="/>
  </w:docVars>
  <w:rsids>
    <w:rsidRoot w:val="005748BF"/>
    <w:rsid w:val="00012BBB"/>
    <w:rsid w:val="00017087"/>
    <w:rsid w:val="00022C6C"/>
    <w:rsid w:val="00046A4B"/>
    <w:rsid w:val="0006405B"/>
    <w:rsid w:val="000A1D0E"/>
    <w:rsid w:val="000D1A7D"/>
    <w:rsid w:val="00116CDE"/>
    <w:rsid w:val="00150933"/>
    <w:rsid w:val="00184CC5"/>
    <w:rsid w:val="001B6FEE"/>
    <w:rsid w:val="001D55DE"/>
    <w:rsid w:val="00244B87"/>
    <w:rsid w:val="00263CF8"/>
    <w:rsid w:val="00284D31"/>
    <w:rsid w:val="002B00E7"/>
    <w:rsid w:val="002E72EB"/>
    <w:rsid w:val="002F5440"/>
    <w:rsid w:val="003133AB"/>
    <w:rsid w:val="003264D9"/>
    <w:rsid w:val="00361DCF"/>
    <w:rsid w:val="00366B1B"/>
    <w:rsid w:val="003A2020"/>
    <w:rsid w:val="003B413C"/>
    <w:rsid w:val="003E3C63"/>
    <w:rsid w:val="003F2D61"/>
    <w:rsid w:val="003F62DC"/>
    <w:rsid w:val="003F688F"/>
    <w:rsid w:val="00423C6D"/>
    <w:rsid w:val="00440175"/>
    <w:rsid w:val="00486B84"/>
    <w:rsid w:val="004A4C32"/>
    <w:rsid w:val="004D6899"/>
    <w:rsid w:val="00510A75"/>
    <w:rsid w:val="00533B14"/>
    <w:rsid w:val="00541D3E"/>
    <w:rsid w:val="005440D4"/>
    <w:rsid w:val="0054420B"/>
    <w:rsid w:val="005561E5"/>
    <w:rsid w:val="005748BF"/>
    <w:rsid w:val="00575F98"/>
    <w:rsid w:val="005A5982"/>
    <w:rsid w:val="005B5833"/>
    <w:rsid w:val="005C2D33"/>
    <w:rsid w:val="005E2542"/>
    <w:rsid w:val="00601147"/>
    <w:rsid w:val="006329C8"/>
    <w:rsid w:val="00654795"/>
    <w:rsid w:val="00660FA3"/>
    <w:rsid w:val="006A5565"/>
    <w:rsid w:val="006B3458"/>
    <w:rsid w:val="006B5B61"/>
    <w:rsid w:val="006B7CF0"/>
    <w:rsid w:val="006D07C4"/>
    <w:rsid w:val="006F4587"/>
    <w:rsid w:val="007576BC"/>
    <w:rsid w:val="0076508D"/>
    <w:rsid w:val="007B64C3"/>
    <w:rsid w:val="007C0618"/>
    <w:rsid w:val="007F69FF"/>
    <w:rsid w:val="00825016"/>
    <w:rsid w:val="00833C78"/>
    <w:rsid w:val="00872634"/>
    <w:rsid w:val="008767F1"/>
    <w:rsid w:val="008C0690"/>
    <w:rsid w:val="008E661D"/>
    <w:rsid w:val="008F1B14"/>
    <w:rsid w:val="008F4B4F"/>
    <w:rsid w:val="00905EF9"/>
    <w:rsid w:val="00916AD0"/>
    <w:rsid w:val="009215CC"/>
    <w:rsid w:val="0093507B"/>
    <w:rsid w:val="00935B35"/>
    <w:rsid w:val="00942A70"/>
    <w:rsid w:val="0095636A"/>
    <w:rsid w:val="009902DF"/>
    <w:rsid w:val="009B78ED"/>
    <w:rsid w:val="009C16A5"/>
    <w:rsid w:val="009E3202"/>
    <w:rsid w:val="009F5E7A"/>
    <w:rsid w:val="00A3761B"/>
    <w:rsid w:val="00A45E7B"/>
    <w:rsid w:val="00A74C67"/>
    <w:rsid w:val="00A97F9C"/>
    <w:rsid w:val="00AB44DE"/>
    <w:rsid w:val="00AE0334"/>
    <w:rsid w:val="00AF0A16"/>
    <w:rsid w:val="00B22703"/>
    <w:rsid w:val="00B578D2"/>
    <w:rsid w:val="00B638D3"/>
    <w:rsid w:val="00B80A6E"/>
    <w:rsid w:val="00BD1516"/>
    <w:rsid w:val="00C601FC"/>
    <w:rsid w:val="00CB43EE"/>
    <w:rsid w:val="00CC34C5"/>
    <w:rsid w:val="00CC46F5"/>
    <w:rsid w:val="00CD28DD"/>
    <w:rsid w:val="00CF120F"/>
    <w:rsid w:val="00D862E1"/>
    <w:rsid w:val="00DA645F"/>
    <w:rsid w:val="00DB0B97"/>
    <w:rsid w:val="00DC4F23"/>
    <w:rsid w:val="00DD4FCB"/>
    <w:rsid w:val="00E45D81"/>
    <w:rsid w:val="00E45FC1"/>
    <w:rsid w:val="00E64044"/>
    <w:rsid w:val="00E66CAA"/>
    <w:rsid w:val="00E76577"/>
    <w:rsid w:val="00EE294A"/>
    <w:rsid w:val="00EE29C2"/>
    <w:rsid w:val="00F00466"/>
    <w:rsid w:val="00F14C69"/>
    <w:rsid w:val="00F538C7"/>
    <w:rsid w:val="00F877DC"/>
    <w:rsid w:val="00FA34EA"/>
    <w:rsid w:val="00FB69F4"/>
    <w:rsid w:val="00FC7345"/>
    <w:rsid w:val="010A2BB9"/>
    <w:rsid w:val="01101A04"/>
    <w:rsid w:val="01180B4C"/>
    <w:rsid w:val="011E1FD5"/>
    <w:rsid w:val="01500AD3"/>
    <w:rsid w:val="015767B6"/>
    <w:rsid w:val="01663063"/>
    <w:rsid w:val="016D607D"/>
    <w:rsid w:val="018E6540"/>
    <w:rsid w:val="01A75353"/>
    <w:rsid w:val="01A76777"/>
    <w:rsid w:val="01B76D3B"/>
    <w:rsid w:val="01C761D7"/>
    <w:rsid w:val="01EE5E5A"/>
    <w:rsid w:val="01F571E8"/>
    <w:rsid w:val="020312D1"/>
    <w:rsid w:val="020A7BC0"/>
    <w:rsid w:val="02296E92"/>
    <w:rsid w:val="023D12EE"/>
    <w:rsid w:val="023D137D"/>
    <w:rsid w:val="0241242E"/>
    <w:rsid w:val="024D40C5"/>
    <w:rsid w:val="02502671"/>
    <w:rsid w:val="02576DB8"/>
    <w:rsid w:val="026779BA"/>
    <w:rsid w:val="02691FCE"/>
    <w:rsid w:val="02A26AC8"/>
    <w:rsid w:val="02A50D86"/>
    <w:rsid w:val="02A50FA2"/>
    <w:rsid w:val="02BB120F"/>
    <w:rsid w:val="02C0735B"/>
    <w:rsid w:val="02E84827"/>
    <w:rsid w:val="02FA25DD"/>
    <w:rsid w:val="02FA438B"/>
    <w:rsid w:val="03350867"/>
    <w:rsid w:val="03443858"/>
    <w:rsid w:val="03555A65"/>
    <w:rsid w:val="0361265C"/>
    <w:rsid w:val="037F1B0F"/>
    <w:rsid w:val="03EA08A3"/>
    <w:rsid w:val="04055992"/>
    <w:rsid w:val="040A5051"/>
    <w:rsid w:val="04207E21"/>
    <w:rsid w:val="043F4216"/>
    <w:rsid w:val="04525E09"/>
    <w:rsid w:val="045D1075"/>
    <w:rsid w:val="046961E4"/>
    <w:rsid w:val="047F63D7"/>
    <w:rsid w:val="04895BE7"/>
    <w:rsid w:val="048C65D7"/>
    <w:rsid w:val="04A9369B"/>
    <w:rsid w:val="04A96068"/>
    <w:rsid w:val="04B14F1D"/>
    <w:rsid w:val="04C90413"/>
    <w:rsid w:val="04CE2A93"/>
    <w:rsid w:val="04CE5ACF"/>
    <w:rsid w:val="04E42365"/>
    <w:rsid w:val="04F00259"/>
    <w:rsid w:val="04F01EE9"/>
    <w:rsid w:val="04F05A45"/>
    <w:rsid w:val="05017C52"/>
    <w:rsid w:val="0503426E"/>
    <w:rsid w:val="053067D2"/>
    <w:rsid w:val="054364BD"/>
    <w:rsid w:val="05526FCB"/>
    <w:rsid w:val="05616943"/>
    <w:rsid w:val="05762A79"/>
    <w:rsid w:val="057A1A46"/>
    <w:rsid w:val="05A82062"/>
    <w:rsid w:val="05B57C36"/>
    <w:rsid w:val="05C15035"/>
    <w:rsid w:val="05C649F8"/>
    <w:rsid w:val="05CC7330"/>
    <w:rsid w:val="0600144C"/>
    <w:rsid w:val="06154C53"/>
    <w:rsid w:val="06160A51"/>
    <w:rsid w:val="06274897"/>
    <w:rsid w:val="064424ED"/>
    <w:rsid w:val="064437B9"/>
    <w:rsid w:val="06453048"/>
    <w:rsid w:val="0651121D"/>
    <w:rsid w:val="06C736FC"/>
    <w:rsid w:val="06D46432"/>
    <w:rsid w:val="07247C28"/>
    <w:rsid w:val="07250FF6"/>
    <w:rsid w:val="07261BF2"/>
    <w:rsid w:val="07467159"/>
    <w:rsid w:val="075D2086"/>
    <w:rsid w:val="075E75DE"/>
    <w:rsid w:val="0778608B"/>
    <w:rsid w:val="0797664C"/>
    <w:rsid w:val="07B023BF"/>
    <w:rsid w:val="07B80590"/>
    <w:rsid w:val="07C44194"/>
    <w:rsid w:val="07C863EA"/>
    <w:rsid w:val="07CF5DE6"/>
    <w:rsid w:val="07EC19FF"/>
    <w:rsid w:val="07F25E15"/>
    <w:rsid w:val="08183FC2"/>
    <w:rsid w:val="082A74C0"/>
    <w:rsid w:val="08510EF1"/>
    <w:rsid w:val="08690E91"/>
    <w:rsid w:val="08761633"/>
    <w:rsid w:val="089276D0"/>
    <w:rsid w:val="08B331C8"/>
    <w:rsid w:val="08D14664"/>
    <w:rsid w:val="08D32682"/>
    <w:rsid w:val="08D6164C"/>
    <w:rsid w:val="08DD27BB"/>
    <w:rsid w:val="08EB30F3"/>
    <w:rsid w:val="08F135BA"/>
    <w:rsid w:val="08F533F7"/>
    <w:rsid w:val="090917CB"/>
    <w:rsid w:val="09092C1B"/>
    <w:rsid w:val="091B5D6F"/>
    <w:rsid w:val="092511AE"/>
    <w:rsid w:val="09840F6E"/>
    <w:rsid w:val="098D0605"/>
    <w:rsid w:val="09912242"/>
    <w:rsid w:val="09AC45C3"/>
    <w:rsid w:val="09C65B8A"/>
    <w:rsid w:val="09EF451D"/>
    <w:rsid w:val="0A1F1A1D"/>
    <w:rsid w:val="0A2B2364"/>
    <w:rsid w:val="0A3665F0"/>
    <w:rsid w:val="0A3C34DB"/>
    <w:rsid w:val="0A5C592B"/>
    <w:rsid w:val="0A6C210B"/>
    <w:rsid w:val="0A725551"/>
    <w:rsid w:val="0A730D35"/>
    <w:rsid w:val="0A734E93"/>
    <w:rsid w:val="0A7F7F97"/>
    <w:rsid w:val="0A876E4C"/>
    <w:rsid w:val="0A8A7FE2"/>
    <w:rsid w:val="0A8C7735"/>
    <w:rsid w:val="0A981059"/>
    <w:rsid w:val="0A9F078C"/>
    <w:rsid w:val="0A9F5BAF"/>
    <w:rsid w:val="0AD32091"/>
    <w:rsid w:val="0AD843BE"/>
    <w:rsid w:val="0ADD2129"/>
    <w:rsid w:val="0ADF0738"/>
    <w:rsid w:val="0AE24D81"/>
    <w:rsid w:val="0AF10769"/>
    <w:rsid w:val="0B03428F"/>
    <w:rsid w:val="0B0C7351"/>
    <w:rsid w:val="0B17075F"/>
    <w:rsid w:val="0B422D73"/>
    <w:rsid w:val="0B674C4E"/>
    <w:rsid w:val="0B691DF9"/>
    <w:rsid w:val="0B8860B1"/>
    <w:rsid w:val="0BA0671A"/>
    <w:rsid w:val="0BA15138"/>
    <w:rsid w:val="0BA53A2D"/>
    <w:rsid w:val="0BAA52EB"/>
    <w:rsid w:val="0BBB3830"/>
    <w:rsid w:val="0BCD088E"/>
    <w:rsid w:val="0BF415A1"/>
    <w:rsid w:val="0C141223"/>
    <w:rsid w:val="0C2C07B9"/>
    <w:rsid w:val="0C473269"/>
    <w:rsid w:val="0C580BFC"/>
    <w:rsid w:val="0C9C3A34"/>
    <w:rsid w:val="0CA41137"/>
    <w:rsid w:val="0CF443E7"/>
    <w:rsid w:val="0D2604C4"/>
    <w:rsid w:val="0D473480"/>
    <w:rsid w:val="0D58163B"/>
    <w:rsid w:val="0D6D057B"/>
    <w:rsid w:val="0DA87805"/>
    <w:rsid w:val="0DC6117B"/>
    <w:rsid w:val="0DD73051"/>
    <w:rsid w:val="0DDE5BF2"/>
    <w:rsid w:val="0DFA0F36"/>
    <w:rsid w:val="0E32568F"/>
    <w:rsid w:val="0E343A78"/>
    <w:rsid w:val="0E4620B6"/>
    <w:rsid w:val="0E48745E"/>
    <w:rsid w:val="0E4F7898"/>
    <w:rsid w:val="0E60312D"/>
    <w:rsid w:val="0E702EB7"/>
    <w:rsid w:val="0E99606F"/>
    <w:rsid w:val="0E9E29B6"/>
    <w:rsid w:val="0EB126E9"/>
    <w:rsid w:val="0EB2020F"/>
    <w:rsid w:val="0ED517E2"/>
    <w:rsid w:val="0F2E7896"/>
    <w:rsid w:val="0F51275D"/>
    <w:rsid w:val="0F6A3F8F"/>
    <w:rsid w:val="0F7626A0"/>
    <w:rsid w:val="0F7C2CF7"/>
    <w:rsid w:val="0F7F2621"/>
    <w:rsid w:val="0F8947B9"/>
    <w:rsid w:val="0FCA14BD"/>
    <w:rsid w:val="0FCF0A9A"/>
    <w:rsid w:val="0FEF4073"/>
    <w:rsid w:val="0FFA3C1C"/>
    <w:rsid w:val="101317CB"/>
    <w:rsid w:val="102D3453"/>
    <w:rsid w:val="108416CC"/>
    <w:rsid w:val="10874A41"/>
    <w:rsid w:val="10991687"/>
    <w:rsid w:val="10AD283F"/>
    <w:rsid w:val="10CD7582"/>
    <w:rsid w:val="10D67A36"/>
    <w:rsid w:val="10DB57FB"/>
    <w:rsid w:val="11054DCE"/>
    <w:rsid w:val="11194576"/>
    <w:rsid w:val="112A5BDE"/>
    <w:rsid w:val="114F74D0"/>
    <w:rsid w:val="115070BF"/>
    <w:rsid w:val="11716160"/>
    <w:rsid w:val="118C0684"/>
    <w:rsid w:val="119B4182"/>
    <w:rsid w:val="11DA5AB3"/>
    <w:rsid w:val="11F9133B"/>
    <w:rsid w:val="11FF47D2"/>
    <w:rsid w:val="120D5E88"/>
    <w:rsid w:val="121076D7"/>
    <w:rsid w:val="125922C1"/>
    <w:rsid w:val="12751709"/>
    <w:rsid w:val="12845D5D"/>
    <w:rsid w:val="12AA2438"/>
    <w:rsid w:val="12CD0255"/>
    <w:rsid w:val="12F65634"/>
    <w:rsid w:val="1308194F"/>
    <w:rsid w:val="13085D1E"/>
    <w:rsid w:val="13234683"/>
    <w:rsid w:val="132A783D"/>
    <w:rsid w:val="133379EF"/>
    <w:rsid w:val="134A234F"/>
    <w:rsid w:val="134C08D9"/>
    <w:rsid w:val="13531024"/>
    <w:rsid w:val="13677109"/>
    <w:rsid w:val="137D5290"/>
    <w:rsid w:val="13BF1404"/>
    <w:rsid w:val="13EE7A9F"/>
    <w:rsid w:val="13EF1551"/>
    <w:rsid w:val="13FF27B2"/>
    <w:rsid w:val="141E299C"/>
    <w:rsid w:val="143C62ED"/>
    <w:rsid w:val="145A5E09"/>
    <w:rsid w:val="147C5547"/>
    <w:rsid w:val="148F3B35"/>
    <w:rsid w:val="14B24AC5"/>
    <w:rsid w:val="14B71CB6"/>
    <w:rsid w:val="14EC447B"/>
    <w:rsid w:val="14F43309"/>
    <w:rsid w:val="15001CD4"/>
    <w:rsid w:val="15017E49"/>
    <w:rsid w:val="1503031E"/>
    <w:rsid w:val="1522438A"/>
    <w:rsid w:val="153C7179"/>
    <w:rsid w:val="15597637"/>
    <w:rsid w:val="15A63E7E"/>
    <w:rsid w:val="15B605E5"/>
    <w:rsid w:val="15CE074A"/>
    <w:rsid w:val="15D037D7"/>
    <w:rsid w:val="15DC378A"/>
    <w:rsid w:val="15EF1704"/>
    <w:rsid w:val="15F219B5"/>
    <w:rsid w:val="16270CA8"/>
    <w:rsid w:val="162C3264"/>
    <w:rsid w:val="16476621"/>
    <w:rsid w:val="164B1F48"/>
    <w:rsid w:val="165775FB"/>
    <w:rsid w:val="1674297A"/>
    <w:rsid w:val="1678785C"/>
    <w:rsid w:val="16925CD5"/>
    <w:rsid w:val="16A67B53"/>
    <w:rsid w:val="16AE1D18"/>
    <w:rsid w:val="16C62AAA"/>
    <w:rsid w:val="16CE195E"/>
    <w:rsid w:val="16D400FC"/>
    <w:rsid w:val="16D64457"/>
    <w:rsid w:val="16DD768A"/>
    <w:rsid w:val="16FB731B"/>
    <w:rsid w:val="16FD1871"/>
    <w:rsid w:val="17147CB9"/>
    <w:rsid w:val="172E1DC3"/>
    <w:rsid w:val="173F58E9"/>
    <w:rsid w:val="173F7D21"/>
    <w:rsid w:val="1745111B"/>
    <w:rsid w:val="17793FC0"/>
    <w:rsid w:val="17836BED"/>
    <w:rsid w:val="178A26EC"/>
    <w:rsid w:val="17C41231"/>
    <w:rsid w:val="17D219B7"/>
    <w:rsid w:val="17D81236"/>
    <w:rsid w:val="17E4496F"/>
    <w:rsid w:val="17EF03A0"/>
    <w:rsid w:val="17F92A0B"/>
    <w:rsid w:val="17FD693B"/>
    <w:rsid w:val="180B6D02"/>
    <w:rsid w:val="1818078B"/>
    <w:rsid w:val="181E2472"/>
    <w:rsid w:val="182757CA"/>
    <w:rsid w:val="187B0236"/>
    <w:rsid w:val="188126E0"/>
    <w:rsid w:val="188E0A8C"/>
    <w:rsid w:val="18C8686E"/>
    <w:rsid w:val="18F26320"/>
    <w:rsid w:val="18F57676"/>
    <w:rsid w:val="18F942F8"/>
    <w:rsid w:val="19050909"/>
    <w:rsid w:val="19051C18"/>
    <w:rsid w:val="19151AC7"/>
    <w:rsid w:val="191E6C11"/>
    <w:rsid w:val="19242DD4"/>
    <w:rsid w:val="19276AFB"/>
    <w:rsid w:val="192B6C88"/>
    <w:rsid w:val="193F27FC"/>
    <w:rsid w:val="195F675F"/>
    <w:rsid w:val="19A32DB0"/>
    <w:rsid w:val="19AB6EF0"/>
    <w:rsid w:val="19B14BA3"/>
    <w:rsid w:val="19BC3D6B"/>
    <w:rsid w:val="19BC75B6"/>
    <w:rsid w:val="19D07754"/>
    <w:rsid w:val="19D65AEE"/>
    <w:rsid w:val="19EF056A"/>
    <w:rsid w:val="1A0265FD"/>
    <w:rsid w:val="1A11228E"/>
    <w:rsid w:val="1A645B2A"/>
    <w:rsid w:val="1A68443E"/>
    <w:rsid w:val="1A71150A"/>
    <w:rsid w:val="1A7B36D2"/>
    <w:rsid w:val="1AA45CB8"/>
    <w:rsid w:val="1AB459E5"/>
    <w:rsid w:val="1AD33756"/>
    <w:rsid w:val="1ADA0785"/>
    <w:rsid w:val="1ADF792C"/>
    <w:rsid w:val="1AEB58DD"/>
    <w:rsid w:val="1AF8344E"/>
    <w:rsid w:val="1B6D1746"/>
    <w:rsid w:val="1B961913"/>
    <w:rsid w:val="1BB83309"/>
    <w:rsid w:val="1BEF2352"/>
    <w:rsid w:val="1C144BAB"/>
    <w:rsid w:val="1C265658"/>
    <w:rsid w:val="1C370023"/>
    <w:rsid w:val="1C450003"/>
    <w:rsid w:val="1C485D0F"/>
    <w:rsid w:val="1C4921B3"/>
    <w:rsid w:val="1C4D387F"/>
    <w:rsid w:val="1C4E6E52"/>
    <w:rsid w:val="1C51494E"/>
    <w:rsid w:val="1C542906"/>
    <w:rsid w:val="1C5B1EE6"/>
    <w:rsid w:val="1C5C2592"/>
    <w:rsid w:val="1C694603"/>
    <w:rsid w:val="1C7F11B2"/>
    <w:rsid w:val="1C876ED4"/>
    <w:rsid w:val="1C8E6A89"/>
    <w:rsid w:val="1C940F54"/>
    <w:rsid w:val="1C9E1D54"/>
    <w:rsid w:val="1CA95549"/>
    <w:rsid w:val="1CB25F08"/>
    <w:rsid w:val="1CBA07B6"/>
    <w:rsid w:val="1CBF08F4"/>
    <w:rsid w:val="1CC950A2"/>
    <w:rsid w:val="1CCF5E36"/>
    <w:rsid w:val="1CDA417F"/>
    <w:rsid w:val="1CE603D1"/>
    <w:rsid w:val="1CEB6DC6"/>
    <w:rsid w:val="1D092B8C"/>
    <w:rsid w:val="1D101B72"/>
    <w:rsid w:val="1D2B18B9"/>
    <w:rsid w:val="1D40227A"/>
    <w:rsid w:val="1D435D1A"/>
    <w:rsid w:val="1D610AEE"/>
    <w:rsid w:val="1D615C90"/>
    <w:rsid w:val="1D8A779E"/>
    <w:rsid w:val="1D90796E"/>
    <w:rsid w:val="1DAE19E8"/>
    <w:rsid w:val="1DB221B3"/>
    <w:rsid w:val="1DC827C3"/>
    <w:rsid w:val="1DD329A1"/>
    <w:rsid w:val="1E2413AD"/>
    <w:rsid w:val="1E4F2059"/>
    <w:rsid w:val="1E562681"/>
    <w:rsid w:val="1E6E48E5"/>
    <w:rsid w:val="1E7D731B"/>
    <w:rsid w:val="1E8A4EE6"/>
    <w:rsid w:val="1E8D09C3"/>
    <w:rsid w:val="1EB77112"/>
    <w:rsid w:val="1ED01EF2"/>
    <w:rsid w:val="1EE66342"/>
    <w:rsid w:val="1F134CFA"/>
    <w:rsid w:val="1F1D61E3"/>
    <w:rsid w:val="1F264A2D"/>
    <w:rsid w:val="1F3D3AD3"/>
    <w:rsid w:val="1F6321DF"/>
    <w:rsid w:val="1F647231"/>
    <w:rsid w:val="1F721A21"/>
    <w:rsid w:val="1F7304FA"/>
    <w:rsid w:val="1F841754"/>
    <w:rsid w:val="1FA70A8F"/>
    <w:rsid w:val="1FCF4BCD"/>
    <w:rsid w:val="1FDF3179"/>
    <w:rsid w:val="1FF663A0"/>
    <w:rsid w:val="20091C16"/>
    <w:rsid w:val="200C7B68"/>
    <w:rsid w:val="200E1E5C"/>
    <w:rsid w:val="201153A9"/>
    <w:rsid w:val="201F12B6"/>
    <w:rsid w:val="20226C76"/>
    <w:rsid w:val="20294BBA"/>
    <w:rsid w:val="204D0D87"/>
    <w:rsid w:val="205E6DC7"/>
    <w:rsid w:val="205F1B58"/>
    <w:rsid w:val="2085449F"/>
    <w:rsid w:val="2096173F"/>
    <w:rsid w:val="20985DC3"/>
    <w:rsid w:val="20A31F05"/>
    <w:rsid w:val="20B60FA4"/>
    <w:rsid w:val="20ED356F"/>
    <w:rsid w:val="211271B1"/>
    <w:rsid w:val="21136749"/>
    <w:rsid w:val="2118481B"/>
    <w:rsid w:val="21241503"/>
    <w:rsid w:val="21293C96"/>
    <w:rsid w:val="215F6361"/>
    <w:rsid w:val="216C7048"/>
    <w:rsid w:val="21A67760"/>
    <w:rsid w:val="21A751C1"/>
    <w:rsid w:val="21A8623A"/>
    <w:rsid w:val="21AC6F78"/>
    <w:rsid w:val="21DA19EE"/>
    <w:rsid w:val="21E66D90"/>
    <w:rsid w:val="21E93926"/>
    <w:rsid w:val="21EF1B81"/>
    <w:rsid w:val="222D0AB0"/>
    <w:rsid w:val="223D2006"/>
    <w:rsid w:val="22476C22"/>
    <w:rsid w:val="22486448"/>
    <w:rsid w:val="225312DD"/>
    <w:rsid w:val="225902E4"/>
    <w:rsid w:val="22617859"/>
    <w:rsid w:val="22671A17"/>
    <w:rsid w:val="2273126B"/>
    <w:rsid w:val="22743D02"/>
    <w:rsid w:val="22B50022"/>
    <w:rsid w:val="22B60126"/>
    <w:rsid w:val="22EC5646"/>
    <w:rsid w:val="230706D2"/>
    <w:rsid w:val="232A616E"/>
    <w:rsid w:val="23386ADD"/>
    <w:rsid w:val="23456185"/>
    <w:rsid w:val="23576439"/>
    <w:rsid w:val="236E69A3"/>
    <w:rsid w:val="238A390E"/>
    <w:rsid w:val="239B7A8C"/>
    <w:rsid w:val="23BA11EF"/>
    <w:rsid w:val="23C44815"/>
    <w:rsid w:val="23DC3CBF"/>
    <w:rsid w:val="23E31690"/>
    <w:rsid w:val="240500E3"/>
    <w:rsid w:val="24281E92"/>
    <w:rsid w:val="242A718E"/>
    <w:rsid w:val="2438203F"/>
    <w:rsid w:val="246C2EE2"/>
    <w:rsid w:val="248B0E8F"/>
    <w:rsid w:val="249403AE"/>
    <w:rsid w:val="24AD7511"/>
    <w:rsid w:val="24B57C55"/>
    <w:rsid w:val="24C04FDC"/>
    <w:rsid w:val="2500205F"/>
    <w:rsid w:val="25075945"/>
    <w:rsid w:val="25151458"/>
    <w:rsid w:val="25192DFD"/>
    <w:rsid w:val="2524092C"/>
    <w:rsid w:val="256F4424"/>
    <w:rsid w:val="256F50F9"/>
    <w:rsid w:val="25754A31"/>
    <w:rsid w:val="257B6F17"/>
    <w:rsid w:val="25C037BB"/>
    <w:rsid w:val="25F5515A"/>
    <w:rsid w:val="26061115"/>
    <w:rsid w:val="260D3DC4"/>
    <w:rsid w:val="26112EC9"/>
    <w:rsid w:val="2629095F"/>
    <w:rsid w:val="26335272"/>
    <w:rsid w:val="263C111B"/>
    <w:rsid w:val="264121A3"/>
    <w:rsid w:val="26423A72"/>
    <w:rsid w:val="264E03C6"/>
    <w:rsid w:val="2663431E"/>
    <w:rsid w:val="267B062A"/>
    <w:rsid w:val="268C414E"/>
    <w:rsid w:val="268D5392"/>
    <w:rsid w:val="26A5448A"/>
    <w:rsid w:val="26B634B2"/>
    <w:rsid w:val="26B818B5"/>
    <w:rsid w:val="26ED2B9A"/>
    <w:rsid w:val="26F0198C"/>
    <w:rsid w:val="26F04BDB"/>
    <w:rsid w:val="26F91D27"/>
    <w:rsid w:val="26FF0E4A"/>
    <w:rsid w:val="27093D32"/>
    <w:rsid w:val="271E5FEA"/>
    <w:rsid w:val="271F3365"/>
    <w:rsid w:val="272173A9"/>
    <w:rsid w:val="272671B1"/>
    <w:rsid w:val="27395B93"/>
    <w:rsid w:val="27574016"/>
    <w:rsid w:val="277C666D"/>
    <w:rsid w:val="279A6001"/>
    <w:rsid w:val="27A02EA3"/>
    <w:rsid w:val="27C748D4"/>
    <w:rsid w:val="27D1445D"/>
    <w:rsid w:val="27E55D11"/>
    <w:rsid w:val="28043432"/>
    <w:rsid w:val="280B3CE8"/>
    <w:rsid w:val="28221033"/>
    <w:rsid w:val="283A6DC7"/>
    <w:rsid w:val="285D23CA"/>
    <w:rsid w:val="288E744F"/>
    <w:rsid w:val="28A10C81"/>
    <w:rsid w:val="28AB75D3"/>
    <w:rsid w:val="28BF4190"/>
    <w:rsid w:val="28E525A0"/>
    <w:rsid w:val="2913489B"/>
    <w:rsid w:val="292D2AFB"/>
    <w:rsid w:val="293D494F"/>
    <w:rsid w:val="29406DDA"/>
    <w:rsid w:val="294D7418"/>
    <w:rsid w:val="29674FC6"/>
    <w:rsid w:val="29756EC9"/>
    <w:rsid w:val="29803792"/>
    <w:rsid w:val="29AE205A"/>
    <w:rsid w:val="29CB2916"/>
    <w:rsid w:val="29CF397F"/>
    <w:rsid w:val="29DB01C2"/>
    <w:rsid w:val="29DC2FD4"/>
    <w:rsid w:val="29E928DF"/>
    <w:rsid w:val="29F06026"/>
    <w:rsid w:val="29F90627"/>
    <w:rsid w:val="2A1A59C3"/>
    <w:rsid w:val="2A4917DD"/>
    <w:rsid w:val="2A4B359A"/>
    <w:rsid w:val="2A5967CA"/>
    <w:rsid w:val="2A81781C"/>
    <w:rsid w:val="2A907550"/>
    <w:rsid w:val="2A99773C"/>
    <w:rsid w:val="2A9E3010"/>
    <w:rsid w:val="2AB506B0"/>
    <w:rsid w:val="2AB670B6"/>
    <w:rsid w:val="2AC369DB"/>
    <w:rsid w:val="2AC617AA"/>
    <w:rsid w:val="2AC7148D"/>
    <w:rsid w:val="2AC82E3D"/>
    <w:rsid w:val="2AC94EE0"/>
    <w:rsid w:val="2AEA2B8F"/>
    <w:rsid w:val="2AFF4D64"/>
    <w:rsid w:val="2B141BDE"/>
    <w:rsid w:val="2B48745C"/>
    <w:rsid w:val="2B5420FA"/>
    <w:rsid w:val="2B7951F1"/>
    <w:rsid w:val="2BD80E5D"/>
    <w:rsid w:val="2BD96984"/>
    <w:rsid w:val="2BE079D3"/>
    <w:rsid w:val="2BE23A8A"/>
    <w:rsid w:val="2BE61F32"/>
    <w:rsid w:val="2BE66DA5"/>
    <w:rsid w:val="2BF1120B"/>
    <w:rsid w:val="2BF95225"/>
    <w:rsid w:val="2C180A95"/>
    <w:rsid w:val="2C1F314E"/>
    <w:rsid w:val="2C2E3173"/>
    <w:rsid w:val="2C314BD1"/>
    <w:rsid w:val="2C477E4B"/>
    <w:rsid w:val="2C7646DE"/>
    <w:rsid w:val="2C9049B7"/>
    <w:rsid w:val="2C920C7C"/>
    <w:rsid w:val="2C937E06"/>
    <w:rsid w:val="2C9B7916"/>
    <w:rsid w:val="2CB14776"/>
    <w:rsid w:val="2CC20C2B"/>
    <w:rsid w:val="2CD852DE"/>
    <w:rsid w:val="2CFC2F8B"/>
    <w:rsid w:val="2D097C75"/>
    <w:rsid w:val="2D1265F1"/>
    <w:rsid w:val="2D1F6A36"/>
    <w:rsid w:val="2D256324"/>
    <w:rsid w:val="2D2F4CC8"/>
    <w:rsid w:val="2D4C575D"/>
    <w:rsid w:val="2D5B353D"/>
    <w:rsid w:val="2D7A243A"/>
    <w:rsid w:val="2D7F73FB"/>
    <w:rsid w:val="2D872255"/>
    <w:rsid w:val="2D91641F"/>
    <w:rsid w:val="2D9D15DB"/>
    <w:rsid w:val="2DB02087"/>
    <w:rsid w:val="2DC11A3A"/>
    <w:rsid w:val="2DE47F8D"/>
    <w:rsid w:val="2DE95B4B"/>
    <w:rsid w:val="2E0510E4"/>
    <w:rsid w:val="2E0604B3"/>
    <w:rsid w:val="2E216586"/>
    <w:rsid w:val="2E4124D4"/>
    <w:rsid w:val="2E435CA3"/>
    <w:rsid w:val="2E502E03"/>
    <w:rsid w:val="2E6479F4"/>
    <w:rsid w:val="2E6B420B"/>
    <w:rsid w:val="2E6E1926"/>
    <w:rsid w:val="2E7411FA"/>
    <w:rsid w:val="2E78749B"/>
    <w:rsid w:val="2E935510"/>
    <w:rsid w:val="2E951288"/>
    <w:rsid w:val="2EA03776"/>
    <w:rsid w:val="2EB31AA3"/>
    <w:rsid w:val="2ED83F38"/>
    <w:rsid w:val="2EEA582A"/>
    <w:rsid w:val="2EEF6BEA"/>
    <w:rsid w:val="2EF05B93"/>
    <w:rsid w:val="2F0D0E1E"/>
    <w:rsid w:val="2F0D75C4"/>
    <w:rsid w:val="2F293EA9"/>
    <w:rsid w:val="2F464330"/>
    <w:rsid w:val="2F650750"/>
    <w:rsid w:val="2F6D5050"/>
    <w:rsid w:val="2F876AC7"/>
    <w:rsid w:val="2F9F2C9A"/>
    <w:rsid w:val="2FA35CA9"/>
    <w:rsid w:val="2FAD6E05"/>
    <w:rsid w:val="2FDD7139"/>
    <w:rsid w:val="30013971"/>
    <w:rsid w:val="302842CB"/>
    <w:rsid w:val="3038011D"/>
    <w:rsid w:val="306905C5"/>
    <w:rsid w:val="30960A3F"/>
    <w:rsid w:val="309861F5"/>
    <w:rsid w:val="30A43A04"/>
    <w:rsid w:val="30B0452F"/>
    <w:rsid w:val="30B31E99"/>
    <w:rsid w:val="30B5176D"/>
    <w:rsid w:val="30C32637"/>
    <w:rsid w:val="30D85366"/>
    <w:rsid w:val="30F669D9"/>
    <w:rsid w:val="31037767"/>
    <w:rsid w:val="31164F8B"/>
    <w:rsid w:val="311F439C"/>
    <w:rsid w:val="31217537"/>
    <w:rsid w:val="312D1C4B"/>
    <w:rsid w:val="3135465C"/>
    <w:rsid w:val="314D325A"/>
    <w:rsid w:val="317A269D"/>
    <w:rsid w:val="31BB0A78"/>
    <w:rsid w:val="31CC0B61"/>
    <w:rsid w:val="321E3342"/>
    <w:rsid w:val="321E4C32"/>
    <w:rsid w:val="322E6C87"/>
    <w:rsid w:val="324D1E1C"/>
    <w:rsid w:val="326171DE"/>
    <w:rsid w:val="326B0AEB"/>
    <w:rsid w:val="326C67A3"/>
    <w:rsid w:val="326D299C"/>
    <w:rsid w:val="32785D8C"/>
    <w:rsid w:val="32815781"/>
    <w:rsid w:val="329109EC"/>
    <w:rsid w:val="32930D1B"/>
    <w:rsid w:val="329D0DBE"/>
    <w:rsid w:val="329D5668"/>
    <w:rsid w:val="32AB72CC"/>
    <w:rsid w:val="32C13CDD"/>
    <w:rsid w:val="32D22AAA"/>
    <w:rsid w:val="32D619B6"/>
    <w:rsid w:val="33066AB2"/>
    <w:rsid w:val="330718F0"/>
    <w:rsid w:val="33483804"/>
    <w:rsid w:val="33595B88"/>
    <w:rsid w:val="33596D28"/>
    <w:rsid w:val="335D1E86"/>
    <w:rsid w:val="335F1E64"/>
    <w:rsid w:val="3379595E"/>
    <w:rsid w:val="33977850"/>
    <w:rsid w:val="339A41B5"/>
    <w:rsid w:val="33A65CE5"/>
    <w:rsid w:val="33AB1A78"/>
    <w:rsid w:val="33C011FC"/>
    <w:rsid w:val="33D11CFF"/>
    <w:rsid w:val="33D31C19"/>
    <w:rsid w:val="33F46A50"/>
    <w:rsid w:val="33FC4475"/>
    <w:rsid w:val="33FF104C"/>
    <w:rsid w:val="340D2F51"/>
    <w:rsid w:val="34110FB9"/>
    <w:rsid w:val="34262A62"/>
    <w:rsid w:val="3437339D"/>
    <w:rsid w:val="343F07A5"/>
    <w:rsid w:val="34533777"/>
    <w:rsid w:val="34765925"/>
    <w:rsid w:val="348D62D6"/>
    <w:rsid w:val="34D10233"/>
    <w:rsid w:val="34F77B28"/>
    <w:rsid w:val="34FF1F74"/>
    <w:rsid w:val="351F2018"/>
    <w:rsid w:val="353A1D11"/>
    <w:rsid w:val="354064DE"/>
    <w:rsid w:val="35472EA5"/>
    <w:rsid w:val="355534CA"/>
    <w:rsid w:val="357E676A"/>
    <w:rsid w:val="35A23434"/>
    <w:rsid w:val="35BC74DD"/>
    <w:rsid w:val="35F77091"/>
    <w:rsid w:val="35FA0B79"/>
    <w:rsid w:val="35FE0154"/>
    <w:rsid w:val="36067DFC"/>
    <w:rsid w:val="361B62D9"/>
    <w:rsid w:val="3629186A"/>
    <w:rsid w:val="36316665"/>
    <w:rsid w:val="3634269F"/>
    <w:rsid w:val="363C4FBD"/>
    <w:rsid w:val="364E5564"/>
    <w:rsid w:val="36526471"/>
    <w:rsid w:val="36581699"/>
    <w:rsid w:val="36675AF1"/>
    <w:rsid w:val="36693C81"/>
    <w:rsid w:val="366D693C"/>
    <w:rsid w:val="36703EE8"/>
    <w:rsid w:val="36827456"/>
    <w:rsid w:val="368B585E"/>
    <w:rsid w:val="36923BD9"/>
    <w:rsid w:val="36AB772B"/>
    <w:rsid w:val="36DD44D8"/>
    <w:rsid w:val="37393B3D"/>
    <w:rsid w:val="373A6E70"/>
    <w:rsid w:val="37402A84"/>
    <w:rsid w:val="374B0B3C"/>
    <w:rsid w:val="374B5AF8"/>
    <w:rsid w:val="37550180"/>
    <w:rsid w:val="378C1E8B"/>
    <w:rsid w:val="37BB65E8"/>
    <w:rsid w:val="37C60704"/>
    <w:rsid w:val="37C8447C"/>
    <w:rsid w:val="37FC289B"/>
    <w:rsid w:val="382C421A"/>
    <w:rsid w:val="38390A5C"/>
    <w:rsid w:val="38417D8A"/>
    <w:rsid w:val="384358B1"/>
    <w:rsid w:val="385E093C"/>
    <w:rsid w:val="387A549F"/>
    <w:rsid w:val="38892262"/>
    <w:rsid w:val="389041E5"/>
    <w:rsid w:val="38951BB1"/>
    <w:rsid w:val="38A8605B"/>
    <w:rsid w:val="38AD2B39"/>
    <w:rsid w:val="38B32D66"/>
    <w:rsid w:val="38BD53CD"/>
    <w:rsid w:val="38D44E8A"/>
    <w:rsid w:val="38D6163E"/>
    <w:rsid w:val="38DB39B2"/>
    <w:rsid w:val="38EA7DF3"/>
    <w:rsid w:val="38F617F8"/>
    <w:rsid w:val="392456E2"/>
    <w:rsid w:val="39360978"/>
    <w:rsid w:val="393671C3"/>
    <w:rsid w:val="39406BF6"/>
    <w:rsid w:val="394144E6"/>
    <w:rsid w:val="39440307"/>
    <w:rsid w:val="39567866"/>
    <w:rsid w:val="396134DD"/>
    <w:rsid w:val="396316A3"/>
    <w:rsid w:val="396F26D5"/>
    <w:rsid w:val="399C395E"/>
    <w:rsid w:val="39B051C8"/>
    <w:rsid w:val="39C10390"/>
    <w:rsid w:val="39D709A6"/>
    <w:rsid w:val="39E40C80"/>
    <w:rsid w:val="39EE6B3B"/>
    <w:rsid w:val="3A002F46"/>
    <w:rsid w:val="3A42700A"/>
    <w:rsid w:val="3A606BEE"/>
    <w:rsid w:val="3A86320D"/>
    <w:rsid w:val="3A8F302F"/>
    <w:rsid w:val="3AA01C0E"/>
    <w:rsid w:val="3AA66F06"/>
    <w:rsid w:val="3AB26D1E"/>
    <w:rsid w:val="3AD43FD0"/>
    <w:rsid w:val="3AE55345"/>
    <w:rsid w:val="3AF81E76"/>
    <w:rsid w:val="3B004D91"/>
    <w:rsid w:val="3B0B730F"/>
    <w:rsid w:val="3B14048E"/>
    <w:rsid w:val="3B1D2775"/>
    <w:rsid w:val="3B2164F3"/>
    <w:rsid w:val="3B3301BF"/>
    <w:rsid w:val="3B4337E0"/>
    <w:rsid w:val="3B473D7F"/>
    <w:rsid w:val="3B4A724D"/>
    <w:rsid w:val="3B5B73B5"/>
    <w:rsid w:val="3B6329B2"/>
    <w:rsid w:val="3B765F9D"/>
    <w:rsid w:val="3B7F6EBF"/>
    <w:rsid w:val="3B853D50"/>
    <w:rsid w:val="3B9A170B"/>
    <w:rsid w:val="3BA374DA"/>
    <w:rsid w:val="3BC36B0E"/>
    <w:rsid w:val="3BDC0A46"/>
    <w:rsid w:val="3BEB4280"/>
    <w:rsid w:val="3BF82CA2"/>
    <w:rsid w:val="3C00283E"/>
    <w:rsid w:val="3C0E1070"/>
    <w:rsid w:val="3C3F2718"/>
    <w:rsid w:val="3C3F6DB9"/>
    <w:rsid w:val="3C787BE6"/>
    <w:rsid w:val="3C853690"/>
    <w:rsid w:val="3CC8423E"/>
    <w:rsid w:val="3CD177E2"/>
    <w:rsid w:val="3CD65BD1"/>
    <w:rsid w:val="3CDD2C42"/>
    <w:rsid w:val="3CFB2348"/>
    <w:rsid w:val="3D01446F"/>
    <w:rsid w:val="3D0523AB"/>
    <w:rsid w:val="3D374174"/>
    <w:rsid w:val="3D432206"/>
    <w:rsid w:val="3D525F74"/>
    <w:rsid w:val="3D6764E5"/>
    <w:rsid w:val="3D9A67A4"/>
    <w:rsid w:val="3DBC7158"/>
    <w:rsid w:val="3DDF64A1"/>
    <w:rsid w:val="3E136935"/>
    <w:rsid w:val="3E1C4E5F"/>
    <w:rsid w:val="3E4A25E4"/>
    <w:rsid w:val="3E4A46D6"/>
    <w:rsid w:val="3E6B178D"/>
    <w:rsid w:val="3E7D11A4"/>
    <w:rsid w:val="3E8F04BB"/>
    <w:rsid w:val="3E952BDE"/>
    <w:rsid w:val="3EA63695"/>
    <w:rsid w:val="3ED972B4"/>
    <w:rsid w:val="3EED4BCF"/>
    <w:rsid w:val="3EFA24BD"/>
    <w:rsid w:val="3EFA7C08"/>
    <w:rsid w:val="3F202B3E"/>
    <w:rsid w:val="3F2302F2"/>
    <w:rsid w:val="3F260CA2"/>
    <w:rsid w:val="3F2D0289"/>
    <w:rsid w:val="3F4F78F0"/>
    <w:rsid w:val="3F5F0080"/>
    <w:rsid w:val="3F5F3B90"/>
    <w:rsid w:val="3F761E55"/>
    <w:rsid w:val="3F830C89"/>
    <w:rsid w:val="3F973827"/>
    <w:rsid w:val="3FC012FA"/>
    <w:rsid w:val="3FCD1F46"/>
    <w:rsid w:val="3FD03607"/>
    <w:rsid w:val="3FDB0AC5"/>
    <w:rsid w:val="3FE7684B"/>
    <w:rsid w:val="3FEC0F24"/>
    <w:rsid w:val="3FF24804"/>
    <w:rsid w:val="40321C62"/>
    <w:rsid w:val="403A1C8F"/>
    <w:rsid w:val="403C7E4A"/>
    <w:rsid w:val="404503C3"/>
    <w:rsid w:val="40514757"/>
    <w:rsid w:val="40732B8E"/>
    <w:rsid w:val="408C1023"/>
    <w:rsid w:val="40972C3D"/>
    <w:rsid w:val="409D1AF3"/>
    <w:rsid w:val="40B727FE"/>
    <w:rsid w:val="40CF0629"/>
    <w:rsid w:val="40DE6ABE"/>
    <w:rsid w:val="40ED6D01"/>
    <w:rsid w:val="412E04AF"/>
    <w:rsid w:val="41312AB0"/>
    <w:rsid w:val="414C7726"/>
    <w:rsid w:val="41501928"/>
    <w:rsid w:val="416B4AF2"/>
    <w:rsid w:val="4185518C"/>
    <w:rsid w:val="418D01EC"/>
    <w:rsid w:val="41904453"/>
    <w:rsid w:val="41B869DC"/>
    <w:rsid w:val="41C458EF"/>
    <w:rsid w:val="41D842F0"/>
    <w:rsid w:val="420E33D3"/>
    <w:rsid w:val="421E3051"/>
    <w:rsid w:val="4235270E"/>
    <w:rsid w:val="425B6C84"/>
    <w:rsid w:val="4261077D"/>
    <w:rsid w:val="427D5AA8"/>
    <w:rsid w:val="428D128F"/>
    <w:rsid w:val="429660DE"/>
    <w:rsid w:val="42A40639"/>
    <w:rsid w:val="42C805E8"/>
    <w:rsid w:val="42C82D72"/>
    <w:rsid w:val="42F841D4"/>
    <w:rsid w:val="430A37C4"/>
    <w:rsid w:val="430E39C0"/>
    <w:rsid w:val="43100637"/>
    <w:rsid w:val="431B1508"/>
    <w:rsid w:val="431F39A9"/>
    <w:rsid w:val="43252935"/>
    <w:rsid w:val="432A08FD"/>
    <w:rsid w:val="43406528"/>
    <w:rsid w:val="43406FE0"/>
    <w:rsid w:val="43610E4E"/>
    <w:rsid w:val="436829EF"/>
    <w:rsid w:val="43790D20"/>
    <w:rsid w:val="43916241"/>
    <w:rsid w:val="43973229"/>
    <w:rsid w:val="439D4A0F"/>
    <w:rsid w:val="43B339FC"/>
    <w:rsid w:val="43D03BD4"/>
    <w:rsid w:val="43D378F3"/>
    <w:rsid w:val="43D53A8F"/>
    <w:rsid w:val="43F14BAE"/>
    <w:rsid w:val="440E04E4"/>
    <w:rsid w:val="44114BC4"/>
    <w:rsid w:val="441C17FE"/>
    <w:rsid w:val="44214328"/>
    <w:rsid w:val="444924A1"/>
    <w:rsid w:val="445E2680"/>
    <w:rsid w:val="446520B8"/>
    <w:rsid w:val="44676DCB"/>
    <w:rsid w:val="44716BFA"/>
    <w:rsid w:val="447D4E2A"/>
    <w:rsid w:val="44826015"/>
    <w:rsid w:val="448C1EC2"/>
    <w:rsid w:val="449F47B6"/>
    <w:rsid w:val="449F4D72"/>
    <w:rsid w:val="44A347FC"/>
    <w:rsid w:val="44C2163A"/>
    <w:rsid w:val="44CE6DAD"/>
    <w:rsid w:val="44D04970"/>
    <w:rsid w:val="44D7064C"/>
    <w:rsid w:val="44ED69DA"/>
    <w:rsid w:val="45062140"/>
    <w:rsid w:val="450F5C39"/>
    <w:rsid w:val="45427875"/>
    <w:rsid w:val="454519DB"/>
    <w:rsid w:val="45533821"/>
    <w:rsid w:val="4556112D"/>
    <w:rsid w:val="455D6EA5"/>
    <w:rsid w:val="455E4E21"/>
    <w:rsid w:val="458D32AC"/>
    <w:rsid w:val="45AC5F6C"/>
    <w:rsid w:val="45AD7C6F"/>
    <w:rsid w:val="45B17FED"/>
    <w:rsid w:val="45B5513C"/>
    <w:rsid w:val="45BB73CE"/>
    <w:rsid w:val="45C358D0"/>
    <w:rsid w:val="45C6717A"/>
    <w:rsid w:val="45D102C6"/>
    <w:rsid w:val="45EA0933"/>
    <w:rsid w:val="45EB0654"/>
    <w:rsid w:val="45F84668"/>
    <w:rsid w:val="45FF45B3"/>
    <w:rsid w:val="460C5605"/>
    <w:rsid w:val="4637549A"/>
    <w:rsid w:val="46383B2A"/>
    <w:rsid w:val="463C7277"/>
    <w:rsid w:val="46592D3F"/>
    <w:rsid w:val="465A54DB"/>
    <w:rsid w:val="466510E8"/>
    <w:rsid w:val="46B51B1C"/>
    <w:rsid w:val="46C22EA2"/>
    <w:rsid w:val="46D1677D"/>
    <w:rsid w:val="46DA28B1"/>
    <w:rsid w:val="47164116"/>
    <w:rsid w:val="471A4BD2"/>
    <w:rsid w:val="471B6B72"/>
    <w:rsid w:val="471D19C3"/>
    <w:rsid w:val="47280A93"/>
    <w:rsid w:val="472E6F42"/>
    <w:rsid w:val="4759157F"/>
    <w:rsid w:val="475A6773"/>
    <w:rsid w:val="47B85381"/>
    <w:rsid w:val="47BB2E5E"/>
    <w:rsid w:val="47C307BC"/>
    <w:rsid w:val="47ED2B3F"/>
    <w:rsid w:val="47FE6943"/>
    <w:rsid w:val="48027A80"/>
    <w:rsid w:val="48102234"/>
    <w:rsid w:val="4819599D"/>
    <w:rsid w:val="481F4786"/>
    <w:rsid w:val="48307449"/>
    <w:rsid w:val="483416BA"/>
    <w:rsid w:val="483665C7"/>
    <w:rsid w:val="483D056E"/>
    <w:rsid w:val="48444785"/>
    <w:rsid w:val="4856518C"/>
    <w:rsid w:val="48682277"/>
    <w:rsid w:val="488400F7"/>
    <w:rsid w:val="489C7EFD"/>
    <w:rsid w:val="489E50BD"/>
    <w:rsid w:val="48A67C78"/>
    <w:rsid w:val="48B82CFC"/>
    <w:rsid w:val="48C12F4D"/>
    <w:rsid w:val="48EA7737"/>
    <w:rsid w:val="48F77107"/>
    <w:rsid w:val="48FE147C"/>
    <w:rsid w:val="491A1808"/>
    <w:rsid w:val="492359B6"/>
    <w:rsid w:val="49252201"/>
    <w:rsid w:val="492540C8"/>
    <w:rsid w:val="49255E27"/>
    <w:rsid w:val="493C6A78"/>
    <w:rsid w:val="49570A79"/>
    <w:rsid w:val="495D2085"/>
    <w:rsid w:val="496D577E"/>
    <w:rsid w:val="498875C7"/>
    <w:rsid w:val="49997155"/>
    <w:rsid w:val="49AE04DD"/>
    <w:rsid w:val="49AE469C"/>
    <w:rsid w:val="49DB3F74"/>
    <w:rsid w:val="49DB5B92"/>
    <w:rsid w:val="49DF647B"/>
    <w:rsid w:val="49E97F3D"/>
    <w:rsid w:val="4A065517"/>
    <w:rsid w:val="4A4A5EBD"/>
    <w:rsid w:val="4A516864"/>
    <w:rsid w:val="4A6F4C2B"/>
    <w:rsid w:val="4A77763C"/>
    <w:rsid w:val="4A7B7FC4"/>
    <w:rsid w:val="4AC7411F"/>
    <w:rsid w:val="4ACF1226"/>
    <w:rsid w:val="4AE6388C"/>
    <w:rsid w:val="4B1220B6"/>
    <w:rsid w:val="4B3A3590"/>
    <w:rsid w:val="4B5528B8"/>
    <w:rsid w:val="4B7A0BBF"/>
    <w:rsid w:val="4B840262"/>
    <w:rsid w:val="4B8B77D7"/>
    <w:rsid w:val="4BAB1C93"/>
    <w:rsid w:val="4BB8567D"/>
    <w:rsid w:val="4BC32B39"/>
    <w:rsid w:val="4BD50ABE"/>
    <w:rsid w:val="4BD83340"/>
    <w:rsid w:val="4C0D530A"/>
    <w:rsid w:val="4C3425E1"/>
    <w:rsid w:val="4C445A6C"/>
    <w:rsid w:val="4C4F3D49"/>
    <w:rsid w:val="4C5065EF"/>
    <w:rsid w:val="4C547C35"/>
    <w:rsid w:val="4C5F4879"/>
    <w:rsid w:val="4C685AF2"/>
    <w:rsid w:val="4C866D1A"/>
    <w:rsid w:val="4C953A33"/>
    <w:rsid w:val="4C9C61C3"/>
    <w:rsid w:val="4CA35C4E"/>
    <w:rsid w:val="4CB16183"/>
    <w:rsid w:val="4CCE5C39"/>
    <w:rsid w:val="4CD3324F"/>
    <w:rsid w:val="4CEB2FE1"/>
    <w:rsid w:val="4CF10E05"/>
    <w:rsid w:val="4CF113EE"/>
    <w:rsid w:val="4D2E4FF5"/>
    <w:rsid w:val="4D381CBD"/>
    <w:rsid w:val="4D3A32CE"/>
    <w:rsid w:val="4D4001B9"/>
    <w:rsid w:val="4D42568B"/>
    <w:rsid w:val="4D58562A"/>
    <w:rsid w:val="4D6D04FA"/>
    <w:rsid w:val="4D7A2C21"/>
    <w:rsid w:val="4DA17CB8"/>
    <w:rsid w:val="4DA509B8"/>
    <w:rsid w:val="4DB52B07"/>
    <w:rsid w:val="4DBE024F"/>
    <w:rsid w:val="4DEE7533"/>
    <w:rsid w:val="4DF80FD5"/>
    <w:rsid w:val="4E0F48AA"/>
    <w:rsid w:val="4E2E44B5"/>
    <w:rsid w:val="4E36542D"/>
    <w:rsid w:val="4E694EF2"/>
    <w:rsid w:val="4E755346"/>
    <w:rsid w:val="4E8F13F8"/>
    <w:rsid w:val="4EA11D68"/>
    <w:rsid w:val="4EB71002"/>
    <w:rsid w:val="4EB7263B"/>
    <w:rsid w:val="4EDC620E"/>
    <w:rsid w:val="4EED20A0"/>
    <w:rsid w:val="4F102A44"/>
    <w:rsid w:val="4F22226C"/>
    <w:rsid w:val="4F3E0C8B"/>
    <w:rsid w:val="4F3F20D3"/>
    <w:rsid w:val="4F62741E"/>
    <w:rsid w:val="4F7F0C3D"/>
    <w:rsid w:val="4FA27487"/>
    <w:rsid w:val="4FCB2904"/>
    <w:rsid w:val="4FDC3182"/>
    <w:rsid w:val="4FFA0046"/>
    <w:rsid w:val="5008797C"/>
    <w:rsid w:val="502E6078"/>
    <w:rsid w:val="503E30D6"/>
    <w:rsid w:val="50692184"/>
    <w:rsid w:val="507E5AAE"/>
    <w:rsid w:val="50C2691E"/>
    <w:rsid w:val="51524269"/>
    <w:rsid w:val="515F1555"/>
    <w:rsid w:val="516108BF"/>
    <w:rsid w:val="517368E2"/>
    <w:rsid w:val="517419FF"/>
    <w:rsid w:val="517A37CC"/>
    <w:rsid w:val="519B605A"/>
    <w:rsid w:val="51AA02F7"/>
    <w:rsid w:val="51CD0C51"/>
    <w:rsid w:val="51D931AB"/>
    <w:rsid w:val="51FE5F02"/>
    <w:rsid w:val="52081BED"/>
    <w:rsid w:val="523336B1"/>
    <w:rsid w:val="523B262A"/>
    <w:rsid w:val="52524C16"/>
    <w:rsid w:val="527D67C6"/>
    <w:rsid w:val="528B7E30"/>
    <w:rsid w:val="5297628D"/>
    <w:rsid w:val="529C2335"/>
    <w:rsid w:val="52B81EEC"/>
    <w:rsid w:val="52C50F70"/>
    <w:rsid w:val="52C54712"/>
    <w:rsid w:val="52D7511B"/>
    <w:rsid w:val="530B6D68"/>
    <w:rsid w:val="533609D6"/>
    <w:rsid w:val="535F3A8F"/>
    <w:rsid w:val="53652287"/>
    <w:rsid w:val="53AF678F"/>
    <w:rsid w:val="53BF452D"/>
    <w:rsid w:val="53CE0B29"/>
    <w:rsid w:val="53D14261"/>
    <w:rsid w:val="53D350FE"/>
    <w:rsid w:val="54037C5C"/>
    <w:rsid w:val="54115E26"/>
    <w:rsid w:val="54151524"/>
    <w:rsid w:val="541A66F2"/>
    <w:rsid w:val="54272A58"/>
    <w:rsid w:val="542D2F23"/>
    <w:rsid w:val="544F3B03"/>
    <w:rsid w:val="545F361A"/>
    <w:rsid w:val="546450D5"/>
    <w:rsid w:val="54912F06"/>
    <w:rsid w:val="5493052E"/>
    <w:rsid w:val="54A40EC8"/>
    <w:rsid w:val="54AF1477"/>
    <w:rsid w:val="54C229BD"/>
    <w:rsid w:val="54C2668C"/>
    <w:rsid w:val="54D324BA"/>
    <w:rsid w:val="54ED50CA"/>
    <w:rsid w:val="54FE1085"/>
    <w:rsid w:val="55066E59"/>
    <w:rsid w:val="550F00DD"/>
    <w:rsid w:val="551762E7"/>
    <w:rsid w:val="55231D18"/>
    <w:rsid w:val="554E4905"/>
    <w:rsid w:val="555047EB"/>
    <w:rsid w:val="555C0E9A"/>
    <w:rsid w:val="556D640E"/>
    <w:rsid w:val="557F25DF"/>
    <w:rsid w:val="55AD65A1"/>
    <w:rsid w:val="55CD2D97"/>
    <w:rsid w:val="55F12998"/>
    <w:rsid w:val="55F77ECF"/>
    <w:rsid w:val="56064B11"/>
    <w:rsid w:val="56176259"/>
    <w:rsid w:val="56414CD5"/>
    <w:rsid w:val="56466840"/>
    <w:rsid w:val="56612066"/>
    <w:rsid w:val="566706BB"/>
    <w:rsid w:val="56692311"/>
    <w:rsid w:val="56755B3D"/>
    <w:rsid w:val="56861332"/>
    <w:rsid w:val="56A417B8"/>
    <w:rsid w:val="56A517F9"/>
    <w:rsid w:val="56D122D8"/>
    <w:rsid w:val="56F856D6"/>
    <w:rsid w:val="570030F0"/>
    <w:rsid w:val="570606C5"/>
    <w:rsid w:val="570B4590"/>
    <w:rsid w:val="570D4AC7"/>
    <w:rsid w:val="572F2B3B"/>
    <w:rsid w:val="573B036F"/>
    <w:rsid w:val="5749395E"/>
    <w:rsid w:val="575179A3"/>
    <w:rsid w:val="575B456D"/>
    <w:rsid w:val="57AA68B0"/>
    <w:rsid w:val="57B10631"/>
    <w:rsid w:val="57B1418D"/>
    <w:rsid w:val="57BE07E7"/>
    <w:rsid w:val="57BF2D4E"/>
    <w:rsid w:val="57C67E20"/>
    <w:rsid w:val="57C733F2"/>
    <w:rsid w:val="57CF6D09"/>
    <w:rsid w:val="57D65125"/>
    <w:rsid w:val="57D82A4D"/>
    <w:rsid w:val="57DC4251"/>
    <w:rsid w:val="57DE6B8B"/>
    <w:rsid w:val="57F7575C"/>
    <w:rsid w:val="57F94E93"/>
    <w:rsid w:val="581018B8"/>
    <w:rsid w:val="581A7F84"/>
    <w:rsid w:val="58282CCA"/>
    <w:rsid w:val="584802DD"/>
    <w:rsid w:val="584C2F6F"/>
    <w:rsid w:val="58513CBC"/>
    <w:rsid w:val="58536C60"/>
    <w:rsid w:val="5862192B"/>
    <w:rsid w:val="58651C08"/>
    <w:rsid w:val="58965C83"/>
    <w:rsid w:val="58AC3187"/>
    <w:rsid w:val="58B03AC0"/>
    <w:rsid w:val="58B36042"/>
    <w:rsid w:val="58B908B6"/>
    <w:rsid w:val="58C73078"/>
    <w:rsid w:val="58DF11CE"/>
    <w:rsid w:val="58E30B06"/>
    <w:rsid w:val="58EC5B4A"/>
    <w:rsid w:val="58F200EE"/>
    <w:rsid w:val="59033205"/>
    <w:rsid w:val="59080725"/>
    <w:rsid w:val="591518CD"/>
    <w:rsid w:val="592B3E8E"/>
    <w:rsid w:val="592B7777"/>
    <w:rsid w:val="592C71BA"/>
    <w:rsid w:val="593116CD"/>
    <w:rsid w:val="595E5992"/>
    <w:rsid w:val="59722042"/>
    <w:rsid w:val="598E0440"/>
    <w:rsid w:val="59937911"/>
    <w:rsid w:val="599B4D46"/>
    <w:rsid w:val="59AB062D"/>
    <w:rsid w:val="59C774F0"/>
    <w:rsid w:val="59E86AA0"/>
    <w:rsid w:val="59EC76FE"/>
    <w:rsid w:val="5A20146D"/>
    <w:rsid w:val="5A3548C6"/>
    <w:rsid w:val="5A4521A3"/>
    <w:rsid w:val="5A61633E"/>
    <w:rsid w:val="5A697C7E"/>
    <w:rsid w:val="5A757CC5"/>
    <w:rsid w:val="5A923D45"/>
    <w:rsid w:val="5A9F204C"/>
    <w:rsid w:val="5AD352BE"/>
    <w:rsid w:val="5ADC4DB6"/>
    <w:rsid w:val="5AE006DC"/>
    <w:rsid w:val="5AF04CF4"/>
    <w:rsid w:val="5B09223D"/>
    <w:rsid w:val="5B14591D"/>
    <w:rsid w:val="5B242EC8"/>
    <w:rsid w:val="5B2F1760"/>
    <w:rsid w:val="5B4803F5"/>
    <w:rsid w:val="5B525165"/>
    <w:rsid w:val="5B7B1FF4"/>
    <w:rsid w:val="5BB00A78"/>
    <w:rsid w:val="5BC77431"/>
    <w:rsid w:val="5C0F7C88"/>
    <w:rsid w:val="5C146A6F"/>
    <w:rsid w:val="5C3D06E5"/>
    <w:rsid w:val="5C5269CE"/>
    <w:rsid w:val="5C565424"/>
    <w:rsid w:val="5C9A3D9C"/>
    <w:rsid w:val="5C9A5B38"/>
    <w:rsid w:val="5CA77E6E"/>
    <w:rsid w:val="5CAF3AF1"/>
    <w:rsid w:val="5CB05B5D"/>
    <w:rsid w:val="5CB53785"/>
    <w:rsid w:val="5CCE4413"/>
    <w:rsid w:val="5CD66A45"/>
    <w:rsid w:val="5CDB4652"/>
    <w:rsid w:val="5CE67B94"/>
    <w:rsid w:val="5CEE19DF"/>
    <w:rsid w:val="5CF60894"/>
    <w:rsid w:val="5D1C061D"/>
    <w:rsid w:val="5D2D4F91"/>
    <w:rsid w:val="5D6F248F"/>
    <w:rsid w:val="5D754252"/>
    <w:rsid w:val="5D8C4E0A"/>
    <w:rsid w:val="5DAD5E1B"/>
    <w:rsid w:val="5DDA2431"/>
    <w:rsid w:val="5DDC5CDC"/>
    <w:rsid w:val="5DE05216"/>
    <w:rsid w:val="5DE94AEF"/>
    <w:rsid w:val="5E0327E4"/>
    <w:rsid w:val="5E336C95"/>
    <w:rsid w:val="5E4A70E9"/>
    <w:rsid w:val="5E673A84"/>
    <w:rsid w:val="5E764C6B"/>
    <w:rsid w:val="5E92227E"/>
    <w:rsid w:val="5EAC56AE"/>
    <w:rsid w:val="5EC86A9C"/>
    <w:rsid w:val="5ECF3317"/>
    <w:rsid w:val="5ED17273"/>
    <w:rsid w:val="5F2D0822"/>
    <w:rsid w:val="5F400FA2"/>
    <w:rsid w:val="5F4F06A9"/>
    <w:rsid w:val="5F5C3A83"/>
    <w:rsid w:val="5FC727F0"/>
    <w:rsid w:val="5FDD19F3"/>
    <w:rsid w:val="60241477"/>
    <w:rsid w:val="60275CCF"/>
    <w:rsid w:val="6043754F"/>
    <w:rsid w:val="607C4CB8"/>
    <w:rsid w:val="607F12E5"/>
    <w:rsid w:val="60AF6D05"/>
    <w:rsid w:val="60B116A2"/>
    <w:rsid w:val="60B41EAB"/>
    <w:rsid w:val="60EB3DE4"/>
    <w:rsid w:val="60F02CF4"/>
    <w:rsid w:val="610416ED"/>
    <w:rsid w:val="611264AB"/>
    <w:rsid w:val="61183586"/>
    <w:rsid w:val="61216CDE"/>
    <w:rsid w:val="61365AA1"/>
    <w:rsid w:val="61397F52"/>
    <w:rsid w:val="613B0129"/>
    <w:rsid w:val="61730705"/>
    <w:rsid w:val="61812316"/>
    <w:rsid w:val="61B15164"/>
    <w:rsid w:val="61B72CE8"/>
    <w:rsid w:val="61E810F3"/>
    <w:rsid w:val="62243E70"/>
    <w:rsid w:val="622F0E15"/>
    <w:rsid w:val="62361E5F"/>
    <w:rsid w:val="623F6839"/>
    <w:rsid w:val="62514A66"/>
    <w:rsid w:val="625F0F28"/>
    <w:rsid w:val="62633E82"/>
    <w:rsid w:val="62651811"/>
    <w:rsid w:val="627B7144"/>
    <w:rsid w:val="62821BB5"/>
    <w:rsid w:val="629A3DCB"/>
    <w:rsid w:val="62A34D16"/>
    <w:rsid w:val="62AA7382"/>
    <w:rsid w:val="62BF08E4"/>
    <w:rsid w:val="62C31EC7"/>
    <w:rsid w:val="62D90AF6"/>
    <w:rsid w:val="62F27063"/>
    <w:rsid w:val="62FB30A8"/>
    <w:rsid w:val="63065CC3"/>
    <w:rsid w:val="630E03B9"/>
    <w:rsid w:val="630E0A09"/>
    <w:rsid w:val="632F12D3"/>
    <w:rsid w:val="63426D47"/>
    <w:rsid w:val="635F051B"/>
    <w:rsid w:val="636B6110"/>
    <w:rsid w:val="637A638C"/>
    <w:rsid w:val="63962F84"/>
    <w:rsid w:val="63A75776"/>
    <w:rsid w:val="63B15515"/>
    <w:rsid w:val="63B8347C"/>
    <w:rsid w:val="63BC45E5"/>
    <w:rsid w:val="63C27722"/>
    <w:rsid w:val="63C625A3"/>
    <w:rsid w:val="63CB2B63"/>
    <w:rsid w:val="63CD44FB"/>
    <w:rsid w:val="63E11276"/>
    <w:rsid w:val="6410452B"/>
    <w:rsid w:val="642A1A86"/>
    <w:rsid w:val="642F69F2"/>
    <w:rsid w:val="643103AD"/>
    <w:rsid w:val="64356063"/>
    <w:rsid w:val="644103C5"/>
    <w:rsid w:val="644A7559"/>
    <w:rsid w:val="644E725F"/>
    <w:rsid w:val="6483309C"/>
    <w:rsid w:val="64850D57"/>
    <w:rsid w:val="649966D5"/>
    <w:rsid w:val="64A70F94"/>
    <w:rsid w:val="64BC01D7"/>
    <w:rsid w:val="64E30FE7"/>
    <w:rsid w:val="64EE098A"/>
    <w:rsid w:val="64F60611"/>
    <w:rsid w:val="651861FE"/>
    <w:rsid w:val="652F5EF2"/>
    <w:rsid w:val="653F708A"/>
    <w:rsid w:val="655822E0"/>
    <w:rsid w:val="65667D17"/>
    <w:rsid w:val="65886FA5"/>
    <w:rsid w:val="658D52B6"/>
    <w:rsid w:val="65B17A4E"/>
    <w:rsid w:val="65B35574"/>
    <w:rsid w:val="65CF11EB"/>
    <w:rsid w:val="65D379C4"/>
    <w:rsid w:val="65D62020"/>
    <w:rsid w:val="65F937A4"/>
    <w:rsid w:val="660155CD"/>
    <w:rsid w:val="66033FC9"/>
    <w:rsid w:val="660A69FE"/>
    <w:rsid w:val="661B657D"/>
    <w:rsid w:val="66260197"/>
    <w:rsid w:val="662A7F2C"/>
    <w:rsid w:val="663B5198"/>
    <w:rsid w:val="66413191"/>
    <w:rsid w:val="664C587A"/>
    <w:rsid w:val="668F43D9"/>
    <w:rsid w:val="66A55805"/>
    <w:rsid w:val="66A575B3"/>
    <w:rsid w:val="66DB7049"/>
    <w:rsid w:val="66E00248"/>
    <w:rsid w:val="66E31AA9"/>
    <w:rsid w:val="66EC3434"/>
    <w:rsid w:val="6740552D"/>
    <w:rsid w:val="675A65EF"/>
    <w:rsid w:val="6769765D"/>
    <w:rsid w:val="677376B1"/>
    <w:rsid w:val="67843A37"/>
    <w:rsid w:val="679715F1"/>
    <w:rsid w:val="67B21D0B"/>
    <w:rsid w:val="680D50C4"/>
    <w:rsid w:val="681658F5"/>
    <w:rsid w:val="683055A2"/>
    <w:rsid w:val="6840661B"/>
    <w:rsid w:val="68572B2F"/>
    <w:rsid w:val="685748DD"/>
    <w:rsid w:val="685A079C"/>
    <w:rsid w:val="685A3F70"/>
    <w:rsid w:val="68684D3C"/>
    <w:rsid w:val="687A5531"/>
    <w:rsid w:val="689716B2"/>
    <w:rsid w:val="689F6A01"/>
    <w:rsid w:val="68A119E2"/>
    <w:rsid w:val="68B565DA"/>
    <w:rsid w:val="68B67C19"/>
    <w:rsid w:val="68DD6DCE"/>
    <w:rsid w:val="68EA74FF"/>
    <w:rsid w:val="691C45A1"/>
    <w:rsid w:val="69200E55"/>
    <w:rsid w:val="692137B1"/>
    <w:rsid w:val="692F0CEF"/>
    <w:rsid w:val="6937072F"/>
    <w:rsid w:val="69434E61"/>
    <w:rsid w:val="69493F89"/>
    <w:rsid w:val="69583B91"/>
    <w:rsid w:val="695C73A4"/>
    <w:rsid w:val="696108E7"/>
    <w:rsid w:val="696756EE"/>
    <w:rsid w:val="6968528F"/>
    <w:rsid w:val="69691537"/>
    <w:rsid w:val="696C4BC6"/>
    <w:rsid w:val="697863F9"/>
    <w:rsid w:val="69962AA0"/>
    <w:rsid w:val="69A76FE9"/>
    <w:rsid w:val="69AA4EE0"/>
    <w:rsid w:val="69AA4F67"/>
    <w:rsid w:val="69B55D5F"/>
    <w:rsid w:val="69D613E2"/>
    <w:rsid w:val="69D94CAA"/>
    <w:rsid w:val="69DD3507"/>
    <w:rsid w:val="69FF6FDA"/>
    <w:rsid w:val="6A025476"/>
    <w:rsid w:val="6A0706ED"/>
    <w:rsid w:val="6A077FBF"/>
    <w:rsid w:val="6A092B65"/>
    <w:rsid w:val="6A102F95"/>
    <w:rsid w:val="6A146374"/>
    <w:rsid w:val="6A16214A"/>
    <w:rsid w:val="6A1A6526"/>
    <w:rsid w:val="6A1B04FF"/>
    <w:rsid w:val="6A507835"/>
    <w:rsid w:val="6A5328C9"/>
    <w:rsid w:val="6A622C78"/>
    <w:rsid w:val="6A6467C8"/>
    <w:rsid w:val="6A823347"/>
    <w:rsid w:val="6A823AF6"/>
    <w:rsid w:val="6AAF7C30"/>
    <w:rsid w:val="6AB238CF"/>
    <w:rsid w:val="6AB312F2"/>
    <w:rsid w:val="6ABC167B"/>
    <w:rsid w:val="6AD71D05"/>
    <w:rsid w:val="6AE45046"/>
    <w:rsid w:val="6B797260"/>
    <w:rsid w:val="6B7E0620"/>
    <w:rsid w:val="6BA1748E"/>
    <w:rsid w:val="6BA25E41"/>
    <w:rsid w:val="6BC25154"/>
    <w:rsid w:val="6BE648F5"/>
    <w:rsid w:val="6BEC2939"/>
    <w:rsid w:val="6BEE4A33"/>
    <w:rsid w:val="6BFD0794"/>
    <w:rsid w:val="6C4C227F"/>
    <w:rsid w:val="6C6134C2"/>
    <w:rsid w:val="6C622FDE"/>
    <w:rsid w:val="6C85466C"/>
    <w:rsid w:val="6CC11DD9"/>
    <w:rsid w:val="6CCA4B67"/>
    <w:rsid w:val="6CD62702"/>
    <w:rsid w:val="6CE10C19"/>
    <w:rsid w:val="6CE12EAF"/>
    <w:rsid w:val="6CE93359"/>
    <w:rsid w:val="6CEC6EA6"/>
    <w:rsid w:val="6CF90CE9"/>
    <w:rsid w:val="6D1113CD"/>
    <w:rsid w:val="6D2D1A21"/>
    <w:rsid w:val="6D4E60A1"/>
    <w:rsid w:val="6D4F0278"/>
    <w:rsid w:val="6D69475D"/>
    <w:rsid w:val="6D7005A7"/>
    <w:rsid w:val="6D772360"/>
    <w:rsid w:val="6D782001"/>
    <w:rsid w:val="6D9B50B1"/>
    <w:rsid w:val="6D9C6FA0"/>
    <w:rsid w:val="6DB86367"/>
    <w:rsid w:val="6E0154CC"/>
    <w:rsid w:val="6E07553B"/>
    <w:rsid w:val="6E077231"/>
    <w:rsid w:val="6E4A47B9"/>
    <w:rsid w:val="6E520E99"/>
    <w:rsid w:val="6E582BA7"/>
    <w:rsid w:val="6E7C16E0"/>
    <w:rsid w:val="6E934195"/>
    <w:rsid w:val="6E9B59F9"/>
    <w:rsid w:val="6EC32CCC"/>
    <w:rsid w:val="6F060905"/>
    <w:rsid w:val="6F0A08FB"/>
    <w:rsid w:val="6F165CEF"/>
    <w:rsid w:val="6F201B9C"/>
    <w:rsid w:val="6F37510F"/>
    <w:rsid w:val="6F446896"/>
    <w:rsid w:val="6F4A0729"/>
    <w:rsid w:val="6F655B31"/>
    <w:rsid w:val="6F7A71C5"/>
    <w:rsid w:val="6F834209"/>
    <w:rsid w:val="6F986024"/>
    <w:rsid w:val="6FA77F87"/>
    <w:rsid w:val="6FB22D40"/>
    <w:rsid w:val="6FBA0FDC"/>
    <w:rsid w:val="70001CFE"/>
    <w:rsid w:val="700C06A3"/>
    <w:rsid w:val="702051C7"/>
    <w:rsid w:val="702B2DD9"/>
    <w:rsid w:val="704A18A1"/>
    <w:rsid w:val="7052604A"/>
    <w:rsid w:val="705648DB"/>
    <w:rsid w:val="70565AC6"/>
    <w:rsid w:val="706D4254"/>
    <w:rsid w:val="707D6EAA"/>
    <w:rsid w:val="709579CF"/>
    <w:rsid w:val="70C3631C"/>
    <w:rsid w:val="70CB5E2B"/>
    <w:rsid w:val="70E90692"/>
    <w:rsid w:val="711710AD"/>
    <w:rsid w:val="711F61B4"/>
    <w:rsid w:val="71222989"/>
    <w:rsid w:val="715B22D7"/>
    <w:rsid w:val="717C3606"/>
    <w:rsid w:val="71A4100A"/>
    <w:rsid w:val="71CD5C10"/>
    <w:rsid w:val="71F54176"/>
    <w:rsid w:val="72053694"/>
    <w:rsid w:val="724C7265"/>
    <w:rsid w:val="72516841"/>
    <w:rsid w:val="725A49F9"/>
    <w:rsid w:val="72652FFD"/>
    <w:rsid w:val="726B686B"/>
    <w:rsid w:val="729042FB"/>
    <w:rsid w:val="729D3834"/>
    <w:rsid w:val="729D535B"/>
    <w:rsid w:val="72C25048"/>
    <w:rsid w:val="72C43D9B"/>
    <w:rsid w:val="72C44AE8"/>
    <w:rsid w:val="72C75655"/>
    <w:rsid w:val="72C9287B"/>
    <w:rsid w:val="72E23C52"/>
    <w:rsid w:val="72E27499"/>
    <w:rsid w:val="72E94AE1"/>
    <w:rsid w:val="72EA5DE8"/>
    <w:rsid w:val="72EB0A43"/>
    <w:rsid w:val="72F16DB0"/>
    <w:rsid w:val="72FB6166"/>
    <w:rsid w:val="72FF0532"/>
    <w:rsid w:val="73004AA8"/>
    <w:rsid w:val="730B1816"/>
    <w:rsid w:val="730E028E"/>
    <w:rsid w:val="73187EC6"/>
    <w:rsid w:val="732C6A6F"/>
    <w:rsid w:val="733F7533"/>
    <w:rsid w:val="73634379"/>
    <w:rsid w:val="73656370"/>
    <w:rsid w:val="73851577"/>
    <w:rsid w:val="739822F1"/>
    <w:rsid w:val="73A00B05"/>
    <w:rsid w:val="73A62BBC"/>
    <w:rsid w:val="73B6122B"/>
    <w:rsid w:val="73BA6C22"/>
    <w:rsid w:val="73C66DBA"/>
    <w:rsid w:val="73C751D2"/>
    <w:rsid w:val="73EC470E"/>
    <w:rsid w:val="741223FB"/>
    <w:rsid w:val="741D2E7E"/>
    <w:rsid w:val="74590D14"/>
    <w:rsid w:val="74806F69"/>
    <w:rsid w:val="74827185"/>
    <w:rsid w:val="748710F4"/>
    <w:rsid w:val="749B1037"/>
    <w:rsid w:val="74B20466"/>
    <w:rsid w:val="74C71721"/>
    <w:rsid w:val="74CC05DA"/>
    <w:rsid w:val="74D054CE"/>
    <w:rsid w:val="74E5590E"/>
    <w:rsid w:val="74EE481B"/>
    <w:rsid w:val="74F3755F"/>
    <w:rsid w:val="74F82E97"/>
    <w:rsid w:val="74F84FB8"/>
    <w:rsid w:val="750B2B1B"/>
    <w:rsid w:val="7516167C"/>
    <w:rsid w:val="75272EBE"/>
    <w:rsid w:val="75330480"/>
    <w:rsid w:val="753F1D05"/>
    <w:rsid w:val="7551789E"/>
    <w:rsid w:val="75752846"/>
    <w:rsid w:val="75A37EA3"/>
    <w:rsid w:val="75A454EF"/>
    <w:rsid w:val="75B871D5"/>
    <w:rsid w:val="75D37F89"/>
    <w:rsid w:val="760140DA"/>
    <w:rsid w:val="76051E1C"/>
    <w:rsid w:val="760737FE"/>
    <w:rsid w:val="762304F4"/>
    <w:rsid w:val="7625426C"/>
    <w:rsid w:val="762C4D1B"/>
    <w:rsid w:val="763C2917"/>
    <w:rsid w:val="765C0690"/>
    <w:rsid w:val="766D176F"/>
    <w:rsid w:val="76793407"/>
    <w:rsid w:val="76866E81"/>
    <w:rsid w:val="768E2FB2"/>
    <w:rsid w:val="769B2141"/>
    <w:rsid w:val="76A371D7"/>
    <w:rsid w:val="76A665CB"/>
    <w:rsid w:val="76B07755"/>
    <w:rsid w:val="76B30D74"/>
    <w:rsid w:val="76C27D0D"/>
    <w:rsid w:val="76D55317"/>
    <w:rsid w:val="76D81BAD"/>
    <w:rsid w:val="76EA2BCB"/>
    <w:rsid w:val="76F1566C"/>
    <w:rsid w:val="76F16D58"/>
    <w:rsid w:val="77031EE1"/>
    <w:rsid w:val="770D651C"/>
    <w:rsid w:val="771C0960"/>
    <w:rsid w:val="775318BD"/>
    <w:rsid w:val="776A6E80"/>
    <w:rsid w:val="777D59E2"/>
    <w:rsid w:val="777D6A70"/>
    <w:rsid w:val="777F6BA9"/>
    <w:rsid w:val="77897CD3"/>
    <w:rsid w:val="778D2F2C"/>
    <w:rsid w:val="779C7CBA"/>
    <w:rsid w:val="77B81B3F"/>
    <w:rsid w:val="77BD2689"/>
    <w:rsid w:val="77DB176B"/>
    <w:rsid w:val="77EC0341"/>
    <w:rsid w:val="77F170CA"/>
    <w:rsid w:val="780359B0"/>
    <w:rsid w:val="78036F50"/>
    <w:rsid w:val="782A5B6A"/>
    <w:rsid w:val="78432563"/>
    <w:rsid w:val="784D5D74"/>
    <w:rsid w:val="78701BA4"/>
    <w:rsid w:val="787E5EB6"/>
    <w:rsid w:val="787F167A"/>
    <w:rsid w:val="78887DCF"/>
    <w:rsid w:val="788A2AAC"/>
    <w:rsid w:val="78985F8B"/>
    <w:rsid w:val="78BB5DC5"/>
    <w:rsid w:val="78BE4504"/>
    <w:rsid w:val="78BE5DD6"/>
    <w:rsid w:val="78CA61DF"/>
    <w:rsid w:val="78D157D3"/>
    <w:rsid w:val="78D15FE5"/>
    <w:rsid w:val="790516CD"/>
    <w:rsid w:val="790C34C1"/>
    <w:rsid w:val="79100738"/>
    <w:rsid w:val="792C515A"/>
    <w:rsid w:val="793279C5"/>
    <w:rsid w:val="79334EF2"/>
    <w:rsid w:val="79342E5B"/>
    <w:rsid w:val="794B0467"/>
    <w:rsid w:val="7961380D"/>
    <w:rsid w:val="796C3F60"/>
    <w:rsid w:val="79806E6B"/>
    <w:rsid w:val="798C0225"/>
    <w:rsid w:val="79A656C4"/>
    <w:rsid w:val="79B037C2"/>
    <w:rsid w:val="79D00993"/>
    <w:rsid w:val="79D803F9"/>
    <w:rsid w:val="79DE62AA"/>
    <w:rsid w:val="79E8053C"/>
    <w:rsid w:val="7A2E7EE2"/>
    <w:rsid w:val="7A347284"/>
    <w:rsid w:val="7A735F3D"/>
    <w:rsid w:val="7A7632E8"/>
    <w:rsid w:val="7AB21E46"/>
    <w:rsid w:val="7AF65F7E"/>
    <w:rsid w:val="7AFD7566"/>
    <w:rsid w:val="7B04776C"/>
    <w:rsid w:val="7B0E52FC"/>
    <w:rsid w:val="7B3B62E0"/>
    <w:rsid w:val="7B762E74"/>
    <w:rsid w:val="7B876E2F"/>
    <w:rsid w:val="7B95154C"/>
    <w:rsid w:val="7BA23C69"/>
    <w:rsid w:val="7BA537C7"/>
    <w:rsid w:val="7BBE3369"/>
    <w:rsid w:val="7C116F80"/>
    <w:rsid w:val="7C180E7F"/>
    <w:rsid w:val="7C18217D"/>
    <w:rsid w:val="7C1D1542"/>
    <w:rsid w:val="7C254288"/>
    <w:rsid w:val="7C272F8A"/>
    <w:rsid w:val="7C2B3F24"/>
    <w:rsid w:val="7C2E1CB9"/>
    <w:rsid w:val="7C441242"/>
    <w:rsid w:val="7C6B49A3"/>
    <w:rsid w:val="7C7058BD"/>
    <w:rsid w:val="7C732DA1"/>
    <w:rsid w:val="7C747515"/>
    <w:rsid w:val="7C865339"/>
    <w:rsid w:val="7CCD298A"/>
    <w:rsid w:val="7CD460A4"/>
    <w:rsid w:val="7CE06488"/>
    <w:rsid w:val="7D0270B5"/>
    <w:rsid w:val="7D364BA7"/>
    <w:rsid w:val="7D384C6A"/>
    <w:rsid w:val="7D8E4A21"/>
    <w:rsid w:val="7D99109C"/>
    <w:rsid w:val="7D9F59FC"/>
    <w:rsid w:val="7DC4436B"/>
    <w:rsid w:val="7DF00E36"/>
    <w:rsid w:val="7E01736D"/>
    <w:rsid w:val="7E050638"/>
    <w:rsid w:val="7E136BC8"/>
    <w:rsid w:val="7E1749FD"/>
    <w:rsid w:val="7E1B1DA9"/>
    <w:rsid w:val="7E2043A0"/>
    <w:rsid w:val="7E6D4A02"/>
    <w:rsid w:val="7E6E3398"/>
    <w:rsid w:val="7EA37F3B"/>
    <w:rsid w:val="7EAE6E91"/>
    <w:rsid w:val="7EB123DD"/>
    <w:rsid w:val="7EB22415"/>
    <w:rsid w:val="7EC12A65"/>
    <w:rsid w:val="7ED973A3"/>
    <w:rsid w:val="7EDC3936"/>
    <w:rsid w:val="7F0C2A46"/>
    <w:rsid w:val="7F233313"/>
    <w:rsid w:val="7F2E7C55"/>
    <w:rsid w:val="7F491C9F"/>
    <w:rsid w:val="7F4F1298"/>
    <w:rsid w:val="7F681AB7"/>
    <w:rsid w:val="7F7122D0"/>
    <w:rsid w:val="7F7818D1"/>
    <w:rsid w:val="7F8C476B"/>
    <w:rsid w:val="7F8C6D0F"/>
    <w:rsid w:val="7F9049FC"/>
    <w:rsid w:val="7FB12F4E"/>
    <w:rsid w:val="7FBF76AE"/>
    <w:rsid w:val="7FC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9"/>
    <w:pPr>
      <w:keepNext/>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4">
    <w:name w:val="heading 3"/>
    <w:basedOn w:val="1"/>
    <w:next w:val="1"/>
    <w:link w:val="63"/>
    <w:autoRedefine/>
    <w:qFormat/>
    <w:uiPriority w:val="0"/>
    <w:pPr>
      <w:keepNext/>
      <w:keepLines/>
      <w:numPr>
        <w:ilvl w:val="2"/>
        <w:numId w:val="2"/>
      </w:numPr>
      <w:spacing w:before="120" w:after="120" w:line="360" w:lineRule="auto"/>
      <w:jc w:val="center"/>
      <w:outlineLvl w:val="2"/>
    </w:pPr>
    <w:rPr>
      <w:rFonts w:eastAsia="??"/>
      <w:b/>
      <w:kern w:val="0"/>
      <w:sz w:val="32"/>
      <w:szCs w:val="28"/>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rFonts w:eastAsia="??"/>
      <w:b/>
      <w:bCs/>
      <w:sz w:val="28"/>
      <w:szCs w:val="28"/>
    </w:rPr>
  </w:style>
  <w:style w:type="paragraph" w:styleId="7">
    <w:name w:val="heading 6"/>
    <w:basedOn w:val="1"/>
    <w:next w:val="1"/>
    <w:autoRedefine/>
    <w:qFormat/>
    <w:uiPriority w:val="0"/>
    <w:pPr>
      <w:keepNext/>
      <w:keepLines/>
      <w:numPr>
        <w:ilvl w:val="5"/>
        <w:numId w:val="2"/>
      </w:numPr>
      <w:spacing w:before="240" w:after="64" w:line="319" w:lineRule="auto"/>
      <w:jc w:val="left"/>
      <w:outlineLvl w:val="5"/>
    </w:pPr>
    <w:rPr>
      <w:rFonts w:ascii="Arial" w:hAnsi="Arial" w:eastAsia="??" w:cs="Arial"/>
      <w:b/>
      <w:bCs/>
      <w:kern w:val="0"/>
      <w:sz w:val="24"/>
      <w:szCs w:val="28"/>
    </w:rPr>
  </w:style>
  <w:style w:type="paragraph" w:styleId="8">
    <w:name w:val="heading 7"/>
    <w:basedOn w:val="1"/>
    <w:next w:val="1"/>
    <w:autoRedefine/>
    <w:qFormat/>
    <w:uiPriority w:val="0"/>
    <w:pPr>
      <w:keepNext/>
      <w:keepLines/>
      <w:numPr>
        <w:ilvl w:val="6"/>
        <w:numId w:val="2"/>
      </w:numPr>
      <w:spacing w:before="240" w:after="64" w:line="319" w:lineRule="auto"/>
      <w:jc w:val="left"/>
      <w:outlineLvl w:val="6"/>
    </w:pPr>
    <w:rPr>
      <w:rFonts w:eastAsia="??"/>
      <w:b/>
      <w:bCs/>
      <w:kern w:val="0"/>
      <w:sz w:val="24"/>
      <w:szCs w:val="28"/>
    </w:rPr>
  </w:style>
  <w:style w:type="paragraph" w:styleId="9">
    <w:name w:val="heading 8"/>
    <w:basedOn w:val="1"/>
    <w:next w:val="1"/>
    <w:autoRedefine/>
    <w:qFormat/>
    <w:uiPriority w:val="0"/>
    <w:pPr>
      <w:keepNext/>
      <w:keepLines/>
      <w:numPr>
        <w:ilvl w:val="7"/>
        <w:numId w:val="2"/>
      </w:numPr>
      <w:spacing w:before="240" w:after="64" w:line="319" w:lineRule="auto"/>
      <w:jc w:val="left"/>
      <w:outlineLvl w:val="7"/>
    </w:pPr>
    <w:rPr>
      <w:rFonts w:ascii="Arial" w:hAnsi="Arial" w:eastAsia="??" w:cs="Arial"/>
      <w:kern w:val="0"/>
      <w:sz w:val="24"/>
      <w:szCs w:val="28"/>
    </w:rPr>
  </w:style>
  <w:style w:type="paragraph" w:styleId="10">
    <w:name w:val="heading 9"/>
    <w:basedOn w:val="1"/>
    <w:next w:val="1"/>
    <w:autoRedefine/>
    <w:qFormat/>
    <w:uiPriority w:val="0"/>
    <w:pPr>
      <w:keepNext/>
      <w:keepLines/>
      <w:numPr>
        <w:ilvl w:val="8"/>
        <w:numId w:val="2"/>
      </w:numPr>
      <w:spacing w:before="240" w:after="64" w:line="319" w:lineRule="auto"/>
      <w:jc w:val="left"/>
      <w:outlineLvl w:val="8"/>
    </w:pPr>
    <w:rPr>
      <w:rFonts w:ascii="Arial" w:hAnsi="Arial" w:eastAsia="??" w:cs="Arial"/>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3"/>
    <w:link w:val="64"/>
    <w:autoRedefine/>
    <w:qFormat/>
    <w:uiPriority w:val="0"/>
    <w:pPr>
      <w:ind w:firstLine="420"/>
      <w:jc w:val="left"/>
    </w:pPr>
    <w:rPr>
      <w:rFonts w:eastAsia="??"/>
      <w:kern w:val="0"/>
      <w:sz w:val="24"/>
    </w:rPr>
  </w:style>
  <w:style w:type="paragraph" w:styleId="13">
    <w:name w:val="Body Text Indent"/>
    <w:basedOn w:val="1"/>
    <w:next w:val="1"/>
    <w:autoRedefine/>
    <w:qFormat/>
    <w:uiPriority w:val="0"/>
    <w:pPr>
      <w:spacing w:line="480" w:lineRule="atLeast"/>
      <w:ind w:firstLine="570"/>
    </w:pPr>
    <w:rPr>
      <w:rFonts w:ascii="??" w:hAnsi="??" w:eastAsia="??" w:cs="宋体"/>
      <w:sz w:val="28"/>
      <w:szCs w:val="28"/>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autoRedefine/>
    <w:qFormat/>
    <w:uiPriority w:val="0"/>
    <w:pPr>
      <w:shd w:val="clear" w:color="auto" w:fill="000080"/>
    </w:pPr>
    <w:rPr>
      <w:rFonts w:eastAsia="??"/>
      <w:sz w:val="28"/>
      <w:szCs w:val="28"/>
    </w:rPr>
  </w:style>
  <w:style w:type="paragraph" w:styleId="16">
    <w:name w:val="toa heading"/>
    <w:basedOn w:val="1"/>
    <w:next w:val="1"/>
    <w:autoRedefine/>
    <w:qFormat/>
    <w:uiPriority w:val="0"/>
    <w:pPr>
      <w:spacing w:before="120"/>
    </w:pPr>
    <w:rPr>
      <w:rFonts w:ascii="Arial" w:hAnsi="Arial" w:cs="Arial"/>
      <w:sz w:val="24"/>
    </w:rPr>
  </w:style>
  <w:style w:type="paragraph" w:styleId="17">
    <w:name w:val="annotation text"/>
    <w:basedOn w:val="1"/>
    <w:next w:val="18"/>
    <w:link w:val="65"/>
    <w:autoRedefine/>
    <w:qFormat/>
    <w:uiPriority w:val="0"/>
    <w:pPr>
      <w:jc w:val="left"/>
    </w:pPr>
    <w:rPr>
      <w:szCs w:val="20"/>
    </w:rPr>
  </w:style>
  <w:style w:type="paragraph" w:styleId="18">
    <w:name w:val="toc 9"/>
    <w:basedOn w:val="1"/>
    <w:next w:val="1"/>
    <w:autoRedefine/>
    <w:qFormat/>
    <w:uiPriority w:val="0"/>
    <w:pPr>
      <w:ind w:left="1680"/>
      <w:jc w:val="left"/>
    </w:pPr>
    <w:rPr>
      <w:sz w:val="18"/>
      <w:szCs w:val="18"/>
    </w:rPr>
  </w:style>
  <w:style w:type="paragraph" w:styleId="19">
    <w:name w:val="Body Text 3"/>
    <w:basedOn w:val="1"/>
    <w:autoRedefine/>
    <w:qFormat/>
    <w:uiPriority w:val="0"/>
    <w:pPr>
      <w:snapToGrid w:val="0"/>
      <w:spacing w:before="50" w:after="50"/>
    </w:pPr>
    <w:rPr>
      <w:rFonts w:hAnsi="宋体" w:eastAsia="仿宋_GB2312"/>
      <w:b/>
      <w:bCs/>
      <w:sz w:val="24"/>
      <w:szCs w:val="20"/>
    </w:rPr>
  </w:style>
  <w:style w:type="paragraph" w:styleId="20">
    <w:name w:val="Body Text"/>
    <w:basedOn w:val="1"/>
    <w:next w:val="21"/>
    <w:autoRedefine/>
    <w:qFormat/>
    <w:uiPriority w:val="0"/>
    <w:rPr>
      <w:rFonts w:eastAsia="??"/>
      <w:sz w:val="24"/>
      <w:szCs w:val="28"/>
    </w:rPr>
  </w:style>
  <w:style w:type="paragraph" w:styleId="21">
    <w:name w:val="Body Text First Indent"/>
    <w:basedOn w:val="20"/>
    <w:next w:val="1"/>
    <w:autoRedefine/>
    <w:qFormat/>
    <w:uiPriority w:val="0"/>
    <w:pPr>
      <w:autoSpaceDE w:val="0"/>
      <w:autoSpaceDN w:val="0"/>
      <w:adjustRightInd w:val="0"/>
      <w:spacing w:line="360" w:lineRule="auto"/>
      <w:ind w:firstLine="420"/>
    </w:pPr>
    <w:rPr>
      <w:rFonts w:ascii="宋体" w:eastAsia="宋体"/>
      <w:szCs w:val="20"/>
      <w:lang w:val="zh-CN"/>
    </w:rPr>
  </w:style>
  <w:style w:type="paragraph" w:styleId="22">
    <w:name w:val="Block Text"/>
    <w:basedOn w:val="1"/>
    <w:autoRedefine/>
    <w:unhideWhenUsed/>
    <w:qFormat/>
    <w:uiPriority w:val="99"/>
    <w:pPr>
      <w:spacing w:after="120"/>
      <w:ind w:left="1440" w:leftChars="700" w:right="1440" w:rightChars="700"/>
    </w:p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Plain Text"/>
    <w:basedOn w:val="1"/>
    <w:next w:val="1"/>
    <w:link w:val="66"/>
    <w:autoRedefine/>
    <w:qFormat/>
    <w:uiPriority w:val="0"/>
    <w:rPr>
      <w:rFonts w:ascii="??" w:hAnsi="??" w:eastAsia="??" w:cs="宋体"/>
      <w:szCs w:val="21"/>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0"/>
    <w:pPr>
      <w:adjustRightInd w:val="0"/>
      <w:jc w:val="right"/>
      <w:textAlignment w:val="baseline"/>
    </w:pPr>
    <w:rPr>
      <w:rFonts w:eastAsia="??_GB2312"/>
      <w:b/>
      <w:kern w:val="0"/>
      <w:sz w:val="28"/>
      <w:szCs w:val="28"/>
    </w:rPr>
  </w:style>
  <w:style w:type="paragraph" w:styleId="28">
    <w:name w:val="Body Text Indent 2"/>
    <w:basedOn w:val="1"/>
    <w:autoRedefine/>
    <w:qFormat/>
    <w:uiPriority w:val="0"/>
    <w:pPr>
      <w:spacing w:line="520" w:lineRule="exact"/>
      <w:ind w:firstLine="303" w:firstLineChars="303"/>
    </w:pPr>
    <w:rPr>
      <w:rFonts w:ascii="??" w:hAnsi="??" w:eastAsia="??" w:cs="宋体"/>
      <w:sz w:val="28"/>
      <w:szCs w:val="28"/>
    </w:rPr>
  </w:style>
  <w:style w:type="paragraph" w:styleId="29">
    <w:name w:val="Balloon Text"/>
    <w:basedOn w:val="1"/>
    <w:autoRedefine/>
    <w:qFormat/>
    <w:uiPriority w:val="0"/>
    <w:rPr>
      <w:rFonts w:eastAsia="??"/>
      <w:sz w:val="18"/>
      <w:szCs w:val="18"/>
    </w:rPr>
  </w:style>
  <w:style w:type="paragraph" w:styleId="30">
    <w:name w:val="footer"/>
    <w:basedOn w:val="1"/>
    <w:link w:val="67"/>
    <w:autoRedefine/>
    <w:qFormat/>
    <w:uiPriority w:val="99"/>
    <w:pPr>
      <w:tabs>
        <w:tab w:val="center" w:pos="4153"/>
        <w:tab w:val="right" w:pos="8306"/>
      </w:tabs>
      <w:snapToGrid w:val="0"/>
      <w:jc w:val="left"/>
    </w:pPr>
    <w:rPr>
      <w:rFonts w:eastAsia="??"/>
      <w:sz w:val="18"/>
      <w:szCs w:val="2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rFonts w:eastAsia="??"/>
      <w:sz w:val="18"/>
      <w:szCs w:val="2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footnote text"/>
    <w:basedOn w:val="1"/>
    <w:autoRedefine/>
    <w:unhideWhenUsed/>
    <w:qFormat/>
    <w:uiPriority w:val="99"/>
    <w:pPr>
      <w:snapToGrid w:val="0"/>
      <w:jc w:val="left"/>
    </w:pPr>
    <w:rPr>
      <w:rFonts w:hint="eastAsia"/>
      <w:sz w:val="1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autoRedefine/>
    <w:qFormat/>
    <w:uiPriority w:val="0"/>
    <w:pPr>
      <w:spacing w:line="520" w:lineRule="exact"/>
      <w:ind w:firstLine="547"/>
    </w:pPr>
    <w:rPr>
      <w:rFonts w:eastAsia="??"/>
      <w:sz w:val="28"/>
      <w:szCs w:val="28"/>
    </w:rPr>
  </w:style>
  <w:style w:type="paragraph" w:styleId="37">
    <w:name w:val="table of figures"/>
    <w:basedOn w:val="1"/>
    <w:next w:val="1"/>
    <w:autoRedefine/>
    <w:qFormat/>
    <w:uiPriority w:val="0"/>
    <w:pPr>
      <w:ind w:left="560" w:hanging="560"/>
      <w:jc w:val="left"/>
    </w:pPr>
    <w:rPr>
      <w:rFonts w:ascii="Calibri" w:hAnsi="Calibri" w:eastAsia="??" w:cs="宋体"/>
      <w:smallCaps/>
      <w:sz w:val="20"/>
      <w:szCs w:val="28"/>
    </w:rPr>
  </w:style>
  <w:style w:type="paragraph" w:styleId="38">
    <w:name w:val="toc 2"/>
    <w:basedOn w:val="1"/>
    <w:next w:val="1"/>
    <w:autoRedefine/>
    <w:qFormat/>
    <w:uiPriority w:val="39"/>
    <w:pPr>
      <w:ind w:left="210"/>
      <w:jc w:val="left"/>
    </w:pPr>
    <w:rPr>
      <w:smallCaps/>
      <w:sz w:val="20"/>
      <w:szCs w:val="20"/>
    </w:rPr>
  </w:style>
  <w:style w:type="paragraph" w:styleId="39">
    <w:name w:val="Body Text 2"/>
    <w:basedOn w:val="1"/>
    <w:autoRedefine/>
    <w:qFormat/>
    <w:uiPriority w:val="0"/>
    <w:pPr>
      <w:spacing w:after="120" w:line="480" w:lineRule="auto"/>
    </w:pPr>
  </w:style>
  <w:style w:type="paragraph" w:styleId="4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41">
    <w:name w:val="Normal (Web)"/>
    <w:basedOn w:val="1"/>
    <w:autoRedefine/>
    <w:qFormat/>
    <w:uiPriority w:val="99"/>
    <w:pPr>
      <w:spacing w:before="100" w:beforeAutospacing="1" w:after="100" w:afterAutospacing="1"/>
      <w:jc w:val="left"/>
    </w:pPr>
    <w:rPr>
      <w:rFonts w:ascii="??" w:hAnsi="??" w:eastAsia="??" w:cs="宋体"/>
      <w:kern w:val="0"/>
      <w:sz w:val="24"/>
    </w:rPr>
  </w:style>
  <w:style w:type="paragraph" w:styleId="42">
    <w:name w:val="Title"/>
    <w:basedOn w:val="1"/>
    <w:autoRedefine/>
    <w:qFormat/>
    <w:uiPriority w:val="0"/>
    <w:pPr>
      <w:overflowPunct w:val="0"/>
      <w:autoSpaceDE w:val="0"/>
      <w:autoSpaceDN w:val="0"/>
      <w:adjustRightInd w:val="0"/>
      <w:jc w:val="center"/>
      <w:textAlignment w:val="baseline"/>
    </w:pPr>
    <w:rPr>
      <w:rFonts w:eastAsia="??"/>
      <w:b/>
      <w:kern w:val="0"/>
      <w:sz w:val="24"/>
      <w:szCs w:val="28"/>
      <w:lang w:val="en-GB"/>
    </w:rPr>
  </w:style>
  <w:style w:type="paragraph" w:styleId="43">
    <w:name w:val="annotation subject"/>
    <w:basedOn w:val="17"/>
    <w:next w:val="17"/>
    <w:link w:val="68"/>
    <w:autoRedefine/>
    <w:qFormat/>
    <w:uiPriority w:val="0"/>
    <w:rPr>
      <w:b/>
      <w:bCs/>
      <w:szCs w:val="24"/>
    </w:rPr>
  </w:style>
  <w:style w:type="paragraph" w:styleId="44">
    <w:name w:val="Body Text First Indent 2"/>
    <w:basedOn w:val="13"/>
    <w:next w:val="1"/>
    <w:autoRedefine/>
    <w:unhideWhenUsed/>
    <w:qFormat/>
    <w:uiPriority w:val="99"/>
    <w:pPr>
      <w:spacing w:after="120" w:line="240" w:lineRule="auto"/>
      <w:ind w:left="420" w:leftChars="200" w:firstLine="420"/>
    </w:pPr>
    <w:rPr>
      <w:rFonts w:ascii="Calibri" w:eastAsia="宋体"/>
      <w:sz w:val="21"/>
      <w:szCs w:val="22"/>
    </w:rPr>
  </w:style>
  <w:style w:type="table" w:styleId="46">
    <w:name w:val="Table Grid"/>
    <w:basedOn w:val="4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rPr>
  </w:style>
  <w:style w:type="character" w:styleId="49">
    <w:name w:val="page number"/>
    <w:autoRedefine/>
    <w:qFormat/>
    <w:uiPriority w:val="0"/>
  </w:style>
  <w:style w:type="character" w:styleId="50">
    <w:name w:val="FollowedHyperlink"/>
    <w:autoRedefine/>
    <w:qFormat/>
    <w:uiPriority w:val="0"/>
    <w:rPr>
      <w:color w:val="800080"/>
      <w:u w:val="single"/>
    </w:rPr>
  </w:style>
  <w:style w:type="character" w:styleId="51">
    <w:name w:val="HTML Definition"/>
    <w:autoRedefine/>
    <w:qFormat/>
    <w:uiPriority w:val="0"/>
    <w:rPr>
      <w:i/>
      <w:iCs/>
    </w:rPr>
  </w:style>
  <w:style w:type="character" w:styleId="52">
    <w:name w:val="Hyperlink"/>
    <w:autoRedefine/>
    <w:qFormat/>
    <w:uiPriority w:val="99"/>
    <w:rPr>
      <w:color w:val="0000FF"/>
      <w:u w:val="single"/>
    </w:rPr>
  </w:style>
  <w:style w:type="character" w:styleId="53">
    <w:name w:val="HTML Code"/>
    <w:autoRedefine/>
    <w:qFormat/>
    <w:uiPriority w:val="0"/>
    <w:rPr>
      <w:rFonts w:hint="default" w:ascii="Consolas" w:hAnsi="Consolas" w:eastAsia="Consolas" w:cs="Consolas"/>
      <w:sz w:val="21"/>
      <w:szCs w:val="21"/>
    </w:rPr>
  </w:style>
  <w:style w:type="character" w:styleId="54">
    <w:name w:val="annotation reference"/>
    <w:autoRedefine/>
    <w:qFormat/>
    <w:uiPriority w:val="0"/>
    <w:rPr>
      <w:sz w:val="21"/>
    </w:rPr>
  </w:style>
  <w:style w:type="character" w:styleId="55">
    <w:name w:val="footnote reference"/>
    <w:autoRedefine/>
    <w:unhideWhenUsed/>
    <w:qFormat/>
    <w:uiPriority w:val="99"/>
    <w:rPr>
      <w:rFonts w:hint="default" w:ascii="Times New Roman"/>
      <w:sz w:val="24"/>
      <w:vertAlign w:val="superscript"/>
    </w:rPr>
  </w:style>
  <w:style w:type="character" w:styleId="56">
    <w:name w:val="HTML Keyboard"/>
    <w:autoRedefine/>
    <w:qFormat/>
    <w:uiPriority w:val="0"/>
    <w:rPr>
      <w:rFonts w:hint="default" w:ascii="Consolas" w:hAnsi="Consolas" w:eastAsia="Consolas" w:cs="Consolas"/>
      <w:sz w:val="21"/>
      <w:szCs w:val="21"/>
    </w:rPr>
  </w:style>
  <w:style w:type="character" w:styleId="57">
    <w:name w:val="HTML Sample"/>
    <w:autoRedefine/>
    <w:qFormat/>
    <w:uiPriority w:val="0"/>
    <w:rPr>
      <w:rFonts w:ascii="Consolas" w:hAnsi="Consolas" w:eastAsia="Consolas" w:cs="Consolas"/>
      <w:sz w:val="21"/>
      <w:szCs w:val="21"/>
    </w:rPr>
  </w:style>
  <w:style w:type="paragraph" w:customStyle="1" w:styleId="58">
    <w:name w:val="Default"/>
    <w:next w:val="59"/>
    <w:autoRedefine/>
    <w:qFormat/>
    <w:uiPriority w:val="0"/>
    <w:pPr>
      <w:widowControl w:val="0"/>
      <w:autoSpaceDE w:val="0"/>
      <w:autoSpaceDN w:val="0"/>
      <w:adjustRightInd w:val="0"/>
      <w:jc w:val="both"/>
    </w:pPr>
    <w:rPr>
      <w:rFonts w:ascii="仿宋_GB2312" w:hAnsi="Times New Roman" w:eastAsia="仿宋_GB2312" w:cs="仿宋_GB2312"/>
      <w:color w:val="000000"/>
      <w:sz w:val="24"/>
      <w:szCs w:val="24"/>
      <w:lang w:val="en-US" w:eastAsia="zh-CN" w:bidi="ar-SA"/>
    </w:rPr>
  </w:style>
  <w:style w:type="paragraph" w:customStyle="1" w:styleId="5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6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正文文本首行缩进 21"/>
    <w:basedOn w:val="13"/>
    <w:autoRedefine/>
    <w:qFormat/>
    <w:uiPriority w:val="99"/>
    <w:pPr>
      <w:spacing w:line="200" w:lineRule="atLeast"/>
      <w:ind w:firstLine="420"/>
    </w:pPr>
    <w:rPr>
      <w:rFonts w:ascii="宋体" w:hAnsi="Courier New"/>
      <w:spacing w:val="-4"/>
      <w:sz w:val="18"/>
    </w:rPr>
  </w:style>
  <w:style w:type="character" w:customStyle="1" w:styleId="62">
    <w:name w:val="标题 1 字符1"/>
    <w:link w:val="2"/>
    <w:autoRedefine/>
    <w:qFormat/>
    <w:uiPriority w:val="9"/>
    <w:rPr>
      <w:b/>
      <w:bCs/>
      <w:kern w:val="44"/>
      <w:sz w:val="44"/>
      <w:szCs w:val="44"/>
    </w:rPr>
  </w:style>
  <w:style w:type="character" w:customStyle="1" w:styleId="63">
    <w:name w:val="标题 3 字符"/>
    <w:link w:val="4"/>
    <w:autoRedefine/>
    <w:qFormat/>
    <w:uiPriority w:val="0"/>
    <w:rPr>
      <w:rFonts w:eastAsia="??"/>
      <w:b/>
      <w:sz w:val="32"/>
      <w:szCs w:val="28"/>
    </w:rPr>
  </w:style>
  <w:style w:type="character" w:customStyle="1" w:styleId="64">
    <w:name w:val="正文缩进 字符"/>
    <w:link w:val="12"/>
    <w:autoRedefine/>
    <w:qFormat/>
    <w:uiPriority w:val="0"/>
    <w:rPr>
      <w:rFonts w:eastAsia="??"/>
      <w:sz w:val="24"/>
      <w:szCs w:val="24"/>
      <w:lang w:val="en-US" w:eastAsia="zh-CN" w:bidi="ar-SA"/>
    </w:rPr>
  </w:style>
  <w:style w:type="character" w:customStyle="1" w:styleId="65">
    <w:name w:val="批注文字 字符"/>
    <w:link w:val="17"/>
    <w:autoRedefine/>
    <w:qFormat/>
    <w:uiPriority w:val="0"/>
    <w:rPr>
      <w:rFonts w:cs="Lucida Sans"/>
      <w:kern w:val="2"/>
      <w:sz w:val="21"/>
    </w:rPr>
  </w:style>
  <w:style w:type="character" w:customStyle="1" w:styleId="66">
    <w:name w:val="纯文本 字符"/>
    <w:link w:val="25"/>
    <w:autoRedefine/>
    <w:qFormat/>
    <w:uiPriority w:val="0"/>
    <w:rPr>
      <w:rFonts w:ascii="??" w:hAnsi="??" w:eastAsia="??" w:cs="宋体"/>
      <w:kern w:val="2"/>
      <w:sz w:val="21"/>
      <w:szCs w:val="21"/>
      <w:lang w:val="en-US" w:eastAsia="zh-CN" w:bidi="ar-SA"/>
    </w:rPr>
  </w:style>
  <w:style w:type="character" w:customStyle="1" w:styleId="67">
    <w:name w:val="页脚 字符"/>
    <w:link w:val="30"/>
    <w:autoRedefine/>
    <w:qFormat/>
    <w:uiPriority w:val="99"/>
    <w:rPr>
      <w:rFonts w:eastAsia="??"/>
      <w:kern w:val="2"/>
      <w:sz w:val="18"/>
      <w:szCs w:val="28"/>
    </w:rPr>
  </w:style>
  <w:style w:type="character" w:customStyle="1" w:styleId="68">
    <w:name w:val="批注主题 字符"/>
    <w:link w:val="43"/>
    <w:autoRedefine/>
    <w:qFormat/>
    <w:uiPriority w:val="0"/>
    <w:rPr>
      <w:rFonts w:cs="Lucida Sans"/>
      <w:b/>
      <w:bCs/>
      <w:kern w:val="2"/>
      <w:sz w:val="21"/>
      <w:szCs w:val="24"/>
    </w:rPr>
  </w:style>
  <w:style w:type="character" w:customStyle="1" w:styleId="69">
    <w:name w:val="NormalCharacter"/>
    <w:autoRedefine/>
    <w:semiHidden/>
    <w:qFormat/>
    <w:uiPriority w:val="0"/>
    <w:rPr>
      <w:kern w:val="2"/>
      <w:sz w:val="21"/>
      <w:szCs w:val="24"/>
      <w:lang w:val="en-US" w:eastAsia="zh-CN" w:bidi="ar-SA"/>
    </w:rPr>
  </w:style>
  <w:style w:type="paragraph" w:customStyle="1" w:styleId="70">
    <w:name w:val="BodyText1I"/>
    <w:basedOn w:val="71"/>
    <w:next w:val="72"/>
    <w:autoRedefine/>
    <w:qFormat/>
    <w:uiPriority w:val="0"/>
    <w:pPr>
      <w:spacing w:line="360" w:lineRule="auto"/>
      <w:ind w:firstLine="420"/>
    </w:pPr>
    <w:rPr>
      <w:rFonts w:ascii="宋体" w:hAnsi="Calibri"/>
      <w:szCs w:val="20"/>
      <w:lang w:val="zh-CN"/>
    </w:rPr>
  </w:style>
  <w:style w:type="paragraph" w:customStyle="1" w:styleId="71">
    <w:name w:val="BodyText"/>
    <w:basedOn w:val="1"/>
    <w:link w:val="73"/>
    <w:autoRedefine/>
    <w:qFormat/>
    <w:uiPriority w:val="0"/>
    <w:pPr>
      <w:spacing w:after="120"/>
      <w:textAlignment w:val="baseline"/>
    </w:pPr>
    <w:rPr>
      <w:sz w:val="28"/>
    </w:rPr>
  </w:style>
  <w:style w:type="paragraph" w:customStyle="1" w:styleId="72">
    <w:name w:val="TOC6"/>
    <w:basedOn w:val="1"/>
    <w:next w:val="1"/>
    <w:autoRedefine/>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73">
    <w:name w:val="UserStyle_0"/>
    <w:link w:val="71"/>
    <w:autoRedefine/>
    <w:semiHidden/>
    <w:qFormat/>
    <w:locked/>
    <w:uiPriority w:val="0"/>
    <w:rPr>
      <w:kern w:val="2"/>
      <w:sz w:val="28"/>
      <w:lang w:val="en-US" w:eastAsia="zh-CN" w:bidi="ar-SA"/>
    </w:rPr>
  </w:style>
  <w:style w:type="character" w:customStyle="1" w:styleId="74">
    <w:name w:val="Char Char2"/>
    <w:autoRedefine/>
    <w:qFormat/>
    <w:uiPriority w:val="0"/>
    <w:rPr>
      <w:rFonts w:eastAsia="宋体"/>
      <w:sz w:val="24"/>
      <w:szCs w:val="24"/>
      <w:lang w:val="en-US" w:eastAsia="zh-CN" w:bidi="ar-SA"/>
    </w:rPr>
  </w:style>
  <w:style w:type="character" w:customStyle="1" w:styleId="75">
    <w:name w:val="Char Char5"/>
    <w:autoRedefine/>
    <w:qFormat/>
    <w:uiPriority w:val="0"/>
    <w:rPr>
      <w:rFonts w:ascii="宋体" w:hAnsi="Courier New" w:eastAsia="宋体"/>
      <w:kern w:val="2"/>
      <w:sz w:val="21"/>
      <w:szCs w:val="21"/>
      <w:lang w:bidi="ar-SA"/>
    </w:rPr>
  </w:style>
  <w:style w:type="character" w:customStyle="1" w:styleId="76">
    <w:name w:val="ant-tree-icon_loading"/>
    <w:autoRedefine/>
    <w:qFormat/>
    <w:uiPriority w:val="0"/>
    <w:rPr>
      <w:shd w:val="clear" w:color="auto" w:fill="FFFFFF"/>
    </w:rPr>
  </w:style>
  <w:style w:type="character" w:customStyle="1" w:styleId="77">
    <w:name w:val="批注文字 Char1"/>
    <w:autoRedefine/>
    <w:qFormat/>
    <w:uiPriority w:val="0"/>
    <w:rPr>
      <w:kern w:val="2"/>
      <w:sz w:val="21"/>
      <w:szCs w:val="24"/>
    </w:rPr>
  </w:style>
  <w:style w:type="character" w:customStyle="1" w:styleId="78">
    <w:name w:val="正文非缩进 Char"/>
    <w:autoRedefine/>
    <w:qFormat/>
    <w:uiPriority w:val="0"/>
    <w:rPr>
      <w:rFonts w:ascii="??" w:eastAsia="??"/>
      <w:snapToGrid w:val="0"/>
      <w:color w:val="000000"/>
      <w:kern w:val="28"/>
      <w:sz w:val="28"/>
      <w:lang w:val="en-US" w:eastAsia="zh-CN" w:bidi="ar-SA"/>
    </w:rPr>
  </w:style>
  <w:style w:type="character" w:customStyle="1" w:styleId="79">
    <w:name w:val="font11"/>
    <w:basedOn w:val="47"/>
    <w:autoRedefine/>
    <w:qFormat/>
    <w:uiPriority w:val="0"/>
    <w:rPr>
      <w:rFonts w:hint="eastAsia" w:ascii="宋体" w:hAnsi="宋体" w:eastAsia="宋体" w:cs="宋体"/>
      <w:color w:val="000000"/>
      <w:sz w:val="20"/>
      <w:szCs w:val="20"/>
      <w:u w:val="none"/>
    </w:rPr>
  </w:style>
  <w:style w:type="character" w:customStyle="1" w:styleId="80">
    <w:name w:val="正文2 Char"/>
    <w:autoRedefine/>
    <w:qFormat/>
    <w:locked/>
    <w:uiPriority w:val="0"/>
    <w:rPr>
      <w:kern w:val="2"/>
      <w:sz w:val="24"/>
    </w:rPr>
  </w:style>
  <w:style w:type="character" w:customStyle="1" w:styleId="81">
    <w:name w:val="fonts11"/>
    <w:autoRedefine/>
    <w:qFormat/>
    <w:uiPriority w:val="0"/>
    <w:rPr>
      <w:sz w:val="18"/>
      <w:szCs w:val="18"/>
    </w:rPr>
  </w:style>
  <w:style w:type="character" w:customStyle="1" w:styleId="82">
    <w:name w:val="ant-select-tree-iconele"/>
    <w:autoRedefine/>
    <w:qFormat/>
    <w:uiPriority w:val="0"/>
  </w:style>
  <w:style w:type="character" w:customStyle="1" w:styleId="83">
    <w:name w:val="font01"/>
    <w:basedOn w:val="47"/>
    <w:autoRedefine/>
    <w:qFormat/>
    <w:uiPriority w:val="0"/>
    <w:rPr>
      <w:rFonts w:hint="default" w:ascii="Times New Roman" w:hAnsi="Times New Roman" w:cs="Times New Roman"/>
      <w:color w:val="000000"/>
      <w:sz w:val="20"/>
      <w:szCs w:val="20"/>
      <w:u w:val="none"/>
    </w:rPr>
  </w:style>
  <w:style w:type="character" w:customStyle="1" w:styleId="84">
    <w:name w:val="ant-radio+*1"/>
    <w:autoRedefine/>
    <w:qFormat/>
    <w:uiPriority w:val="0"/>
  </w:style>
  <w:style w:type="character" w:customStyle="1" w:styleId="85">
    <w:name w:val="ant-tree-checkbox2"/>
    <w:autoRedefine/>
    <w:qFormat/>
    <w:uiPriority w:val="0"/>
  </w:style>
  <w:style w:type="character" w:customStyle="1" w:styleId="86">
    <w:name w:val="ant-tree-switcher"/>
    <w:autoRedefine/>
    <w:qFormat/>
    <w:uiPriority w:val="0"/>
  </w:style>
  <w:style w:type="character" w:customStyle="1" w:styleId="87">
    <w:name w:val="ant-input14"/>
    <w:autoRedefine/>
    <w:qFormat/>
    <w:uiPriority w:val="0"/>
  </w:style>
  <w:style w:type="character" w:customStyle="1" w:styleId="88">
    <w:name w:val="ant-radio+*"/>
    <w:autoRedefine/>
    <w:qFormat/>
    <w:uiPriority w:val="0"/>
  </w:style>
  <w:style w:type="character" w:customStyle="1" w:styleId="89">
    <w:name w:val="纯文本 Char1"/>
    <w:autoRedefine/>
    <w:qFormat/>
    <w:uiPriority w:val="0"/>
    <w:rPr>
      <w:rFonts w:ascii="宋体" w:hAnsi="Courier New"/>
      <w:kern w:val="2"/>
      <w:sz w:val="21"/>
    </w:rPr>
  </w:style>
  <w:style w:type="character" w:customStyle="1" w:styleId="90">
    <w:name w:val="ant-tree-iconele"/>
    <w:autoRedefine/>
    <w:qFormat/>
    <w:uiPriority w:val="0"/>
  </w:style>
  <w:style w:type="character" w:customStyle="1" w:styleId="91">
    <w:name w:val="ant-select-tree-checkbox"/>
    <w:autoRedefine/>
    <w:qFormat/>
    <w:uiPriority w:val="0"/>
  </w:style>
  <w:style w:type="character" w:customStyle="1" w:styleId="92">
    <w:name w:val="ant-select-tree-switcher"/>
    <w:autoRedefine/>
    <w:qFormat/>
    <w:uiPriority w:val="0"/>
  </w:style>
  <w:style w:type="character" w:customStyle="1" w:styleId="93">
    <w:name w:val="ant-transfer-list-search-action"/>
    <w:autoRedefine/>
    <w:qFormat/>
    <w:uiPriority w:val="0"/>
  </w:style>
  <w:style w:type="character" w:customStyle="1" w:styleId="94">
    <w:name w:val="ant-select-tree-checkbox2"/>
    <w:autoRedefine/>
    <w:qFormat/>
    <w:uiPriority w:val="0"/>
  </w:style>
  <w:style w:type="character" w:customStyle="1" w:styleId="95">
    <w:name w:val="正文2 Char Char"/>
    <w:link w:val="96"/>
    <w:autoRedefine/>
    <w:qFormat/>
    <w:uiPriority w:val="0"/>
    <w:rPr>
      <w:rFonts w:eastAsia="??"/>
      <w:kern w:val="2"/>
      <w:sz w:val="24"/>
      <w:szCs w:val="28"/>
      <w:lang w:val="en-US" w:eastAsia="zh-CN" w:bidi="ar-SA"/>
    </w:rPr>
  </w:style>
  <w:style w:type="paragraph" w:customStyle="1" w:styleId="96">
    <w:name w:val="正文2"/>
    <w:basedOn w:val="1"/>
    <w:link w:val="95"/>
    <w:autoRedefine/>
    <w:qFormat/>
    <w:uiPriority w:val="0"/>
    <w:pPr>
      <w:spacing w:before="156" w:line="360" w:lineRule="auto"/>
      <w:ind w:firstLine="200" w:firstLineChars="200"/>
    </w:pPr>
    <w:rPr>
      <w:rFonts w:eastAsia="??"/>
      <w:sz w:val="24"/>
      <w:szCs w:val="28"/>
    </w:rPr>
  </w:style>
  <w:style w:type="character" w:customStyle="1" w:styleId="97">
    <w:name w:val="标题 1 字符"/>
    <w:autoRedefine/>
    <w:qFormat/>
    <w:uiPriority w:val="0"/>
    <w:rPr>
      <w:rFonts w:ascii="??" w:hAnsi="??" w:eastAsia="??" w:cs="宋体"/>
      <w:b/>
      <w:kern w:val="36"/>
      <w:sz w:val="32"/>
      <w:szCs w:val="28"/>
    </w:rPr>
  </w:style>
  <w:style w:type="paragraph" w:customStyle="1" w:styleId="98">
    <w:name w:val="[Normal]"/>
    <w:autoRedefine/>
    <w:qFormat/>
    <w:uiPriority w:val="0"/>
    <w:pPr>
      <w:jc w:val="both"/>
    </w:pPr>
    <w:rPr>
      <w:rFonts w:ascii="宋体" w:hAnsi="宋体" w:eastAsia="宋体" w:cs="Times New Roman"/>
      <w:sz w:val="24"/>
      <w:szCs w:val="22"/>
      <w:lang w:val="zh-CN" w:eastAsia="zh-CN" w:bidi="ar-SA"/>
    </w:rPr>
  </w:style>
  <w:style w:type="paragraph" w:customStyle="1" w:styleId="99">
    <w:name w:val="样式 正文文本"/>
    <w:basedOn w:val="1"/>
    <w:autoRedefine/>
    <w:qFormat/>
    <w:uiPriority w:val="0"/>
    <w:pPr>
      <w:adjustRightInd w:val="0"/>
      <w:snapToGrid w:val="0"/>
      <w:spacing w:line="400" w:lineRule="exact"/>
      <w:ind w:firstLine="200" w:firstLineChars="200"/>
    </w:pPr>
    <w:rPr>
      <w:rFonts w:ascii="Arial" w:hAnsi="Arial"/>
      <w:color w:val="000000"/>
      <w:szCs w:val="20"/>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列出段落11"/>
    <w:basedOn w:val="1"/>
    <w:autoRedefine/>
    <w:qFormat/>
    <w:uiPriority w:val="0"/>
    <w:pPr>
      <w:snapToGrid w:val="0"/>
      <w:spacing w:line="276" w:lineRule="auto"/>
      <w:ind w:firstLine="420" w:firstLineChars="200"/>
    </w:pPr>
    <w:rPr>
      <w:rFonts w:ascii="Calibri" w:hAnsi="Calibri" w:eastAsia="微软雅黑"/>
      <w:sz w:val="24"/>
      <w:szCs w:val="21"/>
    </w:rPr>
  </w:style>
  <w:style w:type="paragraph" w:customStyle="1" w:styleId="102">
    <w:name w:val="无间隔1"/>
    <w:autoRedefine/>
    <w:qFormat/>
    <w:uiPriority w:val="1"/>
    <w:pPr>
      <w:widowControl w:val="0"/>
      <w:spacing w:line="360" w:lineRule="auto"/>
      <w:jc w:val="both"/>
    </w:pPr>
    <w:rPr>
      <w:rFonts w:ascii="Times New Roman" w:hAnsi="Times New Roman" w:eastAsia="宋体" w:cs="黑体"/>
      <w:kern w:val="2"/>
      <w:sz w:val="28"/>
      <w:szCs w:val="22"/>
      <w:lang w:val="en-US" w:eastAsia="zh-CN" w:bidi="ar-SA"/>
    </w:rPr>
  </w:style>
  <w:style w:type="paragraph" w:customStyle="1" w:styleId="103">
    <w:name w:val="首行缩进"/>
    <w:basedOn w:val="1"/>
    <w:next w:val="1"/>
    <w:autoRedefine/>
    <w:qFormat/>
    <w:uiPriority w:val="0"/>
    <w:pPr>
      <w:adjustRightInd w:val="0"/>
      <w:spacing w:line="360" w:lineRule="auto"/>
      <w:ind w:firstLine="480" w:firstLineChars="200"/>
    </w:pPr>
    <w:rPr>
      <w:rFonts w:ascii="宋体"/>
      <w:sz w:val="24"/>
    </w:rPr>
  </w:style>
  <w:style w:type="paragraph" w:customStyle="1" w:styleId="104">
    <w:name w:val="样式1"/>
    <w:basedOn w:val="2"/>
    <w:autoRedefine/>
    <w:qFormat/>
    <w:uiPriority w:val="0"/>
    <w:pPr>
      <w:numPr>
        <w:ilvl w:val="0"/>
        <w:numId w:val="2"/>
      </w:numPr>
    </w:pPr>
    <w:rPr>
      <w:kern w:val="0"/>
    </w:rPr>
  </w:style>
  <w:style w:type="paragraph" w:customStyle="1" w:styleId="105">
    <w:name w:val="_Style 99"/>
    <w:basedOn w:val="2"/>
    <w:next w:val="1"/>
    <w:autoRedefine/>
    <w:qFormat/>
    <w:uiPriority w:val="0"/>
    <w:pPr>
      <w:keepLines/>
      <w:spacing w:before="480" w:line="276" w:lineRule="auto"/>
      <w:jc w:val="left"/>
      <w:outlineLvl w:val="9"/>
    </w:pPr>
    <w:rPr>
      <w:rFonts w:ascii="Cambria" w:hAnsi="Cambria"/>
      <w:bCs w:val="0"/>
      <w:color w:val="365F91"/>
      <w:kern w:val="0"/>
      <w:sz w:val="28"/>
    </w:rPr>
  </w:style>
  <w:style w:type="paragraph" w:customStyle="1" w:styleId="106">
    <w:name w:val="_Style 40"/>
    <w:basedOn w:val="1"/>
    <w:autoRedefine/>
    <w:qFormat/>
    <w:uiPriority w:val="0"/>
    <w:rPr>
      <w:rFonts w:eastAsia="??"/>
      <w:szCs w:val="28"/>
    </w:rPr>
  </w:style>
  <w:style w:type="paragraph" w:customStyle="1" w:styleId="107">
    <w:name w:val="正文内"/>
    <w:basedOn w:val="1"/>
    <w:autoRedefine/>
    <w:qFormat/>
    <w:uiPriority w:val="0"/>
    <w:pPr>
      <w:spacing w:line="400" w:lineRule="exact"/>
      <w:ind w:firstLine="200" w:firstLineChars="200"/>
    </w:pPr>
    <w:rPr>
      <w:rFonts w:ascii="??" w:hAnsi="??" w:eastAsia="??" w:cs="宋体"/>
      <w:szCs w:val="28"/>
    </w:rPr>
  </w:style>
  <w:style w:type="paragraph" w:customStyle="1" w:styleId="108">
    <w:name w:val="Char Char21"/>
    <w:basedOn w:val="1"/>
    <w:autoRedefine/>
    <w:qFormat/>
    <w:uiPriority w:val="0"/>
    <w:rPr>
      <w:rFonts w:ascii="Tahoma" w:hAnsi="Tahoma" w:eastAsia="??" w:cs="Tahoma"/>
      <w:sz w:val="24"/>
      <w:szCs w:val="28"/>
    </w:rPr>
  </w:style>
  <w:style w:type="paragraph" w:customStyle="1" w:styleId="109">
    <w:name w:val="列表段落1"/>
    <w:basedOn w:val="1"/>
    <w:autoRedefine/>
    <w:qFormat/>
    <w:uiPriority w:val="34"/>
    <w:pPr>
      <w:adjustRightInd w:val="0"/>
      <w:snapToGrid w:val="0"/>
      <w:spacing w:line="360" w:lineRule="auto"/>
      <w:ind w:firstLine="200" w:firstLineChars="200"/>
    </w:pPr>
    <w:rPr>
      <w:rFonts w:eastAsia="楷体_GB2312"/>
      <w:sz w:val="24"/>
    </w:rPr>
  </w:style>
  <w:style w:type="paragraph" w:customStyle="1" w:styleId="110">
    <w:name w:val="CM13"/>
    <w:basedOn w:val="58"/>
    <w:next w:val="58"/>
    <w:autoRedefine/>
    <w:unhideWhenUsed/>
    <w:qFormat/>
    <w:uiPriority w:val="99"/>
    <w:pPr>
      <w:spacing w:line="520" w:lineRule="atLeast"/>
    </w:pPr>
    <w:rPr>
      <w:rFonts w:hint="eastAsia"/>
    </w:rPr>
  </w:style>
  <w:style w:type="paragraph" w:customStyle="1" w:styleId="111">
    <w:name w:val="列出段落1"/>
    <w:basedOn w:val="1"/>
    <w:autoRedefine/>
    <w:qFormat/>
    <w:uiPriority w:val="34"/>
    <w:pPr>
      <w:snapToGrid w:val="0"/>
      <w:spacing w:line="276" w:lineRule="auto"/>
      <w:ind w:firstLine="420" w:firstLineChars="200"/>
    </w:pPr>
    <w:rPr>
      <w:rFonts w:ascii="Calibri" w:hAnsi="Calibri" w:eastAsia="微软雅黑"/>
      <w:sz w:val="24"/>
      <w:szCs w:val="21"/>
    </w:rPr>
  </w:style>
  <w:style w:type="paragraph" w:customStyle="1" w:styleId="112">
    <w:name w:val="列出段落2"/>
    <w:basedOn w:val="1"/>
    <w:autoRedefine/>
    <w:qFormat/>
    <w:uiPriority w:val="34"/>
    <w:pPr>
      <w:ind w:firstLine="420" w:firstLineChars="200"/>
    </w:pPr>
    <w:rPr>
      <w:rFonts w:ascii="Calibri" w:hAnsi="Calibri"/>
      <w:szCs w:val="22"/>
    </w:rPr>
  </w:style>
  <w:style w:type="paragraph" w:customStyle="1" w:styleId="113">
    <w:name w:val="xl31"/>
    <w:basedOn w:val="1"/>
    <w:autoRedefine/>
    <w:qFormat/>
    <w:uiPriority w:val="0"/>
    <w:pPr>
      <w:pBdr>
        <w:bottom w:val="single" w:color="auto" w:sz="4" w:space="0"/>
      </w:pBdr>
      <w:spacing w:before="100" w:beforeAutospacing="1" w:after="100" w:afterAutospacing="1"/>
      <w:jc w:val="center"/>
    </w:pPr>
    <w:rPr>
      <w:rFonts w:ascii="??" w:hAnsi="??" w:eastAsia="??" w:cs="宋体"/>
      <w:kern w:val="0"/>
      <w:sz w:val="24"/>
    </w:rPr>
  </w:style>
  <w:style w:type="paragraph" w:customStyle="1" w:styleId="114">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 w:type="paragraph" w:customStyle="1" w:styleId="115">
    <w:name w:val="Char1"/>
    <w:basedOn w:val="1"/>
    <w:autoRedefine/>
    <w:qFormat/>
    <w:uiPriority w:val="0"/>
    <w:rPr>
      <w:rFonts w:ascii="??_GB2312" w:hAnsi="??_GB2312" w:eastAsia="??_GB2312" w:cs="宋体"/>
      <w:b/>
      <w:sz w:val="32"/>
      <w:szCs w:val="32"/>
    </w:rPr>
  </w:style>
  <w:style w:type="paragraph" w:customStyle="1" w:styleId="116">
    <w:name w:val="列出段落3"/>
    <w:basedOn w:val="1"/>
    <w:autoRedefine/>
    <w:qFormat/>
    <w:uiPriority w:val="99"/>
    <w:pPr>
      <w:snapToGrid w:val="0"/>
      <w:spacing w:line="276" w:lineRule="auto"/>
      <w:ind w:firstLine="420" w:firstLineChars="200"/>
    </w:pPr>
    <w:rPr>
      <w:rFonts w:ascii="Calibri" w:hAnsi="Calibri" w:eastAsia="微软雅黑"/>
      <w:sz w:val="24"/>
      <w:szCs w:val="21"/>
    </w:rPr>
  </w:style>
  <w:style w:type="paragraph" w:customStyle="1" w:styleId="117">
    <w:name w:val="CM11"/>
    <w:basedOn w:val="58"/>
    <w:next w:val="58"/>
    <w:autoRedefine/>
    <w:unhideWhenUsed/>
    <w:qFormat/>
    <w:uiPriority w:val="99"/>
    <w:pPr>
      <w:spacing w:line="520" w:lineRule="atLeast"/>
    </w:pPr>
    <w:rPr>
      <w:rFonts w:hint="eastAsia"/>
    </w:rPr>
  </w:style>
  <w:style w:type="paragraph" w:customStyle="1" w:styleId="118">
    <w:name w:val="正文缩进1"/>
    <w:basedOn w:val="1"/>
    <w:autoRedefine/>
    <w:qFormat/>
    <w:uiPriority w:val="0"/>
    <w:pPr>
      <w:ind w:firstLine="420" w:firstLineChars="200"/>
    </w:pPr>
  </w:style>
  <w:style w:type="paragraph" w:customStyle="1" w:styleId="1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20">
    <w:name w:val="Heading1"/>
    <w:basedOn w:val="1"/>
    <w:next w:val="1"/>
    <w:autoRedefine/>
    <w:qFormat/>
    <w:uiPriority w:val="0"/>
    <w:pPr>
      <w:keepNext/>
      <w:spacing w:line="360" w:lineRule="auto"/>
      <w:jc w:val="center"/>
      <w:textAlignment w:val="baseline"/>
    </w:pPr>
    <w:rPr>
      <w:rFonts w:ascii="??" w:hAnsi="??" w:eastAsia="??"/>
      <w:b/>
      <w:kern w:val="36"/>
      <w:sz w:val="32"/>
      <w:szCs w:val="28"/>
    </w:rPr>
  </w:style>
  <w:style w:type="paragraph" w:customStyle="1" w:styleId="121">
    <w:name w:val="自由格式"/>
    <w:autoRedefine/>
    <w:qFormat/>
    <w:uiPriority w:val="0"/>
    <w:pPr>
      <w:jc w:val="both"/>
    </w:pPr>
    <w:rPr>
      <w:rFonts w:ascii="Cambria" w:hAnsi="Cambria" w:eastAsia="ヒラギノ角ゴ Pro W3" w:cs="Times New Roman"/>
      <w:color w:val="000000"/>
      <w:sz w:val="24"/>
      <w:lang w:val="en-US" w:eastAsia="zh-CN" w:bidi="ar-SA"/>
    </w:rPr>
  </w:style>
  <w:style w:type="paragraph" w:customStyle="1" w:styleId="122">
    <w:name w:val="Char Char1"/>
    <w:basedOn w:val="1"/>
    <w:autoRedefine/>
    <w:qFormat/>
    <w:uiPriority w:val="0"/>
    <w:rPr>
      <w:rFonts w:ascii="仿宋_GB2312" w:eastAsia="仿宋_GB2312"/>
      <w:b/>
      <w:sz w:val="32"/>
      <w:szCs w:val="32"/>
    </w:rPr>
  </w:style>
  <w:style w:type="paragraph" w:customStyle="1" w:styleId="123">
    <w:name w:val="正文 A"/>
    <w:autoRedefine/>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24">
    <w:name w:val="No Spacing1"/>
    <w:autoRedefine/>
    <w:qFormat/>
    <w:uiPriority w:val="0"/>
    <w:pPr>
      <w:jc w:val="both"/>
    </w:pPr>
    <w:rPr>
      <w:rFonts w:ascii="Times New Roman" w:hAnsi="Times New Roman" w:eastAsia="??" w:cs="宋体"/>
      <w:sz w:val="22"/>
      <w:szCs w:val="22"/>
      <w:lang w:val="en-US" w:eastAsia="en-US" w:bidi="ar-SA"/>
    </w:rPr>
  </w:style>
  <w:style w:type="paragraph" w:customStyle="1" w:styleId="125">
    <w:name w:val="公文正文"/>
    <w:basedOn w:val="1"/>
    <w:autoRedefine/>
    <w:qFormat/>
    <w:uiPriority w:val="0"/>
    <w:pPr>
      <w:spacing w:before="156" w:line="360" w:lineRule="auto"/>
      <w:ind w:firstLine="200" w:firstLineChars="200"/>
    </w:pPr>
    <w:rPr>
      <w:rFonts w:ascii="??_GB2312" w:hAnsi="??_GB2312" w:eastAsia="??_GB2312" w:cs="宋体"/>
      <w:sz w:val="24"/>
    </w:rPr>
  </w:style>
  <w:style w:type="paragraph" w:customStyle="1" w:styleId="126">
    <w:name w:val="Char Char Char Char"/>
    <w:basedOn w:val="1"/>
    <w:autoRedefine/>
    <w:qFormat/>
    <w:uiPriority w:val="0"/>
    <w:pPr>
      <w:spacing w:after="160" w:line="240" w:lineRule="exact"/>
      <w:jc w:val="left"/>
    </w:pPr>
    <w:rPr>
      <w:rFonts w:ascii="Arial" w:hAnsi="Arial" w:eastAsia="Times New Roman" w:cs="Verdana"/>
      <w:b/>
      <w:kern w:val="0"/>
      <w:sz w:val="24"/>
      <w:szCs w:val="28"/>
      <w:lang w:eastAsia="en-US"/>
    </w:rPr>
  </w:style>
  <w:style w:type="paragraph" w:customStyle="1" w:styleId="127">
    <w:name w:val="标题4"/>
    <w:basedOn w:val="1"/>
    <w:autoRedefine/>
    <w:qFormat/>
    <w:uiPriority w:val="0"/>
    <w:rPr>
      <w:rFonts w:eastAsia="??_GB2312"/>
      <w:sz w:val="32"/>
      <w:szCs w:val="28"/>
    </w:rPr>
  </w:style>
  <w:style w:type="paragraph" w:customStyle="1" w:styleId="128">
    <w:name w:val="列出段落4"/>
    <w:basedOn w:val="1"/>
    <w:autoRedefine/>
    <w:qFormat/>
    <w:uiPriority w:val="34"/>
    <w:pPr>
      <w:ind w:firstLine="200" w:firstLineChars="200"/>
      <w:jc w:val="left"/>
    </w:pPr>
    <w:rPr>
      <w:rFonts w:ascii="??" w:hAnsi="??" w:eastAsia="??" w:cs="??"/>
      <w:kern w:val="0"/>
      <w:sz w:val="24"/>
    </w:rPr>
  </w:style>
  <w:style w:type="paragraph" w:customStyle="1" w:styleId="129">
    <w:name w:val="List Paragraph1"/>
    <w:autoRedefine/>
    <w:qFormat/>
    <w:uiPriority w:val="0"/>
    <w:pPr>
      <w:ind w:left="720"/>
      <w:jc w:val="both"/>
    </w:pPr>
    <w:rPr>
      <w:rFonts w:ascii="Cambria" w:hAnsi="Cambria" w:eastAsia="ヒラギノ角ゴ Pro W3" w:cs="Times New Roman"/>
      <w:color w:val="000000"/>
      <w:sz w:val="24"/>
      <w:lang w:val="en-US" w:eastAsia="zh-CN" w:bidi="ar-SA"/>
    </w:rPr>
  </w:style>
  <w:style w:type="paragraph" w:customStyle="1" w:styleId="130">
    <w:name w:val="无间距1"/>
    <w:autoRedefine/>
    <w:qFormat/>
    <w:uiPriority w:val="0"/>
    <w:pPr>
      <w:jc w:val="both"/>
    </w:pPr>
    <w:rPr>
      <w:rFonts w:ascii="Times New Roman" w:hAnsi="Times New Roman" w:eastAsia="??" w:cs="宋体"/>
      <w:sz w:val="22"/>
      <w:szCs w:val="22"/>
      <w:lang w:val="en-US" w:eastAsia="en-US" w:bidi="ar-SA"/>
    </w:rPr>
  </w:style>
  <w:style w:type="paragraph" w:customStyle="1" w:styleId="131">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32">
    <w:name w:val="Table Grid1"/>
    <w:autoRedefine/>
    <w:qFormat/>
    <w:uiPriority w:val="0"/>
    <w:pPr>
      <w:jc w:val="both"/>
    </w:pPr>
    <w:rPr>
      <w:rFonts w:ascii="Cambria" w:hAnsi="Cambria" w:eastAsia="ヒラギノ角ゴ Pro W3" w:cs="Times New Roman"/>
      <w:color w:val="000000"/>
      <w:sz w:val="24"/>
      <w:lang w:val="en-US" w:eastAsia="zh-CN" w:bidi="ar-SA"/>
    </w:rPr>
  </w:style>
  <w:style w:type="paragraph" w:customStyle="1" w:styleId="133">
    <w:name w:val="正文 2"/>
    <w:autoRedefine/>
    <w:qFormat/>
    <w:uiPriority w:val="0"/>
    <w:pPr>
      <w:pBdr>
        <w:top w:val="none" w:color="FFFFFF" w:sz="0" w:space="31"/>
        <w:left w:val="none" w:color="FFFFFF" w:sz="0" w:space="31"/>
        <w:bottom w:val="none" w:color="FFFFFF" w:sz="0" w:space="31"/>
        <w:right w:val="none" w:color="FFFFFF" w:sz="0" w:space="31"/>
      </w:pBdr>
      <w:spacing w:after="80" w:line="288" w:lineRule="auto"/>
      <w:jc w:val="both"/>
    </w:pPr>
    <w:rPr>
      <w:rFonts w:ascii="Baskerville" w:hAnsi="Arial Unicode MS" w:eastAsia="Times New Roman" w:cs="Arial Unicode MS"/>
      <w:color w:val="434343"/>
      <w:sz w:val="24"/>
      <w:szCs w:val="24"/>
      <w:lang w:val="en-US" w:eastAsia="zh-CN" w:bidi="ar-SA"/>
    </w:rPr>
  </w:style>
  <w:style w:type="paragraph" w:customStyle="1" w:styleId="134">
    <w:name w:val="179"/>
    <w:basedOn w:val="1"/>
    <w:autoRedefine/>
    <w:qFormat/>
    <w:uiPriority w:val="0"/>
    <w:pPr>
      <w:ind w:firstLine="200" w:firstLineChars="200"/>
      <w:jc w:val="left"/>
      <w:textAlignment w:val="baseline"/>
    </w:pPr>
    <w:rPr>
      <w:rFonts w:ascii="??" w:hAnsi="??" w:eastAsia="??"/>
      <w:kern w:val="0"/>
      <w:sz w:val="24"/>
    </w:rPr>
  </w:style>
  <w:style w:type="paragraph" w:customStyle="1" w:styleId="135">
    <w:name w:val="无间隔11"/>
    <w:next w:val="1"/>
    <w:autoRedefine/>
    <w:qFormat/>
    <w:uiPriority w:val="0"/>
    <w:pPr>
      <w:jc w:val="both"/>
    </w:pPr>
    <w:rPr>
      <w:rFonts w:ascii="Times New Roman" w:hAnsi="Times New Roman" w:eastAsia="??" w:cs="Times New Roman"/>
      <w:sz w:val="22"/>
      <w:szCs w:val="22"/>
      <w:lang w:val="en-US" w:eastAsia="en-US" w:bidi="ar-SA"/>
    </w:rPr>
  </w:style>
  <w:style w:type="paragraph" w:customStyle="1" w:styleId="136">
    <w:name w:val="2"/>
    <w:basedOn w:val="1"/>
    <w:autoRedefine/>
    <w:qFormat/>
    <w:uiPriority w:val="0"/>
    <w:rPr>
      <w:rFonts w:ascii="Tahoma" w:hAnsi="Tahoma" w:eastAsia="??" w:cs="Tahoma"/>
      <w:sz w:val="24"/>
      <w:szCs w:val="28"/>
    </w:rPr>
  </w:style>
  <w:style w:type="paragraph" w:customStyle="1" w:styleId="137">
    <w:name w:val="CM14"/>
    <w:basedOn w:val="58"/>
    <w:next w:val="58"/>
    <w:autoRedefine/>
    <w:unhideWhenUsed/>
    <w:qFormat/>
    <w:uiPriority w:val="99"/>
    <w:pPr>
      <w:spacing w:line="546" w:lineRule="atLeast"/>
    </w:pPr>
    <w:rPr>
      <w:rFonts w:hint="eastAsia"/>
    </w:rPr>
  </w:style>
  <w:style w:type="paragraph" w:customStyle="1" w:styleId="138">
    <w:name w:val="_Style 135"/>
    <w:autoRedefine/>
    <w:unhideWhenUsed/>
    <w:qFormat/>
    <w:uiPriority w:val="99"/>
    <w:pPr>
      <w:jc w:val="both"/>
    </w:pPr>
    <w:rPr>
      <w:rFonts w:ascii="Times New Roman" w:hAnsi="Times New Roman" w:eastAsia="宋体" w:cs="Times New Roman"/>
      <w:kern w:val="2"/>
      <w:sz w:val="21"/>
      <w:szCs w:val="24"/>
      <w:lang w:val="en-US" w:eastAsia="zh-CN" w:bidi="ar-SA"/>
    </w:rPr>
  </w:style>
  <w:style w:type="paragraph" w:customStyle="1" w:styleId="139">
    <w:name w:val="部分1"/>
    <w:basedOn w:val="1"/>
    <w:autoRedefine/>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40">
    <w:name w:val="Char"/>
    <w:basedOn w:val="1"/>
    <w:autoRedefine/>
    <w:qFormat/>
    <w:uiPriority w:val="0"/>
    <w:rPr>
      <w:rFonts w:eastAsia="??_GB2312"/>
      <w:sz w:val="28"/>
    </w:rPr>
  </w:style>
  <w:style w:type="paragraph" w:customStyle="1" w:styleId="141">
    <w:name w:val="正文段"/>
    <w:basedOn w:val="1"/>
    <w:autoRedefine/>
    <w:qFormat/>
    <w:uiPriority w:val="0"/>
    <w:pPr>
      <w:snapToGrid w:val="0"/>
      <w:spacing w:after="156" w:afterLines="50"/>
      <w:ind w:firstLine="200" w:firstLineChars="200"/>
    </w:pPr>
    <w:rPr>
      <w:rFonts w:eastAsia="??"/>
      <w:kern w:val="0"/>
      <w:sz w:val="24"/>
      <w:szCs w:val="28"/>
    </w:rPr>
  </w:style>
  <w:style w:type="paragraph" w:customStyle="1" w:styleId="142">
    <w:name w:val="内文正文"/>
    <w:autoRedefine/>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43">
    <w:name w:val="默认段落字体 Para Char Char Char Char Char Char Char Char Char1 Char Char Char Char"/>
    <w:basedOn w:val="1"/>
    <w:autoRedefine/>
    <w:qFormat/>
    <w:uiPriority w:val="0"/>
    <w:rPr>
      <w:rFonts w:ascii="Tahoma" w:hAnsi="Tahoma"/>
      <w:sz w:val="24"/>
      <w:szCs w:val="20"/>
    </w:rPr>
  </w:style>
  <w:style w:type="paragraph" w:customStyle="1" w:styleId="144">
    <w:name w:val="aspnumfaautoadjustrightr"/>
    <w:autoRedefine/>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145">
    <w:name w:val="Heading2"/>
    <w:basedOn w:val="120"/>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146">
    <w:name w:val="_Style 3"/>
    <w:autoRedefine/>
    <w:qFormat/>
    <w:uiPriority w:val="1"/>
    <w:pPr>
      <w:adjustRightInd w:val="0"/>
      <w:snapToGrid w:val="0"/>
      <w:jc w:val="both"/>
    </w:pPr>
    <w:rPr>
      <w:rFonts w:ascii="Tahoma" w:hAnsi="Tahoma" w:eastAsia="微软雅黑" w:cs="Times New Roman"/>
      <w:sz w:val="22"/>
      <w:szCs w:val="22"/>
      <w:lang w:val="en-US" w:eastAsia="zh-CN" w:bidi="ar-SA"/>
    </w:rPr>
  </w:style>
  <w:style w:type="paragraph" w:customStyle="1" w:styleId="147">
    <w:name w:val="[正文行首缩进]"/>
    <w:autoRedefine/>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48">
    <w:name w:val="_正文段落"/>
    <w:basedOn w:val="1"/>
    <w:autoRedefine/>
    <w:qFormat/>
    <w:uiPriority w:val="0"/>
    <w:pPr>
      <w:spacing w:beforeLines="15" w:afterLines="15"/>
    </w:pPr>
    <w:rPr>
      <w:kern w:val="0"/>
      <w:sz w:val="20"/>
    </w:rPr>
  </w:style>
  <w:style w:type="paragraph" w:customStyle="1" w:styleId="149">
    <w:name w:val="Char Char Char Char Char Char Char Char Char Char Char Char Char Char Char Char Char Char Char Char Char Char Char Char Char"/>
    <w:basedOn w:val="1"/>
    <w:autoRedefine/>
    <w:qFormat/>
    <w:uiPriority w:val="0"/>
    <w:rPr>
      <w:rFonts w:ascii="Tahoma" w:hAnsi="Tahoma" w:eastAsia="??" w:cs="Tahoma"/>
      <w:sz w:val="24"/>
      <w:szCs w:val="28"/>
    </w:rPr>
  </w:style>
  <w:style w:type="paragraph" w:customStyle="1" w:styleId="150">
    <w:name w:val="自定义表格文字"/>
    <w:basedOn w:val="1"/>
    <w:autoRedefine/>
    <w:qFormat/>
    <w:uiPriority w:val="0"/>
    <w:pPr>
      <w:spacing w:before="60" w:after="60" w:line="320" w:lineRule="exact"/>
      <w:jc w:val="left"/>
    </w:pPr>
    <w:rPr>
      <w:rFonts w:ascii="宋体" w:eastAsia="楷体_GB2312"/>
    </w:rPr>
  </w:style>
  <w:style w:type="paragraph" w:customStyle="1" w:styleId="151">
    <w:name w:val="列表段落2"/>
    <w:basedOn w:val="1"/>
    <w:autoRedefine/>
    <w:qFormat/>
    <w:uiPriority w:val="34"/>
    <w:pPr>
      <w:ind w:firstLine="420" w:firstLineChars="200"/>
    </w:pPr>
  </w:style>
  <w:style w:type="paragraph" w:customStyle="1" w:styleId="152">
    <w:name w:val="Heading #1|1"/>
    <w:basedOn w:val="1"/>
    <w:autoRedefine/>
    <w:qFormat/>
    <w:uiPriority w:val="0"/>
    <w:pPr>
      <w:widowControl w:val="0"/>
      <w:spacing w:before="280" w:after="480"/>
      <w:jc w:val="center"/>
      <w:outlineLvl w:val="0"/>
    </w:pPr>
    <w:rPr>
      <w:rFonts w:ascii="宋体" w:hAnsi="宋体" w:cs="宋体"/>
      <w:sz w:val="30"/>
      <w:szCs w:val="30"/>
      <w:lang w:val="zh-TW" w:eastAsia="zh-TW" w:bidi="zh-TW"/>
    </w:rPr>
  </w:style>
  <w:style w:type="paragraph" w:customStyle="1" w:styleId="153">
    <w:name w:val="Body text|1"/>
    <w:basedOn w:val="1"/>
    <w:autoRedefine/>
    <w:qFormat/>
    <w:uiPriority w:val="0"/>
    <w:pPr>
      <w:widowControl w:val="0"/>
      <w:spacing w:line="312" w:lineRule="auto"/>
      <w:ind w:firstLine="400"/>
    </w:pPr>
    <w:rPr>
      <w:rFonts w:ascii="宋体" w:hAnsi="宋体" w:cs="宋体"/>
      <w:sz w:val="20"/>
      <w:szCs w:val="20"/>
      <w:lang w:val="zh-TW" w:eastAsia="zh-TW" w:bidi="zh-TW"/>
    </w:rPr>
  </w:style>
  <w:style w:type="paragraph" w:customStyle="1" w:styleId="154">
    <w:name w:val="Other|1"/>
    <w:basedOn w:val="1"/>
    <w:autoRedefine/>
    <w:qFormat/>
    <w:uiPriority w:val="0"/>
    <w:pPr>
      <w:widowControl w:val="0"/>
      <w:spacing w:line="312" w:lineRule="auto"/>
      <w:ind w:firstLine="400"/>
    </w:pPr>
    <w:rPr>
      <w:rFonts w:ascii="宋体" w:hAnsi="宋体" w:cs="宋体"/>
      <w:sz w:val="20"/>
      <w:szCs w:val="20"/>
      <w:lang w:val="zh-TW" w:eastAsia="zh-TW" w:bidi="zh-TW"/>
    </w:rPr>
  </w:style>
  <w:style w:type="paragraph" w:customStyle="1" w:styleId="155">
    <w:name w:val="绿盟科技--正文首行缩进"/>
    <w:basedOn w:val="1"/>
    <w:autoRedefine/>
    <w:qFormat/>
    <w:uiPriority w:val="0"/>
    <w:pPr>
      <w:spacing w:after="50" w:line="300" w:lineRule="auto"/>
      <w:ind w:firstLine="200" w:firstLineChars="200"/>
      <w:jc w:val="left"/>
    </w:pPr>
    <w:rPr>
      <w:rFonts w:ascii="Arial" w:hAnsi="Arial"/>
      <w:kern w:val="0"/>
      <w:szCs w:val="21"/>
    </w:rPr>
  </w:style>
  <w:style w:type="paragraph" w:customStyle="1" w:styleId="156">
    <w:name w:val="表格正文"/>
    <w:next w:val="1"/>
    <w:autoRedefine/>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table" w:customStyle="1" w:styleId="157">
    <w:name w:val="Table Normal"/>
    <w:autoRedefine/>
    <w:unhideWhenUsed/>
    <w:qFormat/>
    <w:uiPriority w:val="0"/>
    <w:tblPr>
      <w:tblCellMar>
        <w:top w:w="0" w:type="dxa"/>
        <w:left w:w="0" w:type="dxa"/>
        <w:bottom w:w="0" w:type="dxa"/>
        <w:right w:w="0" w:type="dxa"/>
      </w:tblCellMar>
    </w:tblPr>
  </w:style>
  <w:style w:type="character" w:customStyle="1" w:styleId="158">
    <w:name w:val="font51"/>
    <w:autoRedefine/>
    <w:qFormat/>
    <w:uiPriority w:val="0"/>
    <w:rPr>
      <w:rFonts w:hint="eastAsia" w:ascii="仿宋" w:hAnsi="仿宋" w:eastAsia="仿宋" w:cs="仿宋"/>
      <w:color w:val="000000"/>
      <w:sz w:val="20"/>
      <w:szCs w:val="20"/>
      <w:u w:val="none"/>
    </w:rPr>
  </w:style>
  <w:style w:type="character" w:customStyle="1" w:styleId="159">
    <w:name w:val="font21"/>
    <w:basedOn w:val="47"/>
    <w:autoRedefine/>
    <w:qFormat/>
    <w:uiPriority w:val="0"/>
    <w:rPr>
      <w:rFonts w:hint="eastAsia" w:ascii="宋体" w:hAnsi="宋体" w:eastAsia="宋体" w:cs="宋体"/>
      <w:b/>
      <w:bCs/>
      <w:color w:val="666666"/>
      <w:sz w:val="20"/>
      <w:szCs w:val="20"/>
      <w:u w:val="none"/>
    </w:rPr>
  </w:style>
  <w:style w:type="paragraph" w:customStyle="1" w:styleId="160">
    <w:name w:val="样式10"/>
    <w:basedOn w:val="1"/>
    <w:autoRedefine/>
    <w:qFormat/>
    <w:uiPriority w:val="0"/>
    <w:pPr>
      <w:spacing w:line="360" w:lineRule="auto"/>
    </w:pPr>
    <w:rPr>
      <w:b/>
      <w:sz w:val="24"/>
    </w:rPr>
  </w:style>
  <w:style w:type="character" w:customStyle="1" w:styleId="161">
    <w:name w:val="font31"/>
    <w:basedOn w:val="47"/>
    <w:autoRedefine/>
    <w:qFormat/>
    <w:uiPriority w:val="0"/>
    <w:rPr>
      <w:rFonts w:hint="eastAsia" w:ascii="宋体" w:hAnsi="宋体" w:eastAsia="宋体" w:cs="宋体"/>
      <w:color w:val="000000"/>
      <w:sz w:val="21"/>
      <w:szCs w:val="21"/>
      <w:u w:val="none"/>
    </w:rPr>
  </w:style>
  <w:style w:type="paragraph" w:customStyle="1" w:styleId="16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_Style 1"/>
    <w:autoRedefine/>
    <w:qFormat/>
    <w:uiPriority w:val="0"/>
    <w:rPr>
      <w:rFonts w:ascii="Calibri" w:hAnsi="Calibri" w:eastAsia="宋体" w:cs="Times New Roman"/>
      <w:kern w:val="2"/>
      <w:sz w:val="28"/>
      <w:szCs w:val="22"/>
      <w:lang w:val="en-US" w:eastAsia="zh-CN" w:bidi="ar-SA"/>
    </w:rPr>
  </w:style>
  <w:style w:type="paragraph" w:styleId="164">
    <w:name w:val="List Paragraph"/>
    <w:basedOn w:val="1"/>
    <w:autoRedefine/>
    <w:qFormat/>
    <w:uiPriority w:val="0"/>
    <w:pPr>
      <w:ind w:left="720" w:firstLine="360"/>
      <w:contextualSpacing/>
      <w:jc w:val="left"/>
    </w:pPr>
    <w:rPr>
      <w:rFonts w:ascii="Calibri" w:hAnsi="Calibri"/>
      <w:kern w:val="0"/>
      <w:sz w:val="22"/>
      <w:szCs w:val="22"/>
      <w:lang w:eastAsia="en-US" w:bidi="en-US"/>
    </w:rPr>
  </w:style>
  <w:style w:type="paragraph" w:customStyle="1" w:styleId="165">
    <w:name w:val="Normal (Web)1"/>
    <w:basedOn w:val="1"/>
    <w:autoRedefine/>
    <w:qFormat/>
    <w:uiPriority w:val="0"/>
    <w:pPr>
      <w:spacing w:before="100" w:beforeAutospacing="1" w:after="100" w:afterAutospacing="1"/>
      <w:jc w:val="left"/>
    </w:pPr>
    <w:rPr>
      <w:rFonts w:ascii="宋体" w:hAnsi="宋体" w:cs="宋体"/>
      <w:kern w:val="0"/>
      <w:sz w:val="24"/>
    </w:rPr>
  </w:style>
  <w:style w:type="paragraph" w:customStyle="1" w:styleId="166">
    <w:name w:val="DAS正文"/>
    <w:basedOn w:val="1"/>
    <w:autoRedefine/>
    <w:qFormat/>
    <w:uiPriority w:val="0"/>
    <w:pPr>
      <w:spacing w:line="360" w:lineRule="auto"/>
      <w:ind w:right="181" w:firstLine="480" w:firstLineChars="200"/>
    </w:pPr>
    <w:rPr>
      <w:rFonts w:ascii="Verdana" w:hAnsi="Verdana"/>
      <w:sz w:val="24"/>
    </w:rPr>
  </w:style>
  <w:style w:type="paragraph" w:customStyle="1" w:styleId="16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修订3"/>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37323</Words>
  <Characters>39555</Characters>
  <Lines>306</Lines>
  <Paragraphs>86</Paragraphs>
  <TotalTime>1</TotalTime>
  <ScaleCrop>false</ScaleCrop>
  <LinksUpToDate>false</LinksUpToDate>
  <CharactersWithSpaces>41324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2024-05-13T00:58:00Z</dcterms:created>
  <dc:creator>111</dc:creator>
  <cp:lastModifiedBy>豪圣</cp:lastModifiedBy>
  <cp:lastPrinted>2022-05-17T01:07:00Z</cp:lastPrinted>
  <dcterms:modified xsi:type="dcterms:W3CDTF">2024-05-31T12:30:57Z</dcterms:modified>
  <dc:title>《杭州市乡村旅游提升规划（2013-2020年）》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91E0B55DA2D846269D5C4720248EA660_13</vt:lpwstr>
  </property>
  <property fmtid="{D5CDD505-2E9C-101B-9397-08002B2CF9AE}" pid="4" name="commondata">
    <vt:lpwstr>eyJoZGlkIjoiYmRkMmU1ZGZjNDhmOGFkNzE5Yzk3NDc2NGU4MGNjMjUifQ==</vt:lpwstr>
  </property>
</Properties>
</file>