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auto"/>
          <w:sz w:val="72"/>
          <w:highlight w:val="none"/>
        </w:rPr>
      </w:pPr>
    </w:p>
    <w:p>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pPr>
        <w:adjustRightInd w:val="0"/>
        <w:snapToGrid w:val="0"/>
        <w:rPr>
          <w:rFonts w:ascii="宋体" w:hAnsi="宋体"/>
          <w:b/>
          <w:bCs/>
          <w:color w:val="auto"/>
          <w:sz w:val="32"/>
          <w:szCs w:val="32"/>
          <w:highlight w:val="none"/>
        </w:rPr>
      </w:pPr>
    </w:p>
    <w:p>
      <w:pPr>
        <w:adjustRightInd w:val="0"/>
        <w:snapToGrid w:val="0"/>
        <w:spacing w:line="360" w:lineRule="auto"/>
        <w:ind w:left="1955" w:hanging="1955" w:hangingChars="541"/>
        <w:jc w:val="center"/>
        <w:rPr>
          <w:rFonts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pPr>
        <w:pStyle w:val="88"/>
        <w:ind w:firstLine="480"/>
        <w:rPr>
          <w:color w:val="auto"/>
          <w:highlight w:val="none"/>
        </w:rPr>
      </w:pPr>
    </w:p>
    <w:p>
      <w:pPr>
        <w:adjustRightInd w:val="0"/>
        <w:snapToGrid w:val="0"/>
        <w:rPr>
          <w:rFonts w:ascii="黑体" w:hAnsi="黑体" w:eastAsia="黑体"/>
          <w:b/>
          <w:bCs/>
          <w:color w:val="auto"/>
          <w:sz w:val="28"/>
          <w:szCs w:val="28"/>
          <w:highlight w:val="none"/>
        </w:rPr>
      </w:pPr>
    </w:p>
    <w:p>
      <w:pPr>
        <w:adjustRightInd w:val="0"/>
        <w:snapToGrid w:val="0"/>
        <w:spacing w:line="840" w:lineRule="exact"/>
        <w:ind w:firstLine="562" w:firstLineChars="200"/>
        <w:rPr>
          <w:rFonts w:ascii="宋体" w:hAnsi="宋体"/>
          <w:b/>
          <w:bCs/>
          <w:color w:val="auto"/>
          <w:spacing w:val="-11"/>
          <w:sz w:val="28"/>
          <w:szCs w:val="28"/>
          <w:highlight w:val="none"/>
        </w:rPr>
      </w:pPr>
      <w:r>
        <w:rPr>
          <w:rFonts w:hint="eastAsia" w:ascii="宋体" w:hAnsi="宋体"/>
          <w:b/>
          <w:bCs/>
          <w:color w:val="auto"/>
          <w:sz w:val="28"/>
          <w:szCs w:val="28"/>
          <w:highlight w:val="none"/>
        </w:rPr>
        <w:t>项目名称：临海市建设工程消防验收技术服务项目</w:t>
      </w:r>
      <w:r>
        <w:rPr>
          <w:rFonts w:hint="eastAsia" w:ascii="宋体" w:hAnsi="宋体"/>
          <w:b/>
          <w:bCs/>
          <w:color w:val="auto"/>
          <w:spacing w:val="-11"/>
          <w:sz w:val="28"/>
          <w:szCs w:val="28"/>
          <w:highlight w:val="none"/>
        </w:rPr>
        <w:t xml:space="preserve"> </w:t>
      </w:r>
    </w:p>
    <w:p>
      <w:pPr>
        <w:adjustRightInd w:val="0"/>
        <w:snapToGrid w:val="0"/>
        <w:spacing w:line="840" w:lineRule="exact"/>
        <w:ind w:left="1519" w:leftChars="268" w:hanging="956" w:hangingChars="340"/>
        <w:rPr>
          <w:rFonts w:ascii="宋体" w:hAnsi="宋体" w:cs="Arial"/>
          <w:bCs/>
          <w:color w:val="auto"/>
          <w:sz w:val="28"/>
          <w:szCs w:val="28"/>
          <w:highlight w:val="none"/>
        </w:rPr>
      </w:pPr>
      <w:r>
        <w:rPr>
          <w:rFonts w:hint="eastAsia" w:ascii="宋体" w:hAnsi="宋体"/>
          <w:b/>
          <w:bCs/>
          <w:color w:val="auto"/>
          <w:sz w:val="28"/>
          <w:szCs w:val="28"/>
          <w:highlight w:val="none"/>
        </w:rPr>
        <w:t>项目编号：</w:t>
      </w:r>
      <w:r>
        <w:rPr>
          <w:rFonts w:hint="eastAsia" w:ascii="宋体" w:hAnsi="宋体"/>
          <w:b/>
          <w:color w:val="auto"/>
          <w:sz w:val="28"/>
          <w:highlight w:val="none"/>
        </w:rPr>
        <w:t>ZJYX[2024]02号</w:t>
      </w:r>
    </w:p>
    <w:p>
      <w:pPr>
        <w:spacing w:line="840" w:lineRule="exact"/>
        <w:rPr>
          <w:rFonts w:ascii="宋体" w:hAnsi="宋体"/>
          <w:color w:val="auto"/>
          <w:sz w:val="24"/>
          <w:highlight w:val="none"/>
        </w:rPr>
      </w:pPr>
    </w:p>
    <w:p>
      <w:pPr>
        <w:pStyle w:val="4"/>
        <w:rPr>
          <w:color w:val="auto"/>
          <w:highlight w:val="none"/>
        </w:rPr>
      </w:pPr>
    </w:p>
    <w:p>
      <w:pPr>
        <w:adjustRightInd w:val="0"/>
        <w:snapToGrid w:val="0"/>
        <w:spacing w:line="8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采购单位：</w:t>
      </w:r>
      <w:r>
        <w:rPr>
          <w:rFonts w:hint="eastAsia" w:ascii="宋体" w:hAnsi="宋体"/>
          <w:b/>
          <w:color w:val="auto"/>
          <w:sz w:val="28"/>
          <w:highlight w:val="none"/>
        </w:rPr>
        <w:t>临海市建筑工程事务中心（盖章）</w:t>
      </w:r>
      <w:r>
        <w:rPr>
          <w:rFonts w:hint="eastAsia" w:ascii="宋体" w:hAnsi="宋体"/>
          <w:b/>
          <w:bCs/>
          <w:color w:val="auto"/>
          <w:sz w:val="28"/>
          <w:szCs w:val="28"/>
          <w:highlight w:val="none"/>
        </w:rPr>
        <w:t xml:space="preserve"> </w:t>
      </w:r>
    </w:p>
    <w:p>
      <w:pPr>
        <w:adjustRightInd w:val="0"/>
        <w:snapToGrid w:val="0"/>
        <w:spacing w:line="8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代理机构：</w:t>
      </w:r>
      <w:r>
        <w:rPr>
          <w:rFonts w:hint="eastAsia" w:ascii="宋体" w:hAnsi="宋体"/>
          <w:b/>
          <w:color w:val="auto"/>
          <w:sz w:val="28"/>
          <w:highlight w:val="none"/>
        </w:rPr>
        <w:t>浙江耀信工程咨询有限公司（盖章）</w:t>
      </w:r>
    </w:p>
    <w:p>
      <w:pPr>
        <w:spacing w:line="500" w:lineRule="atLeast"/>
        <w:jc w:val="center"/>
        <w:rPr>
          <w:rFonts w:ascii="宋体" w:hAnsi="宋体"/>
          <w:b/>
          <w:bCs/>
          <w:color w:val="auto"/>
          <w:sz w:val="30"/>
          <w:highlight w:val="none"/>
        </w:rPr>
      </w:pPr>
    </w:p>
    <w:p>
      <w:pPr>
        <w:spacing w:line="500" w:lineRule="atLeast"/>
        <w:jc w:val="center"/>
        <w:rPr>
          <w:rFonts w:ascii="宋体" w:hAnsi="宋体"/>
          <w:b/>
          <w:bCs/>
          <w:color w:val="auto"/>
          <w:sz w:val="30"/>
          <w:highlight w:val="none"/>
        </w:rPr>
      </w:pPr>
    </w:p>
    <w:p>
      <w:pPr>
        <w:pStyle w:val="87"/>
        <w:rPr>
          <w:b/>
          <w:bCs/>
          <w:color w:val="auto"/>
          <w:sz w:val="30"/>
          <w:highlight w:val="none"/>
        </w:rPr>
      </w:pPr>
    </w:p>
    <w:p>
      <w:pPr>
        <w:pStyle w:val="87"/>
        <w:rPr>
          <w:b/>
          <w:bCs/>
          <w:color w:val="auto"/>
          <w:sz w:val="30"/>
          <w:highlight w:val="none"/>
        </w:rPr>
      </w:pPr>
    </w:p>
    <w:p>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rPr>
        <w:t>二〇二四年</w:t>
      </w: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 xml:space="preserve">月 </w:t>
      </w:r>
    </w:p>
    <w:p>
      <w:pPr>
        <w:pStyle w:val="29"/>
        <w:spacing w:beforeLines="0" w:afterLines="0" w:line="480" w:lineRule="exact"/>
        <w:rPr>
          <w:color w:val="auto"/>
          <w:sz w:val="28"/>
          <w:szCs w:val="28"/>
          <w:highlight w:val="none"/>
        </w:rPr>
      </w:pPr>
    </w:p>
    <w:p>
      <w:pPr>
        <w:pStyle w:val="29"/>
        <w:spacing w:beforeLines="0" w:afterLines="0" w:line="480" w:lineRule="exact"/>
        <w:rPr>
          <w:color w:val="auto"/>
          <w:sz w:val="28"/>
          <w:szCs w:val="28"/>
          <w:highlight w:val="none"/>
        </w:rPr>
        <w:sectPr>
          <w:headerReference r:id="rId3" w:type="default"/>
          <w:pgSz w:w="11906" w:h="16838"/>
          <w:pgMar w:top="1134" w:right="1361" w:bottom="1134" w:left="1361" w:header="567" w:footer="454" w:gutter="0"/>
          <w:pgNumType w:start="1"/>
          <w:cols w:space="720" w:num="1"/>
          <w:docGrid w:linePitch="286" w:charSpace="0"/>
        </w:sectPr>
      </w:pPr>
    </w:p>
    <w:p>
      <w:pPr>
        <w:pStyle w:val="30"/>
        <w:ind w:left="5250"/>
        <w:rPr>
          <w:color w:val="auto"/>
          <w:highlight w:val="none"/>
        </w:rPr>
      </w:pPr>
    </w:p>
    <w:p>
      <w:pPr>
        <w:pStyle w:val="29"/>
        <w:spacing w:beforeLines="0" w:afterLines="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p>
      <w:pPr>
        <w:pStyle w:val="36"/>
        <w:tabs>
          <w:tab w:val="right" w:leader="dot" w:pos="9184"/>
        </w:tabs>
        <w:spacing w:line="640" w:lineRule="exact"/>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TOC \o "1-3" \h \z \u</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"_Toc31388" </w:instrText>
      </w:r>
      <w:r>
        <w:rPr>
          <w:color w:val="auto"/>
          <w:highlight w:val="none"/>
        </w:rPr>
        <w:fldChar w:fldCharType="separate"/>
      </w:r>
      <w:r>
        <w:rPr>
          <w:rFonts w:hint="eastAsia"/>
          <w:color w:val="auto"/>
          <w:sz w:val="28"/>
          <w:szCs w:val="28"/>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_Toc31388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36"/>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"_Toc28774" </w:instrText>
      </w:r>
      <w:r>
        <w:rPr>
          <w:color w:val="auto"/>
          <w:highlight w:val="none"/>
        </w:rPr>
        <w:fldChar w:fldCharType="separate"/>
      </w:r>
      <w:r>
        <w:rPr>
          <w:rFonts w:hint="eastAsia" w:ascii="宋体" w:hAnsi="Courier New"/>
          <w:color w:val="auto"/>
          <w:kern w:val="0"/>
          <w:sz w:val="28"/>
          <w:szCs w:val="28"/>
          <w:highlight w:val="none"/>
        </w:rPr>
        <w:t>第二章  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_Toc28774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36"/>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"_Toc16021" </w:instrText>
      </w:r>
      <w:r>
        <w:rPr>
          <w:color w:val="auto"/>
          <w:highlight w:val="none"/>
        </w:rPr>
        <w:fldChar w:fldCharType="separate"/>
      </w:r>
      <w:r>
        <w:rPr>
          <w:rFonts w:hint="eastAsia" w:ascii="宋体" w:hAnsi="宋体"/>
          <w:color w:val="auto"/>
          <w:sz w:val="28"/>
          <w:szCs w:val="28"/>
          <w:highlight w:val="none"/>
        </w:rPr>
        <w:t>第三章  投标人须知</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ascii="宋体" w:hAnsi="宋体"/>
          <w:color w:val="auto"/>
          <w:sz w:val="28"/>
          <w:szCs w:val="28"/>
          <w:highlight w:val="none"/>
        </w:rPr>
        <w:t>1</w:t>
      </w:r>
    </w:p>
    <w:p>
      <w:pPr>
        <w:pStyle w:val="36"/>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"_Toc10701" </w:instrText>
      </w:r>
      <w:r>
        <w:rPr>
          <w:color w:val="auto"/>
          <w:highlight w:val="none"/>
        </w:rPr>
        <w:fldChar w:fldCharType="separate"/>
      </w:r>
      <w:r>
        <w:rPr>
          <w:rFonts w:hint="eastAsia" w:ascii="宋体" w:hAnsi="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36"/>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"_Toc31110" </w:instrText>
      </w:r>
      <w:r>
        <w:rPr>
          <w:color w:val="auto"/>
          <w:highlight w:val="none"/>
        </w:rPr>
        <w:fldChar w:fldCharType="separate"/>
      </w:r>
      <w:r>
        <w:rPr>
          <w:rFonts w:hint="eastAsia" w:hAnsi="宋体"/>
          <w:color w:val="auto"/>
          <w:sz w:val="28"/>
          <w:szCs w:val="28"/>
          <w:highlight w:val="none"/>
        </w:rPr>
        <w:t>第五章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_Toc31110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pStyle w:val="36"/>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"_Toc24104" </w:instrText>
      </w:r>
      <w:r>
        <w:rPr>
          <w:color w:val="auto"/>
          <w:highlight w:val="none"/>
        </w:rPr>
        <w:fldChar w:fldCharType="separate"/>
      </w:r>
      <w:r>
        <w:rPr>
          <w:rFonts w:hint="eastAsia"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_Toc24104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pPr>
        <w:pStyle w:val="42"/>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"_Toc23823" </w:instrText>
      </w:r>
      <w:r>
        <w:rPr>
          <w:color w:val="auto"/>
          <w:highlight w:val="none"/>
        </w:rPr>
        <w:fldChar w:fldCharType="separate"/>
      </w:r>
      <w:r>
        <w:rPr>
          <w:rFonts w:hint="eastAsia" w:ascii="宋体" w:hAnsi="宋体"/>
          <w:bCs/>
          <w:color w:val="auto"/>
          <w:sz w:val="28"/>
          <w:szCs w:val="28"/>
          <w:highlight w:val="none"/>
        </w:rPr>
        <w:t>一、资格响应文件格式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_Toc23823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pPr>
        <w:pStyle w:val="42"/>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"_Toc8551" </w:instrText>
      </w:r>
      <w:r>
        <w:rPr>
          <w:color w:val="auto"/>
          <w:highlight w:val="none"/>
        </w:rPr>
        <w:fldChar w:fldCharType="separate"/>
      </w:r>
      <w:r>
        <w:rPr>
          <w:rFonts w:hint="eastAsia" w:ascii="宋体" w:hAnsi="宋体"/>
          <w:bCs/>
          <w:color w:val="auto"/>
          <w:sz w:val="28"/>
          <w:szCs w:val="28"/>
          <w:highlight w:val="none"/>
        </w:rPr>
        <w:t>二、商务技术文件格式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_Toc8551 \h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42"/>
        <w:tabs>
          <w:tab w:val="right" w:leader="dot" w:pos="9184"/>
        </w:tabs>
        <w:spacing w:line="640" w:lineRule="exact"/>
        <w:rPr>
          <w:color w:val="auto"/>
          <w:sz w:val="28"/>
          <w:szCs w:val="28"/>
          <w:highlight w:val="none"/>
        </w:rPr>
      </w:pPr>
      <w:r>
        <w:rPr>
          <w:color w:val="auto"/>
          <w:highlight w:val="none"/>
        </w:rPr>
        <w:fldChar w:fldCharType="begin"/>
      </w:r>
      <w:r>
        <w:rPr>
          <w:color w:val="auto"/>
          <w:highlight w:val="none"/>
        </w:rPr>
        <w:instrText xml:space="preserve"> HYPERLINK \l "_Toc31460" </w:instrText>
      </w:r>
      <w:r>
        <w:rPr>
          <w:color w:val="auto"/>
          <w:highlight w:val="none"/>
        </w:rPr>
        <w:fldChar w:fldCharType="separate"/>
      </w:r>
      <w:r>
        <w:rPr>
          <w:rFonts w:hint="eastAsia" w:ascii="宋体" w:hAnsi="宋体"/>
          <w:color w:val="auto"/>
          <w:sz w:val="28"/>
          <w:szCs w:val="28"/>
          <w:highlight w:val="none"/>
        </w:rPr>
        <w:t>三、报价文件格式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_Toc31460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pPr>
        <w:pStyle w:val="36"/>
        <w:spacing w:line="640" w:lineRule="exact"/>
        <w:rPr>
          <w:rFonts w:ascii="宋体" w:hAnsi="宋体"/>
          <w:b/>
          <w:color w:val="auto"/>
          <w:sz w:val="28"/>
          <w:szCs w:val="28"/>
          <w:highlight w:val="none"/>
        </w:rPr>
      </w:pPr>
      <w:r>
        <w:rPr>
          <w:rFonts w:ascii="宋体" w:hAnsi="宋体"/>
          <w:color w:val="auto"/>
          <w:sz w:val="28"/>
          <w:szCs w:val="28"/>
          <w:highlight w:val="none"/>
        </w:rPr>
        <w:fldChar w:fldCharType="end"/>
      </w: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color w:val="auto"/>
          <w:highlight w:val="none"/>
        </w:rPr>
      </w:pPr>
    </w:p>
    <w:p>
      <w:pPr>
        <w:pStyle w:val="29"/>
        <w:snapToGrid w:val="0"/>
        <w:spacing w:beforeLines="0" w:afterLines="0" w:line="240" w:lineRule="auto"/>
        <w:jc w:val="center"/>
        <w:outlineLvl w:val="0"/>
        <w:rPr>
          <w:b/>
          <w:color w:val="auto"/>
          <w:sz w:val="30"/>
          <w:szCs w:val="30"/>
          <w:highlight w:val="none"/>
        </w:rPr>
        <w:sectPr>
          <w:headerReference r:id="rId4" w:type="default"/>
          <w:pgSz w:w="11906" w:h="16838"/>
          <w:pgMar w:top="1134" w:right="1361" w:bottom="1134" w:left="1361" w:header="567" w:footer="454" w:gutter="0"/>
          <w:pgNumType w:start="1"/>
          <w:cols w:space="720" w:num="1"/>
          <w:docGrid w:linePitch="286" w:charSpace="0"/>
        </w:sectPr>
      </w:pPr>
      <w:bookmarkStart w:id="0" w:name="_Toc466534747"/>
    </w:p>
    <w:p>
      <w:pPr>
        <w:pStyle w:val="29"/>
        <w:snapToGrid w:val="0"/>
        <w:spacing w:beforeLines="0" w:afterLines="0" w:line="240" w:lineRule="auto"/>
        <w:jc w:val="center"/>
        <w:outlineLvl w:val="0"/>
        <w:rPr>
          <w:rFonts w:ascii="黑体" w:hAnsi="宋体" w:eastAsia="黑体"/>
          <w:b/>
          <w:color w:val="auto"/>
          <w:sz w:val="30"/>
          <w:szCs w:val="30"/>
          <w:highlight w:val="none"/>
        </w:rPr>
      </w:pPr>
      <w:bookmarkStart w:id="1" w:name="_Toc31388"/>
      <w:r>
        <w:rPr>
          <w:rFonts w:hint="eastAsia"/>
          <w:b/>
          <w:color w:val="auto"/>
          <w:sz w:val="30"/>
          <w:szCs w:val="30"/>
          <w:highlight w:val="none"/>
        </w:rPr>
        <w:t>第一章  投标邀请</w:t>
      </w:r>
      <w:bookmarkEnd w:id="0"/>
      <w:bookmarkEnd w:id="1"/>
    </w:p>
    <w:p>
      <w:pPr>
        <w:spacing w:line="420" w:lineRule="exact"/>
        <w:ind w:firstLine="420" w:firstLineChars="200"/>
        <w:rPr>
          <w:rFonts w:ascii="宋体" w:hAnsi="宋体" w:cs="Arial"/>
          <w:color w:val="auto"/>
          <w:szCs w:val="21"/>
          <w:highlight w:val="none"/>
        </w:rPr>
      </w:pPr>
      <w:r>
        <w:rPr>
          <w:rFonts w:ascii="Arial" w:hAnsi="Arial" w:cs="Arial"/>
          <w:color w:val="auto"/>
          <w:szCs w:val="21"/>
          <w:highlight w:val="none"/>
        </w:rPr>
        <w:t>根据《中华人民共和国政府采购法》</w:t>
      </w:r>
      <w:r>
        <w:rPr>
          <w:rFonts w:hint="eastAsia" w:ascii="Arial" w:hAnsi="Arial" w:cs="Arial"/>
          <w:color w:val="auto"/>
          <w:szCs w:val="21"/>
          <w:highlight w:val="none"/>
        </w:rPr>
        <w:t>、《中华人民共和国政府采购法实施条例》、</w:t>
      </w:r>
      <w:r>
        <w:rPr>
          <w:rFonts w:ascii="Arial" w:hAnsi="Arial" w:cs="Arial"/>
          <w:color w:val="auto"/>
          <w:kern w:val="0"/>
          <w:szCs w:val="21"/>
          <w:highlight w:val="none"/>
        </w:rPr>
        <w:t>《政府采购货物与服务招标投标管理办法</w:t>
      </w:r>
      <w:r>
        <w:rPr>
          <w:rFonts w:ascii="宋体" w:hAnsi="宋体" w:cs="Arial"/>
          <w:color w:val="auto"/>
          <w:kern w:val="0"/>
          <w:szCs w:val="21"/>
          <w:highlight w:val="none"/>
        </w:rPr>
        <w:t>》</w:t>
      </w:r>
      <w:r>
        <w:rPr>
          <w:rFonts w:ascii="宋体" w:hAnsi="宋体" w:cs="Arial"/>
          <w:color w:val="auto"/>
          <w:szCs w:val="21"/>
          <w:highlight w:val="none"/>
        </w:rPr>
        <w:t>等规定，经</w:t>
      </w:r>
      <w:r>
        <w:rPr>
          <w:rFonts w:ascii="宋体" w:hAnsi="宋体" w:cs="Arial"/>
          <w:b/>
          <w:color w:val="auto"/>
          <w:szCs w:val="21"/>
          <w:highlight w:val="none"/>
        </w:rPr>
        <w:t>临海市</w:t>
      </w:r>
      <w:r>
        <w:rPr>
          <w:rFonts w:hint="eastAsia" w:ascii="宋体" w:hAnsi="宋体" w:cs="Arial"/>
          <w:b/>
          <w:color w:val="auto"/>
          <w:szCs w:val="21"/>
          <w:highlight w:val="none"/>
        </w:rPr>
        <w:t>财政局</w:t>
      </w:r>
      <w:r>
        <w:rPr>
          <w:rFonts w:ascii="宋体" w:hAnsi="宋体" w:cs="Arial"/>
          <w:color w:val="auto"/>
          <w:szCs w:val="21"/>
          <w:highlight w:val="none"/>
        </w:rPr>
        <w:t>批准，受</w:t>
      </w:r>
      <w:r>
        <w:rPr>
          <w:rFonts w:hint="eastAsia"/>
          <w:color w:val="auto"/>
          <w:szCs w:val="21"/>
          <w:highlight w:val="none"/>
        </w:rPr>
        <w:t>临海市建筑工程事务中心</w:t>
      </w:r>
      <w:r>
        <w:rPr>
          <w:rFonts w:hint="eastAsia" w:ascii="宋体" w:hAnsi="宋体" w:cs="Arial"/>
          <w:color w:val="auto"/>
          <w:szCs w:val="21"/>
          <w:highlight w:val="none"/>
        </w:rPr>
        <w:t>委</w:t>
      </w:r>
      <w:r>
        <w:rPr>
          <w:rFonts w:ascii="宋体" w:hAnsi="宋体" w:cs="Arial"/>
          <w:color w:val="auto"/>
          <w:szCs w:val="21"/>
          <w:highlight w:val="none"/>
        </w:rPr>
        <w:t>托，</w:t>
      </w:r>
      <w:r>
        <w:rPr>
          <w:rFonts w:hint="eastAsia" w:ascii="宋体" w:hAnsi="宋体" w:cs="Arial"/>
          <w:color w:val="auto"/>
          <w:szCs w:val="21"/>
          <w:highlight w:val="none"/>
        </w:rPr>
        <w:t>现</w:t>
      </w:r>
      <w:r>
        <w:rPr>
          <w:rFonts w:ascii="宋体" w:hAnsi="宋体" w:cs="Arial"/>
          <w:color w:val="auto"/>
          <w:szCs w:val="21"/>
          <w:highlight w:val="none"/>
        </w:rPr>
        <w:t>就</w:t>
      </w:r>
      <w:r>
        <w:rPr>
          <w:rFonts w:hint="eastAsia"/>
          <w:color w:val="auto"/>
          <w:szCs w:val="21"/>
          <w:highlight w:val="none"/>
        </w:rPr>
        <w:t>临海市建设工程消防验收技术服务项目</w:t>
      </w:r>
      <w:r>
        <w:rPr>
          <w:rFonts w:hint="eastAsia" w:ascii="宋体" w:hAnsi="宋体"/>
          <w:color w:val="auto"/>
          <w:szCs w:val="21"/>
          <w:highlight w:val="none"/>
        </w:rPr>
        <w:t>进行</w:t>
      </w:r>
      <w:r>
        <w:rPr>
          <w:rFonts w:ascii="宋体" w:hAnsi="宋体" w:cs="Arial"/>
          <w:color w:val="auto"/>
          <w:szCs w:val="21"/>
          <w:highlight w:val="none"/>
        </w:rPr>
        <w:t>公开招标，</w:t>
      </w:r>
      <w:r>
        <w:rPr>
          <w:rFonts w:ascii="宋体" w:hAnsi="宋体" w:cs="Arial"/>
          <w:color w:val="auto"/>
          <w:kern w:val="0"/>
          <w:szCs w:val="21"/>
          <w:highlight w:val="none"/>
        </w:rPr>
        <w:t>欢迎</w:t>
      </w:r>
      <w:r>
        <w:rPr>
          <w:rFonts w:hint="eastAsia" w:ascii="宋体" w:hAnsi="宋体" w:cs="Arial"/>
          <w:color w:val="auto"/>
          <w:kern w:val="0"/>
          <w:szCs w:val="21"/>
          <w:highlight w:val="none"/>
        </w:rPr>
        <w:t>具备本项目投标人的资格要求且能够及时</w:t>
      </w:r>
      <w:r>
        <w:rPr>
          <w:rFonts w:ascii="宋体" w:hAnsi="宋体" w:cs="Arial"/>
          <w:color w:val="auto"/>
          <w:kern w:val="0"/>
          <w:szCs w:val="21"/>
          <w:highlight w:val="none"/>
        </w:rPr>
        <w:t>提供</w:t>
      </w:r>
      <w:r>
        <w:rPr>
          <w:rFonts w:hint="eastAsia" w:ascii="宋体" w:hAnsi="宋体" w:cs="Arial"/>
          <w:color w:val="auto"/>
          <w:kern w:val="0"/>
          <w:szCs w:val="21"/>
          <w:highlight w:val="none"/>
        </w:rPr>
        <w:t>相关货物及服务的投标人前来</w:t>
      </w:r>
      <w:r>
        <w:rPr>
          <w:rFonts w:ascii="宋体" w:hAnsi="宋体" w:cs="Arial"/>
          <w:color w:val="auto"/>
          <w:kern w:val="0"/>
          <w:szCs w:val="21"/>
          <w:highlight w:val="none"/>
        </w:rPr>
        <w:t>投标。</w:t>
      </w:r>
    </w:p>
    <w:p>
      <w:pPr>
        <w:pStyle w:val="45"/>
        <w:spacing w:before="0" w:beforeAutospacing="0" w:after="0" w:afterAutospacing="0" w:line="420" w:lineRule="exact"/>
        <w:rPr>
          <w:rFonts w:cs="Arial"/>
          <w:color w:val="auto"/>
          <w:sz w:val="21"/>
          <w:szCs w:val="21"/>
          <w:highlight w:val="none"/>
        </w:rPr>
      </w:pPr>
      <w:r>
        <w:rPr>
          <w:rFonts w:cs="Arial"/>
          <w:b/>
          <w:bCs/>
          <w:color w:val="auto"/>
          <w:sz w:val="21"/>
          <w:szCs w:val="21"/>
          <w:highlight w:val="none"/>
        </w:rPr>
        <w:t>1</w:t>
      </w:r>
      <w:r>
        <w:rPr>
          <w:rFonts w:cs="Arial"/>
          <w:color w:val="auto"/>
          <w:sz w:val="21"/>
          <w:szCs w:val="21"/>
          <w:highlight w:val="none"/>
        </w:rPr>
        <w:t>.</w:t>
      </w:r>
      <w:r>
        <w:rPr>
          <w:rFonts w:cs="Arial"/>
          <w:b/>
          <w:bCs/>
          <w:color w:val="auto"/>
          <w:sz w:val="21"/>
          <w:szCs w:val="21"/>
          <w:highlight w:val="none"/>
        </w:rPr>
        <w:t>项目概况</w:t>
      </w:r>
    </w:p>
    <w:p>
      <w:pPr>
        <w:pStyle w:val="45"/>
        <w:spacing w:before="0" w:beforeAutospacing="0" w:after="0" w:afterAutospacing="0" w:line="420" w:lineRule="exact"/>
        <w:ind w:firstLine="420" w:firstLineChars="200"/>
        <w:rPr>
          <w:color w:val="auto"/>
          <w:sz w:val="21"/>
          <w:szCs w:val="21"/>
          <w:highlight w:val="none"/>
        </w:rPr>
      </w:pPr>
      <w:r>
        <w:rPr>
          <w:color w:val="auto"/>
          <w:sz w:val="21"/>
          <w:szCs w:val="21"/>
          <w:highlight w:val="none"/>
        </w:rPr>
        <w:t>项目名称：</w:t>
      </w:r>
      <w:r>
        <w:rPr>
          <w:rFonts w:hint="eastAsia"/>
          <w:color w:val="auto"/>
          <w:sz w:val="21"/>
          <w:szCs w:val="21"/>
          <w:highlight w:val="none"/>
        </w:rPr>
        <w:t>临海市建设工程消防验收技术服务项目</w:t>
      </w:r>
    </w:p>
    <w:p>
      <w:pPr>
        <w:pStyle w:val="45"/>
        <w:spacing w:before="0" w:beforeAutospacing="0" w:after="0" w:afterAutospacing="0" w:line="420" w:lineRule="exact"/>
        <w:ind w:firstLine="420" w:firstLineChars="200"/>
        <w:rPr>
          <w:color w:val="auto"/>
          <w:sz w:val="21"/>
          <w:szCs w:val="21"/>
          <w:highlight w:val="none"/>
        </w:rPr>
      </w:pPr>
      <w:r>
        <w:rPr>
          <w:color w:val="auto"/>
          <w:sz w:val="21"/>
          <w:szCs w:val="21"/>
          <w:highlight w:val="none"/>
        </w:rPr>
        <w:t>采购单位：</w:t>
      </w:r>
      <w:r>
        <w:rPr>
          <w:rFonts w:hint="eastAsia"/>
          <w:color w:val="auto"/>
          <w:sz w:val="21"/>
          <w:szCs w:val="21"/>
          <w:highlight w:val="none"/>
        </w:rPr>
        <w:t>临海市建筑工程事务中心</w:t>
      </w:r>
    </w:p>
    <w:p>
      <w:pPr>
        <w:pStyle w:val="45"/>
        <w:spacing w:before="0" w:beforeAutospacing="0" w:after="0" w:afterAutospacing="0" w:line="420" w:lineRule="exact"/>
        <w:ind w:firstLine="420" w:firstLineChars="200"/>
        <w:rPr>
          <w:rFonts w:cs="Arial"/>
          <w:color w:val="auto"/>
          <w:sz w:val="21"/>
          <w:szCs w:val="21"/>
          <w:highlight w:val="none"/>
        </w:rPr>
      </w:pPr>
      <w:r>
        <w:rPr>
          <w:rFonts w:cs="Arial"/>
          <w:color w:val="auto"/>
          <w:sz w:val="21"/>
          <w:szCs w:val="21"/>
          <w:highlight w:val="none"/>
        </w:rPr>
        <w:t>采购规模及内容概述：</w:t>
      </w:r>
      <w:r>
        <w:rPr>
          <w:rFonts w:hint="eastAsia" w:cs="Arial"/>
          <w:color w:val="auto"/>
          <w:sz w:val="21"/>
          <w:szCs w:val="21"/>
          <w:highlight w:val="none"/>
          <w:lang w:val="en-US" w:eastAsia="zh-CN"/>
        </w:rPr>
        <w:t>2024年</w:t>
      </w:r>
      <w:r>
        <w:rPr>
          <w:rFonts w:hint="eastAsia" w:cs="Arial"/>
          <w:color w:val="auto"/>
          <w:sz w:val="21"/>
          <w:szCs w:val="21"/>
          <w:highlight w:val="none"/>
        </w:rPr>
        <w:t>临海市建设工程消防验收技术服务项目（详见第二章招标需求）。</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采购预算：100万元</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最高限价：100万元</w:t>
      </w:r>
    </w:p>
    <w:p>
      <w:pPr>
        <w:spacing w:line="420" w:lineRule="exact"/>
        <w:ind w:firstLine="420" w:firstLineChars="200"/>
        <w:rPr>
          <w:rFonts w:ascii="宋体" w:hAnsi="宋体" w:cs="Arial"/>
          <w:color w:val="auto"/>
          <w:kern w:val="0"/>
          <w:szCs w:val="21"/>
          <w:highlight w:val="none"/>
        </w:rPr>
      </w:pPr>
      <w:r>
        <w:rPr>
          <w:rFonts w:ascii="宋体" w:hAnsi="宋体" w:cs="Arial"/>
          <w:color w:val="auto"/>
          <w:kern w:val="0"/>
          <w:szCs w:val="21"/>
          <w:highlight w:val="none"/>
        </w:rPr>
        <w:t>采购组织类型：</w:t>
      </w:r>
      <w:r>
        <w:rPr>
          <w:rFonts w:hint="eastAsia" w:ascii="宋体" w:hAnsi="宋体" w:cs="Arial"/>
          <w:color w:val="auto"/>
          <w:kern w:val="0"/>
          <w:szCs w:val="21"/>
          <w:highlight w:val="none"/>
        </w:rPr>
        <w:t>分散采购</w:t>
      </w:r>
    </w:p>
    <w:p>
      <w:pPr>
        <w:pStyle w:val="45"/>
        <w:spacing w:before="0" w:beforeAutospacing="0" w:after="0" w:afterAutospacing="0" w:line="420" w:lineRule="exact"/>
        <w:ind w:firstLine="420" w:firstLineChars="200"/>
        <w:rPr>
          <w:rFonts w:cs="Arial"/>
          <w:color w:val="auto"/>
          <w:sz w:val="21"/>
          <w:szCs w:val="21"/>
          <w:highlight w:val="none"/>
        </w:rPr>
      </w:pPr>
      <w:r>
        <w:rPr>
          <w:rFonts w:cs="Arial"/>
          <w:color w:val="auto"/>
          <w:sz w:val="21"/>
          <w:szCs w:val="21"/>
          <w:highlight w:val="none"/>
        </w:rPr>
        <w:t>采购标段数：</w:t>
      </w:r>
      <w:r>
        <w:rPr>
          <w:rFonts w:hint="eastAsia" w:cs="Arial"/>
          <w:color w:val="auto"/>
          <w:sz w:val="21"/>
          <w:szCs w:val="21"/>
          <w:highlight w:val="none"/>
        </w:rPr>
        <w:t>1</w:t>
      </w:r>
    </w:p>
    <w:p>
      <w:pPr>
        <w:pStyle w:val="45"/>
        <w:spacing w:before="0" w:beforeAutospacing="0" w:after="0" w:afterAutospacing="0" w:line="420" w:lineRule="exact"/>
        <w:ind w:firstLine="420" w:firstLineChars="200"/>
        <w:rPr>
          <w:rFonts w:cs="Arial"/>
          <w:color w:val="auto"/>
          <w:sz w:val="21"/>
          <w:szCs w:val="21"/>
          <w:highlight w:val="none"/>
        </w:rPr>
      </w:pPr>
      <w:r>
        <w:rPr>
          <w:rFonts w:cs="Arial"/>
          <w:color w:val="auto"/>
          <w:sz w:val="21"/>
          <w:szCs w:val="21"/>
          <w:highlight w:val="none"/>
        </w:rPr>
        <w:t>采购方式：公开招标</w:t>
      </w:r>
    </w:p>
    <w:p>
      <w:pPr>
        <w:pStyle w:val="45"/>
        <w:spacing w:before="0" w:beforeAutospacing="0" w:after="0" w:afterAutospacing="0" w:line="420" w:lineRule="exact"/>
        <w:ind w:firstLine="420" w:firstLineChars="200"/>
        <w:rPr>
          <w:rFonts w:cs="宋体"/>
          <w:b/>
          <w:color w:val="auto"/>
          <w:sz w:val="21"/>
          <w:szCs w:val="21"/>
          <w:highlight w:val="none"/>
        </w:rPr>
      </w:pPr>
      <w:r>
        <w:rPr>
          <w:rFonts w:hint="eastAsia" w:cs="宋体"/>
          <w:bCs/>
          <w:color w:val="auto"/>
          <w:sz w:val="21"/>
          <w:szCs w:val="21"/>
          <w:highlight w:val="none"/>
          <w:shd w:val="pct10" w:color="auto" w:fill="FFFFFF"/>
        </w:rPr>
        <w:t>▲</w:t>
      </w:r>
      <w:r>
        <w:rPr>
          <w:rFonts w:hint="eastAsia"/>
          <w:color w:val="auto"/>
          <w:sz w:val="21"/>
          <w:szCs w:val="21"/>
          <w:highlight w:val="none"/>
        </w:rPr>
        <w:t>服务期</w:t>
      </w:r>
      <w:r>
        <w:rPr>
          <w:rFonts w:hint="eastAsia" w:cs="Arial"/>
          <w:bCs/>
          <w:color w:val="auto"/>
          <w:sz w:val="21"/>
          <w:szCs w:val="21"/>
          <w:highlight w:val="none"/>
        </w:rPr>
        <w:t>：合同签订之日起1年。</w:t>
      </w:r>
    </w:p>
    <w:p>
      <w:pPr>
        <w:pStyle w:val="45"/>
        <w:spacing w:before="0" w:beforeAutospacing="0" w:after="0" w:afterAutospacing="0" w:line="420" w:lineRule="exact"/>
        <w:ind w:firstLine="420" w:firstLineChars="200"/>
        <w:rPr>
          <w:rFonts w:cs="宋体"/>
          <w:bCs/>
          <w:color w:val="auto"/>
          <w:sz w:val="21"/>
          <w:szCs w:val="21"/>
          <w:highlight w:val="none"/>
        </w:rPr>
      </w:pPr>
      <w:r>
        <w:rPr>
          <w:rFonts w:hint="eastAsia" w:cs="宋体"/>
          <w:bCs/>
          <w:color w:val="auto"/>
          <w:sz w:val="21"/>
          <w:szCs w:val="21"/>
          <w:highlight w:val="none"/>
        </w:rPr>
        <w:t>采购文件公告期限：5个工作日</w:t>
      </w:r>
    </w:p>
    <w:p>
      <w:pPr>
        <w:pStyle w:val="45"/>
        <w:spacing w:before="0" w:beforeAutospacing="0" w:after="0" w:afterAutospacing="0" w:line="420" w:lineRule="exact"/>
        <w:ind w:firstLine="420" w:firstLineChars="200"/>
        <w:rPr>
          <w:rFonts w:cs="Arial"/>
          <w:color w:val="auto"/>
          <w:sz w:val="21"/>
          <w:szCs w:val="21"/>
          <w:highlight w:val="none"/>
        </w:rPr>
      </w:pPr>
      <w:r>
        <w:rPr>
          <w:rFonts w:cs="Arial"/>
          <w:color w:val="auto"/>
          <w:sz w:val="21"/>
          <w:szCs w:val="21"/>
          <w:highlight w:val="none"/>
        </w:rPr>
        <w:t>该项目已具备条件，现对该项目进行公开招标。</w:t>
      </w:r>
    </w:p>
    <w:p>
      <w:pPr>
        <w:spacing w:line="420" w:lineRule="exact"/>
        <w:rPr>
          <w:rFonts w:ascii="宋体" w:hAnsi="宋体" w:cs="Arial"/>
          <w:b/>
          <w:bCs/>
          <w:color w:val="auto"/>
          <w:kern w:val="0"/>
          <w:szCs w:val="21"/>
          <w:highlight w:val="none"/>
        </w:rPr>
      </w:pPr>
      <w:r>
        <w:rPr>
          <w:rFonts w:ascii="宋体" w:hAnsi="宋体" w:cs="Arial"/>
          <w:b/>
          <w:bCs/>
          <w:color w:val="auto"/>
          <w:kern w:val="0"/>
          <w:szCs w:val="21"/>
          <w:highlight w:val="none"/>
        </w:rPr>
        <w:t>2.投标人资格要求</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（1）满足《中华人民共和国政府采购法》第二十二条规定；未被“信用中国”（www.creditchina.gov.cn)、中国政府采购网（www.ccgp.gov.cn）列入失信被执行人、税收违法黑名单、政府采购严重违法失信行为记录名单。</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（2）具有与本采购项目相适应的商品经营或服务能力的投标人；</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3）落实政府采购政策需满足的资格要求：本项目属于专门面向中小企业采购的项目。在服务采购项目中，服务由中小企业承接，同时该中小企业不与大企业的负责人为同一人，或者不与大企业存在直接控股、管理关系。如不符合上述要求的任何一点均不符合本条资格要求；</w:t>
      </w:r>
    </w:p>
    <w:p>
      <w:pPr>
        <w:spacing w:line="42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（4）本项目不接受联合体投标。</w:t>
      </w:r>
    </w:p>
    <w:p>
      <w:pPr>
        <w:spacing w:line="420" w:lineRule="exact"/>
        <w:rPr>
          <w:rFonts w:ascii="宋体" w:hAnsi="宋体" w:cs="Arial"/>
          <w:b/>
          <w:bCs/>
          <w:color w:val="auto"/>
          <w:kern w:val="0"/>
          <w:szCs w:val="21"/>
          <w:highlight w:val="none"/>
        </w:rPr>
      </w:pPr>
      <w:r>
        <w:rPr>
          <w:rFonts w:ascii="宋体" w:hAnsi="宋体" w:cs="Arial"/>
          <w:b/>
          <w:bCs/>
          <w:color w:val="auto"/>
          <w:kern w:val="0"/>
          <w:szCs w:val="21"/>
          <w:highlight w:val="none"/>
        </w:rPr>
        <w:t>3.报名</w:t>
      </w:r>
    </w:p>
    <w:p>
      <w:pPr>
        <w:spacing w:line="420" w:lineRule="exact"/>
        <w:ind w:firstLine="420" w:firstLineChars="200"/>
        <w:rPr>
          <w:rFonts w:ascii="宋体" w:hAnsi="宋体" w:cs="Arial"/>
          <w:b/>
          <w:bCs/>
          <w:color w:val="auto"/>
          <w:kern w:val="0"/>
          <w:szCs w:val="21"/>
          <w:highlight w:val="none"/>
          <w:u w:val="single"/>
          <w:shd w:val="pct10" w:color="auto" w:fill="FFFFFF"/>
        </w:rPr>
      </w:pPr>
      <w:r>
        <w:rPr>
          <w:rFonts w:hint="eastAsia" w:ascii="宋体" w:hAnsi="宋体" w:cs="Arial"/>
          <w:color w:val="auto"/>
          <w:kern w:val="0"/>
          <w:szCs w:val="21"/>
          <w:highlight w:val="none"/>
          <w:u w:val="single"/>
          <w:shd w:val="pct10" w:color="auto" w:fill="FFFFFF"/>
        </w:rPr>
        <w:t>本项目无需报名，</w:t>
      </w:r>
      <w:bookmarkStart w:id="2" w:name="_Hlk59307647"/>
      <w:r>
        <w:rPr>
          <w:rFonts w:hint="eastAsia" w:ascii="宋体" w:hAnsi="宋体" w:cs="Arial"/>
          <w:color w:val="auto"/>
          <w:kern w:val="0"/>
          <w:szCs w:val="21"/>
          <w:highlight w:val="none"/>
          <w:u w:val="single"/>
          <w:shd w:val="pct10" w:color="auto" w:fill="FFFFFF"/>
        </w:rPr>
        <w:t>投标人须到临海市公共资源交易中心网站（</w:t>
      </w:r>
      <w:r>
        <w:rPr>
          <w:rFonts w:ascii="宋体" w:hAnsi="宋体" w:cs="Arial"/>
          <w:color w:val="auto"/>
          <w:kern w:val="0"/>
          <w:szCs w:val="21"/>
          <w:highlight w:val="none"/>
          <w:u w:val="single"/>
          <w:shd w:val="pct10" w:color="auto" w:fill="FFFFFF"/>
        </w:rPr>
        <w:t>http://www.linhai.gov.cn/ggzyjy/</w:t>
      </w:r>
      <w:r>
        <w:rPr>
          <w:rFonts w:hint="eastAsia" w:ascii="宋体" w:hAnsi="宋体" w:cs="Arial"/>
          <w:color w:val="auto"/>
          <w:kern w:val="0"/>
          <w:szCs w:val="21"/>
          <w:highlight w:val="none"/>
          <w:u w:val="single"/>
          <w:shd w:val="pct10" w:color="auto" w:fill="FFFFFF"/>
        </w:rPr>
        <w:t>）注册</w:t>
      </w:r>
      <w:bookmarkEnd w:id="2"/>
      <w:r>
        <w:rPr>
          <w:rFonts w:hint="eastAsia" w:ascii="宋体" w:hAnsi="宋体" w:cs="Arial"/>
          <w:color w:val="auto"/>
          <w:kern w:val="0"/>
          <w:szCs w:val="21"/>
          <w:highlight w:val="none"/>
          <w:u w:val="single"/>
          <w:shd w:val="pct10" w:color="auto" w:fill="FFFFFF"/>
        </w:rPr>
        <w:t>、提交审核通过后可参加投标，注册、审核联系电话：0576-85280675。投标人未在临海市公共资源交易中心网站完成注册而造成无法登陆临海市公共资源交易中心网站</w:t>
      </w:r>
      <w:r>
        <w:rPr>
          <w:rFonts w:hint="eastAsia" w:ascii="宋体" w:hAnsi="宋体" w:cs="Arial"/>
          <w:b/>
          <w:bCs/>
          <w:color w:val="auto"/>
          <w:kern w:val="0"/>
          <w:sz w:val="24"/>
          <w:highlight w:val="none"/>
          <w:u w:val="single"/>
          <w:shd w:val="pct10" w:color="auto" w:fill="FFFFFF"/>
        </w:rPr>
        <w:t>—-</w:t>
      </w:r>
      <w:r>
        <w:rPr>
          <w:rFonts w:hint="eastAsia" w:ascii="宋体" w:hAnsi="宋体" w:cs="Arial"/>
          <w:color w:val="auto"/>
          <w:kern w:val="0"/>
          <w:szCs w:val="21"/>
          <w:highlight w:val="none"/>
          <w:u w:val="single"/>
          <w:shd w:val="pct10" w:color="auto" w:fill="FFFFFF"/>
        </w:rPr>
        <w:t>每日直播平台</w:t>
      </w:r>
      <w:r>
        <w:rPr>
          <w:rFonts w:hint="eastAsia" w:ascii="宋体" w:hAnsi="宋体" w:cs="Arial"/>
          <w:b/>
          <w:bCs/>
          <w:color w:val="auto"/>
          <w:kern w:val="0"/>
          <w:sz w:val="24"/>
          <w:highlight w:val="none"/>
          <w:u w:val="single"/>
          <w:shd w:val="pct10" w:color="auto" w:fill="FFFFFF"/>
        </w:rPr>
        <w:t>--</w:t>
      </w:r>
      <w:r>
        <w:rPr>
          <w:rFonts w:hint="eastAsia" w:ascii="宋体" w:hAnsi="宋体" w:cs="Arial"/>
          <w:color w:val="auto"/>
          <w:kern w:val="0"/>
          <w:szCs w:val="21"/>
          <w:highlight w:val="none"/>
          <w:u w:val="single"/>
          <w:shd w:val="pct10" w:color="auto" w:fill="FFFFFF"/>
        </w:rPr>
        <w:t>后台和无法发布开标后系列公告等产生的后果由投标人自行承担。</w:t>
      </w:r>
    </w:p>
    <w:p>
      <w:pPr>
        <w:spacing w:line="420" w:lineRule="exact"/>
        <w:rPr>
          <w:rFonts w:ascii="宋体" w:hAnsi="宋体" w:cs="Arial"/>
          <w:b/>
          <w:bCs/>
          <w:color w:val="auto"/>
          <w:kern w:val="0"/>
          <w:szCs w:val="21"/>
          <w:highlight w:val="none"/>
        </w:rPr>
      </w:pPr>
      <w:r>
        <w:rPr>
          <w:rFonts w:ascii="宋体" w:hAnsi="宋体" w:cs="Arial"/>
          <w:b/>
          <w:bCs/>
          <w:color w:val="auto"/>
          <w:kern w:val="0"/>
          <w:szCs w:val="21"/>
          <w:highlight w:val="none"/>
        </w:rPr>
        <w:t>4.招标文件的获取</w:t>
      </w:r>
    </w:p>
    <w:p>
      <w:pPr>
        <w:spacing w:line="420" w:lineRule="exact"/>
        <w:rPr>
          <w:rFonts w:ascii="宋体" w:hAnsi="宋体" w:cs="Arial"/>
          <w:color w:val="auto"/>
          <w:kern w:val="0"/>
          <w:szCs w:val="21"/>
          <w:highlight w:val="none"/>
        </w:rPr>
      </w:pPr>
      <w:r>
        <w:rPr>
          <w:rFonts w:ascii="宋体" w:hAnsi="宋体" w:cs="Arial"/>
          <w:color w:val="auto"/>
          <w:kern w:val="0"/>
          <w:szCs w:val="21"/>
          <w:highlight w:val="none"/>
        </w:rPr>
        <w:t>采购文件售价：免费</w:t>
      </w:r>
    </w:p>
    <w:p>
      <w:pPr>
        <w:spacing w:line="420" w:lineRule="exact"/>
        <w:rPr>
          <w:rFonts w:ascii="宋体" w:hAnsi="宋体" w:cs="Arial"/>
          <w:bCs/>
          <w:color w:val="auto"/>
          <w:szCs w:val="21"/>
          <w:highlight w:val="none"/>
        </w:rPr>
      </w:pPr>
      <w:r>
        <w:rPr>
          <w:rFonts w:hint="eastAsia" w:ascii="宋体" w:hAnsi="宋体" w:cs="Arial"/>
          <w:bCs/>
          <w:color w:val="auto"/>
          <w:szCs w:val="21"/>
          <w:highlight w:val="none"/>
        </w:rPr>
        <w:t>获取方式：凡有意参加投标者，在2024年</w:t>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25</w:t>
      </w:r>
      <w:r>
        <w:rPr>
          <w:rFonts w:hint="eastAsia" w:ascii="宋体" w:hAnsi="宋体" w:cs="Arial"/>
          <w:bCs/>
          <w:color w:val="auto"/>
          <w:szCs w:val="21"/>
          <w:highlight w:val="none"/>
        </w:rPr>
        <w:t>日08:30前，到临海市公共资源交易中心网站注册审核通过后可自行下载采购文件或到浙江政府采购网（网址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6"/>
          <w:color w:val="auto"/>
          <w:szCs w:val="21"/>
          <w:highlight w:val="none"/>
        </w:rPr>
        <w:t xml:space="preserve"> </w:t>
      </w:r>
      <w:r>
        <w:rPr>
          <w:rStyle w:val="56"/>
          <w:rFonts w:ascii="宋体" w:hAnsi="宋体" w:cs="Arial"/>
          <w:bCs/>
          <w:color w:val="auto"/>
          <w:szCs w:val="21"/>
          <w:highlight w:val="none"/>
        </w:rPr>
        <w:t>https://zfcg.czt.zj.gov.cn/</w:t>
      </w:r>
      <w:r>
        <w:rPr>
          <w:rStyle w:val="56"/>
          <w:rFonts w:ascii="宋体" w:hAnsi="宋体" w:cs="Arial"/>
          <w:bCs/>
          <w:color w:val="auto"/>
          <w:szCs w:val="21"/>
          <w:highlight w:val="none"/>
        </w:rPr>
        <w:fldChar w:fldCharType="end"/>
      </w:r>
      <w:r>
        <w:rPr>
          <w:rFonts w:ascii="宋体" w:hAnsi="宋体" w:cs="Arial"/>
          <w:bCs/>
          <w:color w:val="auto"/>
          <w:szCs w:val="21"/>
          <w:highlight w:val="none"/>
          <w:u w:val="single"/>
        </w:rPr>
        <w:t xml:space="preserve"> </w:t>
      </w:r>
      <w:r>
        <w:rPr>
          <w:rFonts w:hint="eastAsia" w:ascii="宋体" w:hAnsi="宋体" w:cs="Arial"/>
          <w:bCs/>
          <w:color w:val="auto"/>
          <w:szCs w:val="21"/>
          <w:highlight w:val="none"/>
        </w:rPr>
        <w:t>）上获取。</w:t>
      </w:r>
    </w:p>
    <w:p>
      <w:pPr>
        <w:pStyle w:val="45"/>
        <w:spacing w:before="0" w:beforeAutospacing="0" w:after="0" w:afterAutospacing="0" w:line="420" w:lineRule="exact"/>
        <w:rPr>
          <w:rFonts w:ascii="Arial" w:hAnsi="Arial" w:cs="Arial"/>
          <w:color w:val="auto"/>
          <w:sz w:val="21"/>
          <w:szCs w:val="21"/>
          <w:highlight w:val="none"/>
        </w:rPr>
      </w:pPr>
      <w:r>
        <w:rPr>
          <w:rFonts w:ascii="Arial" w:hAnsi="Arial" w:cs="Arial"/>
          <w:color w:val="auto"/>
          <w:sz w:val="21"/>
          <w:szCs w:val="21"/>
          <w:highlight w:val="none"/>
        </w:rPr>
        <w:t>招标文件答疑：</w:t>
      </w:r>
      <w:r>
        <w:rPr>
          <w:rFonts w:ascii="Arial" w:hAnsi="Arial" w:cs="Arial"/>
          <w:b/>
          <w:bCs/>
          <w:color w:val="auto"/>
          <w:sz w:val="21"/>
          <w:szCs w:val="21"/>
          <w:highlight w:val="none"/>
        </w:rPr>
        <w:t>投标人</w:t>
      </w:r>
      <w:r>
        <w:rPr>
          <w:rFonts w:hint="eastAsia" w:ascii="Arial" w:hAnsi="Arial" w:cs="Arial"/>
          <w:b/>
          <w:bCs/>
          <w:color w:val="auto"/>
          <w:sz w:val="21"/>
          <w:szCs w:val="21"/>
          <w:highlight w:val="none"/>
        </w:rPr>
        <w:t>对采购文件提出质疑的，应当在获取采购文件或者采购文件公告期限届满之日（公告期限届满后获取采购文件的，以公告期限届满之日为准）起7个工作日内以书面形式提出，否则被质疑人可不予接受。</w:t>
      </w:r>
    </w:p>
    <w:p>
      <w:pPr>
        <w:pStyle w:val="45"/>
        <w:spacing w:before="0" w:beforeAutospacing="0" w:after="0" w:afterAutospacing="0" w:line="420" w:lineRule="exact"/>
        <w:rPr>
          <w:rFonts w:cs="Arial"/>
          <w:color w:val="auto"/>
          <w:sz w:val="21"/>
          <w:szCs w:val="21"/>
          <w:highlight w:val="none"/>
        </w:rPr>
      </w:pPr>
      <w:r>
        <w:rPr>
          <w:rFonts w:cs="Arial"/>
          <w:b/>
          <w:bCs/>
          <w:color w:val="auto"/>
          <w:sz w:val="21"/>
          <w:szCs w:val="21"/>
          <w:highlight w:val="none"/>
        </w:rPr>
        <w:t>5.投标保证金</w:t>
      </w:r>
    </w:p>
    <w:p>
      <w:pPr>
        <w:spacing w:line="420" w:lineRule="exact"/>
        <w:rPr>
          <w:rFonts w:ascii="宋体" w:hAnsi="宋体"/>
          <w:b/>
          <w:color w:val="auto"/>
          <w:szCs w:val="21"/>
          <w:highlight w:val="none"/>
        </w:rPr>
      </w:pPr>
      <w:r>
        <w:rPr>
          <w:rFonts w:hint="eastAsia" w:ascii="宋体" w:hAnsi="宋体"/>
          <w:b/>
          <w:color w:val="auto"/>
          <w:szCs w:val="21"/>
          <w:highlight w:val="none"/>
        </w:rPr>
        <w:t>本项目不收取投标保证金。</w:t>
      </w:r>
    </w:p>
    <w:p>
      <w:pPr>
        <w:spacing w:line="420" w:lineRule="exact"/>
        <w:rPr>
          <w:rFonts w:ascii="宋体" w:hAnsi="宋体" w:cs="Arial"/>
          <w:b/>
          <w:bCs/>
          <w:color w:val="auto"/>
          <w:kern w:val="0"/>
          <w:szCs w:val="21"/>
          <w:highlight w:val="none"/>
        </w:rPr>
      </w:pPr>
      <w:r>
        <w:rPr>
          <w:rFonts w:hint="eastAsia" w:ascii="宋体" w:hAnsi="宋体"/>
          <w:b/>
          <w:color w:val="auto"/>
          <w:szCs w:val="21"/>
          <w:highlight w:val="none"/>
        </w:rPr>
        <w:t>6</w:t>
      </w:r>
      <w:r>
        <w:rPr>
          <w:rFonts w:ascii="宋体" w:hAnsi="宋体" w:cs="Arial"/>
          <w:b/>
          <w:bCs/>
          <w:color w:val="auto"/>
          <w:kern w:val="0"/>
          <w:szCs w:val="21"/>
          <w:highlight w:val="none"/>
        </w:rPr>
        <w:t>.</w:t>
      </w:r>
      <w:r>
        <w:rPr>
          <w:rFonts w:hint="eastAsia" w:ascii="宋体" w:hAnsi="宋体" w:cs="Arial"/>
          <w:b/>
          <w:bCs/>
          <w:color w:val="auto"/>
          <w:kern w:val="0"/>
          <w:szCs w:val="21"/>
          <w:highlight w:val="none"/>
        </w:rPr>
        <w:t>投标说明</w:t>
      </w:r>
    </w:p>
    <w:p>
      <w:pPr>
        <w:spacing w:line="420" w:lineRule="exact"/>
        <w:rPr>
          <w:color w:val="auto"/>
          <w:szCs w:val="21"/>
          <w:highlight w:val="none"/>
          <w:u w:val="single"/>
        </w:rPr>
      </w:pPr>
      <w:r>
        <w:rPr>
          <w:rFonts w:hint="eastAsia"/>
          <w:color w:val="auto"/>
          <w:szCs w:val="21"/>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420" w:lineRule="exact"/>
        <w:rPr>
          <w:color w:val="auto"/>
          <w:szCs w:val="21"/>
          <w:highlight w:val="none"/>
          <w:u w:val="single"/>
        </w:rPr>
      </w:pPr>
      <w:r>
        <w:rPr>
          <w:rFonts w:hint="eastAsia"/>
          <w:color w:val="auto"/>
          <w:szCs w:val="21"/>
          <w:highlight w:val="none"/>
          <w:u w:val="single"/>
        </w:rPr>
        <w:t>（2）投标人通过政采云平台电子投标工具制作投标文件，电子投标工具请投标人自行前往浙江政府采购网下载并安装，（下载网址：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Fonts w:hint="eastAsia"/>
          <w:color w:val="auto"/>
          <w:szCs w:val="21"/>
          <w:highlight w:val="none"/>
          <w:u w:val="single"/>
        </w:rPr>
        <w:t>https://customer.zcygov.cn/CA-driver-download?utm=web-login-front.75ab4087.0.0.f8e5d230c7c411ea9e54c97a8e384567</w:t>
      </w:r>
      <w:r>
        <w:rPr>
          <w:rFonts w:hint="eastAsia"/>
          <w:color w:val="auto"/>
          <w:szCs w:val="21"/>
          <w:highlight w:val="none"/>
          <w:u w:val="single"/>
        </w:rPr>
        <w:fldChar w:fldCharType="end"/>
      </w:r>
      <w:r>
        <w:rPr>
          <w:rFonts w:hint="eastAsia"/>
          <w:color w:val="auto"/>
          <w:szCs w:val="21"/>
          <w:highlight w:val="none"/>
          <w:u w:val="single"/>
        </w:rPr>
        <w:t>）电子投标具体流程详见本招标公告附件：“政采云投标人项目采购-电子招投标操作指南.pdf”。</w:t>
      </w:r>
    </w:p>
    <w:p>
      <w:pPr>
        <w:spacing w:line="420" w:lineRule="exact"/>
        <w:rPr>
          <w:color w:val="auto"/>
          <w:szCs w:val="21"/>
          <w:highlight w:val="none"/>
          <w:u w:val="single"/>
        </w:rPr>
      </w:pPr>
      <w:r>
        <w:rPr>
          <w:rFonts w:hint="eastAsia"/>
          <w:color w:val="auto"/>
          <w:szCs w:val="21"/>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Fonts w:hint="eastAsia"/>
          <w:color w:val="auto"/>
          <w:szCs w:val="21"/>
          <w:highlight w:val="none"/>
          <w:u w:val="single"/>
        </w:rPr>
        <w:t>https://middle.zcygov.cn/ca/apply/edit</w:t>
      </w:r>
      <w:r>
        <w:rPr>
          <w:rFonts w:hint="eastAsia"/>
          <w:color w:val="auto"/>
          <w:szCs w:val="21"/>
          <w:highlight w:val="none"/>
          <w:u w:val="single"/>
        </w:rPr>
        <w:fldChar w:fldCharType="end"/>
      </w:r>
      <w:r>
        <w:rPr>
          <w:rFonts w:hint="eastAsia"/>
          <w:color w:val="auto"/>
          <w:szCs w:val="21"/>
          <w:highlight w:val="none"/>
          <w:u w:val="single"/>
        </w:rPr>
        <w:t>，完成CA数字证书办理预计一周左右，请各投标人自行把握时间，汇信客服电话：400-888-4636，天谷客服电话：400-087-8198）。</w:t>
      </w:r>
    </w:p>
    <w:p>
      <w:pPr>
        <w:spacing w:line="420" w:lineRule="exact"/>
        <w:rPr>
          <w:rFonts w:ascii="宋体" w:hAnsi="宋体" w:cs="Arial"/>
          <w:b/>
          <w:bCs/>
          <w:color w:val="auto"/>
          <w:kern w:val="0"/>
          <w:szCs w:val="21"/>
          <w:highlight w:val="none"/>
          <w:u w:val="single"/>
          <w:shd w:val="pct10" w:color="auto" w:fill="FFFFFF"/>
        </w:rPr>
      </w:pPr>
      <w:r>
        <w:rPr>
          <w:rFonts w:hint="eastAsia"/>
          <w:color w:val="auto"/>
          <w:szCs w:val="21"/>
          <w:highlight w:val="none"/>
          <w:u w:val="single"/>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Cs w:val="21"/>
          <w:highlight w:val="none"/>
          <w:u w:val="single"/>
          <w:shd w:val="pct10" w:color="auto" w:fill="FFFFFF"/>
        </w:rPr>
        <w:t>投标截止时间后传输、递交的投标文件，将被拒收。</w:t>
      </w:r>
    </w:p>
    <w:p>
      <w:pPr>
        <w:spacing w:line="420" w:lineRule="exact"/>
        <w:rPr>
          <w:rFonts w:ascii="宋体" w:hAnsi="宋体" w:cs="Arial"/>
          <w:b/>
          <w:bCs/>
          <w:color w:val="auto"/>
          <w:kern w:val="0"/>
          <w:szCs w:val="21"/>
          <w:highlight w:val="none"/>
          <w:u w:val="single"/>
          <w:shd w:val="pct10" w:color="auto" w:fill="FFFFFF"/>
        </w:rPr>
      </w:pPr>
      <w:r>
        <w:rPr>
          <w:rFonts w:hint="eastAsia" w:ascii="宋体" w:hAnsi="宋体" w:cs="Arial"/>
          <w:b/>
          <w:bCs/>
          <w:color w:val="auto"/>
          <w:kern w:val="0"/>
          <w:szCs w:val="21"/>
          <w:highlight w:val="none"/>
          <w:u w:val="single"/>
          <w:shd w:val="pct10" w:color="auto" w:fill="FFFFFF"/>
        </w:rPr>
        <w:t>（5）本招标文件中关于电子招投标内容、流程如与政采云系统中最新的内容、操作不一致的，以政采云系统中的要求为准。</w:t>
      </w:r>
    </w:p>
    <w:p>
      <w:pPr>
        <w:spacing w:line="420" w:lineRule="exact"/>
        <w:rPr>
          <w:b/>
          <w:color w:val="auto"/>
          <w:szCs w:val="21"/>
          <w:highlight w:val="none"/>
        </w:rPr>
      </w:pPr>
      <w:r>
        <w:rPr>
          <w:rFonts w:ascii="宋体" w:hAnsi="宋体"/>
          <w:b/>
          <w:color w:val="auto"/>
          <w:szCs w:val="21"/>
          <w:highlight w:val="none"/>
        </w:rPr>
        <w:t>7</w:t>
      </w:r>
      <w:r>
        <w:rPr>
          <w:rFonts w:ascii="宋体" w:hAnsi="宋体" w:cs="Arial"/>
          <w:b/>
          <w:color w:val="auto"/>
          <w:kern w:val="0"/>
          <w:szCs w:val="21"/>
          <w:highlight w:val="none"/>
        </w:rPr>
        <w:t>.</w:t>
      </w:r>
      <w:r>
        <w:rPr>
          <w:rFonts w:hint="eastAsia"/>
          <w:b/>
          <w:color w:val="auto"/>
          <w:szCs w:val="21"/>
          <w:highlight w:val="none"/>
        </w:rPr>
        <w:t>投标文件的组成、效力</w:t>
      </w:r>
    </w:p>
    <w:p>
      <w:pPr>
        <w:spacing w:line="420" w:lineRule="exact"/>
        <w:rPr>
          <w:color w:val="auto"/>
          <w:szCs w:val="21"/>
          <w:highlight w:val="none"/>
        </w:rPr>
      </w:pPr>
      <w:r>
        <w:rPr>
          <w:rFonts w:hint="eastAsia"/>
          <w:color w:val="auto"/>
          <w:szCs w:val="21"/>
          <w:highlight w:val="none"/>
        </w:rPr>
        <w:t>（1）本项目实行电子投标，投标人应准备电子投标文件，本项目线下无需提供任何备份投标文件。电子投标文件，按政采云平台项目采购--电子招投标操作指南及本招标文件要求编制。</w:t>
      </w:r>
    </w:p>
    <w:p>
      <w:pPr>
        <w:spacing w:line="420" w:lineRule="exact"/>
        <w:rPr>
          <w:color w:val="auto"/>
          <w:szCs w:val="21"/>
          <w:highlight w:val="none"/>
        </w:rPr>
      </w:pPr>
      <w:r>
        <w:rPr>
          <w:rFonts w:hint="eastAsia"/>
          <w:color w:val="auto"/>
          <w:szCs w:val="21"/>
          <w:highlight w:val="none"/>
        </w:rPr>
        <w:t>（2）未在“政府采购云平台”传输递交电子投标文件的，投标无效。</w:t>
      </w:r>
    </w:p>
    <w:p>
      <w:pPr>
        <w:spacing w:line="420" w:lineRule="exact"/>
        <w:rPr>
          <w:rFonts w:ascii="宋体" w:hAnsi="宋体"/>
          <w:color w:val="auto"/>
          <w:szCs w:val="21"/>
          <w:highlight w:val="none"/>
        </w:rPr>
      </w:pPr>
      <w:r>
        <w:rPr>
          <w:rFonts w:ascii="宋体" w:hAnsi="宋体"/>
          <w:b/>
          <w:color w:val="auto"/>
          <w:szCs w:val="21"/>
          <w:highlight w:val="none"/>
        </w:rPr>
        <w:t>8.投标截止时间及</w:t>
      </w:r>
      <w:r>
        <w:rPr>
          <w:rFonts w:hint="eastAsia" w:ascii="宋体" w:hAnsi="宋体"/>
          <w:b/>
          <w:color w:val="auto"/>
          <w:szCs w:val="21"/>
          <w:highlight w:val="none"/>
        </w:rPr>
        <w:t>电子</w:t>
      </w:r>
      <w:r>
        <w:rPr>
          <w:rFonts w:ascii="宋体" w:hAnsi="宋体"/>
          <w:b/>
          <w:color w:val="auto"/>
          <w:szCs w:val="21"/>
          <w:highlight w:val="none"/>
        </w:rPr>
        <w:t>投标文件的递交</w:t>
      </w:r>
    </w:p>
    <w:p>
      <w:pPr>
        <w:spacing w:line="420" w:lineRule="exact"/>
        <w:rPr>
          <w:rFonts w:ascii="宋体" w:hAnsi="宋体" w:cs="Arial"/>
          <w:color w:val="auto"/>
          <w:kern w:val="0"/>
          <w:szCs w:val="21"/>
          <w:highlight w:val="none"/>
        </w:rPr>
      </w:pPr>
      <w:r>
        <w:rPr>
          <w:rFonts w:hint="eastAsia" w:ascii="宋体" w:hAnsi="宋体" w:cs="Arial"/>
          <w:b/>
          <w:bCs/>
          <w:color w:val="auto"/>
          <w:kern w:val="0"/>
          <w:szCs w:val="21"/>
          <w:highlight w:val="none"/>
        </w:rPr>
        <w:t>电子投标文件</w:t>
      </w:r>
      <w:r>
        <w:rPr>
          <w:rFonts w:ascii="宋体" w:hAnsi="宋体"/>
          <w:b/>
          <w:color w:val="auto"/>
          <w:szCs w:val="21"/>
          <w:highlight w:val="none"/>
        </w:rPr>
        <w:t>投标截止时间</w:t>
      </w:r>
      <w:r>
        <w:rPr>
          <w:rFonts w:hint="eastAsia" w:ascii="宋体" w:hAnsi="宋体"/>
          <w:b/>
          <w:color w:val="auto"/>
          <w:szCs w:val="21"/>
          <w:highlight w:val="none"/>
        </w:rPr>
        <w:t>：2024年</w:t>
      </w:r>
      <w:r>
        <w:rPr>
          <w:rFonts w:hint="eastAsia" w:ascii="宋体" w:hAnsi="宋体"/>
          <w:b/>
          <w:color w:val="auto"/>
          <w:szCs w:val="21"/>
          <w:highlight w:val="none"/>
          <w:lang w:val="en-US" w:eastAsia="zh-CN"/>
        </w:rPr>
        <w:t>6</w:t>
      </w:r>
      <w:r>
        <w:rPr>
          <w:rFonts w:hint="eastAsia" w:ascii="宋体" w:hAnsi="宋体"/>
          <w:b/>
          <w:color w:val="auto"/>
          <w:szCs w:val="21"/>
          <w:highlight w:val="none"/>
        </w:rPr>
        <w:t>月</w:t>
      </w:r>
      <w:r>
        <w:rPr>
          <w:rFonts w:hint="eastAsia" w:ascii="宋体" w:hAnsi="宋体"/>
          <w:b/>
          <w:color w:val="auto"/>
          <w:szCs w:val="21"/>
          <w:highlight w:val="none"/>
          <w:lang w:val="en-US" w:eastAsia="zh-CN"/>
        </w:rPr>
        <w:t>25</w:t>
      </w:r>
      <w:r>
        <w:rPr>
          <w:rFonts w:hint="eastAsia" w:ascii="宋体" w:hAnsi="宋体"/>
          <w:b/>
          <w:color w:val="auto"/>
          <w:szCs w:val="21"/>
          <w:highlight w:val="none"/>
        </w:rPr>
        <w:t>日08时30分00秒，</w:t>
      </w:r>
      <w:r>
        <w:rPr>
          <w:rFonts w:hint="eastAsia" w:ascii="宋体" w:hAnsi="宋体" w:cs="Arial"/>
          <w:color w:val="auto"/>
          <w:kern w:val="0"/>
          <w:szCs w:val="21"/>
          <w:highlight w:val="none"/>
        </w:rPr>
        <w:t>投标人应于投标截止时间之前将电子投标文件上传到“政府采购云平台”。投标截止时间前未完成传输电子投标文件的</w:t>
      </w:r>
      <w:r>
        <w:rPr>
          <w:rFonts w:hint="eastAsia"/>
          <w:color w:val="auto"/>
          <w:szCs w:val="21"/>
          <w:highlight w:val="none"/>
        </w:rPr>
        <w:t>，投标无效。</w:t>
      </w:r>
    </w:p>
    <w:p>
      <w:pPr>
        <w:spacing w:line="420" w:lineRule="exact"/>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w:t>
      </w:r>
      <w:r>
        <w:rPr>
          <w:rFonts w:hint="eastAsia" w:ascii="宋体" w:hAnsi="宋体"/>
          <w:b/>
          <w:color w:val="auto"/>
          <w:szCs w:val="21"/>
          <w:highlight w:val="none"/>
        </w:rPr>
        <w:t xml:space="preserve">临海市公共资源交易办公管理系统及开评标期间出现网络故障或停电时的应急处理措施： </w:t>
      </w:r>
      <w:r>
        <w:rPr>
          <w:rFonts w:ascii="宋体" w:hAnsi="宋体"/>
          <w:b/>
          <w:color w:val="auto"/>
          <w:szCs w:val="21"/>
          <w:highlight w:val="none"/>
        </w:rPr>
        <w:t xml:space="preserve">     </w:t>
      </w:r>
    </w:p>
    <w:p>
      <w:pPr>
        <w:spacing w:line="420" w:lineRule="exact"/>
        <w:rPr>
          <w:rFonts w:ascii="宋体" w:hAnsi="宋体"/>
          <w:bCs/>
          <w:color w:val="auto"/>
          <w:szCs w:val="21"/>
          <w:highlight w:val="none"/>
        </w:rPr>
      </w:pPr>
      <w:r>
        <w:rPr>
          <w:rFonts w:hint="eastAsia" w:ascii="宋体" w:hAnsi="宋体"/>
          <w:bCs/>
          <w:color w:val="auto"/>
          <w:szCs w:val="21"/>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20" w:lineRule="exact"/>
        <w:rPr>
          <w:rFonts w:ascii="宋体" w:hAnsi="宋体"/>
          <w:bCs/>
          <w:color w:val="auto"/>
          <w:szCs w:val="21"/>
          <w:highlight w:val="none"/>
        </w:rPr>
      </w:pPr>
      <w:r>
        <w:rPr>
          <w:rFonts w:hint="eastAsia" w:ascii="宋体" w:hAnsi="宋体"/>
          <w:bCs/>
          <w:color w:val="auto"/>
          <w:szCs w:val="21"/>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20" w:lineRule="exact"/>
        <w:rPr>
          <w:rFonts w:ascii="宋体" w:hAnsi="宋体"/>
          <w:color w:val="auto"/>
          <w:szCs w:val="21"/>
          <w:highlight w:val="none"/>
        </w:rPr>
      </w:pPr>
      <w:r>
        <w:rPr>
          <w:rFonts w:ascii="宋体" w:hAnsi="宋体"/>
          <w:b/>
          <w:color w:val="auto"/>
          <w:szCs w:val="21"/>
          <w:highlight w:val="none"/>
        </w:rPr>
        <w:t>10.开标</w:t>
      </w:r>
    </w:p>
    <w:p>
      <w:pPr>
        <w:spacing w:line="420" w:lineRule="exact"/>
        <w:rPr>
          <w:rFonts w:ascii="宋体" w:hAnsi="宋体"/>
          <w:color w:val="auto"/>
          <w:szCs w:val="21"/>
          <w:highlight w:val="none"/>
        </w:rPr>
      </w:pPr>
      <w:r>
        <w:rPr>
          <w:rFonts w:ascii="宋体" w:hAnsi="宋体"/>
          <w:color w:val="auto"/>
          <w:szCs w:val="21"/>
          <w:highlight w:val="none"/>
        </w:rPr>
        <w:t>开标时间：</w:t>
      </w:r>
      <w:r>
        <w:rPr>
          <w:rFonts w:hint="eastAsia" w:ascii="宋体" w:hAnsi="宋体"/>
          <w:b/>
          <w:color w:val="auto"/>
          <w:szCs w:val="21"/>
          <w:highlight w:val="none"/>
        </w:rPr>
        <w:t>2024年</w:t>
      </w:r>
      <w:r>
        <w:rPr>
          <w:rFonts w:hint="eastAsia" w:ascii="宋体" w:hAnsi="宋体"/>
          <w:b/>
          <w:color w:val="auto"/>
          <w:szCs w:val="21"/>
          <w:highlight w:val="none"/>
          <w:lang w:val="en-US" w:eastAsia="zh-CN"/>
        </w:rPr>
        <w:t>6</w:t>
      </w:r>
      <w:r>
        <w:rPr>
          <w:rFonts w:hint="eastAsia" w:ascii="宋体" w:hAnsi="宋体"/>
          <w:b/>
          <w:color w:val="auto"/>
          <w:szCs w:val="21"/>
          <w:highlight w:val="none"/>
        </w:rPr>
        <w:t>月</w:t>
      </w:r>
      <w:r>
        <w:rPr>
          <w:rFonts w:hint="eastAsia" w:ascii="宋体" w:hAnsi="宋体"/>
          <w:b/>
          <w:color w:val="auto"/>
          <w:szCs w:val="21"/>
          <w:highlight w:val="none"/>
          <w:lang w:val="en-US" w:eastAsia="zh-CN"/>
        </w:rPr>
        <w:t>25</w:t>
      </w:r>
      <w:r>
        <w:rPr>
          <w:rFonts w:hint="eastAsia" w:ascii="宋体" w:hAnsi="宋体"/>
          <w:b/>
          <w:color w:val="auto"/>
          <w:szCs w:val="21"/>
          <w:highlight w:val="none"/>
        </w:rPr>
        <w:t>日08时30分</w:t>
      </w:r>
      <w:r>
        <w:rPr>
          <w:rFonts w:ascii="宋体" w:hAnsi="宋体"/>
          <w:color w:val="auto"/>
          <w:szCs w:val="21"/>
          <w:highlight w:val="none"/>
        </w:rPr>
        <w:t>。</w:t>
      </w:r>
    </w:p>
    <w:p>
      <w:pPr>
        <w:spacing w:line="420" w:lineRule="exact"/>
        <w:rPr>
          <w:rFonts w:ascii="宋体" w:hAnsi="宋体"/>
          <w:color w:val="auto"/>
          <w:szCs w:val="21"/>
          <w:highlight w:val="none"/>
        </w:rPr>
      </w:pPr>
      <w:r>
        <w:rPr>
          <w:rFonts w:ascii="宋体" w:hAnsi="宋体"/>
          <w:color w:val="auto"/>
          <w:szCs w:val="21"/>
          <w:highlight w:val="none"/>
        </w:rPr>
        <w:t>开标地点：</w:t>
      </w:r>
      <w:r>
        <w:rPr>
          <w:rFonts w:hint="eastAsia" w:ascii="宋体" w:hAnsi="宋体"/>
          <w:color w:val="auto"/>
          <w:szCs w:val="21"/>
          <w:highlight w:val="none"/>
        </w:rPr>
        <w:t>“政府采购云平台”线上开标、线下直播开标室：</w:t>
      </w:r>
      <w:r>
        <w:rPr>
          <w:rFonts w:ascii="宋体" w:hAnsi="宋体"/>
          <w:color w:val="auto"/>
          <w:szCs w:val="21"/>
          <w:highlight w:val="none"/>
        </w:rPr>
        <w:t>临海市公共资源交易中心</w:t>
      </w:r>
      <w:r>
        <w:rPr>
          <w:rFonts w:hint="eastAsia" w:ascii="宋体" w:hAnsi="宋体"/>
          <w:color w:val="auto"/>
          <w:szCs w:val="21"/>
          <w:highlight w:val="none"/>
        </w:rPr>
        <w:t>一楼</w:t>
      </w:r>
      <w:r>
        <w:rPr>
          <w:rFonts w:hint="eastAsia" w:ascii="宋体" w:hAnsi="宋体"/>
          <w:color w:val="auto"/>
          <w:szCs w:val="21"/>
          <w:highlight w:val="none"/>
          <w:lang w:val="en-US" w:eastAsia="zh-CN"/>
        </w:rPr>
        <w:t>四</w:t>
      </w:r>
      <w:r>
        <w:rPr>
          <w:rFonts w:hint="eastAsia" w:ascii="宋体" w:hAnsi="宋体"/>
          <w:color w:val="auto"/>
          <w:szCs w:val="21"/>
          <w:highlight w:val="none"/>
        </w:rPr>
        <w:t>号开标室</w:t>
      </w:r>
      <w:r>
        <w:rPr>
          <w:rFonts w:ascii="宋体" w:hAnsi="宋体"/>
          <w:color w:val="auto"/>
          <w:szCs w:val="21"/>
          <w:highlight w:val="none"/>
        </w:rPr>
        <w:t>（</w:t>
      </w:r>
      <w:r>
        <w:rPr>
          <w:rFonts w:hint="eastAsia" w:ascii="宋体" w:hAnsi="宋体"/>
          <w:color w:val="auto"/>
          <w:sz w:val="24"/>
          <w:highlight w:val="none"/>
        </w:rPr>
        <w:t>临海市巾山中路18号，移动公司对面</w:t>
      </w:r>
      <w:r>
        <w:rPr>
          <w:rFonts w:ascii="宋体" w:hAnsi="宋体"/>
          <w:color w:val="auto"/>
          <w:szCs w:val="21"/>
          <w:highlight w:val="none"/>
        </w:rPr>
        <w:t>）</w:t>
      </w:r>
    </w:p>
    <w:p>
      <w:pPr>
        <w:spacing w:line="420" w:lineRule="exact"/>
        <w:rPr>
          <w:rFonts w:ascii="宋体" w:hAnsi="宋体"/>
          <w:b/>
          <w:color w:val="auto"/>
          <w:szCs w:val="21"/>
          <w:highlight w:val="none"/>
          <w:u w:val="single"/>
          <w:shd w:val="pct10" w:color="auto" w:fill="FFFFFF"/>
        </w:rPr>
      </w:pPr>
      <w:bookmarkStart w:id="3" w:name="_Hlk59625972"/>
      <w:r>
        <w:rPr>
          <w:rFonts w:hint="eastAsia"/>
          <w:b/>
          <w:color w:val="auto"/>
          <w:szCs w:val="21"/>
          <w:highlight w:val="none"/>
          <w:u w:val="single"/>
          <w:shd w:val="pct10" w:color="auto" w:fill="FFFFFF"/>
        </w:rPr>
        <w:t>开标时间后30分钟内（具体时间以政采云系统</w:t>
      </w:r>
      <w:bookmarkStart w:id="4" w:name="_Hlk59625364"/>
      <w:r>
        <w:rPr>
          <w:rFonts w:hint="eastAsia"/>
          <w:b/>
          <w:color w:val="auto"/>
          <w:szCs w:val="21"/>
          <w:highlight w:val="none"/>
          <w:u w:val="single"/>
          <w:shd w:val="pct10" w:color="auto" w:fill="FFFFFF"/>
        </w:rPr>
        <w:t>显示的</w:t>
      </w:r>
      <w:bookmarkEnd w:id="4"/>
      <w:r>
        <w:rPr>
          <w:rFonts w:hint="eastAsia"/>
          <w:b/>
          <w:color w:val="auto"/>
          <w:szCs w:val="21"/>
          <w:highlight w:val="none"/>
          <w:u w:val="single"/>
          <w:shd w:val="pct10" w:color="auto" w:fill="FFFFFF"/>
        </w:rPr>
        <w:t xml:space="preserve">解密截止时间为准），投标人须登录“政采云”平台，用“项目采购-开标评标”功能解密投标文件，投标人未按时解密或解密失败的，其投标文件为无效标。 </w:t>
      </w:r>
    </w:p>
    <w:bookmarkEnd w:id="3"/>
    <w:p>
      <w:pPr>
        <w:spacing w:line="420" w:lineRule="exact"/>
        <w:rPr>
          <w:rFonts w:ascii="宋体" w:hAnsi="宋体"/>
          <w:b/>
          <w:color w:val="auto"/>
          <w:szCs w:val="21"/>
          <w:highlight w:val="none"/>
        </w:rPr>
      </w:pPr>
      <w:r>
        <w:rPr>
          <w:rFonts w:ascii="宋体" w:hAnsi="宋体"/>
          <w:b/>
          <w:color w:val="auto"/>
          <w:szCs w:val="21"/>
          <w:highlight w:val="none"/>
        </w:rPr>
        <w:t>11.发布公告的媒介</w:t>
      </w:r>
    </w:p>
    <w:p>
      <w:pPr>
        <w:spacing w:line="420" w:lineRule="exact"/>
        <w:rPr>
          <w:rFonts w:ascii="宋体" w:hAnsi="宋体"/>
          <w:color w:val="auto"/>
          <w:szCs w:val="21"/>
          <w:highlight w:val="none"/>
        </w:rPr>
      </w:pPr>
      <w:r>
        <w:rPr>
          <w:rFonts w:ascii="宋体" w:hAnsi="宋体"/>
          <w:color w:val="auto"/>
          <w:szCs w:val="21"/>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6"/>
          <w:color w:val="auto"/>
          <w:szCs w:val="21"/>
          <w:highlight w:val="none"/>
        </w:rPr>
        <w:t>浙江省政府采购网</w:t>
      </w:r>
      <w:r>
        <w:rPr>
          <w:rStyle w:val="56"/>
          <w:color w:val="auto"/>
          <w:szCs w:val="21"/>
          <w:highlight w:val="none"/>
        </w:rPr>
        <w:fldChar w:fldCharType="end"/>
      </w:r>
      <w:r>
        <w:rPr>
          <w:rFonts w:ascii="宋体" w:hAnsi="宋体"/>
          <w:color w:val="auto"/>
          <w:szCs w:val="21"/>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color w:val="auto"/>
          <w:szCs w:val="21"/>
          <w:highlight w:val="none"/>
          <w:u w:val="single"/>
        </w:rPr>
        <w:t>临海市公共资源交易中心</w:t>
      </w:r>
      <w:r>
        <w:rPr>
          <w:rStyle w:val="56"/>
          <w:color w:val="auto"/>
          <w:szCs w:val="21"/>
          <w:highlight w:val="none"/>
        </w:rPr>
        <w:t>网</w:t>
      </w:r>
      <w:r>
        <w:rPr>
          <w:rStyle w:val="56"/>
          <w:color w:val="auto"/>
          <w:szCs w:val="21"/>
          <w:highlight w:val="none"/>
        </w:rPr>
        <w:fldChar w:fldCharType="end"/>
      </w:r>
      <w:r>
        <w:rPr>
          <w:rFonts w:ascii="宋体" w:hAnsi="宋体"/>
          <w:color w:val="auto"/>
          <w:szCs w:val="21"/>
          <w:highlight w:val="none"/>
        </w:rPr>
        <w:t>上发布。</w:t>
      </w:r>
    </w:p>
    <w:p>
      <w:pPr>
        <w:spacing w:line="420" w:lineRule="exact"/>
        <w:rPr>
          <w:rFonts w:ascii="宋体" w:hAnsi="宋体"/>
          <w:b/>
          <w:color w:val="auto"/>
          <w:szCs w:val="21"/>
          <w:highlight w:val="none"/>
        </w:rPr>
      </w:pPr>
      <w:r>
        <w:rPr>
          <w:rFonts w:ascii="宋体" w:hAnsi="宋体"/>
          <w:b/>
          <w:color w:val="auto"/>
          <w:szCs w:val="21"/>
          <w:highlight w:val="none"/>
        </w:rPr>
        <w:t>12、</w:t>
      </w:r>
      <w:r>
        <w:rPr>
          <w:rFonts w:hint="eastAsia" w:ascii="宋体" w:hAnsi="宋体"/>
          <w:b/>
          <w:color w:val="auto"/>
          <w:szCs w:val="21"/>
          <w:highlight w:val="none"/>
        </w:rPr>
        <w:t>其他事项</w:t>
      </w:r>
    </w:p>
    <w:p>
      <w:pPr>
        <w:spacing w:line="420" w:lineRule="exact"/>
        <w:ind w:firstLine="105" w:firstLineChars="50"/>
        <w:rPr>
          <w:b/>
          <w:color w:val="auto"/>
          <w:szCs w:val="21"/>
          <w:highlight w:val="none"/>
          <w:u w:val="single"/>
          <w:shd w:val="pct10" w:color="auto" w:fill="FFFFFF"/>
        </w:rPr>
      </w:pPr>
      <w:r>
        <w:rPr>
          <w:rFonts w:hint="eastAsia"/>
          <w:b/>
          <w:color w:val="auto"/>
          <w:szCs w:val="21"/>
          <w:highlight w:val="none"/>
          <w:u w:val="single"/>
          <w:shd w:val="pct10" w:color="auto" w:fill="FFFFFF"/>
        </w:rPr>
        <w:t>（1）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pPr>
        <w:adjustRightInd w:val="0"/>
        <w:snapToGrid w:val="0"/>
        <w:spacing w:line="420" w:lineRule="exact"/>
        <w:ind w:firstLine="102" w:firstLineChars="49"/>
        <w:rPr>
          <w:rFonts w:ascii="宋体" w:hAnsi="宋体" w:cs="Arial"/>
          <w:bCs/>
          <w:color w:val="auto"/>
          <w:szCs w:val="21"/>
          <w:highlight w:val="none"/>
        </w:rPr>
      </w:pPr>
      <w:r>
        <w:rPr>
          <w:rFonts w:hint="eastAsia" w:ascii="宋体" w:hAnsi="宋体" w:cs="Arial"/>
          <w:bCs/>
          <w:color w:val="auto"/>
          <w:szCs w:val="21"/>
          <w:highlight w:val="none"/>
        </w:rPr>
        <w:t>（</w:t>
      </w:r>
      <w:r>
        <w:rPr>
          <w:rFonts w:ascii="宋体" w:hAnsi="宋体" w:cs="Arial"/>
          <w:bCs/>
          <w:color w:val="auto"/>
          <w:szCs w:val="21"/>
          <w:highlight w:val="none"/>
        </w:rPr>
        <w:t>2</w:t>
      </w:r>
      <w:r>
        <w:rPr>
          <w:rFonts w:hint="eastAsia" w:ascii="宋体" w:hAnsi="宋体" w:cs="Arial"/>
          <w:bCs/>
          <w:color w:val="auto"/>
          <w:szCs w:val="21"/>
          <w:highlight w:val="none"/>
        </w:rPr>
        <w:t>）除注明要求进口产品外,投标时进口产品比例不得超过50%；</w:t>
      </w:r>
    </w:p>
    <w:p>
      <w:pPr>
        <w:spacing w:line="420" w:lineRule="exact"/>
        <w:ind w:firstLine="105" w:firstLineChars="50"/>
        <w:rPr>
          <w:bCs/>
          <w:color w:val="auto"/>
          <w:szCs w:val="21"/>
          <w:highlight w:val="none"/>
        </w:rPr>
      </w:pPr>
      <w:r>
        <w:rPr>
          <w:rFonts w:hint="eastAsia" w:ascii="宋体" w:hAnsi="宋体" w:cs="Arial"/>
          <w:bCs/>
          <w:color w:val="auto"/>
          <w:szCs w:val="21"/>
          <w:highlight w:val="none"/>
        </w:rPr>
        <w:t>（</w:t>
      </w:r>
      <w:r>
        <w:rPr>
          <w:rFonts w:ascii="宋体" w:hAnsi="宋体" w:cs="Arial"/>
          <w:bCs/>
          <w:color w:val="auto"/>
          <w:szCs w:val="21"/>
          <w:highlight w:val="none"/>
        </w:rPr>
        <w:t>3</w:t>
      </w:r>
      <w:r>
        <w:rPr>
          <w:rFonts w:hint="eastAsia" w:ascii="宋体" w:hAnsi="宋体" w:cs="Arial"/>
          <w:bCs/>
          <w:color w:val="auto"/>
          <w:szCs w:val="21"/>
          <w:highlight w:val="none"/>
        </w:rPr>
        <w:t>）根据《浙江省政府采购供应商注册及诚信管理暂行办法》浙财采监字【2009】28号文件，请各投标投标人及时办理浙江政府采购网“政府采购正式供应商”的注册手续</w:t>
      </w:r>
      <w:r>
        <w:rPr>
          <w:rFonts w:hint="eastAsia"/>
          <w:bCs/>
          <w:color w:val="auto"/>
          <w:szCs w:val="21"/>
          <w:highlight w:val="none"/>
        </w:rPr>
        <w:t>。</w:t>
      </w:r>
    </w:p>
    <w:p>
      <w:pPr>
        <w:spacing w:line="420" w:lineRule="exac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3</w:t>
      </w:r>
      <w:r>
        <w:rPr>
          <w:rFonts w:hint="eastAsia" w:ascii="宋体" w:hAnsi="宋体"/>
          <w:b/>
          <w:color w:val="auto"/>
          <w:szCs w:val="21"/>
          <w:highlight w:val="none"/>
        </w:rPr>
        <w:t>、</w:t>
      </w:r>
      <w:r>
        <w:rPr>
          <w:rFonts w:ascii="宋体" w:hAnsi="宋体"/>
          <w:b/>
          <w:color w:val="auto"/>
          <w:szCs w:val="21"/>
          <w:highlight w:val="none"/>
        </w:rPr>
        <w:t>联系方式</w:t>
      </w:r>
    </w:p>
    <w:p>
      <w:pPr>
        <w:spacing w:line="400" w:lineRule="exact"/>
        <w:rPr>
          <w:rFonts w:ascii="宋体" w:hAnsi="宋体"/>
          <w:b/>
          <w:bCs/>
          <w:color w:val="auto"/>
          <w:szCs w:val="21"/>
          <w:highlight w:val="none"/>
        </w:rPr>
      </w:pPr>
      <w:r>
        <w:rPr>
          <w:rFonts w:hint="eastAsia" w:ascii="宋体" w:hAnsi="宋体"/>
          <w:b/>
          <w:bCs/>
          <w:color w:val="auto"/>
          <w:szCs w:val="21"/>
          <w:highlight w:val="none"/>
        </w:rPr>
        <w:t>（1）采购人信息</w:t>
      </w:r>
    </w:p>
    <w:p>
      <w:pPr>
        <w:spacing w:line="400" w:lineRule="exact"/>
        <w:rPr>
          <w:rFonts w:ascii="宋体" w:hAnsi="宋体"/>
          <w:bCs/>
          <w:color w:val="auto"/>
          <w:szCs w:val="21"/>
          <w:highlight w:val="none"/>
        </w:rPr>
      </w:pPr>
      <w:r>
        <w:rPr>
          <w:rFonts w:hint="eastAsia" w:ascii="宋体" w:hAnsi="宋体"/>
          <w:bCs/>
          <w:color w:val="auto"/>
          <w:szCs w:val="21"/>
          <w:highlight w:val="none"/>
        </w:rPr>
        <w:t>名称：临海市建筑工程事务中心</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地址：临海市东方大道8号  </w:t>
      </w:r>
    </w:p>
    <w:p>
      <w:pPr>
        <w:spacing w:line="400" w:lineRule="exact"/>
        <w:rPr>
          <w:rFonts w:ascii="宋体" w:hAnsi="宋体"/>
          <w:bCs/>
          <w:color w:val="auto"/>
          <w:szCs w:val="21"/>
          <w:highlight w:val="none"/>
        </w:rPr>
      </w:pPr>
      <w:r>
        <w:rPr>
          <w:rFonts w:hint="eastAsia" w:ascii="宋体" w:hAnsi="宋体"/>
          <w:bCs/>
          <w:color w:val="auto"/>
          <w:szCs w:val="21"/>
          <w:highlight w:val="none"/>
        </w:rPr>
        <w:t>项目联系人（询问）：方女士</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项目联系方式：0576-85382705 </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质疑联系人：吴先生  </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质疑联系方式：0576-85382172 </w:t>
      </w:r>
    </w:p>
    <w:p>
      <w:pPr>
        <w:spacing w:line="400" w:lineRule="exact"/>
        <w:rPr>
          <w:rFonts w:ascii="宋体" w:hAnsi="宋体"/>
          <w:b/>
          <w:bCs/>
          <w:color w:val="auto"/>
          <w:szCs w:val="21"/>
          <w:highlight w:val="none"/>
        </w:rPr>
      </w:pPr>
      <w:r>
        <w:rPr>
          <w:rFonts w:hint="eastAsia" w:ascii="宋体" w:hAnsi="宋体"/>
          <w:b/>
          <w:bCs/>
          <w:color w:val="auto"/>
          <w:szCs w:val="21"/>
          <w:highlight w:val="none"/>
        </w:rPr>
        <w:t>（2）采购代理机构信息</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名 称：浙江耀信工程咨询有限公司 </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地址: </w:t>
      </w:r>
      <w:r>
        <w:rPr>
          <w:rFonts w:hint="eastAsia" w:ascii="宋体" w:hAnsi="宋体"/>
          <w:bCs/>
          <w:color w:val="auto"/>
          <w:szCs w:val="21"/>
          <w:highlight w:val="none"/>
          <w:lang w:val="en-US" w:eastAsia="zh-CN"/>
        </w:rPr>
        <w:t>临海市</w:t>
      </w:r>
      <w:r>
        <w:rPr>
          <w:rFonts w:hint="eastAsia" w:ascii="宋体" w:hAnsi="宋体"/>
          <w:bCs/>
          <w:color w:val="auto"/>
          <w:szCs w:val="21"/>
          <w:highlight w:val="none"/>
        </w:rPr>
        <w:t>下桥路15</w:t>
      </w:r>
      <w:r>
        <w:rPr>
          <w:rFonts w:hint="eastAsia" w:ascii="宋体" w:hAnsi="宋体"/>
          <w:bCs/>
          <w:color w:val="auto"/>
          <w:szCs w:val="21"/>
          <w:highlight w:val="none"/>
          <w:lang w:val="en-US" w:eastAsia="zh-CN"/>
        </w:rPr>
        <w:t>2</w:t>
      </w:r>
      <w:r>
        <w:rPr>
          <w:rFonts w:hint="eastAsia" w:ascii="宋体" w:hAnsi="宋体"/>
          <w:bCs/>
          <w:color w:val="auto"/>
          <w:szCs w:val="21"/>
          <w:highlight w:val="none"/>
        </w:rPr>
        <w:t>号2楼</w:t>
      </w:r>
    </w:p>
    <w:p>
      <w:pPr>
        <w:spacing w:line="400" w:lineRule="exact"/>
        <w:rPr>
          <w:rFonts w:ascii="宋体" w:hAnsi="宋体"/>
          <w:bCs/>
          <w:color w:val="auto"/>
          <w:szCs w:val="21"/>
          <w:highlight w:val="none"/>
        </w:rPr>
      </w:pPr>
      <w:r>
        <w:rPr>
          <w:rFonts w:hint="eastAsia" w:ascii="宋体" w:hAnsi="宋体"/>
          <w:bCs/>
          <w:color w:val="auto"/>
          <w:szCs w:val="21"/>
          <w:highlight w:val="none"/>
        </w:rPr>
        <w:t>项目联系人（询问）：金先生</w:t>
      </w:r>
    </w:p>
    <w:p>
      <w:pPr>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项目联系方式：</w:t>
      </w:r>
      <w:r>
        <w:rPr>
          <w:rFonts w:hint="eastAsia" w:ascii="宋体" w:hAnsi="宋体"/>
          <w:bCs/>
          <w:color w:val="auto"/>
          <w:szCs w:val="21"/>
          <w:highlight w:val="none"/>
          <w:lang w:val="en-US" w:eastAsia="zh-CN"/>
        </w:rPr>
        <w:t>0576-85408362</w:t>
      </w:r>
    </w:p>
    <w:p>
      <w:pPr>
        <w:spacing w:line="400" w:lineRule="exact"/>
        <w:rPr>
          <w:rFonts w:ascii="宋体" w:hAnsi="宋体"/>
          <w:bCs/>
          <w:color w:val="auto"/>
          <w:szCs w:val="21"/>
          <w:highlight w:val="none"/>
        </w:rPr>
      </w:pPr>
      <w:r>
        <w:rPr>
          <w:rFonts w:hint="eastAsia" w:ascii="宋体" w:hAnsi="宋体"/>
          <w:bCs/>
          <w:color w:val="auto"/>
          <w:szCs w:val="21"/>
          <w:highlight w:val="none"/>
        </w:rPr>
        <w:t>质疑联系人：</w:t>
      </w:r>
      <w:r>
        <w:rPr>
          <w:rFonts w:hint="eastAsia" w:ascii="宋体" w:hAnsi="宋体"/>
          <w:color w:val="auto"/>
          <w:szCs w:val="21"/>
          <w:highlight w:val="none"/>
          <w:lang w:val="en-US" w:eastAsia="zh-CN"/>
        </w:rPr>
        <w:t>孙海啸</w:t>
      </w:r>
      <w:r>
        <w:rPr>
          <w:rFonts w:hint="eastAsia" w:ascii="宋体" w:hAnsi="宋体"/>
          <w:color w:val="auto"/>
          <w:szCs w:val="21"/>
          <w:highlight w:val="none"/>
        </w:rPr>
        <w:t xml:space="preserve"> </w:t>
      </w:r>
    </w:p>
    <w:p>
      <w:pPr>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质疑联系方式：</w:t>
      </w:r>
      <w:r>
        <w:rPr>
          <w:rFonts w:hint="eastAsia" w:ascii="宋体" w:hAnsi="宋体"/>
          <w:bCs/>
          <w:color w:val="auto"/>
          <w:szCs w:val="21"/>
          <w:highlight w:val="none"/>
          <w:lang w:val="en-US" w:eastAsia="zh-CN"/>
        </w:rPr>
        <w:t>0576-85408361</w:t>
      </w:r>
    </w:p>
    <w:p>
      <w:pPr>
        <w:spacing w:line="400" w:lineRule="exact"/>
        <w:rPr>
          <w:rFonts w:ascii="宋体" w:hAnsi="宋体"/>
          <w:color w:val="auto"/>
          <w:spacing w:val="-4"/>
          <w:szCs w:val="21"/>
          <w:highlight w:val="none"/>
        </w:rPr>
      </w:pPr>
      <w:r>
        <w:rPr>
          <w:rFonts w:hint="eastAsia" w:ascii="宋体" w:hAnsi="宋体"/>
          <w:color w:val="auto"/>
          <w:spacing w:val="-4"/>
          <w:szCs w:val="21"/>
          <w:highlight w:val="none"/>
        </w:rPr>
        <w:t>电子邮箱: 1695676348</w:t>
      </w:r>
      <w:r>
        <w:rPr>
          <w:rFonts w:ascii="宋体" w:hAnsi="宋体"/>
          <w:color w:val="auto"/>
          <w:spacing w:val="-4"/>
          <w:szCs w:val="21"/>
          <w:highlight w:val="none"/>
        </w:rPr>
        <w:t>@qq.com</w:t>
      </w:r>
    </w:p>
    <w:p>
      <w:pPr>
        <w:spacing w:line="400" w:lineRule="exact"/>
        <w:rPr>
          <w:rFonts w:ascii="宋体" w:hAnsi="宋体"/>
          <w:b/>
          <w:color w:val="auto"/>
          <w:spacing w:val="-4"/>
          <w:szCs w:val="21"/>
          <w:highlight w:val="none"/>
        </w:rPr>
      </w:pPr>
      <w:r>
        <w:rPr>
          <w:rFonts w:hint="eastAsia" w:ascii="宋体" w:hAnsi="宋体"/>
          <w:b/>
          <w:color w:val="auto"/>
          <w:spacing w:val="-4"/>
          <w:szCs w:val="21"/>
          <w:highlight w:val="none"/>
        </w:rPr>
        <w:t>（3）同级政府采购监管机构信息</w:t>
      </w:r>
    </w:p>
    <w:p>
      <w:pPr>
        <w:spacing w:line="400" w:lineRule="exact"/>
        <w:rPr>
          <w:rFonts w:ascii="宋体" w:hAnsi="宋体"/>
          <w:color w:val="auto"/>
          <w:spacing w:val="-4"/>
          <w:szCs w:val="21"/>
          <w:highlight w:val="none"/>
        </w:rPr>
      </w:pPr>
      <w:r>
        <w:rPr>
          <w:rFonts w:hint="eastAsia" w:ascii="宋体" w:hAnsi="宋体"/>
          <w:color w:val="auto"/>
          <w:spacing w:val="-4"/>
          <w:szCs w:val="21"/>
          <w:highlight w:val="none"/>
        </w:rPr>
        <w:t xml:space="preserve">名 称：临海市财政局政府采购监管科                    </w:t>
      </w:r>
    </w:p>
    <w:p>
      <w:pPr>
        <w:spacing w:line="400" w:lineRule="exact"/>
        <w:rPr>
          <w:rFonts w:ascii="宋体" w:hAnsi="宋体"/>
          <w:color w:val="auto"/>
          <w:spacing w:val="-4"/>
          <w:szCs w:val="21"/>
          <w:highlight w:val="none"/>
        </w:rPr>
      </w:pPr>
      <w:r>
        <w:rPr>
          <w:rFonts w:hint="eastAsia" w:ascii="宋体" w:hAnsi="宋体"/>
          <w:color w:val="auto"/>
          <w:spacing w:val="-4"/>
          <w:szCs w:val="21"/>
          <w:highlight w:val="none"/>
        </w:rPr>
        <w:t>地 址：</w:t>
      </w:r>
      <w:r>
        <w:rPr>
          <w:rFonts w:hint="eastAsia" w:ascii="宋体" w:hAnsi="宋体"/>
          <w:bCs/>
          <w:color w:val="auto"/>
          <w:szCs w:val="21"/>
          <w:highlight w:val="none"/>
        </w:rPr>
        <w:t>临海市巾山东路112号</w:t>
      </w:r>
      <w:r>
        <w:rPr>
          <w:rFonts w:hint="eastAsia" w:ascii="宋体" w:hAnsi="宋体"/>
          <w:color w:val="auto"/>
          <w:spacing w:val="-4"/>
          <w:szCs w:val="21"/>
          <w:highlight w:val="none"/>
        </w:rPr>
        <w:t xml:space="preserve">   </w:t>
      </w:r>
    </w:p>
    <w:p>
      <w:pPr>
        <w:spacing w:line="400" w:lineRule="exact"/>
        <w:rPr>
          <w:rFonts w:ascii="宋体" w:hAnsi="宋体"/>
          <w:color w:val="auto"/>
          <w:spacing w:val="-4"/>
          <w:szCs w:val="21"/>
          <w:highlight w:val="none"/>
        </w:rPr>
      </w:pPr>
      <w:r>
        <w:rPr>
          <w:rFonts w:hint="eastAsia" w:ascii="宋体" w:hAnsi="宋体"/>
          <w:color w:val="auto"/>
          <w:spacing w:val="-4"/>
          <w:szCs w:val="21"/>
          <w:highlight w:val="none"/>
        </w:rPr>
        <w:t>联系人：政府采购监管科</w:t>
      </w:r>
    </w:p>
    <w:p>
      <w:pPr>
        <w:spacing w:line="400" w:lineRule="exact"/>
        <w:rPr>
          <w:rFonts w:ascii="宋体" w:hAnsi="宋体"/>
          <w:color w:val="auto"/>
          <w:spacing w:val="-4"/>
          <w:szCs w:val="21"/>
          <w:highlight w:val="none"/>
        </w:rPr>
      </w:pPr>
      <w:r>
        <w:rPr>
          <w:rFonts w:hint="eastAsia" w:ascii="宋体" w:hAnsi="宋体"/>
          <w:color w:val="auto"/>
          <w:spacing w:val="-4"/>
          <w:szCs w:val="21"/>
          <w:highlight w:val="none"/>
        </w:rPr>
        <w:t>联系电话：0576-</w:t>
      </w:r>
      <w:r>
        <w:rPr>
          <w:rFonts w:ascii="宋体" w:hAnsi="宋体"/>
          <w:color w:val="auto"/>
          <w:spacing w:val="-4"/>
          <w:szCs w:val="21"/>
          <w:highlight w:val="none"/>
        </w:rPr>
        <w:t>85188034</w:t>
      </w:r>
      <w:r>
        <w:rPr>
          <w:rFonts w:hint="eastAsia" w:ascii="宋体" w:hAnsi="宋体"/>
          <w:color w:val="auto"/>
          <w:spacing w:val="-4"/>
          <w:szCs w:val="21"/>
          <w:highlight w:val="none"/>
        </w:rPr>
        <w:t xml:space="preserve"> </w:t>
      </w:r>
    </w:p>
    <w:p>
      <w:pPr>
        <w:spacing w:line="400" w:lineRule="exact"/>
        <w:rPr>
          <w:rFonts w:ascii="宋体" w:hAnsi="宋体"/>
          <w:b/>
          <w:color w:val="auto"/>
          <w:spacing w:val="-4"/>
          <w:szCs w:val="21"/>
          <w:highlight w:val="none"/>
        </w:rPr>
      </w:pPr>
      <w:r>
        <w:rPr>
          <w:rFonts w:hint="eastAsia" w:ascii="宋体" w:hAnsi="宋体"/>
          <w:b/>
          <w:color w:val="auto"/>
          <w:spacing w:val="-4"/>
          <w:szCs w:val="21"/>
          <w:highlight w:val="none"/>
        </w:rPr>
        <w:t>（4）政采云平台信息</w:t>
      </w:r>
    </w:p>
    <w:p>
      <w:pPr>
        <w:spacing w:line="420" w:lineRule="exact"/>
        <w:rPr>
          <w:rFonts w:ascii="宋体" w:hAnsi="宋体"/>
          <w:color w:val="auto"/>
          <w:highlight w:val="none"/>
        </w:rPr>
      </w:pPr>
      <w:r>
        <w:rPr>
          <w:rFonts w:hint="eastAsia" w:ascii="宋体" w:hAnsi="宋体"/>
          <w:color w:val="auto"/>
          <w:spacing w:val="-4"/>
          <w:szCs w:val="21"/>
          <w:highlight w:val="none"/>
        </w:rPr>
        <w:t>联系电话：</w:t>
      </w:r>
      <w:r>
        <w:rPr>
          <w:rFonts w:ascii="宋体" w:hAnsi="宋体"/>
          <w:color w:val="auto"/>
          <w:spacing w:val="-4"/>
          <w:szCs w:val="21"/>
          <w:highlight w:val="none"/>
        </w:rPr>
        <w:t>95763</w:t>
      </w:r>
      <w:r>
        <w:rPr>
          <w:rFonts w:hint="eastAsia" w:ascii="宋体" w:hAnsi="宋体"/>
          <w:color w:val="auto"/>
          <w:szCs w:val="21"/>
          <w:highlight w:val="none"/>
        </w:rPr>
        <w:t>2</w:t>
      </w:r>
      <w:r>
        <w:rPr>
          <w:rFonts w:ascii="宋体" w:hAnsi="宋体"/>
          <w:b/>
          <w:color w:val="auto"/>
          <w:szCs w:val="21"/>
          <w:highlight w:val="none"/>
        </w:rPr>
        <w:br w:type="page"/>
      </w:r>
      <w:r>
        <w:rPr>
          <w:rFonts w:hint="eastAsia" w:ascii="宋体" w:hAnsi="宋体"/>
          <w:b/>
          <w:color w:val="auto"/>
          <w:sz w:val="24"/>
          <w:highlight w:val="none"/>
        </w:rPr>
        <w:t>附件</w:t>
      </w:r>
    </w:p>
    <w:p>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pPr>
        <w:spacing w:line="400" w:lineRule="exact"/>
        <w:ind w:firstLine="720" w:firstLineChars="300"/>
        <w:jc w:val="center"/>
        <w:rPr>
          <w:rFonts w:ascii="宋体" w:hAnsi="宋体"/>
          <w:bCs/>
          <w:color w:val="auto"/>
          <w:sz w:val="24"/>
          <w:highlight w:val="none"/>
        </w:rPr>
      </w:pPr>
    </w:p>
    <w:p>
      <w:pPr>
        <w:spacing w:line="400" w:lineRule="exact"/>
        <w:ind w:firstLine="630" w:firstLineChars="300"/>
        <w:rPr>
          <w:rFonts w:ascii="宋体" w:hAnsi="宋体"/>
          <w:bCs/>
          <w:color w:val="auto"/>
          <w:szCs w:val="21"/>
          <w:highlight w:val="none"/>
        </w:rPr>
      </w:pPr>
      <w:r>
        <w:rPr>
          <w:rFonts w:hint="eastAsia" w:ascii="宋体" w:hAnsi="宋体"/>
          <w:bCs/>
          <w:color w:val="auto"/>
          <w:szCs w:val="21"/>
          <w:highlight w:val="none"/>
        </w:rPr>
        <w:t>为了充分发挥政府采购政策功能,进一步支持和促进中小企业发展，临海市财政局向临海市金融（保险）系统发起了“政采贷”、“政采保”融资服务倡议，得到了全市16家银行、1家保险公司响应，投标人若有融资意向，可以与以下银行（保险）联系人对接。</w:t>
      </w:r>
    </w:p>
    <w:p>
      <w:pPr>
        <w:widowControl/>
        <w:spacing w:line="360" w:lineRule="auto"/>
        <w:jc w:val="center"/>
        <w:textAlignment w:val="center"/>
        <w:rPr>
          <w:rFonts w:ascii="宋体" w:hAnsi="宋体" w:cs="宋体"/>
          <w:color w:val="auto"/>
          <w:kern w:val="0"/>
          <w:szCs w:val="21"/>
          <w:highlight w:val="none"/>
        </w:rPr>
      </w:pPr>
    </w:p>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政采保联系方式</w:t>
      </w: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6" w:type="dxa"/>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阳光财产保险股份有限公司临海支公司</w:t>
            </w:r>
          </w:p>
        </w:tc>
        <w:tc>
          <w:tcPr>
            <w:tcW w:w="3341" w:type="dxa"/>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合同（质量）履约按履约保证金年费率1%（1.5%</w:t>
            </w:r>
            <w:r>
              <w:rPr>
                <w:rFonts w:ascii="宋体" w:hAnsi="宋体" w:cs="宋体"/>
                <w:color w:val="auto"/>
                <w:kern w:val="0"/>
                <w:szCs w:val="21"/>
                <w:highlight w:val="none"/>
              </w:rPr>
              <w:t>）</w:t>
            </w:r>
            <w:r>
              <w:rPr>
                <w:rFonts w:hint="eastAsia" w:ascii="宋体" w:hAnsi="宋体" w:cs="宋体"/>
                <w:color w:val="auto"/>
                <w:kern w:val="0"/>
                <w:szCs w:val="21"/>
                <w:highlight w:val="none"/>
              </w:rPr>
              <w:t>，每单保函最低保险费为500元(300元)。</w:t>
            </w:r>
          </w:p>
        </w:tc>
        <w:tc>
          <w:tcPr>
            <w:tcW w:w="1134" w:type="dxa"/>
            <w:vAlign w:val="center"/>
          </w:tcPr>
          <w:p>
            <w:pPr>
              <w:widowControl/>
              <w:spacing w:line="360" w:lineRule="auto"/>
              <w:jc w:val="center"/>
              <w:textAlignment w:val="center"/>
              <w:rPr>
                <w:rFonts w:ascii="宋体" w:hAnsi="宋体" w:cs="宋体"/>
                <w:b/>
                <w:color w:val="auto"/>
                <w:kern w:val="0"/>
                <w:szCs w:val="21"/>
                <w:highlight w:val="none"/>
              </w:rPr>
            </w:pPr>
            <w:r>
              <w:rPr>
                <w:rFonts w:hint="eastAsia" w:ascii="宋体" w:hAnsi="宋体" w:cs="宋体"/>
                <w:bCs/>
                <w:color w:val="auto"/>
                <w:kern w:val="0"/>
                <w:szCs w:val="21"/>
                <w:highlight w:val="none"/>
              </w:rPr>
              <w:t>马李莉</w:t>
            </w:r>
          </w:p>
        </w:tc>
        <w:tc>
          <w:tcPr>
            <w:tcW w:w="1751" w:type="dxa"/>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13586026113（微信同号）</w:t>
            </w:r>
          </w:p>
        </w:tc>
      </w:tr>
    </w:tbl>
    <w:p>
      <w:pPr>
        <w:spacing w:line="400" w:lineRule="exact"/>
        <w:ind w:firstLine="630" w:firstLineChars="300"/>
        <w:jc w:val="center"/>
        <w:rPr>
          <w:rFonts w:ascii="宋体" w:hAnsi="宋体"/>
          <w:bCs/>
          <w:color w:val="auto"/>
          <w:szCs w:val="21"/>
          <w:highlight w:val="none"/>
        </w:rPr>
      </w:pPr>
    </w:p>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政采贷联系方式</w:t>
      </w:r>
    </w:p>
    <w:tbl>
      <w:tblPr>
        <w:tblStyle w:val="49"/>
        <w:tblW w:w="8278" w:type="dxa"/>
        <w:jc w:val="center"/>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联系电话</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朱菲</w:t>
            </w:r>
            <w:r>
              <w:rPr>
                <w:rFonts w:ascii="宋体" w:hAnsi="宋体" w:cs="宋体"/>
                <w:color w:val="auto"/>
                <w:kern w:val="0"/>
                <w:szCs w:val="21"/>
                <w:highlight w:val="none"/>
              </w:rPr>
              <w:t>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13732333886</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13606652552</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13666860933</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金寅姿</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13575826932</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15988990003</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15267208988</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13586122727</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13666868989</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13705760213</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3.9 %起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15068686860</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18657661866</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18906767388</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15967009253</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3.85 %起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吴静静</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13606680050</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3.85 %起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13676697833</w:t>
            </w:r>
          </w:p>
        </w:tc>
      </w:tr>
      <w:tr>
        <w:tblPrEx>
          <w:tblCellMar>
            <w:top w:w="15" w:type="dxa"/>
            <w:left w:w="15" w:type="dxa"/>
            <w:bottom w:w="15" w:type="dxa"/>
            <w:right w:w="15" w:type="dxa"/>
          </w:tblCellMar>
        </w:tblPrEx>
        <w:trPr>
          <w:trHeight w:val="39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13736200193</w:t>
            </w:r>
          </w:p>
        </w:tc>
      </w:tr>
    </w:tbl>
    <w:p>
      <w:pPr>
        <w:rPr>
          <w:rFonts w:ascii="宋体" w:hAnsi="宋体"/>
          <w:b/>
          <w:color w:val="auto"/>
          <w:highlight w:val="none"/>
        </w:rPr>
      </w:pPr>
    </w:p>
    <w:p>
      <w:pPr>
        <w:rPr>
          <w:rFonts w:ascii="宋体" w:hAnsi="宋体"/>
          <w:b/>
          <w:color w:val="auto"/>
          <w:highlight w:val="none"/>
        </w:rPr>
      </w:pPr>
    </w:p>
    <w:p>
      <w:pPr>
        <w:spacing w:line="400" w:lineRule="exact"/>
        <w:jc w:val="center"/>
        <w:outlineLvl w:val="0"/>
        <w:rPr>
          <w:rFonts w:ascii="宋体" w:hAnsi="宋体"/>
          <w:b/>
          <w:color w:val="auto"/>
          <w:sz w:val="24"/>
          <w:highlight w:val="none"/>
        </w:rPr>
      </w:pPr>
      <w:r>
        <w:rPr>
          <w:rFonts w:ascii="宋体" w:hAnsi="宋体"/>
          <w:color w:val="auto"/>
          <w:sz w:val="24"/>
          <w:highlight w:val="none"/>
        </w:rPr>
        <w:br w:type="page"/>
      </w:r>
      <w:bookmarkStart w:id="5" w:name="_Toc28774"/>
      <w:bookmarkStart w:id="6" w:name="_Toc467749357"/>
      <w:bookmarkStart w:id="7" w:name="_Toc466534748"/>
      <w:r>
        <w:rPr>
          <w:rFonts w:hint="eastAsia" w:ascii="宋体" w:hAnsi="Courier New"/>
          <w:b/>
          <w:color w:val="auto"/>
          <w:kern w:val="0"/>
          <w:sz w:val="30"/>
          <w:szCs w:val="30"/>
          <w:highlight w:val="none"/>
        </w:rPr>
        <w:t>第二章  招标需求</w:t>
      </w:r>
      <w:bookmarkEnd w:id="5"/>
    </w:p>
    <w:bookmarkEnd w:id="6"/>
    <w:bookmarkEnd w:id="7"/>
    <w:p>
      <w:pPr>
        <w:snapToGrid w:val="0"/>
        <w:spacing w:line="390" w:lineRule="exact"/>
        <w:jc w:val="left"/>
        <w:rPr>
          <w:rFonts w:ascii="Arial" w:hAnsi="Arial" w:cs="Arial"/>
          <w:b/>
          <w:color w:val="auto"/>
          <w:szCs w:val="21"/>
          <w:highlight w:val="none"/>
        </w:rPr>
      </w:pPr>
    </w:p>
    <w:p>
      <w:pPr>
        <w:spacing w:line="360" w:lineRule="auto"/>
        <w:ind w:firstLine="422" w:firstLineChars="200"/>
        <w:rPr>
          <w:color w:val="auto"/>
          <w:highlight w:val="none"/>
        </w:rPr>
      </w:pPr>
      <w:r>
        <w:rPr>
          <w:rFonts w:hint="eastAsia"/>
          <w:b/>
          <w:bCs/>
          <w:color w:val="auto"/>
          <w:highlight w:val="none"/>
        </w:rPr>
        <w:t>一、项目概述</w:t>
      </w:r>
      <w:r>
        <w:rPr>
          <w:rFonts w:hint="eastAsia"/>
          <w:color w:val="auto"/>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按照《建设工程消防设计审查验收管理暂行规定》 （住房和城乡建设部令〔2023〕第58号）、《建设工程消防设计审查验收工作细则》（建科规〔2024〕3号）、《浙江省建设工程消防设计审查验收管理暂行办法》（浙建〔2020〕3号）、《台州市建设工程消防设计审查验收实施细则（试行）》（台建〔2020〕240号）等文件要求，做好临海市建设工程消防验收技术服务工作。</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二、项目内容</w:t>
      </w:r>
    </w:p>
    <w:tbl>
      <w:tblPr>
        <w:tblStyle w:val="4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25"/>
        <w:gridCol w:w="690"/>
        <w:gridCol w:w="690"/>
        <w:gridCol w:w="1095"/>
        <w:gridCol w:w="1170"/>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预算单价</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暂定数量</w:t>
            </w: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2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临海市</w:t>
            </w:r>
            <w:r>
              <w:rPr>
                <w:rFonts w:hint="eastAsia" w:ascii="宋体" w:hAnsi="宋体" w:cs="宋体"/>
                <w:color w:val="auto"/>
                <w:szCs w:val="21"/>
                <w:highlight w:val="none"/>
              </w:rPr>
              <w:t xml:space="preserve">建设工程消防验收技术服务项目 </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xml:space="preserve"> 0.5元/平方米</w:t>
            </w:r>
          </w:p>
        </w:tc>
        <w:tc>
          <w:tcPr>
            <w:tcW w:w="1170"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2000000平方米</w:t>
            </w:r>
          </w:p>
        </w:tc>
        <w:tc>
          <w:tcPr>
            <w:tcW w:w="35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对采购人指定的项目严格依据国家法律法规、国家工程建设消防技术标准和省、市有关规定,承担建设工程（包括但不限于民用建筑、工业建筑、公共建筑、医药化工类建筑等）消防施工日常抽检、消防验收与备案抽检的消防设施检测、装修材料抽样送检、现场评定、资料整理，配合采购人加强对在建工程的消防检查、资料抽查、产品检验等工作。</w:t>
            </w:r>
          </w:p>
        </w:tc>
      </w:tr>
    </w:tbl>
    <w:p>
      <w:pPr>
        <w:pStyle w:val="23"/>
        <w:rPr>
          <w:rFonts w:ascii="宋体" w:hAnsi="宋体" w:cs="宋体"/>
          <w:color w:val="auto"/>
          <w:szCs w:val="21"/>
          <w:highlight w:val="none"/>
        </w:rPr>
      </w:pPr>
      <w:r>
        <w:rPr>
          <w:rFonts w:hint="eastAsia" w:hAnsi="宋体" w:cs="宋体"/>
          <w:color w:val="auto"/>
          <w:szCs w:val="21"/>
          <w:highlight w:val="none"/>
        </w:rPr>
        <w:t>注：1.</w:t>
      </w:r>
      <w:r>
        <w:rPr>
          <w:rFonts w:hint="eastAsia" w:ascii="宋体" w:hAnsi="宋体" w:cs="宋体"/>
          <w:color w:val="auto"/>
          <w:szCs w:val="21"/>
          <w:highlight w:val="none"/>
        </w:rPr>
        <w:t>最高投标限价单价不超过0.5元/平方米，否则作无效标处理。</w:t>
      </w:r>
    </w:p>
    <w:p>
      <w:pPr>
        <w:pStyle w:val="23"/>
        <w:ind w:firstLine="840" w:firstLineChars="400"/>
        <w:rPr>
          <w:rFonts w:ascii="宋体" w:hAnsi="宋体" w:cs="宋体"/>
          <w:color w:val="auto"/>
          <w:szCs w:val="21"/>
          <w:highlight w:val="none"/>
        </w:rPr>
      </w:pPr>
      <w:r>
        <w:rPr>
          <w:rFonts w:hint="eastAsia" w:ascii="宋体" w:hAnsi="宋体" w:cs="宋体"/>
          <w:color w:val="auto"/>
          <w:szCs w:val="21"/>
          <w:highlight w:val="none"/>
        </w:rPr>
        <w:t>2.数量为暂定数量，具体按实结算。</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三、项目具体要求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3.1服务范围：临海市范围内采购人指定的项目。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3.2服务人员要求：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（1）根据本项目情况，一般需要配置2组，每组具体项目服务人员应由4名及以上中级及以上消防设施操作员或四级建（构）筑物消防员组成，其中至少1名应具备一级注册消防工程师资格；</w:t>
      </w:r>
      <w:r>
        <w:rPr>
          <w:rFonts w:hint="eastAsia" w:ascii="宋体" w:hAnsi="宋体" w:cs="宋体"/>
          <w:bCs/>
          <w:color w:val="auto"/>
          <w:szCs w:val="21"/>
          <w:highlight w:val="none"/>
        </w:rPr>
        <w:t>人员密集且建筑面积大于3万平方米及以上或者建筑面积大于10万平方米及以上项目，供应商应根据采购人实际工作需要进行人员调整；</w:t>
      </w:r>
      <w:r>
        <w:rPr>
          <w:rFonts w:hint="eastAsia" w:ascii="宋体" w:hAnsi="宋体" w:cs="宋体"/>
          <w:color w:val="auto"/>
          <w:szCs w:val="21"/>
          <w:highlight w:val="none"/>
        </w:rPr>
        <w:t>项目服务人员应具有丰富的工作经验和较强的实践能力，能迅速满足采购人要求。中标人如因工作需要临时增加人员，采购人不为此额外支付费用。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中标人应按照投标文件承诺的人员提供服务，并将人员名单报备到采购人处；中标人的服务人员未经采购人同意不得随意变更。如遇特殊原因需要更换人员的，则必须是同等资格的人员予以更换，并提前将更换人员的信息报备到采购人处，采购人不承担任何人员更换的额外费用。期间若服务人员缺位按500元/人·天予以扣除。</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中标人须安排至少2名人员（其中2名人员须具备一级注册消防工程师或一级注册建筑师或注册电气工程师或注册结构工程师或注册公用设备工程师（给排水或者暖通空调专业），可同时作为项目验收人员）常驻采购人指定地点，常驻采购人现场，工作日必须到岗，驻场期间产生的全部费用（包括办公、交通、食宿等）均由中标人负责。由中标人提供人员名单报采购人确认，如未提供相关人员或未满足要求，采购人有权解除合同。</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（4）采购人每月对服务人员的到岗情况、责任心、工作能力、合作性、廉洁性进行考核，如有考核不合格人员需立即更换，直至能满足相应岗位要求，采购人不承担任何人员更换的额外费用。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中标人及相关人员在本项目合同服务期内不得在临海市行政区域范围内承接消防相关的设计、施工、工程监理、设施检测、消防咨询、器材销售等相关业务，如发现存在违规情况，采购人有权解除合同，由此造成的损失由中标供应商承担。</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3.3服务人员变更要求：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服务人员以中标人投标文件提供为准，服务人员未经采购人同意不得随意变更。采购人每月对服务人员的责任心、工作能力、合作性、廉洁性进行审查，如有审查不合格人员需按采购人要求立即更换，直至能满足相应岗位要求，采购人不承担任何人员更换的额外费用，期间不合格服务人员的服务费用不予支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四、服务内容</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4.1中标人对采购人指定的项目严格依据国家法律法规、国家工程建设消防技术标准和省、市有关规定,承担消防验收技术评定、建设工程消防施工日常抽检、未抽中项目随机抽查检测、消防材料设备抽查、装修材料抽样送检、消防施工业务指导培训、资料整理等工作；协助采购人对在建工程进行消防检查与产品和资料抽查，并对出具意见或报告负责；参与采购人组织的各类消防大排查、大整治等专项行动。</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服务的具体内容包括但不限于以下内容：</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4.1.1熟悉图纸：熟悉各检查项目位置，确定抽查位置，编制抽查记录。</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4.1.2现场评定：详见下文“履约要求”。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4.1.3填写最终现场评定记录形成部分报告，并出具整改意见。</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4.1.4核查现场评定整改情况并出具最终评定报告</w:t>
      </w:r>
      <w:r>
        <w:rPr>
          <w:rFonts w:ascii="宋体" w:hAnsi="宋体" w:cs="宋体"/>
          <w:color w:val="auto"/>
          <w:szCs w:val="21"/>
          <w:highlight w:val="none"/>
        </w:rPr>
        <w:t>。</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4.2其他内容</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4.2.1.在采购人组织的各类消防大排查、大整治、工地检查等专项行动、消防验收（备案项目抽中）现场评定中，采购人对项目装修材料燃烧性能等有疑义的，由中标人委托有资质的检测机构对装修材料燃烧性能等指标进行检测。（此项涉及的全部费用已考虑在本项目投标报价中，中标人不得再向采购人收取其他费用，抽样送检全年不超过10次）</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4.2.2协助采购人进行档案整理</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中标人需提供专门人员协助采购人及时对所承办的消防验收、备案抽查的相关资料进行收集、整理，及时按照归档内容及装订顺序立卷存放，确保案卷材料齐全完整、真实合法。（此项涉及的全部费用已考虑在本项目投标报价中，中标人不得再向采购人收取其他费用）</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4.2.3中标人需无条件配合并参与采购人组织的各类消防大排查、大整治等专项行动；中标人需提供专门人员协助采购人及时完成各类消防大排查、大整治等专项行动相关资料的收集、整理、归档工作。（此项涉及的全部费用已考虑在本项目投标报价中，中标人不得再向采购人收取其他费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4.3完成采购人交办的与消防技术服务工作相关的其他任务。</w:t>
      </w:r>
    </w:p>
    <w:p>
      <w:pPr>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履约要求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5.1合规性审查</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5.1.1工程竣工验收报告编制符合相关规定，竣工验收消防查验内容完整、符合要求；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5.1.2涉及消防的建设工程竣工图纸与经审查合格的消防设计文件相符。</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5.2现场评定</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现场评定应当依据消防法律法规、国家及地方的工程建设消防技术标准和涉及消防的建筑工程竣工图纸、消防设计审查意见等进行评定。消防法律法规、国家及地方的工程建设消防技术标准原则上应采用消防设计审查受理时所适用的版本。</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现场评定内容包括：</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（1）对建筑物防（灭）火设施的外观进行现场抽样查看；</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（2）通过专业仪器设备对涉及距离、高度、宽度、长度、面积、厚度、管径等可测量的指标进行现场抽样测量；</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（3）对消防设施的功能进行抽样测试、联调联试消防设施的系统功能等。</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（4）现场评定以上述 3 款规定的现场检查内容为主（查看外观；测量距离、高度、宽度、长度、面积、厚度、管径等；测试消防设施的功能、联调联试消防设施的系统功能等），涉及消防的建筑材料、建筑构配件和设备、产品的相关试验、检验、检测报告等以及施工记录、质量验收记录等资料类核查并非评定时的必要工作内容。但若评定方认为有必要时，可针对具体某一检查子项目相应从上述各种类型的资料中任意选取1份（或1份以上）进行抽查，查阅所反映的结果可作为评定判断的依据。相关单位应配合提供相关资料作为证明文件（资料可为原件或复印件并加盖建设单位、施工单位等公章，建设单位、施工单位、资料文件出具单位应承诺确保资料真实有效，建设单位、施工单位并应确保与现场实施情况相符，因资料不实所造成的责任和法律后果由建设单位、施工单位、资料文件出具单位相应承担）。对建筑物防（灭）火设施的外观进行现场抽样查看；通过专业仪器设备对涉及距离、高度、宽度、长度、面积、厚度等可测量的指标进行现场抽样测量；对消防设施的功能进行抽样测试、联调联试消防设施的系统功能等。</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现场评定具体项目包括：</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5.2.1建筑类别与耐火等级；</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5.2.2总平面布局，包括防火间距、消防车道、消防车登高面、消防车登高操作场地等项目；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5.2.4建筑外墙、屋面保温和建筑外墙装饰；</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5.2.6防火分隔，包括防火分区，防火墙，防火门、窗，竖向管道井、其他有防火分隔要求的部位等项目；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5.2.7防爆，包括泄压设施，以及防静电、防积聚、防流散等措施；</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5.2.8安全疏散，包括安全出口、疏散门、疏散走道、避难层(间)、消防应急照明和疏散指示标志等项目；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5.2.9消防电梯；</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5.2.10消火栓系统，包括供水水源、消防水池、消防水泵、官网、室内外消火栓、系统功能等项目；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5.2.11自动喷水灭火系统，包括供水水源、消防水池、消防水泵、报警阀组、喷头、系统功能等项目；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5.2.12火灾自动报警系统，包括系统形式、火灾探测器的报警功能、系统功能、以及火灾报警控制器、联动设备和消防控制室图形显示装置等项目；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5.2.13防烟排烟系统及通风、空调系统防火，包括系统设置、排烟风机、管道、系统功能等项目；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5.2.14消防电气，包括消防电源、柴油发电机房、变配电房、消防配电、用电设施等项目；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5.2.15建筑灭火器，包括种类、数量、配置、布置等项目；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5.2.16泡沫灭火系统，包括泡沫灭火系统防护区、以及泡沫比例混合、泡沫发生装置等项目；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5.2.17气体灭火系统的系统功能；</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5.2.18其他工程建设消防技术标准强制性条文规定的项目，以及带有“严禁”、“必须”、“应”、 “不应”、“不得” 要求的非强制性条文规定的项目。</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5.3抽样要求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现场抽样查看、测量、设施及系统功能测试应符合下列要求：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5.3.1每一项目的抽样数量不少于2处，当总数不大于2处时，全部检查；</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5.3.2防火间距、消防车登高操作场地、消防车道的设置及安全出口的形式和数量应全部检查。</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5.4现场评定结论</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消防验收现场评定符合下列条件的，结论为合格；不符合下列任意一项的，结论为不合格：</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5.4.1现场评定内容符合经消防设计审查合格的消防设计文件； </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5.4.2现场评定内容符合国家工程建设消防技术标准强制性条文规定的要求；</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5.4.3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5.4.4现场评定内容为消防设施性能的，满足设计文件要求并能正常实现；</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5.4.5现场评定内容为系统功能的，系统主要功能满足设计文件要求并能正常实现。</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未按照经消防设计审查合格的消防设计文件施工建设、造成项目内容缺少的，或与设计文件严重不符、影响建设工程消防安全功能实现的，评定为不合格。</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六、技术执行标准</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1.《建设工程消防设计审查验收管理暂行规定》（住房和城乡建设部令〔2023〕第58号）</w:t>
      </w:r>
    </w:p>
    <w:p>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2.住房和城乡建设部《关于印发〈建设工程消防设计审查验收工作细则〉和〈建设工程消防设计审查、消防验收、备案和抽查文书式样〉的通知》（建科规〔2024〕3号）</w:t>
      </w:r>
    </w:p>
    <w:p>
      <w:pPr>
        <w:autoSpaceDE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《浙江省建设工程消防设计审查验收管理暂行办法》（浙建〔2020〕3号）</w:t>
      </w:r>
    </w:p>
    <w:p>
      <w:pPr>
        <w:spacing w:line="360" w:lineRule="auto"/>
        <w:ind w:right="-178" w:rightChars="-85" w:firstLine="420" w:firstLineChars="200"/>
        <w:rPr>
          <w:rFonts w:ascii="宋体" w:hAnsi="宋体" w:cs="宋体"/>
          <w:bCs/>
          <w:color w:val="auto"/>
          <w:szCs w:val="21"/>
          <w:highlight w:val="none"/>
        </w:rPr>
      </w:pPr>
      <w:r>
        <w:rPr>
          <w:rFonts w:hint="eastAsia" w:ascii="宋体" w:hAnsi="宋体" w:cs="宋体"/>
          <w:bCs/>
          <w:color w:val="auto"/>
          <w:szCs w:val="21"/>
          <w:highlight w:val="none"/>
        </w:rPr>
        <w:t>4.《台州市建设工程消防设计审查验收实施细则（试行）》（台建〔2020〕240号）</w:t>
      </w:r>
    </w:p>
    <w:p>
      <w:pPr>
        <w:spacing w:line="360" w:lineRule="auto"/>
        <w:ind w:right="-178" w:rightChars="-85" w:firstLine="420" w:firstLineChars="200"/>
        <w:rPr>
          <w:rFonts w:ascii="宋体" w:hAnsi="宋体" w:cs="宋体"/>
          <w:bCs/>
          <w:color w:val="auto"/>
          <w:szCs w:val="21"/>
          <w:highlight w:val="none"/>
        </w:rPr>
      </w:pPr>
      <w:r>
        <w:rPr>
          <w:rFonts w:hint="eastAsia" w:ascii="宋体" w:hAnsi="宋体" w:cs="宋体"/>
          <w:bCs/>
          <w:color w:val="auto"/>
          <w:szCs w:val="21"/>
          <w:highlight w:val="none"/>
        </w:rPr>
        <w:t>5.《建设工程消防验收评定规则》（GA836-2016）</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bCs/>
          <w:color w:val="auto"/>
          <w:szCs w:val="21"/>
          <w:highlight w:val="none"/>
        </w:rPr>
        <w:t>6.</w:t>
      </w:r>
      <w:r>
        <w:rPr>
          <w:rFonts w:hint="eastAsia" w:ascii="宋体" w:hAnsi="宋体" w:cs="宋体"/>
          <w:color w:val="auto"/>
          <w:szCs w:val="21"/>
          <w:highlight w:val="none"/>
        </w:rPr>
        <w:t>项目设计图纸，主管部门的建审意见。</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7.其它相关法律法规及地方文件。</w:t>
      </w:r>
    </w:p>
    <w:p>
      <w:pPr>
        <w:spacing w:line="360" w:lineRule="auto"/>
        <w:ind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备注：有最新的标准以最新的标准为准。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七、服务质量要求</w:t>
      </w:r>
    </w:p>
    <w:p>
      <w:pPr>
        <w:autoSpaceDE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严格依据建设工程法律法规、国家工程建设消防技术标准、《建设工程消防设计审查验收管理暂行规定》（住建部令第58号）和国家、省、市有关规定和实施细则要求、涉及消防的建设工程竣工图纸、消防设计审查意见等提供服务，开展申请材料合规性审查、消防设施检测和现场评定，现场评定意见或报告应及时（合规性审查≤1天出意见，消防设施检测和现场评定≤3天出报告）反馈，结论应清晰、明确，并对提供的意见或报告负责。在供应商服务期内，若国家、省、市有关部门出台建设工程消防验收有关的新政策、新规定、新要求等，应按相关规定提供服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▲八、商务条款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1.服务时间：合同签订之日起1年。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2.服务地点：采购人指定地点。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3.结算方式：</w:t>
      </w:r>
      <w:r>
        <w:rPr>
          <w:rFonts w:hint="eastAsia" w:ascii="宋体" w:hAnsi="宋体" w:cs="宋体"/>
          <w:bCs/>
          <w:color w:val="auto"/>
          <w:szCs w:val="21"/>
          <w:highlight w:val="none"/>
        </w:rPr>
        <w:t>本项目按实结算（单个项目结算费用不超过5万元）</w:t>
      </w:r>
      <w:r>
        <w:rPr>
          <w:rFonts w:hint="eastAsia" w:ascii="宋体" w:hAnsi="宋体" w:cs="宋体"/>
          <w:color w:val="auto"/>
          <w:szCs w:val="21"/>
          <w:highlight w:val="none"/>
        </w:rPr>
        <w:t>，结算价以实际完成数量（消防验收评定、消防备案抽中的实际数量）为准，结算价＝Σ中标单价×实际完成数量；</w:t>
      </w:r>
      <w:r>
        <w:rPr>
          <w:rFonts w:hint="eastAsia" w:ascii="宋体" w:hAnsi="宋体" w:cs="宋体"/>
          <w:color w:val="auto"/>
          <w:szCs w:val="21"/>
          <w:highlight w:val="none"/>
          <w:lang w:val="zh-CN"/>
        </w:rPr>
        <w:t>如有重复开展验收（复查等）的行为，不重复计价，不影响最终结算。</w:t>
      </w:r>
      <w:r>
        <w:rPr>
          <w:rFonts w:hint="eastAsia" w:ascii="宋体" w:hAnsi="宋体" w:cs="宋体"/>
          <w:color w:val="auto"/>
          <w:szCs w:val="21"/>
          <w:highlight w:val="none"/>
        </w:rPr>
        <w:t>最终结算总价不超过合同价。</w:t>
      </w:r>
    </w:p>
    <w:p>
      <w:pPr>
        <w:pStyle w:val="29"/>
        <w:adjustRightInd w:val="0"/>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4.付款方式：合同生效以及具备实施条件后</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个工作日内支付合同金额25%的预付款；每6个月结算1次，第1次采购人根据中标人实际完成数量（如有扣罚，则减去扣罚的部分，其中第1次付款时全额扣回预付款，不足部分在后续付款中扣回）待中标人向采购人交付正式发票后在次月的25日前支付结算款，第2次在中标人完成所有工作任务并无遗留质量问题，采购人根据中标人实际完成数量（如有扣罚，则减去扣罚的部分）待中标人向采购人交付正式发票后在次月的25日前一次性付清。（具体支付时间以财政拨款时间为准，因中标人未按合同约定履行或因财政拨款时间延迟等原因造成不能及时付款的，采购人不承担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5.本次招标消防技术服务单个项目面积可能存在较多过小或过大的情况，投标人在投标报价时应充分考虑该风险。</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八、其他</w:t>
      </w:r>
    </w:p>
    <w:p>
      <w:pPr>
        <w:spacing w:line="400" w:lineRule="exact"/>
        <w:ind w:firstLine="310" w:firstLineChars="147"/>
        <w:rPr>
          <w:rFonts w:ascii="宋体" w:hAnsi="宋体" w:cs="宋体"/>
          <w:b/>
          <w:bCs/>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供应商要求在浙江省消防技术服务管理系统中备案https://xfzzgl.zjxf119.com/，同时具有消防设施维护保养检测和消防安全评估能力。（须提供已完成备案的截图）</w:t>
      </w:r>
    </w:p>
    <w:p>
      <w:pPr>
        <w:spacing w:line="400" w:lineRule="exact"/>
        <w:ind w:firstLine="422" w:firstLineChars="200"/>
        <w:rPr>
          <w:rFonts w:ascii="宋体" w:hAnsi="宋体" w:cs="宋体"/>
          <w:b/>
          <w:bCs/>
          <w:color w:val="auto"/>
          <w:szCs w:val="21"/>
          <w:highlight w:val="none"/>
        </w:rPr>
      </w:pPr>
      <w:bookmarkStart w:id="8" w:name="_Toc26090"/>
      <w:bookmarkStart w:id="9" w:name="_Toc28802"/>
      <w:bookmarkStart w:id="10" w:name="_Toc10200"/>
      <w:r>
        <w:rPr>
          <w:rFonts w:hint="eastAsia" w:ascii="宋体" w:hAnsi="宋体" w:cs="宋体"/>
          <w:b/>
          <w:bCs/>
          <w:color w:val="auto"/>
          <w:szCs w:val="21"/>
          <w:highlight w:val="none"/>
        </w:rPr>
        <w:t>2.</w:t>
      </w:r>
      <w:r>
        <w:rPr>
          <w:rFonts w:ascii="宋体" w:hAnsi="宋体" w:cs="宋体"/>
          <w:b/>
          <w:bCs/>
          <w:color w:val="auto"/>
          <w:szCs w:val="21"/>
          <w:highlight w:val="none"/>
        </w:rPr>
        <w:t>中标单位</w:t>
      </w:r>
      <w:r>
        <w:rPr>
          <w:rFonts w:hint="eastAsia" w:ascii="宋体" w:hAnsi="宋体" w:cs="宋体"/>
          <w:b/>
          <w:bCs/>
          <w:color w:val="auto"/>
          <w:szCs w:val="21"/>
          <w:highlight w:val="none"/>
        </w:rPr>
        <w:t>承诺</w:t>
      </w:r>
      <w:r>
        <w:rPr>
          <w:rFonts w:ascii="宋体" w:hAnsi="宋体" w:cs="宋体"/>
          <w:b/>
          <w:bCs/>
          <w:color w:val="auto"/>
          <w:szCs w:val="21"/>
          <w:highlight w:val="none"/>
        </w:rPr>
        <w:t>在</w:t>
      </w:r>
      <w:r>
        <w:rPr>
          <w:rFonts w:hint="eastAsia" w:ascii="宋体" w:hAnsi="宋体" w:cs="宋体"/>
          <w:b/>
          <w:bCs/>
          <w:color w:val="auto"/>
          <w:szCs w:val="21"/>
          <w:highlight w:val="none"/>
        </w:rPr>
        <w:t>接到采购人通知后2小时内达到指定地点，否则采购人有权取消其中标资格</w:t>
      </w:r>
      <w:r>
        <w:rPr>
          <w:rFonts w:ascii="宋体" w:hAnsi="宋体" w:cs="宋体"/>
          <w:b/>
          <w:bCs/>
          <w:color w:val="auto"/>
          <w:szCs w:val="21"/>
          <w:highlight w:val="none"/>
        </w:rPr>
        <w:t>。</w:t>
      </w:r>
    </w:p>
    <w:p>
      <w:pPr>
        <w:adjustRightInd w:val="0"/>
        <w:spacing w:line="42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3.本采购标的对应的中小企业划分标准所属行业为：</w:t>
      </w:r>
      <w:bookmarkEnd w:id="8"/>
      <w:bookmarkEnd w:id="9"/>
      <w:bookmarkEnd w:id="10"/>
      <w:r>
        <w:rPr>
          <w:rFonts w:hint="eastAsia" w:ascii="宋体" w:hAnsi="宋体" w:cs="宋体"/>
          <w:b/>
          <w:bCs/>
          <w:color w:val="auto"/>
          <w:szCs w:val="21"/>
          <w:highlight w:val="none"/>
        </w:rPr>
        <w:t>其他未列明行业。</w:t>
      </w:r>
    </w:p>
    <w:p>
      <w:pPr>
        <w:spacing w:line="440" w:lineRule="exact"/>
        <w:ind w:firstLine="420" w:firstLineChars="200"/>
        <w:jc w:val="center"/>
        <w:rPr>
          <w:rFonts w:ascii="宋体" w:hAnsi="宋体"/>
          <w:b/>
          <w:color w:val="auto"/>
          <w:sz w:val="30"/>
          <w:szCs w:val="30"/>
          <w:highlight w:val="none"/>
        </w:rPr>
      </w:pPr>
      <w:r>
        <w:rPr>
          <w:rFonts w:hint="eastAsia" w:ascii="宋体" w:hAnsi="宋体" w:cs="宋体"/>
          <w:color w:val="auto"/>
          <w:szCs w:val="21"/>
          <w:highlight w:val="none"/>
        </w:rPr>
        <w:br w:type="page"/>
      </w:r>
      <w:bookmarkStart w:id="11" w:name="_Toc466534749"/>
      <w:bookmarkStart w:id="12" w:name="_Toc16021"/>
      <w:r>
        <w:rPr>
          <w:rFonts w:hint="eastAsia" w:ascii="宋体" w:hAnsi="宋体"/>
          <w:b/>
          <w:color w:val="auto"/>
          <w:sz w:val="30"/>
          <w:szCs w:val="30"/>
          <w:highlight w:val="none"/>
        </w:rPr>
        <w:t>第三章  投标人须知</w:t>
      </w:r>
      <w:bookmarkEnd w:id="11"/>
      <w:bookmarkEnd w:id="12"/>
    </w:p>
    <w:p>
      <w:pPr>
        <w:snapToGrid w:val="0"/>
        <w:spacing w:beforeLines="50" w:afterLines="50"/>
        <w:ind w:left="476"/>
        <w:jc w:val="center"/>
        <w:rPr>
          <w:rFonts w:ascii="宋体" w:hAnsi="宋体"/>
          <w:b/>
          <w:color w:val="auto"/>
          <w:szCs w:val="21"/>
          <w:highlight w:val="none"/>
        </w:rPr>
      </w:pPr>
      <w:r>
        <w:rPr>
          <w:rFonts w:hint="eastAsia" w:ascii="宋体" w:hAnsi="宋体"/>
          <w:b/>
          <w:color w:val="auto"/>
          <w:szCs w:val="21"/>
          <w:highlight w:val="none"/>
        </w:rPr>
        <w:t>前附表</w:t>
      </w:r>
    </w:p>
    <w:p>
      <w:pPr>
        <w:snapToGrid w:val="0"/>
        <w:spacing w:beforeLines="50" w:afterLines="50"/>
        <w:ind w:left="476"/>
        <w:jc w:val="center"/>
        <w:rPr>
          <w:rFonts w:ascii="宋体" w:hAnsi="宋体"/>
          <w:b/>
          <w:color w:val="auto"/>
          <w:szCs w:val="21"/>
          <w:highlight w:val="none"/>
        </w:rPr>
      </w:pPr>
    </w:p>
    <w:tbl>
      <w:tblPr>
        <w:tblStyle w:val="49"/>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823"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项目名称：</w:t>
            </w:r>
            <w:r>
              <w:rPr>
                <w:rFonts w:hint="eastAsia"/>
                <w:bCs/>
                <w:color w:val="auto"/>
                <w:sz w:val="21"/>
                <w:szCs w:val="21"/>
                <w:highlight w:val="none"/>
              </w:rPr>
              <w:t>临海市建设工程消防验收技术服务项目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r>
              <w:rPr>
                <w:rFonts w:hint="eastAsia" w:ascii="宋体" w:hAnsi="宋体"/>
                <w:b/>
                <w:bCs/>
                <w:color w:val="auto"/>
                <w:szCs w:val="21"/>
                <w:highlight w:val="none"/>
              </w:rPr>
              <w:t>3、本项目招标代理服务费根据中标价由成交供应商支付给采购代理机构，在采购代理机构发出成交通知书前一次性付清招标代理服务费用，计费基数为中标金额，收费采用差额定率累进计费方式，具体标准如下：中标价*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b/>
                <w:bCs/>
                <w:color w:val="auto"/>
                <w:szCs w:val="21"/>
                <w:highlight w:val="none"/>
              </w:rPr>
              <w:t>现场踏勘</w:t>
            </w:r>
            <w:r>
              <w:rPr>
                <w:rFonts w:hint="eastAsia" w:ascii="宋体" w:hAnsi="宋体"/>
                <w:color w:val="auto"/>
                <w:szCs w:val="21"/>
                <w:highlight w:val="none"/>
              </w:rPr>
              <w:t>：投标人可对</w:t>
            </w:r>
            <w:r>
              <w:rPr>
                <w:rFonts w:ascii="宋体" w:hAnsi="宋体"/>
                <w:color w:val="auto"/>
                <w:szCs w:val="21"/>
                <w:highlight w:val="none"/>
              </w:rPr>
              <w:t>项目</w:t>
            </w:r>
            <w:r>
              <w:rPr>
                <w:rFonts w:hint="eastAsia" w:ascii="宋体" w:hAnsi="宋体"/>
                <w:color w:val="auto"/>
                <w:szCs w:val="21"/>
                <w:highlight w:val="none"/>
              </w:rPr>
              <w:t>现场和周围环境进行踏勘，现场踏勘时投标人按照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2"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color w:val="auto"/>
                <w:szCs w:val="21"/>
                <w:highlight w:val="none"/>
              </w:rPr>
            </w:pPr>
            <w:r>
              <w:rPr>
                <w:rFonts w:hint="eastAsia" w:ascii="宋体" w:hAnsi="宋体"/>
                <w:b/>
                <w:color w:val="auto"/>
                <w:szCs w:val="21"/>
                <w:highlight w:val="none"/>
              </w:rPr>
              <w:t>答疑与澄清</w:t>
            </w:r>
            <w:r>
              <w:rPr>
                <w:rFonts w:hint="eastAsia" w:ascii="宋体" w:hAnsi="宋体"/>
                <w:color w:val="auto"/>
                <w:szCs w:val="21"/>
                <w:highlight w:val="none"/>
              </w:rPr>
              <w:t>：</w:t>
            </w:r>
            <w:r>
              <w:rPr>
                <w:rFonts w:hint="eastAsia" w:ascii="宋体" w:hAnsi="宋体"/>
                <w:b/>
                <w:color w:val="auto"/>
                <w:szCs w:val="21"/>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否则被质疑人可不予接受。</w:t>
            </w:r>
            <w:r>
              <w:rPr>
                <w:rFonts w:hint="eastAsia" w:ascii="宋体" w:hAnsi="宋体"/>
                <w:b/>
                <w:color w:val="auto"/>
                <w:szCs w:val="21"/>
                <w:highlight w:val="none"/>
                <w:shd w:val="pct10" w:color="auto" w:fill="FFFFFF"/>
              </w:rPr>
              <w:t>投标人在法定质疑期内应一次性提出针对同一采购程序环节的质疑。</w:t>
            </w:r>
            <w:r>
              <w:rPr>
                <w:rFonts w:hint="eastAsia" w:ascii="宋体" w:hAnsi="宋体"/>
                <w:color w:val="auto"/>
                <w:szCs w:val="21"/>
                <w:highlight w:val="none"/>
              </w:rPr>
              <w:t>招标人对已发出的招标文件进行必要的澄清、答复、修改和补充将以更正公告的形式，通过采购公告发布的网站予以发布。</w:t>
            </w:r>
            <w:r>
              <w:rPr>
                <w:rFonts w:hint="eastAsia" w:ascii="宋体" w:hAnsi="宋体"/>
                <w:b/>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88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评标办法</w:t>
            </w:r>
            <w:r>
              <w:rPr>
                <w:rFonts w:hint="eastAsia" w:ascii="宋体" w:hAnsi="宋体"/>
                <w:b/>
                <w:color w:val="auto"/>
                <w:szCs w:val="21"/>
                <w:highlight w:val="none"/>
              </w:rPr>
              <w:t>：</w:t>
            </w:r>
            <w:r>
              <w:rPr>
                <w:rFonts w:hint="eastAsia" w:ascii="宋体" w:hAns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b/>
                <w:color w:val="auto"/>
                <w:szCs w:val="21"/>
                <w:highlight w:val="none"/>
                <w:shd w:val="pct10" w:color="auto" w:fill="FFFFFF"/>
              </w:rPr>
              <w:t>▲</w:t>
            </w:r>
            <w:r>
              <w:rPr>
                <w:rFonts w:hint="eastAsia" w:ascii="宋体" w:hAnsi="宋体"/>
                <w:color w:val="auto"/>
                <w:szCs w:val="21"/>
                <w:highlight w:val="none"/>
              </w:rPr>
              <w:t>投标有效期：自投标截止日起</w:t>
            </w:r>
            <w:r>
              <w:rPr>
                <w:rFonts w:hint="eastAsia" w:ascii="宋体" w:hAnsi="宋体"/>
                <w:color w:val="auto"/>
                <w:szCs w:val="21"/>
                <w:highlight w:val="none"/>
                <w:u w:val="single"/>
              </w:rPr>
              <w:t xml:space="preserve"> 90 </w:t>
            </w:r>
            <w:r>
              <w:rPr>
                <w:rFonts w:hint="eastAsia" w:ascii="宋体" w:hAnsi="宋体"/>
                <w:color w:val="auto"/>
                <w:szCs w:val="21"/>
                <w:highlight w:val="none"/>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b/>
                <w:color w:val="auto"/>
                <w:szCs w:val="21"/>
                <w:highlight w:val="none"/>
                <w:u w:val="single"/>
              </w:rPr>
            </w:pPr>
            <w:r>
              <w:rPr>
                <w:rFonts w:hint="eastAsia" w:ascii="宋体" w:hAnsi="宋体"/>
                <w:b/>
                <w:color w:val="auto"/>
                <w:szCs w:val="21"/>
                <w:highlight w:val="none"/>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评标结果公示：评标结束后2天内，评标结果公示于</w:t>
            </w:r>
            <w:r>
              <w:rPr>
                <w:rFonts w:hint="eastAsia" w:ascii="宋体" w:hAnsi="宋体" w:cs="Arial"/>
                <w:color w:val="auto"/>
                <w:szCs w:val="21"/>
                <w:highlight w:val="none"/>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中标公告及中标通知书：评标结束后</w:t>
            </w:r>
            <w:r>
              <w:rPr>
                <w:rFonts w:ascii="宋体" w:hAnsi="宋体"/>
                <w:color w:val="auto"/>
                <w:szCs w:val="21"/>
                <w:highlight w:val="none"/>
              </w:rPr>
              <w:t>7</w:t>
            </w:r>
            <w:r>
              <w:rPr>
                <w:rFonts w:hint="eastAsia" w:ascii="宋体" w:hAnsi="宋体"/>
                <w:color w:val="auto"/>
                <w:szCs w:val="21"/>
                <w:highlight w:val="none"/>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8823" w:type="dxa"/>
            <w:tcBorders>
              <w:top w:val="single" w:color="auto" w:sz="4" w:space="0"/>
              <w:left w:val="single" w:color="auto" w:sz="4" w:space="0"/>
              <w:bottom w:val="single" w:color="auto" w:sz="4" w:space="0"/>
              <w:right w:val="single" w:color="auto" w:sz="4" w:space="0"/>
            </w:tcBorders>
            <w:vAlign w:val="center"/>
          </w:tcPr>
          <w:p>
            <w:pPr>
              <w:pStyle w:val="20"/>
              <w:jc w:val="left"/>
              <w:rPr>
                <w:rFonts w:ascii="宋体" w:hAnsi="宋体"/>
                <w:b/>
                <w:bCs/>
                <w:color w:val="auto"/>
                <w:sz w:val="21"/>
                <w:szCs w:val="21"/>
                <w:highlight w:val="none"/>
              </w:rPr>
            </w:pPr>
            <w:r>
              <w:rPr>
                <w:rFonts w:hint="eastAsia"/>
                <w:color w:val="auto"/>
                <w:sz w:val="21"/>
                <w:szCs w:val="21"/>
                <w:highlight w:val="none"/>
              </w:rPr>
              <w:t>▲</w:t>
            </w:r>
            <w:r>
              <w:rPr>
                <w:rFonts w:hint="eastAsia" w:ascii="宋体" w:hAnsi="宋体"/>
                <w:color w:val="auto"/>
                <w:sz w:val="21"/>
                <w:szCs w:val="21"/>
                <w:highlight w:val="none"/>
              </w:rPr>
              <w:t>付款方式：合同生效以及具备实施条件后</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个工作日内支付合同金额25%的预付款；每6个月结算1次，第1次采购人根据中标人实际完成数量（如有扣罚，则减去扣罚的部分，其中第1次付款时全额扣回预付款，不足部分在后续付款中扣回）待中标人向采购人交付正式发票后在次月的25日前支付结算款，第2次在中标人完成所有工作任务并无遗留质量问题，采购人根据中标人实际完成数量（如有扣罚，则减去扣罚的部分）待中标人向采购人交付正式发票后在次月的25日前一次性付清。（具体支付时间以财政拨款时间为准，因中标人未按合同约定履行或因财政拨款时间延迟等原因造成不能及时付款的，采购人不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履约保证金的收取及退还:按中标价的1%收取，</w:t>
            </w:r>
            <w:r>
              <w:rPr>
                <w:rFonts w:hint="eastAsia" w:ascii="宋体" w:hAnsi="宋体"/>
                <w:b/>
                <w:color w:val="auto"/>
                <w:szCs w:val="21"/>
                <w:highlight w:val="none"/>
                <w:u w:val="single"/>
                <w:shd w:val="pct10" w:color="auto" w:fill="FFFFFF"/>
              </w:rPr>
              <w:t>领取中标通知书前缴纳至临海市公共资源交易中心账户。</w:t>
            </w:r>
            <w:r>
              <w:rPr>
                <w:rFonts w:hint="eastAsia" w:ascii="宋体" w:hAnsi="宋体"/>
                <w:color w:val="auto"/>
                <w:szCs w:val="21"/>
                <w:highlight w:val="none"/>
              </w:rPr>
              <w:t>验收合格后</w:t>
            </w:r>
            <w:r>
              <w:rPr>
                <w:rFonts w:hint="eastAsia" w:ascii="宋体" w:hAnsi="宋体"/>
                <w:color w:val="auto"/>
                <w:szCs w:val="21"/>
                <w:highlight w:val="none"/>
                <w:lang w:val="zh-CN"/>
              </w:rPr>
              <w:t>凭《临海市政府采购验收单》向临海市公共资源交易中心无息退还。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882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解释：本招标文件的解释权属于招标人。</w:t>
            </w:r>
            <w:r>
              <w:rPr>
                <w:rFonts w:hint="eastAsia" w:ascii="宋体" w:hAnsi="宋体"/>
                <w:b/>
                <w:bCs/>
                <w:color w:val="auto"/>
                <w:szCs w:val="21"/>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9"/>
        <w:snapToGrid w:val="0"/>
        <w:spacing w:beforeLines="0" w:afterLines="0"/>
        <w:rPr>
          <w:rFonts w:hAnsi="宋体"/>
          <w:b/>
          <w:color w:val="auto"/>
          <w:sz w:val="21"/>
          <w:szCs w:val="21"/>
          <w:highlight w:val="none"/>
        </w:rPr>
      </w:pPr>
      <w:r>
        <w:rPr>
          <w:rFonts w:hAnsi="宋体"/>
          <w:b/>
          <w:color w:val="auto"/>
          <w:highlight w:val="none"/>
        </w:rPr>
        <w:br w:type="page"/>
      </w:r>
      <w:r>
        <w:rPr>
          <w:rFonts w:hint="eastAsia" w:hAnsi="宋体"/>
          <w:b/>
          <w:color w:val="auto"/>
          <w:sz w:val="21"/>
          <w:szCs w:val="21"/>
          <w:highlight w:val="none"/>
        </w:rPr>
        <w:t>一 、总  则</w:t>
      </w:r>
    </w:p>
    <w:p>
      <w:pPr>
        <w:snapToGrid w:val="0"/>
        <w:spacing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（一）适用范围</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本招标文件适用于本项目的招标、投标、评标、定标、验收、合同履约、付款等行为。</w:t>
      </w:r>
    </w:p>
    <w:p>
      <w:pPr>
        <w:snapToGrid w:val="0"/>
        <w:spacing w:beforeLines="50" w:line="420" w:lineRule="exact"/>
        <w:ind w:firstLine="310" w:firstLineChars="147"/>
        <w:jc w:val="left"/>
        <w:rPr>
          <w:rFonts w:ascii="宋体" w:hAnsi="宋体"/>
          <w:b/>
          <w:color w:val="auto"/>
          <w:szCs w:val="21"/>
          <w:highlight w:val="none"/>
        </w:rPr>
      </w:pPr>
      <w:r>
        <w:rPr>
          <w:rFonts w:hint="eastAsia" w:ascii="宋体" w:hAnsi="宋体"/>
          <w:b/>
          <w:color w:val="auto"/>
          <w:szCs w:val="21"/>
          <w:highlight w:val="none"/>
        </w:rPr>
        <w:t>（二）定义</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1.“招标人”系指组织本次招标的</w:t>
      </w:r>
      <w:r>
        <w:rPr>
          <w:rFonts w:hint="eastAsia" w:ascii="宋体" w:hAnsi="宋体"/>
          <w:color w:val="auto"/>
          <w:szCs w:val="21"/>
          <w:highlight w:val="none"/>
          <w:u w:val="single"/>
        </w:rPr>
        <w:t>采购代理机构</w:t>
      </w:r>
      <w:r>
        <w:rPr>
          <w:rFonts w:hint="eastAsia" w:ascii="宋体" w:hAnsi="宋体"/>
          <w:color w:val="auto"/>
          <w:szCs w:val="21"/>
          <w:highlight w:val="none"/>
        </w:rPr>
        <w:t>和采购单位。</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2.“投标人”系指向招标人提交投标文件的单位。</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3.“产品”系指供方按招标文件规定，须向采购单位提供的一切设备、保险、税金、备品备件、工具、手册及其它有关技术资料和材料。</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4.“服务”系指招标文件规定投标人须承担的安装、调试、技术协助、校准、培训、技术指导以及其他类似的义务。</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5.“项目”系指投标人按招标文件规定向采购单位提供的产品和服务。</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6.“书面形式”包括信函、传真、电报等。</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7.“▲”系指实质性要求条款。</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（三）招标方式</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本次招标采用公开招标方式进行。</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（四）投标委托</w:t>
      </w:r>
    </w:p>
    <w:p>
      <w:pPr>
        <w:pStyle w:val="22"/>
        <w:snapToGrid w:val="0"/>
        <w:spacing w:line="420" w:lineRule="exact"/>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投标人代表须携带有效身份证件。如投标人代表不是法定代表人，须有法定代表人出具的授权委托书，格式见第六章。</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（五）投标费用及结算</w:t>
      </w:r>
    </w:p>
    <w:p>
      <w:pPr>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1）不论投标结果如何，投标人均应自行承担所有与投标有关的全部费用。</w:t>
      </w:r>
    </w:p>
    <w:p>
      <w:pPr>
        <w:spacing w:line="420" w:lineRule="exact"/>
        <w:ind w:firstLine="420" w:firstLineChars="200"/>
        <w:rPr>
          <w:rFonts w:ascii="宋体" w:hAnsi="宋体" w:cs="宋体"/>
          <w:b/>
          <w:color w:val="auto"/>
          <w:szCs w:val="21"/>
          <w:highlight w:val="none"/>
          <w:u w:val="single"/>
        </w:rPr>
      </w:pPr>
      <w:r>
        <w:rPr>
          <w:rFonts w:hint="eastAsia" w:ascii="宋体" w:hAnsi="宋体" w:cs="宋体"/>
          <w:bCs/>
          <w:color w:val="auto"/>
          <w:szCs w:val="21"/>
          <w:highlight w:val="none"/>
        </w:rPr>
        <w:t>2）除业主要求或设计变更要求外不签署任何增加费用的联系单，工程量清单外而要完成本项目所必需的设备、物料、服务等各投标人请自行考虑并计入投标总报价，中标后不予调整。</w:t>
      </w:r>
      <w:r>
        <w:rPr>
          <w:rFonts w:hint="eastAsia" w:ascii="宋体" w:hAnsi="宋体" w:cs="宋体"/>
          <w:b/>
          <w:color w:val="auto"/>
          <w:szCs w:val="21"/>
          <w:highlight w:val="none"/>
        </w:rPr>
        <w:t>投标时工程量按照招标文件中提供的工程量进行投标报价，竣工决算时按实决算。</w:t>
      </w:r>
    </w:p>
    <w:p>
      <w:pPr>
        <w:snapToGrid w:val="0"/>
        <w:spacing w:beforeLines="50" w:line="420" w:lineRule="exact"/>
        <w:ind w:firstLine="413" w:firstLineChars="196"/>
        <w:rPr>
          <w:rFonts w:ascii="宋体" w:hAnsi="宋体" w:cs="宋体"/>
          <w:b/>
          <w:color w:val="auto"/>
          <w:kern w:val="0"/>
          <w:szCs w:val="21"/>
          <w:highlight w:val="none"/>
        </w:rPr>
      </w:pPr>
      <w:r>
        <w:rPr>
          <w:rFonts w:hint="eastAsia" w:ascii="宋体" w:hAnsi="宋体"/>
          <w:b/>
          <w:color w:val="auto"/>
          <w:szCs w:val="21"/>
          <w:highlight w:val="none"/>
        </w:rPr>
        <w:t>（六）</w:t>
      </w:r>
      <w:r>
        <w:rPr>
          <w:rFonts w:hint="eastAsia" w:ascii="宋体" w:hAnsi="宋体" w:cs="宋体"/>
          <w:b/>
          <w:color w:val="auto"/>
          <w:kern w:val="0"/>
          <w:szCs w:val="21"/>
          <w:highlight w:val="none"/>
        </w:rPr>
        <w:t>转包与分包</w:t>
      </w:r>
    </w:p>
    <w:p>
      <w:pPr>
        <w:snapToGrid w:val="0"/>
        <w:spacing w:line="42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本项目不允许转包与违法分包。</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（七）特别说明</w:t>
      </w:r>
    </w:p>
    <w:p>
      <w:pPr>
        <w:widowControl/>
        <w:spacing w:line="42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单位负责人为同一人或者存在直接控股、管理关系的不同投标人，不得参加同一合同项下的政府采购活动。如有上述行为的，评审时取其中通过资格审查后报价最低的一家为有效投标人；当报价相同时，则以技术标最优一家为有效投标人；均相同时，由评标委员会集体决定。</w:t>
      </w:r>
    </w:p>
    <w:p>
      <w:pPr>
        <w:pStyle w:val="29"/>
        <w:snapToGrid w:val="0"/>
        <w:spacing w:beforeLines="0" w:afterLines="0" w:line="420" w:lineRule="exact"/>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9"/>
        <w:snapToGrid w:val="0"/>
        <w:spacing w:beforeLines="0" w:afterLines="0" w:line="420" w:lineRule="exact"/>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2.投标人投标所使用的资格、信誉、荣誉、业绩必须为本法人所拥有。投标人投标所使用的采购项目实施人员须为本法人员工。</w:t>
      </w:r>
    </w:p>
    <w:p>
      <w:pPr>
        <w:pStyle w:val="29"/>
        <w:snapToGrid w:val="0"/>
        <w:spacing w:beforeLines="0" w:afterLines="0" w:line="420" w:lineRule="exact"/>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3.投标人应仔细阅读招标文件的所有内容，按照招标文件的要求提交投标文件，并对所提供的全部资料的真实性承担法律责任。</w:t>
      </w:r>
    </w:p>
    <w:p>
      <w:pPr>
        <w:pStyle w:val="29"/>
        <w:snapToGrid w:val="0"/>
        <w:spacing w:beforeLines="0" w:afterLines="0" w:line="420" w:lineRule="exact"/>
        <w:ind w:left="2" w:leftChars="1" w:firstLine="420" w:firstLineChars="200"/>
        <w:rPr>
          <w:rFonts w:hAnsi="宋体"/>
          <w:b/>
          <w:color w:val="auto"/>
          <w:sz w:val="21"/>
          <w:szCs w:val="21"/>
          <w:highlight w:val="none"/>
        </w:rPr>
      </w:pPr>
      <w:r>
        <w:rPr>
          <w:rFonts w:hint="eastAsia" w:hAnsi="宋体" w:cs="宋体"/>
          <w:color w:val="auto"/>
          <w:sz w:val="21"/>
          <w:szCs w:val="21"/>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r>
        <w:rPr>
          <w:rFonts w:hint="eastAsia" w:hAnsi="宋体"/>
          <w:color w:val="auto"/>
          <w:sz w:val="21"/>
          <w:szCs w:val="21"/>
          <w:highlight w:val="none"/>
        </w:rPr>
        <w:t>。</w:t>
      </w:r>
    </w:p>
    <w:p>
      <w:pPr>
        <w:pStyle w:val="29"/>
        <w:snapToGrid w:val="0"/>
        <w:spacing w:before="120" w:after="120" w:line="420" w:lineRule="exact"/>
        <w:ind w:firstLine="413" w:firstLineChars="196"/>
        <w:rPr>
          <w:rFonts w:hAnsi="宋体"/>
          <w:b/>
          <w:bCs/>
          <w:color w:val="auto"/>
          <w:sz w:val="21"/>
          <w:szCs w:val="21"/>
          <w:highlight w:val="none"/>
        </w:rPr>
      </w:pPr>
      <w:r>
        <w:rPr>
          <w:rFonts w:hint="eastAsia" w:hAnsi="宋体"/>
          <w:b/>
          <w:bCs/>
          <w:color w:val="auto"/>
          <w:sz w:val="21"/>
          <w:szCs w:val="21"/>
          <w:highlight w:val="none"/>
        </w:rPr>
        <w:t>（八）质疑</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1.投标人认为招标文件、采购过程和中标结果使自己的权益受到损害的，以书面形式或政采云平台的质疑系统一次性向采购人或采购组织机构提出质疑：</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（1）投标人认为招标文件的内容损害其权益的，应当自获取之日起（获取截止日之后收到招标文件的，以获取截止日为准）7个工作日内提出质疑；</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（2）投标人对采购过程提出质疑的，应当在各采购程序环节结束之日起7个工作日内提出质疑；</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（3）投标人对成交结果提出质疑的，</w:t>
      </w:r>
      <w:r>
        <w:rPr>
          <w:rFonts w:hint="eastAsia" w:ascii="宋体" w:hAnsi="宋体" w:cs="宋体"/>
          <w:b/>
          <w:bCs/>
          <w:color w:val="auto"/>
          <w:kern w:val="0"/>
          <w:szCs w:val="21"/>
          <w:highlight w:val="none"/>
        </w:rPr>
        <w:t>应当在成交结果公告之日起</w:t>
      </w:r>
      <w:r>
        <w:rPr>
          <w:rFonts w:hint="eastAsia" w:ascii="宋体" w:hAnsi="宋体" w:cs="宋体"/>
          <w:color w:val="auto"/>
          <w:kern w:val="0"/>
          <w:szCs w:val="21"/>
          <w:highlight w:val="none"/>
        </w:rPr>
        <w:t>7个工作日内提出质疑；</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2.采购人或采购组织机构在收到投标人的书面质疑后7个工作日内作出答复，并以书面形式或政采云平台回复质疑投标人和其他有关投标人，但答复内容不涉及商业秘密。</w:t>
      </w:r>
    </w:p>
    <w:p>
      <w:pPr>
        <w:widowControl/>
        <w:spacing w:line="42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（九）投诉</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投标人对采购人或采购组织机构的质疑答复不满意或在规定时间内未得到答复的，可以在答复期满后15个工作日内，向同级政府采购监督管理机构投诉。</w:t>
      </w:r>
    </w:p>
    <w:p>
      <w:pPr>
        <w:pStyle w:val="29"/>
        <w:snapToGrid w:val="0"/>
        <w:spacing w:beforeLines="0" w:afterLines="0" w:line="420" w:lineRule="exact"/>
        <w:ind w:firstLine="413" w:firstLineChars="196"/>
        <w:rPr>
          <w:rFonts w:hAnsi="宋体"/>
          <w:b/>
          <w:color w:val="auto"/>
          <w:sz w:val="21"/>
          <w:szCs w:val="21"/>
          <w:highlight w:val="none"/>
        </w:rPr>
      </w:pPr>
      <w:r>
        <w:rPr>
          <w:rFonts w:hint="eastAsia" w:hAnsi="宋体"/>
          <w:b/>
          <w:color w:val="auto"/>
          <w:sz w:val="21"/>
          <w:szCs w:val="21"/>
          <w:highlight w:val="none"/>
        </w:rPr>
        <w:t>二、招标文件</w:t>
      </w:r>
    </w:p>
    <w:p>
      <w:pPr>
        <w:snapToGrid w:val="0"/>
        <w:spacing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（一）招标文件的构成</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1.投标邀请</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2.招标需求</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3.投标人须知</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4.评标办法及标准</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5.合同主要条款</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7.本项目招标文件的澄清、答复、修改、补充的内容（如有）</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（二）投标人的风险</w:t>
      </w:r>
    </w:p>
    <w:p>
      <w:pPr>
        <w:pStyle w:val="40"/>
        <w:spacing w:line="420" w:lineRule="exact"/>
        <w:ind w:firstLine="420"/>
        <w:rPr>
          <w:rFonts w:ascii="宋体" w:eastAsia="宋体"/>
          <w:color w:val="auto"/>
          <w:sz w:val="21"/>
          <w:szCs w:val="21"/>
          <w:highlight w:val="none"/>
        </w:rPr>
      </w:pPr>
      <w:r>
        <w:rPr>
          <w:rFonts w:hint="eastAsia" w:ascii="宋体" w:eastAsia="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13"/>
        <w:widowControl w:val="0"/>
        <w:tabs>
          <w:tab w:val="left" w:pos="420"/>
        </w:tabs>
        <w:snapToGrid w:val="0"/>
        <w:spacing w:beforeLines="50" w:afterLines="0" w:line="420" w:lineRule="exact"/>
        <w:ind w:left="0" w:firstLine="413" w:firstLineChars="196"/>
        <w:rPr>
          <w:rFonts w:ascii="宋体" w:hAnsi="宋体"/>
          <w:b/>
          <w:color w:val="auto"/>
          <w:sz w:val="21"/>
          <w:szCs w:val="21"/>
          <w:highlight w:val="none"/>
        </w:rPr>
      </w:pPr>
      <w:r>
        <w:rPr>
          <w:rFonts w:hint="eastAsia" w:ascii="宋体" w:hAnsi="宋体"/>
          <w:b/>
          <w:color w:val="auto"/>
          <w:sz w:val="21"/>
          <w:szCs w:val="21"/>
          <w:highlight w:val="none"/>
        </w:rPr>
        <w:t xml:space="preserve">（三）招标文件的澄清与修改 </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1.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采购公告发布的网站予以发布。</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2.招标文件澄清、答复、修改、补充的内容为招标文件的组成部分。当招标文件与招标文件的答复、澄清、修改、补充通知就同一内容的表述不一致时，以最后发出的公告为准。</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3.招标文件的澄清、答复、修改或补充都应该通过招标人以法定形式发布，采购单位没有通过招标人，不得擅自澄清、答复、修改或补充招标文件。</w:t>
      </w:r>
    </w:p>
    <w:p>
      <w:pPr>
        <w:pStyle w:val="29"/>
        <w:snapToGrid w:val="0"/>
        <w:spacing w:beforeLines="0" w:afterLines="0" w:line="420" w:lineRule="exact"/>
        <w:ind w:firstLine="413" w:firstLineChars="196"/>
        <w:rPr>
          <w:rFonts w:hAnsi="宋体"/>
          <w:b/>
          <w:color w:val="auto"/>
          <w:sz w:val="21"/>
          <w:szCs w:val="21"/>
          <w:highlight w:val="none"/>
        </w:rPr>
      </w:pPr>
      <w:r>
        <w:rPr>
          <w:rFonts w:hint="eastAsia" w:hAnsi="宋体"/>
          <w:b/>
          <w:color w:val="auto"/>
          <w:sz w:val="21"/>
          <w:szCs w:val="21"/>
          <w:highlight w:val="none"/>
        </w:rPr>
        <w:t>三、投标文件的编制</w:t>
      </w:r>
    </w:p>
    <w:p>
      <w:pPr>
        <w:snapToGrid w:val="0"/>
        <w:spacing w:line="42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本项目实行电子投标，投标人应准备电子投标文件，本项目线下无需提供任何备份投标文件。电子投标文件，按政采云平台项目采购--电子招投标操作指南及本招标文件要求编制。</w:t>
      </w:r>
    </w:p>
    <w:p>
      <w:pPr>
        <w:snapToGrid w:val="0"/>
        <w:spacing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（一）投标文件的组成</w:t>
      </w:r>
    </w:p>
    <w:p>
      <w:pPr>
        <w:snapToGrid w:val="0"/>
        <w:spacing w:line="42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投标文件由资格响应文件、商务技术文件、报价文件三部份组成。相关格式见附件，其余格式自拟</w:t>
      </w:r>
      <w:r>
        <w:rPr>
          <w:rFonts w:hint="eastAsia" w:ascii="宋体" w:hAnsi="宋体"/>
          <w:color w:val="auto"/>
          <w:szCs w:val="21"/>
          <w:highlight w:val="none"/>
        </w:rPr>
        <w:t>。</w:t>
      </w:r>
    </w:p>
    <w:p>
      <w:pPr>
        <w:snapToGrid w:val="0"/>
        <w:spacing w:line="420" w:lineRule="exact"/>
        <w:ind w:firstLine="422" w:firstLineChars="200"/>
        <w:jc w:val="left"/>
        <w:rPr>
          <w:rFonts w:ascii="宋体" w:hAnsi="宋体"/>
          <w:b/>
          <w:color w:val="auto"/>
          <w:szCs w:val="21"/>
          <w:highlight w:val="none"/>
        </w:rPr>
      </w:pPr>
      <w:bookmarkStart w:id="13" w:name="_Hlk72672250"/>
      <w:r>
        <w:rPr>
          <w:rFonts w:ascii="宋体" w:hAnsi="宋体"/>
          <w:b/>
          <w:color w:val="auto"/>
          <w:szCs w:val="21"/>
          <w:highlight w:val="none"/>
        </w:rPr>
        <w:t>1</w:t>
      </w:r>
      <w:r>
        <w:rPr>
          <w:rFonts w:hint="eastAsia" w:ascii="宋体" w:hAnsi="宋体"/>
          <w:b/>
          <w:color w:val="auto"/>
          <w:szCs w:val="21"/>
          <w:highlight w:val="none"/>
        </w:rPr>
        <w:t>.资格响应文件</w:t>
      </w:r>
    </w:p>
    <w:bookmarkEnd w:id="13"/>
    <w:p>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（1）营业执照</w:t>
      </w:r>
      <w:r>
        <w:rPr>
          <w:rFonts w:hint="eastAsia" w:ascii="宋体" w:hAnsi="宋体"/>
          <w:b/>
          <w:color w:val="auto"/>
          <w:szCs w:val="21"/>
          <w:highlight w:val="none"/>
        </w:rPr>
        <w:t>（推荐使用电子营业执照）</w:t>
      </w:r>
      <w:r>
        <w:rPr>
          <w:rFonts w:hint="eastAsia" w:ascii="宋体" w:hAnsi="宋体"/>
          <w:bCs/>
          <w:color w:val="auto"/>
          <w:szCs w:val="21"/>
          <w:highlight w:val="none"/>
        </w:rPr>
        <w:t>或事业法人登记证或其他工商等登记证明材料原件扫描件或复印件；</w:t>
      </w:r>
    </w:p>
    <w:p>
      <w:pPr>
        <w:snapToGrid w:val="0"/>
        <w:spacing w:line="400" w:lineRule="exact"/>
        <w:ind w:firstLine="420" w:firstLineChars="200"/>
        <w:rPr>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w:t>
      </w:r>
      <w:r>
        <w:rPr>
          <w:rFonts w:hint="eastAsia" w:ascii="宋体" w:hAnsi="宋体"/>
          <w:color w:val="auto"/>
          <w:highlight w:val="none"/>
        </w:rPr>
        <w:t>资质文件扫描件（如有）；</w:t>
      </w:r>
    </w:p>
    <w:p>
      <w:pPr>
        <w:snapToGrid w:val="0"/>
        <w:spacing w:line="420" w:lineRule="exact"/>
        <w:ind w:firstLine="420" w:firstLineChars="200"/>
        <w:jc w:val="left"/>
        <w:rPr>
          <w:rFonts w:ascii="宋体" w:hAnsi="宋体"/>
          <w:bCs/>
          <w:color w:val="auto"/>
          <w:szCs w:val="21"/>
          <w:highlight w:val="none"/>
        </w:rPr>
      </w:pPr>
      <w:bookmarkStart w:id="14" w:name="_Hlk68075338"/>
      <w:r>
        <w:rPr>
          <w:rFonts w:hint="eastAsia" w:ascii="宋体" w:hAnsi="宋体"/>
          <w:bCs/>
          <w:color w:val="auto"/>
          <w:szCs w:val="21"/>
          <w:highlight w:val="none"/>
        </w:rPr>
        <w:t>（3）</w:t>
      </w:r>
      <w:bookmarkEnd w:id="14"/>
      <w:r>
        <w:rPr>
          <w:rFonts w:hint="eastAsia" w:ascii="宋体" w:hAnsi="宋体"/>
          <w:bCs/>
          <w:color w:val="auto"/>
          <w:szCs w:val="21"/>
          <w:highlight w:val="none"/>
        </w:rPr>
        <w:t>没有重大违法记录的承诺函</w:t>
      </w:r>
      <w:bookmarkStart w:id="15" w:name="_Hlk69365455"/>
      <w:r>
        <w:rPr>
          <w:rFonts w:hint="eastAsia" w:ascii="宋体" w:hAnsi="宋体"/>
          <w:b/>
          <w:color w:val="auto"/>
          <w:szCs w:val="21"/>
          <w:highlight w:val="none"/>
          <w:u w:val="single"/>
          <w:shd w:val="pct10" w:color="auto" w:fill="FFFFFF"/>
        </w:rPr>
        <w:t>（请投标人在资格响应文件中勿遗漏该表格）</w:t>
      </w:r>
      <w:r>
        <w:rPr>
          <w:rFonts w:hint="eastAsia" w:ascii="宋体" w:hAnsi="宋体"/>
          <w:bCs/>
          <w:color w:val="auto"/>
          <w:szCs w:val="21"/>
          <w:highlight w:val="none"/>
        </w:rPr>
        <w:t>；</w:t>
      </w:r>
    </w:p>
    <w:p>
      <w:pPr>
        <w:pStyle w:val="30"/>
        <w:snapToGrid w:val="0"/>
        <w:spacing w:line="420" w:lineRule="exact"/>
        <w:ind w:left="0" w:leftChars="0" w:firstLine="422" w:firstLineChars="200"/>
        <w:rPr>
          <w:color w:val="auto"/>
          <w:highlight w:val="none"/>
        </w:rPr>
      </w:pPr>
      <w:r>
        <w:rPr>
          <w:rFonts w:hint="eastAsia" w:ascii="宋体" w:hAnsi="宋体" w:eastAsia="宋体"/>
          <w:b/>
          <w:color w:val="auto"/>
          <w:sz w:val="21"/>
          <w:szCs w:val="21"/>
          <w:highlight w:val="none"/>
          <w:u w:val="single"/>
          <w:shd w:val="pct10" w:color="auto" w:fill="FFFFFF"/>
        </w:rPr>
        <w:t>（4）中小企业声明函（投标人未提供《中小企业声明函》的、《中小企业声明函》中内容应填写而未进行填写或未如实填写的，对投标人造成不利的评审由投标人自行承担。）</w:t>
      </w:r>
    </w:p>
    <w:bookmarkEnd w:id="15"/>
    <w:p>
      <w:pPr>
        <w:snapToGrid w:val="0"/>
        <w:spacing w:line="420" w:lineRule="exact"/>
        <w:ind w:firstLine="422" w:firstLineChars="200"/>
        <w:jc w:val="left"/>
        <w:rPr>
          <w:rFonts w:ascii="宋体" w:hAnsi="宋体"/>
          <w:color w:val="auto"/>
          <w:szCs w:val="21"/>
          <w:highlight w:val="none"/>
        </w:rPr>
      </w:pPr>
      <w:bookmarkStart w:id="16" w:name="_Hlk72672204"/>
      <w:r>
        <w:rPr>
          <w:rFonts w:ascii="宋体" w:hAnsi="宋体"/>
          <w:b/>
          <w:color w:val="auto"/>
          <w:szCs w:val="21"/>
          <w:highlight w:val="none"/>
        </w:rPr>
        <w:t>2</w:t>
      </w:r>
      <w:r>
        <w:rPr>
          <w:rFonts w:hint="eastAsia" w:ascii="宋体" w:hAnsi="宋体"/>
          <w:b/>
          <w:color w:val="auto"/>
          <w:szCs w:val="21"/>
          <w:highlight w:val="none"/>
        </w:rPr>
        <w:t>.</w:t>
      </w:r>
      <w:bookmarkEnd w:id="16"/>
      <w:bookmarkStart w:id="17" w:name="_Hlk534200662"/>
      <w:r>
        <w:rPr>
          <w:rFonts w:hint="eastAsia" w:ascii="宋体" w:hAnsi="宋体"/>
          <w:b/>
          <w:color w:val="auto"/>
          <w:szCs w:val="21"/>
          <w:highlight w:val="none"/>
        </w:rPr>
        <w:t>商务</w:t>
      </w:r>
      <w:r>
        <w:rPr>
          <w:rFonts w:hint="eastAsia" w:ascii="宋体" w:hAnsi="宋体"/>
          <w:b/>
          <w:bCs/>
          <w:color w:val="auto"/>
          <w:szCs w:val="21"/>
          <w:highlight w:val="none"/>
        </w:rPr>
        <w:t>技术</w:t>
      </w:r>
      <w:r>
        <w:rPr>
          <w:rFonts w:hint="eastAsia" w:ascii="宋体" w:hAnsi="宋体"/>
          <w:b/>
          <w:color w:val="auto"/>
          <w:szCs w:val="21"/>
          <w:highlight w:val="none"/>
        </w:rPr>
        <w:t>文件</w:t>
      </w:r>
      <w:bookmarkEnd w:id="17"/>
    </w:p>
    <w:p>
      <w:pPr>
        <w:snapToGrid w:val="0"/>
        <w:spacing w:line="420" w:lineRule="exact"/>
        <w:ind w:firstLine="411" w:firstLineChars="196"/>
        <w:jc w:val="left"/>
        <w:rPr>
          <w:rFonts w:ascii="宋体" w:hAnsi="宋体"/>
          <w:color w:val="auto"/>
          <w:szCs w:val="21"/>
          <w:highlight w:val="none"/>
        </w:rPr>
      </w:pPr>
      <w:r>
        <w:rPr>
          <w:rFonts w:hint="eastAsia" w:ascii="宋体" w:hAnsi="宋体"/>
          <w:color w:val="auto"/>
          <w:szCs w:val="21"/>
          <w:highlight w:val="none"/>
        </w:rPr>
        <w:t>（1）投标函；</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bookmarkStart w:id="18" w:name="_Hlk534200539"/>
      <w:r>
        <w:rPr>
          <w:rFonts w:hint="eastAsia" w:ascii="宋体" w:hAnsi="宋体"/>
          <w:color w:val="auto"/>
          <w:szCs w:val="21"/>
          <w:highlight w:val="none"/>
        </w:rPr>
        <w:t>法定代表人授权委托书</w:t>
      </w:r>
      <w:bookmarkEnd w:id="18"/>
      <w:r>
        <w:rPr>
          <w:rFonts w:hint="eastAsia" w:ascii="宋体" w:hAnsi="宋体"/>
          <w:color w:val="auto"/>
          <w:szCs w:val="21"/>
          <w:highlight w:val="none"/>
        </w:rPr>
        <w:t>；</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（3）投标人按照评分标准要求提供的相应资料；</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（4）项目负责人简历表；</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（5）项目实施人员一览表； </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（6）投标人类似合同案例一览表；</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（7）售后服务网点情况表；</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（8）商务及技术响应表；</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（9）投标人认为需要提供的其他资料。</w:t>
      </w:r>
    </w:p>
    <w:p>
      <w:pPr>
        <w:snapToGrid w:val="0"/>
        <w:spacing w:line="420" w:lineRule="exact"/>
        <w:ind w:firstLine="413" w:firstLineChars="196"/>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（1）开标一览表。</w:t>
      </w:r>
    </w:p>
    <w:p>
      <w:pPr>
        <w:snapToGrid w:val="0"/>
        <w:spacing w:before="100" w:beforeAutospacing="1" w:after="100" w:afterAutospacing="1" w:line="420" w:lineRule="exact"/>
        <w:ind w:firstLine="207" w:firstLineChars="98"/>
        <w:jc w:val="left"/>
        <w:rPr>
          <w:rFonts w:ascii="宋体" w:hAnsi="宋体"/>
          <w:b/>
          <w:color w:val="auto"/>
          <w:spacing w:val="-4"/>
          <w:szCs w:val="21"/>
          <w:highlight w:val="none"/>
        </w:rPr>
      </w:pPr>
      <w:r>
        <w:rPr>
          <w:rFonts w:hint="eastAsia" w:ascii="宋体" w:hAnsi="宋体"/>
          <w:b/>
          <w:color w:val="auto"/>
          <w:szCs w:val="21"/>
          <w:highlight w:val="none"/>
        </w:rPr>
        <w:t>（二）</w:t>
      </w:r>
      <w:r>
        <w:rPr>
          <w:rFonts w:hint="eastAsia" w:ascii="宋体" w:hAnsi="宋体"/>
          <w:b/>
          <w:color w:val="auto"/>
          <w:spacing w:val="-4"/>
          <w:szCs w:val="21"/>
          <w:highlight w:val="none"/>
        </w:rPr>
        <w:t>采购项目评分索引表(该表格仅为方便评标之用，不涉及无效标条款，表格放置在商务技术文件目录的前页，以方便评委进行评审</w:t>
      </w:r>
      <w:r>
        <w:rPr>
          <w:rFonts w:ascii="宋体" w:hAnsi="宋体"/>
          <w:b/>
          <w:color w:val="auto"/>
          <w:spacing w:val="-4"/>
          <w:szCs w:val="21"/>
          <w:highlight w:val="none"/>
        </w:rPr>
        <w:t>，</w:t>
      </w:r>
      <w:r>
        <w:rPr>
          <w:rFonts w:hint="eastAsia" w:ascii="宋体" w:hAnsi="宋体"/>
          <w:b/>
          <w:color w:val="auto"/>
          <w:spacing w:val="-4"/>
          <w:szCs w:val="21"/>
          <w:highlight w:val="none"/>
        </w:rPr>
        <w:t>格式见第四章)</w:t>
      </w:r>
    </w:p>
    <w:p>
      <w:pPr>
        <w:snapToGrid w:val="0"/>
        <w:spacing w:line="420" w:lineRule="exact"/>
        <w:ind w:firstLine="316" w:firstLineChars="150"/>
        <w:jc w:val="left"/>
        <w:rPr>
          <w:rFonts w:ascii="宋体" w:hAnsi="宋体"/>
          <w:b/>
          <w:color w:val="auto"/>
          <w:szCs w:val="21"/>
          <w:highlight w:val="none"/>
        </w:rPr>
      </w:pPr>
      <w:r>
        <w:rPr>
          <w:rFonts w:hint="eastAsia" w:ascii="宋体" w:hAnsi="宋体"/>
          <w:b/>
          <w:color w:val="auto"/>
          <w:szCs w:val="21"/>
          <w:highlight w:val="none"/>
        </w:rPr>
        <w:t>（三）投标文件的语言及计量</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（四）投标报价</w:t>
      </w:r>
    </w:p>
    <w:p>
      <w:pPr>
        <w:pStyle w:val="29"/>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1.投标报价应按招标文件中相关附表格式填写。</w:t>
      </w:r>
    </w:p>
    <w:p>
      <w:pPr>
        <w:pStyle w:val="29"/>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2.投标报价是履行合同的最终价格，应包括一切人工、工具、设备、保险、交通、利润、税金、其它需乙方承担的费用及潜在满足甲方监管要求可能涉及的一切费用。</w:t>
      </w:r>
    </w:p>
    <w:p>
      <w:pPr>
        <w:tabs>
          <w:tab w:val="left" w:pos="525"/>
        </w:tabs>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left" w:pos="420"/>
        </w:tabs>
        <w:snapToGrid w:val="0"/>
        <w:spacing w:beforeLines="50" w:afterLines="0" w:line="420" w:lineRule="exact"/>
        <w:ind w:left="0" w:firstLine="413" w:firstLineChars="196"/>
        <w:rPr>
          <w:rFonts w:ascii="宋体" w:hAnsi="宋体"/>
          <w:b/>
          <w:color w:val="auto"/>
          <w:sz w:val="21"/>
          <w:szCs w:val="21"/>
          <w:highlight w:val="none"/>
        </w:rPr>
      </w:pPr>
      <w:r>
        <w:rPr>
          <w:rFonts w:hint="eastAsia" w:ascii="宋体" w:hAnsi="宋体"/>
          <w:b/>
          <w:color w:val="auto"/>
          <w:sz w:val="21"/>
          <w:szCs w:val="21"/>
          <w:highlight w:val="none"/>
        </w:rPr>
        <w:t>（五）投标有效期</w:t>
      </w:r>
    </w:p>
    <w:p>
      <w:pPr>
        <w:pStyle w:val="13"/>
        <w:widowControl w:val="0"/>
        <w:tabs>
          <w:tab w:val="left" w:pos="420"/>
        </w:tabs>
        <w:snapToGrid w:val="0"/>
        <w:spacing w:afterLines="0" w:line="420" w:lineRule="exact"/>
        <w:ind w:left="-25" w:leftChars="-12" w:firstLine="315" w:firstLineChars="150"/>
        <w:rPr>
          <w:rFonts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 xml:space="preserve"> 90 </w:t>
      </w:r>
      <w:r>
        <w:rPr>
          <w:rFonts w:hint="eastAsia" w:ascii="宋体" w:hAnsi="宋体"/>
          <w:color w:val="auto"/>
          <w:sz w:val="21"/>
          <w:szCs w:val="21"/>
          <w:highlight w:val="none"/>
        </w:rPr>
        <w:t>天投标文件应保持有效。</w:t>
      </w:r>
    </w:p>
    <w:p>
      <w:pPr>
        <w:snapToGrid w:val="0"/>
        <w:spacing w:line="420" w:lineRule="exact"/>
        <w:ind w:firstLine="411" w:firstLineChars="196"/>
        <w:jc w:val="left"/>
        <w:rPr>
          <w:rFonts w:ascii="宋体" w:hAnsi="宋体"/>
          <w:color w:val="auto"/>
          <w:szCs w:val="21"/>
          <w:highlight w:val="none"/>
        </w:rPr>
      </w:pPr>
      <w:r>
        <w:rPr>
          <w:rFonts w:hint="eastAsia" w:ascii="宋体" w:hAnsi="宋体"/>
          <w:color w:val="auto"/>
          <w:szCs w:val="21"/>
          <w:highlight w:val="none"/>
        </w:rPr>
        <w:t>2.在特殊情况下，招标人可与投标人协商延长投标文件的有效期，这种要求和答复均以书面形式进行。</w:t>
      </w:r>
    </w:p>
    <w:p>
      <w:pPr>
        <w:snapToGrid w:val="0"/>
        <w:spacing w:line="42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3.投标人可拒绝接受延期要求，同意延长有效期的投标人不能修改投标文件内容。 </w:t>
      </w:r>
    </w:p>
    <w:p>
      <w:pPr>
        <w:snapToGrid w:val="0"/>
        <w:spacing w:line="420" w:lineRule="exact"/>
        <w:ind w:firstLine="411" w:firstLineChars="196"/>
        <w:jc w:val="left"/>
        <w:rPr>
          <w:rFonts w:ascii="宋体" w:hAnsi="宋体"/>
          <w:b/>
          <w:bCs/>
          <w:color w:val="auto"/>
          <w:szCs w:val="21"/>
          <w:highlight w:val="none"/>
        </w:rPr>
      </w:pPr>
      <w:r>
        <w:rPr>
          <w:rFonts w:hint="eastAsia" w:ascii="宋体" w:hAnsi="宋体"/>
          <w:color w:val="auto"/>
          <w:szCs w:val="21"/>
          <w:highlight w:val="none"/>
        </w:rPr>
        <w:t>4.中标人的投标文件自开标之日起至合同履行完毕止均应保持有效。</w:t>
      </w:r>
    </w:p>
    <w:p>
      <w:pPr>
        <w:snapToGrid w:val="0"/>
        <w:spacing w:line="42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5.投标人有下列情形之一的，按有关规定进行处罚：</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（1）投标人在投标有效期内撤回投标文件的；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（4）中标人无正当理由不与采购单位签订合同的；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（5）将中标项目转让给他人或者在投标文件中未说明且未经招标人同意，将中标项目分包给他人的；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（6）拒绝履行合同义务的；</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（7）其他严重扰乱招投标程序的。</w:t>
      </w:r>
    </w:p>
    <w:p>
      <w:pPr>
        <w:snapToGrid w:val="0"/>
        <w:spacing w:beforeLines="50" w:line="42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（六）投标文件的签署</w:t>
      </w:r>
    </w:p>
    <w:p>
      <w:pPr>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11" w:firstLineChars="196"/>
        <w:jc w:val="left"/>
        <w:rPr>
          <w:rFonts w:ascii="宋体" w:hAnsi="宋体" w:cs="仿宋_GB2312"/>
          <w:bCs/>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s="仿宋_GB2312"/>
          <w:b/>
          <w:color w:val="auto"/>
          <w:szCs w:val="21"/>
          <w:highlight w:val="none"/>
        </w:rPr>
        <w:t>电子投标文件中公章采用CA签章</w:t>
      </w:r>
      <w:r>
        <w:rPr>
          <w:rFonts w:hint="eastAsia" w:ascii="宋体" w:hAnsi="宋体" w:cs="仿宋_GB2312"/>
          <w:bCs/>
          <w:color w:val="auto"/>
          <w:szCs w:val="21"/>
          <w:highlight w:val="none"/>
        </w:rPr>
        <w:t>，</w:t>
      </w:r>
      <w:r>
        <w:rPr>
          <w:rFonts w:hint="eastAsia" w:ascii="宋体" w:hAnsi="宋体" w:cs="仿宋_GB2312"/>
          <w:b/>
          <w:bCs/>
          <w:color w:val="auto"/>
          <w:szCs w:val="21"/>
          <w:highlight w:val="none"/>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r>
        <w:rPr>
          <w:rFonts w:hint="eastAsia" w:ascii="宋体" w:hAnsi="宋体" w:cs="仿宋_GB2312"/>
          <w:bCs/>
          <w:color w:val="auto"/>
          <w:szCs w:val="21"/>
          <w:highlight w:val="none"/>
        </w:rPr>
        <w:t>。</w:t>
      </w:r>
    </w:p>
    <w:p>
      <w:pPr>
        <w:snapToGrid w:val="0"/>
        <w:spacing w:line="420" w:lineRule="exact"/>
        <w:ind w:firstLine="411" w:firstLineChars="196"/>
        <w:jc w:val="left"/>
        <w:rPr>
          <w:rFonts w:ascii="宋体" w:hAnsi="宋体" w:cs="仿宋_GB2312"/>
          <w:bCs/>
          <w:color w:val="auto"/>
          <w:szCs w:val="21"/>
          <w:highlight w:val="none"/>
        </w:rPr>
      </w:pPr>
      <w:r>
        <w:rPr>
          <w:rFonts w:hint="eastAsia" w:ascii="宋体" w:hAnsi="宋体" w:cs="仿宋_GB2312"/>
          <w:bCs/>
          <w:color w:val="auto"/>
          <w:szCs w:val="21"/>
          <w:highlight w:val="none"/>
        </w:rPr>
        <w:t>电子投标文件如内容不完整、编排混乱导致投标文件被误读、漏读，或者在按采购文件规定的部位查找不到相关内容的，由投标人自行承担。</w:t>
      </w:r>
    </w:p>
    <w:p>
      <w:pPr>
        <w:snapToGrid w:val="0"/>
        <w:spacing w:line="420" w:lineRule="exact"/>
        <w:ind w:firstLine="411" w:firstLineChars="196"/>
        <w:jc w:val="left"/>
        <w:rPr>
          <w:rFonts w:ascii="宋体" w:hAnsi="宋体"/>
          <w:color w:val="auto"/>
          <w:szCs w:val="21"/>
          <w:highlight w:val="none"/>
        </w:rPr>
      </w:pPr>
      <w:r>
        <w:rPr>
          <w:rFonts w:ascii="宋体" w:hAnsi="宋体" w:cs="仿宋_GB2312"/>
          <w:bCs/>
          <w:color w:val="auto"/>
          <w:szCs w:val="21"/>
          <w:highlight w:val="none"/>
        </w:rPr>
        <w:t>3</w:t>
      </w:r>
      <w:r>
        <w:rPr>
          <w:rFonts w:hint="eastAsia" w:ascii="宋体" w:hAnsi="宋体"/>
          <w:color w:val="auto"/>
          <w:szCs w:val="21"/>
          <w:highlight w:val="none"/>
        </w:rPr>
        <w:t>.温馨提醒：</w:t>
      </w:r>
      <w:r>
        <w:rPr>
          <w:rFonts w:hint="eastAsia" w:ascii="宋体" w:hAnsi="宋体"/>
          <w:color w:val="auto"/>
          <w:szCs w:val="21"/>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.投标文件不得涂改，若有修改错漏处，须加盖单位公章或者法定代表人或授权委托人签字或盖章。投标文件因字迹潦草或表达不清所引起的后果由投标人负责。</w:t>
      </w:r>
    </w:p>
    <w:p>
      <w:pPr>
        <w:snapToGrid w:val="0"/>
        <w:spacing w:beforeLines="50" w:line="420" w:lineRule="exact"/>
        <w:ind w:firstLine="413" w:firstLineChars="196"/>
        <w:rPr>
          <w:rFonts w:ascii="宋体" w:hAnsi="宋体"/>
          <w:b/>
          <w:color w:val="auto"/>
          <w:szCs w:val="21"/>
          <w:highlight w:val="none"/>
        </w:rPr>
      </w:pPr>
      <w:r>
        <w:rPr>
          <w:rFonts w:hint="eastAsia" w:ascii="宋体" w:hAnsi="宋体"/>
          <w:b/>
          <w:color w:val="auto"/>
          <w:szCs w:val="21"/>
          <w:highlight w:val="none"/>
        </w:rPr>
        <w:t>（七）投标无效的情形</w:t>
      </w:r>
    </w:p>
    <w:p>
      <w:pPr>
        <w:snapToGrid w:val="0"/>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398" w:firstLineChars="196"/>
        <w:rPr>
          <w:rFonts w:ascii="宋体" w:hAnsi="宋体"/>
          <w:b/>
          <w:bCs/>
          <w:color w:val="auto"/>
          <w:spacing w:val="-4"/>
          <w:szCs w:val="21"/>
          <w:highlight w:val="none"/>
        </w:rPr>
      </w:pPr>
      <w:bookmarkStart w:id="19" w:name="_Hlk59462445"/>
      <w:r>
        <w:rPr>
          <w:rFonts w:hint="eastAsia" w:ascii="宋体" w:hAnsi="宋体"/>
          <w:b/>
          <w:bCs/>
          <w:color w:val="auto"/>
          <w:spacing w:val="-4"/>
          <w:szCs w:val="21"/>
          <w:highlight w:val="none"/>
        </w:rPr>
        <w:t>1.</w:t>
      </w:r>
      <w:bookmarkStart w:id="20" w:name="_Hlk534294335"/>
      <w:r>
        <w:rPr>
          <w:rFonts w:hint="eastAsia" w:ascii="宋体" w:hAnsi="宋体"/>
          <w:b/>
          <w:bCs/>
          <w:color w:val="auto"/>
          <w:spacing w:val="-4"/>
          <w:szCs w:val="21"/>
          <w:highlight w:val="none"/>
        </w:rPr>
        <w:t>在符合性审查和商务技术评审时，如发现下列情形之一的，投标文件将被视为无效：</w:t>
      </w:r>
    </w:p>
    <w:bookmarkEnd w:id="20"/>
    <w:p>
      <w:pPr>
        <w:snapToGrid w:val="0"/>
        <w:spacing w:line="420" w:lineRule="exact"/>
        <w:ind w:firstLine="411" w:firstLineChars="196"/>
        <w:rPr>
          <w:rFonts w:ascii="宋体" w:hAnsi="宋体"/>
          <w:color w:val="auto"/>
          <w:szCs w:val="21"/>
          <w:highlight w:val="none"/>
        </w:rPr>
      </w:pPr>
      <w:r>
        <w:rPr>
          <w:rFonts w:hint="eastAsia" w:ascii="宋体" w:hAnsi="宋体"/>
          <w:color w:val="auto"/>
          <w:szCs w:val="21"/>
          <w:highlight w:val="none"/>
        </w:rPr>
        <w:t>（1）资格响应文件未提供齐全的，或者不符合招标文件标明的资格要求的；</w:t>
      </w:r>
    </w:p>
    <w:p>
      <w:pPr>
        <w:snapToGrid w:val="0"/>
        <w:spacing w:line="420" w:lineRule="exact"/>
        <w:ind w:firstLine="411" w:firstLineChars="196"/>
        <w:rPr>
          <w:rFonts w:ascii="宋体" w:hAnsi="宋体"/>
          <w:bCs/>
          <w:color w:val="auto"/>
          <w:kern w:val="0"/>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电子投标文件</w:t>
      </w:r>
      <w:r>
        <w:rPr>
          <w:rFonts w:hint="eastAsia" w:ascii="宋体" w:hAnsi="宋体"/>
          <w:b/>
          <w:bCs/>
          <w:color w:val="auto"/>
          <w:kern w:val="0"/>
          <w:szCs w:val="21"/>
          <w:highlight w:val="none"/>
          <w:u w:val="single"/>
          <w:shd w:val="pct10" w:color="auto" w:fill="FFFFFF"/>
        </w:rPr>
        <w:t>在指定页面无法定代表人盖章或签字、未在指定页面盖公章、在指定页面无被授权人签字（打字无效）</w:t>
      </w:r>
      <w:r>
        <w:rPr>
          <w:rFonts w:hint="eastAsia" w:ascii="宋体" w:hAnsi="宋体"/>
          <w:b/>
          <w:bCs/>
          <w:color w:val="auto"/>
          <w:kern w:val="0"/>
          <w:szCs w:val="21"/>
          <w:highlight w:val="none"/>
          <w:u w:val="single"/>
        </w:rPr>
        <w:t>、</w:t>
      </w:r>
      <w:r>
        <w:rPr>
          <w:rFonts w:hint="eastAsia" w:ascii="宋体" w:hAnsi="宋体"/>
          <w:b/>
          <w:bCs/>
          <w:color w:val="auto"/>
          <w:kern w:val="0"/>
          <w:szCs w:val="21"/>
          <w:highlight w:val="none"/>
        </w:rPr>
        <w:t>未提供法定代表人授权委托书、未提供投标函、未提供《没有重大违法记录的承诺函》或者投标函、《没有重大违法记录的承诺函》格式不符合招标文件要求或填写项目不齐全的；</w:t>
      </w:r>
    </w:p>
    <w:p>
      <w:pPr>
        <w:pStyle w:val="22"/>
        <w:snapToGrid w:val="0"/>
        <w:spacing w:line="420" w:lineRule="exact"/>
        <w:ind w:firstLine="395" w:firstLineChars="196"/>
        <w:rPr>
          <w:rFonts w:hAnsi="宋体"/>
          <w:b/>
          <w:bCs/>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）多项主要服务响应或者主要设备功能响应不满足招标文件要求或缺项的，</w:t>
      </w:r>
      <w:r>
        <w:rPr>
          <w:rFonts w:hint="eastAsia" w:hAnsi="宋体"/>
          <w:b/>
          <w:bCs/>
          <w:color w:val="auto"/>
          <w:sz w:val="21"/>
          <w:szCs w:val="21"/>
          <w:highlight w:val="none"/>
        </w:rPr>
        <w:t>主要设备尺寸严重不满足招标文件要求的。</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w:t>
      </w:r>
      <w:r>
        <w:rPr>
          <w:rFonts w:hint="eastAsia" w:hAnsi="宋体"/>
          <w:snapToGrid w:val="0"/>
          <w:color w:val="auto"/>
          <w:sz w:val="21"/>
          <w:szCs w:val="21"/>
          <w:highlight w:val="none"/>
        </w:rPr>
        <w:t>与</w:t>
      </w:r>
      <w:r>
        <w:rPr>
          <w:rFonts w:hint="eastAsia" w:hAnsi="宋体"/>
          <w:color w:val="auto"/>
          <w:sz w:val="21"/>
          <w:szCs w:val="21"/>
          <w:highlight w:val="none"/>
        </w:rPr>
        <w:t>招标文件中标“▲”的技术指标、主要功能参数、服务响应发生实质性负偏离</w:t>
      </w:r>
      <w:r>
        <w:rPr>
          <w:rFonts w:hint="eastAsia" w:hAnsi="宋体"/>
          <w:snapToGrid w:val="0"/>
          <w:color w:val="auto"/>
          <w:sz w:val="21"/>
          <w:szCs w:val="21"/>
          <w:highlight w:val="none"/>
        </w:rPr>
        <w:t>或内容缺失</w:t>
      </w:r>
      <w:r>
        <w:rPr>
          <w:rFonts w:hint="eastAsia" w:hAnsi="宋体"/>
          <w:color w:val="auto"/>
          <w:sz w:val="21"/>
          <w:szCs w:val="21"/>
          <w:highlight w:val="none"/>
        </w:rPr>
        <w:t>的；</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）未如实提供投标货物的技术参数，或者投标文件标明的响应或偏离存在虚假的；</w:t>
      </w:r>
    </w:p>
    <w:p>
      <w:pPr>
        <w:pStyle w:val="22"/>
        <w:snapToGrid w:val="0"/>
        <w:spacing w:line="420" w:lineRule="exact"/>
        <w:ind w:firstLine="395" w:firstLineChars="196"/>
        <w:rPr>
          <w:rFonts w:hAnsi="宋体"/>
          <w:snapToGrid w:val="0"/>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）投标有效期、工期（供货期、交货时间、服务期）、保修期（质保期）、付款方式等商务条款不能满足招标文件要求或缺失的</w:t>
      </w:r>
      <w:r>
        <w:rPr>
          <w:rFonts w:hint="eastAsia" w:hAnsi="宋体"/>
          <w:snapToGrid w:val="0"/>
          <w:color w:val="auto"/>
          <w:sz w:val="21"/>
          <w:szCs w:val="21"/>
          <w:highlight w:val="none"/>
        </w:rPr>
        <w:t>；</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7</w:t>
      </w:r>
      <w:r>
        <w:rPr>
          <w:rFonts w:hint="eastAsia" w:hAnsi="宋体"/>
          <w:color w:val="auto"/>
          <w:sz w:val="21"/>
          <w:szCs w:val="21"/>
          <w:highlight w:val="none"/>
        </w:rPr>
        <w:t>）投标文件有招标方不能接受的附加条件的；</w:t>
      </w:r>
    </w:p>
    <w:p>
      <w:pPr>
        <w:pStyle w:val="22"/>
        <w:snapToGrid w:val="0"/>
        <w:spacing w:line="420" w:lineRule="exact"/>
        <w:ind w:firstLine="404"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8</w:t>
      </w:r>
      <w:r>
        <w:rPr>
          <w:rFonts w:hint="eastAsia" w:hAnsi="宋体"/>
          <w:color w:val="auto"/>
          <w:sz w:val="21"/>
          <w:szCs w:val="21"/>
          <w:highlight w:val="none"/>
        </w:rPr>
        <w:t>）商务技术文件中出现投标总报价的；</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9</w:t>
      </w:r>
      <w:r>
        <w:rPr>
          <w:rFonts w:hint="eastAsia" w:hAnsi="宋体"/>
          <w:color w:val="auto"/>
          <w:sz w:val="21"/>
          <w:szCs w:val="21"/>
          <w:highlight w:val="none"/>
        </w:rPr>
        <w:t>）不同投标人的投标文件,由同一台电脑编制。</w:t>
      </w:r>
    </w:p>
    <w:bookmarkEnd w:id="19"/>
    <w:p>
      <w:pPr>
        <w:pStyle w:val="22"/>
        <w:snapToGrid w:val="0"/>
        <w:spacing w:line="420" w:lineRule="exact"/>
        <w:ind w:firstLine="398" w:firstLineChars="196"/>
        <w:rPr>
          <w:rFonts w:hAnsi="宋体"/>
          <w:b/>
          <w:bCs/>
          <w:color w:val="auto"/>
          <w:sz w:val="21"/>
          <w:szCs w:val="21"/>
          <w:highlight w:val="none"/>
        </w:rPr>
      </w:pPr>
      <w:r>
        <w:rPr>
          <w:rFonts w:hint="eastAsia" w:hAnsi="宋体"/>
          <w:b/>
          <w:bCs/>
          <w:color w:val="auto"/>
          <w:sz w:val="21"/>
          <w:szCs w:val="21"/>
          <w:highlight w:val="none"/>
        </w:rPr>
        <w:t>2.在报价评审时，如发现下列情形之一的，投标文件将被视为无效：</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（1）未采用人民币报价或者未按照招标文件标明的币种报价的；</w:t>
      </w:r>
    </w:p>
    <w:p>
      <w:pPr>
        <w:pStyle w:val="22"/>
        <w:snapToGrid w:val="0"/>
        <w:spacing w:line="420" w:lineRule="exact"/>
        <w:ind w:firstLine="395" w:firstLineChars="196"/>
        <w:rPr>
          <w:rFonts w:hAnsi="宋体"/>
          <w:color w:val="auto"/>
          <w:sz w:val="21"/>
          <w:szCs w:val="21"/>
          <w:highlight w:val="none"/>
        </w:rPr>
      </w:pPr>
      <w:r>
        <w:rPr>
          <w:rFonts w:hint="eastAsia" w:hAnsi="宋体"/>
          <w:color w:val="auto"/>
          <w:sz w:val="21"/>
          <w:szCs w:val="21"/>
          <w:highlight w:val="none"/>
        </w:rPr>
        <w:t>（2）投标报价具有选择性，或者开标价格与投标文件承诺的优惠（折扣）价格不一致的；</w:t>
      </w:r>
    </w:p>
    <w:p>
      <w:pPr>
        <w:pStyle w:val="22"/>
        <w:snapToGrid w:val="0"/>
        <w:spacing w:line="420" w:lineRule="exact"/>
        <w:ind w:firstLine="398" w:firstLineChars="196"/>
        <w:rPr>
          <w:rFonts w:hAnsi="宋体"/>
          <w:b/>
          <w:bCs/>
          <w:color w:val="auto"/>
          <w:sz w:val="21"/>
          <w:szCs w:val="21"/>
          <w:highlight w:val="none"/>
        </w:rPr>
      </w:pPr>
      <w:r>
        <w:rPr>
          <w:rFonts w:hint="eastAsia" w:hAnsi="宋体"/>
          <w:b/>
          <w:bCs/>
          <w:color w:val="auto"/>
          <w:sz w:val="21"/>
          <w:szCs w:val="21"/>
          <w:highlight w:val="none"/>
        </w:rPr>
        <w:t>（3）报价超过招标文件中规定的预算金额或者最高限价的；</w:t>
      </w:r>
    </w:p>
    <w:p>
      <w:pPr>
        <w:pStyle w:val="22"/>
        <w:snapToGrid w:val="0"/>
        <w:spacing w:line="420" w:lineRule="exact"/>
        <w:ind w:firstLine="398" w:firstLineChars="196"/>
        <w:rPr>
          <w:rFonts w:hAnsi="宋体"/>
          <w:b/>
          <w:bCs/>
          <w:color w:val="auto"/>
          <w:sz w:val="21"/>
          <w:szCs w:val="21"/>
          <w:highlight w:val="none"/>
        </w:rPr>
      </w:pPr>
      <w:r>
        <w:rPr>
          <w:rFonts w:hint="eastAsia" w:hAnsi="宋体"/>
          <w:b/>
          <w:bCs/>
          <w:color w:val="auto"/>
          <w:sz w:val="21"/>
          <w:szCs w:val="21"/>
          <w:highlight w:val="none"/>
        </w:rPr>
        <w:t>（</w:t>
      </w:r>
      <w:r>
        <w:rPr>
          <w:rFonts w:hAnsi="宋体"/>
          <w:b/>
          <w:bCs/>
          <w:color w:val="auto"/>
          <w:sz w:val="21"/>
          <w:szCs w:val="21"/>
          <w:highlight w:val="none"/>
        </w:rPr>
        <w:t>4</w:t>
      </w:r>
      <w:r>
        <w:rPr>
          <w:rFonts w:hint="eastAsia" w:hAnsi="宋体"/>
          <w:b/>
          <w:bCs/>
          <w:color w:val="auto"/>
          <w:sz w:val="21"/>
          <w:szCs w:val="21"/>
          <w:highlight w:val="none"/>
        </w:rPr>
        <w:t>）未填写投标报价的。</w:t>
      </w:r>
    </w:p>
    <w:p>
      <w:pPr>
        <w:pStyle w:val="22"/>
        <w:snapToGrid w:val="0"/>
        <w:spacing w:line="420" w:lineRule="exact"/>
        <w:ind w:firstLine="398" w:firstLineChars="196"/>
        <w:rPr>
          <w:rFonts w:hAnsi="宋体"/>
          <w:b/>
          <w:color w:val="auto"/>
          <w:sz w:val="21"/>
          <w:szCs w:val="21"/>
          <w:highlight w:val="none"/>
        </w:rPr>
      </w:pPr>
      <w:r>
        <w:rPr>
          <w:rFonts w:hint="eastAsia" w:hAnsi="宋体"/>
          <w:b/>
          <w:color w:val="auto"/>
          <w:sz w:val="21"/>
          <w:szCs w:val="21"/>
          <w:highlight w:val="none"/>
        </w:rPr>
        <w:t>3.被拒绝的投标文件为无效。</w:t>
      </w:r>
    </w:p>
    <w:p>
      <w:pPr>
        <w:spacing w:line="420" w:lineRule="exact"/>
        <w:ind w:firstLine="310" w:firstLineChars="147"/>
        <w:rPr>
          <w:rFonts w:ascii="宋体" w:hAnsi="宋体"/>
          <w:b/>
          <w:color w:val="auto"/>
          <w:szCs w:val="21"/>
          <w:highlight w:val="none"/>
          <w:u w:val="single"/>
        </w:rPr>
      </w:pPr>
      <w:r>
        <w:rPr>
          <w:rFonts w:hint="eastAsia" w:ascii="宋体" w:hAnsi="宋体"/>
          <w:b/>
          <w:color w:val="auto"/>
          <w:szCs w:val="21"/>
          <w:highlight w:val="none"/>
        </w:rPr>
        <w:t>（八）在招标采购中，出现下列情形之一的，应予废标</w:t>
      </w:r>
    </w:p>
    <w:p>
      <w:pPr>
        <w:autoSpaceDE w:val="0"/>
        <w:autoSpaceDN w:val="0"/>
        <w:spacing w:line="420" w:lineRule="exact"/>
        <w:ind w:firstLine="420" w:firstLineChars="200"/>
        <w:textAlignment w:val="bottom"/>
        <w:rPr>
          <w:color w:val="auto"/>
          <w:highlight w:val="none"/>
        </w:rPr>
      </w:pPr>
      <w:r>
        <w:rPr>
          <w:rFonts w:hint="eastAsia"/>
          <w:color w:val="auto"/>
          <w:highlight w:val="none"/>
        </w:rPr>
        <w:t>1、</w:t>
      </w:r>
      <w:r>
        <w:rPr>
          <w:color w:val="auto"/>
          <w:highlight w:val="none"/>
        </w:rPr>
        <w:t>出现影响采购公正的违法、违规</w:t>
      </w:r>
      <w:r>
        <w:rPr>
          <w:rFonts w:hint="eastAsia"/>
          <w:color w:val="auto"/>
          <w:highlight w:val="none"/>
        </w:rPr>
        <w:t>行为</w:t>
      </w:r>
      <w:r>
        <w:rPr>
          <w:color w:val="auto"/>
          <w:highlight w:val="none"/>
        </w:rPr>
        <w:t>的；</w:t>
      </w:r>
    </w:p>
    <w:p>
      <w:pPr>
        <w:autoSpaceDE w:val="0"/>
        <w:autoSpaceDN w:val="0"/>
        <w:spacing w:line="420" w:lineRule="exact"/>
        <w:ind w:firstLine="420" w:firstLineChars="200"/>
        <w:textAlignment w:val="bottom"/>
        <w:rPr>
          <w:color w:val="auto"/>
          <w:highlight w:val="none"/>
        </w:rPr>
      </w:pPr>
      <w:r>
        <w:rPr>
          <w:rFonts w:hint="eastAsia"/>
          <w:color w:val="auto"/>
          <w:highlight w:val="none"/>
        </w:rPr>
        <w:t>2、</w:t>
      </w:r>
      <w:r>
        <w:rPr>
          <w:color w:val="auto"/>
          <w:highlight w:val="none"/>
        </w:rPr>
        <w:t>因重大变故，采购任务取消的；</w:t>
      </w:r>
    </w:p>
    <w:p>
      <w:pPr>
        <w:autoSpaceDE w:val="0"/>
        <w:autoSpaceDN w:val="0"/>
        <w:spacing w:line="420" w:lineRule="exact"/>
        <w:ind w:firstLine="420" w:firstLineChars="200"/>
        <w:textAlignment w:val="bottom"/>
        <w:rPr>
          <w:color w:val="auto"/>
          <w:highlight w:val="none"/>
        </w:rPr>
      </w:pPr>
      <w:r>
        <w:rPr>
          <w:rFonts w:hint="eastAsia"/>
          <w:color w:val="auto"/>
          <w:highlight w:val="none"/>
        </w:rPr>
        <w:t>3、投标人的报价均超过了采购预算价，采购单位不能支付的。</w:t>
      </w:r>
    </w:p>
    <w:p>
      <w:pPr>
        <w:autoSpaceDE w:val="0"/>
        <w:autoSpaceDN w:val="0"/>
        <w:spacing w:line="420" w:lineRule="exact"/>
        <w:ind w:firstLine="420" w:firstLineChars="200"/>
        <w:textAlignment w:val="bottom"/>
        <w:rPr>
          <w:color w:val="auto"/>
          <w:highlight w:val="none"/>
        </w:rPr>
      </w:pPr>
      <w:r>
        <w:rPr>
          <w:color w:val="auto"/>
          <w:highlight w:val="none"/>
        </w:rPr>
        <w:t>4</w:t>
      </w:r>
      <w:r>
        <w:rPr>
          <w:rFonts w:hint="eastAsia"/>
          <w:color w:val="auto"/>
          <w:highlight w:val="none"/>
        </w:rPr>
        <w:t>.其他法律法规规定应予以废标的情形。</w:t>
      </w:r>
    </w:p>
    <w:p>
      <w:pPr>
        <w:pStyle w:val="22"/>
        <w:snapToGrid w:val="0"/>
        <w:spacing w:line="420" w:lineRule="exact"/>
        <w:ind w:firstLine="223" w:firstLineChars="110"/>
        <w:rPr>
          <w:rFonts w:hAnsi="宋体"/>
          <w:b/>
          <w:snapToGrid w:val="0"/>
          <w:color w:val="auto"/>
          <w:sz w:val="21"/>
          <w:szCs w:val="21"/>
          <w:highlight w:val="none"/>
        </w:rPr>
      </w:pPr>
      <w:r>
        <w:rPr>
          <w:rFonts w:hint="eastAsia" w:hAnsi="宋体"/>
          <w:b/>
          <w:color w:val="auto"/>
          <w:sz w:val="21"/>
          <w:szCs w:val="21"/>
          <w:highlight w:val="none"/>
        </w:rPr>
        <w:t>四、开标</w:t>
      </w:r>
    </w:p>
    <w:p>
      <w:pPr>
        <w:pStyle w:val="29"/>
        <w:snapToGrid w:val="0"/>
        <w:spacing w:beforeLines="0" w:afterLines="0" w:line="420" w:lineRule="exact"/>
        <w:ind w:firstLine="211" w:firstLineChars="100"/>
        <w:rPr>
          <w:rFonts w:hAnsi="宋体"/>
          <w:b/>
          <w:color w:val="auto"/>
          <w:sz w:val="21"/>
          <w:szCs w:val="21"/>
          <w:highlight w:val="none"/>
        </w:rPr>
      </w:pPr>
      <w:r>
        <w:rPr>
          <w:rFonts w:hint="eastAsia" w:hAnsi="宋体"/>
          <w:b/>
          <w:color w:val="auto"/>
          <w:sz w:val="21"/>
          <w:szCs w:val="21"/>
          <w:highlight w:val="none"/>
        </w:rPr>
        <w:t>（一）开标准备</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采购过程中出现以下情形，导致电子交易平台无法正常运行，或者无法保证电子交易的公平、公正和安全时，采购组织机构可中止电子交易活动：</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 xml:space="preserve">（1）电子交易平台发生故障、停电而无法登录访问的； </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（2）电子交易平台应用或数据库出现错误，不能进行正常操作的；</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（3）电子交易平台发现严重安全漏洞，有潜在泄密危险的；</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 xml:space="preserve">（4）病毒发作导致不能进行正常操作的； </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（5）其他无法保证电子交易的公平、公正和安全的情况。</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出现前款规定情形，不影响采购公平、公正性的，采购组织机构可以待上述情形消除后继续组织电子交易活动，影响或可能影响采购公平、公正性的，应当重新采购。</w:t>
      </w:r>
    </w:p>
    <w:p>
      <w:pPr>
        <w:pStyle w:val="29"/>
        <w:snapToGrid w:val="0"/>
        <w:spacing w:beforeLines="0" w:afterLines="0" w:line="420" w:lineRule="exact"/>
        <w:ind w:firstLine="413" w:firstLineChars="196"/>
        <w:rPr>
          <w:rFonts w:hAnsi="宋体"/>
          <w:bCs/>
          <w:color w:val="auto"/>
          <w:sz w:val="21"/>
          <w:szCs w:val="21"/>
          <w:highlight w:val="none"/>
        </w:rPr>
      </w:pPr>
      <w:r>
        <w:rPr>
          <w:rFonts w:hint="eastAsia" w:hAnsi="宋体"/>
          <w:b/>
          <w:color w:val="auto"/>
          <w:sz w:val="21"/>
          <w:szCs w:val="21"/>
          <w:highlight w:val="none"/>
        </w:rPr>
        <w:t xml:space="preserve">（二）开标程序    </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1.</w:t>
      </w:r>
      <w:bookmarkStart w:id="21" w:name="_Hlk59690176"/>
      <w:r>
        <w:rPr>
          <w:rFonts w:hint="eastAsia" w:hAnsi="宋体"/>
          <w:color w:val="auto"/>
          <w:sz w:val="21"/>
          <w:szCs w:val="21"/>
          <w:highlight w:val="none"/>
        </w:rPr>
        <w:t>开标会由招标人主持，</w:t>
      </w:r>
      <w:bookmarkStart w:id="22" w:name="_Hlk59694585"/>
      <w:r>
        <w:rPr>
          <w:rFonts w:hint="eastAsia" w:hAnsi="宋体"/>
          <w:b/>
          <w:bCs/>
          <w:color w:val="auto"/>
          <w:sz w:val="21"/>
          <w:szCs w:val="21"/>
          <w:highlight w:val="none"/>
          <w:u w:val="single"/>
          <w:shd w:val="pct10" w:color="auto" w:fill="FFFFFF"/>
        </w:rPr>
        <w:t>并通过临海市公共资源交易中心网站--每日直播平台进行现场直播，各投标人请准时在线参加。各投标人如对开、评标过程有异议的，应该登陆临海市公共资源交易中心网站</w:t>
      </w:r>
      <w:r>
        <w:rPr>
          <w:rFonts w:hAnsi="宋体"/>
          <w:b/>
          <w:bCs/>
          <w:color w:val="auto"/>
          <w:sz w:val="21"/>
          <w:szCs w:val="21"/>
          <w:highlight w:val="none"/>
          <w:u w:val="single"/>
          <w:shd w:val="pct10" w:color="auto" w:fill="FFFFFF"/>
        </w:rPr>
        <w:t>—</w:t>
      </w:r>
      <w:r>
        <w:rPr>
          <w:rFonts w:hint="eastAsia" w:hAnsi="宋体"/>
          <w:b/>
          <w:bCs/>
          <w:color w:val="auto"/>
          <w:sz w:val="21"/>
          <w:szCs w:val="21"/>
          <w:highlight w:val="none"/>
          <w:u w:val="single"/>
          <w:shd w:val="pct10" w:color="auto" w:fill="FFFFFF"/>
        </w:rPr>
        <w:t>-每日直播平台---点击该项目</w:t>
      </w:r>
      <w:r>
        <w:rPr>
          <w:rFonts w:hAnsi="宋体"/>
          <w:b/>
          <w:bCs/>
          <w:color w:val="auto"/>
          <w:sz w:val="21"/>
          <w:szCs w:val="21"/>
          <w:highlight w:val="none"/>
          <w:u w:val="single"/>
          <w:shd w:val="pct10" w:color="auto" w:fill="FFFFFF"/>
        </w:rPr>
        <w:t>—</w:t>
      </w:r>
      <w:r>
        <w:rPr>
          <w:rFonts w:hint="eastAsia" w:hAnsi="宋体"/>
          <w:b/>
          <w:bCs/>
          <w:color w:val="auto"/>
          <w:sz w:val="21"/>
          <w:szCs w:val="21"/>
          <w:highlight w:val="none"/>
          <w:u w:val="single"/>
          <w:shd w:val="pct10" w:color="auto" w:fill="FFFFFF"/>
        </w:rPr>
        <w:t>登陆，进入投标人提问区进行提问，招标人（采购代理机构）应当及时作出答复，并制作记录</w:t>
      </w:r>
      <w:bookmarkEnd w:id="22"/>
      <w:r>
        <w:rPr>
          <w:rFonts w:hint="eastAsia" w:hAnsi="宋体"/>
          <w:b/>
          <w:bCs/>
          <w:color w:val="auto"/>
          <w:sz w:val="21"/>
          <w:szCs w:val="21"/>
          <w:highlight w:val="none"/>
          <w:u w:val="single"/>
          <w:shd w:val="pct10" w:color="auto" w:fill="FFFFFF"/>
        </w:rPr>
        <w:t>；</w:t>
      </w:r>
    </w:p>
    <w:bookmarkEnd w:id="21"/>
    <w:p>
      <w:pPr>
        <w:pStyle w:val="29"/>
        <w:snapToGrid w:val="0"/>
        <w:spacing w:beforeLines="0" w:afterLines="0" w:line="420" w:lineRule="exact"/>
        <w:ind w:firstLine="420" w:firstLineChars="200"/>
        <w:rPr>
          <w:rFonts w:hAnsi="宋体"/>
          <w:color w:val="auto"/>
          <w:sz w:val="21"/>
          <w:szCs w:val="21"/>
          <w:highlight w:val="none"/>
          <w:u w:val="single"/>
        </w:rPr>
      </w:pPr>
      <w:r>
        <w:rPr>
          <w:rFonts w:hint="eastAsia" w:hAnsi="宋体"/>
          <w:color w:val="auto"/>
          <w:sz w:val="21"/>
          <w:szCs w:val="21"/>
          <w:highlight w:val="none"/>
        </w:rPr>
        <w:t>2. 招标人点击政采云系统</w:t>
      </w:r>
      <w:r>
        <w:rPr>
          <w:rFonts w:hAnsi="宋体"/>
          <w:color w:val="auto"/>
          <w:sz w:val="21"/>
          <w:szCs w:val="21"/>
          <w:highlight w:val="none"/>
        </w:rPr>
        <w:t>--</w:t>
      </w:r>
      <w:r>
        <w:rPr>
          <w:rFonts w:hint="eastAsia" w:hAnsi="宋体"/>
          <w:color w:val="auto"/>
          <w:sz w:val="21"/>
          <w:szCs w:val="21"/>
          <w:highlight w:val="none"/>
        </w:rPr>
        <w:t>【开始解密】按钮，</w:t>
      </w:r>
      <w:bookmarkStart w:id="23" w:name="_Hlk59625783"/>
      <w:r>
        <w:rPr>
          <w:rFonts w:hint="eastAsia" w:hAnsi="宋体"/>
          <w:color w:val="auto"/>
          <w:sz w:val="21"/>
          <w:szCs w:val="21"/>
          <w:highlight w:val="none"/>
        </w:rPr>
        <w:t>由投标人按招标文件规定的时间及</w:t>
      </w:r>
      <w:bookmarkStart w:id="24" w:name="_Hlk59626264"/>
      <w:r>
        <w:rPr>
          <w:rFonts w:hint="eastAsia" w:hAnsi="宋体"/>
          <w:color w:val="auto"/>
          <w:sz w:val="21"/>
          <w:szCs w:val="21"/>
          <w:highlight w:val="none"/>
        </w:rPr>
        <w:t>政采云平台</w:t>
      </w:r>
      <w:bookmarkEnd w:id="24"/>
      <w:r>
        <w:rPr>
          <w:rFonts w:hint="eastAsia" w:hAnsi="宋体"/>
          <w:color w:val="auto"/>
          <w:sz w:val="21"/>
          <w:szCs w:val="21"/>
          <w:highlight w:val="none"/>
        </w:rPr>
        <w:t>显示的时间内自行进行投标文件解密。</w:t>
      </w:r>
      <w:bookmarkEnd w:id="23"/>
      <w:r>
        <w:rPr>
          <w:rFonts w:hint="eastAsia" w:hAnsi="宋体"/>
          <w:color w:val="auto"/>
          <w:sz w:val="21"/>
          <w:szCs w:val="21"/>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25" w:name="_Hlk59805375"/>
      <w:r>
        <w:rPr>
          <w:rFonts w:hint="eastAsia" w:hAnsi="宋体"/>
          <w:color w:val="auto"/>
          <w:sz w:val="21"/>
          <w:szCs w:val="21"/>
          <w:highlight w:val="none"/>
          <w:u w:val="single"/>
        </w:rPr>
        <w:t>投标人未按时解密或解密失败的，其投标文件为无效标。</w:t>
      </w:r>
      <w:bookmarkEnd w:id="25"/>
    </w:p>
    <w:p>
      <w:pPr>
        <w:pStyle w:val="29"/>
        <w:snapToGrid w:val="0"/>
        <w:spacing w:beforeLines="0" w:afterLines="0" w:line="420" w:lineRule="exact"/>
        <w:rPr>
          <w:rFonts w:hAnsi="宋体"/>
          <w:b/>
          <w:bCs/>
          <w:color w:val="auto"/>
          <w:sz w:val="21"/>
          <w:szCs w:val="21"/>
          <w:highlight w:val="none"/>
          <w:u w:val="single"/>
          <w:shd w:val="pct10" w:color="auto" w:fill="FFFFFF"/>
        </w:rPr>
      </w:pPr>
      <w:r>
        <w:rPr>
          <w:rFonts w:hint="eastAsia" w:hAnsi="宋体"/>
          <w:b/>
          <w:bCs/>
          <w:color w:val="auto"/>
          <w:sz w:val="21"/>
          <w:szCs w:val="21"/>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29"/>
        <w:snapToGrid w:val="0"/>
        <w:spacing w:beforeLines="0" w:afterLines="0" w:line="420" w:lineRule="exact"/>
        <w:ind w:firstLine="420" w:firstLineChars="200"/>
        <w:rPr>
          <w:rFonts w:hAnsi="宋体"/>
          <w:b/>
          <w:bCs/>
          <w:color w:val="auto"/>
          <w:sz w:val="21"/>
          <w:szCs w:val="21"/>
          <w:highlight w:val="none"/>
          <w:u w:val="single"/>
          <w:shd w:val="pct10" w:color="auto" w:fill="FFFFFF"/>
        </w:rPr>
      </w:pPr>
      <w:r>
        <w:rPr>
          <w:rFonts w:hAnsi="宋体"/>
          <w:color w:val="auto"/>
          <w:sz w:val="21"/>
          <w:szCs w:val="21"/>
          <w:highlight w:val="none"/>
        </w:rPr>
        <w:t>3</w:t>
      </w:r>
      <w:r>
        <w:rPr>
          <w:rFonts w:hint="eastAsia" w:hAnsi="宋体"/>
          <w:color w:val="auto"/>
          <w:sz w:val="21"/>
          <w:szCs w:val="21"/>
          <w:highlight w:val="none"/>
        </w:rPr>
        <w:t>. 解密结束后，主持人介绍参加开标会的人员名单，告知应当回避的情形,提请有关人员回避；</w:t>
      </w:r>
    </w:p>
    <w:p>
      <w:pPr>
        <w:pStyle w:val="29"/>
        <w:snapToGrid w:val="0"/>
        <w:spacing w:beforeLines="0" w:afterLines="0" w:line="420" w:lineRule="exact"/>
        <w:ind w:firstLine="420" w:firstLineChars="200"/>
        <w:rPr>
          <w:rFonts w:hAnsi="宋体"/>
          <w:color w:val="auto"/>
          <w:sz w:val="21"/>
          <w:szCs w:val="21"/>
          <w:highlight w:val="none"/>
        </w:rPr>
      </w:pPr>
      <w:r>
        <w:rPr>
          <w:rFonts w:hAnsi="宋体"/>
          <w:color w:val="auto"/>
          <w:sz w:val="21"/>
          <w:szCs w:val="21"/>
          <w:highlight w:val="none"/>
        </w:rPr>
        <w:t>4</w:t>
      </w:r>
      <w:r>
        <w:rPr>
          <w:rFonts w:hint="eastAsia" w:hAnsi="宋体"/>
          <w:color w:val="auto"/>
          <w:sz w:val="21"/>
          <w:szCs w:val="21"/>
          <w:highlight w:val="none"/>
        </w:rPr>
        <w:t>.投标文件结束解密后，投标人应当通过邮件形式，将经授权代表签署的《政府采购活动现场确认声明书》</w:t>
      </w:r>
      <w:r>
        <w:rPr>
          <w:rFonts w:hint="eastAsia" w:hAnsi="宋体"/>
          <w:b/>
          <w:bCs/>
          <w:color w:val="auto"/>
          <w:sz w:val="21"/>
          <w:szCs w:val="21"/>
          <w:highlight w:val="none"/>
          <w:u w:val="single"/>
        </w:rPr>
        <w:t>（格式见招标文件最后一页15.政府采购活动现场确认声明书）</w:t>
      </w:r>
      <w:r>
        <w:rPr>
          <w:rFonts w:hint="eastAsia" w:hAnsi="宋体"/>
          <w:color w:val="auto"/>
          <w:sz w:val="21"/>
          <w:szCs w:val="21"/>
          <w:highlight w:val="none"/>
        </w:rPr>
        <w:t>扫描件发至代理机构电子邮箱（</w:t>
      </w:r>
      <w:r>
        <w:rPr>
          <w:color w:val="auto"/>
          <w:highlight w:val="none"/>
        </w:rPr>
        <w:fldChar w:fldCharType="begin"/>
      </w:r>
      <w:r>
        <w:rPr>
          <w:color w:val="auto"/>
          <w:highlight w:val="none"/>
        </w:rPr>
        <w:instrText xml:space="preserve"> HYPERLINK "mailto:2794725066@qq.com）,联系人" </w:instrText>
      </w:r>
      <w:r>
        <w:rPr>
          <w:color w:val="auto"/>
          <w:highlight w:val="none"/>
        </w:rPr>
        <w:fldChar w:fldCharType="separate"/>
      </w:r>
      <w:r>
        <w:rPr>
          <w:rFonts w:hint="eastAsia" w:hAnsi="宋体"/>
          <w:color w:val="auto"/>
          <w:sz w:val="21"/>
          <w:szCs w:val="21"/>
          <w:highlight w:val="none"/>
        </w:rPr>
        <w:t>1695676348@qq.com）,联系人</w:t>
      </w:r>
      <w:r>
        <w:rPr>
          <w:rFonts w:hint="eastAsia" w:hAnsi="宋体"/>
          <w:color w:val="auto"/>
          <w:sz w:val="21"/>
          <w:szCs w:val="21"/>
          <w:highlight w:val="none"/>
        </w:rPr>
        <w:fldChar w:fldCharType="end"/>
      </w:r>
      <w:r>
        <w:rPr>
          <w:rFonts w:hint="eastAsia" w:hAnsi="宋体"/>
          <w:color w:val="auto"/>
          <w:sz w:val="21"/>
          <w:szCs w:val="21"/>
          <w:highlight w:val="none"/>
        </w:rPr>
        <w:t>：金先生，电话：0576-85408362；</w:t>
      </w:r>
    </w:p>
    <w:p>
      <w:pPr>
        <w:pStyle w:val="29"/>
        <w:snapToGrid w:val="0"/>
        <w:spacing w:beforeLines="0" w:afterLines="0" w:line="420" w:lineRule="exact"/>
        <w:ind w:firstLine="420" w:firstLineChars="200"/>
        <w:rPr>
          <w:rFonts w:hAnsi="宋体"/>
          <w:color w:val="auto"/>
          <w:sz w:val="21"/>
          <w:szCs w:val="21"/>
          <w:highlight w:val="none"/>
        </w:rPr>
      </w:pPr>
      <w:r>
        <w:rPr>
          <w:rFonts w:hAnsi="宋体"/>
          <w:color w:val="auto"/>
          <w:sz w:val="21"/>
          <w:szCs w:val="21"/>
          <w:highlight w:val="none"/>
        </w:rPr>
        <w:t>5</w:t>
      </w:r>
      <w:r>
        <w:rPr>
          <w:rFonts w:hint="eastAsia" w:hAnsi="宋体"/>
          <w:color w:val="auto"/>
          <w:sz w:val="21"/>
          <w:szCs w:val="21"/>
          <w:highlight w:val="none"/>
        </w:rPr>
        <w:t>.采购组织机构点击【</w:t>
      </w:r>
      <w:bookmarkStart w:id="26" w:name="_Hlk59371589"/>
      <w:r>
        <w:rPr>
          <w:rFonts w:hint="eastAsia" w:hAnsi="宋体"/>
          <w:color w:val="auto"/>
          <w:sz w:val="21"/>
          <w:szCs w:val="21"/>
          <w:highlight w:val="none"/>
        </w:rPr>
        <w:t>开启标书信息</w:t>
      </w:r>
      <w:bookmarkEnd w:id="26"/>
      <w:r>
        <w:rPr>
          <w:rFonts w:hint="eastAsia" w:hAnsi="宋体"/>
          <w:color w:val="auto"/>
          <w:sz w:val="21"/>
          <w:szCs w:val="21"/>
          <w:highlight w:val="none"/>
        </w:rPr>
        <w:t>】，开启标书成功后进入评标流程；</w:t>
      </w:r>
    </w:p>
    <w:p>
      <w:pPr>
        <w:pStyle w:val="29"/>
        <w:snapToGrid w:val="0"/>
        <w:spacing w:beforeLines="0" w:afterLines="0" w:line="420" w:lineRule="exact"/>
        <w:ind w:firstLine="420" w:firstLineChars="200"/>
        <w:rPr>
          <w:rFonts w:hAnsi="宋体"/>
          <w:color w:val="auto"/>
          <w:sz w:val="21"/>
          <w:szCs w:val="21"/>
          <w:highlight w:val="none"/>
        </w:rPr>
      </w:pPr>
      <w:r>
        <w:rPr>
          <w:rFonts w:hAnsi="宋体"/>
          <w:color w:val="auto"/>
          <w:sz w:val="21"/>
          <w:szCs w:val="21"/>
          <w:highlight w:val="none"/>
        </w:rPr>
        <w:t>6</w:t>
      </w:r>
      <w:r>
        <w:rPr>
          <w:rFonts w:hint="eastAsia" w:hAnsi="宋体"/>
          <w:color w:val="auto"/>
          <w:sz w:val="21"/>
          <w:szCs w:val="21"/>
          <w:highlight w:val="none"/>
        </w:rPr>
        <w:t>.</w:t>
      </w:r>
      <w:bookmarkStart w:id="27" w:name="_Hlk59392570"/>
      <w:r>
        <w:rPr>
          <w:rFonts w:hint="eastAsia" w:hAnsi="宋体"/>
          <w:color w:val="auto"/>
          <w:sz w:val="21"/>
          <w:szCs w:val="21"/>
          <w:highlight w:val="none"/>
        </w:rPr>
        <w:t>资格及商务技术文件</w:t>
      </w:r>
      <w:bookmarkEnd w:id="27"/>
      <w:r>
        <w:rPr>
          <w:rFonts w:hint="eastAsia" w:hAnsi="宋体"/>
          <w:color w:val="auto"/>
          <w:sz w:val="21"/>
          <w:szCs w:val="21"/>
          <w:highlight w:val="none"/>
        </w:rPr>
        <w:t>评审；</w:t>
      </w:r>
    </w:p>
    <w:p>
      <w:pPr>
        <w:pStyle w:val="29"/>
        <w:snapToGrid w:val="0"/>
        <w:spacing w:beforeLines="0" w:afterLines="0" w:line="420" w:lineRule="exact"/>
        <w:ind w:firstLine="420" w:firstLineChars="200"/>
        <w:rPr>
          <w:rFonts w:hAnsi="宋体"/>
          <w:b/>
          <w:bCs/>
          <w:color w:val="auto"/>
          <w:sz w:val="21"/>
          <w:szCs w:val="21"/>
          <w:highlight w:val="none"/>
        </w:rPr>
      </w:pPr>
      <w:r>
        <w:rPr>
          <w:rFonts w:hAnsi="宋体"/>
          <w:color w:val="auto"/>
          <w:sz w:val="21"/>
          <w:szCs w:val="21"/>
          <w:highlight w:val="none"/>
        </w:rPr>
        <w:t>7</w:t>
      </w:r>
      <w:r>
        <w:rPr>
          <w:rFonts w:hint="eastAsia" w:hAnsi="宋体"/>
          <w:color w:val="auto"/>
          <w:sz w:val="21"/>
          <w:szCs w:val="21"/>
          <w:highlight w:val="none"/>
        </w:rPr>
        <w:t>.由主持人公布资格及商务技术文件无效的投标人名单、投标无效的原因及其他有效投标的评分汇总分</w:t>
      </w:r>
      <w:r>
        <w:rPr>
          <w:rFonts w:hint="eastAsia" w:hAnsi="宋体"/>
          <w:b/>
          <w:bCs/>
          <w:color w:val="auto"/>
          <w:sz w:val="21"/>
          <w:szCs w:val="21"/>
          <w:highlight w:val="none"/>
        </w:rPr>
        <w:t>；</w:t>
      </w:r>
    </w:p>
    <w:p>
      <w:pPr>
        <w:pStyle w:val="29"/>
        <w:snapToGrid w:val="0"/>
        <w:spacing w:beforeLines="0" w:afterLines="0" w:line="420" w:lineRule="exact"/>
        <w:ind w:firstLine="420" w:firstLineChars="200"/>
        <w:rPr>
          <w:rFonts w:hAnsi="宋体"/>
          <w:color w:val="auto"/>
          <w:sz w:val="21"/>
          <w:szCs w:val="21"/>
          <w:highlight w:val="none"/>
        </w:rPr>
      </w:pPr>
      <w:r>
        <w:rPr>
          <w:rFonts w:hAnsi="宋体"/>
          <w:color w:val="auto"/>
          <w:sz w:val="21"/>
          <w:szCs w:val="21"/>
          <w:highlight w:val="none"/>
        </w:rPr>
        <w:t>8</w:t>
      </w:r>
      <w:r>
        <w:rPr>
          <w:rFonts w:hint="eastAsia" w:hAnsi="宋体"/>
          <w:color w:val="auto"/>
          <w:sz w:val="21"/>
          <w:szCs w:val="21"/>
          <w:highlight w:val="none"/>
        </w:rPr>
        <w:t>.开启报价响应文件：采购代理机构成功开启报价响应文件后，方可查看各投标人报价情况。</w:t>
      </w:r>
      <w:r>
        <w:rPr>
          <w:rFonts w:hint="eastAsia" w:hAnsi="宋体"/>
          <w:b/>
          <w:bCs/>
          <w:color w:val="auto"/>
          <w:sz w:val="21"/>
          <w:szCs w:val="21"/>
          <w:highlight w:val="none"/>
          <w:u w:val="single"/>
        </w:rPr>
        <w:t>代理机构在线公布开标一览表有关内容，投标人应在1</w:t>
      </w:r>
      <w:r>
        <w:rPr>
          <w:rFonts w:hAnsi="宋体"/>
          <w:b/>
          <w:bCs/>
          <w:color w:val="auto"/>
          <w:sz w:val="21"/>
          <w:szCs w:val="21"/>
          <w:highlight w:val="none"/>
          <w:u w:val="single"/>
        </w:rPr>
        <w:t>0</w:t>
      </w:r>
      <w:r>
        <w:rPr>
          <w:rFonts w:hint="eastAsia" w:hAnsi="宋体"/>
          <w:b/>
          <w:bCs/>
          <w:color w:val="auto"/>
          <w:sz w:val="21"/>
          <w:szCs w:val="21"/>
          <w:highlight w:val="none"/>
          <w:u w:val="single"/>
        </w:rPr>
        <w:t>分钟内在线签字确认（不予确认或超时确认的应说明原因，否则视为无异议）；</w:t>
      </w:r>
    </w:p>
    <w:p>
      <w:pPr>
        <w:pStyle w:val="29"/>
        <w:snapToGrid w:val="0"/>
        <w:spacing w:beforeLines="0" w:afterLines="0" w:line="420" w:lineRule="exact"/>
        <w:ind w:left="689" w:leftChars="228" w:hanging="210" w:hangingChars="100"/>
        <w:rPr>
          <w:rFonts w:hAnsi="宋体"/>
          <w:color w:val="auto"/>
          <w:sz w:val="21"/>
          <w:szCs w:val="21"/>
          <w:highlight w:val="none"/>
        </w:rPr>
      </w:pPr>
      <w:r>
        <w:rPr>
          <w:rFonts w:hAnsi="宋体"/>
          <w:color w:val="auto"/>
          <w:sz w:val="21"/>
          <w:szCs w:val="21"/>
          <w:highlight w:val="none"/>
        </w:rPr>
        <w:t>9</w:t>
      </w:r>
      <w:r>
        <w:rPr>
          <w:rFonts w:hint="eastAsia" w:hAnsi="宋体"/>
          <w:color w:val="auto"/>
          <w:sz w:val="21"/>
          <w:szCs w:val="21"/>
          <w:highlight w:val="none"/>
        </w:rPr>
        <w:t>.报价文件评审；</w:t>
      </w:r>
    </w:p>
    <w:p>
      <w:pPr>
        <w:pStyle w:val="29"/>
        <w:snapToGrid w:val="0"/>
        <w:spacing w:beforeLines="0" w:afterLines="0" w:line="420" w:lineRule="exact"/>
        <w:ind w:firstLine="420" w:firstLineChars="200"/>
        <w:rPr>
          <w:rFonts w:hAnsi="宋体"/>
          <w:color w:val="auto"/>
          <w:sz w:val="21"/>
          <w:szCs w:val="21"/>
          <w:highlight w:val="none"/>
        </w:rPr>
      </w:pPr>
      <w:r>
        <w:rPr>
          <w:rFonts w:hAnsi="宋体"/>
          <w:color w:val="auto"/>
          <w:sz w:val="21"/>
          <w:szCs w:val="21"/>
          <w:highlight w:val="none"/>
        </w:rPr>
        <w:t>10</w:t>
      </w:r>
      <w:r>
        <w:rPr>
          <w:rFonts w:hint="eastAsia" w:hAnsi="宋体"/>
          <w:color w:val="auto"/>
          <w:sz w:val="21"/>
          <w:szCs w:val="21"/>
          <w:highlight w:val="none"/>
        </w:rPr>
        <w:t>．由主持人公布报价文件无效的投标人名单、投标无效的原因，宣布综合</w:t>
      </w:r>
      <w:bookmarkStart w:id="28" w:name="_Hlk59371720"/>
      <w:r>
        <w:rPr>
          <w:rFonts w:hint="eastAsia" w:hAnsi="宋体"/>
          <w:color w:val="auto"/>
          <w:sz w:val="21"/>
          <w:szCs w:val="21"/>
          <w:highlight w:val="none"/>
        </w:rPr>
        <w:t>得分结果</w:t>
      </w:r>
      <w:bookmarkEnd w:id="28"/>
      <w:r>
        <w:rPr>
          <w:rFonts w:hint="eastAsia" w:hAnsi="宋体"/>
          <w:color w:val="auto"/>
          <w:sz w:val="21"/>
          <w:szCs w:val="21"/>
          <w:highlight w:val="none"/>
        </w:rPr>
        <w:t>及中标候选人名单。</w:t>
      </w:r>
      <w:r>
        <w:rPr>
          <w:rFonts w:hint="eastAsia" w:hAnsi="宋体"/>
          <w:b/>
          <w:bCs/>
          <w:color w:val="auto"/>
          <w:sz w:val="21"/>
          <w:szCs w:val="21"/>
          <w:highlight w:val="none"/>
          <w:u w:val="single"/>
        </w:rPr>
        <w:t>投标人可通过</w:t>
      </w:r>
      <w:bookmarkStart w:id="29" w:name="_Hlk59626287"/>
      <w:r>
        <w:rPr>
          <w:rFonts w:hint="eastAsia" w:hAnsi="宋体"/>
          <w:b/>
          <w:bCs/>
          <w:color w:val="auto"/>
          <w:sz w:val="21"/>
          <w:szCs w:val="21"/>
          <w:highlight w:val="none"/>
          <w:u w:val="single"/>
        </w:rPr>
        <w:t>政采云平台及</w:t>
      </w:r>
      <w:bookmarkEnd w:id="29"/>
      <w:r>
        <w:rPr>
          <w:rFonts w:hint="eastAsia" w:hAnsi="宋体"/>
          <w:b/>
          <w:bCs/>
          <w:color w:val="auto"/>
          <w:sz w:val="21"/>
          <w:szCs w:val="21"/>
          <w:highlight w:val="none"/>
          <w:u w:val="single"/>
        </w:rPr>
        <w:t>临海市公共资源交易中心视频直播平台查看评审结果，请各投标人注意收看；</w:t>
      </w:r>
    </w:p>
    <w:p>
      <w:pPr>
        <w:pStyle w:val="29"/>
        <w:snapToGrid w:val="0"/>
        <w:spacing w:beforeLines="0" w:afterLines="0" w:line="420" w:lineRule="exact"/>
        <w:ind w:left="689" w:leftChars="228" w:hanging="210" w:hangingChars="1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1</w:t>
      </w:r>
      <w:r>
        <w:rPr>
          <w:rFonts w:hint="eastAsia" w:hAnsi="宋体"/>
          <w:color w:val="auto"/>
          <w:sz w:val="21"/>
          <w:szCs w:val="21"/>
          <w:highlight w:val="none"/>
        </w:rPr>
        <w:t>．开标会议结束。</w:t>
      </w:r>
    </w:p>
    <w:p>
      <w:pPr>
        <w:pStyle w:val="29"/>
        <w:snapToGrid w:val="0"/>
        <w:spacing w:beforeLines="0" w:afterLines="0" w:line="420" w:lineRule="exact"/>
        <w:ind w:left="690" w:leftChars="228" w:hanging="211" w:hangingChars="100"/>
        <w:rPr>
          <w:rFonts w:hAnsi="宋体"/>
          <w:color w:val="auto"/>
          <w:sz w:val="21"/>
          <w:szCs w:val="21"/>
          <w:highlight w:val="none"/>
        </w:rPr>
      </w:pPr>
      <w:r>
        <w:rPr>
          <w:rFonts w:hint="eastAsia" w:hAnsi="宋体"/>
          <w:b/>
          <w:color w:val="auto"/>
          <w:sz w:val="21"/>
          <w:szCs w:val="21"/>
          <w:highlight w:val="none"/>
        </w:rPr>
        <w:t>五、评标</w:t>
      </w:r>
    </w:p>
    <w:p>
      <w:pPr>
        <w:pStyle w:val="29"/>
        <w:snapToGrid w:val="0"/>
        <w:spacing w:beforeLines="0" w:afterLines="0" w:line="420" w:lineRule="exact"/>
        <w:ind w:left="690" w:leftChars="228" w:hanging="211" w:hangingChars="100"/>
        <w:rPr>
          <w:rFonts w:hAnsi="宋体"/>
          <w:color w:val="auto"/>
          <w:sz w:val="21"/>
          <w:szCs w:val="21"/>
          <w:highlight w:val="none"/>
        </w:rPr>
      </w:pPr>
      <w:r>
        <w:rPr>
          <w:rFonts w:hint="eastAsia" w:hAnsi="宋体"/>
          <w:b/>
          <w:color w:val="auto"/>
          <w:sz w:val="21"/>
          <w:szCs w:val="21"/>
          <w:highlight w:val="none"/>
        </w:rPr>
        <w:t>（一）组建评标委员会</w:t>
      </w:r>
    </w:p>
    <w:p>
      <w:pPr>
        <w:pStyle w:val="29"/>
        <w:snapToGrid w:val="0"/>
        <w:spacing w:beforeLines="0" w:afterLines="0" w:line="420" w:lineRule="exact"/>
        <w:ind w:firstLine="413" w:firstLineChars="196"/>
        <w:rPr>
          <w:rFonts w:hAnsi="宋体"/>
          <w:b/>
          <w:color w:val="auto"/>
          <w:sz w:val="21"/>
          <w:szCs w:val="21"/>
          <w:highlight w:val="none"/>
        </w:rPr>
      </w:pPr>
      <w:r>
        <w:rPr>
          <w:rFonts w:hint="eastAsia" w:hAnsi="宋体"/>
          <w:b/>
          <w:color w:val="auto"/>
          <w:sz w:val="21"/>
          <w:szCs w:val="21"/>
          <w:highlight w:val="none"/>
        </w:rPr>
        <w:t>（1）本项目评标委员会由招标人依法组建。</w:t>
      </w:r>
    </w:p>
    <w:p>
      <w:pPr>
        <w:pStyle w:val="29"/>
        <w:snapToGrid w:val="0"/>
        <w:spacing w:beforeLines="0" w:afterLines="0" w:line="420" w:lineRule="exact"/>
        <w:ind w:firstLine="413" w:firstLineChars="196"/>
        <w:rPr>
          <w:rFonts w:hAnsi="宋体"/>
          <w:b/>
          <w:color w:val="auto"/>
          <w:sz w:val="21"/>
          <w:szCs w:val="21"/>
          <w:highlight w:val="none"/>
        </w:rPr>
      </w:pPr>
      <w:r>
        <w:rPr>
          <w:rFonts w:hint="eastAsia" w:hAnsi="宋体"/>
          <w:b/>
          <w:color w:val="auto"/>
          <w:sz w:val="21"/>
          <w:szCs w:val="21"/>
          <w:highlight w:val="none"/>
        </w:rPr>
        <w:t>（2）评标委员会成员与参与投标的供应商有下列情形之一的，应当回避：</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①参加采购活动前3年内与供应商存在劳动关系；</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②参加采购活动前3年内担任供应商的董事、监事；</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③参加采购活动前3年内是供应商的控股股东或者实际控制人；</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④与供应商的法定代表人或者负责人有夫妻、直系血亲、三代以内旁系血亲或者近姻亲关系；</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⑤与供应商有其他可能影响政府采购活动公平、公正进行的关系。</w:t>
      </w:r>
    </w:p>
    <w:p>
      <w:pPr>
        <w:pStyle w:val="29"/>
        <w:snapToGrid w:val="0"/>
        <w:spacing w:beforeLines="0" w:afterLines="0" w:line="420" w:lineRule="exact"/>
        <w:ind w:firstLine="413" w:firstLineChars="196"/>
        <w:rPr>
          <w:rFonts w:hAnsi="宋体"/>
          <w:b/>
          <w:color w:val="auto"/>
          <w:sz w:val="21"/>
          <w:szCs w:val="21"/>
          <w:highlight w:val="none"/>
        </w:rPr>
      </w:pPr>
      <w:r>
        <w:rPr>
          <w:rFonts w:hint="eastAsia" w:hAnsi="宋体"/>
          <w:b/>
          <w:color w:val="auto"/>
          <w:sz w:val="21"/>
          <w:szCs w:val="21"/>
          <w:highlight w:val="none"/>
        </w:rPr>
        <w:t>（3）评标委员会负责具体评标事务，并独立履行下列职责：</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1.审查、评价投标文件是否符合招标文件的商务、技术等实质性要求；</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2.要求投标人对投标文件有关事项作出澄清或者说明；</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3.对投标文件进行比较和评价；</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4.确定中标候选人名单，以及根据采购人委托直接确定中标人；</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5.向采购人、采购组织机构或者有关部门报告评标中发现的违法行为；</w:t>
      </w:r>
    </w:p>
    <w:p>
      <w:pPr>
        <w:pStyle w:val="29"/>
        <w:snapToGrid w:val="0"/>
        <w:spacing w:beforeLines="0" w:afterLines="0" w:line="420" w:lineRule="exact"/>
        <w:ind w:firstLine="411" w:firstLineChars="196"/>
        <w:rPr>
          <w:rFonts w:hAnsi="宋体"/>
          <w:bCs/>
          <w:color w:val="auto"/>
          <w:sz w:val="21"/>
          <w:szCs w:val="21"/>
          <w:highlight w:val="none"/>
        </w:rPr>
      </w:pPr>
      <w:r>
        <w:rPr>
          <w:rFonts w:hint="eastAsia" w:hAnsi="宋体"/>
          <w:bCs/>
          <w:color w:val="auto"/>
          <w:sz w:val="21"/>
          <w:szCs w:val="21"/>
          <w:highlight w:val="none"/>
        </w:rPr>
        <w:t>6.法律法规规定的其他职责。</w:t>
      </w:r>
    </w:p>
    <w:p>
      <w:pPr>
        <w:pStyle w:val="29"/>
        <w:snapToGrid w:val="0"/>
        <w:spacing w:beforeLines="0" w:afterLines="0" w:line="420" w:lineRule="exact"/>
        <w:ind w:firstLine="422" w:firstLineChars="200"/>
        <w:rPr>
          <w:rFonts w:hAnsi="宋体"/>
          <w:color w:val="auto"/>
          <w:sz w:val="21"/>
          <w:szCs w:val="21"/>
          <w:highlight w:val="none"/>
        </w:rPr>
      </w:pPr>
      <w:r>
        <w:rPr>
          <w:rFonts w:hint="eastAsia" w:hAnsi="宋体"/>
          <w:b/>
          <w:color w:val="auto"/>
          <w:sz w:val="21"/>
          <w:szCs w:val="21"/>
          <w:highlight w:val="none"/>
        </w:rPr>
        <w:t>（二）评标的方式</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本项目采用不公开方式评标，评标的依据为招标文件和投标文件，本项目采用电子评审方法。</w:t>
      </w:r>
    </w:p>
    <w:p>
      <w:pPr>
        <w:pStyle w:val="29"/>
        <w:snapToGrid w:val="0"/>
        <w:spacing w:beforeLines="0" w:afterLines="0" w:line="420" w:lineRule="exact"/>
        <w:ind w:firstLine="422" w:firstLineChars="200"/>
        <w:rPr>
          <w:rFonts w:hAnsi="宋体"/>
          <w:b/>
          <w:color w:val="auto"/>
          <w:sz w:val="21"/>
          <w:szCs w:val="21"/>
          <w:highlight w:val="none"/>
        </w:rPr>
      </w:pPr>
      <w:r>
        <w:rPr>
          <w:rFonts w:hint="eastAsia" w:hAnsi="宋体"/>
          <w:b/>
          <w:color w:val="auto"/>
          <w:sz w:val="21"/>
          <w:szCs w:val="21"/>
          <w:highlight w:val="none"/>
        </w:rPr>
        <w:t>（三）</w:t>
      </w:r>
      <w:r>
        <w:rPr>
          <w:rFonts w:hint="eastAsia" w:hAnsi="宋体"/>
          <w:b/>
          <w:bCs/>
          <w:color w:val="auto"/>
          <w:sz w:val="21"/>
          <w:szCs w:val="21"/>
          <w:highlight w:val="none"/>
        </w:rPr>
        <w:t>评标程序</w:t>
      </w:r>
    </w:p>
    <w:p>
      <w:pPr>
        <w:snapToGrid w:val="0"/>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1.资格审查</w:t>
      </w:r>
    </w:p>
    <w:p>
      <w:pPr>
        <w:snapToGrid w:val="0"/>
        <w:spacing w:line="420" w:lineRule="exact"/>
        <w:ind w:firstLine="411" w:firstLineChars="196"/>
        <w:rPr>
          <w:rFonts w:ascii="宋体" w:hAnsi="宋体"/>
          <w:b/>
          <w:bCs/>
          <w:color w:val="auto"/>
          <w:szCs w:val="21"/>
          <w:highlight w:val="none"/>
        </w:rPr>
      </w:pPr>
      <w:r>
        <w:rPr>
          <w:rFonts w:hint="eastAsia" w:ascii="宋体" w:hAnsi="宋体"/>
          <w:color w:val="auto"/>
          <w:szCs w:val="21"/>
          <w:highlight w:val="none"/>
        </w:rPr>
        <w:t>采购项目开标结束后，采购人或者采购代理机构应当依法对投标人的资格进行审查，对审查发现无效的进行必要的询标，结束后公布无效投标的投标人名单、投标无效的原因。</w:t>
      </w:r>
    </w:p>
    <w:p>
      <w:pPr>
        <w:snapToGrid w:val="0"/>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2.符合性审查</w:t>
      </w:r>
    </w:p>
    <w:p>
      <w:pPr>
        <w:snapToGrid w:val="0"/>
        <w:spacing w:line="420" w:lineRule="exact"/>
        <w:ind w:firstLine="411" w:firstLineChars="196"/>
        <w:rPr>
          <w:rFonts w:ascii="宋体" w:hAnsi="宋体"/>
          <w:color w:val="auto"/>
          <w:szCs w:val="21"/>
          <w:highlight w:val="none"/>
        </w:rPr>
      </w:pPr>
      <w:r>
        <w:rPr>
          <w:rFonts w:hint="eastAsia" w:ascii="宋体" w:hAnsi="宋体"/>
          <w:color w:val="auto"/>
          <w:szCs w:val="21"/>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11" w:firstLineChars="100"/>
        <w:rPr>
          <w:rFonts w:ascii="宋体" w:hAnsi="宋体"/>
          <w:b/>
          <w:color w:val="auto"/>
          <w:szCs w:val="21"/>
          <w:highlight w:val="none"/>
        </w:rPr>
      </w:pPr>
      <w:r>
        <w:rPr>
          <w:rFonts w:hint="eastAsia" w:ascii="宋体" w:hAnsi="宋体"/>
          <w:b/>
          <w:color w:val="auto"/>
          <w:szCs w:val="21"/>
          <w:highlight w:val="none"/>
        </w:rPr>
        <w:t>（四）澄清问题的形式</w:t>
      </w:r>
    </w:p>
    <w:p>
      <w:pPr>
        <w:pStyle w:val="29"/>
        <w:snapToGrid w:val="0"/>
        <w:spacing w:beforeLines="0" w:afterLines="0" w:line="420" w:lineRule="exact"/>
        <w:ind w:firstLine="420" w:firstLineChars="200"/>
        <w:rPr>
          <w:rFonts w:hAnsi="宋体"/>
          <w:b/>
          <w:bCs/>
          <w:color w:val="auto"/>
          <w:sz w:val="21"/>
          <w:szCs w:val="21"/>
          <w:highlight w:val="none"/>
          <w:u w:val="single"/>
          <w:shd w:val="pct10" w:color="auto" w:fill="FFFFFF"/>
        </w:rPr>
      </w:pPr>
      <w:bookmarkStart w:id="30" w:name="_Hlk59700505"/>
      <w:bookmarkStart w:id="31" w:name="_Hlk59371920"/>
      <w:r>
        <w:rPr>
          <w:rFonts w:hint="eastAsia" w:hAnsi="宋体"/>
          <w:color w:val="auto"/>
          <w:sz w:val="21"/>
          <w:szCs w:val="21"/>
          <w:highlight w:val="none"/>
        </w:rPr>
        <w:t>对投标文件中含义不明确、同类问题表述不一致或者有明显文字和计算错误的内容，评标委员会可要求投标人作出必要的</w:t>
      </w:r>
      <w:bookmarkStart w:id="32" w:name="_Hlk59372079"/>
      <w:r>
        <w:rPr>
          <w:rFonts w:hint="eastAsia" w:hAnsi="宋体"/>
          <w:color w:val="auto"/>
          <w:sz w:val="21"/>
          <w:szCs w:val="21"/>
          <w:highlight w:val="none"/>
        </w:rPr>
        <w:t>澄清、说明</w:t>
      </w:r>
      <w:bookmarkEnd w:id="32"/>
      <w:r>
        <w:rPr>
          <w:rFonts w:hint="eastAsia" w:hAnsi="宋体"/>
          <w:color w:val="auto"/>
          <w:sz w:val="21"/>
          <w:szCs w:val="21"/>
          <w:highlight w:val="none"/>
        </w:rPr>
        <w:t>或者补正。评标委员会的澄清内容及投标人的澄清、说明或者补正均通过</w:t>
      </w:r>
      <w:bookmarkStart w:id="33" w:name="_Hlk59371846"/>
      <w:r>
        <w:rPr>
          <w:rFonts w:hint="eastAsia" w:hAnsi="宋体"/>
          <w:color w:val="auto"/>
          <w:sz w:val="21"/>
          <w:szCs w:val="21"/>
          <w:highlight w:val="none"/>
        </w:rPr>
        <w:t>政采云电子交易平台交换数据电文。</w:t>
      </w:r>
      <w:bookmarkEnd w:id="33"/>
      <w:r>
        <w:rPr>
          <w:rFonts w:hint="eastAsia" w:hAnsi="宋体"/>
          <w:color w:val="auto"/>
          <w:sz w:val="21"/>
          <w:szCs w:val="21"/>
          <w:highlight w:val="none"/>
        </w:rPr>
        <w:t xml:space="preserve">  </w:t>
      </w:r>
      <w:r>
        <w:rPr>
          <w:rFonts w:hint="eastAsia" w:hAnsi="宋体"/>
          <w:b/>
          <w:bCs/>
          <w:color w:val="auto"/>
          <w:sz w:val="21"/>
          <w:szCs w:val="21"/>
          <w:highlight w:val="none"/>
        </w:rPr>
        <w:t>同时采购代理机构也将通过</w:t>
      </w:r>
      <w:r>
        <w:rPr>
          <w:rFonts w:hint="eastAsia" w:hAnsi="宋体"/>
          <w:b/>
          <w:bCs/>
          <w:color w:val="auto"/>
          <w:sz w:val="21"/>
          <w:szCs w:val="21"/>
          <w:highlight w:val="none"/>
          <w:u w:val="single"/>
        </w:rPr>
        <w:t>临海市公共资源交易中心视频直播平台、</w:t>
      </w:r>
      <w:r>
        <w:rPr>
          <w:rFonts w:hint="eastAsia" w:hAnsi="宋体"/>
          <w:b/>
          <w:bCs/>
          <w:color w:val="auto"/>
          <w:sz w:val="21"/>
          <w:szCs w:val="21"/>
          <w:highlight w:val="none"/>
        </w:rPr>
        <w:t>政采云视频询</w:t>
      </w:r>
      <w:r>
        <w:rPr>
          <w:rFonts w:hint="eastAsia" w:hAnsi="宋体"/>
          <w:b/>
          <w:bCs/>
          <w:color w:val="auto"/>
          <w:sz w:val="21"/>
          <w:szCs w:val="21"/>
          <w:highlight w:val="none"/>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0"/>
    </w:p>
    <w:bookmarkEnd w:id="31"/>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评标委员会发出澄清内容后，投标人应当在采购代理机构及政采云平台上</w:t>
      </w:r>
      <w:r>
        <w:rPr>
          <w:rFonts w:hint="eastAsia" w:ascii="宋体" w:hAnsi="宋体"/>
          <w:b/>
          <w:bCs/>
          <w:color w:val="auto"/>
          <w:szCs w:val="21"/>
          <w:highlight w:val="none"/>
          <w:u w:val="single"/>
        </w:rPr>
        <w:t>规定的时间内（30分钟，具体时间以政采云系统上显示的时间为准）</w:t>
      </w:r>
      <w:r>
        <w:rPr>
          <w:rFonts w:hint="eastAsia" w:ascii="宋体" w:hAnsi="宋体"/>
          <w:b/>
          <w:bCs/>
          <w:color w:val="auto"/>
          <w:szCs w:val="21"/>
          <w:highlight w:val="none"/>
        </w:rPr>
        <w:t>，</w:t>
      </w:r>
      <w:r>
        <w:rPr>
          <w:rFonts w:hint="eastAsia" w:ascii="宋体" w:hAnsi="宋体"/>
          <w:color w:val="auto"/>
          <w:szCs w:val="21"/>
          <w:highlight w:val="none"/>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11" w:firstLineChars="100"/>
        <w:rPr>
          <w:rFonts w:ascii="宋体" w:hAnsi="宋体"/>
          <w:b/>
          <w:color w:val="auto"/>
          <w:szCs w:val="21"/>
          <w:highlight w:val="none"/>
        </w:rPr>
      </w:pPr>
      <w:r>
        <w:rPr>
          <w:rFonts w:hint="eastAsia" w:ascii="宋体" w:hAnsi="宋体"/>
          <w:b/>
          <w:color w:val="auto"/>
          <w:szCs w:val="21"/>
          <w:highlight w:val="none"/>
        </w:rPr>
        <w:t>（五）错误修正</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pPr>
        <w:snapToGrid w:val="0"/>
        <w:spacing w:line="420" w:lineRule="exact"/>
        <w:ind w:firstLine="420" w:firstLineChars="200"/>
        <w:rPr>
          <w:rFonts w:ascii="宋体" w:hAnsi="宋体"/>
          <w:b/>
          <w:bCs/>
          <w:color w:val="auto"/>
          <w:szCs w:val="21"/>
          <w:highlight w:val="none"/>
          <w:u w:val="single"/>
          <w:shd w:val="pct10" w:color="auto" w:fill="FFFFFF"/>
        </w:rPr>
      </w:pPr>
      <w:r>
        <w:rPr>
          <w:rFonts w:hint="eastAsia" w:ascii="宋体" w:hAnsi="宋体"/>
          <w:color w:val="auto"/>
          <w:szCs w:val="21"/>
          <w:highlight w:val="none"/>
        </w:rPr>
        <w:t>（一）投标文件中开标一览表（报价表）内容与投标文件中相应内容不一致的，以开标一览表（报价表）为准</w:t>
      </w:r>
      <w:r>
        <w:rPr>
          <w:rFonts w:hint="eastAsia" w:ascii="宋体" w:hAnsi="宋体"/>
          <w:b/>
          <w:bCs/>
          <w:color w:val="auto"/>
          <w:szCs w:val="21"/>
          <w:highlight w:val="none"/>
          <w:u w:val="single"/>
          <w:shd w:val="pct10" w:color="auto" w:fill="FFFFFF"/>
        </w:rPr>
        <w:t>。</w:t>
      </w:r>
      <w:bookmarkStart w:id="34" w:name="_Hlk78209380"/>
      <w:r>
        <w:rPr>
          <w:rFonts w:hint="eastAsia" w:ascii="宋体" w:hAnsi="宋体"/>
          <w:b/>
          <w:bCs/>
          <w:color w:val="auto"/>
          <w:szCs w:val="21"/>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34"/>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（五）对不同文字文本投标文件的解释发生异议的，以中文文本为准。</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9"/>
        <w:tabs>
          <w:tab w:val="left" w:pos="630"/>
        </w:tabs>
        <w:snapToGrid w:val="0"/>
        <w:spacing w:beforeLines="0" w:afterLines="0" w:line="420" w:lineRule="exact"/>
        <w:ind w:firstLine="211" w:firstLineChars="100"/>
        <w:rPr>
          <w:rFonts w:hAnsi="宋体"/>
          <w:b/>
          <w:color w:val="auto"/>
          <w:sz w:val="21"/>
          <w:szCs w:val="21"/>
          <w:highlight w:val="none"/>
        </w:rPr>
      </w:pPr>
      <w:r>
        <w:rPr>
          <w:rFonts w:hint="eastAsia" w:hAnsi="宋体"/>
          <w:b/>
          <w:color w:val="auto"/>
          <w:sz w:val="21"/>
          <w:szCs w:val="21"/>
          <w:highlight w:val="none"/>
        </w:rPr>
        <w:t>（六）评标原则和评标办法</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beforeLines="0" w:afterLines="0" w:line="420" w:lineRule="exact"/>
        <w:ind w:firstLine="420" w:firstLineChars="200"/>
        <w:rPr>
          <w:rFonts w:hAnsi="宋体"/>
          <w:color w:val="auto"/>
          <w:sz w:val="21"/>
          <w:szCs w:val="21"/>
          <w:highlight w:val="none"/>
        </w:rPr>
      </w:pPr>
      <w:r>
        <w:rPr>
          <w:rFonts w:hint="eastAsia" w:hAnsi="宋体"/>
          <w:color w:val="auto"/>
          <w:sz w:val="21"/>
          <w:szCs w:val="21"/>
          <w:highlight w:val="none"/>
        </w:rPr>
        <w:t>2.评标办法。本项目评标办法是</w:t>
      </w:r>
      <w:r>
        <w:rPr>
          <w:rFonts w:hint="eastAsia" w:hAnsi="宋体"/>
          <w:b/>
          <w:color w:val="auto"/>
          <w:sz w:val="21"/>
          <w:szCs w:val="21"/>
          <w:highlight w:val="none"/>
          <w:u w:val="single"/>
        </w:rPr>
        <w:t>综合评分法</w:t>
      </w:r>
      <w:r>
        <w:rPr>
          <w:rFonts w:hint="eastAsia" w:hAnsi="宋体"/>
          <w:color w:val="auto"/>
          <w:sz w:val="21"/>
          <w:szCs w:val="21"/>
          <w:highlight w:val="none"/>
        </w:rPr>
        <w:t>，具体评标内容及评分标准等详见《第四章：评标办法及评分标准》。</w:t>
      </w:r>
    </w:p>
    <w:p>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六、定标</w:t>
      </w:r>
    </w:p>
    <w:p>
      <w:pPr>
        <w:snapToGrid w:val="0"/>
        <w:spacing w:line="420" w:lineRule="exact"/>
        <w:ind w:firstLine="420" w:firstLineChars="200"/>
        <w:rPr>
          <w:rFonts w:ascii="宋体" w:hAnsi="宋体"/>
          <w:color w:val="auto"/>
          <w:szCs w:val="21"/>
          <w:highlight w:val="none"/>
        </w:rPr>
      </w:pPr>
      <w:r>
        <w:rPr>
          <w:rFonts w:hint="eastAsia" w:ascii="宋体" w:hAnsi="宋体"/>
          <w:bCs/>
          <w:color w:val="auto"/>
          <w:szCs w:val="21"/>
          <w:highlight w:val="none"/>
        </w:rPr>
        <w:t>1.招标人在评标结束后2个工作日内将评标报告交采购单位确认，采购单位应在收到评标报告后5个工作日内对评标结果进行确认。如有投标人对评标结果提出质疑的，采购单位可在质疑处理完毕后确定中标人</w:t>
      </w:r>
      <w:r>
        <w:rPr>
          <w:rFonts w:hint="eastAsia" w:ascii="宋体" w:hAnsi="宋体"/>
          <w:color w:val="auto"/>
          <w:szCs w:val="21"/>
          <w:highlight w:val="none"/>
        </w:rPr>
        <w:t>。</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w:t>
      </w:r>
      <w:bookmarkStart w:id="35" w:name="_Hlk59369379"/>
      <w:bookmarkStart w:id="36" w:name="_Hlk59708451"/>
      <w:bookmarkStart w:id="37" w:name="_Hlk59627548"/>
      <w:r>
        <w:rPr>
          <w:rFonts w:hint="eastAsia" w:ascii="宋体" w:hAnsi="宋体"/>
          <w:color w:val="auto"/>
          <w:szCs w:val="21"/>
          <w:highlight w:val="none"/>
        </w:rPr>
        <w:t>采购单位依法确定中标人后2个工作日内，招标人以书面形式发出《中标通知书》,并同时在采购公告发布的网站上发布成交结果公告。</w:t>
      </w:r>
      <w:r>
        <w:rPr>
          <w:rFonts w:hint="eastAsia" w:ascii="宋体" w:hAnsi="宋体"/>
          <w:b/>
          <w:bCs/>
          <w:color w:val="auto"/>
          <w:szCs w:val="21"/>
          <w:highlight w:val="none"/>
          <w:u w:val="single"/>
          <w:shd w:val="pct10" w:color="auto" w:fill="FFFFFF"/>
        </w:rPr>
        <w:t>中标供应商享受小微企业报价优惠扣除的，将在成交结果公告中公开中标供应商的《中小企业声明函》</w:t>
      </w:r>
      <w:r>
        <w:rPr>
          <w:rFonts w:hint="eastAsia" w:ascii="宋体" w:hAnsi="宋体"/>
          <w:color w:val="auto"/>
          <w:szCs w:val="21"/>
          <w:highlight w:val="none"/>
        </w:rPr>
        <w:t>。</w:t>
      </w:r>
      <w:r>
        <w:rPr>
          <w:rFonts w:hint="eastAsia" w:ascii="宋体" w:hAnsi="宋体"/>
          <w:b/>
          <w:bCs/>
          <w:color w:val="auto"/>
          <w:szCs w:val="21"/>
          <w:highlight w:val="none"/>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r>
        <w:rPr>
          <w:rFonts w:hint="eastAsia" w:ascii="宋体" w:hAnsi="宋体"/>
          <w:b/>
          <w:bCs/>
          <w:color w:val="auto"/>
          <w:szCs w:val="21"/>
          <w:highlight w:val="none"/>
          <w:u w:val="single"/>
          <w:shd w:val="pct10" w:color="auto" w:fill="FFFFFF"/>
        </w:rPr>
        <w:t>。</w:t>
      </w:r>
      <w:bookmarkEnd w:id="35"/>
      <w:bookmarkEnd w:id="36"/>
    </w:p>
    <w:bookmarkEnd w:id="37"/>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3.定标中，应坚持第一中标候选人为首选中标人，但出现其它原因的，采购单位可以确定排名第二的候选人为中标人，</w:t>
      </w:r>
      <w:r>
        <w:rPr>
          <w:rFonts w:hint="eastAsia" w:ascii="宋体" w:hAnsi="宋体"/>
          <w:b/>
          <w:color w:val="auto"/>
          <w:szCs w:val="21"/>
          <w:highlight w:val="none"/>
        </w:rPr>
        <w:t>或重新组织招标。</w:t>
      </w:r>
      <w:r>
        <w:rPr>
          <w:rFonts w:hint="eastAsia" w:ascii="宋体" w:hAnsi="宋体"/>
          <w:color w:val="auto"/>
          <w:szCs w:val="21"/>
          <w:highlight w:val="none"/>
        </w:rPr>
        <w:t>采购单位如确定第二中标候选人为中标人的，应当在确定前向</w:t>
      </w:r>
      <w:r>
        <w:rPr>
          <w:rFonts w:hint="eastAsia" w:ascii="宋体" w:hAnsi="宋体"/>
          <w:b/>
          <w:color w:val="auto"/>
          <w:szCs w:val="21"/>
          <w:highlight w:val="none"/>
        </w:rPr>
        <w:t>临海市财政局</w:t>
      </w:r>
      <w:r>
        <w:rPr>
          <w:rFonts w:hint="eastAsia" w:ascii="宋体" w:hAnsi="宋体"/>
          <w:color w:val="auto"/>
          <w:szCs w:val="21"/>
          <w:highlight w:val="none"/>
        </w:rPr>
        <w:t>报告说明。</w:t>
      </w:r>
    </w:p>
    <w:p>
      <w:pPr>
        <w:snapToGrid w:val="0"/>
        <w:spacing w:line="4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b/>
          <w:bCs/>
          <w:color w:val="auto"/>
          <w:szCs w:val="21"/>
          <w:highlight w:val="none"/>
          <w:u w:val="single"/>
          <w:shd w:val="pct10" w:color="auto" w:fill="FFFFFF"/>
        </w:rPr>
        <w:t>为营造更优质的营商环境，</w:t>
      </w:r>
      <w:bookmarkStart w:id="38" w:name="_Hlk59708763"/>
      <w:r>
        <w:rPr>
          <w:rFonts w:hint="eastAsia" w:ascii="宋体" w:hAnsi="宋体"/>
          <w:b/>
          <w:bCs/>
          <w:color w:val="auto"/>
          <w:szCs w:val="21"/>
          <w:highlight w:val="none"/>
          <w:u w:val="single"/>
          <w:shd w:val="pct10" w:color="auto" w:fill="FFFFFF"/>
        </w:rPr>
        <w:t>中标人可选择采购代理机构以邮寄方式向其寄达《中标通知书》（邮寄地址、收件人等信息请在“投标函”中详细写明，邮费可到付）。</w:t>
      </w:r>
      <w:bookmarkEnd w:id="38"/>
      <w:r>
        <w:rPr>
          <w:rFonts w:hint="eastAsia" w:ascii="宋体" w:hAnsi="宋体"/>
          <w:b/>
          <w:bCs/>
          <w:color w:val="auto"/>
          <w:szCs w:val="21"/>
          <w:highlight w:val="none"/>
          <w:u w:val="single"/>
          <w:shd w:val="pct10" w:color="auto" w:fill="FFFFFF"/>
        </w:rPr>
        <w:t>同时中标人应在中标后</w:t>
      </w:r>
      <w:bookmarkStart w:id="39" w:name="_Hlk59521069"/>
      <w:r>
        <w:rPr>
          <w:rFonts w:hint="eastAsia" w:ascii="宋体" w:hAnsi="宋体"/>
          <w:b/>
          <w:bCs/>
          <w:color w:val="auto"/>
          <w:szCs w:val="21"/>
          <w:highlight w:val="none"/>
          <w:u w:val="single"/>
          <w:shd w:val="pct10" w:color="auto" w:fill="FFFFFF"/>
        </w:rPr>
        <w:t>以邮寄</w:t>
      </w:r>
      <w:bookmarkEnd w:id="39"/>
      <w:r>
        <w:rPr>
          <w:rFonts w:hint="eastAsia" w:ascii="宋体" w:hAnsi="宋体"/>
          <w:b/>
          <w:bCs/>
          <w:color w:val="auto"/>
          <w:szCs w:val="21"/>
          <w:highlight w:val="none"/>
          <w:u w:val="single"/>
          <w:shd w:val="pct10" w:color="auto" w:fill="FFFFFF"/>
        </w:rPr>
        <w:t>或其他方式向</w:t>
      </w:r>
      <w:bookmarkStart w:id="40" w:name="_Hlk59521051"/>
      <w:r>
        <w:rPr>
          <w:rFonts w:hint="eastAsia" w:ascii="宋体" w:hAnsi="宋体"/>
          <w:b/>
          <w:bCs/>
          <w:color w:val="auto"/>
          <w:szCs w:val="21"/>
          <w:highlight w:val="none"/>
          <w:u w:val="single"/>
          <w:shd w:val="pct10" w:color="auto" w:fill="FFFFFF"/>
        </w:rPr>
        <w:t>采购代理机构</w:t>
      </w:r>
      <w:bookmarkEnd w:id="40"/>
      <w:r>
        <w:rPr>
          <w:rFonts w:hint="eastAsia" w:ascii="宋体" w:hAnsi="宋体"/>
          <w:b/>
          <w:bCs/>
          <w:color w:val="auto"/>
          <w:szCs w:val="21"/>
          <w:highlight w:val="none"/>
          <w:u w:val="single"/>
          <w:shd w:val="pct10" w:color="auto" w:fill="FFFFFF"/>
        </w:rPr>
        <w:t>提供</w:t>
      </w:r>
      <w:r>
        <w:rPr>
          <w:rFonts w:ascii="宋体" w:hAnsi="宋体"/>
          <w:b/>
          <w:bCs/>
          <w:color w:val="auto"/>
          <w:szCs w:val="21"/>
          <w:highlight w:val="none"/>
          <w:u w:val="single"/>
          <w:shd w:val="pct10" w:color="auto" w:fill="FFFFFF"/>
        </w:rPr>
        <w:t>2</w:t>
      </w:r>
      <w:r>
        <w:rPr>
          <w:rFonts w:hint="eastAsia" w:ascii="宋体" w:hAnsi="宋体"/>
          <w:b/>
          <w:bCs/>
          <w:color w:val="auto"/>
          <w:szCs w:val="21"/>
          <w:highlight w:val="none"/>
          <w:u w:val="single"/>
          <w:shd w:val="pct10" w:color="auto" w:fill="FFFFFF"/>
        </w:rPr>
        <w:t>套与电子版投标文件相同的胶装版本投标文件。</w:t>
      </w:r>
    </w:p>
    <w:p>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七、合同授予</w:t>
      </w:r>
    </w:p>
    <w:p>
      <w:pPr>
        <w:snapToGrid w:val="0"/>
        <w:spacing w:line="42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（一）签订合同</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bookmarkStart w:id="41" w:name="_Hlk59627623"/>
      <w:r>
        <w:rPr>
          <w:rFonts w:hint="eastAsia" w:ascii="宋体" w:hAnsi="宋体"/>
          <w:color w:val="auto"/>
          <w:szCs w:val="21"/>
          <w:highlight w:val="none"/>
        </w:rPr>
        <w:t>采购单位与中标</w:t>
      </w:r>
      <w:r>
        <w:rPr>
          <w:rFonts w:hint="eastAsia" w:ascii="宋体" w:hAnsi="宋体"/>
          <w:b/>
          <w:color w:val="auto"/>
          <w:szCs w:val="21"/>
          <w:highlight w:val="none"/>
        </w:rPr>
        <w:t>人应当在《中标通知书》发出之日起30日内签订政府采购合同，</w:t>
      </w:r>
      <w:r>
        <w:rPr>
          <w:rFonts w:hint="eastAsia" w:ascii="宋体" w:hAnsi="宋体"/>
          <w:color w:val="auto"/>
          <w:szCs w:val="21"/>
          <w:highlight w:val="none"/>
        </w:rPr>
        <w:t>并且在同一时间送至采购代理机构见证盖章（合同一式不少于四份，采购单位与中标人各执一份，</w:t>
      </w:r>
      <w:bookmarkStart w:id="42" w:name="_Hlk59626706"/>
      <w:r>
        <w:rPr>
          <w:rFonts w:hint="eastAsia" w:ascii="宋体" w:hAnsi="宋体"/>
          <w:color w:val="auto"/>
          <w:szCs w:val="21"/>
          <w:highlight w:val="none"/>
        </w:rPr>
        <w:t>代理机构</w:t>
      </w:r>
      <w:bookmarkEnd w:id="42"/>
      <w:r>
        <w:rPr>
          <w:rFonts w:hint="eastAsia" w:ascii="宋体" w:hAnsi="宋体"/>
          <w:color w:val="auto"/>
          <w:szCs w:val="21"/>
          <w:highlight w:val="none"/>
        </w:rPr>
        <w:t>留存二份），招标人对合同内容进行审查，如发现与采购结果和投标承诺内容不一致的，予以纠正。</w:t>
      </w:r>
      <w:r>
        <w:rPr>
          <w:rFonts w:hint="eastAsia" w:ascii="宋体" w:hAnsi="宋体"/>
          <w:b/>
          <w:bCs/>
          <w:color w:val="auto"/>
          <w:szCs w:val="21"/>
          <w:highlight w:val="none"/>
          <w:u w:val="single"/>
          <w:shd w:val="pct10" w:color="auto" w:fill="FFFFFF"/>
        </w:rPr>
        <w:t>为营造更优质的营商环境，中标人可选择采购代理机构以邮寄方式向其寄达</w:t>
      </w:r>
      <w:bookmarkStart w:id="43" w:name="_Hlk59708805"/>
      <w:r>
        <w:rPr>
          <w:rFonts w:hint="eastAsia" w:ascii="宋体" w:hAnsi="宋体"/>
          <w:b/>
          <w:bCs/>
          <w:color w:val="auto"/>
          <w:szCs w:val="21"/>
          <w:highlight w:val="none"/>
          <w:u w:val="single"/>
          <w:shd w:val="pct10" w:color="auto" w:fill="FFFFFF"/>
        </w:rPr>
        <w:t>《政府采购合同》</w:t>
      </w:r>
      <w:bookmarkEnd w:id="43"/>
      <w:r>
        <w:rPr>
          <w:rFonts w:hint="eastAsia" w:ascii="宋体" w:hAnsi="宋体"/>
          <w:b/>
          <w:bCs/>
          <w:color w:val="auto"/>
          <w:szCs w:val="21"/>
          <w:highlight w:val="none"/>
          <w:u w:val="single"/>
          <w:shd w:val="pct10" w:color="auto" w:fill="FFFFFF"/>
        </w:rPr>
        <w:t>。</w:t>
      </w:r>
    </w:p>
    <w:bookmarkEnd w:id="41"/>
    <w:p>
      <w:pPr>
        <w:spacing w:line="420" w:lineRule="exact"/>
        <w:ind w:firstLine="420" w:firstLineChars="200"/>
        <w:rPr>
          <w:rFonts w:ascii="宋体" w:hAnsi="宋体"/>
          <w:bCs/>
          <w:color w:val="auto"/>
          <w:szCs w:val="21"/>
          <w:highlight w:val="none"/>
        </w:rPr>
      </w:pPr>
      <w:r>
        <w:rPr>
          <w:rFonts w:hint="eastAsia" w:ascii="宋体" w:hAnsi="宋体"/>
          <w:color w:val="auto"/>
          <w:szCs w:val="21"/>
          <w:highlight w:val="none"/>
        </w:rPr>
        <w:t>2.中标人拒绝与采购人签订合同的，采购人可以按照评审报告推荐的中标或者成交候选人名单排序，确定下一候选人为中标人，也可以</w:t>
      </w:r>
      <w:r>
        <w:rPr>
          <w:rFonts w:hint="eastAsia" w:ascii="宋体" w:hAnsi="宋体"/>
          <w:bCs/>
          <w:color w:val="auto"/>
          <w:szCs w:val="21"/>
          <w:highlight w:val="none"/>
        </w:rPr>
        <w:t>重新开展政府采购活动。拒绝签订政府采购合同的</w:t>
      </w:r>
      <w:r>
        <w:rPr>
          <w:rFonts w:hint="eastAsia" w:ascii="宋体" w:hAnsi="宋体"/>
          <w:color w:val="auto"/>
          <w:szCs w:val="21"/>
          <w:highlight w:val="none"/>
        </w:rPr>
        <w:t>中标人</w:t>
      </w:r>
      <w:r>
        <w:rPr>
          <w:rFonts w:hint="eastAsia" w:ascii="宋体" w:hAnsi="宋体"/>
          <w:bCs/>
          <w:color w:val="auto"/>
          <w:szCs w:val="21"/>
          <w:highlight w:val="none"/>
        </w:rPr>
        <w:t>不得参加对该项目重新开展的采购活动。</w:t>
      </w:r>
    </w:p>
    <w:p>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（二）履约保证金</w:t>
      </w:r>
    </w:p>
    <w:p>
      <w:pPr>
        <w:spacing w:line="420" w:lineRule="exact"/>
        <w:ind w:firstLine="420" w:firstLineChars="200"/>
        <w:rPr>
          <w:color w:val="auto"/>
          <w:szCs w:val="21"/>
          <w:highlight w:val="none"/>
        </w:rPr>
      </w:pPr>
      <w:r>
        <w:rPr>
          <w:rFonts w:hint="eastAsia"/>
          <w:color w:val="auto"/>
          <w:szCs w:val="21"/>
          <w:highlight w:val="none"/>
        </w:rPr>
        <w:t>1.签订合同前，中标人应根据招标文件确定的履约保证金的金额，交纳履约保证金：①采用网上银行转帐、电汇、汇票缴纳履约保证金的，履约保证金必须通过投标人在临海市公共资源交易中心后台注册的银行账号汇入，否则无法达账（开户名：临海市公共资源交易中心，开户行：浙江临海农村商业银行股份有限公司科技支行，账号：201000102293922000003。财务咨询电话：0576-85280673）。</w:t>
      </w:r>
    </w:p>
    <w:p>
      <w:pPr>
        <w:spacing w:line="420" w:lineRule="exact"/>
        <w:ind w:firstLine="420" w:firstLineChars="200"/>
        <w:rPr>
          <w:color w:val="auto"/>
          <w:szCs w:val="21"/>
          <w:highlight w:val="none"/>
        </w:rPr>
      </w:pPr>
      <w:r>
        <w:rPr>
          <w:rFonts w:hint="eastAsia"/>
          <w:color w:val="auto"/>
          <w:szCs w:val="21"/>
          <w:highlight w:val="none"/>
        </w:rPr>
        <w:t>②采用银行、保险公司出具的保函形式提交履约保证金的，中标人将保函原件提交给采购人保管，采购人提供3份加盖公章或“原件收讫”证明印章的保函复印件给中标人，中标人或采购代理机构将经采购人确认的保函复印件提交到临海市公共资源交易中心财务窗口登记存档（地址：临海市巾山中路18号，移动公司对面）。</w:t>
      </w:r>
    </w:p>
    <w:p>
      <w:pPr>
        <w:spacing w:line="420" w:lineRule="exact"/>
        <w:ind w:firstLine="420" w:firstLineChars="200"/>
        <w:rPr>
          <w:color w:val="auto"/>
          <w:szCs w:val="21"/>
          <w:highlight w:val="none"/>
        </w:rPr>
      </w:pPr>
      <w:r>
        <w:rPr>
          <w:rFonts w:hint="eastAsia"/>
          <w:color w:val="auto"/>
          <w:szCs w:val="21"/>
          <w:highlight w:val="none"/>
        </w:rPr>
        <w:t>2.签订合同后，如中标人不按双方合同约定履约，则其履约保证金将予以扣罚，履约保证金不足以赔偿损失的，按实际损失赔偿。</w:t>
      </w:r>
    </w:p>
    <w:p>
      <w:pPr>
        <w:spacing w:line="420" w:lineRule="exact"/>
        <w:ind w:firstLine="420" w:firstLineChars="200"/>
        <w:rPr>
          <w:rFonts w:hAnsi="宋体"/>
          <w:b/>
          <w:color w:val="auto"/>
          <w:sz w:val="24"/>
          <w:highlight w:val="none"/>
        </w:rPr>
      </w:pPr>
      <w:r>
        <w:rPr>
          <w:rFonts w:hint="eastAsia"/>
          <w:color w:val="auto"/>
          <w:szCs w:val="21"/>
          <w:highlight w:val="none"/>
        </w:rPr>
        <w:t>3.履约保证金在中标人履行合同义务后且经验收合格，凭《临海市政府采购验收单》向临海市公共资源交易中心无息退还。</w:t>
      </w:r>
    </w:p>
    <w:p>
      <w:pPr>
        <w:spacing w:beforeLines="50" w:afterLines="50" w:line="420" w:lineRule="exact"/>
        <w:jc w:val="center"/>
        <w:outlineLvl w:val="0"/>
        <w:rPr>
          <w:rFonts w:ascii="宋体" w:hAnsi="宋体"/>
          <w:b/>
          <w:color w:val="auto"/>
          <w:sz w:val="30"/>
          <w:szCs w:val="30"/>
          <w:highlight w:val="none"/>
        </w:rPr>
      </w:pPr>
      <w:r>
        <w:rPr>
          <w:rFonts w:ascii="宋体" w:hAnsi="宋体"/>
          <w:b/>
          <w:color w:val="auto"/>
          <w:sz w:val="24"/>
          <w:highlight w:val="none"/>
        </w:rPr>
        <w:br w:type="page"/>
      </w:r>
      <w:bookmarkStart w:id="44" w:name="_Toc466534750"/>
      <w:bookmarkStart w:id="45" w:name="_Toc10701"/>
      <w:r>
        <w:rPr>
          <w:rFonts w:hint="eastAsia" w:ascii="宋体" w:hAnsi="宋体"/>
          <w:b/>
          <w:color w:val="auto"/>
          <w:sz w:val="30"/>
          <w:szCs w:val="30"/>
          <w:highlight w:val="none"/>
        </w:rPr>
        <w:t>第四章  评标办法及评分标准</w:t>
      </w:r>
      <w:bookmarkEnd w:id="44"/>
      <w:bookmarkEnd w:id="45"/>
    </w:p>
    <w:p>
      <w:pPr>
        <w:spacing w:line="420" w:lineRule="exact"/>
        <w:ind w:firstLine="420"/>
        <w:rPr>
          <w:rFonts w:ascii="宋体" w:hAnsi="宋体"/>
          <w:color w:val="auto"/>
          <w:szCs w:val="21"/>
          <w:highlight w:val="none"/>
        </w:rPr>
      </w:pPr>
      <w:r>
        <w:rPr>
          <w:rFonts w:hint="eastAsia" w:ascii="宋体" w:hAnsi="宋体"/>
          <w:color w:val="auto"/>
          <w:szCs w:val="21"/>
          <w:highlight w:val="none"/>
        </w:rPr>
        <w:t>为公正、公平、科学地选择中标人，根据《中华人民共和国政府采购法》等有关法律法规的规定，并结合本项目的实际，制定本办法。</w:t>
      </w:r>
    </w:p>
    <w:p>
      <w:pPr>
        <w:spacing w:line="420" w:lineRule="exact"/>
        <w:ind w:firstLine="420"/>
        <w:rPr>
          <w:rFonts w:ascii="宋体" w:hAnsi="宋体"/>
          <w:bCs/>
          <w:color w:val="auto"/>
          <w:szCs w:val="21"/>
          <w:highlight w:val="none"/>
        </w:rPr>
      </w:pPr>
      <w:r>
        <w:rPr>
          <w:rFonts w:hint="eastAsia" w:ascii="宋体" w:hAnsi="宋体"/>
          <w:color w:val="auto"/>
          <w:szCs w:val="21"/>
          <w:highlight w:val="none"/>
        </w:rPr>
        <w:t>本办法适用于本项目的</w:t>
      </w:r>
      <w:r>
        <w:rPr>
          <w:rFonts w:hint="eastAsia" w:ascii="宋体" w:hAnsi="宋体"/>
          <w:bCs/>
          <w:color w:val="auto"/>
          <w:szCs w:val="21"/>
          <w:highlight w:val="none"/>
        </w:rPr>
        <w:t>评标。</w:t>
      </w:r>
    </w:p>
    <w:p>
      <w:pPr>
        <w:spacing w:line="420" w:lineRule="exact"/>
        <w:ind w:firstLine="413" w:firstLineChars="196"/>
        <w:rPr>
          <w:rFonts w:ascii="宋体" w:hAnsi="宋体"/>
          <w:b/>
          <w:color w:val="auto"/>
          <w:szCs w:val="21"/>
          <w:highlight w:val="none"/>
        </w:rPr>
      </w:pPr>
      <w:r>
        <w:rPr>
          <w:rFonts w:hint="eastAsia" w:ascii="宋体" w:hAnsi="宋体"/>
          <w:b/>
          <w:color w:val="auto"/>
          <w:szCs w:val="21"/>
          <w:highlight w:val="none"/>
        </w:rPr>
        <w:t>一、总则</w:t>
      </w:r>
    </w:p>
    <w:p>
      <w:pPr>
        <w:spacing w:line="420" w:lineRule="exact"/>
        <w:ind w:firstLine="420" w:firstLineChars="200"/>
        <w:rPr>
          <w:rFonts w:ascii="宋体" w:hAnsi="宋体"/>
          <w:bCs/>
          <w:color w:val="auto"/>
          <w:szCs w:val="21"/>
          <w:highlight w:val="none"/>
        </w:rPr>
      </w:pPr>
      <w:r>
        <w:rPr>
          <w:rFonts w:hint="eastAsia" w:ascii="宋体" w:hAnsi="宋体"/>
          <w:color w:val="auto"/>
          <w:szCs w:val="21"/>
          <w:highlight w:val="none"/>
        </w:rPr>
        <w:t>本次评标采用综合评分法，总分为100分，其中</w:t>
      </w:r>
      <w:r>
        <w:rPr>
          <w:rFonts w:hint="eastAsia" w:ascii="宋体" w:hAnsi="宋体"/>
          <w:b/>
          <w:bCs/>
          <w:color w:val="auto"/>
          <w:szCs w:val="21"/>
          <w:highlight w:val="none"/>
        </w:rPr>
        <w:t>价格分10分、商务技术分90</w:t>
      </w:r>
      <w:r>
        <w:rPr>
          <w:rFonts w:hint="eastAsia" w:ascii="宋体" w:hAnsi="宋体"/>
          <w:color w:val="auto"/>
          <w:szCs w:val="21"/>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Cs w:val="21"/>
          <w:highlight w:val="none"/>
        </w:rPr>
        <w:t>评分过程中采用四舍五入法，并保留小数2位。</w:t>
      </w:r>
    </w:p>
    <w:p>
      <w:pPr>
        <w:spacing w:line="420" w:lineRule="exact"/>
        <w:ind w:firstLine="422" w:firstLineChars="200"/>
        <w:rPr>
          <w:rFonts w:ascii="宋体" w:hAnsi="宋体"/>
          <w:color w:val="auto"/>
          <w:szCs w:val="21"/>
          <w:highlight w:val="none"/>
        </w:rPr>
      </w:pPr>
      <w:r>
        <w:rPr>
          <w:rFonts w:ascii="宋体" w:hAnsi="宋体"/>
          <w:b/>
          <w:bCs/>
          <w:color w:val="auto"/>
          <w:szCs w:val="21"/>
          <w:highlight w:val="none"/>
        </w:rPr>
        <w:t>节能环保产品，不发达地区、少数民族地区、</w:t>
      </w:r>
      <w:r>
        <w:rPr>
          <w:rFonts w:hint="eastAsia" w:ascii="宋体" w:hAnsi="宋体"/>
          <w:b/>
          <w:bCs/>
          <w:color w:val="auto"/>
          <w:szCs w:val="21"/>
          <w:highlight w:val="none"/>
        </w:rPr>
        <w:t>监狱企业、残疾人企业、制造精品</w:t>
      </w:r>
      <w:r>
        <w:rPr>
          <w:rFonts w:ascii="宋体" w:hAnsi="宋体"/>
          <w:b/>
          <w:bCs/>
          <w:color w:val="auto"/>
          <w:szCs w:val="21"/>
          <w:highlight w:val="none"/>
        </w:rPr>
        <w:t>产品</w:t>
      </w:r>
      <w:r>
        <w:rPr>
          <w:rFonts w:hint="eastAsia" w:ascii="宋体" w:hAnsi="宋体"/>
          <w:b/>
          <w:bCs/>
          <w:color w:val="auto"/>
          <w:szCs w:val="21"/>
          <w:highlight w:val="none"/>
        </w:rPr>
        <w:t>的政府采购优惠政策按相关文件规定执行</w:t>
      </w:r>
      <w:r>
        <w:rPr>
          <w:rFonts w:ascii="宋体" w:hAnsi="宋体"/>
          <w:b/>
          <w:bCs/>
          <w:color w:val="auto"/>
          <w:szCs w:val="21"/>
          <w:highlight w:val="none"/>
        </w:rPr>
        <w:t>。</w:t>
      </w:r>
      <w:r>
        <w:rPr>
          <w:rFonts w:hint="eastAsia" w:ascii="宋体" w:hAnsi="宋体" w:cs="宋体"/>
          <w:b/>
          <w:bCs/>
          <w:color w:val="auto"/>
          <w:szCs w:val="21"/>
          <w:highlight w:val="none"/>
        </w:rPr>
        <w:t>投标人提供的产品如为首台套产品的，业绩分为满分。</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投标人评标</w:t>
      </w:r>
      <w:r>
        <w:rPr>
          <w:rFonts w:hint="eastAsia" w:ascii="宋体" w:hAnsi="宋体"/>
          <w:bCs/>
          <w:color w:val="auto"/>
          <w:szCs w:val="21"/>
          <w:highlight w:val="none"/>
        </w:rPr>
        <w:t>综合得分=价格分+商务技术分</w:t>
      </w:r>
    </w:p>
    <w:p>
      <w:pPr>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二、评标内容及标准</w:t>
      </w:r>
    </w:p>
    <w:p>
      <w:pPr>
        <w:pStyle w:val="22"/>
        <w:spacing w:line="420" w:lineRule="exact"/>
        <w:ind w:firstLine="406" w:firstLineChars="200"/>
        <w:rPr>
          <w:rFonts w:hAnsi="宋体"/>
          <w:b/>
          <w:bCs/>
          <w:color w:val="auto"/>
          <w:sz w:val="21"/>
          <w:szCs w:val="21"/>
          <w:highlight w:val="none"/>
        </w:rPr>
      </w:pPr>
      <w:r>
        <w:rPr>
          <w:rFonts w:hint="eastAsia" w:hAnsi="宋体"/>
          <w:b/>
          <w:color w:val="auto"/>
          <w:sz w:val="21"/>
          <w:szCs w:val="21"/>
          <w:highlight w:val="none"/>
        </w:rPr>
        <w:t>（一）</w:t>
      </w:r>
      <w:r>
        <w:rPr>
          <w:rFonts w:hint="eastAsia" w:hAnsi="宋体"/>
          <w:b/>
          <w:bCs/>
          <w:color w:val="auto"/>
          <w:sz w:val="21"/>
          <w:szCs w:val="21"/>
          <w:highlight w:val="none"/>
        </w:rPr>
        <w:t>价格分（10</w:t>
      </w:r>
      <w:r>
        <w:rPr>
          <w:rFonts w:hint="eastAsia" w:hAnsi="宋体"/>
          <w:b/>
          <w:color w:val="auto"/>
          <w:spacing w:val="0"/>
          <w:sz w:val="21"/>
          <w:szCs w:val="21"/>
          <w:highlight w:val="none"/>
        </w:rPr>
        <w:t>分</w:t>
      </w:r>
      <w:r>
        <w:rPr>
          <w:rFonts w:hint="eastAsia" w:hAnsi="宋体"/>
          <w:b/>
          <w:bCs/>
          <w:color w:val="auto"/>
          <w:sz w:val="21"/>
          <w:szCs w:val="21"/>
          <w:highlight w:val="none"/>
        </w:rPr>
        <w:t>）</w:t>
      </w:r>
    </w:p>
    <w:p>
      <w:pPr>
        <w:pStyle w:val="22"/>
        <w:spacing w:line="420" w:lineRule="exact"/>
        <w:ind w:firstLine="404" w:firstLineChars="200"/>
        <w:rPr>
          <w:rFonts w:hAnsi="宋体"/>
          <w:bCs/>
          <w:color w:val="auto"/>
          <w:sz w:val="21"/>
          <w:szCs w:val="21"/>
          <w:highlight w:val="none"/>
        </w:rPr>
      </w:pPr>
      <w:r>
        <w:rPr>
          <w:rFonts w:hint="eastAsia" w:hAnsi="宋体"/>
          <w:bCs/>
          <w:color w:val="auto"/>
          <w:sz w:val="21"/>
          <w:szCs w:val="21"/>
          <w:highlight w:val="none"/>
        </w:rPr>
        <w:t>1.价格分采用低价优先法计算，即满足招标文件要求且投标价格最低的投标报价为评标基准价，其他投标人的价格分按照下列公式计算：</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价格分=（评标基准价/投标报价）×10%×100</w:t>
      </w:r>
    </w:p>
    <w:p>
      <w:pPr>
        <w:pStyle w:val="22"/>
        <w:spacing w:line="420" w:lineRule="exact"/>
        <w:ind w:firstLine="406" w:firstLineChars="200"/>
        <w:rPr>
          <w:rFonts w:hAnsi="宋体"/>
          <w:b/>
          <w:bCs/>
          <w:color w:val="auto"/>
          <w:sz w:val="21"/>
          <w:szCs w:val="21"/>
          <w:highlight w:val="none"/>
          <w:u w:val="single"/>
          <w:shd w:val="pct10" w:color="auto" w:fill="FFFFFF"/>
        </w:rPr>
      </w:pPr>
      <w:r>
        <w:rPr>
          <w:rFonts w:hint="eastAsia" w:hAnsi="宋体"/>
          <w:b/>
          <w:bCs/>
          <w:color w:val="auto"/>
          <w:sz w:val="21"/>
          <w:szCs w:val="21"/>
          <w:highlight w:val="none"/>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spacing w:line="420" w:lineRule="exact"/>
        <w:ind w:firstLine="406" w:firstLineChars="200"/>
        <w:rPr>
          <w:rFonts w:hAnsi="宋体"/>
          <w:b/>
          <w:bCs/>
          <w:color w:val="auto"/>
          <w:sz w:val="21"/>
          <w:szCs w:val="21"/>
          <w:highlight w:val="none"/>
          <w:u w:val="single"/>
          <w:shd w:val="pct10" w:color="auto" w:fill="FFFFFF"/>
        </w:rPr>
      </w:pPr>
      <w:r>
        <w:rPr>
          <w:rFonts w:hint="eastAsia" w:hAnsi="宋体"/>
          <w:b/>
          <w:bCs/>
          <w:color w:val="auto"/>
          <w:sz w:val="21"/>
          <w:szCs w:val="21"/>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服务类：提供原与其他招标人签订的包含</w:t>
      </w:r>
      <w:bookmarkStart w:id="46" w:name="_Hlk80007879"/>
      <w:r>
        <w:rPr>
          <w:rFonts w:hint="eastAsia" w:hAnsi="宋体"/>
          <w:b/>
          <w:bCs/>
          <w:color w:val="auto"/>
          <w:sz w:val="21"/>
          <w:szCs w:val="21"/>
          <w:highlight w:val="none"/>
          <w:u w:val="single"/>
          <w:shd w:val="pct10" w:color="auto" w:fill="FFFFFF"/>
        </w:rPr>
        <w:t>本次主要采购服务内容的</w:t>
      </w:r>
      <w:bookmarkEnd w:id="46"/>
      <w:r>
        <w:rPr>
          <w:rFonts w:hint="eastAsia" w:hAnsi="宋体"/>
          <w:b/>
          <w:bCs/>
          <w:color w:val="auto"/>
          <w:sz w:val="21"/>
          <w:szCs w:val="21"/>
          <w:highlight w:val="none"/>
          <w:u w:val="single"/>
          <w:shd w:val="pct10" w:color="auto" w:fill="FFFFFF"/>
        </w:rPr>
        <w:t>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pPr>
        <w:spacing w:beforeLines="50" w:afterLines="50" w:line="400" w:lineRule="exact"/>
        <w:rPr>
          <w:rFonts w:ascii="宋体" w:hAnsi="宋体"/>
          <w:b/>
          <w:color w:val="auto"/>
          <w:szCs w:val="21"/>
          <w:highlight w:val="none"/>
        </w:rPr>
      </w:pPr>
      <w:r>
        <w:rPr>
          <w:rFonts w:hint="eastAsia" w:ascii="宋体" w:hAnsi="宋体"/>
          <w:b/>
          <w:bCs/>
          <w:color w:val="auto"/>
          <w:szCs w:val="21"/>
          <w:highlight w:val="none"/>
        </w:rPr>
        <w:t>（二）商务</w:t>
      </w:r>
      <w:r>
        <w:rPr>
          <w:rFonts w:hint="eastAsia" w:ascii="宋体" w:hAnsi="宋体"/>
          <w:b/>
          <w:color w:val="auto"/>
          <w:szCs w:val="21"/>
          <w:highlight w:val="none"/>
        </w:rPr>
        <w:t>技术分（90分）</w:t>
      </w:r>
    </w:p>
    <w:p>
      <w:pPr>
        <w:spacing w:line="400" w:lineRule="exact"/>
        <w:ind w:firstLine="420" w:firstLineChars="200"/>
        <w:rPr>
          <w:rFonts w:hAnsi="宋体"/>
          <w:color w:val="auto"/>
          <w:szCs w:val="21"/>
          <w:highlight w:val="none"/>
          <w:lang w:val="zh-CN"/>
        </w:rPr>
      </w:pPr>
      <w:r>
        <w:rPr>
          <w:rFonts w:hint="eastAsia" w:hAnsi="宋体"/>
          <w:color w:val="auto"/>
          <w:szCs w:val="21"/>
          <w:highlight w:val="none"/>
          <w:lang w:val="zh-CN"/>
        </w:rPr>
        <w:t>评标委员会对通过符合性审查的投标人的投标技术参数或方案充分审核后，进行综合评定独立打分。</w:t>
      </w:r>
    </w:p>
    <w:tbl>
      <w:tblPr>
        <w:tblStyle w:val="49"/>
        <w:tblW w:w="8859" w:type="dxa"/>
        <w:tblInd w:w="99" w:type="dxa"/>
        <w:tblLayout w:type="fixed"/>
        <w:tblCellMar>
          <w:top w:w="0" w:type="dxa"/>
          <w:left w:w="108" w:type="dxa"/>
          <w:bottom w:w="0" w:type="dxa"/>
          <w:right w:w="108" w:type="dxa"/>
        </w:tblCellMar>
      </w:tblPr>
      <w:tblGrid>
        <w:gridCol w:w="640"/>
        <w:gridCol w:w="1140"/>
        <w:gridCol w:w="720"/>
        <w:gridCol w:w="5689"/>
        <w:gridCol w:w="670"/>
      </w:tblGrid>
      <w:tr>
        <w:tblPrEx>
          <w:tblCellMar>
            <w:top w:w="0" w:type="dxa"/>
            <w:left w:w="108" w:type="dxa"/>
            <w:bottom w:w="0" w:type="dxa"/>
            <w:right w:w="108" w:type="dxa"/>
          </w:tblCellMar>
        </w:tblPrEx>
        <w:trPr>
          <w:trHeight w:val="464"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bookmarkStart w:id="47" w:name="_Hlk36048660"/>
            <w:r>
              <w:rPr>
                <w:rFonts w:hint="eastAsia" w:ascii="宋体" w:hAnsi="宋体" w:cs="宋体"/>
                <w:b/>
                <w:color w:val="auto"/>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评分内容</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CellMar>
            <w:top w:w="0" w:type="dxa"/>
            <w:left w:w="108" w:type="dxa"/>
            <w:bottom w:w="0" w:type="dxa"/>
            <w:right w:w="108" w:type="dxa"/>
          </w:tblCellMar>
        </w:tblPrEx>
        <w:trPr>
          <w:trHeight w:val="2838"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体系认证</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auto"/>
                <w:szCs w:val="21"/>
                <w:highlight w:val="none"/>
              </w:rPr>
            </w:pPr>
            <w:r>
              <w:rPr>
                <w:rFonts w:hint="eastAsia" w:ascii="宋体" w:hAnsi="宋体" w:cs="宋体"/>
                <w:color w:val="auto"/>
                <w:szCs w:val="21"/>
                <w:highlight w:val="none"/>
              </w:rPr>
              <w:t>供应商具备有效的质量管理体系认证证书、环境管理体系认证证书、职业健康安全管理体系认证证书、履约能力评价体系认证证书，每提供1个得2分，最高得8分。</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备注：</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1.上述所有证书必须真实、合规，在有效期内。</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2.投标文件中须提供清晰可辨的证书彩色扫描件并加盖投标人公章，同时提供全国认证认可信息公共服务平台证书查询截图，否者不得分。</w:t>
            </w:r>
          </w:p>
          <w:p>
            <w:pPr>
              <w:jc w:val="left"/>
              <w:rPr>
                <w:rFonts w:ascii="宋体" w:hAnsi="宋体" w:cs="宋体"/>
                <w:color w:val="auto"/>
                <w:szCs w:val="21"/>
                <w:highlight w:val="none"/>
              </w:rPr>
            </w:pPr>
            <w:r>
              <w:rPr>
                <w:rFonts w:hint="eastAsia" w:ascii="宋体" w:hAnsi="宋体" w:cs="宋体"/>
                <w:b/>
                <w:color w:val="auto"/>
                <w:szCs w:val="21"/>
                <w:highlight w:val="none"/>
                <w:u w:val="single"/>
                <w:shd w:val="pct10" w:color="auto" w:fill="FFFFFF"/>
              </w:rPr>
              <w:t>3.如投标人提供的证书扫描件因模糊不清而造成评标委员会在评审时做出对投标人不利的评审由投标人自行承担。</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8分</w:t>
            </w:r>
          </w:p>
        </w:tc>
      </w:tr>
      <w:tr>
        <w:tblPrEx>
          <w:tblCellMar>
            <w:top w:w="0" w:type="dxa"/>
            <w:left w:w="108" w:type="dxa"/>
            <w:bottom w:w="0" w:type="dxa"/>
            <w:right w:w="108" w:type="dxa"/>
          </w:tblCellMar>
        </w:tblPrEx>
        <w:trPr>
          <w:trHeight w:val="912" w:hRule="atLeast"/>
        </w:trPr>
        <w:tc>
          <w:tcPr>
            <w:tcW w:w="640"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40"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r>
              <w:rPr>
                <w:rFonts w:hint="eastAsia" w:ascii="宋体" w:hAnsi="宋体" w:cs="宋体"/>
                <w:bCs/>
                <w:color w:val="auto"/>
                <w:highlight w:val="none"/>
              </w:rPr>
              <w:t>业绩</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color w:val="auto"/>
                <w:szCs w:val="21"/>
                <w:highlight w:val="none"/>
              </w:rPr>
            </w:pPr>
            <w:r>
              <w:rPr>
                <w:rFonts w:hint="eastAsia" w:ascii="宋体" w:hAnsi="宋体" w:cs="宋体"/>
                <w:color w:val="auto"/>
                <w:szCs w:val="21"/>
                <w:highlight w:val="none"/>
              </w:rPr>
              <w:t>2021年1月1日至今（以合同签订时间为准）供应商承接过房屋建筑工程消防设施维护保养检测或消防安全评估项目，每提供1个得0.25分，最多得0.5分。</w:t>
            </w:r>
          </w:p>
        </w:tc>
        <w:tc>
          <w:tcPr>
            <w:tcW w:w="670"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b/>
                <w:bCs/>
                <w:color w:val="auto"/>
                <w:szCs w:val="21"/>
                <w:highlight w:val="none"/>
                <w:u w:val="single"/>
                <w:shd w:val="pct10" w:color="auto" w:fill="FFFFFF"/>
              </w:rPr>
            </w:pPr>
            <w:r>
              <w:rPr>
                <w:rFonts w:hint="eastAsia" w:ascii="宋体" w:hAnsi="宋体" w:cs="宋体"/>
                <w:color w:val="auto"/>
                <w:szCs w:val="21"/>
                <w:highlight w:val="none"/>
              </w:rPr>
              <w:t>1分</w:t>
            </w:r>
          </w:p>
        </w:tc>
      </w:tr>
      <w:tr>
        <w:tblPrEx>
          <w:tblCellMar>
            <w:top w:w="0" w:type="dxa"/>
            <w:left w:w="108" w:type="dxa"/>
            <w:bottom w:w="0" w:type="dxa"/>
            <w:right w:w="108" w:type="dxa"/>
          </w:tblCellMar>
        </w:tblPrEx>
        <w:trPr>
          <w:trHeight w:val="976" w:hRule="atLeast"/>
        </w:trPr>
        <w:tc>
          <w:tcPr>
            <w:tcW w:w="640" w:type="dxa"/>
            <w:vMerge w:val="continue"/>
            <w:tcBorders>
              <w:left w:val="single" w:color="auto" w:sz="4" w:space="0"/>
              <w:right w:val="single" w:color="auto" w:sz="4" w:space="0"/>
            </w:tcBorders>
            <w:shd w:val="clear" w:color="000000" w:fill="FFFFFF"/>
            <w:vAlign w:val="center"/>
          </w:tcPr>
          <w:p>
            <w:pPr>
              <w:rPr>
                <w:color w:val="auto"/>
                <w:highlight w:val="none"/>
              </w:rPr>
            </w:pPr>
          </w:p>
        </w:tc>
        <w:tc>
          <w:tcPr>
            <w:tcW w:w="1140" w:type="dxa"/>
            <w:vMerge w:val="continue"/>
            <w:tcBorders>
              <w:left w:val="single" w:color="auto" w:sz="4" w:space="0"/>
              <w:right w:val="single" w:color="auto" w:sz="4" w:space="0"/>
            </w:tcBorders>
            <w:shd w:val="clear" w:color="000000" w:fill="FFFFFF"/>
            <w:vAlign w:val="center"/>
          </w:tcPr>
          <w:p>
            <w:pPr>
              <w:rPr>
                <w:color w:val="auto"/>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r>
              <w:rPr>
                <w:rFonts w:hint="eastAsia" w:ascii="宋体" w:hAnsi="宋体" w:cs="宋体"/>
                <w:color w:val="auto"/>
                <w:szCs w:val="21"/>
                <w:highlight w:val="none"/>
              </w:rPr>
              <w:t>2021年1月1日至今（以合同签订时间为准）供应商承接过医药化工类工程消防设施维护保养检测或消防安全评估项目，每提供1个得0.25分，最多得0.5分。</w:t>
            </w:r>
          </w:p>
        </w:tc>
        <w:tc>
          <w:tcPr>
            <w:tcW w:w="670" w:type="dxa"/>
            <w:vMerge w:val="continue"/>
            <w:tcBorders>
              <w:left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p>
        </w:tc>
      </w:tr>
      <w:tr>
        <w:tblPrEx>
          <w:tblCellMar>
            <w:top w:w="0" w:type="dxa"/>
            <w:left w:w="108" w:type="dxa"/>
            <w:bottom w:w="0" w:type="dxa"/>
            <w:right w:w="108" w:type="dxa"/>
          </w:tblCellMar>
        </w:tblPrEx>
        <w:trPr>
          <w:trHeight w:val="2965" w:hRule="atLeast"/>
        </w:trPr>
        <w:tc>
          <w:tcPr>
            <w:tcW w:w="640" w:type="dxa"/>
            <w:vMerge w:val="continue"/>
            <w:tcBorders>
              <w:left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p>
        </w:tc>
        <w:tc>
          <w:tcPr>
            <w:tcW w:w="1140" w:type="dxa"/>
            <w:vMerge w:val="continue"/>
            <w:tcBorders>
              <w:left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r>
              <w:rPr>
                <w:rFonts w:hint="eastAsia" w:ascii="宋体" w:hAnsi="宋体" w:cs="宋体"/>
                <w:b/>
                <w:bCs/>
                <w:color w:val="auto"/>
                <w:szCs w:val="21"/>
                <w:highlight w:val="none"/>
                <w:u w:val="single"/>
                <w:shd w:val="pct10" w:color="auto" w:fill="FFFFFF"/>
              </w:rPr>
              <w:t>备注：</w:t>
            </w:r>
          </w:p>
          <w:p>
            <w:pPr>
              <w:rPr>
                <w:rFonts w:ascii="宋体" w:hAnsi="宋体" w:cs="宋体"/>
                <w:b/>
                <w:bCs/>
                <w:color w:val="auto"/>
                <w:szCs w:val="21"/>
                <w:highlight w:val="none"/>
                <w:u w:val="single"/>
                <w:shd w:val="pct10" w:color="auto" w:fill="FFFFFF"/>
              </w:rPr>
            </w:pPr>
            <w:r>
              <w:rPr>
                <w:rFonts w:hint="eastAsia" w:ascii="宋体" w:hAnsi="宋体" w:cs="宋体"/>
                <w:b/>
                <w:bCs/>
                <w:color w:val="auto"/>
                <w:szCs w:val="21"/>
                <w:highlight w:val="none"/>
                <w:u w:val="single"/>
                <w:shd w:val="pct10" w:color="auto" w:fill="FFFFFF"/>
              </w:rPr>
              <w:t>1.合同业绩须为本次投标人的业绩，投标人的独立法人子公司、参股公司的业绩均不予认可。</w:t>
            </w:r>
          </w:p>
          <w:p>
            <w:pPr>
              <w:rPr>
                <w:rFonts w:ascii="宋体" w:hAnsi="宋体" w:cs="宋体"/>
                <w:b/>
                <w:bCs/>
                <w:color w:val="auto"/>
                <w:szCs w:val="21"/>
                <w:highlight w:val="none"/>
                <w:u w:val="single"/>
                <w:shd w:val="pct10" w:color="auto" w:fill="FFFFFF"/>
              </w:rPr>
            </w:pPr>
            <w:r>
              <w:rPr>
                <w:rFonts w:hint="eastAsia" w:ascii="宋体" w:hAnsi="宋体" w:cs="宋体"/>
                <w:b/>
                <w:bCs/>
                <w:color w:val="auto"/>
                <w:szCs w:val="21"/>
                <w:highlight w:val="none"/>
                <w:u w:val="single"/>
                <w:shd w:val="pct10" w:color="auto" w:fill="FFFFFF"/>
              </w:rPr>
              <w:t>2.投标文件中须提供清晰可辨的合同扫描件和检测报告扫描件或安全评估报告扫描件并加盖投标人公章及每个合同业绩1张发票扫描件并加盖投标人公章。</w:t>
            </w:r>
          </w:p>
          <w:p>
            <w:pPr>
              <w:rPr>
                <w:rFonts w:ascii="宋体" w:hAnsi="宋体" w:cs="宋体"/>
                <w:b/>
                <w:bCs/>
                <w:color w:val="auto"/>
                <w:szCs w:val="21"/>
                <w:highlight w:val="none"/>
                <w:u w:val="single"/>
                <w:shd w:val="pct10" w:color="auto" w:fill="FFFFFF"/>
              </w:rPr>
            </w:pPr>
            <w:r>
              <w:rPr>
                <w:rFonts w:hint="eastAsia" w:ascii="宋体" w:hAnsi="宋体" w:cs="宋体"/>
                <w:b/>
                <w:bCs/>
                <w:color w:val="auto"/>
                <w:szCs w:val="21"/>
                <w:highlight w:val="none"/>
                <w:u w:val="single"/>
                <w:shd w:val="pct10" w:color="auto" w:fill="FFFFFF"/>
              </w:rPr>
              <w:t>3.如投标人提供的合同扫描件、检测报告扫描件或安全评估报告扫描件或发票扫描件因模糊不清而造成评标委员会在评审时做出对投标人不利的评审由投标人自行承担。</w:t>
            </w:r>
          </w:p>
          <w:p>
            <w:pPr>
              <w:rPr>
                <w:rFonts w:ascii="宋体" w:hAnsi="宋体" w:cs="宋体"/>
                <w:b/>
                <w:bCs/>
                <w:color w:val="auto"/>
                <w:szCs w:val="21"/>
                <w:highlight w:val="none"/>
                <w:u w:val="single"/>
                <w:shd w:val="pct10" w:color="auto" w:fill="FFFFFF"/>
              </w:rPr>
            </w:pPr>
            <w:r>
              <w:rPr>
                <w:rFonts w:hint="eastAsia" w:ascii="宋体" w:hAnsi="宋体" w:cs="宋体"/>
                <w:b/>
                <w:bCs/>
                <w:color w:val="auto"/>
                <w:szCs w:val="21"/>
                <w:highlight w:val="none"/>
                <w:u w:val="single"/>
                <w:shd w:val="pct10" w:color="auto" w:fill="FFFFFF"/>
              </w:rPr>
              <w:t>4.评标过程中如须核实发票网上信息的，投标人需提供配合。</w:t>
            </w:r>
          </w:p>
        </w:tc>
        <w:tc>
          <w:tcPr>
            <w:tcW w:w="670" w:type="dxa"/>
            <w:vMerge w:val="continue"/>
            <w:tcBorders>
              <w:left w:val="single" w:color="auto" w:sz="4" w:space="0"/>
              <w:bottom w:val="single" w:color="auto" w:sz="4" w:space="0"/>
              <w:right w:val="single" w:color="auto" w:sz="4" w:space="0"/>
            </w:tcBorders>
            <w:shd w:val="clear" w:color="000000" w:fill="FFFFFF"/>
            <w:vAlign w:val="center"/>
          </w:tcPr>
          <w:p>
            <w:pPr>
              <w:rPr>
                <w:rFonts w:ascii="宋体" w:hAnsi="宋体" w:cs="宋体"/>
                <w:b/>
                <w:bCs/>
                <w:color w:val="auto"/>
                <w:szCs w:val="21"/>
                <w:highlight w:val="none"/>
                <w:u w:val="single"/>
                <w:shd w:val="pct10" w:color="auto" w:fill="FFFFFF"/>
              </w:rPr>
            </w:pPr>
          </w:p>
        </w:tc>
      </w:tr>
      <w:tr>
        <w:tblPrEx>
          <w:tblCellMar>
            <w:top w:w="0" w:type="dxa"/>
            <w:left w:w="108" w:type="dxa"/>
            <w:bottom w:w="0" w:type="dxa"/>
            <w:right w:w="108" w:type="dxa"/>
          </w:tblCellMar>
        </w:tblPrEx>
        <w:trPr>
          <w:trHeight w:val="1538" w:hRule="atLeast"/>
        </w:trPr>
        <w:tc>
          <w:tcPr>
            <w:tcW w:w="640"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140"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项目组成员情况</w:t>
            </w: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项目负责人</w:t>
            </w:r>
          </w:p>
        </w:tc>
        <w:tc>
          <w:tcPr>
            <w:tcW w:w="5689" w:type="dxa"/>
            <w:tcBorders>
              <w:top w:val="single" w:color="auto" w:sz="4" w:space="0"/>
              <w:left w:val="single" w:color="auto" w:sz="4" w:space="0"/>
              <w:bottom w:val="single" w:color="auto" w:sz="4" w:space="0"/>
              <w:right w:val="single" w:color="auto" w:sz="4" w:space="0"/>
            </w:tcBorders>
            <w:shd w:val="clear" w:color="000000" w:fill="FFFFFF"/>
          </w:tcPr>
          <w:p>
            <w:pPr>
              <w:jc w:val="left"/>
              <w:rPr>
                <w:rFonts w:ascii="宋体" w:hAnsi="宋体" w:cs="宋体"/>
                <w:color w:val="auto"/>
                <w:szCs w:val="21"/>
                <w:highlight w:val="none"/>
              </w:rPr>
            </w:pPr>
            <w:r>
              <w:rPr>
                <w:rFonts w:hint="eastAsia" w:ascii="宋体" w:hAnsi="宋体" w:cs="宋体"/>
                <w:color w:val="auto"/>
                <w:szCs w:val="21"/>
                <w:highlight w:val="none"/>
              </w:rPr>
              <w:t>项目负责人具有国家</w:t>
            </w:r>
            <w:r>
              <w:rPr>
                <w:rFonts w:hint="eastAsia" w:ascii="宋体" w:hAnsi="宋体" w:cs="宋体"/>
                <w:bCs/>
                <w:color w:val="auto"/>
                <w:szCs w:val="21"/>
                <w:highlight w:val="none"/>
              </w:rPr>
              <w:t>一级注册消防工程师资格证书的得3分，同时具有工程类</w:t>
            </w:r>
            <w:r>
              <w:rPr>
                <w:rFonts w:hint="eastAsia" w:ascii="宋体" w:hAnsi="宋体" w:cs="宋体"/>
                <w:bCs/>
                <w:color w:val="auto"/>
                <w:szCs w:val="21"/>
                <w:highlight w:val="none"/>
                <w:lang w:val="zh-CN"/>
              </w:rPr>
              <w:t>（建筑工程或暖通或给排水或建筑电气或建筑工程管理或建筑施工或建筑设计或建筑结构或建筑装饰或建筑材料或消防工程等工程专业</w:t>
            </w:r>
            <w:r>
              <w:rPr>
                <w:rFonts w:hint="eastAsia" w:ascii="宋体" w:hAnsi="宋体" w:cs="宋体"/>
                <w:bCs/>
                <w:color w:val="auto"/>
                <w:szCs w:val="21"/>
                <w:highlight w:val="none"/>
              </w:rPr>
              <w:t>）高级</w:t>
            </w:r>
            <w:r>
              <w:rPr>
                <w:rFonts w:hint="eastAsia" w:ascii="宋体" w:hAnsi="宋体" w:cs="宋体"/>
                <w:bCs/>
                <w:color w:val="auto"/>
                <w:szCs w:val="21"/>
                <w:highlight w:val="none"/>
                <w:lang w:val="zh-CN"/>
              </w:rPr>
              <w:t>工程师</w:t>
            </w:r>
            <w:r>
              <w:rPr>
                <w:rFonts w:hint="eastAsia" w:ascii="宋体" w:hAnsi="宋体" w:cs="宋体"/>
                <w:bCs/>
                <w:color w:val="auto"/>
                <w:szCs w:val="21"/>
                <w:highlight w:val="none"/>
              </w:rPr>
              <w:t>及以上</w:t>
            </w:r>
            <w:r>
              <w:rPr>
                <w:rFonts w:hint="eastAsia" w:ascii="宋体" w:hAnsi="宋体" w:cs="宋体"/>
                <w:color w:val="auto"/>
                <w:szCs w:val="21"/>
                <w:highlight w:val="none"/>
              </w:rPr>
              <w:t>职称的得6分。</w:t>
            </w:r>
            <w:r>
              <w:rPr>
                <w:rFonts w:hint="eastAsia" w:ascii="宋体" w:hAnsi="宋体" w:cs="宋体"/>
                <w:bCs/>
                <w:color w:val="auto"/>
                <w:szCs w:val="21"/>
                <w:highlight w:val="none"/>
                <w:lang w:val="zh-CN"/>
              </w:rPr>
              <w:t>本项采用就高原则不重复计分，最多得6分</w:t>
            </w:r>
            <w:r>
              <w:rPr>
                <w:rFonts w:hint="eastAsia" w:ascii="宋体" w:hAnsi="宋体" w:cs="宋体"/>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CellMar>
            <w:top w:w="0" w:type="dxa"/>
            <w:left w:w="108" w:type="dxa"/>
            <w:bottom w:w="0" w:type="dxa"/>
            <w:right w:w="108" w:type="dxa"/>
          </w:tblCellMar>
        </w:tblPrEx>
        <w:trPr>
          <w:trHeight w:val="1449" w:hRule="atLeast"/>
        </w:trPr>
        <w:tc>
          <w:tcPr>
            <w:tcW w:w="640" w:type="dxa"/>
            <w:vMerge w:val="continue"/>
            <w:tcBorders>
              <w:left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left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技术负责人</w:t>
            </w:r>
          </w:p>
        </w:tc>
        <w:tc>
          <w:tcPr>
            <w:tcW w:w="5689" w:type="dxa"/>
            <w:tcBorders>
              <w:top w:val="single" w:color="auto" w:sz="4" w:space="0"/>
              <w:left w:val="single" w:color="auto" w:sz="4" w:space="0"/>
              <w:bottom w:val="single" w:color="auto" w:sz="4" w:space="0"/>
              <w:right w:val="single" w:color="auto" w:sz="4" w:space="0"/>
            </w:tcBorders>
            <w:shd w:val="clear" w:color="000000" w:fill="FFFFFF"/>
          </w:tcPr>
          <w:p>
            <w:pPr>
              <w:jc w:val="left"/>
              <w:rPr>
                <w:rFonts w:ascii="宋体" w:hAnsi="宋体" w:cs="宋体"/>
                <w:b/>
                <w:color w:val="auto"/>
                <w:szCs w:val="21"/>
                <w:highlight w:val="none"/>
                <w:u w:val="single"/>
                <w:shd w:val="pct10" w:color="auto" w:fill="FFFFFF"/>
              </w:rPr>
            </w:pPr>
            <w:r>
              <w:rPr>
                <w:rFonts w:hint="eastAsia" w:ascii="宋体" w:hAnsi="宋体" w:cs="宋体"/>
                <w:bCs/>
                <w:color w:val="auto"/>
                <w:szCs w:val="21"/>
                <w:highlight w:val="none"/>
              </w:rPr>
              <w:t>拟派技术负责人</w:t>
            </w:r>
            <w:r>
              <w:rPr>
                <w:rFonts w:hint="eastAsia" w:ascii="宋体" w:hAnsi="宋体" w:cs="宋体"/>
                <w:bCs/>
                <w:color w:val="auto"/>
                <w:szCs w:val="21"/>
                <w:highlight w:val="none"/>
                <w:lang w:val="zh-CN"/>
              </w:rPr>
              <w:t>具有一级注册建筑师、注册电气工程师、注册结构工程师、注册公用设备工程师（给</w:t>
            </w:r>
            <w:r>
              <w:rPr>
                <w:rFonts w:hint="eastAsia" w:ascii="宋体" w:hAnsi="宋体" w:cs="宋体"/>
                <w:bCs/>
                <w:color w:val="auto"/>
                <w:szCs w:val="21"/>
                <w:highlight w:val="none"/>
              </w:rPr>
              <w:t>水</w:t>
            </w:r>
            <w:r>
              <w:rPr>
                <w:rFonts w:hint="eastAsia" w:ascii="宋体" w:hAnsi="宋体" w:cs="宋体"/>
                <w:bCs/>
                <w:color w:val="auto"/>
                <w:szCs w:val="21"/>
                <w:highlight w:val="none"/>
                <w:lang w:val="zh-CN"/>
              </w:rPr>
              <w:t>排水</w:t>
            </w:r>
            <w:r>
              <w:rPr>
                <w:rFonts w:hint="eastAsia" w:ascii="宋体" w:hAnsi="宋体" w:cs="宋体"/>
                <w:bCs/>
                <w:color w:val="auto"/>
                <w:szCs w:val="21"/>
                <w:highlight w:val="none"/>
              </w:rPr>
              <w:t>或者</w:t>
            </w:r>
            <w:r>
              <w:rPr>
                <w:rFonts w:hint="eastAsia" w:ascii="宋体" w:hAnsi="宋体" w:cs="宋体"/>
                <w:bCs/>
                <w:color w:val="auto"/>
                <w:szCs w:val="21"/>
                <w:highlight w:val="none"/>
                <w:lang w:val="zh-CN"/>
              </w:rPr>
              <w:t>暖通空调专业）资格其中一项的得3分，同时具有工程类中级工程师职称的得4分，具有</w:t>
            </w:r>
            <w:r>
              <w:rPr>
                <w:rFonts w:hint="eastAsia" w:ascii="宋体" w:hAnsi="宋体" w:cs="宋体"/>
                <w:bCs/>
                <w:color w:val="auto"/>
                <w:szCs w:val="21"/>
                <w:highlight w:val="none"/>
              </w:rPr>
              <w:t>工程类</w:t>
            </w:r>
            <w:r>
              <w:rPr>
                <w:rFonts w:hint="eastAsia" w:ascii="宋体" w:hAnsi="宋体" w:cs="宋体"/>
                <w:bCs/>
                <w:color w:val="auto"/>
                <w:szCs w:val="21"/>
                <w:highlight w:val="none"/>
                <w:lang w:val="zh-CN"/>
              </w:rPr>
              <w:t>高级工程师及以上职称的得6分。本项采用就高原则不重复计分，最多得6分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CellMar>
            <w:top w:w="0" w:type="dxa"/>
            <w:left w:w="108" w:type="dxa"/>
            <w:bottom w:w="0" w:type="dxa"/>
            <w:right w:w="108" w:type="dxa"/>
          </w:tblCellMar>
        </w:tblPrEx>
        <w:trPr>
          <w:trHeight w:val="1699" w:hRule="atLeast"/>
        </w:trPr>
        <w:tc>
          <w:tcPr>
            <w:tcW w:w="640" w:type="dxa"/>
            <w:vMerge w:val="continue"/>
            <w:tcBorders>
              <w:left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left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p>
        </w:tc>
        <w:tc>
          <w:tcPr>
            <w:tcW w:w="720" w:type="dxa"/>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其他成员</w:t>
            </w:r>
          </w:p>
        </w:tc>
        <w:tc>
          <w:tcPr>
            <w:tcW w:w="568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Cs/>
                <w:color w:val="auto"/>
                <w:szCs w:val="21"/>
                <w:highlight w:val="none"/>
              </w:rPr>
            </w:pPr>
            <w:r>
              <w:rPr>
                <w:rFonts w:hint="eastAsia" w:ascii="宋体" w:hAnsi="宋体" w:cs="宋体"/>
                <w:bCs/>
                <w:color w:val="auto"/>
                <w:szCs w:val="21"/>
                <w:highlight w:val="none"/>
              </w:rPr>
              <w:t>1、项目组的成员中（不含项目负责人和技术负责人）具有工程类中级工程师及以上职称的，每有1人得1分，最多得4分。</w:t>
            </w:r>
          </w:p>
          <w:p>
            <w:pPr>
              <w:rPr>
                <w:rFonts w:ascii="宋体" w:hAnsi="宋体" w:cs="宋体"/>
                <w:bCs/>
                <w:color w:val="auto"/>
                <w:szCs w:val="21"/>
                <w:highlight w:val="none"/>
              </w:rPr>
            </w:pPr>
            <w:r>
              <w:rPr>
                <w:rFonts w:hint="eastAsia" w:ascii="宋体" w:hAnsi="宋体" w:cs="宋体"/>
                <w:bCs/>
                <w:color w:val="auto"/>
                <w:szCs w:val="21"/>
                <w:highlight w:val="none"/>
              </w:rPr>
              <w:t>2、项目组的成员中（不含项目负责人和技术负责人）具有一级注册消防工程师资格证书的，每有1人得1分，最多得2分。</w:t>
            </w:r>
          </w:p>
          <w:p>
            <w:pPr>
              <w:pStyle w:val="2"/>
              <w:ind w:firstLine="0"/>
              <w:rPr>
                <w:color w:val="auto"/>
                <w:highlight w:val="none"/>
              </w:rPr>
            </w:pPr>
            <w:r>
              <w:rPr>
                <w:rFonts w:hint="eastAsia" w:ascii="宋体" w:hAnsi="宋体" w:cs="宋体"/>
                <w:bCs/>
                <w:color w:val="auto"/>
                <w:sz w:val="21"/>
                <w:szCs w:val="21"/>
                <w:highlight w:val="none"/>
              </w:rPr>
              <w:t>注：同一人同时具有工程类中级工程师及以上职称及一级注册消防工程师资格证书的，可重复计分。</w:t>
            </w:r>
          </w:p>
        </w:tc>
        <w:tc>
          <w:tcPr>
            <w:tcW w:w="670" w:type="dxa"/>
            <w:tcBorders>
              <w:top w:val="single" w:color="auto" w:sz="4" w:space="0"/>
              <w:left w:val="single" w:color="auto" w:sz="4" w:space="0"/>
              <w:right w:val="single" w:color="auto" w:sz="4" w:space="0"/>
            </w:tcBorders>
            <w:shd w:val="clear" w:color="000000" w:fill="FFFFFF"/>
            <w:vAlign w:val="center"/>
          </w:tcPr>
          <w:p>
            <w:pPr>
              <w:rPr>
                <w:rFonts w:ascii="宋体" w:hAnsi="宋体" w:cs="宋体"/>
                <w:color w:val="auto"/>
                <w:szCs w:val="21"/>
                <w:highlight w:val="none"/>
              </w:rPr>
            </w:pPr>
            <w:r>
              <w:rPr>
                <w:rFonts w:hint="eastAsia" w:ascii="宋体" w:hAnsi="宋体" w:cs="宋体"/>
                <w:color w:val="auto"/>
                <w:szCs w:val="21"/>
                <w:highlight w:val="none"/>
              </w:rPr>
              <w:t>6分</w:t>
            </w:r>
          </w:p>
        </w:tc>
      </w:tr>
      <w:tr>
        <w:tblPrEx>
          <w:tblCellMar>
            <w:top w:w="0" w:type="dxa"/>
            <w:left w:w="108" w:type="dxa"/>
            <w:bottom w:w="0" w:type="dxa"/>
            <w:right w:w="108" w:type="dxa"/>
          </w:tblCellMar>
        </w:tblPrEx>
        <w:trPr>
          <w:trHeight w:val="1131" w:hRule="atLeast"/>
        </w:trPr>
        <w:tc>
          <w:tcPr>
            <w:tcW w:w="64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备注：</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1.上述所有证书必须真实、合规，在有效期内。</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2.投标文件中须提供清晰可辨的证书彩色扫描件及近3个月社保证明并加盖投标人公章，否者不得分。</w:t>
            </w:r>
          </w:p>
          <w:p>
            <w:pPr>
              <w:jc w:val="left"/>
              <w:rPr>
                <w:rFonts w:ascii="宋体" w:hAnsi="宋体" w:cs="宋体"/>
                <w:b/>
                <w:color w:val="auto"/>
                <w:szCs w:val="21"/>
                <w:highlight w:val="none"/>
                <w:u w:val="single"/>
                <w:shd w:val="pct10" w:color="auto" w:fill="FFFFFF"/>
              </w:rPr>
            </w:pPr>
            <w:r>
              <w:rPr>
                <w:rFonts w:hint="eastAsia" w:ascii="宋体" w:hAnsi="宋体" w:cs="宋体"/>
                <w:b/>
                <w:color w:val="auto"/>
                <w:szCs w:val="21"/>
                <w:highlight w:val="none"/>
                <w:u w:val="single"/>
                <w:shd w:val="pct10" w:color="auto" w:fill="FFFFFF"/>
              </w:rPr>
              <w:t>3.如投标人提供的证书扫描件或社保证明材料因模糊不清而造成评标委员会在评审时做出对投标人不利的评审由投标人自行承担。</w:t>
            </w:r>
          </w:p>
          <w:p>
            <w:pPr>
              <w:jc w:val="left"/>
              <w:rPr>
                <w:rFonts w:ascii="宋体" w:hAnsi="宋体" w:cs="宋体"/>
                <w:bCs/>
                <w:color w:val="auto"/>
                <w:szCs w:val="21"/>
                <w:highlight w:val="none"/>
              </w:rPr>
            </w:pPr>
            <w:r>
              <w:rPr>
                <w:rFonts w:hint="eastAsia" w:ascii="宋体" w:hAnsi="宋体" w:cs="宋体"/>
                <w:b/>
                <w:color w:val="auto"/>
                <w:szCs w:val="21"/>
                <w:highlight w:val="none"/>
                <w:u w:val="single"/>
                <w:shd w:val="pct10" w:color="auto" w:fill="FFFFFF"/>
              </w:rPr>
              <w:t>4.</w:t>
            </w:r>
            <w:r>
              <w:rPr>
                <w:rFonts w:hint="eastAsia" w:ascii="宋体" w:hAnsi="宋体" w:cs="宋体"/>
                <w:b/>
                <w:color w:val="auto"/>
                <w:szCs w:val="21"/>
                <w:highlight w:val="none"/>
                <w:u w:val="single"/>
                <w:shd w:val="pct10" w:color="auto" w:fill="FFFFFF"/>
                <w:lang w:val="zh-CN"/>
              </w:rPr>
              <w:t>提供拟投入本项目的项目组人员常驻</w:t>
            </w:r>
            <w:r>
              <w:rPr>
                <w:rFonts w:hint="eastAsia" w:ascii="宋体" w:hAnsi="宋体" w:cs="宋体"/>
                <w:b/>
                <w:color w:val="auto"/>
                <w:szCs w:val="21"/>
                <w:highlight w:val="none"/>
                <w:u w:val="single"/>
                <w:shd w:val="pct10" w:color="auto" w:fill="FFFFFF"/>
              </w:rPr>
              <w:t>临海市</w:t>
            </w:r>
            <w:r>
              <w:rPr>
                <w:rFonts w:hint="eastAsia" w:ascii="宋体" w:hAnsi="宋体" w:cs="宋体"/>
                <w:b/>
                <w:color w:val="auto"/>
                <w:szCs w:val="21"/>
                <w:highlight w:val="none"/>
                <w:u w:val="single"/>
                <w:shd w:val="pct10" w:color="auto" w:fill="FFFFFF"/>
                <w:lang w:val="zh-CN"/>
              </w:rPr>
              <w:t>承诺书（格式自拟）及人员名单，常驻</w:t>
            </w:r>
            <w:r>
              <w:rPr>
                <w:rFonts w:hint="eastAsia" w:ascii="宋体" w:hAnsi="宋体" w:cs="宋体"/>
                <w:b/>
                <w:color w:val="auto"/>
                <w:szCs w:val="21"/>
                <w:highlight w:val="none"/>
                <w:u w:val="single"/>
                <w:shd w:val="pct10" w:color="auto" w:fill="FFFFFF"/>
              </w:rPr>
              <w:t>临海市</w:t>
            </w:r>
            <w:r>
              <w:rPr>
                <w:rFonts w:hint="eastAsia" w:ascii="宋体" w:hAnsi="宋体" w:cs="宋体"/>
                <w:b/>
                <w:color w:val="auto"/>
                <w:szCs w:val="21"/>
                <w:highlight w:val="none"/>
                <w:u w:val="single"/>
                <w:shd w:val="pct10" w:color="auto" w:fill="FFFFFF"/>
                <w:lang w:val="zh-CN"/>
              </w:rPr>
              <w:t>的专业人员（</w:t>
            </w:r>
            <w:r>
              <w:rPr>
                <w:rFonts w:hint="eastAsia" w:ascii="宋体" w:hAnsi="宋体" w:cs="宋体"/>
                <w:b/>
                <w:color w:val="auto"/>
                <w:szCs w:val="21"/>
                <w:highlight w:val="none"/>
                <w:u w:val="single"/>
                <w:shd w:val="pct10" w:color="auto" w:fill="FFFFFF"/>
              </w:rPr>
              <w:t>具体要求详见招标需求</w:t>
            </w:r>
            <w:r>
              <w:rPr>
                <w:rFonts w:hint="eastAsia" w:ascii="宋体" w:hAnsi="宋体" w:cs="宋体"/>
                <w:b/>
                <w:color w:val="auto"/>
                <w:szCs w:val="21"/>
                <w:highlight w:val="none"/>
                <w:u w:val="single"/>
                <w:shd w:val="pct10" w:color="auto" w:fill="FFFFFF"/>
                <w:lang w:val="zh-CN"/>
              </w:rPr>
              <w:t>）均应在常驻</w:t>
            </w:r>
            <w:r>
              <w:rPr>
                <w:rFonts w:hint="eastAsia" w:ascii="宋体" w:hAnsi="宋体" w:cs="宋体"/>
                <w:b/>
                <w:color w:val="auto"/>
                <w:szCs w:val="21"/>
                <w:highlight w:val="none"/>
                <w:u w:val="single"/>
                <w:shd w:val="pct10" w:color="auto" w:fill="FFFFFF"/>
              </w:rPr>
              <w:t>临海市</w:t>
            </w:r>
            <w:r>
              <w:rPr>
                <w:rFonts w:hint="eastAsia" w:ascii="宋体" w:hAnsi="宋体" w:cs="宋体"/>
                <w:b/>
                <w:color w:val="auto"/>
                <w:szCs w:val="21"/>
                <w:highlight w:val="none"/>
                <w:u w:val="single"/>
                <w:shd w:val="pct10" w:color="auto" w:fill="FFFFFF"/>
                <w:lang w:val="zh-CN"/>
              </w:rPr>
              <w:t>承诺书上签字，并明确相关事宜联系人员。</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1131"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拟投入本项目的设备</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
                <w:color w:val="auto"/>
                <w:szCs w:val="21"/>
                <w:highlight w:val="none"/>
                <w:u w:val="single"/>
                <w:lang w:val="zh-CN"/>
              </w:rPr>
            </w:pPr>
            <w:r>
              <w:rPr>
                <w:rFonts w:hint="eastAsia" w:ascii="宋体" w:hAnsi="宋体" w:cs="宋体"/>
                <w:bCs/>
                <w:color w:val="auto"/>
                <w:szCs w:val="21"/>
                <w:highlight w:val="none"/>
              </w:rPr>
              <w:t>根据供应商拟投入本项目服务所需的专业车辆、消防设施检测设备、气体报警器联动事故风机测试设备（可燃、有毒）等配置是否齐全、先进，数量是否满足消防验收检测要求进行评分（0-5分）。</w:t>
            </w:r>
            <w:r>
              <w:rPr>
                <w:rFonts w:hint="eastAsia" w:ascii="宋体" w:hAnsi="宋体" w:cs="宋体"/>
                <w:b/>
                <w:color w:val="auto"/>
                <w:szCs w:val="21"/>
                <w:highlight w:val="none"/>
              </w:rPr>
              <w:t>（应为自有设备，提供设备发票及车辆行驶证扫描件并加盖公章，否则不得分）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5分</w:t>
            </w:r>
          </w:p>
        </w:tc>
      </w:tr>
      <w:tr>
        <w:tblPrEx>
          <w:tblCellMar>
            <w:top w:w="0" w:type="dxa"/>
            <w:left w:w="108" w:type="dxa"/>
            <w:bottom w:w="0" w:type="dxa"/>
            <w:right w:w="108" w:type="dxa"/>
          </w:tblCellMar>
        </w:tblPrEx>
        <w:trPr>
          <w:trHeight w:val="67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highlight w:val="none"/>
              </w:rPr>
              <w:t>组织实施方案</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Cs/>
                <w:color w:val="auto"/>
                <w:szCs w:val="21"/>
                <w:highlight w:val="none"/>
                <w:lang w:val="zh-CN"/>
              </w:rPr>
            </w:pPr>
            <w:r>
              <w:rPr>
                <w:rFonts w:hint="eastAsia" w:ascii="宋体" w:hAnsi="宋体" w:cs="宋体"/>
                <w:color w:val="auto"/>
                <w:szCs w:val="21"/>
                <w:highlight w:val="none"/>
              </w:rPr>
              <w:t>服务内容认知：根据招标文件要求，分析本项目服务内容，结合本项目实际剖析服务重点、难点，明确验收实施思路；评委专家根据投标人提供的内容进行打分（0-5分）。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63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
                <w:color w:val="auto"/>
                <w:szCs w:val="21"/>
                <w:highlight w:val="none"/>
              </w:rPr>
            </w:pPr>
            <w:r>
              <w:rPr>
                <w:rFonts w:hint="eastAsia" w:ascii="宋体" w:hAnsi="宋体" w:cs="宋体"/>
                <w:color w:val="auto"/>
                <w:szCs w:val="21"/>
                <w:highlight w:val="none"/>
              </w:rPr>
              <w:t>服务方案编制：根据高层住宅、大型商业综合体、危化等建设工程项目性质和特点提供项目技术服务方案，识别消防安全风险、制定验收程序、明确验收检测节点等，做到重点突出</w:t>
            </w:r>
            <w:r>
              <w:rPr>
                <w:rFonts w:hint="eastAsia" w:ascii="宋体" w:hAnsi="宋体" w:cs="宋体"/>
                <w:bCs/>
                <w:color w:val="auto"/>
                <w:szCs w:val="21"/>
                <w:highlight w:val="none"/>
              </w:rPr>
              <w:t>、验收检测评定过程规范科学，技术报告提交流程规范高效。要求根据</w:t>
            </w:r>
            <w:r>
              <w:rPr>
                <w:rFonts w:hint="eastAsia" w:ascii="宋体" w:hAnsi="宋体" w:cs="宋体"/>
                <w:color w:val="auto"/>
                <w:szCs w:val="21"/>
                <w:highlight w:val="none"/>
              </w:rPr>
              <w:t>建设项目性质和特点</w:t>
            </w:r>
            <w:r>
              <w:rPr>
                <w:rFonts w:hint="eastAsia" w:ascii="宋体" w:hAnsi="宋体" w:cs="宋体"/>
                <w:bCs/>
                <w:color w:val="auto"/>
                <w:szCs w:val="21"/>
                <w:highlight w:val="none"/>
              </w:rPr>
              <w:t>提供技术服务方案文本模板，模板应明确技术报告流程等内容</w:t>
            </w:r>
            <w:r>
              <w:rPr>
                <w:rFonts w:hint="eastAsia" w:ascii="宋体" w:hAnsi="宋体" w:cs="宋体"/>
                <w:color w:val="auto"/>
                <w:szCs w:val="21"/>
                <w:highlight w:val="none"/>
              </w:rPr>
              <w:t>；评委专家根据投标人提供的内容进行打分（0-5分）。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681"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color w:val="auto"/>
                <w:szCs w:val="21"/>
                <w:highlight w:val="none"/>
              </w:rPr>
            </w:pPr>
            <w:r>
              <w:rPr>
                <w:rFonts w:hint="eastAsia" w:ascii="宋体" w:hAnsi="宋体" w:cs="宋体"/>
                <w:bCs/>
                <w:color w:val="auto"/>
                <w:szCs w:val="21"/>
                <w:highlight w:val="none"/>
              </w:rPr>
              <w:t>进度计划安排：评委根据项目服务方案，明确项目进度安排及各阶段详细工作计划，进度安排应快速合理、按规定时间完成技术服务、提交服务成果等情况进行打分</w:t>
            </w:r>
            <w:r>
              <w:rPr>
                <w:rFonts w:hint="eastAsia" w:ascii="宋体" w:hAnsi="宋体" w:cs="宋体"/>
                <w:color w:val="auto"/>
                <w:szCs w:val="21"/>
                <w:highlight w:val="none"/>
              </w:rPr>
              <w:t>(0-5分)。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51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color w:val="auto"/>
                <w:szCs w:val="21"/>
                <w:highlight w:val="none"/>
              </w:rPr>
            </w:pPr>
            <w:r>
              <w:rPr>
                <w:rFonts w:hint="eastAsia" w:ascii="宋体" w:hAnsi="宋体" w:cs="宋体"/>
                <w:color w:val="auto"/>
                <w:szCs w:val="21"/>
                <w:highlight w:val="none"/>
              </w:rPr>
              <w:t>服务成果提交：理解服务内容及要求，编制的相关技术服务报告应突出关键和重点，体现技术服务成效。要求提供技术服务报告的文本模板；评委专家根据投标人提供的内容进行打分（0-4分）。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61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color w:val="auto"/>
                <w:szCs w:val="21"/>
                <w:highlight w:val="none"/>
              </w:rPr>
            </w:pPr>
            <w:r>
              <w:rPr>
                <w:rFonts w:hint="eastAsia" w:ascii="宋体" w:hAnsi="宋体" w:cs="宋体"/>
                <w:bCs/>
                <w:color w:val="auto"/>
                <w:szCs w:val="21"/>
                <w:highlight w:val="none"/>
              </w:rPr>
              <w:t>技术服务支撑:根据以往验收过程发现的消防问题，提供技术咨询和疑难问题处理支撑服务，协助采购人做好消防行政管理工作；</w:t>
            </w:r>
            <w:r>
              <w:rPr>
                <w:rFonts w:hint="eastAsia" w:ascii="宋体" w:hAnsi="宋体" w:cs="宋体"/>
                <w:color w:val="auto"/>
                <w:szCs w:val="21"/>
                <w:highlight w:val="none"/>
              </w:rPr>
              <w:t>评委专家根据投标人提供的内容进行打分（0-5分）。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61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color w:val="auto"/>
                <w:szCs w:val="21"/>
                <w:highlight w:val="none"/>
              </w:rPr>
            </w:pPr>
            <w:r>
              <w:rPr>
                <w:rFonts w:hint="eastAsia" w:ascii="宋体" w:hAnsi="宋体" w:cs="宋体"/>
                <w:color w:val="auto"/>
                <w:szCs w:val="21"/>
                <w:highlight w:val="none"/>
              </w:rPr>
              <w:t>服务质量保障：按照招标文件要求，根据供应商针对本项目服务提出的组织机构、质量目标</w:t>
            </w:r>
            <w:r>
              <w:rPr>
                <w:rFonts w:hint="eastAsia" w:ascii="宋体" w:hAnsi="宋体" w:cs="宋体"/>
                <w:bCs/>
                <w:color w:val="auto"/>
                <w:szCs w:val="21"/>
                <w:highlight w:val="none"/>
              </w:rPr>
              <w:t>、质量管理制度</w:t>
            </w:r>
            <w:r>
              <w:rPr>
                <w:rFonts w:hint="eastAsia" w:ascii="宋体" w:hAnsi="宋体" w:cs="宋体"/>
                <w:color w:val="auto"/>
                <w:szCs w:val="21"/>
                <w:highlight w:val="none"/>
              </w:rPr>
              <w:t>及服务质量保障措施进行评分(0-5分)。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578"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340" w:lineRule="exact"/>
              <w:rPr>
                <w:rFonts w:ascii="宋体" w:hAnsi="宋体" w:cs="宋体"/>
                <w:b/>
                <w:color w:val="auto"/>
                <w:szCs w:val="21"/>
                <w:highlight w:val="none"/>
              </w:rPr>
            </w:pPr>
            <w:r>
              <w:rPr>
                <w:rFonts w:hint="eastAsia" w:ascii="宋体" w:hAnsi="宋体" w:cs="宋体"/>
                <w:color w:val="auto"/>
                <w:szCs w:val="21"/>
                <w:highlight w:val="none"/>
              </w:rPr>
              <w:t>风险防控措施：根据供应商针对项目消防验收技术服务提出的风险控制预案及保障措施，能否确保项目消防验收技术服务目标按时达成，能否得到有效保障进行评分(0-4分)。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288"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bCs/>
                <w:color w:val="auto"/>
                <w:highlight w:val="none"/>
              </w:rPr>
              <w:t>管理制度</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rPr>
                <w:rFonts w:ascii="宋体" w:hAnsi="宋体" w:cs="宋体"/>
                <w:bCs/>
                <w:color w:val="auto"/>
                <w:highlight w:val="none"/>
              </w:rPr>
            </w:pPr>
            <w:r>
              <w:rPr>
                <w:rFonts w:hint="eastAsia" w:ascii="宋体" w:hAnsi="宋体" w:cs="宋体"/>
                <w:bCs/>
                <w:color w:val="auto"/>
                <w:highlight w:val="none"/>
              </w:rPr>
              <w:t>根据供应商提出的消防验收服务项目档案资料管理制度是否满足项目要求、是否详细完备等进行评分（0-4分）。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u w:val="single"/>
                <w:shd w:val="pct10" w:color="auto" w:fill="FFFFFF"/>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13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278"/>
              <w:rPr>
                <w:rFonts w:hAnsi="宋体"/>
                <w:bCs/>
                <w:color w:val="auto"/>
                <w:kern w:val="2"/>
                <w:sz w:val="21"/>
                <w:highlight w:val="none"/>
              </w:rPr>
            </w:pPr>
            <w:r>
              <w:rPr>
                <w:rFonts w:hint="eastAsia" w:hAnsi="宋体"/>
                <w:bCs/>
                <w:color w:val="auto"/>
                <w:kern w:val="2"/>
                <w:sz w:val="21"/>
                <w:highlight w:val="none"/>
              </w:rPr>
              <w:t>根据供应商提出的防止出具虚假报告、不按规定响应服务、转包服务等违规行为的监管制度、措施和惩治办法是否到位进行评分（0-4分）。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u w:val="single"/>
                <w:shd w:val="pct10" w:color="auto" w:fill="FFFFFF"/>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16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Cs w:val="21"/>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278"/>
              <w:rPr>
                <w:rFonts w:hAnsi="宋体"/>
                <w:bCs/>
                <w:color w:val="auto"/>
                <w:kern w:val="2"/>
                <w:sz w:val="21"/>
                <w:highlight w:val="none"/>
              </w:rPr>
            </w:pPr>
            <w:r>
              <w:rPr>
                <w:rFonts w:hint="eastAsia" w:hAnsi="宋体"/>
                <w:bCs/>
                <w:color w:val="auto"/>
                <w:kern w:val="2"/>
                <w:sz w:val="21"/>
                <w:highlight w:val="none"/>
              </w:rPr>
              <w:t>根据供应商提出的人员管理方案，人员考核方案、合同执行期间的人员数量保障方案、本地化服务人员专业能力、人员管理规范、人员培训计划的合理性等内容是否完善进行评分（0-4分）。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39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bCs/>
                <w:color w:val="auto"/>
                <w:highlight w:val="none"/>
              </w:rPr>
              <w:t>突发事件应急预案</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Cs/>
                <w:color w:val="auto"/>
                <w:szCs w:val="21"/>
                <w:highlight w:val="none"/>
              </w:rPr>
            </w:pPr>
            <w:r>
              <w:rPr>
                <w:rFonts w:hint="eastAsia" w:ascii="宋体" w:hAnsi="宋体" w:cs="宋体"/>
                <w:color w:val="auto"/>
                <w:szCs w:val="21"/>
                <w:highlight w:val="none"/>
              </w:rPr>
              <w:t>根据各投标人制定的突发事件应急预案进行评分</w:t>
            </w:r>
            <w:r>
              <w:rPr>
                <w:rFonts w:hint="eastAsia" w:ascii="宋体" w:hAnsi="宋体" w:cs="宋体"/>
                <w:bCs/>
                <w:color w:val="auto"/>
                <w:highlight w:val="none"/>
              </w:rPr>
              <w:t>（0-5分）。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5分</w:t>
            </w:r>
          </w:p>
        </w:tc>
      </w:tr>
      <w:tr>
        <w:tblPrEx>
          <w:tblCellMar>
            <w:top w:w="0" w:type="dxa"/>
            <w:left w:w="108" w:type="dxa"/>
            <w:bottom w:w="0" w:type="dxa"/>
            <w:right w:w="108" w:type="dxa"/>
          </w:tblCellMar>
        </w:tblPrEx>
        <w:trPr>
          <w:trHeight w:val="9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color w:val="auto"/>
                <w:szCs w:val="21"/>
                <w:highlight w:val="none"/>
              </w:rPr>
            </w:pPr>
            <w:r>
              <w:rPr>
                <w:rFonts w:hint="eastAsia" w:ascii="宋体" w:hAnsi="宋体" w:cs="宋体"/>
                <w:bCs/>
                <w:color w:val="auto"/>
                <w:highlight w:val="none"/>
              </w:rPr>
              <w:t>服务承诺</w:t>
            </w: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
                <w:color w:val="auto"/>
                <w:szCs w:val="21"/>
                <w:highlight w:val="none"/>
              </w:rPr>
            </w:pPr>
            <w:r>
              <w:rPr>
                <w:rFonts w:hint="eastAsia" w:ascii="宋体" w:hAnsi="宋体" w:cs="宋体"/>
                <w:bCs/>
                <w:color w:val="auto"/>
                <w:szCs w:val="21"/>
                <w:highlight w:val="none"/>
              </w:rPr>
              <w:t>根据投标人本地化服务能力、人员配备、日常运维、售后服务响应时间等情况</w:t>
            </w:r>
            <w:r>
              <w:rPr>
                <w:rFonts w:hint="eastAsia" w:ascii="宋体" w:hAnsi="宋体" w:cs="宋体"/>
                <w:color w:val="auto"/>
                <w:szCs w:val="21"/>
                <w:highlight w:val="none"/>
              </w:rPr>
              <w:t>进行打分（0-4分）。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4分</w:t>
            </w:r>
          </w:p>
        </w:tc>
      </w:tr>
      <w:tr>
        <w:tblPrEx>
          <w:tblCellMar>
            <w:top w:w="0" w:type="dxa"/>
            <w:left w:w="108" w:type="dxa"/>
            <w:bottom w:w="0" w:type="dxa"/>
            <w:right w:w="108" w:type="dxa"/>
          </w:tblCellMar>
        </w:tblPrEx>
        <w:trPr>
          <w:trHeight w:val="428"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highlight w:val="none"/>
              </w:rPr>
            </w:pPr>
          </w:p>
        </w:tc>
        <w:tc>
          <w:tcPr>
            <w:tcW w:w="640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b/>
                <w:color w:val="auto"/>
                <w:szCs w:val="21"/>
                <w:highlight w:val="none"/>
              </w:rPr>
            </w:pPr>
            <w:r>
              <w:rPr>
                <w:rFonts w:hint="eastAsia" w:ascii="宋体" w:hAnsi="宋体" w:cs="宋体"/>
                <w:bCs/>
                <w:color w:val="auto"/>
                <w:szCs w:val="21"/>
                <w:highlight w:val="none"/>
              </w:rPr>
              <w:t>根据供应商承诺提供的后续技术支持、其他优惠条件等情况进行评分（0-4分）。</w:t>
            </w:r>
          </w:p>
        </w:tc>
        <w:tc>
          <w:tcPr>
            <w:tcW w:w="6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4分</w:t>
            </w:r>
          </w:p>
        </w:tc>
      </w:tr>
      <w:bookmarkEnd w:id="47"/>
    </w:tbl>
    <w:p>
      <w:pPr>
        <w:spacing w:line="420" w:lineRule="exact"/>
        <w:rPr>
          <w:rFonts w:hAnsi="宋体"/>
          <w:b/>
          <w:bCs/>
          <w:color w:val="auto"/>
          <w:szCs w:val="21"/>
          <w:highlight w:val="none"/>
        </w:rPr>
      </w:pPr>
    </w:p>
    <w:p>
      <w:pPr>
        <w:spacing w:line="420" w:lineRule="exact"/>
        <w:rPr>
          <w:rFonts w:hAnsi="宋体"/>
          <w:b/>
          <w:bCs/>
          <w:color w:val="auto"/>
          <w:szCs w:val="21"/>
          <w:highlight w:val="none"/>
        </w:rPr>
      </w:pPr>
      <w:r>
        <w:rPr>
          <w:rFonts w:hint="eastAsia" w:hAnsi="宋体"/>
          <w:b/>
          <w:bCs/>
          <w:color w:val="auto"/>
          <w:szCs w:val="21"/>
          <w:highlight w:val="none"/>
        </w:rPr>
        <w:t>提示：</w:t>
      </w:r>
    </w:p>
    <w:p>
      <w:pPr>
        <w:spacing w:line="420" w:lineRule="exact"/>
        <w:rPr>
          <w:rFonts w:hAnsi="宋体"/>
          <w:b/>
          <w:bCs/>
          <w:color w:val="auto"/>
          <w:szCs w:val="21"/>
          <w:highlight w:val="none"/>
          <w:u w:val="single"/>
        </w:rPr>
      </w:pPr>
      <w:r>
        <w:rPr>
          <w:rFonts w:hAnsi="宋体"/>
          <w:b/>
          <w:bCs/>
          <w:color w:val="auto"/>
          <w:szCs w:val="21"/>
          <w:highlight w:val="none"/>
          <w:u w:val="single"/>
        </w:rPr>
        <w:t>1</w:t>
      </w:r>
      <w:r>
        <w:rPr>
          <w:rFonts w:hint="eastAsia" w:hAnsi="宋体"/>
          <w:b/>
          <w:bCs/>
          <w:color w:val="auto"/>
          <w:szCs w:val="21"/>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20" w:lineRule="exact"/>
        <w:rPr>
          <w:rFonts w:hAnsi="宋体"/>
          <w:b/>
          <w:bCs/>
          <w:color w:val="auto"/>
          <w:szCs w:val="21"/>
          <w:highlight w:val="none"/>
          <w:u w:val="single"/>
          <w:shd w:val="pct10" w:color="auto" w:fill="FFFFFF"/>
        </w:rPr>
      </w:pPr>
      <w:r>
        <w:rPr>
          <w:rFonts w:hAnsi="宋体"/>
          <w:b/>
          <w:bCs/>
          <w:color w:val="auto"/>
          <w:szCs w:val="21"/>
          <w:highlight w:val="none"/>
          <w:u w:val="single"/>
          <w:shd w:val="pct10" w:color="auto" w:fill="FFFFFF"/>
        </w:rPr>
        <w:t>2</w:t>
      </w:r>
      <w:r>
        <w:rPr>
          <w:rFonts w:hint="eastAsia" w:hAnsi="宋体"/>
          <w:b/>
          <w:bCs/>
          <w:color w:val="auto"/>
          <w:szCs w:val="21"/>
          <w:highlight w:val="none"/>
          <w:u w:val="single"/>
          <w:shd w:val="pct10" w:color="auto" w:fill="FFFFFF"/>
        </w:rPr>
        <w:t>、投标人提交的所有投标文件、资料（包括所有证书、合同、报告等）都是准确、真实、合规的，如提供虚假资料，投标人需承担一切后果。</w:t>
      </w:r>
    </w:p>
    <w:p>
      <w:pPr>
        <w:spacing w:line="420" w:lineRule="exact"/>
        <w:rPr>
          <w:rFonts w:ascii="宋体" w:hAnsi="宋体"/>
          <w:b/>
          <w:bCs/>
          <w:color w:val="auto"/>
          <w:szCs w:val="21"/>
          <w:highlight w:val="none"/>
          <w:u w:val="single"/>
          <w:shd w:val="pct10" w:color="auto" w:fill="FFFFFF"/>
        </w:rPr>
      </w:pPr>
      <w:r>
        <w:rPr>
          <w:rFonts w:hAnsi="宋体"/>
          <w:b/>
          <w:bCs/>
          <w:color w:val="auto"/>
          <w:szCs w:val="21"/>
          <w:highlight w:val="none"/>
          <w:u w:val="single"/>
          <w:shd w:val="pct10" w:color="auto" w:fill="FFFFFF"/>
        </w:rPr>
        <w:t>3</w:t>
      </w:r>
      <w:r>
        <w:rPr>
          <w:rFonts w:hint="eastAsia" w:hAnsi="宋体"/>
          <w:b/>
          <w:bCs/>
          <w:color w:val="auto"/>
          <w:szCs w:val="21"/>
          <w:highlight w:val="none"/>
          <w:u w:val="single"/>
          <w:shd w:val="pct10" w:color="auto" w:fill="FFFFFF"/>
        </w:rPr>
        <w:t>、为了评审工作更加优质、高效，投标文件</w:t>
      </w:r>
      <w:r>
        <w:rPr>
          <w:rFonts w:hint="eastAsia" w:ascii="宋体" w:hAnsi="宋体"/>
          <w:b/>
          <w:bCs/>
          <w:color w:val="auto"/>
          <w:szCs w:val="21"/>
          <w:highlight w:val="none"/>
          <w:u w:val="single"/>
          <w:shd w:val="pct10" w:color="auto" w:fill="FFFFFF"/>
        </w:rPr>
        <w:t>张数建议不要超过150张。</w:t>
      </w:r>
    </w:p>
    <w:p>
      <w:pPr>
        <w:spacing w:line="420" w:lineRule="exact"/>
        <w:rPr>
          <w:rFonts w:hAnsi="宋体"/>
          <w:b/>
          <w:bCs/>
          <w:color w:val="auto"/>
          <w:szCs w:val="21"/>
          <w:highlight w:val="none"/>
          <w:u w:val="single"/>
          <w:shd w:val="pct10" w:color="auto" w:fill="FFFFFF"/>
          <w:lang w:val="zh-CN"/>
        </w:rPr>
      </w:pPr>
      <w:r>
        <w:rPr>
          <w:rFonts w:hint="eastAsia" w:hAnsi="宋体"/>
          <w:b/>
          <w:bCs/>
          <w:color w:val="auto"/>
          <w:szCs w:val="21"/>
          <w:highlight w:val="none"/>
          <w:u w:val="single"/>
          <w:shd w:val="pct10" w:color="auto" w:fill="FFFFFF"/>
          <w:lang w:val="zh-CN"/>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line="420" w:lineRule="exact"/>
        <w:ind w:right="480" w:firstLine="316" w:firstLineChars="150"/>
        <w:rPr>
          <w:rFonts w:ascii="宋体" w:hAnsi="宋体"/>
          <w:b/>
          <w:bCs/>
          <w:color w:val="auto"/>
          <w:szCs w:val="21"/>
          <w:highlight w:val="none"/>
        </w:rPr>
      </w:pPr>
      <w:r>
        <w:rPr>
          <w:rFonts w:hint="eastAsia" w:ascii="宋体" w:hAnsi="宋体"/>
          <w:b/>
          <w:bCs/>
          <w:color w:val="auto"/>
          <w:szCs w:val="21"/>
          <w:highlight w:val="none"/>
        </w:rPr>
        <w:t>（三）商务技术分的计算方式</w:t>
      </w:r>
    </w:p>
    <w:p>
      <w:pPr>
        <w:spacing w:line="420" w:lineRule="exact"/>
        <w:ind w:firstLine="495"/>
        <w:rPr>
          <w:rFonts w:ascii="宋体" w:hAnsi="宋体"/>
          <w:color w:val="auto"/>
          <w:szCs w:val="21"/>
          <w:highlight w:val="none"/>
        </w:rPr>
      </w:pPr>
      <w:r>
        <w:rPr>
          <w:rFonts w:hint="eastAsia" w:ascii="宋体" w:hAnsi="宋体"/>
          <w:color w:val="auto"/>
          <w:szCs w:val="21"/>
          <w:highlight w:val="none"/>
        </w:rPr>
        <w:t>商务技术分按照评标委员会成员的独立评分结果汇总后，取全部评标委员会成员评分值的算术平均分，计算公式为：</w:t>
      </w:r>
    </w:p>
    <w:p>
      <w:pPr>
        <w:spacing w:line="420" w:lineRule="exact"/>
        <w:ind w:firstLine="495"/>
        <w:rPr>
          <w:rFonts w:ascii="宋体" w:hAnsi="宋体"/>
          <w:color w:val="auto"/>
          <w:szCs w:val="21"/>
          <w:highlight w:val="none"/>
        </w:rPr>
      </w:pPr>
      <w:r>
        <w:rPr>
          <w:rFonts w:hint="eastAsia" w:ascii="宋体" w:hAnsi="宋体"/>
          <w:color w:val="auto"/>
          <w:szCs w:val="21"/>
          <w:highlight w:val="none"/>
        </w:rPr>
        <w:t>商务技术分=（评标委员会所有成员评分合计数）/（评标委员会组成人员数）</w:t>
      </w:r>
    </w:p>
    <w:p>
      <w:pPr>
        <w:pStyle w:val="22"/>
        <w:spacing w:line="420" w:lineRule="exact"/>
        <w:ind w:firstLine="406" w:firstLineChars="200"/>
        <w:rPr>
          <w:rFonts w:hAnsi="宋体"/>
          <w:b/>
          <w:color w:val="auto"/>
          <w:sz w:val="21"/>
          <w:szCs w:val="21"/>
          <w:highlight w:val="none"/>
        </w:rPr>
      </w:pPr>
      <w:r>
        <w:rPr>
          <w:rFonts w:hint="eastAsia" w:hAnsi="宋体"/>
          <w:b/>
          <w:color w:val="auto"/>
          <w:sz w:val="21"/>
          <w:szCs w:val="21"/>
          <w:highlight w:val="none"/>
        </w:rPr>
        <w:t>三、投标人义务</w:t>
      </w:r>
    </w:p>
    <w:p>
      <w:pPr>
        <w:pStyle w:val="22"/>
        <w:spacing w:line="420" w:lineRule="exact"/>
        <w:ind w:firstLine="404" w:firstLineChars="200"/>
        <w:rPr>
          <w:rFonts w:hAnsi="宋体"/>
          <w:bCs/>
          <w:color w:val="auto"/>
          <w:sz w:val="21"/>
          <w:szCs w:val="21"/>
          <w:highlight w:val="none"/>
        </w:rPr>
      </w:pPr>
      <w:r>
        <w:rPr>
          <w:rFonts w:hint="eastAsia" w:hAnsi="宋体"/>
          <w:bCs/>
          <w:color w:val="auto"/>
          <w:sz w:val="21"/>
          <w:szCs w:val="21"/>
          <w:highlight w:val="none"/>
        </w:rPr>
        <w:t>评标期间，投标人应随时随地答复评标委员会的询标，解答包括有关的商务、技术问题等。</w:t>
      </w:r>
    </w:p>
    <w:p>
      <w:pPr>
        <w:pStyle w:val="22"/>
        <w:spacing w:beforeLines="50" w:afterLines="50" w:line="360" w:lineRule="auto"/>
        <w:ind w:firstLine="466" w:firstLineChars="200"/>
        <w:rPr>
          <w:b/>
          <w:color w:val="auto"/>
          <w:sz w:val="24"/>
          <w:highlight w:val="none"/>
          <w:lang w:val="zh-CN"/>
        </w:rPr>
      </w:pPr>
    </w:p>
    <w:p>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pPr>
        <w:snapToGrid w:val="0"/>
        <w:spacing w:before="100" w:beforeAutospacing="1" w:after="100" w:afterAutospacing="1" w:line="400" w:lineRule="exact"/>
        <w:rPr>
          <w:rFonts w:ascii="宋体" w:hAnsi="宋体"/>
          <w:b/>
          <w:color w:val="auto"/>
          <w:spacing w:val="-4"/>
          <w:szCs w:val="21"/>
          <w:highlight w:val="none"/>
          <w:shd w:val="pct10" w:color="auto" w:fill="FFFFFF"/>
        </w:rPr>
      </w:pPr>
      <w:r>
        <w:rPr>
          <w:rFonts w:hint="eastAsia" w:ascii="宋体" w:hAnsi="宋体"/>
          <w:b/>
          <w:color w:val="auto"/>
          <w:spacing w:val="-4"/>
          <w:szCs w:val="21"/>
          <w:highlight w:val="none"/>
          <w:shd w:val="pct10" w:color="auto" w:fill="FFFFFF"/>
        </w:rPr>
        <w:t>（重要提示：本采购项目评分索引表放在商务技术文件目录的前页，“投标人应标情况栏目” （客观分部分）请投标人务必逐项详细进行填写（请勿不填写），投标人自评分值（客观分部分）请投标人将应得分值准确自评（请勿不填写也请勿错误填写），以方便评委进行更加优质、高效的评审)</w:t>
      </w:r>
    </w:p>
    <w:p>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49"/>
        <w:tblW w:w="97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25"/>
        <w:gridCol w:w="989"/>
        <w:gridCol w:w="1131"/>
        <w:gridCol w:w="353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830" w:type="dxa"/>
            <w:gridSpan w:val="2"/>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评标内容</w:t>
            </w:r>
          </w:p>
        </w:tc>
        <w:tc>
          <w:tcPr>
            <w:tcW w:w="989" w:type="dxa"/>
            <w:vAlign w:val="center"/>
          </w:tcPr>
          <w:p>
            <w:pPr>
              <w:widowControl/>
              <w:jc w:val="center"/>
              <w:rPr>
                <w:rFonts w:ascii="宋体"/>
                <w:b/>
                <w:bCs/>
                <w:color w:val="auto"/>
                <w:szCs w:val="21"/>
                <w:highlight w:val="none"/>
              </w:rPr>
            </w:pPr>
            <w:r>
              <w:rPr>
                <w:rFonts w:hint="eastAsia" w:ascii="宋体"/>
                <w:b/>
                <w:bCs/>
                <w:color w:val="auto"/>
                <w:szCs w:val="21"/>
                <w:highlight w:val="none"/>
              </w:rPr>
              <w:t>分值</w:t>
            </w:r>
          </w:p>
        </w:tc>
        <w:tc>
          <w:tcPr>
            <w:tcW w:w="1131"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pPr>
              <w:widowControl/>
              <w:jc w:val="center"/>
              <w:rPr>
                <w:rFonts w:ascii="宋体"/>
                <w:color w:val="auto"/>
                <w:szCs w:val="21"/>
                <w:highlight w:val="none"/>
              </w:rPr>
            </w:pPr>
            <w:r>
              <w:rPr>
                <w:rFonts w:hint="eastAsia" w:ascii="宋体" w:hAnsi="宋体"/>
                <w:b/>
                <w:bCs/>
                <w:color w:val="auto"/>
                <w:szCs w:val="21"/>
                <w:highlight w:val="none"/>
              </w:rPr>
              <w:t>响应页码</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pPr>
              <w:widowControl/>
              <w:jc w:val="center"/>
              <w:rPr>
                <w:rFonts w:ascii="宋体" w:hAnsi="宋体"/>
                <w:color w:val="auto"/>
                <w:szCs w:val="21"/>
                <w:highlight w:val="none"/>
              </w:rPr>
            </w:pPr>
            <w:r>
              <w:rPr>
                <w:rFonts w:hint="eastAsia" w:ascii="宋体" w:hAnsi="宋体" w:cs="宋体"/>
                <w:b/>
                <w:bCs/>
                <w:color w:val="auto"/>
                <w:kern w:val="0"/>
                <w:sz w:val="24"/>
                <w:highlight w:val="none"/>
              </w:rPr>
              <w:t>应标情况</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b/>
                <w:bCs/>
                <w:color w:val="auto"/>
                <w:kern w:val="0"/>
                <w:sz w:val="24"/>
                <w:highlight w:val="none"/>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05" w:type="dxa"/>
            <w:vAlign w:val="center"/>
          </w:tcPr>
          <w:p>
            <w:pPr>
              <w:jc w:val="center"/>
              <w:rPr>
                <w:rFonts w:ascii="宋体" w:hAnsi="宋体"/>
                <w:bCs/>
                <w:color w:val="auto"/>
                <w:sz w:val="24"/>
                <w:highlight w:val="none"/>
              </w:rPr>
            </w:pPr>
            <w:r>
              <w:rPr>
                <w:rFonts w:ascii="宋体" w:hAnsi="宋体"/>
                <w:bCs/>
                <w:color w:val="auto"/>
                <w:sz w:val="24"/>
                <w:highlight w:val="none"/>
              </w:rPr>
              <w:t>1</w:t>
            </w:r>
          </w:p>
        </w:tc>
        <w:tc>
          <w:tcPr>
            <w:tcW w:w="2325" w:type="dxa"/>
            <w:vAlign w:val="center"/>
          </w:tcPr>
          <w:p>
            <w:pPr>
              <w:widowControl/>
              <w:jc w:val="center"/>
              <w:textAlignment w:val="center"/>
              <w:rPr>
                <w:color w:val="auto"/>
                <w:szCs w:val="21"/>
                <w:highlight w:val="none"/>
              </w:rPr>
            </w:pPr>
            <w:r>
              <w:rPr>
                <w:rFonts w:hint="eastAsia"/>
                <w:color w:val="auto"/>
                <w:szCs w:val="21"/>
                <w:highlight w:val="none"/>
              </w:rPr>
              <w:t>体系认证</w:t>
            </w:r>
          </w:p>
        </w:tc>
        <w:tc>
          <w:tcPr>
            <w:tcW w:w="989" w:type="dxa"/>
            <w:vAlign w:val="center"/>
          </w:tcPr>
          <w:p>
            <w:pPr>
              <w:widowControl/>
              <w:jc w:val="center"/>
              <w:textAlignment w:val="center"/>
              <w:rPr>
                <w:rFonts w:ascii="宋体"/>
                <w:color w:val="auto"/>
                <w:szCs w:val="21"/>
                <w:highlight w:val="none"/>
              </w:rPr>
            </w:pPr>
            <w:r>
              <w:rPr>
                <w:rFonts w:hint="eastAsia" w:ascii="宋体" w:hAnsi="宋体" w:cs="宋体"/>
                <w:color w:val="auto"/>
                <w:kern w:val="0"/>
                <w:szCs w:val="21"/>
                <w:highlight w:val="none"/>
              </w:rPr>
              <w:t>8分</w:t>
            </w:r>
          </w:p>
        </w:tc>
        <w:tc>
          <w:tcPr>
            <w:tcW w:w="1131" w:type="dxa"/>
            <w:vAlign w:val="center"/>
          </w:tcPr>
          <w:p>
            <w:pPr>
              <w:jc w:val="left"/>
              <w:rPr>
                <w:rFonts w:ascii="宋体"/>
                <w:bCs/>
                <w:color w:val="auto"/>
                <w:szCs w:val="21"/>
                <w:highlight w:val="none"/>
              </w:rPr>
            </w:pPr>
          </w:p>
        </w:tc>
        <w:tc>
          <w:tcPr>
            <w:tcW w:w="3536"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hAnsi="宋体" w:cs="宋体"/>
                <w:b/>
                <w:bCs/>
                <w:color w:val="auto"/>
                <w:sz w:val="24"/>
                <w:highlight w:val="none"/>
                <w:shd w:val="pct10" w:color="auto" w:fill="FFFFFF"/>
              </w:rPr>
              <w:t>投标人务必将应标证书内容逐项详细填写齐全，以方便评委进行更加优质、高效的评审</w:t>
            </w:r>
          </w:p>
        </w:tc>
        <w:tc>
          <w:tcPr>
            <w:tcW w:w="1272"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hAnsi="宋体" w:cs="宋体"/>
                <w:b/>
                <w:bCs/>
                <w:color w:val="auto"/>
                <w:sz w:val="24"/>
                <w:highlight w:val="none"/>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2</w:t>
            </w:r>
          </w:p>
        </w:tc>
        <w:tc>
          <w:tcPr>
            <w:tcW w:w="232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业绩</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1分</w:t>
            </w:r>
          </w:p>
        </w:tc>
        <w:tc>
          <w:tcPr>
            <w:tcW w:w="1131" w:type="dxa"/>
            <w:vAlign w:val="center"/>
          </w:tcPr>
          <w:p>
            <w:pPr>
              <w:jc w:val="left"/>
              <w:rPr>
                <w:rFonts w:ascii="宋体"/>
                <w:bCs/>
                <w:color w:val="auto"/>
                <w:szCs w:val="21"/>
                <w:highlight w:val="none"/>
              </w:rPr>
            </w:pPr>
          </w:p>
        </w:tc>
        <w:tc>
          <w:tcPr>
            <w:tcW w:w="3536" w:type="dxa"/>
            <w:tcBorders>
              <w:top w:val="nil"/>
              <w:left w:val="nil"/>
              <w:bottom w:val="single" w:color="auto" w:sz="4" w:space="0"/>
              <w:right w:val="single" w:color="auto" w:sz="4" w:space="0"/>
            </w:tcBorders>
            <w:vAlign w:val="center"/>
          </w:tcPr>
          <w:p>
            <w:pPr>
              <w:pStyle w:val="2"/>
              <w:ind w:firstLine="0"/>
              <w:jc w:val="center"/>
              <w:rPr>
                <w:rFonts w:ascii="宋体"/>
                <w:bCs/>
                <w:color w:val="auto"/>
                <w:szCs w:val="21"/>
                <w:highlight w:val="none"/>
              </w:rPr>
            </w:pPr>
            <w:r>
              <w:rPr>
                <w:rFonts w:hint="eastAsia" w:ascii="宋体" w:hAnsi="宋体" w:cs="宋体"/>
                <w:b/>
                <w:bCs/>
                <w:color w:val="auto"/>
                <w:sz w:val="24"/>
                <w:highlight w:val="none"/>
                <w:shd w:val="pct10" w:color="auto" w:fill="FFFFFF"/>
              </w:rPr>
              <w:t>投标人务必将应标证书内容逐项详细填写齐全，以方便评委进行更加优质、高效的评审</w:t>
            </w:r>
          </w:p>
        </w:tc>
        <w:tc>
          <w:tcPr>
            <w:tcW w:w="1272" w:type="dxa"/>
            <w:tcBorders>
              <w:top w:val="nil"/>
              <w:left w:val="nil"/>
              <w:bottom w:val="single" w:color="auto" w:sz="4" w:space="0"/>
              <w:right w:val="single" w:color="auto" w:sz="4" w:space="0"/>
            </w:tcBorders>
            <w:vAlign w:val="center"/>
          </w:tcPr>
          <w:p>
            <w:pPr>
              <w:pStyle w:val="2"/>
              <w:ind w:firstLine="0"/>
              <w:jc w:val="center"/>
              <w:rPr>
                <w:rFonts w:ascii="宋体"/>
                <w:bCs/>
                <w:color w:val="auto"/>
                <w:szCs w:val="21"/>
                <w:highlight w:val="none"/>
              </w:rPr>
            </w:pPr>
            <w:r>
              <w:rPr>
                <w:rFonts w:hint="eastAsia" w:ascii="宋体" w:hAnsi="宋体" w:cs="宋体"/>
                <w:b/>
                <w:bCs/>
                <w:color w:val="auto"/>
                <w:sz w:val="24"/>
                <w:highlight w:val="none"/>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3</w:t>
            </w:r>
          </w:p>
        </w:tc>
        <w:tc>
          <w:tcPr>
            <w:tcW w:w="2325" w:type="dxa"/>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项目组成员情况</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18分</w:t>
            </w:r>
          </w:p>
        </w:tc>
        <w:tc>
          <w:tcPr>
            <w:tcW w:w="1131" w:type="dxa"/>
            <w:vAlign w:val="center"/>
          </w:tcPr>
          <w:p>
            <w:pPr>
              <w:jc w:val="left"/>
              <w:rPr>
                <w:rFonts w:ascii="宋体"/>
                <w:bCs/>
                <w:color w:val="auto"/>
                <w:szCs w:val="21"/>
                <w:highlight w:val="none"/>
              </w:rPr>
            </w:pPr>
          </w:p>
        </w:tc>
        <w:tc>
          <w:tcPr>
            <w:tcW w:w="3536" w:type="dxa"/>
            <w:vAlign w:val="center"/>
          </w:tcPr>
          <w:p>
            <w:pPr>
              <w:pStyle w:val="2"/>
              <w:ind w:firstLine="0"/>
              <w:jc w:val="center"/>
              <w:rPr>
                <w:rFonts w:ascii="宋体"/>
                <w:bCs/>
                <w:color w:val="auto"/>
                <w:szCs w:val="21"/>
                <w:highlight w:val="none"/>
              </w:rPr>
            </w:pPr>
            <w:r>
              <w:rPr>
                <w:rFonts w:hint="eastAsia" w:ascii="宋体" w:hAnsi="宋体" w:cs="宋体"/>
                <w:b/>
                <w:bCs/>
                <w:color w:val="auto"/>
                <w:sz w:val="24"/>
                <w:highlight w:val="none"/>
                <w:shd w:val="pct10" w:color="auto" w:fill="FFFFFF"/>
              </w:rPr>
              <w:t>投标人务必将应标证书内容逐项详细填写齐全，以方便评委进行更加优质、高效的评审</w:t>
            </w:r>
          </w:p>
        </w:tc>
        <w:tc>
          <w:tcPr>
            <w:tcW w:w="1272" w:type="dxa"/>
            <w:vAlign w:val="center"/>
          </w:tcPr>
          <w:p>
            <w:pPr>
              <w:pStyle w:val="2"/>
              <w:ind w:firstLine="0"/>
              <w:jc w:val="center"/>
              <w:rPr>
                <w:rFonts w:ascii="宋体"/>
                <w:bCs/>
                <w:color w:val="auto"/>
                <w:szCs w:val="21"/>
                <w:highlight w:val="none"/>
              </w:rPr>
            </w:pPr>
            <w:r>
              <w:rPr>
                <w:rFonts w:hint="eastAsia" w:ascii="宋体" w:hAnsi="宋体" w:cs="宋体"/>
                <w:b/>
                <w:bCs/>
                <w:color w:val="auto"/>
                <w:sz w:val="24"/>
                <w:highlight w:val="none"/>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4</w:t>
            </w:r>
          </w:p>
        </w:tc>
        <w:tc>
          <w:tcPr>
            <w:tcW w:w="232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拟投入本项目的设备</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c>
          <w:tcPr>
            <w:tcW w:w="1131" w:type="dxa"/>
            <w:vAlign w:val="center"/>
          </w:tcPr>
          <w:p>
            <w:pPr>
              <w:jc w:val="left"/>
              <w:rPr>
                <w:rFonts w:ascii="宋体"/>
                <w:bCs/>
                <w:color w:val="auto"/>
                <w:szCs w:val="21"/>
                <w:highlight w:val="none"/>
              </w:rPr>
            </w:pPr>
          </w:p>
        </w:tc>
        <w:tc>
          <w:tcPr>
            <w:tcW w:w="3536" w:type="dxa"/>
            <w:tcBorders>
              <w:top w:val="nil"/>
              <w:left w:val="nil"/>
              <w:bottom w:val="single" w:color="auto" w:sz="4" w:space="0"/>
              <w:right w:val="single" w:color="auto" w:sz="4" w:space="0"/>
            </w:tcBorders>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c>
          <w:tcPr>
            <w:tcW w:w="1272" w:type="dxa"/>
            <w:tcBorders>
              <w:top w:val="nil"/>
              <w:left w:val="nil"/>
              <w:bottom w:val="single" w:color="auto" w:sz="4" w:space="0"/>
              <w:right w:val="single" w:color="auto" w:sz="4" w:space="0"/>
            </w:tcBorders>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5</w:t>
            </w:r>
          </w:p>
        </w:tc>
        <w:tc>
          <w:tcPr>
            <w:tcW w:w="232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组织实施方案</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33分</w:t>
            </w:r>
          </w:p>
        </w:tc>
        <w:tc>
          <w:tcPr>
            <w:tcW w:w="1131" w:type="dxa"/>
            <w:vAlign w:val="center"/>
          </w:tcPr>
          <w:p>
            <w:pPr>
              <w:jc w:val="left"/>
              <w:rPr>
                <w:rFonts w:ascii="宋体"/>
                <w:bCs/>
                <w:color w:val="auto"/>
                <w:szCs w:val="21"/>
                <w:highlight w:val="none"/>
              </w:rPr>
            </w:pPr>
          </w:p>
        </w:tc>
        <w:tc>
          <w:tcPr>
            <w:tcW w:w="3536"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c>
          <w:tcPr>
            <w:tcW w:w="1272"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6</w:t>
            </w:r>
          </w:p>
        </w:tc>
        <w:tc>
          <w:tcPr>
            <w:tcW w:w="232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管理制度</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12分</w:t>
            </w:r>
          </w:p>
        </w:tc>
        <w:tc>
          <w:tcPr>
            <w:tcW w:w="1131" w:type="dxa"/>
            <w:vAlign w:val="center"/>
          </w:tcPr>
          <w:p>
            <w:pPr>
              <w:jc w:val="left"/>
              <w:rPr>
                <w:rFonts w:ascii="宋体"/>
                <w:bCs/>
                <w:color w:val="auto"/>
                <w:szCs w:val="21"/>
                <w:highlight w:val="none"/>
              </w:rPr>
            </w:pPr>
          </w:p>
        </w:tc>
        <w:tc>
          <w:tcPr>
            <w:tcW w:w="3536"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c>
          <w:tcPr>
            <w:tcW w:w="1272" w:type="dxa"/>
            <w:tcBorders>
              <w:top w:val="nil"/>
              <w:left w:val="nil"/>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05" w:type="dxa"/>
            <w:vAlign w:val="center"/>
          </w:tcPr>
          <w:p>
            <w:pPr>
              <w:jc w:val="center"/>
              <w:rPr>
                <w:rFonts w:ascii="宋体"/>
                <w:bCs/>
                <w:color w:val="auto"/>
                <w:sz w:val="24"/>
                <w:highlight w:val="none"/>
              </w:rPr>
            </w:pPr>
            <w:r>
              <w:rPr>
                <w:rFonts w:hint="eastAsia" w:ascii="宋体"/>
                <w:bCs/>
                <w:color w:val="auto"/>
                <w:sz w:val="24"/>
                <w:highlight w:val="none"/>
              </w:rPr>
              <w:t>7</w:t>
            </w:r>
          </w:p>
        </w:tc>
        <w:tc>
          <w:tcPr>
            <w:tcW w:w="232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突发事件应急预案</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c>
          <w:tcPr>
            <w:tcW w:w="1131" w:type="dxa"/>
            <w:vAlign w:val="center"/>
          </w:tcPr>
          <w:p>
            <w:pPr>
              <w:jc w:val="left"/>
              <w:rPr>
                <w:rFonts w:ascii="宋体"/>
                <w:bCs/>
                <w:color w:val="auto"/>
                <w:szCs w:val="21"/>
                <w:highlight w:val="none"/>
              </w:rPr>
            </w:pPr>
          </w:p>
        </w:tc>
        <w:tc>
          <w:tcPr>
            <w:tcW w:w="3536" w:type="dxa"/>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c>
          <w:tcPr>
            <w:tcW w:w="1272" w:type="dxa"/>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5" w:type="dxa"/>
            <w:vAlign w:val="center"/>
          </w:tcPr>
          <w:p>
            <w:pPr>
              <w:jc w:val="center"/>
              <w:rPr>
                <w:rFonts w:ascii="宋体" w:hAnsi="宋体"/>
                <w:bCs/>
                <w:color w:val="auto"/>
                <w:sz w:val="24"/>
                <w:highlight w:val="none"/>
              </w:rPr>
            </w:pPr>
            <w:r>
              <w:rPr>
                <w:rFonts w:hint="eastAsia" w:ascii="宋体" w:hAnsi="宋体"/>
                <w:bCs/>
                <w:color w:val="auto"/>
                <w:sz w:val="24"/>
                <w:highlight w:val="none"/>
              </w:rPr>
              <w:t>8</w:t>
            </w:r>
          </w:p>
        </w:tc>
        <w:tc>
          <w:tcPr>
            <w:tcW w:w="232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服务承诺</w:t>
            </w:r>
          </w:p>
        </w:tc>
        <w:tc>
          <w:tcPr>
            <w:tcW w:w="989"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8分</w:t>
            </w:r>
          </w:p>
        </w:tc>
        <w:tc>
          <w:tcPr>
            <w:tcW w:w="1131" w:type="dxa"/>
            <w:vAlign w:val="center"/>
          </w:tcPr>
          <w:p>
            <w:pPr>
              <w:jc w:val="left"/>
              <w:rPr>
                <w:rFonts w:ascii="宋体"/>
                <w:bCs/>
                <w:color w:val="auto"/>
                <w:szCs w:val="21"/>
                <w:highlight w:val="none"/>
              </w:rPr>
            </w:pPr>
          </w:p>
        </w:tc>
        <w:tc>
          <w:tcPr>
            <w:tcW w:w="3536" w:type="dxa"/>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c>
          <w:tcPr>
            <w:tcW w:w="1272" w:type="dxa"/>
            <w:vAlign w:val="center"/>
          </w:tcPr>
          <w:p>
            <w:pPr>
              <w:pStyle w:val="2"/>
              <w:ind w:firstLine="0"/>
              <w:jc w:val="center"/>
              <w:rPr>
                <w:rFonts w:ascii="宋体"/>
                <w:bCs/>
                <w:color w:val="auto"/>
                <w:szCs w:val="21"/>
                <w:highlight w:val="none"/>
              </w:rPr>
            </w:pPr>
            <w:r>
              <w:rPr>
                <w:rFonts w:hint="eastAsia" w:asci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830" w:type="dxa"/>
            <w:gridSpan w:val="2"/>
            <w:vAlign w:val="center"/>
          </w:tcPr>
          <w:p>
            <w:pPr>
              <w:widowControl/>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89" w:type="dxa"/>
            <w:vAlign w:val="center"/>
          </w:tcPr>
          <w:p>
            <w:pPr>
              <w:jc w:val="center"/>
              <w:rPr>
                <w:rFonts w:ascii="宋体"/>
                <w:color w:val="auto"/>
                <w:sz w:val="24"/>
                <w:highlight w:val="none"/>
              </w:rPr>
            </w:pPr>
            <w:r>
              <w:rPr>
                <w:rFonts w:hint="eastAsia" w:ascii="宋体"/>
                <w:color w:val="auto"/>
                <w:sz w:val="24"/>
                <w:highlight w:val="none"/>
              </w:rPr>
              <w:t>90分</w:t>
            </w:r>
          </w:p>
        </w:tc>
        <w:tc>
          <w:tcPr>
            <w:tcW w:w="1131" w:type="dxa"/>
            <w:tcBorders>
              <w:right w:val="single" w:color="auto" w:sz="4" w:space="0"/>
            </w:tcBorders>
            <w:vAlign w:val="center"/>
          </w:tcPr>
          <w:p>
            <w:pPr>
              <w:pStyle w:val="2"/>
              <w:ind w:firstLine="0"/>
              <w:rPr>
                <w:rFonts w:ascii="宋体"/>
                <w:bCs/>
                <w:color w:val="auto"/>
                <w:szCs w:val="21"/>
                <w:highlight w:val="none"/>
              </w:rPr>
            </w:pPr>
          </w:p>
        </w:tc>
        <w:tc>
          <w:tcPr>
            <w:tcW w:w="353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b/>
                <w:color w:val="auto"/>
                <w:szCs w:val="21"/>
                <w:highlight w:val="none"/>
              </w:rPr>
            </w:pPr>
            <w:r>
              <w:rPr>
                <w:rFonts w:hint="eastAsia" w:ascii="宋体"/>
                <w:b/>
                <w:color w:val="auto"/>
                <w:szCs w:val="21"/>
                <w:highlight w:val="none"/>
              </w:rPr>
              <w:t>/</w:t>
            </w:r>
          </w:p>
        </w:tc>
      </w:tr>
    </w:tbl>
    <w:p>
      <w:pPr>
        <w:rPr>
          <w:rFonts w:ascii="宋体" w:hAnsi="宋体"/>
          <w:b/>
          <w:color w:val="auto"/>
          <w:sz w:val="24"/>
          <w:highlight w:val="none"/>
        </w:rPr>
      </w:pPr>
    </w:p>
    <w:p>
      <w:pPr>
        <w:jc w:val="center"/>
        <w:outlineLvl w:val="0"/>
        <w:rPr>
          <w:rFonts w:hAnsi="宋体"/>
          <w:b/>
          <w:color w:val="auto"/>
          <w:sz w:val="30"/>
          <w:szCs w:val="30"/>
          <w:highlight w:val="none"/>
        </w:rPr>
      </w:pPr>
      <w:r>
        <w:rPr>
          <w:rFonts w:hAnsi="宋体"/>
          <w:b/>
          <w:color w:val="auto"/>
          <w:sz w:val="30"/>
          <w:szCs w:val="30"/>
          <w:highlight w:val="none"/>
        </w:rPr>
        <w:br w:type="page"/>
      </w:r>
      <w:bookmarkStart w:id="48" w:name="_Toc31110"/>
      <w:r>
        <w:rPr>
          <w:rFonts w:hint="eastAsia" w:hAnsi="宋体"/>
          <w:b/>
          <w:color w:val="auto"/>
          <w:sz w:val="30"/>
          <w:szCs w:val="30"/>
          <w:highlight w:val="none"/>
        </w:rPr>
        <w:t>第五章  合同主要条款</w:t>
      </w:r>
      <w:bookmarkEnd w:id="48"/>
    </w:p>
    <w:p>
      <w:pPr>
        <w:adjustRightInd w:val="0"/>
        <w:spacing w:line="240" w:lineRule="atLeast"/>
        <w:jc w:val="center"/>
        <w:rPr>
          <w:rFonts w:hAnsi="宋体"/>
          <w:color w:val="auto"/>
          <w:sz w:val="28"/>
          <w:szCs w:val="28"/>
          <w:highlight w:val="none"/>
          <w:shd w:val="pct10" w:color="auto" w:fill="FFFFFF"/>
        </w:rPr>
      </w:pPr>
      <w:bookmarkStart w:id="49" w:name="_Toc466534751"/>
      <w:r>
        <w:rPr>
          <w:rFonts w:hint="eastAsia" w:hAnsi="宋体"/>
          <w:color w:val="auto"/>
          <w:sz w:val="28"/>
          <w:szCs w:val="28"/>
          <w:highlight w:val="none"/>
          <w:shd w:val="pct10" w:color="auto" w:fill="FFFFFF"/>
        </w:rPr>
        <w:t>（此稿为合同样本，最终定稿待双方协商后商定）</w:t>
      </w:r>
    </w:p>
    <w:p>
      <w:pPr>
        <w:spacing w:line="480" w:lineRule="exact"/>
        <w:jc w:val="center"/>
        <w:rPr>
          <w:rFonts w:hAnsi="宋体"/>
          <w:b/>
          <w:color w:val="auto"/>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甲方（采购人）：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乙方（中标人）：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见证方：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甲、乙双方根据《中华人民共和国政府采购法》、《中华人民共和国民法典》和_______________________项目公开招标文件的相关规定，双方达成一致签署本合同。</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一、服务内容</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按照《建设工程消防设计审查验收管理暂行规定》 （住房和城乡建设部令〔2023〕第58号）、《建设工程消防设计审查验收工作细则》（建科规〔2024〕3号）、《浙江省建设工程消防设计审查验收管理暂行办法》（浙建〔2020〕3号）、《台州市建设工程消防设计审查验收实施细则（试行）》（台建〔2020〕240号）等文件要求，做好临海市建设工程消防验收技术服务工作。</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二、合同金额和价款支付</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2.1 合同金额：</w:t>
      </w:r>
      <w:r>
        <w:rPr>
          <w:rFonts w:hint="eastAsia" w:hAnsi="宋体" w:cs="宋体"/>
          <w:color w:val="auto"/>
          <w:highlight w:val="none"/>
          <w:u w:val="single"/>
        </w:rPr>
        <w:t xml:space="preserve">         </w:t>
      </w:r>
      <w:r>
        <w:rPr>
          <w:rFonts w:hint="eastAsia" w:hAnsi="宋体" w:cs="宋体"/>
          <w:color w:val="auto"/>
          <w:highlight w:val="none"/>
        </w:rPr>
        <w:t>元，每平方米服务费用的单价为</w:t>
      </w:r>
      <w:r>
        <w:rPr>
          <w:rFonts w:hint="eastAsia" w:hAnsi="宋体" w:cs="宋体"/>
          <w:color w:val="auto"/>
          <w:highlight w:val="none"/>
          <w:u w:val="single"/>
        </w:rPr>
        <w:t xml:space="preserve">     </w:t>
      </w:r>
      <w:r>
        <w:rPr>
          <w:rFonts w:hint="eastAsia" w:hAnsi="宋体" w:cs="宋体"/>
          <w:color w:val="auto"/>
          <w:highlight w:val="none"/>
        </w:rPr>
        <w:t>元/平方米。</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2.2 价款包括完成全部服务内容所需的一切人工、工具、设备、保险、交通、利润、税金、其它需乙方承担的费用及潜在满足甲方监管要求可能涉及的一切费用。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结算方式：</w:t>
      </w:r>
      <w:r>
        <w:rPr>
          <w:rFonts w:hint="eastAsia" w:ascii="宋体" w:hAnsi="宋体" w:cs="宋体"/>
          <w:bCs/>
          <w:color w:val="auto"/>
          <w:sz w:val="24"/>
          <w:highlight w:val="none"/>
        </w:rPr>
        <w:t>本项目按实结算（单个项目结算费用不超过5万元）</w:t>
      </w:r>
      <w:r>
        <w:rPr>
          <w:rFonts w:hint="eastAsia" w:ascii="宋体" w:hAnsi="宋体" w:cs="宋体"/>
          <w:color w:val="auto"/>
          <w:sz w:val="24"/>
          <w:highlight w:val="none"/>
        </w:rPr>
        <w:t>，结算价以实际完成数量（甲方审核后的消防验收评定、消防备案抽中的实际数量）为准，结算价＝Σ中标单价×实际完成数量；</w:t>
      </w:r>
      <w:r>
        <w:rPr>
          <w:rFonts w:hint="eastAsia" w:ascii="宋体" w:hAnsi="宋体" w:cs="宋体"/>
          <w:color w:val="auto"/>
          <w:sz w:val="24"/>
          <w:highlight w:val="none"/>
          <w:lang w:val="zh-CN"/>
        </w:rPr>
        <w:t>如有重复开展验收（复查等）的行为，不重复计价，不影响最终结算。</w:t>
      </w:r>
      <w:r>
        <w:rPr>
          <w:rFonts w:hint="eastAsia" w:ascii="宋体" w:hAnsi="宋体" w:cs="宋体"/>
          <w:color w:val="auto"/>
          <w:sz w:val="24"/>
          <w:highlight w:val="none"/>
        </w:rPr>
        <w:t>最终结算总价不超过合同价。</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2.4 付款方法：合同生效以及具备实施条件后</w:t>
      </w:r>
      <w:r>
        <w:rPr>
          <w:rFonts w:hint="eastAsia" w:hAnsi="宋体" w:cs="宋体"/>
          <w:color w:val="auto"/>
          <w:highlight w:val="none"/>
          <w:lang w:val="en-US" w:eastAsia="zh-CN"/>
        </w:rPr>
        <w:t>7</w:t>
      </w:r>
      <w:bookmarkStart w:id="66" w:name="_GoBack"/>
      <w:bookmarkEnd w:id="66"/>
      <w:r>
        <w:rPr>
          <w:rFonts w:hint="eastAsia" w:hAnsi="宋体" w:cs="宋体"/>
          <w:color w:val="auto"/>
          <w:highlight w:val="none"/>
        </w:rPr>
        <w:t>个工作日内支付合同金额25%的预付款；</w:t>
      </w:r>
      <w:r>
        <w:rPr>
          <w:rFonts w:hint="eastAsia" w:hAnsi="宋体" w:cs="宋体"/>
          <w:bCs/>
          <w:color w:val="auto"/>
          <w:highlight w:val="none"/>
        </w:rPr>
        <w:t>每6个月结算1次，第1次采购人根据中标人实际完成数量（如有扣罚，则减去扣罚的部分，其中第1次付款时全额扣回预付款，不足部分在后续付款中扣回）待中标人向采购人交付正式发票后在次月的25日前支付结算款，第2次在中标人完成所有工作任务并无遗留质量问题，采购人根据中标人实际完成数量（如有扣罚，则减去扣罚的部分）待中标人向采购人交付正式发票后在次月的25日前一次性付清。（具体支付时间以财政拨款时间为准，</w:t>
      </w:r>
      <w:r>
        <w:rPr>
          <w:rFonts w:hint="eastAsia" w:hAnsi="宋体" w:cs="宋体"/>
          <w:color w:val="auto"/>
          <w:highlight w:val="none"/>
          <w:lang w:val="en-GB"/>
        </w:rPr>
        <w:t>因</w:t>
      </w:r>
      <w:r>
        <w:rPr>
          <w:rFonts w:hint="eastAsia" w:hAnsi="宋体" w:cs="宋体"/>
          <w:bCs/>
          <w:color w:val="auto"/>
          <w:highlight w:val="none"/>
        </w:rPr>
        <w:t>中标人</w:t>
      </w:r>
      <w:r>
        <w:rPr>
          <w:rFonts w:hint="eastAsia" w:hAnsi="宋体" w:cs="宋体"/>
          <w:color w:val="auto"/>
          <w:highlight w:val="none"/>
          <w:lang w:val="en-GB"/>
        </w:rPr>
        <w:t>未按合同</w:t>
      </w:r>
      <w:r>
        <w:rPr>
          <w:rFonts w:hint="eastAsia" w:hAnsi="宋体" w:cs="宋体"/>
          <w:color w:val="auto"/>
          <w:highlight w:val="none"/>
        </w:rPr>
        <w:t>约定</w:t>
      </w:r>
      <w:r>
        <w:rPr>
          <w:rFonts w:hint="eastAsia" w:hAnsi="宋体" w:cs="宋体"/>
          <w:color w:val="auto"/>
          <w:highlight w:val="none"/>
          <w:lang w:val="en-GB"/>
        </w:rPr>
        <w:t>履行或因</w:t>
      </w:r>
      <w:r>
        <w:rPr>
          <w:rFonts w:hint="eastAsia" w:hAnsi="宋体" w:cs="宋体"/>
          <w:bCs/>
          <w:color w:val="auto"/>
          <w:highlight w:val="none"/>
        </w:rPr>
        <w:t>财政拨款时间延迟</w:t>
      </w:r>
      <w:r>
        <w:rPr>
          <w:rFonts w:hint="eastAsia" w:hAnsi="宋体" w:cs="宋体"/>
          <w:color w:val="auto"/>
          <w:highlight w:val="none"/>
          <w:lang w:val="en-GB"/>
        </w:rPr>
        <w:t>等原因造成不能及时付款的，</w:t>
      </w:r>
      <w:r>
        <w:rPr>
          <w:rFonts w:hint="eastAsia" w:hAnsi="宋体" w:cs="宋体"/>
          <w:color w:val="auto"/>
          <w:highlight w:val="none"/>
        </w:rPr>
        <w:t>采购人</w:t>
      </w:r>
      <w:r>
        <w:rPr>
          <w:rFonts w:hint="eastAsia" w:hAnsi="宋体" w:cs="宋体"/>
          <w:color w:val="auto"/>
          <w:highlight w:val="none"/>
          <w:lang w:val="en-GB"/>
        </w:rPr>
        <w:t>不承担责任</w:t>
      </w:r>
      <w:r>
        <w:rPr>
          <w:rFonts w:hint="eastAsia" w:hAnsi="宋体" w:cs="宋体"/>
          <w:bCs/>
          <w:color w:val="auto"/>
          <w:highlight w:val="none"/>
        </w:rPr>
        <w:t>）</w:t>
      </w:r>
      <w:r>
        <w:rPr>
          <w:rFonts w:hint="eastAsia" w:hAnsi="宋体" w:cs="宋体"/>
          <w:color w:val="auto"/>
          <w:highlight w:val="none"/>
        </w:rPr>
        <w:t>。</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三、技术资料</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3.1乙方应按采购文件规定的要求、时间和方式向甲方提供有关技术资料。</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3.2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四、知识产权</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4.1乙方保证所提供的服务或其任何一部分组成均不侵犯任何第三方的知识产权。因乙方服务的知识产权引起的法律责任全部由乙方承担。</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4.2在本合同有效期内，甲方利用乙方提交的技术服务工作成果所完成的新的技术成果，归甲方所有，乙方不得以任何形式向第三方提供，否则，按国家法律和有关规定追究乙方的一切责任。</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4.3在本合同有效期内，乙方利用甲方提供的技术资料和工作条件所完成的新的技术成果，归甲、乙双方所有。</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五、履约保证金</w:t>
      </w:r>
    </w:p>
    <w:p>
      <w:pPr>
        <w:pStyle w:val="29"/>
        <w:spacing w:beforeLines="0" w:afterLines="0" w:line="360" w:lineRule="auto"/>
        <w:ind w:left="479" w:leftChars="228"/>
        <w:rPr>
          <w:rFonts w:hAnsi="宋体" w:cs="宋体"/>
          <w:color w:val="auto"/>
          <w:highlight w:val="none"/>
        </w:rPr>
      </w:pPr>
      <w:r>
        <w:rPr>
          <w:rFonts w:hint="eastAsia" w:hAnsi="宋体" w:cs="宋体"/>
          <w:color w:val="auto"/>
          <w:highlight w:val="none"/>
        </w:rPr>
        <w:t>乙方交纳成交价的</w:t>
      </w:r>
      <w:r>
        <w:rPr>
          <w:rFonts w:hint="eastAsia" w:hAnsi="宋体" w:cs="宋体"/>
          <w:b/>
          <w:color w:val="auto"/>
          <w:highlight w:val="none"/>
          <w:u w:val="single"/>
        </w:rPr>
        <w:t xml:space="preserve">       </w:t>
      </w:r>
      <w:r>
        <w:rPr>
          <w:rFonts w:hint="eastAsia" w:hAnsi="宋体" w:cs="宋体"/>
          <w:color w:val="auto"/>
          <w:highlight w:val="none"/>
        </w:rPr>
        <w:t>作为本合同的履约保证金。</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六、转包或分包</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6.1 本合同范围的服务，应由乙方直接供应，不得转让、分包或委托他人服务。</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6.2 如有转让、分包或委托服务行为，甲方有权解除合同并追究其相应法律责任。</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七、项目联系人</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7.1双方确定，在本合同有效期内，甲方指定</w:t>
      </w:r>
      <w:r>
        <w:rPr>
          <w:rFonts w:hint="eastAsia" w:hAnsi="宋体" w:cs="宋体"/>
          <w:color w:val="auto"/>
          <w:highlight w:val="none"/>
          <w:u w:val="single"/>
        </w:rPr>
        <w:t xml:space="preserve">      </w:t>
      </w:r>
      <w:r>
        <w:rPr>
          <w:rFonts w:hint="eastAsia" w:hAnsi="宋体" w:cs="宋体"/>
          <w:color w:val="auto"/>
          <w:highlight w:val="none"/>
        </w:rPr>
        <w:t>为甲方项目联系人，乙方指定</w:t>
      </w:r>
      <w:r>
        <w:rPr>
          <w:rFonts w:hint="eastAsia" w:hAnsi="宋体" w:cs="宋体"/>
          <w:color w:val="auto"/>
          <w:highlight w:val="none"/>
          <w:u w:val="single"/>
        </w:rPr>
        <w:t xml:space="preserve">       </w:t>
      </w:r>
      <w:r>
        <w:rPr>
          <w:rFonts w:hint="eastAsia" w:hAnsi="宋体" w:cs="宋体"/>
          <w:color w:val="auto"/>
          <w:highlight w:val="none"/>
        </w:rPr>
        <w:t>为乙方项目联系人。项目联系人承担以下责任：</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确保在接到甲方通知后乙方及时安排服务工作，服务完毕后及时向甲方提交第三方服务报告。</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7.2 一方变更项目联系人的，应当及时以书面形式通知另一方。未及时通知并影响本合同履行或造成损失的，应承担相应的责任。</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八、服务期、服务方式及服务地点</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8.1服务期：合同签订之日起1年。</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8.2 服务方式：依据相关规范、技术标准提供服务并出具服务报告。</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8.3 服务地点：甲方指定地点</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九、税费承担</w:t>
      </w:r>
    </w:p>
    <w:p>
      <w:pPr>
        <w:pStyle w:val="29"/>
        <w:spacing w:beforeLines="0" w:afterLines="0" w:line="360" w:lineRule="auto"/>
        <w:ind w:left="479" w:leftChars="228"/>
        <w:rPr>
          <w:rFonts w:hAnsi="宋体" w:cs="宋体"/>
          <w:color w:val="auto"/>
          <w:highlight w:val="none"/>
        </w:rPr>
      </w:pPr>
      <w:r>
        <w:rPr>
          <w:rFonts w:hint="eastAsia" w:hAnsi="宋体" w:cs="宋体"/>
          <w:color w:val="auto"/>
          <w:highlight w:val="none"/>
        </w:rPr>
        <w:t>本合同履行中相关的一切税费均由乙方承担。</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十、技术服务要求</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10.1 技术服务进度：根据甲方工作要求。</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10.2技术服务质量要求：按相关技术标准。</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10.3 技术服务质量期限要求：乙方应在接到任务单（含任务告知）后2个工作日内完成现场消防验收工作，现场验收合格后的1个工作日内（含）出具消防验收现场评定报告（含消防设施检测复核报告、消防验收现场评定表及评定记录和现场评定影像资料），出具评定报告后的3个工作日内移交项目完整的归档资料。</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10.4乙方不得从事责任主体委托的消防相关服务。</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10.5 其它要求：</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（1）乙方有义务配合甲方完成县级及以上建设行政主管部门和监督管理部门组织的消防专项检查工作。</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（2）乙方有义务根据甲方要求对完成的服务项目定期进行工作总结；对服务工作存在的问题进行分析并提出改进的合理化建议。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本项目按实结算</w:t>
      </w:r>
      <w:r>
        <w:rPr>
          <w:rFonts w:hint="eastAsia" w:ascii="宋体" w:hAnsi="宋体" w:cs="宋体"/>
          <w:color w:val="auto"/>
          <w:sz w:val="24"/>
          <w:highlight w:val="none"/>
        </w:rPr>
        <w:t>，结算价以实际完成数量（甲方审核后的消防验收评定、消防备案抽中的实际数量）为准；</w:t>
      </w:r>
      <w:r>
        <w:rPr>
          <w:rFonts w:hint="eastAsia" w:ascii="宋体" w:hAnsi="宋体" w:cs="宋体"/>
          <w:color w:val="auto"/>
          <w:sz w:val="24"/>
          <w:highlight w:val="none"/>
          <w:lang w:val="zh-CN"/>
        </w:rPr>
        <w:t>如有重复开展验收（复查等）的行为，不重复计价，不影响最终结算。</w:t>
      </w:r>
      <w:r>
        <w:rPr>
          <w:rFonts w:hint="eastAsia" w:ascii="宋体" w:hAnsi="宋体" w:cs="宋体"/>
          <w:color w:val="auto"/>
          <w:sz w:val="24"/>
          <w:highlight w:val="none"/>
        </w:rPr>
        <w:t>最终结算总价不超过合同价。</w:t>
      </w:r>
    </w:p>
    <w:p>
      <w:pPr>
        <w:pStyle w:val="29"/>
        <w:spacing w:beforeLines="0" w:afterLines="0" w:line="360" w:lineRule="auto"/>
        <w:ind w:firstLine="482" w:firstLineChars="200"/>
        <w:rPr>
          <w:rFonts w:hAnsi="宋体" w:cs="宋体"/>
          <w:b/>
          <w:bCs/>
          <w:color w:val="auto"/>
          <w:highlight w:val="none"/>
        </w:rPr>
      </w:pPr>
      <w:r>
        <w:rPr>
          <w:rFonts w:hint="eastAsia" w:hAnsi="宋体" w:cs="宋体"/>
          <w:b/>
          <w:bCs/>
          <w:color w:val="auto"/>
          <w:highlight w:val="none"/>
        </w:rPr>
        <w:t>十一、验收</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十二、风险承担</w:t>
      </w:r>
    </w:p>
    <w:p>
      <w:pPr>
        <w:pStyle w:val="29"/>
        <w:spacing w:beforeLines="0" w:afterLines="0" w:line="360" w:lineRule="auto"/>
        <w:ind w:left="479" w:leftChars="228"/>
        <w:rPr>
          <w:rFonts w:hAnsi="宋体" w:cs="宋体"/>
          <w:color w:val="auto"/>
          <w:highlight w:val="none"/>
        </w:rPr>
      </w:pPr>
      <w:r>
        <w:rPr>
          <w:rFonts w:hint="eastAsia" w:hAnsi="宋体" w:cs="宋体"/>
          <w:color w:val="auto"/>
          <w:highlight w:val="none"/>
        </w:rPr>
        <w:t>在服务期限内，乙方应对可能出现的风险自行承担一切责任。</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十三、违约责任</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13.1 甲方无故逾期验收或办理合同款支付手续的，甲方应按逾期付款总额每日万分之五向乙方支付违约金。</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13.2 除不可抗力外，乙方逾期3个工作日内（含3个工作日）交付某一工程服务的，乙方需向甲方支付逾期提供（某一工程）服务费用每日百分之十的违约金；逾期超过3日的，乙方需向甲方支付逾期提供（某一工程）服务费用百分之五十的违约金；乙方逾期5个工作日的或拒绝开展服务的，甲方有权解除合同。</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13.3 出现下列情形，致使本合同的履行成为不必要或不可能的，甲方有权根据采购文件和相应的法律法规要求对乙方进行处罚，有权提前终止合同。</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（1）在委托期间乙方发生第三方服务质量责任事故造成严重损失的；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（2）在委托期间乙方受到县级及以上的建设行政主管部门或相关管理部门通报批评、或因乙方的过失而被媒体曝光或行政处罚等处理的；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（3）在委托期间乙方被投诉存在违法违规行为，经调查属实的；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（4）在委托期间乙方被投诉存在吃拿卡要等不当行为，经调查属实的；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（5）在委托期间乙方发生接到甲方通知后未在规定时间内完成验收工作、不提交第三方服务报告、不移交归档资料等不及时或服务报告结论错误等服务质量差的情形超过三次（包括三次）的；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（6）在委托期间乙方隐瞒与受委托服务项目的责任主体已经签订和消防相关的委托合同的；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（7）在委托期间乙方出具虚假技术服务报告或失实文件，经调查查实的，并将违法行为抄告有关消防机构；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（8）在委托期间，乙方未经甲方同意，随意更换项目部人员的。</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13.4 发生上款情形的，甲方有权要求赔偿损失。</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13.5 乙方未依约提供技术资料、承担保密义务的，甲方有权要求赔偿损失。</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13.6乙方向甲方提交的成果应真实、准确，由于乙方提供的成果不实造成的甲方损失，乙方应承担赔偿责任。</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13.7由于本合同一方当事人的过错，造成本合同不能履行或者不能完全履行的，由有过错的一方依法承担违约责任；如属双方当事人的过错，则根据双方当事人过错的实际情况，由双方当事人分别承担各自应负的违约责任；若发生违约情形，违约方依法依约承担其相应法律责任后，除非守约方同意终止本合同的，本合同仍须继续履行。</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13.8如有转让或分包行为，甲方有权解除合同。如造成甲方损失的，由乙方承担赔偿责任。</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十四、不可抗力事件处理</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14.1 在合同有效期内，任何一方因不可抗力事件导致不能履行合同，则合同履行期可延长，其延长期与不可抗力影响期相同。</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14.2 不可抗力事件发生后，应立即通知对方，并寄送有关权威机构出具的证明。</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14.3 不可抗力事件延续30天以上，是否继续履行合同双方协商解决。</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十五、争议处理</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双方在履行合同中所发生的一切争议，应通过协商解决。如协商不成，可向项目所在地法院起诉。</w:t>
      </w:r>
    </w:p>
    <w:p>
      <w:pPr>
        <w:pStyle w:val="29"/>
        <w:spacing w:beforeLines="0" w:afterLines="0" w:line="360" w:lineRule="auto"/>
        <w:ind w:left="479" w:leftChars="228"/>
        <w:rPr>
          <w:rFonts w:hAnsi="宋体" w:cs="宋体"/>
          <w:b/>
          <w:bCs/>
          <w:color w:val="auto"/>
          <w:highlight w:val="none"/>
        </w:rPr>
      </w:pPr>
      <w:r>
        <w:rPr>
          <w:rFonts w:hint="eastAsia" w:hAnsi="宋体" w:cs="宋体"/>
          <w:b/>
          <w:bCs/>
          <w:color w:val="auto"/>
          <w:highlight w:val="none"/>
        </w:rPr>
        <w:t>十六、合同生效及其它</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16.1 合同经双方法定代表人（负责人）或授权委托代理人签字并加盖单位公章后生效。</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16.2 有关本合同中“项目具体要求”“其他服务要求”未写明的内容以本项目采购文件的规定为准。</w:t>
      </w:r>
    </w:p>
    <w:p>
      <w:pPr>
        <w:pStyle w:val="29"/>
        <w:spacing w:beforeLines="0" w:afterLines="0" w:line="360" w:lineRule="auto"/>
        <w:ind w:firstLine="480" w:firstLineChars="200"/>
        <w:rPr>
          <w:rFonts w:hAnsi="宋体" w:cs="宋体"/>
          <w:color w:val="auto"/>
          <w:highlight w:val="none"/>
        </w:rPr>
      </w:pPr>
      <w:r>
        <w:rPr>
          <w:rFonts w:hint="eastAsia" w:hAnsi="宋体" w:cs="宋体"/>
          <w:color w:val="auto"/>
          <w:highlight w:val="none"/>
        </w:rPr>
        <w:t>16.3 本合同未尽事宜，双方协商解决。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本合同一式六份，具有同等法律效力，甲乙双方各执二份、相关部门各执一份。</w:t>
      </w:r>
      <w:r>
        <w:rPr>
          <w:rFonts w:hint="eastAsia" w:ascii="宋体" w:hAnsi="宋体" w:cs="宋体"/>
          <w:color w:val="auto"/>
          <w:sz w:val="28"/>
          <w:szCs w:val="28"/>
          <w:highlight w:val="non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乙方：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法定（授权）代表人：                法定（授权）代表人：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签订日期：     年　  月　 日        签订日期：     年　  月　 日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见证方：</w:t>
      </w:r>
    </w:p>
    <w:p>
      <w:pPr>
        <w:pStyle w:val="29"/>
        <w:snapToGrid w:val="0"/>
        <w:spacing w:beforeLines="0" w:afterLines="0" w:line="480" w:lineRule="exact"/>
        <w:ind w:firstLine="240" w:firstLineChars="100"/>
        <w:rPr>
          <w:rFonts w:hAnsi="宋体"/>
          <w:color w:val="auto"/>
          <w:highlight w:val="none"/>
        </w:rPr>
      </w:pPr>
      <w:r>
        <w:rPr>
          <w:rFonts w:hint="eastAsia" w:hAnsi="宋体"/>
          <w:color w:val="auto"/>
          <w:highlight w:val="none"/>
        </w:rPr>
        <w:t xml:space="preserve"> </w:t>
      </w:r>
    </w:p>
    <w:p>
      <w:pPr>
        <w:pStyle w:val="29"/>
        <w:snapToGrid w:val="0"/>
        <w:spacing w:beforeLines="0" w:afterLines="0" w:line="480" w:lineRule="exact"/>
        <w:ind w:firstLine="240" w:firstLineChars="100"/>
        <w:rPr>
          <w:rFonts w:hAnsi="宋体"/>
          <w:color w:val="auto"/>
          <w:highlight w:val="none"/>
        </w:rPr>
      </w:pPr>
    </w:p>
    <w:p>
      <w:pPr>
        <w:pStyle w:val="29"/>
        <w:snapToGrid w:val="0"/>
        <w:spacing w:beforeLines="0" w:afterLines="0" w:line="440" w:lineRule="exact"/>
        <w:ind w:firstLine="241" w:firstLineChars="100"/>
        <w:rPr>
          <w:rFonts w:hAnsi="宋体"/>
          <w:b/>
          <w:bCs/>
          <w:color w:val="auto"/>
          <w:sz w:val="30"/>
          <w:szCs w:val="30"/>
          <w:highlight w:val="none"/>
        </w:rPr>
      </w:pPr>
      <w:r>
        <w:rPr>
          <w:rFonts w:hint="eastAsia" w:hAnsi="宋体"/>
          <w:b/>
          <w:bCs/>
          <w:color w:val="auto"/>
          <w:highlight w:val="none"/>
        </w:rPr>
        <w:t>附件：报价明细表</w:t>
      </w:r>
    </w:p>
    <w:p>
      <w:pPr>
        <w:pStyle w:val="30"/>
        <w:ind w:left="5250"/>
        <w:rPr>
          <w:rFonts w:hAnsi="宋体"/>
          <w:b/>
          <w:bCs/>
          <w:color w:val="auto"/>
          <w:sz w:val="30"/>
          <w:szCs w:val="30"/>
          <w:highlight w:val="none"/>
        </w:rPr>
      </w:pPr>
    </w:p>
    <w:p>
      <w:pPr>
        <w:rPr>
          <w:rFonts w:hAnsi="宋体"/>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87"/>
        <w:rPr>
          <w:b/>
          <w:bCs/>
          <w:color w:val="auto"/>
          <w:sz w:val="30"/>
          <w:szCs w:val="30"/>
          <w:highlight w:val="none"/>
        </w:rPr>
      </w:pPr>
    </w:p>
    <w:p>
      <w:pPr>
        <w:pStyle w:val="29"/>
        <w:snapToGrid w:val="0"/>
        <w:spacing w:beforeLines="0" w:afterLines="0" w:line="420" w:lineRule="exact"/>
        <w:jc w:val="center"/>
        <w:outlineLvl w:val="0"/>
        <w:rPr>
          <w:rFonts w:hAnsi="宋体"/>
          <w:b/>
          <w:color w:val="auto"/>
          <w:sz w:val="30"/>
          <w:szCs w:val="30"/>
          <w:highlight w:val="none"/>
        </w:rPr>
      </w:pPr>
      <w:bookmarkStart w:id="50" w:name="_Toc24104"/>
    </w:p>
    <w:p>
      <w:pPr>
        <w:pStyle w:val="29"/>
        <w:snapToGrid w:val="0"/>
        <w:spacing w:beforeLines="0" w:afterLines="0" w:line="420" w:lineRule="exact"/>
        <w:jc w:val="center"/>
        <w:outlineLvl w:val="0"/>
        <w:rPr>
          <w:rFonts w:hAnsi="宋体"/>
          <w:b/>
          <w:color w:val="auto"/>
          <w:sz w:val="30"/>
          <w:szCs w:val="30"/>
          <w:highlight w:val="none"/>
        </w:rPr>
      </w:pPr>
      <w:r>
        <w:rPr>
          <w:rFonts w:hint="eastAsia" w:hAnsi="宋体"/>
          <w:b/>
          <w:color w:val="auto"/>
          <w:sz w:val="30"/>
          <w:szCs w:val="30"/>
          <w:highlight w:val="none"/>
        </w:rPr>
        <w:t>第六章　投标文件格式</w:t>
      </w:r>
      <w:bookmarkEnd w:id="49"/>
      <w:bookmarkEnd w:id="50"/>
    </w:p>
    <w:p>
      <w:pPr>
        <w:pStyle w:val="29"/>
        <w:snapToGrid w:val="0"/>
        <w:spacing w:beforeLines="0" w:afterLines="0" w:line="420" w:lineRule="exact"/>
        <w:jc w:val="center"/>
        <w:rPr>
          <w:rFonts w:hAnsi="宋体"/>
          <w:color w:val="auto"/>
          <w:sz w:val="30"/>
          <w:szCs w:val="30"/>
          <w:highlight w:val="none"/>
        </w:rPr>
      </w:pPr>
    </w:p>
    <w:p>
      <w:pPr>
        <w:snapToGrid w:val="0"/>
        <w:spacing w:beforeLines="50" w:after="50"/>
        <w:jc w:val="center"/>
        <w:outlineLvl w:val="1"/>
        <w:rPr>
          <w:rFonts w:ascii="宋体" w:hAnsi="宋体"/>
          <w:b/>
          <w:bCs/>
          <w:color w:val="auto"/>
          <w:sz w:val="28"/>
          <w:szCs w:val="28"/>
          <w:highlight w:val="none"/>
        </w:rPr>
      </w:pPr>
      <w:bookmarkStart w:id="51" w:name="_Toc23823"/>
      <w:bookmarkStart w:id="52" w:name="_Toc265669850"/>
      <w:r>
        <w:rPr>
          <w:rFonts w:hint="eastAsia" w:ascii="宋体" w:hAnsi="宋体"/>
          <w:b/>
          <w:bCs/>
          <w:color w:val="auto"/>
          <w:sz w:val="28"/>
          <w:szCs w:val="28"/>
          <w:highlight w:val="none"/>
        </w:rPr>
        <w:t>一、资格响应文件格式</w:t>
      </w:r>
      <w:bookmarkEnd w:id="51"/>
    </w:p>
    <w:p>
      <w:pPr>
        <w:snapToGrid w:val="0"/>
        <w:spacing w:beforeLines="50" w:after="50"/>
        <w:jc w:val="center"/>
        <w:rPr>
          <w:rFonts w:ascii="宋体" w:hAnsi="宋体"/>
          <w:color w:val="auto"/>
          <w:sz w:val="28"/>
          <w:szCs w:val="28"/>
          <w:highlight w:val="none"/>
        </w:rPr>
      </w:pPr>
    </w:p>
    <w:p>
      <w:pPr>
        <w:snapToGrid w:val="0"/>
        <w:spacing w:beforeLines="50" w:after="50"/>
        <w:jc w:val="center"/>
        <w:rPr>
          <w:rFonts w:ascii="宋体" w:hAnsi="宋体"/>
          <w:color w:val="auto"/>
          <w:sz w:val="28"/>
          <w:szCs w:val="28"/>
          <w:highlight w:val="none"/>
        </w:rPr>
      </w:pPr>
    </w:p>
    <w:p>
      <w:pPr>
        <w:snapToGrid w:val="0"/>
        <w:spacing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pPr>
        <w:snapToGrid w:val="0"/>
        <w:spacing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Lines="50" w:after="50"/>
        <w:rPr>
          <w:rFonts w:ascii="宋体" w:hAnsi="宋体"/>
          <w:color w:val="auto"/>
          <w:sz w:val="28"/>
          <w:szCs w:val="28"/>
          <w:highlight w:val="none"/>
        </w:rPr>
      </w:pPr>
    </w:p>
    <w:p>
      <w:pPr>
        <w:snapToGrid w:val="0"/>
        <w:spacing w:beforeLines="50" w:after="50"/>
        <w:jc w:val="center"/>
        <w:rPr>
          <w:rFonts w:ascii="宋体" w:hAnsi="宋体"/>
          <w:bCs/>
          <w:color w:val="auto"/>
          <w:sz w:val="28"/>
          <w:szCs w:val="28"/>
          <w:highlight w:val="none"/>
        </w:rPr>
      </w:pPr>
    </w:p>
    <w:p>
      <w:pPr>
        <w:snapToGrid w:val="0"/>
        <w:spacing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pPr>
        <w:snapToGrid w:val="0"/>
        <w:spacing w:beforeLines="50" w:after="50" w:line="360" w:lineRule="auto"/>
        <w:jc w:val="center"/>
        <w:rPr>
          <w:rFonts w:ascii="宋体" w:hAnsi="宋体"/>
          <w:bCs/>
          <w:color w:val="auto"/>
          <w:sz w:val="28"/>
          <w:szCs w:val="28"/>
          <w:highlight w:val="none"/>
        </w:rPr>
      </w:pPr>
    </w:p>
    <w:p>
      <w:pPr>
        <w:snapToGrid w:val="0"/>
        <w:spacing w:beforeLines="50" w:after="50" w:line="360" w:lineRule="auto"/>
        <w:jc w:val="center"/>
        <w:rPr>
          <w:rFonts w:ascii="宋体" w:hAnsi="宋体"/>
          <w:bCs/>
          <w:color w:val="auto"/>
          <w:sz w:val="28"/>
          <w:szCs w:val="28"/>
          <w:highlight w:val="none"/>
        </w:rPr>
      </w:pPr>
    </w:p>
    <w:p>
      <w:pPr>
        <w:snapToGrid w:val="0"/>
        <w:spacing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pPr>
        <w:pStyle w:val="2"/>
        <w:snapToGrid w:val="0"/>
        <w:spacing w:before="50" w:after="50" w:line="360" w:lineRule="auto"/>
        <w:ind w:firstLine="1164" w:firstLineChars="416"/>
        <w:rPr>
          <w:rFonts w:ascii="宋体" w:hAnsi="宋体"/>
          <w:bCs/>
          <w:color w:val="auto"/>
          <w:sz w:val="28"/>
          <w:szCs w:val="28"/>
          <w:highlight w:val="none"/>
        </w:rPr>
      </w:pP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2"/>
        <w:snapToGrid w:val="0"/>
        <w:spacing w:before="50" w:after="50"/>
        <w:ind w:firstLine="1120" w:firstLineChars="400"/>
        <w:rPr>
          <w:rFonts w:ascii="宋体" w:hAnsi="宋体"/>
          <w:bCs/>
          <w:color w:val="auto"/>
          <w:sz w:val="28"/>
          <w:szCs w:val="28"/>
          <w:highlight w:val="none"/>
        </w:rPr>
      </w:pPr>
    </w:p>
    <w:p>
      <w:pPr>
        <w:snapToGrid w:val="0"/>
        <w:spacing w:line="360" w:lineRule="auto"/>
        <w:ind w:firstLine="3360" w:firstLineChars="1200"/>
        <w:jc w:val="left"/>
        <w:rPr>
          <w:rFonts w:ascii="宋体" w:hAnsi="宋体"/>
          <w:color w:val="auto"/>
          <w:sz w:val="28"/>
          <w:szCs w:val="28"/>
          <w:highlight w:val="none"/>
        </w:rPr>
      </w:pPr>
    </w:p>
    <w:p>
      <w:pPr>
        <w:pStyle w:val="4"/>
        <w:rPr>
          <w:color w:val="auto"/>
          <w:highlight w:val="none"/>
        </w:rPr>
      </w:pPr>
    </w:p>
    <w:p>
      <w:pPr>
        <w:snapToGrid w:val="0"/>
        <w:spacing w:line="360" w:lineRule="auto"/>
        <w:ind w:firstLine="3640" w:firstLineChars="1300"/>
        <w:jc w:val="left"/>
        <w:rPr>
          <w:rFonts w:ascii="宋体" w:hAnsi="宋体"/>
          <w:color w:val="auto"/>
          <w:sz w:val="28"/>
          <w:szCs w:val="28"/>
          <w:highlight w:val="none"/>
        </w:rPr>
      </w:pPr>
      <w:r>
        <w:rPr>
          <w:rFonts w:hint="eastAsia" w:ascii="宋体" w:hAnsi="宋体"/>
          <w:color w:val="auto"/>
          <w:sz w:val="28"/>
          <w:szCs w:val="28"/>
          <w:highlight w:val="none"/>
        </w:rPr>
        <w:t>年  月  日</w:t>
      </w:r>
      <w:bookmarkStart w:id="53" w:name="_Hlk60757343"/>
    </w:p>
    <w:p>
      <w:pPr>
        <w:pStyle w:val="4"/>
        <w:rPr>
          <w:rFonts w:ascii="宋体" w:hAnsi="宋体"/>
          <w:color w:val="auto"/>
          <w:sz w:val="28"/>
          <w:szCs w:val="28"/>
          <w:highlight w:val="none"/>
        </w:rPr>
      </w:pPr>
    </w:p>
    <w:p>
      <w:pPr>
        <w:rPr>
          <w:rFonts w:ascii="宋体" w:hAnsi="宋体"/>
          <w:color w:val="auto"/>
          <w:sz w:val="28"/>
          <w:szCs w:val="28"/>
          <w:highlight w:val="none"/>
        </w:rPr>
      </w:pPr>
    </w:p>
    <w:p>
      <w:pPr>
        <w:snapToGrid w:val="0"/>
        <w:spacing w:beforeLines="50" w:after="50"/>
        <w:ind w:firstLine="560" w:firstLineChars="200"/>
        <w:rPr>
          <w:rFonts w:ascii="宋体" w:hAnsi="宋体"/>
          <w:color w:val="auto"/>
          <w:sz w:val="28"/>
          <w:szCs w:val="28"/>
          <w:highlight w:val="none"/>
        </w:rPr>
      </w:pPr>
    </w:p>
    <w:p>
      <w:pPr>
        <w:snapToGrid w:val="0"/>
        <w:spacing w:beforeLines="50" w:after="50"/>
        <w:ind w:firstLine="560" w:firstLineChars="200"/>
        <w:rPr>
          <w:rFonts w:ascii="宋体" w:hAnsi="宋体"/>
          <w:color w:val="auto"/>
          <w:sz w:val="28"/>
          <w:szCs w:val="28"/>
          <w:highlight w:val="none"/>
        </w:rPr>
      </w:pPr>
    </w:p>
    <w:p>
      <w:pPr>
        <w:snapToGrid w:val="0"/>
        <w:spacing w:beforeLines="50" w:after="5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营业执照等：</w:t>
      </w:r>
      <w:bookmarkEnd w:id="53"/>
    </w:p>
    <w:p>
      <w:pPr>
        <w:rPr>
          <w:color w:val="auto"/>
          <w:highlight w:val="none"/>
        </w:rPr>
      </w:pPr>
    </w:p>
    <w:p>
      <w:pPr>
        <w:snapToGrid w:val="0"/>
        <w:spacing w:line="360" w:lineRule="auto"/>
        <w:jc w:val="center"/>
        <w:rPr>
          <w:rFonts w:ascii="宋体" w:hAnsi="宋体" w:cs="仿宋_GB2312"/>
          <w:b/>
          <w:color w:val="auto"/>
          <w:kern w:val="0"/>
          <w:sz w:val="32"/>
          <w:szCs w:val="32"/>
          <w:highlight w:val="none"/>
          <w:lang w:val="zh-CN"/>
        </w:rPr>
      </w:pPr>
    </w:p>
    <w:p>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pStyle w:val="87"/>
        <w:rPr>
          <w:rFonts w:cs="仿宋_GB2312"/>
          <w:bCs/>
          <w:color w:val="auto"/>
          <w:sz w:val="28"/>
          <w:szCs w:val="28"/>
          <w:highlight w:val="none"/>
        </w:rPr>
      </w:pPr>
    </w:p>
    <w:p>
      <w:pPr>
        <w:pStyle w:val="87"/>
        <w:rPr>
          <w:rFonts w:cs="仿宋_GB2312"/>
          <w:bCs/>
          <w:color w:val="auto"/>
          <w:sz w:val="28"/>
          <w:szCs w:val="28"/>
          <w:highlight w:val="none"/>
        </w:rPr>
      </w:pPr>
    </w:p>
    <w:p>
      <w:pPr>
        <w:pStyle w:val="23"/>
        <w:ind w:firstLine="560"/>
        <w:rPr>
          <w:rFonts w:ascii="宋体" w:hAnsi="宋体" w:cs="仿宋_GB2312"/>
          <w:bCs/>
          <w:color w:val="auto"/>
          <w:kern w:val="0"/>
          <w:sz w:val="28"/>
          <w:szCs w:val="28"/>
          <w:highlight w:val="none"/>
          <w:lang w:val="zh-CN"/>
        </w:rPr>
      </w:pPr>
    </w:p>
    <w:p>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pPr>
        <w:pStyle w:val="23"/>
        <w:ind w:firstLine="560"/>
        <w:rPr>
          <w:rFonts w:ascii="宋体" w:hAnsi="宋体" w:cs="仿宋_GB2312"/>
          <w:bCs/>
          <w:color w:val="auto"/>
          <w:kern w:val="0"/>
          <w:sz w:val="28"/>
          <w:szCs w:val="28"/>
          <w:highlight w:val="none"/>
          <w:lang w:val="zh-CN"/>
        </w:rPr>
      </w:pPr>
    </w:p>
    <w:p>
      <w:pPr>
        <w:snapToGrid w:val="0"/>
        <w:spacing w:line="360" w:lineRule="auto"/>
        <w:jc w:val="center"/>
        <w:rPr>
          <w:rFonts w:ascii="宋体" w:hAnsi="宋体" w:cs="仿宋_GB2312"/>
          <w:b/>
          <w:color w:val="auto"/>
          <w:sz w:val="30"/>
          <w:szCs w:val="30"/>
          <w:highlight w:val="none"/>
        </w:rPr>
      </w:pPr>
    </w:p>
    <w:p>
      <w:pPr>
        <w:spacing w:line="360" w:lineRule="auto"/>
        <w:jc w:val="left"/>
        <w:rPr>
          <w:rFonts w:ascii="宋体" w:hAnsi="宋体"/>
          <w:b/>
          <w:bCs/>
          <w:color w:val="auto"/>
          <w:sz w:val="28"/>
          <w:szCs w:val="28"/>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napToGrid w:val="0"/>
        <w:spacing w:beforeLines="50" w:after="50"/>
        <w:rPr>
          <w:rFonts w:ascii="宋体" w:hAnsi="宋体"/>
          <w:color w:val="auto"/>
          <w:sz w:val="28"/>
          <w:szCs w:val="28"/>
          <w:highlight w:val="none"/>
        </w:rPr>
      </w:pPr>
    </w:p>
    <w:p>
      <w:pPr>
        <w:snapToGrid w:val="0"/>
        <w:spacing w:beforeLines="50" w:after="50"/>
        <w:rPr>
          <w:rFonts w:ascii="宋体" w:hAnsi="宋体"/>
          <w:color w:val="auto"/>
          <w:sz w:val="28"/>
          <w:szCs w:val="28"/>
          <w:highlight w:val="none"/>
        </w:rPr>
      </w:pPr>
    </w:p>
    <w:p>
      <w:pPr>
        <w:snapToGrid w:val="0"/>
        <w:spacing w:beforeLines="50" w:after="5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没有重大违法记录的承诺函格式：</w:t>
      </w:r>
    </w:p>
    <w:p>
      <w:pPr>
        <w:spacing w:line="360" w:lineRule="auto"/>
        <w:jc w:val="center"/>
        <w:rPr>
          <w:rFonts w:ascii="宋体" w:hAnsi="宋体" w:cs="仿宋_GB2312"/>
          <w:b/>
          <w:color w:val="auto"/>
          <w:kern w:val="0"/>
          <w:sz w:val="32"/>
          <w:szCs w:val="32"/>
          <w:highlight w:val="none"/>
        </w:rPr>
      </w:pPr>
    </w:p>
    <w:p>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pPr>
        <w:spacing w:line="520" w:lineRule="exact"/>
        <w:jc w:val="center"/>
        <w:rPr>
          <w:rFonts w:ascii="宋体" w:hAnsi="宋体" w:cs="宋体"/>
          <w:bCs/>
          <w:color w:val="auto"/>
          <w:sz w:val="24"/>
          <w:highlight w:val="none"/>
        </w:rPr>
      </w:pPr>
    </w:p>
    <w:p>
      <w:pPr>
        <w:ind w:firstLine="420"/>
        <w:rPr>
          <w:rFonts w:ascii="宋体" w:hAnsi="宋体" w:cs="宋体"/>
          <w:color w:val="auto"/>
          <w:sz w:val="24"/>
          <w:highlight w:val="none"/>
        </w:rPr>
      </w:pPr>
    </w:p>
    <w:p>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pPr>
        <w:snapToGrid w:val="0"/>
        <w:spacing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ascii="宋体" w:hAnsi="宋体" w:cs="宋体"/>
          <w:color w:val="auto"/>
          <w:sz w:val="24"/>
          <w:highlight w:val="none"/>
        </w:rPr>
      </w:pPr>
    </w:p>
    <w:p>
      <w:pPr>
        <w:snapToGrid w:val="0"/>
        <w:spacing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pPr>
        <w:snapToGrid w:val="0"/>
        <w:spacing w:before="50" w:afterLines="50"/>
        <w:jc w:val="left"/>
        <w:rPr>
          <w:rFonts w:ascii="宋体" w:hAnsi="宋体" w:cs="宋体"/>
          <w:color w:val="auto"/>
          <w:kern w:val="0"/>
          <w:sz w:val="24"/>
          <w:highlight w:val="none"/>
          <w:lang w:val="zh-CN"/>
        </w:rPr>
      </w:pPr>
    </w:p>
    <w:p>
      <w:pPr>
        <w:snapToGrid w:val="0"/>
        <w:spacing w:before="50" w:afterLines="50"/>
        <w:jc w:val="left"/>
        <w:rPr>
          <w:rFonts w:ascii="宋体" w:hAnsi="宋体" w:cs="宋体"/>
          <w:color w:val="auto"/>
          <w:kern w:val="0"/>
          <w:sz w:val="24"/>
          <w:highlight w:val="none"/>
          <w:lang w:val="zh-CN"/>
        </w:rPr>
      </w:pPr>
    </w:p>
    <w:p>
      <w:pPr>
        <w:snapToGrid w:val="0"/>
        <w:spacing w:before="50" w:afterLines="50"/>
        <w:jc w:val="left"/>
        <w:rPr>
          <w:rFonts w:ascii="宋体" w:hAnsi="宋体" w:cs="宋体"/>
          <w:color w:val="auto"/>
          <w:kern w:val="0"/>
          <w:sz w:val="24"/>
          <w:highlight w:val="none"/>
          <w:lang w:val="zh-CN"/>
        </w:rPr>
      </w:pPr>
    </w:p>
    <w:p>
      <w:pPr>
        <w:snapToGrid w:val="0"/>
        <w:spacing w:before="50" w:afterLines="50"/>
        <w:jc w:val="left"/>
        <w:rPr>
          <w:rFonts w:ascii="宋体" w:hAnsi="宋体"/>
          <w:color w:val="auto"/>
          <w:spacing w:val="20"/>
          <w:sz w:val="24"/>
          <w:highlight w:val="none"/>
        </w:rPr>
      </w:pPr>
      <w:r>
        <w:rPr>
          <w:rFonts w:hint="eastAsia" w:ascii="宋体" w:hAnsi="宋体"/>
          <w:color w:val="auto"/>
          <w:spacing w:val="20"/>
          <w:sz w:val="24"/>
          <w:highlight w:val="none"/>
        </w:rPr>
        <w:t>法定代表人签字（或盖章）：         投标人（盖章）：</w:t>
      </w:r>
    </w:p>
    <w:p>
      <w:pPr>
        <w:snapToGrid w:val="0"/>
        <w:spacing w:before="50" w:afterLines="50"/>
        <w:jc w:val="left"/>
        <w:rPr>
          <w:rFonts w:ascii="宋体" w:hAnsi="宋体"/>
          <w:color w:val="auto"/>
          <w:sz w:val="24"/>
          <w:highlight w:val="none"/>
        </w:rPr>
      </w:pPr>
    </w:p>
    <w:p>
      <w:pPr>
        <w:snapToGrid w:val="0"/>
        <w:spacing w:before="50" w:afterLines="50"/>
        <w:jc w:val="left"/>
        <w:rPr>
          <w:rFonts w:ascii="宋体" w:hAnsi="宋体"/>
          <w:color w:val="auto"/>
          <w:sz w:val="24"/>
          <w:highlight w:val="none"/>
        </w:rPr>
      </w:pPr>
    </w:p>
    <w:p>
      <w:pPr>
        <w:snapToGrid w:val="0"/>
        <w:spacing w:before="50" w:afterLines="50"/>
        <w:jc w:val="left"/>
        <w:rPr>
          <w:rFonts w:ascii="宋体" w:hAns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_____年___月___日</w:t>
      </w:r>
    </w:p>
    <w:p>
      <w:pPr>
        <w:snapToGrid w:val="0"/>
        <w:spacing w:before="50" w:afterLines="50"/>
        <w:jc w:val="left"/>
        <w:rPr>
          <w:rFonts w:ascii="宋体" w:hAnsi="宋体"/>
          <w:color w:val="auto"/>
          <w:sz w:val="28"/>
          <w:szCs w:val="28"/>
          <w:highlight w:val="none"/>
        </w:rPr>
      </w:pPr>
    </w:p>
    <w:p>
      <w:pPr>
        <w:snapToGrid w:val="0"/>
        <w:spacing w:beforeLines="50" w:after="50"/>
        <w:jc w:val="center"/>
        <w:outlineLvl w:val="1"/>
        <w:rPr>
          <w:rFonts w:ascii="宋体" w:hAnsi="宋体"/>
          <w:b/>
          <w:bCs/>
          <w:color w:val="auto"/>
          <w:sz w:val="28"/>
          <w:szCs w:val="28"/>
          <w:highlight w:val="none"/>
        </w:rPr>
      </w:pPr>
      <w:bookmarkStart w:id="54" w:name="_Toc8551"/>
      <w:bookmarkStart w:id="55" w:name="_Toc466534753"/>
    </w:p>
    <w:p>
      <w:pPr>
        <w:snapToGrid w:val="0"/>
        <w:spacing w:beforeLines="50" w:after="50"/>
        <w:jc w:val="center"/>
        <w:outlineLvl w:val="1"/>
        <w:rPr>
          <w:rFonts w:ascii="宋体" w:hAnsi="宋体"/>
          <w:b/>
          <w:bCs/>
          <w:color w:val="auto"/>
          <w:sz w:val="28"/>
          <w:szCs w:val="28"/>
          <w:highlight w:val="none"/>
        </w:rPr>
      </w:pPr>
    </w:p>
    <w:p>
      <w:pPr>
        <w:snapToGrid w:val="0"/>
        <w:spacing w:beforeLines="50" w:after="50"/>
        <w:jc w:val="center"/>
        <w:outlineLvl w:val="1"/>
        <w:rPr>
          <w:rFonts w:ascii="宋体" w:hAnsi="宋体"/>
          <w:b/>
          <w:bCs/>
          <w:color w:val="auto"/>
          <w:sz w:val="28"/>
          <w:szCs w:val="28"/>
          <w:highlight w:val="none"/>
        </w:rPr>
      </w:pPr>
    </w:p>
    <w:p>
      <w:pPr>
        <w:snapToGrid w:val="0"/>
        <w:spacing w:beforeLines="50" w:after="50"/>
        <w:jc w:val="center"/>
        <w:outlineLvl w:val="1"/>
        <w:rPr>
          <w:rFonts w:ascii="宋体" w:hAnsi="宋体"/>
          <w:b/>
          <w:bCs/>
          <w:color w:val="auto"/>
          <w:sz w:val="28"/>
          <w:szCs w:val="28"/>
          <w:highlight w:val="none"/>
        </w:rPr>
      </w:pPr>
    </w:p>
    <w:p>
      <w:pPr>
        <w:pStyle w:val="29"/>
        <w:pageBreakBefore/>
        <w:snapToGrid w:val="0"/>
        <w:spacing w:beforeLines="0" w:afterLines="0" w:line="240" w:lineRule="auto"/>
        <w:rPr>
          <w:rFonts w:hAnsi="宋体"/>
          <w:color w:val="auto"/>
          <w:highlight w:val="none"/>
        </w:rPr>
      </w:pPr>
      <w:r>
        <w:rPr>
          <w:rFonts w:hint="eastAsia" w:hAnsi="宋体"/>
          <w:color w:val="auto"/>
          <w:highlight w:val="none"/>
        </w:rPr>
        <w:t>4.中小企业声明函</w:t>
      </w:r>
    </w:p>
    <w:p>
      <w:pPr>
        <w:pStyle w:val="29"/>
        <w:snapToGrid w:val="0"/>
        <w:spacing w:beforeLines="0" w:afterLines="0" w:line="240" w:lineRule="auto"/>
        <w:jc w:val="center"/>
        <w:rPr>
          <w:b/>
          <w:color w:val="auto"/>
          <w:sz w:val="28"/>
          <w:szCs w:val="28"/>
          <w:highlight w:val="none"/>
        </w:rPr>
      </w:pPr>
      <w:r>
        <w:rPr>
          <w:rFonts w:hint="eastAsia"/>
          <w:b/>
          <w:color w:val="auto"/>
          <w:sz w:val="28"/>
          <w:szCs w:val="28"/>
          <w:highlight w:val="none"/>
        </w:rPr>
        <w:t>中小企业声明函（工程、服务类）</w:t>
      </w:r>
    </w:p>
    <w:p>
      <w:pPr>
        <w:pStyle w:val="29"/>
        <w:snapToGrid w:val="0"/>
        <w:spacing w:beforeLines="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9"/>
        <w:snapToGrid w:val="0"/>
        <w:spacing w:beforeLines="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（招标文件中明确的所属行业）</w:t>
      </w:r>
      <w:r>
        <w:rPr>
          <w:rFonts w:hint="eastAsia" w:hAnsi="宋体" w:cs="宋体"/>
          <w:color w:val="auto"/>
          <w:highlight w:val="none"/>
        </w:rPr>
        <w:t>行业，</w:t>
      </w:r>
      <w:r>
        <w:rPr>
          <w:rFonts w:hint="eastAsia"/>
          <w:bCs/>
          <w:color w:val="auto"/>
          <w:highlight w:val="none"/>
        </w:rPr>
        <w:t>承建（承接）企业为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pPr>
        <w:pStyle w:val="29"/>
        <w:snapToGrid w:val="0"/>
        <w:spacing w:beforeLines="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（招标文件中明确的所属行业）</w:t>
      </w:r>
      <w:r>
        <w:rPr>
          <w:rFonts w:hint="eastAsia" w:hAnsi="宋体" w:cs="宋体"/>
          <w:color w:val="auto"/>
          <w:highlight w:val="none"/>
        </w:rPr>
        <w:t>行业，</w:t>
      </w:r>
      <w:r>
        <w:rPr>
          <w:rFonts w:hint="eastAsia"/>
          <w:bCs/>
          <w:color w:val="auto"/>
          <w:highlight w:val="none"/>
        </w:rPr>
        <w:t>承建（承接）企业为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pPr>
        <w:pStyle w:val="29"/>
        <w:snapToGrid w:val="0"/>
        <w:spacing w:beforeLines="0" w:afterLines="0" w:line="360" w:lineRule="auto"/>
        <w:ind w:firstLine="480" w:firstLineChars="200"/>
        <w:jc w:val="left"/>
        <w:rPr>
          <w:bCs/>
          <w:color w:val="auto"/>
          <w:highlight w:val="none"/>
        </w:rPr>
      </w:pPr>
      <w:r>
        <w:rPr>
          <w:bCs/>
          <w:color w:val="auto"/>
          <w:highlight w:val="none"/>
        </w:rPr>
        <w:t>………</w:t>
      </w:r>
    </w:p>
    <w:p>
      <w:pPr>
        <w:pStyle w:val="29"/>
        <w:snapToGrid w:val="0"/>
        <w:spacing w:beforeLines="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pPr>
        <w:pStyle w:val="29"/>
        <w:snapToGrid w:val="0"/>
        <w:spacing w:beforeLines="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color w:val="auto"/>
          <w:spacing w:val="20"/>
          <w:highlight w:val="none"/>
        </w:rPr>
      </w:pPr>
      <w:r>
        <w:rPr>
          <w:rFonts w:hint="eastAsia" w:hAnsi="宋体"/>
          <w:color w:val="auto"/>
          <w:spacing w:val="20"/>
          <w:highlight w:val="none"/>
        </w:rPr>
        <w:t xml:space="preserve">法定代表人签字（或盖章）：            投标人（盖章）： </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line="360" w:lineRule="auto"/>
        <w:jc w:val="center"/>
        <w:rPr>
          <w:color w:val="auto"/>
          <w:highlight w:val="none"/>
        </w:rPr>
      </w:pPr>
      <w:r>
        <w:rPr>
          <w:rFonts w:hint="eastAsia"/>
          <w:color w:val="auto"/>
          <w:highlight w:val="none"/>
        </w:rPr>
        <w:t xml:space="preserve">                                             日期:_____年___月___日</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填表说明：</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1、标的分别由不同承接企业承接的，请按序号填写齐全所有标的承接企业的信息。</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2、从业人员、营业收入、资产总额填报上一年度数据，无上一年度数据的新成立企业可不填报。</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3、（1）按照国家统计局统计口径规定，单位从业人员指报告期末最后一日在本单位工作，并取得工资或其他形式劳动报酬的人员数。</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（2）企业划型时，应将分公司的从业人员、营业收入纳入合并计算。</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4、为了更加准确判定制造商是否为小微企业，请投标人根据工业和信息化部官方网站---中小企业规模类型自测小程序来辨别制造商企业规模类型，中小企业规模类型自测小程序链接网址为</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http://202.106.120.146/baosong/appweb/orgScale.html</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5、投标人未提供《中小企业声明函》的、《中小企业声明函》中内容应填写而未进行填写或未如实填写的，对投标人造成不利的评审由投标人自行承担。</w:t>
      </w:r>
    </w:p>
    <w:p>
      <w:pPr>
        <w:pStyle w:val="29"/>
        <w:snapToGrid w:val="0"/>
        <w:spacing w:beforeLines="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6、如国家对中小企业划型标准有新的规定的，从其规定。</w:t>
      </w:r>
    </w:p>
    <w:p>
      <w:pPr>
        <w:snapToGrid w:val="0"/>
        <w:spacing w:beforeLines="50" w:after="50"/>
        <w:jc w:val="center"/>
        <w:outlineLvl w:val="1"/>
        <w:rPr>
          <w:rFonts w:ascii="宋体" w:hAnsi="宋体"/>
          <w:b/>
          <w:bCs/>
          <w:color w:val="auto"/>
          <w:sz w:val="28"/>
          <w:szCs w:val="28"/>
          <w:highlight w:val="none"/>
        </w:rPr>
      </w:pPr>
    </w:p>
    <w:p>
      <w:pPr>
        <w:snapToGrid w:val="0"/>
        <w:spacing w:beforeLines="50" w:after="50"/>
        <w:jc w:val="center"/>
        <w:outlineLvl w:val="1"/>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rFonts w:ascii="宋体" w:hAnsi="宋体"/>
          <w:b/>
          <w:bCs/>
          <w:color w:val="auto"/>
          <w:sz w:val="28"/>
          <w:szCs w:val="28"/>
          <w:highlight w:val="none"/>
        </w:rPr>
      </w:pPr>
    </w:p>
    <w:p>
      <w:pPr>
        <w:pStyle w:val="4"/>
        <w:rPr>
          <w:rFonts w:ascii="宋体" w:hAnsi="宋体"/>
          <w:b w:val="0"/>
          <w:bCs w:val="0"/>
          <w:color w:val="auto"/>
          <w:sz w:val="28"/>
          <w:szCs w:val="28"/>
          <w:highlight w:val="none"/>
        </w:rPr>
      </w:pPr>
    </w:p>
    <w:p>
      <w:pPr>
        <w:rPr>
          <w:color w:val="auto"/>
          <w:highlight w:val="none"/>
        </w:rPr>
      </w:pPr>
    </w:p>
    <w:p>
      <w:pPr>
        <w:rPr>
          <w:rFonts w:ascii="宋体" w:hAnsi="宋体"/>
          <w:b/>
          <w:bCs/>
          <w:color w:val="auto"/>
          <w:sz w:val="28"/>
          <w:szCs w:val="28"/>
          <w:highlight w:val="none"/>
        </w:rPr>
      </w:pPr>
    </w:p>
    <w:p>
      <w:pPr>
        <w:rPr>
          <w:color w:val="auto"/>
          <w:highlight w:val="none"/>
        </w:rPr>
      </w:pPr>
    </w:p>
    <w:p>
      <w:pPr>
        <w:snapToGrid w:val="0"/>
        <w:spacing w:beforeLines="50" w:after="50"/>
        <w:jc w:val="center"/>
        <w:outlineLvl w:val="1"/>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rPr>
      </w:pPr>
    </w:p>
    <w:p>
      <w:pPr>
        <w:pStyle w:val="2"/>
        <w:rPr>
          <w:color w:val="auto"/>
          <w:highlight w:val="none"/>
        </w:rPr>
      </w:pPr>
    </w:p>
    <w:p>
      <w:pPr>
        <w:snapToGrid w:val="0"/>
        <w:spacing w:beforeLines="50" w:after="50"/>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二、商务技术文件格式</w:t>
      </w:r>
      <w:bookmarkEnd w:id="52"/>
      <w:bookmarkEnd w:id="54"/>
      <w:bookmarkEnd w:id="55"/>
    </w:p>
    <w:p>
      <w:pPr>
        <w:snapToGrid w:val="0"/>
        <w:spacing w:beforeLines="50" w:after="50"/>
        <w:jc w:val="center"/>
        <w:rPr>
          <w:rFonts w:ascii="宋体" w:hAnsi="宋体"/>
          <w:color w:val="auto"/>
          <w:sz w:val="28"/>
          <w:szCs w:val="28"/>
          <w:highlight w:val="none"/>
        </w:rPr>
      </w:pPr>
    </w:p>
    <w:p>
      <w:pPr>
        <w:snapToGrid w:val="0"/>
        <w:spacing w:beforeLines="50" w:after="50"/>
        <w:jc w:val="center"/>
        <w:rPr>
          <w:rFonts w:ascii="宋体" w:hAnsi="宋体"/>
          <w:color w:val="auto"/>
          <w:sz w:val="28"/>
          <w:szCs w:val="28"/>
          <w:highlight w:val="none"/>
        </w:rPr>
      </w:pPr>
    </w:p>
    <w:p>
      <w:pPr>
        <w:snapToGrid w:val="0"/>
        <w:spacing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5.商务技术文件封面格式： </w:t>
      </w:r>
    </w:p>
    <w:p>
      <w:pPr>
        <w:snapToGrid w:val="0"/>
        <w:spacing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Lines="50" w:after="50"/>
        <w:rPr>
          <w:rFonts w:ascii="宋体" w:hAnsi="宋体"/>
          <w:color w:val="auto"/>
          <w:sz w:val="28"/>
          <w:szCs w:val="28"/>
          <w:highlight w:val="none"/>
        </w:rPr>
      </w:pPr>
    </w:p>
    <w:p>
      <w:pPr>
        <w:snapToGrid w:val="0"/>
        <w:spacing w:beforeLines="50" w:after="50"/>
        <w:jc w:val="center"/>
        <w:rPr>
          <w:rFonts w:ascii="宋体" w:hAnsi="宋体"/>
          <w:bCs/>
          <w:color w:val="auto"/>
          <w:sz w:val="28"/>
          <w:szCs w:val="28"/>
          <w:highlight w:val="none"/>
        </w:rPr>
      </w:pPr>
    </w:p>
    <w:p>
      <w:pPr>
        <w:snapToGrid w:val="0"/>
        <w:spacing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pPr>
        <w:snapToGrid w:val="0"/>
        <w:spacing w:beforeLines="50" w:after="50" w:line="360" w:lineRule="auto"/>
        <w:jc w:val="center"/>
        <w:rPr>
          <w:rFonts w:ascii="宋体" w:hAnsi="宋体"/>
          <w:bCs/>
          <w:color w:val="auto"/>
          <w:sz w:val="28"/>
          <w:szCs w:val="28"/>
          <w:highlight w:val="none"/>
        </w:rPr>
      </w:pPr>
    </w:p>
    <w:p>
      <w:pPr>
        <w:snapToGrid w:val="0"/>
        <w:spacing w:beforeLines="50" w:after="50" w:line="360" w:lineRule="auto"/>
        <w:jc w:val="center"/>
        <w:rPr>
          <w:rFonts w:ascii="宋体" w:hAnsi="宋体"/>
          <w:bCs/>
          <w:color w:val="auto"/>
          <w:sz w:val="28"/>
          <w:szCs w:val="28"/>
          <w:highlight w:val="none"/>
        </w:rPr>
      </w:pPr>
    </w:p>
    <w:p>
      <w:pPr>
        <w:snapToGrid w:val="0"/>
        <w:spacing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pPr>
        <w:pStyle w:val="2"/>
        <w:snapToGrid w:val="0"/>
        <w:spacing w:before="50" w:after="50" w:line="360" w:lineRule="auto"/>
        <w:ind w:firstLine="1164" w:firstLineChars="416"/>
        <w:rPr>
          <w:rFonts w:ascii="宋体" w:hAnsi="宋体"/>
          <w:bCs/>
          <w:color w:val="auto"/>
          <w:sz w:val="28"/>
          <w:szCs w:val="28"/>
          <w:highlight w:val="none"/>
        </w:rPr>
      </w:pP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2"/>
        <w:snapToGrid w:val="0"/>
        <w:spacing w:before="50" w:after="50"/>
        <w:ind w:firstLine="1120" w:firstLineChars="400"/>
        <w:rPr>
          <w:rFonts w:ascii="宋体" w:hAnsi="宋体"/>
          <w:bCs/>
          <w:color w:val="auto"/>
          <w:sz w:val="28"/>
          <w:szCs w:val="28"/>
          <w:highlight w:val="none"/>
        </w:rPr>
      </w:pPr>
    </w:p>
    <w:p>
      <w:pPr>
        <w:snapToGrid w:val="0"/>
        <w:spacing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56" w:name="_Hlk60757098"/>
      <w:r>
        <w:rPr>
          <w:rFonts w:hint="eastAsia" w:ascii="宋体" w:hAnsi="宋体"/>
          <w:color w:val="auto"/>
          <w:sz w:val="24"/>
          <w:highlight w:val="none"/>
        </w:rPr>
        <w:t>6.投标函格式：</w:t>
      </w:r>
      <w:bookmarkEnd w:id="56"/>
    </w:p>
    <w:p>
      <w:pPr>
        <w:snapToGrid w:val="0"/>
        <w:spacing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pPr>
        <w:snapToGrid w:val="0"/>
        <w:spacing w:beforeLines="50" w:after="50" w:line="38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57" w:name="_Hlk59707887"/>
      <w:r>
        <w:rPr>
          <w:rFonts w:hint="eastAsia" w:ascii="宋体" w:hAnsi="宋体"/>
          <w:b/>
          <w:bCs/>
          <w:color w:val="auto"/>
          <w:sz w:val="24"/>
          <w:highlight w:val="none"/>
          <w:shd w:val="pct10" w:color="auto" w:fill="FFFFFF"/>
        </w:rPr>
        <w:t>证书、合同、报告等</w:t>
      </w:r>
      <w:bookmarkEnd w:id="57"/>
      <w:r>
        <w:rPr>
          <w:rFonts w:hint="eastAsia" w:ascii="宋体" w:hAnsi="宋体"/>
          <w:b/>
          <w:bCs/>
          <w:color w:val="auto"/>
          <w:sz w:val="24"/>
          <w:highlight w:val="none"/>
          <w:shd w:val="pct10" w:color="auto" w:fill="FFFFFF"/>
        </w:rPr>
        <w:t>）都是准确、真实、合规的，如有虚假或隐瞒，我方愿意承担一切后果。</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、本投标自开标日起 90天</w:t>
      </w:r>
      <w:r>
        <w:rPr>
          <w:rFonts w:ascii="宋体" w:hAnsi="宋体"/>
          <w:color w:val="auto"/>
          <w:sz w:val="24"/>
          <w:highlight w:val="none"/>
        </w:rPr>
        <w:t>内</w:t>
      </w:r>
      <w:r>
        <w:rPr>
          <w:rFonts w:hint="eastAsia" w:ascii="宋体" w:hAnsi="宋体"/>
          <w:color w:val="auto"/>
          <w:sz w:val="24"/>
          <w:highlight w:val="none"/>
        </w:rPr>
        <w:t>有效。</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pPr>
        <w:snapToGrid w:val="0"/>
        <w:spacing w:line="360" w:lineRule="auto"/>
        <w:ind w:firstLine="361" w:firstLineChars="150"/>
        <w:rPr>
          <w:rFonts w:ascii="宋体" w:hAnsi="宋体"/>
          <w:b/>
          <w:bCs/>
          <w:color w:val="auto"/>
          <w:sz w:val="24"/>
          <w:highlight w:val="none"/>
          <w:u w:val="single"/>
          <w:shd w:val="pct10" w:color="auto" w:fill="FFFFFF"/>
        </w:rPr>
      </w:pPr>
      <w:bookmarkStart w:id="58"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pPr>
        <w:snapToGrid w:val="0"/>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联系手机：</w:t>
      </w:r>
      <w:r>
        <w:rPr>
          <w:rFonts w:hint="eastAsia" w:ascii="宋体" w:hAnsi="宋体"/>
          <w:color w:val="auto"/>
          <w:sz w:val="24"/>
          <w:highlight w:val="none"/>
          <w:u w:val="single"/>
        </w:rPr>
        <w:t xml:space="preserve">             </w:t>
      </w: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pPr>
        <w:snapToGrid w:val="0"/>
        <w:spacing w:line="360" w:lineRule="auto"/>
        <w:ind w:firstLine="361" w:firstLineChars="150"/>
        <w:jc w:val="left"/>
        <w:rPr>
          <w:rFonts w:ascii="宋体" w:hAnsi="宋体"/>
          <w:b/>
          <w:bCs/>
          <w:color w:val="auto"/>
          <w:sz w:val="24"/>
          <w:highlight w:val="none"/>
          <w:shd w:val="pct10" w:color="auto" w:fill="FFFFFF"/>
        </w:rPr>
      </w:pPr>
      <w:bookmarkStart w:id="59"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59"/>
      <w:r>
        <w:rPr>
          <w:rFonts w:hint="eastAsia" w:ascii="宋体" w:hAnsi="宋体"/>
          <w:b/>
          <w:bCs/>
          <w:color w:val="auto"/>
          <w:sz w:val="24"/>
          <w:highlight w:val="none"/>
        </w:rPr>
        <w:t>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color w:val="auto"/>
          <w:sz w:val="24"/>
          <w:highlight w:val="none"/>
          <w:shd w:val="pct10" w:color="auto" w:fill="FFFFFF"/>
        </w:rPr>
        <w:t>被授权人（签字）:</w:t>
      </w:r>
      <w:r>
        <w:rPr>
          <w:rFonts w:hint="eastAsia" w:ascii="宋体" w:hAnsi="宋体"/>
          <w:b/>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bCs/>
          <w:color w:val="auto"/>
          <w:sz w:val="24"/>
          <w:highlight w:val="none"/>
          <w:u w:val="single"/>
        </w:rPr>
        <w:t xml:space="preserve">             </w:t>
      </w:r>
    </w:p>
    <w:bookmarkEnd w:id="58"/>
    <w:p>
      <w:pPr>
        <w:snapToGrid w:val="0"/>
        <w:spacing w:line="360" w:lineRule="auto"/>
        <w:jc w:val="left"/>
        <w:rPr>
          <w:rFonts w:ascii="宋体" w:hAnsi="宋体"/>
          <w:color w:val="auto"/>
          <w:sz w:val="24"/>
          <w:highlight w:val="none"/>
        </w:rPr>
      </w:pPr>
    </w:p>
    <w:p>
      <w:pPr>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 xml:space="preserve">投标人:(公章) </w:t>
      </w:r>
      <w:r>
        <w:rPr>
          <w:rFonts w:ascii="宋体" w:hAnsi="宋体"/>
          <w:color w:val="auto"/>
          <w:sz w:val="24"/>
          <w:highlight w:val="none"/>
        </w:rPr>
        <w:t xml:space="preserve">                           </w:t>
      </w:r>
      <w:r>
        <w:rPr>
          <w:rFonts w:hint="eastAsia" w:ascii="宋体" w:hAnsi="宋体"/>
          <w:color w:val="auto"/>
          <w:sz w:val="24"/>
          <w:highlight w:val="none"/>
        </w:rPr>
        <w:t>日期:_____年___月___日</w:t>
      </w:r>
    </w:p>
    <w:p>
      <w:pPr>
        <w:snapToGrid w:val="0"/>
        <w:spacing w:beforeLines="50" w:after="50"/>
        <w:rPr>
          <w:rFonts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rPr>
        <w:t>7.法定代表人授权委托书格式：</w:t>
      </w:r>
    </w:p>
    <w:p>
      <w:pPr>
        <w:snapToGrid w:val="0"/>
        <w:spacing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pPr>
        <w:snapToGrid w:val="0"/>
        <w:spacing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spacing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（投标单位名称）的法定代表人，现授权委托本单位职工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spacing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pPr>
        <w:snapToGrid w:val="0"/>
        <w:spacing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pPr>
        <w:snapToGrid w:val="0"/>
        <w:spacing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被授权人签名： </w:t>
      </w:r>
      <w:r>
        <w:rPr>
          <w:rFonts w:hint="eastAsia" w:ascii="宋体" w:hAnsi="宋体"/>
          <w:color w:val="auto"/>
          <w:sz w:val="28"/>
          <w:szCs w:val="28"/>
          <w:highlight w:val="none"/>
        </w:rPr>
        <w:t xml:space="preserve">               </w:t>
      </w:r>
    </w:p>
    <w:p>
      <w:pPr>
        <w:snapToGrid w:val="0"/>
        <w:spacing w:beforeLines="50" w:after="50" w:line="460" w:lineRule="exact"/>
        <w:rPr>
          <w:rFonts w:ascii="宋体" w:hAnsi="宋体"/>
          <w:color w:val="auto"/>
          <w:sz w:val="24"/>
          <w:szCs w:val="20"/>
          <w:highlight w:val="none"/>
          <w:u w:val="single"/>
        </w:rPr>
      </w:pPr>
    </w:p>
    <w:p>
      <w:pPr>
        <w:snapToGrid w:val="0"/>
        <w:spacing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49"/>
        <w:tblW w:w="9923" w:type="dxa"/>
        <w:jc w:val="center"/>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jc w:val="center"/>
        </w:trPr>
        <w:tc>
          <w:tcPr>
            <w:tcW w:w="4962" w:type="dxa"/>
          </w:tcPr>
          <w:p>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pP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jc w:val="center"/>
        </w:trPr>
        <w:tc>
          <w:tcPr>
            <w:tcW w:w="4962" w:type="dxa"/>
          </w:tcPr>
          <w:p>
            <w:pPr>
              <w:spacing w:line="360" w:lineRule="auto"/>
              <w:rPr>
                <w:color w:val="auto"/>
                <w:sz w:val="30"/>
                <w:szCs w:val="30"/>
                <w:highlight w:val="none"/>
              </w:rPr>
            </w:pPr>
          </w:p>
        </w:tc>
        <w:tc>
          <w:tcPr>
            <w:tcW w:w="4961" w:type="dxa"/>
          </w:tcPr>
          <w:p>
            <w:pPr>
              <w:spacing w:line="360" w:lineRule="auto"/>
              <w:rPr>
                <w:color w:val="auto"/>
                <w:sz w:val="30"/>
                <w:szCs w:val="30"/>
                <w:highlight w:val="none"/>
              </w:rPr>
            </w:pPr>
          </w:p>
        </w:tc>
      </w:tr>
    </w:tbl>
    <w:p>
      <w:pPr>
        <w:snapToGrid w:val="0"/>
        <w:spacing w:beforeLines="50" w:after="50" w:line="460" w:lineRule="exact"/>
        <w:rPr>
          <w:rFonts w:ascii="宋体" w:hAnsi="宋体"/>
          <w:color w:val="auto"/>
          <w:sz w:val="24"/>
          <w:highlight w:val="none"/>
        </w:rPr>
      </w:pPr>
      <w:r>
        <w:rPr>
          <w:rFonts w:hint="eastAsia" w:ascii="宋体" w:hAnsi="宋体"/>
          <w:color w:val="auto"/>
          <w:sz w:val="24"/>
          <w:highlight w:val="none"/>
        </w:rPr>
        <w:t xml:space="preserve">                                                投标人公章：</w:t>
      </w:r>
    </w:p>
    <w:p>
      <w:pPr>
        <w:snapToGrid w:val="0"/>
        <w:spacing w:beforeLines="50" w:after="50"/>
        <w:jc w:val="center"/>
        <w:rPr>
          <w:rFonts w:ascii="宋体" w:hAnsi="宋体"/>
          <w:color w:val="auto"/>
          <w:sz w:val="24"/>
          <w:szCs w:val="20"/>
          <w:highlight w:val="none"/>
        </w:rPr>
      </w:pPr>
      <w:r>
        <w:rPr>
          <w:rFonts w:hint="eastAsia" w:ascii="宋体" w:hAnsi="宋体"/>
          <w:color w:val="auto"/>
          <w:sz w:val="24"/>
          <w:highlight w:val="none"/>
        </w:rPr>
        <w:t xml:space="preserve">                                        年    月    日</w:t>
      </w:r>
    </w:p>
    <w:p>
      <w:pPr>
        <w:snapToGrid w:val="0"/>
        <w:spacing w:before="50" w:afterLines="50"/>
        <w:jc w:val="left"/>
        <w:rPr>
          <w:rFonts w:ascii="宋体" w:hAnsi="宋体"/>
          <w:color w:val="auto"/>
          <w:sz w:val="24"/>
          <w:highlight w:val="none"/>
        </w:rPr>
      </w:pPr>
      <w:r>
        <w:rPr>
          <w:rFonts w:hint="eastAsia" w:ascii="宋体" w:hAnsi="宋体"/>
          <w:color w:val="auto"/>
          <w:sz w:val="24"/>
          <w:highlight w:val="none"/>
        </w:rPr>
        <w:t>8.项目负责人简历：</w:t>
      </w:r>
    </w:p>
    <w:p>
      <w:pPr>
        <w:snapToGrid w:val="0"/>
        <w:spacing w:before="50" w:afterLines="50"/>
        <w:jc w:val="left"/>
        <w:rPr>
          <w:rFonts w:ascii="宋体" w:hAnsi="宋体"/>
          <w:color w:val="auto"/>
          <w:sz w:val="24"/>
          <w:szCs w:val="20"/>
          <w:highlight w:val="none"/>
        </w:rPr>
      </w:pPr>
    </w:p>
    <w:p>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pPr>
        <w:snapToGrid w:val="0"/>
        <w:spacing w:beforeLines="50" w:after="50" w:line="360" w:lineRule="auto"/>
        <w:jc w:val="center"/>
        <w:rPr>
          <w:rFonts w:ascii="宋体" w:hAnsi="宋体"/>
          <w:bCs/>
          <w:color w:val="auto"/>
          <w:sz w:val="24"/>
          <w:highlight w:val="none"/>
        </w:rPr>
      </w:pPr>
    </w:p>
    <w:p>
      <w:pPr>
        <w:snapToGrid w:val="0"/>
        <w:spacing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49"/>
        <w:tblpPr w:leftFromText="180" w:rightFromText="180" w:vertAnchor="text" w:tblpY="219"/>
        <w:tblW w:w="95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auto"/>
                <w:sz w:val="28"/>
                <w:highlight w:val="none"/>
                <w:u w:color="000000"/>
              </w:rPr>
            </w:pPr>
            <w:r>
              <w:rPr>
                <w:rFonts w:hint="eastAsia" w:ascii="宋体" w:hAnsi="宋体"/>
                <w:color w:val="auto"/>
                <w:sz w:val="28"/>
                <w:highlight w:val="none"/>
              </w:rPr>
              <w:t>简</w:t>
            </w:r>
          </w:p>
          <w:p>
            <w:pPr>
              <w:jc w:val="center"/>
              <w:rPr>
                <w:rFonts w:ascii="宋体" w:hAnsi="宋体"/>
                <w:color w:val="auto"/>
                <w:sz w:val="28"/>
                <w:highlight w:val="none"/>
              </w:rPr>
            </w:pPr>
          </w:p>
          <w:p>
            <w:pPr>
              <w:jc w:val="center"/>
              <w:rPr>
                <w:rFonts w:ascii="宋体" w:hAnsi="宋体"/>
                <w:color w:val="auto"/>
                <w:sz w:val="28"/>
                <w:highlight w:val="none"/>
              </w:rPr>
            </w:pPr>
          </w:p>
          <w:p>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auto"/>
                <w:highlight w:val="none"/>
                <w:u w:color="000000"/>
              </w:rPr>
            </w:pPr>
          </w:p>
        </w:tc>
      </w:tr>
    </w:tbl>
    <w:p>
      <w:pPr>
        <w:rPr>
          <w:rFonts w:ascii="宋体" w:hAnsi="宋体"/>
          <w:bCs/>
          <w:snapToGrid w:val="0"/>
          <w:color w:val="auto"/>
          <w:highlight w:val="none"/>
        </w:rPr>
      </w:pPr>
    </w:p>
    <w:p>
      <w:pPr>
        <w:snapToGrid w:val="0"/>
        <w:spacing w:before="50" w:afterLines="50"/>
        <w:jc w:val="left"/>
        <w:rPr>
          <w:rFonts w:ascii="宋体" w:hAnsi="宋体"/>
          <w:color w:val="auto"/>
          <w:spacing w:val="20"/>
          <w:sz w:val="24"/>
          <w:highlight w:val="none"/>
        </w:rPr>
      </w:pPr>
      <w:bookmarkStart w:id="60" w:name="_Hlk60757472"/>
      <w:r>
        <w:rPr>
          <w:rFonts w:hint="eastAsia" w:ascii="宋体" w:hAnsi="宋体"/>
          <w:color w:val="auto"/>
          <w:spacing w:val="20"/>
          <w:sz w:val="24"/>
          <w:highlight w:val="none"/>
        </w:rPr>
        <w:t>法定代表人签字（或盖章）：            投标人（盖章）：</w:t>
      </w:r>
    </w:p>
    <w:p>
      <w:pPr>
        <w:snapToGrid w:val="0"/>
        <w:spacing w:before="50" w:afterLines="50"/>
        <w:jc w:val="left"/>
        <w:rPr>
          <w:rFonts w:ascii="宋体" w:hAnsi="宋体"/>
          <w:color w:val="auto"/>
          <w:sz w:val="24"/>
          <w:szCs w:val="20"/>
          <w:highlight w:val="none"/>
        </w:rPr>
      </w:pPr>
      <w:r>
        <w:rPr>
          <w:rFonts w:hint="eastAsia" w:ascii="宋体" w:hAnsi="宋体"/>
          <w:color w:val="auto"/>
          <w:sz w:val="24"/>
          <w:szCs w:val="20"/>
          <w:highlight w:val="none"/>
        </w:rPr>
        <w:t>日期：</w:t>
      </w:r>
    </w:p>
    <w:p>
      <w:pPr>
        <w:snapToGrid w:val="0"/>
        <w:spacing w:before="50" w:afterLines="50"/>
        <w:jc w:val="left"/>
        <w:rPr>
          <w:rFonts w:ascii="宋体" w:hAnsi="宋体"/>
          <w:color w:val="auto"/>
          <w:sz w:val="24"/>
          <w:highlight w:val="none"/>
        </w:rPr>
      </w:pPr>
    </w:p>
    <w:bookmarkEnd w:id="60"/>
    <w:p>
      <w:pPr>
        <w:snapToGrid w:val="0"/>
        <w:spacing w:before="50" w:afterLines="50"/>
        <w:jc w:val="left"/>
        <w:rPr>
          <w:rFonts w:ascii="宋体" w:hAnsi="宋体"/>
          <w:color w:val="auto"/>
          <w:sz w:val="24"/>
          <w:szCs w:val="20"/>
          <w:highlight w:val="none"/>
        </w:rPr>
      </w:pPr>
      <w:r>
        <w:rPr>
          <w:rFonts w:hint="eastAsia" w:ascii="宋体" w:hAnsi="宋体"/>
          <w:color w:val="auto"/>
          <w:sz w:val="24"/>
          <w:highlight w:val="none"/>
        </w:rPr>
        <w:t>9、项目实施人员一览表格式</w:t>
      </w:r>
    </w:p>
    <w:p>
      <w:pPr>
        <w:snapToGrid w:val="0"/>
        <w:spacing w:before="50" w:afterLines="50"/>
        <w:jc w:val="left"/>
        <w:rPr>
          <w:rFonts w:ascii="宋体" w:hAnsi="宋体"/>
          <w:color w:val="auto"/>
          <w:sz w:val="24"/>
          <w:szCs w:val="20"/>
          <w:highlight w:val="none"/>
        </w:rPr>
      </w:pPr>
    </w:p>
    <w:p>
      <w:pPr>
        <w:snapToGrid w:val="0"/>
        <w:spacing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pPr>
        <w:snapToGrid w:val="0"/>
        <w:spacing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pStyle w:val="30"/>
              <w:snapToGrid w:val="0"/>
              <w:spacing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highlight w:val="none"/>
              </w:rPr>
            </w:pPr>
          </w:p>
        </w:tc>
      </w:tr>
    </w:tbl>
    <w:p>
      <w:pPr>
        <w:snapToGrid w:val="0"/>
        <w:spacing w:beforeLines="50" w:after="50" w:line="480" w:lineRule="auto"/>
        <w:rPr>
          <w:rFonts w:ascii="宋体" w:hAnsi="宋体"/>
          <w:bCs/>
          <w:color w:val="auto"/>
          <w:sz w:val="24"/>
          <w:highlight w:val="none"/>
        </w:rPr>
      </w:pPr>
    </w:p>
    <w:p>
      <w:pPr>
        <w:snapToGrid w:val="0"/>
        <w:spacing w:before="5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pPr>
        <w:snapToGrid w:val="0"/>
        <w:spacing w:before="50" w:afterLines="50" w:line="360" w:lineRule="auto"/>
        <w:jc w:val="left"/>
        <w:rPr>
          <w:rFonts w:ascii="宋体" w:hAnsi="宋体"/>
          <w:color w:val="auto"/>
          <w:sz w:val="24"/>
          <w:szCs w:val="20"/>
          <w:highlight w:val="none"/>
        </w:rPr>
      </w:pPr>
    </w:p>
    <w:p>
      <w:pPr>
        <w:snapToGrid w:val="0"/>
        <w:spacing w:before="50" w:afterLines="50" w:line="360" w:lineRule="auto"/>
        <w:jc w:val="left"/>
        <w:rPr>
          <w:rFonts w:ascii="宋体" w:hAnsi="宋体"/>
          <w:color w:val="auto"/>
          <w:sz w:val="24"/>
          <w:szCs w:val="20"/>
          <w:highlight w:val="none"/>
        </w:rPr>
      </w:pPr>
    </w:p>
    <w:p>
      <w:pPr>
        <w:snapToGrid w:val="0"/>
        <w:spacing w:before="50" w:after="50" w:line="360" w:lineRule="auto"/>
        <w:rPr>
          <w:rFonts w:ascii="宋体" w:hAnsi="宋体"/>
          <w:color w:val="auto"/>
          <w:sz w:val="24"/>
          <w:szCs w:val="20"/>
          <w:highlight w:val="none"/>
        </w:rPr>
      </w:pPr>
      <w:r>
        <w:rPr>
          <w:rFonts w:hint="eastAsia" w:ascii="宋体" w:hAnsi="宋体"/>
          <w:color w:val="auto"/>
          <w:spacing w:val="20"/>
          <w:sz w:val="24"/>
          <w:highlight w:val="none"/>
        </w:rPr>
        <w:t xml:space="preserve">法定代表人签字（或盖章）：            投标人（盖章）：          </w:t>
      </w:r>
    </w:p>
    <w:p>
      <w:pPr>
        <w:pStyle w:val="29"/>
        <w:snapToGrid w:val="0"/>
        <w:spacing w:beforeLines="0" w:afterLines="0" w:line="240" w:lineRule="auto"/>
        <w:rPr>
          <w:rFonts w:hAnsi="宋体"/>
          <w:color w:val="auto"/>
          <w:highlight w:val="none"/>
        </w:rPr>
        <w:sectPr>
          <w:footerReference r:id="rId5" w:type="default"/>
          <w:pgSz w:w="11906" w:h="16838"/>
          <w:pgMar w:top="1134" w:right="1361" w:bottom="1134" w:left="1361" w:header="567" w:footer="454" w:gutter="0"/>
          <w:pgNumType w:start="1"/>
          <w:cols w:space="720" w:num="1"/>
          <w:docGrid w:linePitch="286" w:charSpace="0"/>
        </w:sectPr>
      </w:pPr>
      <w:r>
        <w:rPr>
          <w:rFonts w:hint="eastAsia" w:hAnsi="宋体"/>
          <w:color w:val="auto"/>
          <w:highlight w:val="none"/>
        </w:rPr>
        <w:t>日期：</w:t>
      </w:r>
    </w:p>
    <w:p>
      <w:pPr>
        <w:snapToGrid w:val="0"/>
        <w:spacing w:before="50" w:afterLines="50"/>
        <w:ind w:firstLine="360" w:firstLineChars="150"/>
        <w:jc w:val="left"/>
        <w:rPr>
          <w:rFonts w:ascii="宋体" w:hAnsi="宋体"/>
          <w:color w:val="auto"/>
          <w:sz w:val="24"/>
          <w:highlight w:val="none"/>
        </w:rPr>
      </w:pPr>
      <w:r>
        <w:rPr>
          <w:rFonts w:hint="eastAsia" w:ascii="宋体" w:hAnsi="宋体"/>
          <w:color w:val="auto"/>
          <w:sz w:val="24"/>
          <w:highlight w:val="none"/>
        </w:rPr>
        <w:t>10.投标人类似合同案例一览表格式：</w:t>
      </w:r>
    </w:p>
    <w:p>
      <w:pPr>
        <w:snapToGrid w:val="0"/>
        <w:spacing w:before="5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pPr>
        <w:snapToGrid w:val="0"/>
        <w:spacing w:beforeLines="50" w:after="50" w:line="480" w:lineRule="auto"/>
        <w:ind w:firstLine="1068" w:firstLineChars="445"/>
        <w:rPr>
          <w:rFonts w:ascii="宋体" w:hAnsi="宋体"/>
          <w:bCs/>
          <w:color w:val="auto"/>
          <w:sz w:val="24"/>
          <w:highlight w:val="none"/>
        </w:rPr>
      </w:pPr>
    </w:p>
    <w:p>
      <w:pPr>
        <w:snapToGrid w:val="0"/>
        <w:spacing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szCs w:val="20"/>
                <w:highlight w:val="none"/>
              </w:rPr>
            </w:pPr>
          </w:p>
        </w:tc>
      </w:tr>
    </w:tbl>
    <w:p>
      <w:pPr>
        <w:pStyle w:val="14"/>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14"/>
        <w:snapToGrid w:val="0"/>
        <w:ind w:firstLine="360" w:firstLineChars="150"/>
        <w:rPr>
          <w:rFonts w:ascii="宋体" w:hAnsi="宋体" w:eastAsia="宋体"/>
          <w:color w:val="auto"/>
          <w:sz w:val="24"/>
          <w:szCs w:val="24"/>
          <w:highlight w:val="none"/>
        </w:rPr>
      </w:pPr>
    </w:p>
    <w:p>
      <w:pPr>
        <w:pStyle w:val="14"/>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法定代表人签字（或盖章）：                            投标人（盖章）：                    日期：</w:t>
      </w:r>
    </w:p>
    <w:p>
      <w:pPr>
        <w:pStyle w:val="14"/>
        <w:snapToGrid w:val="0"/>
        <w:rPr>
          <w:rFonts w:ascii="宋体" w:hAnsi="宋体" w:eastAsia="宋体"/>
          <w:color w:val="auto"/>
          <w:sz w:val="24"/>
          <w:szCs w:val="24"/>
          <w:highlight w:val="none"/>
        </w:rPr>
        <w:sectPr>
          <w:pgSz w:w="16838" w:h="11906" w:orient="landscape"/>
          <w:pgMar w:top="1361" w:right="1134" w:bottom="1361" w:left="1134" w:header="567" w:footer="454" w:gutter="0"/>
          <w:cols w:space="720" w:num="1"/>
        </w:sectPr>
      </w:pPr>
    </w:p>
    <w:p>
      <w:pPr>
        <w:snapToGrid w:val="0"/>
        <w:spacing w:before="50" w:afterLines="50"/>
        <w:jc w:val="left"/>
        <w:rPr>
          <w:rFonts w:ascii="宋体" w:hAnsi="宋体"/>
          <w:color w:val="auto"/>
          <w:sz w:val="24"/>
          <w:highlight w:val="none"/>
        </w:rPr>
      </w:pPr>
      <w:bookmarkStart w:id="61" w:name="_Hlk77588362"/>
      <w:r>
        <w:rPr>
          <w:rFonts w:ascii="宋体" w:hAnsi="宋体"/>
          <w:color w:val="auto"/>
          <w:sz w:val="24"/>
          <w:highlight w:val="none"/>
        </w:rPr>
        <w:t>1</w:t>
      </w:r>
      <w:r>
        <w:rPr>
          <w:rFonts w:hint="eastAsia" w:ascii="宋体" w:hAnsi="宋体"/>
          <w:color w:val="auto"/>
          <w:sz w:val="24"/>
          <w:highlight w:val="none"/>
        </w:rPr>
        <w:t>1.售后服务网点情况表格式：</w:t>
      </w:r>
    </w:p>
    <w:p>
      <w:pPr>
        <w:snapToGrid w:val="0"/>
        <w:spacing w:before="50" w:afterLines="50"/>
        <w:jc w:val="left"/>
        <w:rPr>
          <w:rFonts w:ascii="宋体" w:hAnsi="宋体"/>
          <w:color w:val="auto"/>
          <w:sz w:val="24"/>
          <w:highlight w:val="none"/>
        </w:rPr>
      </w:pPr>
      <w:r>
        <w:rPr>
          <w:rFonts w:hint="eastAsia" w:ascii="宋体" w:hAnsi="宋体"/>
          <w:color w:val="auto"/>
          <w:sz w:val="24"/>
          <w:highlight w:val="none"/>
        </w:rPr>
        <w:t xml:space="preserve"> </w:t>
      </w:r>
    </w:p>
    <w:p>
      <w:pPr>
        <w:pStyle w:val="38"/>
        <w:snapToGrid w:val="0"/>
        <w:ind w:left="480" w:hanging="480"/>
        <w:rPr>
          <w:rFonts w:ascii="宋体" w:hAnsi="宋体"/>
          <w:color w:val="auto"/>
          <w:sz w:val="24"/>
          <w:highlight w:val="none"/>
        </w:rPr>
      </w:pPr>
    </w:p>
    <w:p>
      <w:pPr>
        <w:pStyle w:val="38"/>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pPr>
        <w:snapToGrid w:val="0"/>
        <w:spacing w:beforeLines="50" w:after="50" w:line="360" w:lineRule="auto"/>
        <w:jc w:val="center"/>
        <w:rPr>
          <w:rFonts w:ascii="宋体" w:hAnsi="宋体"/>
          <w:color w:val="auto"/>
          <w:sz w:val="24"/>
          <w:highlight w:val="none"/>
        </w:rPr>
      </w:pPr>
    </w:p>
    <w:p>
      <w:pPr>
        <w:snapToGrid w:val="0"/>
        <w:spacing w:beforeLines="50" w:after="50" w:line="480" w:lineRule="auto"/>
        <w:rPr>
          <w:rFonts w:ascii="宋体" w:hAnsi="宋体"/>
          <w:color w:val="auto"/>
          <w:sz w:val="24"/>
          <w:highlight w:val="none"/>
        </w:rPr>
      </w:pPr>
      <w:r>
        <w:rPr>
          <w:rFonts w:hint="eastAsia" w:ascii="宋体" w:hAnsi="宋体"/>
          <w:color w:val="auto"/>
          <w:sz w:val="24"/>
          <w:highlight w:val="none"/>
        </w:rPr>
        <w:t>项目名称：</w:t>
      </w:r>
    </w:p>
    <w:p>
      <w:pPr>
        <w:snapToGrid w:val="0"/>
        <w:spacing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360" w:lineRule="auto"/>
              <w:ind w:left="120"/>
              <w:jc w:val="left"/>
              <w:rPr>
                <w:rFonts w:ascii="宋体" w:hAnsi="宋体"/>
                <w:color w:val="auto"/>
                <w:sz w:val="24"/>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360" w:lineRule="auto"/>
              <w:jc w:val="left"/>
              <w:rPr>
                <w:rFonts w:ascii="宋体" w:hAnsi="宋体"/>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center"/>
              <w:rPr>
                <w:rFonts w:ascii="宋体" w:hAnsi="宋体"/>
                <w:color w:val="auto"/>
                <w:sz w:val="24"/>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360" w:lineRule="auto"/>
              <w:jc w:val="left"/>
              <w:rPr>
                <w:rFonts w:ascii="宋体" w:hAnsi="宋体"/>
                <w:color w:val="auto"/>
                <w:sz w:val="24"/>
                <w:highlight w:val="none"/>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Lines="50" w:line="360" w:lineRule="auto"/>
              <w:jc w:val="center"/>
              <w:rPr>
                <w:rFonts w:ascii="宋体" w:hAnsi="宋体"/>
                <w:color w:val="auto"/>
                <w:sz w:val="24"/>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auto"/>
              <w:jc w:val="left"/>
              <w:rPr>
                <w:rFonts w:ascii="宋体" w:hAnsi="宋体"/>
                <w:color w:val="auto"/>
                <w:sz w:val="24"/>
                <w:highlight w:val="none"/>
              </w:rPr>
            </w:pPr>
          </w:p>
        </w:tc>
      </w:tr>
    </w:tbl>
    <w:p>
      <w:pPr>
        <w:pStyle w:val="38"/>
        <w:snapToGrid w:val="0"/>
        <w:ind w:left="199" w:hanging="199" w:hangingChars="83"/>
        <w:rPr>
          <w:rFonts w:ascii="宋体" w:hAnsi="宋体"/>
          <w:color w:val="auto"/>
          <w:sz w:val="24"/>
          <w:highlight w:val="none"/>
        </w:rPr>
      </w:pPr>
    </w:p>
    <w:p>
      <w:pPr>
        <w:pStyle w:val="14"/>
        <w:snapToGrid w:val="0"/>
        <w:rPr>
          <w:rFonts w:ascii="宋体" w:hAnsi="宋体" w:eastAsia="宋体"/>
          <w:color w:val="auto"/>
          <w:sz w:val="24"/>
          <w:highlight w:val="none"/>
        </w:rPr>
      </w:pPr>
    </w:p>
    <w:p>
      <w:pPr>
        <w:pStyle w:val="20"/>
        <w:snapToGrid w:val="0"/>
        <w:rPr>
          <w:rFonts w:ascii="宋体" w:hAnsi="宋体"/>
          <w:color w:val="auto"/>
          <w:sz w:val="24"/>
          <w:highlight w:val="none"/>
        </w:rPr>
      </w:pPr>
      <w:r>
        <w:rPr>
          <w:rFonts w:hint="eastAsia" w:ascii="宋体" w:hAnsi="宋体"/>
          <w:color w:val="auto"/>
          <w:spacing w:val="20"/>
          <w:sz w:val="24"/>
          <w:highlight w:val="none"/>
        </w:rPr>
        <w:t xml:space="preserve">法定代表人签字（或盖章）：            投标人（盖章）： </w:t>
      </w:r>
      <w:r>
        <w:rPr>
          <w:rFonts w:hint="eastAsia" w:ascii="宋体" w:hAnsi="宋体"/>
          <w:color w:val="auto"/>
          <w:sz w:val="24"/>
          <w:highlight w:val="none"/>
        </w:rPr>
        <w:t xml:space="preserve">           　 </w:t>
      </w:r>
    </w:p>
    <w:p>
      <w:pPr>
        <w:pStyle w:val="20"/>
        <w:snapToGrid w:val="0"/>
        <w:rPr>
          <w:rFonts w:ascii="宋体" w:hAnsi="宋体"/>
          <w:color w:val="auto"/>
          <w:sz w:val="24"/>
          <w:highlight w:val="none"/>
        </w:rPr>
      </w:pPr>
    </w:p>
    <w:p>
      <w:pPr>
        <w:pStyle w:val="20"/>
        <w:snapToGrid w:val="0"/>
        <w:ind w:firstLine="5760" w:firstLineChars="2400"/>
        <w:rPr>
          <w:rFonts w:ascii="宋体" w:hAnsi="宋体"/>
          <w:color w:val="auto"/>
          <w:sz w:val="24"/>
          <w:highlight w:val="none"/>
        </w:rPr>
      </w:pPr>
      <w:r>
        <w:rPr>
          <w:rFonts w:hint="eastAsia" w:ascii="宋体" w:hAnsi="宋体"/>
          <w:color w:val="auto"/>
          <w:sz w:val="24"/>
          <w:highlight w:val="none"/>
        </w:rPr>
        <w:t>年    月　 日</w:t>
      </w:r>
    </w:p>
    <w:p>
      <w:pPr>
        <w:snapToGrid w:val="0"/>
        <w:spacing w:before="50" w:afterLines="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r>
        <w:rPr>
          <w:rFonts w:hint="eastAsia" w:ascii="宋体" w:hAnsi="宋体"/>
          <w:color w:val="auto"/>
          <w:sz w:val="24"/>
          <w:highlight w:val="none"/>
        </w:rPr>
        <w:t>12.商务及技术响应表格式：</w:t>
      </w:r>
      <w:bookmarkEnd w:id="61"/>
    </w:p>
    <w:p>
      <w:pPr>
        <w:snapToGrid w:val="0"/>
        <w:spacing w:before="50"/>
        <w:jc w:val="left"/>
        <w:rPr>
          <w:rFonts w:ascii="宋体" w:hAnsi="宋体"/>
          <w:color w:val="auto"/>
          <w:sz w:val="24"/>
          <w:highlight w:val="none"/>
        </w:rPr>
      </w:pPr>
    </w:p>
    <w:p>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pPr>
        <w:snapToGrid w:val="0"/>
        <w:spacing w:beforeLines="50" w:after="50" w:line="360" w:lineRule="auto"/>
        <w:jc w:val="center"/>
        <w:rPr>
          <w:rFonts w:ascii="宋体" w:hAnsi="宋体"/>
          <w:bCs/>
          <w:color w:val="auto"/>
          <w:sz w:val="24"/>
          <w:highlight w:val="none"/>
        </w:rPr>
      </w:pPr>
    </w:p>
    <w:p>
      <w:pPr>
        <w:snapToGrid w:val="0"/>
        <w:spacing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49"/>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pPr>
              <w:snapToGrid w:val="0"/>
              <w:spacing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86"/>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olor w:val="auto"/>
                <w:sz w:val="24"/>
                <w:szCs w:val="20"/>
                <w:highlight w:val="none"/>
              </w:rPr>
            </w:pPr>
          </w:p>
        </w:tc>
      </w:tr>
    </w:tbl>
    <w:p>
      <w:pPr>
        <w:snapToGrid w:val="0"/>
        <w:spacing w:beforeLines="50"/>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注：1.投标人应在商务及技术响应表中将招标文件中列明的商务要求和技术参数要求的正偏离或负偏离的应标内容详细写明，特别是勿遗漏招标文件中打▲的商务和技术要求的应标内容。如果投标人在本响应表中缺失部分招标文件中打▲的商务和技术要求的应标内容，在评标委员会对其进行询标时，投标人未能在规定时间内提供出其投标文件中有该项响应内容，其投标文件将会被判定为无效。</w:t>
      </w:r>
    </w:p>
    <w:p>
      <w:pPr>
        <w:snapToGrid w:val="0"/>
        <w:spacing w:beforeLines="50"/>
        <w:rPr>
          <w:rFonts w:ascii="宋体" w:hAnsi="宋体"/>
          <w:b/>
          <w:color w:val="auto"/>
          <w:sz w:val="24"/>
          <w:szCs w:val="20"/>
          <w:highlight w:val="none"/>
          <w:u w:val="single"/>
          <w:shd w:val="pct10" w:color="auto" w:fill="FFFFFF"/>
        </w:rPr>
      </w:pPr>
      <w:r>
        <w:rPr>
          <w:rFonts w:ascii="宋体" w:hAnsi="宋体"/>
          <w:b/>
          <w:color w:val="auto"/>
          <w:sz w:val="24"/>
          <w:szCs w:val="20"/>
          <w:highlight w:val="none"/>
          <w:u w:val="single"/>
          <w:shd w:val="pct10" w:color="auto" w:fill="FFFFFF"/>
        </w:rPr>
        <w:t>2</w:t>
      </w:r>
      <w:r>
        <w:rPr>
          <w:rFonts w:hint="eastAsia" w:ascii="宋体" w:hAnsi="宋体"/>
          <w:b/>
          <w:color w:val="auto"/>
          <w:sz w:val="24"/>
          <w:szCs w:val="20"/>
          <w:highlight w:val="none"/>
          <w:u w:val="single"/>
          <w:shd w:val="pct10" w:color="auto" w:fill="FFFFFF"/>
        </w:rPr>
        <w:t>、如果仅标注完全响应而不列出详细的应标内容，不予认可该商务及技术条款已作响应。</w:t>
      </w:r>
    </w:p>
    <w:p>
      <w:pPr>
        <w:pStyle w:val="29"/>
        <w:snapToGrid w:val="0"/>
        <w:spacing w:beforeLines="0" w:afterLines="0" w:line="240" w:lineRule="auto"/>
        <w:ind w:firstLine="280" w:firstLineChars="100"/>
        <w:rPr>
          <w:rFonts w:hAnsi="宋体"/>
          <w:color w:val="auto"/>
          <w:spacing w:val="20"/>
          <w:highlight w:val="none"/>
        </w:rPr>
      </w:pPr>
    </w:p>
    <w:p>
      <w:pPr>
        <w:pStyle w:val="29"/>
        <w:snapToGrid w:val="0"/>
        <w:spacing w:beforeLines="0" w:afterLines="0" w:line="240" w:lineRule="auto"/>
        <w:ind w:firstLine="280" w:firstLineChars="100"/>
        <w:rPr>
          <w:rFonts w:hAnsi="宋体"/>
          <w:color w:val="auto"/>
          <w:spacing w:val="20"/>
          <w:highlight w:val="none"/>
        </w:rPr>
      </w:pPr>
    </w:p>
    <w:p>
      <w:pPr>
        <w:pStyle w:val="29"/>
        <w:snapToGrid w:val="0"/>
        <w:spacing w:beforeLines="0" w:afterLines="0" w:line="240" w:lineRule="auto"/>
        <w:ind w:firstLine="280" w:firstLineChars="100"/>
        <w:rPr>
          <w:rFonts w:hAnsi="宋体"/>
          <w:color w:val="auto"/>
          <w:highlight w:val="none"/>
        </w:rPr>
      </w:pPr>
      <w:r>
        <w:rPr>
          <w:rFonts w:hint="eastAsia" w:hAnsi="宋体"/>
          <w:color w:val="auto"/>
          <w:spacing w:val="20"/>
          <w:highlight w:val="none"/>
        </w:rPr>
        <w:t>法定代表人签字（或盖章）：            投标人（盖章）：</w:t>
      </w:r>
    </w:p>
    <w:p>
      <w:pPr>
        <w:widowControl/>
        <w:jc w:val="left"/>
        <w:rPr>
          <w:rFonts w:ascii="宋体" w:hAnsi="宋体"/>
          <w:color w:val="auto"/>
          <w:sz w:val="24"/>
          <w:highlight w:val="none"/>
        </w:rPr>
      </w:pPr>
      <w:r>
        <w:rPr>
          <w:rFonts w:hint="eastAsia" w:ascii="宋体" w:hAnsi="宋体"/>
          <w:color w:val="auto"/>
          <w:sz w:val="24"/>
          <w:highlight w:val="none"/>
        </w:rPr>
        <w:t xml:space="preserve">  </w:t>
      </w:r>
    </w:p>
    <w:p>
      <w:pPr>
        <w:widowControl/>
        <w:jc w:val="left"/>
        <w:rPr>
          <w:rFonts w:ascii="宋体" w:hAnsi="宋体"/>
          <w:color w:val="auto"/>
          <w:sz w:val="24"/>
          <w:highlight w:val="none"/>
        </w:rPr>
      </w:pPr>
    </w:p>
    <w:p>
      <w:pPr>
        <w:widowControl/>
        <w:ind w:firstLine="240" w:firstLineChars="100"/>
        <w:jc w:val="left"/>
        <w:rPr>
          <w:rFonts w:ascii="宋体" w:hAnsi="宋体"/>
          <w:color w:val="auto"/>
          <w:sz w:val="24"/>
          <w:highlight w:val="none"/>
        </w:rPr>
      </w:pPr>
      <w:r>
        <w:rPr>
          <w:rFonts w:hint="eastAsia" w:ascii="宋体" w:hAnsi="宋体"/>
          <w:color w:val="auto"/>
          <w:sz w:val="24"/>
          <w:highlight w:val="none"/>
        </w:rPr>
        <w:t>日期：</w:t>
      </w:r>
    </w:p>
    <w:p>
      <w:pPr>
        <w:snapToGrid w:val="0"/>
        <w:spacing w:line="400" w:lineRule="exact"/>
        <w:jc w:val="left"/>
        <w:rPr>
          <w:rFonts w:ascii="宋体" w:hAnsi="宋体"/>
          <w:b/>
          <w:color w:val="auto"/>
          <w:sz w:val="24"/>
          <w:highlight w:val="none"/>
        </w:rPr>
      </w:pPr>
      <w:r>
        <w:rPr>
          <w:rFonts w:ascii="宋体" w:hAnsi="宋体"/>
          <w:color w:val="auto"/>
          <w:sz w:val="24"/>
          <w:highlight w:val="none"/>
        </w:rPr>
        <w:br w:type="page"/>
      </w:r>
      <w:bookmarkStart w:id="62" w:name="_Toc265669851"/>
    </w:p>
    <w:p>
      <w:pPr>
        <w:snapToGrid w:val="0"/>
        <w:spacing w:before="50" w:afterLines="50"/>
        <w:jc w:val="center"/>
        <w:outlineLvl w:val="1"/>
        <w:rPr>
          <w:rFonts w:ascii="宋体" w:hAnsi="宋体"/>
          <w:b/>
          <w:color w:val="auto"/>
          <w:sz w:val="30"/>
          <w:szCs w:val="30"/>
          <w:highlight w:val="none"/>
        </w:rPr>
      </w:pPr>
      <w:bookmarkStart w:id="63" w:name="_Toc31460"/>
      <w:bookmarkStart w:id="64" w:name="_Toc466534754"/>
      <w:r>
        <w:rPr>
          <w:rFonts w:hint="eastAsia" w:ascii="宋体" w:hAnsi="宋体"/>
          <w:b/>
          <w:color w:val="auto"/>
          <w:sz w:val="30"/>
          <w:szCs w:val="30"/>
          <w:highlight w:val="none"/>
        </w:rPr>
        <w:t>三、报价文件格式</w:t>
      </w:r>
      <w:bookmarkEnd w:id="62"/>
      <w:bookmarkEnd w:id="63"/>
      <w:bookmarkEnd w:id="64"/>
    </w:p>
    <w:p>
      <w:pPr>
        <w:snapToGrid w:val="0"/>
        <w:spacing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pPr>
        <w:snapToGrid w:val="0"/>
        <w:spacing w:beforeLines="50" w:after="50"/>
        <w:rPr>
          <w:rFonts w:ascii="宋体" w:hAnsi="宋体"/>
          <w:color w:val="auto"/>
          <w:sz w:val="24"/>
          <w:szCs w:val="20"/>
          <w:highlight w:val="none"/>
        </w:rPr>
      </w:pPr>
    </w:p>
    <w:p>
      <w:pPr>
        <w:snapToGrid w:val="0"/>
        <w:spacing w:beforeLines="50" w:after="50"/>
        <w:rPr>
          <w:rFonts w:ascii="宋体" w:hAnsi="宋体"/>
          <w:color w:val="auto"/>
          <w:sz w:val="24"/>
          <w:szCs w:val="20"/>
          <w:highlight w:val="none"/>
        </w:rPr>
      </w:pPr>
    </w:p>
    <w:p>
      <w:pPr>
        <w:snapToGrid w:val="0"/>
        <w:spacing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13.报价文件封面格式： </w:t>
      </w:r>
    </w:p>
    <w:p>
      <w:pPr>
        <w:snapToGrid w:val="0"/>
        <w:spacing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pPr>
        <w:snapToGrid w:val="0"/>
        <w:spacing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Lines="50" w:after="50" w:line="360" w:lineRule="auto"/>
        <w:jc w:val="center"/>
        <w:rPr>
          <w:rFonts w:ascii="宋体" w:hAnsi="宋体"/>
          <w:bCs/>
          <w:color w:val="auto"/>
          <w:sz w:val="28"/>
          <w:szCs w:val="28"/>
          <w:highlight w:val="none"/>
        </w:rPr>
      </w:pPr>
    </w:p>
    <w:p>
      <w:pPr>
        <w:snapToGrid w:val="0"/>
        <w:spacing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pPr>
        <w:pStyle w:val="2"/>
        <w:snapToGrid w:val="0"/>
        <w:spacing w:before="50" w:after="50" w:line="360" w:lineRule="auto"/>
        <w:ind w:firstLine="1164" w:firstLineChars="416"/>
        <w:rPr>
          <w:rFonts w:ascii="宋体" w:hAnsi="宋体"/>
          <w:bCs/>
          <w:color w:val="auto"/>
          <w:sz w:val="28"/>
          <w:szCs w:val="28"/>
          <w:highlight w:val="none"/>
        </w:rPr>
      </w:pP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2"/>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snapToGrid w:val="0"/>
        <w:spacing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pPr>
        <w:snapToGrid w:val="0"/>
        <w:spacing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14.开标一览表格式：</w:t>
      </w:r>
    </w:p>
    <w:p>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pPr>
        <w:snapToGrid w:val="0"/>
        <w:spacing w:beforeLines="50" w:after="50" w:line="480" w:lineRule="auto"/>
        <w:rPr>
          <w:rFonts w:ascii="宋体" w:hAnsi="宋体"/>
          <w:b/>
          <w:color w:val="auto"/>
          <w:sz w:val="24"/>
          <w:highlight w:val="none"/>
        </w:rPr>
      </w:pPr>
    </w:p>
    <w:p>
      <w:pPr>
        <w:snapToGrid w:val="0"/>
        <w:spacing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4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489"/>
        <w:gridCol w:w="1001"/>
        <w:gridCol w:w="880"/>
        <w:gridCol w:w="1110"/>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单价（元/平方米）</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1489" w:type="dxa"/>
            <w:tcBorders>
              <w:top w:val="single" w:color="auto" w:sz="4" w:space="0"/>
              <w:left w:val="single" w:color="auto" w:sz="4" w:space="0"/>
              <w:right w:val="single" w:color="auto" w:sz="4" w:space="0"/>
            </w:tcBorders>
            <w:vAlign w:val="center"/>
          </w:tcPr>
          <w:p>
            <w:pPr>
              <w:widowControl/>
              <w:rPr>
                <w:rFonts w:ascii="宋体" w:hAnsi="宋体" w:cs="宋体"/>
                <w:color w:val="auto"/>
                <w:szCs w:val="21"/>
                <w:highlight w:val="none"/>
              </w:rPr>
            </w:pPr>
            <w:r>
              <w:rPr>
                <w:rFonts w:hint="eastAsia" w:ascii="宋体" w:hAnsi="宋体" w:cs="宋体"/>
                <w:color w:val="auto"/>
                <w:highlight w:val="none"/>
              </w:rPr>
              <w:t>临海市建设工程消防验收技术服务项目</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2000000</w:t>
            </w:r>
          </w:p>
        </w:tc>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平方米</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4583" w:type="dxa"/>
            <w:tcBorders>
              <w:top w:val="single" w:color="auto" w:sz="4" w:space="0"/>
              <w:left w:val="single" w:color="auto" w:sz="4" w:space="0"/>
              <w:right w:val="single" w:color="auto" w:sz="4" w:space="0"/>
            </w:tcBorders>
            <w:vAlign w:val="center"/>
          </w:tcPr>
          <w:p>
            <w:pPr>
              <w:pStyle w:val="29"/>
              <w:snapToGrid w:val="0"/>
              <w:spacing w:beforeLines="0" w:afterLines="0" w:line="240" w:lineRule="auto"/>
              <w:ind w:left="210" w:hanging="210" w:hangingChars="100"/>
              <w:rPr>
                <w:rFonts w:hAnsi="宋体" w:cs="宋体"/>
                <w:bCs/>
                <w:color w:val="auto"/>
                <w:kern w:val="2"/>
                <w:sz w:val="21"/>
                <w:szCs w:val="21"/>
                <w:highlight w:val="none"/>
              </w:rPr>
            </w:pPr>
            <w:r>
              <w:rPr>
                <w:rFonts w:hint="eastAsia" w:hAnsi="宋体" w:cs="宋体"/>
                <w:bCs/>
                <w:color w:val="auto"/>
                <w:kern w:val="2"/>
                <w:sz w:val="21"/>
                <w:szCs w:val="21"/>
                <w:highlight w:val="none"/>
              </w:rPr>
              <w:t>大写：</w:t>
            </w:r>
            <w:r>
              <w:rPr>
                <w:rFonts w:hint="eastAsia" w:hAnsi="宋体" w:cs="宋体"/>
                <w:color w:val="auto"/>
                <w:kern w:val="2"/>
                <w:sz w:val="21"/>
                <w:szCs w:val="21"/>
                <w:highlight w:val="none"/>
              </w:rPr>
              <w:t>人民币</w:t>
            </w:r>
            <w:r>
              <w:rPr>
                <w:rFonts w:hint="eastAsia" w:hAnsi="宋体" w:cs="宋体"/>
                <w:bCs/>
                <w:color w:val="auto"/>
                <w:kern w:val="2"/>
                <w:sz w:val="21"/>
                <w:szCs w:val="21"/>
                <w:highlight w:val="none"/>
                <w:u w:val="single"/>
              </w:rPr>
              <w:t xml:space="preserve">                    </w:t>
            </w:r>
          </w:p>
          <w:p>
            <w:pPr>
              <w:pStyle w:val="29"/>
              <w:snapToGrid w:val="0"/>
              <w:spacing w:beforeLines="0" w:afterLines="0" w:line="240" w:lineRule="auto"/>
              <w:rPr>
                <w:rFonts w:hAnsi="宋体" w:cs="宋体"/>
                <w:bCs/>
                <w:color w:val="auto"/>
                <w:kern w:val="2"/>
                <w:sz w:val="21"/>
                <w:szCs w:val="21"/>
                <w:highlight w:val="none"/>
              </w:rPr>
            </w:pPr>
          </w:p>
          <w:p>
            <w:pPr>
              <w:pStyle w:val="29"/>
              <w:snapToGrid w:val="0"/>
              <w:spacing w:beforeLines="0" w:afterLines="0" w:line="240" w:lineRule="auto"/>
              <w:rPr>
                <w:rFonts w:hAnsi="宋体" w:cs="宋体"/>
                <w:bCs/>
                <w:color w:val="auto"/>
                <w:kern w:val="2"/>
                <w:sz w:val="21"/>
                <w:szCs w:val="21"/>
                <w:highlight w:val="none"/>
              </w:rPr>
            </w:pPr>
            <w:r>
              <w:rPr>
                <w:rFonts w:hint="eastAsia" w:hAnsi="宋体" w:cs="宋体"/>
                <w:bCs/>
                <w:color w:val="auto"/>
                <w:kern w:val="2"/>
                <w:sz w:val="21"/>
                <w:szCs w:val="21"/>
                <w:highlight w:val="none"/>
              </w:rPr>
              <w:t>小写：</w:t>
            </w:r>
            <w:r>
              <w:rPr>
                <w:rFonts w:hint="eastAsia" w:hAnsi="宋体" w:cs="宋体"/>
                <w:bCs/>
                <w:color w:val="auto"/>
                <w:kern w:val="2"/>
                <w:sz w:val="21"/>
                <w:szCs w:val="21"/>
                <w:highlight w:val="none"/>
                <w:u w:val="single"/>
              </w:rPr>
              <w:t xml:space="preserve">￥           </w:t>
            </w:r>
            <w:r>
              <w:rPr>
                <w:rFonts w:hint="eastAsia" w:hAnsi="宋体" w:cs="宋体"/>
                <w:bCs/>
                <w:color w:val="auto"/>
                <w:kern w:val="2"/>
                <w:sz w:val="21"/>
                <w:szCs w:val="21"/>
                <w:highlight w:val="none"/>
              </w:rPr>
              <w:t>元</w:t>
            </w:r>
          </w:p>
          <w:p>
            <w:pPr>
              <w:widowControl/>
              <w:jc w:val="center"/>
              <w:rPr>
                <w:rFonts w:ascii="宋体" w:hAnsi="宋体" w:cs="宋体"/>
                <w:color w:val="auto"/>
                <w:highlight w:val="none"/>
              </w:rPr>
            </w:pPr>
          </w:p>
        </w:tc>
      </w:tr>
    </w:tbl>
    <w:p>
      <w:pPr>
        <w:pStyle w:val="29"/>
        <w:snapToGrid w:val="0"/>
        <w:spacing w:beforeLines="0" w:afterLines="0" w:line="240" w:lineRule="auto"/>
        <w:rPr>
          <w:rFonts w:hAnsi="宋体"/>
          <w:b/>
          <w:color w:val="auto"/>
          <w:highlight w:val="none"/>
        </w:rPr>
      </w:pPr>
    </w:p>
    <w:p>
      <w:pPr>
        <w:snapToGrid w:val="0"/>
        <w:spacing w:before="50" w:afterLines="50" w:line="360" w:lineRule="auto"/>
        <w:jc w:val="left"/>
        <w:rPr>
          <w:rFonts w:ascii="宋体" w:hAnsi="宋体"/>
          <w:color w:val="auto"/>
          <w:sz w:val="24"/>
          <w:szCs w:val="20"/>
          <w:highlight w:val="none"/>
        </w:rPr>
      </w:pPr>
    </w:p>
    <w:p>
      <w:pPr>
        <w:snapToGrid w:val="0"/>
        <w:spacing w:before="5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说明：1.综合单价应包括完成全部技术服务内容所需的一切人工、工具、设备、保险、交通、利润、税金、其它需供应商承担的费用及潜在满足采购人监管要求可能涉及的一切费用。</w:t>
      </w:r>
    </w:p>
    <w:p>
      <w:pPr>
        <w:snapToGrid w:val="0"/>
        <w:spacing w:before="50" w:afterLines="50" w:line="360" w:lineRule="auto"/>
        <w:ind w:firstLine="720" w:firstLineChars="300"/>
        <w:jc w:val="left"/>
        <w:rPr>
          <w:rFonts w:ascii="宋体" w:hAnsi="宋体"/>
          <w:color w:val="auto"/>
          <w:sz w:val="24"/>
          <w:szCs w:val="20"/>
          <w:highlight w:val="none"/>
        </w:rPr>
      </w:pPr>
      <w:r>
        <w:rPr>
          <w:rFonts w:hint="eastAsia" w:ascii="宋体" w:hAnsi="宋体"/>
          <w:color w:val="auto"/>
          <w:sz w:val="24"/>
          <w:szCs w:val="20"/>
          <w:highlight w:val="none"/>
        </w:rPr>
        <w:t>2.综合单价报价不得超过0.5元/平方米，否则按无效标处理。</w:t>
      </w: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color w:val="auto"/>
          <w:spacing w:val="20"/>
          <w:highlight w:val="none"/>
        </w:rPr>
      </w:pPr>
      <w:r>
        <w:rPr>
          <w:rFonts w:hint="eastAsia" w:hAnsi="宋体"/>
          <w:color w:val="auto"/>
          <w:spacing w:val="20"/>
          <w:highlight w:val="none"/>
        </w:rPr>
        <w:t xml:space="preserve">法定代表人签字（或盖章）：            投标人（盖章）：  </w:t>
      </w: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r>
        <w:rPr>
          <w:rFonts w:hint="eastAsia" w:hAnsi="宋体"/>
          <w:color w:val="auto"/>
          <w:highlight w:val="none"/>
        </w:rPr>
        <w:t>日期：</w:t>
      </w: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r>
        <w:rPr>
          <w:rFonts w:hAnsi="宋体"/>
          <w:color w:val="auto"/>
          <w:highlight w:val="none"/>
        </w:rPr>
        <w:br w:type="page"/>
      </w:r>
      <w:bookmarkStart w:id="65" w:name="_Hlk78207720"/>
    </w:p>
    <w:p>
      <w:pPr>
        <w:pStyle w:val="29"/>
        <w:snapToGrid w:val="0"/>
        <w:spacing w:beforeLines="0" w:afterLines="0" w:line="240" w:lineRule="auto"/>
        <w:rPr>
          <w:rFonts w:hAnsi="宋体"/>
          <w:color w:val="auto"/>
          <w:highlight w:val="none"/>
        </w:rPr>
      </w:pPr>
    </w:p>
    <w:bookmarkEnd w:id="65"/>
    <w:p>
      <w:pPr>
        <w:snapToGrid w:val="0"/>
        <w:spacing w:line="360" w:lineRule="auto"/>
        <w:rPr>
          <w:rFonts w:hAnsi="宋体"/>
          <w:color w:val="auto"/>
          <w:sz w:val="24"/>
          <w:highlight w:val="none"/>
        </w:rPr>
      </w:pPr>
      <w:r>
        <w:rPr>
          <w:rFonts w:hint="eastAsia" w:hAnsi="宋体"/>
          <w:color w:val="auto"/>
          <w:sz w:val="24"/>
          <w:highlight w:val="none"/>
        </w:rPr>
        <w:t>15.政府采购活动现场确认声明书</w:t>
      </w:r>
    </w:p>
    <w:p>
      <w:pPr>
        <w:snapToGrid w:val="0"/>
        <w:spacing w:line="500" w:lineRule="exact"/>
        <w:jc w:val="center"/>
        <w:rPr>
          <w:rFonts w:ascii="方正小标宋简体" w:hAnsi="方正小标宋简体" w:eastAsia="方正小标宋简体" w:cs="方正小标宋简体"/>
          <w:color w:val="auto"/>
          <w:sz w:val="44"/>
          <w:szCs w:val="44"/>
          <w:highlight w:val="none"/>
        </w:rPr>
      </w:pPr>
    </w:p>
    <w:p>
      <w:pPr>
        <w:snapToGrid w:val="0"/>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pP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（采购组织机构名称）：</w:t>
      </w:r>
    </w:p>
    <w:p>
      <w:pPr>
        <w:widowControl/>
        <w:spacing w:line="360" w:lineRule="exact"/>
        <w:ind w:firstLine="504" w:firstLineChars="200"/>
        <w:jc w:val="left"/>
        <w:rPr>
          <w:rFonts w:ascii="宋体" w:hAnsi="宋体"/>
          <w:color w:val="auto"/>
          <w:kern w:val="0"/>
          <w:sz w:val="24"/>
          <w:highlight w:val="none"/>
        </w:rPr>
      </w:pPr>
      <w:r>
        <w:rPr>
          <w:rFonts w:hint="eastAsia" w:ascii="仿宋" w:hAnsi="仿宋"/>
          <w:color w:val="auto"/>
          <w:spacing w:val="6"/>
          <w:kern w:val="0"/>
          <w:sz w:val="24"/>
          <w:highlight w:val="none"/>
        </w:rPr>
        <w:t>本人经由</w:t>
      </w:r>
      <w:r>
        <w:rPr>
          <w:rFonts w:hint="eastAsia" w:ascii="仿宋" w:hAnsi="仿宋"/>
          <w:color w:val="auto"/>
          <w:spacing w:val="6"/>
          <w:kern w:val="0"/>
          <w:sz w:val="24"/>
          <w:highlight w:val="none"/>
          <w:u w:val="single"/>
        </w:rPr>
        <w:t xml:space="preserve">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单位</w:t>
      </w:r>
      <w:r>
        <w:rPr>
          <w:rFonts w:hint="eastAsia" w:ascii="仿宋" w:hAnsi="仿宋"/>
          <w:color w:val="auto"/>
          <w:spacing w:val="6"/>
          <w:kern w:val="0"/>
          <w:sz w:val="24"/>
          <w:highlight w:val="none"/>
          <w:u w:val="single"/>
        </w:rPr>
        <w:t xml:space="preserve">         (法人代表)</w:t>
      </w:r>
      <w:r>
        <w:rPr>
          <w:rFonts w:hint="eastAsia" w:ascii="仿宋" w:hAnsi="仿宋"/>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仿宋" w:hAnsi="仿宋"/>
          <w:color w:val="auto"/>
          <w:spacing w:val="6"/>
          <w:kern w:val="0"/>
          <w:sz w:val="24"/>
          <w:highlight w:val="none"/>
          <w:u w:val="single"/>
        </w:rPr>
        <w:t xml:space="preserve">（编号： </w:t>
      </w:r>
      <w:r>
        <w:rPr>
          <w:rFonts w:ascii="仿宋" w:hAnsi="仿宋"/>
          <w:color w:val="auto"/>
          <w:spacing w:val="6"/>
          <w:kern w:val="0"/>
          <w:sz w:val="24"/>
          <w:highlight w:val="none"/>
          <w:u w:val="single"/>
        </w:rPr>
        <w:t xml:space="preserve">      ）</w:t>
      </w:r>
      <w:r>
        <w:rPr>
          <w:rFonts w:hint="eastAsia" w:ascii="仿宋" w:hAnsi="仿宋"/>
          <w:color w:val="auto"/>
          <w:spacing w:val="6"/>
          <w:kern w:val="0"/>
          <w:sz w:val="24"/>
          <w:highlight w:val="none"/>
        </w:rPr>
        <w:t>政府采购活动，经与本单位法人代表（负责人）联系确认，现就有关公平竞争事项郑重声明如下：</w:t>
      </w:r>
    </w:p>
    <w:p>
      <w:pPr>
        <w:widowControl/>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pPr>
        <w:widowControl/>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pPr>
        <w:widowControl/>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pPr>
        <w:widowControl/>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pPr>
        <w:widowControl/>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法定代表人或负责人或实际控制人是同一人</w:t>
      </w:r>
    </w:p>
    <w:p>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B.</w:t>
      </w:r>
      <w:r>
        <w:rPr>
          <w:rFonts w:hint="eastAsia" w:ascii="仿宋" w:hAnsi="仿宋"/>
          <w:color w:val="auto"/>
          <w:kern w:val="0"/>
          <w:sz w:val="24"/>
          <w:highlight w:val="none"/>
        </w:rPr>
        <w:t>法定代表人或负责人或实际控制人是夫妻关系</w:t>
      </w:r>
    </w:p>
    <w:p>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pP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pP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G.</w:t>
      </w:r>
      <w:r>
        <w:rPr>
          <w:rFonts w:hint="eastAsia" w:ascii="仿宋" w:hAnsi="仿宋"/>
          <w:color w:val="auto"/>
          <w:kern w:val="0"/>
          <w:sz w:val="24"/>
          <w:highlight w:val="none"/>
        </w:rPr>
        <w:t>存在共同直接或间接投资设立子公司、联营企业和合营企业情况</w:t>
      </w:r>
    </w:p>
    <w:p>
      <w:pP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pPr>
        <w:snapToGrid w:val="0"/>
        <w:spacing w:line="440" w:lineRule="exact"/>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pPr>
        <w:widowControl/>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pPr>
        <w:widowControl/>
        <w:snapToGrid w:val="0"/>
        <w:spacing w:line="440" w:lineRule="exact"/>
        <w:rPr>
          <w:rFonts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pPr>
        <w:snapToGrid w:val="0"/>
        <w:spacing w:line="500" w:lineRule="exact"/>
        <w:ind w:firstLine="482" w:firstLineChars="200"/>
        <w:rPr>
          <w:rFonts w:ascii="仿宋" w:eastAsia="仿宋"/>
          <w:color w:val="auto"/>
          <w:sz w:val="24"/>
          <w:highlight w:val="none"/>
        </w:rPr>
      </w:pPr>
      <w:r>
        <w:rPr>
          <w:rFonts w:hint="eastAsia" w:ascii="仿宋" w:hAnsi="仿宋"/>
          <w:b/>
          <w:color w:val="auto"/>
          <w:sz w:val="24"/>
          <w:highlight w:val="none"/>
        </w:rPr>
        <w:t>供应商代表签名：</w:t>
      </w:r>
    </w:p>
    <w:p>
      <w:pPr>
        <w:ind w:firstLine="5880" w:firstLineChars="2450"/>
        <w:rPr>
          <w:color w:val="auto"/>
          <w:highlight w:val="none"/>
        </w:rPr>
      </w:pPr>
      <w:r>
        <w:rPr>
          <w:rFonts w:hint="eastAsia" w:ascii="仿宋" w:hAnsi="仿宋"/>
          <w:color w:val="auto"/>
          <w:sz w:val="24"/>
          <w:highlight w:val="none"/>
        </w:rPr>
        <w:t>年</w:t>
      </w:r>
      <w:r>
        <w:rPr>
          <w:rFonts w:ascii="仿宋" w:hAnsi="仿宋"/>
          <w:color w:val="auto"/>
          <w:sz w:val="24"/>
          <w:highlight w:val="none"/>
        </w:rPr>
        <w:t xml:space="preserve">  </w:t>
      </w:r>
      <w:r>
        <w:rPr>
          <w:rFonts w:hint="eastAsia" w:ascii="仿宋" w:hAnsi="仿宋"/>
          <w:color w:val="auto"/>
          <w:sz w:val="24"/>
          <w:highlight w:val="none"/>
        </w:rPr>
        <w:t>月</w:t>
      </w:r>
      <w:r>
        <w:rPr>
          <w:rFonts w:ascii="仿宋" w:hAnsi="仿宋"/>
          <w:color w:val="auto"/>
          <w:sz w:val="24"/>
          <w:highlight w:val="none"/>
        </w:rPr>
        <w:t xml:space="preserve">   </w:t>
      </w:r>
      <w:r>
        <w:rPr>
          <w:rFonts w:hint="eastAsia" w:ascii="仿宋" w:hAnsi="仿宋"/>
          <w:color w:val="auto"/>
          <w:sz w:val="24"/>
          <w:highlight w:val="none"/>
        </w:rPr>
        <w:t>日</w:t>
      </w:r>
    </w:p>
    <w:sectPr>
      <w:footerReference r:id="rId6" w:type="default"/>
      <w:footerReference r:id="rId7" w:type="even"/>
      <w:pgSz w:w="11906" w:h="16838"/>
      <w:pgMar w:top="1134" w:right="1361" w:bottom="1134" w:left="1361" w:header="567"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decorative"/>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decorative"/>
    <w:pitch w:val="default"/>
    <w:sig w:usb0="00000000" w:usb1="00000000" w:usb2="00000010" w:usb3="00000000" w:csb0="00040000" w:csb1="00000000"/>
  </w:font>
  <w:font w:name="EtGsHeiBold">
    <w:altName w:val="宋体"/>
    <w:panose1 w:val="00000000000000000000"/>
    <w:charset w:val="86"/>
    <w:family w:val="auto"/>
    <w:pitch w:val="default"/>
    <w:sig w:usb0="00000000" w:usb1="00000000" w:usb2="00000010" w:usb3="00000000" w:csb0="00040000" w:csb1="00000000"/>
  </w:font>
  <w:font w:name="Swis721 Lt BT">
    <w:altName w:val="Yu Gothic UI Semiligh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decorative"/>
    <w:pitch w:val="default"/>
    <w:sig w:usb0="00000000" w:usb1="00000000" w:usb2="00000010" w:usb3="00000000" w:csb0="00040000" w:csb1="00000000"/>
  </w:font>
  <w:font w:name="Garamond">
    <w:panose1 w:val="02020404030301010803"/>
    <w:charset w:val="00"/>
    <w:family w:val="swiss"/>
    <w:pitch w:val="default"/>
    <w:sig w:usb0="00000287" w:usb1="00000000" w:usb2="00000000" w:usb3="00000000" w:csb0="0000009F" w:csb1="DFD70000"/>
  </w:font>
  <w:font w:name="昆仑仿宋">
    <w:altName w:val="仿宋"/>
    <w:panose1 w:val="00000000000000000000"/>
    <w:charset w:val="86"/>
    <w:family w:val="decorative"/>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pPr>
                  <w:pStyle w:val="34"/>
                  <w:jc w:val="right"/>
                </w:pPr>
                <w:r>
                  <w:fldChar w:fldCharType="begin"/>
                </w:r>
                <w:r>
                  <w:instrText xml:space="preserve">PAGE   \* MERGEFORMAT</w:instrText>
                </w:r>
                <w:r>
                  <w:fldChar w:fldCharType="separate"/>
                </w:r>
                <w:r>
                  <w:rPr>
                    <w:lang w:val="zh-CN"/>
                  </w:rPr>
                  <w:t>24</w:t>
                </w:r>
                <w:r>
                  <w:rPr>
                    <w:lang w:val="zh-CN"/>
                  </w:rPr>
                  <w:fldChar w:fldCharType="end"/>
                </w:r>
              </w:p>
            </w:txbxContent>
          </v:textbox>
        </v:shape>
      </w:pic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path/>
          <v:fill on="f" focussize="0,0"/>
          <v:stroke on="f" joinstyle="miter"/>
          <v:imagedata o:title=""/>
          <o:lock v:ext="edit"/>
          <v:textbox inset="0mm,0mm,0mm,0mm" style="mso-fit-shape-to-text:t;">
            <w:txbxContent>
              <w:p>
                <w:pPr>
                  <w:pStyle w:val="34"/>
                  <w:rPr>
                    <w:rStyle w:val="53"/>
                  </w:rPr>
                </w:pPr>
                <w:r>
                  <w:fldChar w:fldCharType="begin"/>
                </w:r>
                <w:r>
                  <w:rPr>
                    <w:rStyle w:val="53"/>
                  </w:rPr>
                  <w:instrText xml:space="preserve">PAGE  </w:instrText>
                </w:r>
                <w:r>
                  <w:fldChar w:fldCharType="separate"/>
                </w:r>
                <w:r>
                  <w:rPr>
                    <w:rStyle w:val="53"/>
                  </w:rP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right"/>
      <w:rPr>
        <w:rFonts w:ascii="宋体" w:hAnsi="宋体" w:eastAsia="宋体" w:cs="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0"/>
      </w:pBdr>
      <w:jc w:val="right"/>
      <w:rPr>
        <w:rFonts w:ascii="宋体" w:hAnsi="宋体" w:eastAsia="宋体" w:cs="宋体"/>
        <w:szCs w:val="18"/>
      </w:rPr>
    </w:pPr>
    <w:r>
      <w:rPr>
        <w:rFonts w:hint="eastAsia" w:ascii="宋体" w:hAnsi="宋体" w:eastAsia="宋体" w:cs="宋体"/>
        <w:szCs w:val="18"/>
      </w:rPr>
      <w:t>临海市建设工程消防验收技术服务项目招标文件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FB286"/>
    <w:multiLevelType w:val="singleLevel"/>
    <w:tmpl w:val="F50FB286"/>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513D49F"/>
    <w:multiLevelType w:val="singleLevel"/>
    <w:tmpl w:val="6513D49F"/>
    <w:lvl w:ilvl="0" w:tentative="0">
      <w:start w:val="0"/>
      <w:numFmt w:val="bullet"/>
      <w:pStyle w:val="308"/>
      <w:lvlText w:val=""/>
      <w:legacy w:legacy="1" w:legacySpace="0" w:legacyIndent="360"/>
      <w:lvlJc w:val="left"/>
      <w:rPr>
        <w:rFonts w:hint="default" w:ascii="Symbol" w:hAnsi="Symbol"/>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kZTlkZjkxMjM3OTYwZjMwMGQ4MTQyNDU2MzJmZjEifQ=="/>
  </w:docVars>
  <w:rsids>
    <w:rsidRoot w:val="000008D7"/>
    <w:rsid w:val="000000D7"/>
    <w:rsid w:val="000008D7"/>
    <w:rsid w:val="00000982"/>
    <w:rsid w:val="00001012"/>
    <w:rsid w:val="00002483"/>
    <w:rsid w:val="00002CF8"/>
    <w:rsid w:val="00003E16"/>
    <w:rsid w:val="00004E71"/>
    <w:rsid w:val="00005739"/>
    <w:rsid w:val="00005CFF"/>
    <w:rsid w:val="00005DEE"/>
    <w:rsid w:val="00006B0F"/>
    <w:rsid w:val="00010149"/>
    <w:rsid w:val="0001070D"/>
    <w:rsid w:val="0001174B"/>
    <w:rsid w:val="00011CD2"/>
    <w:rsid w:val="00012736"/>
    <w:rsid w:val="00012854"/>
    <w:rsid w:val="00013773"/>
    <w:rsid w:val="00014C16"/>
    <w:rsid w:val="00014DDC"/>
    <w:rsid w:val="0001630F"/>
    <w:rsid w:val="00017AB6"/>
    <w:rsid w:val="00017E53"/>
    <w:rsid w:val="000211DA"/>
    <w:rsid w:val="00021F9D"/>
    <w:rsid w:val="00022148"/>
    <w:rsid w:val="000232A6"/>
    <w:rsid w:val="000238C1"/>
    <w:rsid w:val="000247A9"/>
    <w:rsid w:val="0002495D"/>
    <w:rsid w:val="00024BBF"/>
    <w:rsid w:val="00025397"/>
    <w:rsid w:val="000254C4"/>
    <w:rsid w:val="00025C01"/>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E4C"/>
    <w:rsid w:val="000405F2"/>
    <w:rsid w:val="000408BF"/>
    <w:rsid w:val="0004133E"/>
    <w:rsid w:val="00041400"/>
    <w:rsid w:val="00042B0A"/>
    <w:rsid w:val="00042D09"/>
    <w:rsid w:val="0004358C"/>
    <w:rsid w:val="000443E9"/>
    <w:rsid w:val="00046410"/>
    <w:rsid w:val="000506AD"/>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C05"/>
    <w:rsid w:val="000862C5"/>
    <w:rsid w:val="0008697B"/>
    <w:rsid w:val="00087E16"/>
    <w:rsid w:val="0009006F"/>
    <w:rsid w:val="0009034A"/>
    <w:rsid w:val="00090750"/>
    <w:rsid w:val="00090AB3"/>
    <w:rsid w:val="00090EBE"/>
    <w:rsid w:val="0009159F"/>
    <w:rsid w:val="00091CF5"/>
    <w:rsid w:val="0009253B"/>
    <w:rsid w:val="000926D9"/>
    <w:rsid w:val="000930D4"/>
    <w:rsid w:val="000933E2"/>
    <w:rsid w:val="0009341D"/>
    <w:rsid w:val="00094A6B"/>
    <w:rsid w:val="0009696A"/>
    <w:rsid w:val="00097A26"/>
    <w:rsid w:val="000A060A"/>
    <w:rsid w:val="000A0F94"/>
    <w:rsid w:val="000A4448"/>
    <w:rsid w:val="000A47A9"/>
    <w:rsid w:val="000A6163"/>
    <w:rsid w:val="000A75AC"/>
    <w:rsid w:val="000A7940"/>
    <w:rsid w:val="000B036D"/>
    <w:rsid w:val="000B0C94"/>
    <w:rsid w:val="000B14E8"/>
    <w:rsid w:val="000B2D0E"/>
    <w:rsid w:val="000B490E"/>
    <w:rsid w:val="000B4C85"/>
    <w:rsid w:val="000B4EAE"/>
    <w:rsid w:val="000B515B"/>
    <w:rsid w:val="000B6D7C"/>
    <w:rsid w:val="000C0C00"/>
    <w:rsid w:val="000C0D42"/>
    <w:rsid w:val="000C2016"/>
    <w:rsid w:val="000C3CA7"/>
    <w:rsid w:val="000C467E"/>
    <w:rsid w:val="000C66EB"/>
    <w:rsid w:val="000C7836"/>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7359"/>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93E"/>
    <w:rsid w:val="00130F26"/>
    <w:rsid w:val="001313B7"/>
    <w:rsid w:val="001323AE"/>
    <w:rsid w:val="00134473"/>
    <w:rsid w:val="0013482F"/>
    <w:rsid w:val="00135014"/>
    <w:rsid w:val="0013579A"/>
    <w:rsid w:val="00135814"/>
    <w:rsid w:val="00135B82"/>
    <w:rsid w:val="0013719D"/>
    <w:rsid w:val="001402E8"/>
    <w:rsid w:val="00141CF1"/>
    <w:rsid w:val="00143217"/>
    <w:rsid w:val="00143DD9"/>
    <w:rsid w:val="001442E6"/>
    <w:rsid w:val="00144BC0"/>
    <w:rsid w:val="001450FA"/>
    <w:rsid w:val="001463CF"/>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8F1"/>
    <w:rsid w:val="00162D1F"/>
    <w:rsid w:val="00163000"/>
    <w:rsid w:val="00163DD5"/>
    <w:rsid w:val="00164FE2"/>
    <w:rsid w:val="001655AB"/>
    <w:rsid w:val="00165817"/>
    <w:rsid w:val="00165FBB"/>
    <w:rsid w:val="001668AF"/>
    <w:rsid w:val="001707C2"/>
    <w:rsid w:val="0017080C"/>
    <w:rsid w:val="001709B8"/>
    <w:rsid w:val="00170A1A"/>
    <w:rsid w:val="00170AF8"/>
    <w:rsid w:val="00171E5A"/>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E47"/>
    <w:rsid w:val="00193193"/>
    <w:rsid w:val="001933CE"/>
    <w:rsid w:val="0019594D"/>
    <w:rsid w:val="0019772B"/>
    <w:rsid w:val="001A040C"/>
    <w:rsid w:val="001A0CA1"/>
    <w:rsid w:val="001A11A5"/>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997"/>
    <w:rsid w:val="001C2A56"/>
    <w:rsid w:val="001C5E5D"/>
    <w:rsid w:val="001C5F4F"/>
    <w:rsid w:val="001C710B"/>
    <w:rsid w:val="001D14D8"/>
    <w:rsid w:val="001D1795"/>
    <w:rsid w:val="001D25F4"/>
    <w:rsid w:val="001D27ED"/>
    <w:rsid w:val="001D3780"/>
    <w:rsid w:val="001D49BC"/>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75D7"/>
    <w:rsid w:val="001E7F3C"/>
    <w:rsid w:val="001F2640"/>
    <w:rsid w:val="001F392B"/>
    <w:rsid w:val="001F3E92"/>
    <w:rsid w:val="001F6544"/>
    <w:rsid w:val="001F666D"/>
    <w:rsid w:val="00200040"/>
    <w:rsid w:val="0020128B"/>
    <w:rsid w:val="00201789"/>
    <w:rsid w:val="00201F09"/>
    <w:rsid w:val="00202F5D"/>
    <w:rsid w:val="00203374"/>
    <w:rsid w:val="00203987"/>
    <w:rsid w:val="002048B3"/>
    <w:rsid w:val="00205E8B"/>
    <w:rsid w:val="00206BD1"/>
    <w:rsid w:val="00206CBC"/>
    <w:rsid w:val="002073FD"/>
    <w:rsid w:val="0021041B"/>
    <w:rsid w:val="00210F5C"/>
    <w:rsid w:val="002115C9"/>
    <w:rsid w:val="00211E99"/>
    <w:rsid w:val="00212D31"/>
    <w:rsid w:val="00213376"/>
    <w:rsid w:val="002140DF"/>
    <w:rsid w:val="002150EF"/>
    <w:rsid w:val="002158A3"/>
    <w:rsid w:val="00216145"/>
    <w:rsid w:val="00216B81"/>
    <w:rsid w:val="002201D6"/>
    <w:rsid w:val="00222CC7"/>
    <w:rsid w:val="00224AC6"/>
    <w:rsid w:val="00225F3C"/>
    <w:rsid w:val="00226696"/>
    <w:rsid w:val="00230118"/>
    <w:rsid w:val="00230405"/>
    <w:rsid w:val="00231102"/>
    <w:rsid w:val="00231BE9"/>
    <w:rsid w:val="00232D58"/>
    <w:rsid w:val="0023377F"/>
    <w:rsid w:val="00234C51"/>
    <w:rsid w:val="00234CFA"/>
    <w:rsid w:val="00234DBC"/>
    <w:rsid w:val="0023522F"/>
    <w:rsid w:val="00236025"/>
    <w:rsid w:val="00237195"/>
    <w:rsid w:val="00237311"/>
    <w:rsid w:val="002376EA"/>
    <w:rsid w:val="00237F85"/>
    <w:rsid w:val="002416B3"/>
    <w:rsid w:val="00241B26"/>
    <w:rsid w:val="002423EE"/>
    <w:rsid w:val="00243F54"/>
    <w:rsid w:val="0024470F"/>
    <w:rsid w:val="002447DE"/>
    <w:rsid w:val="00244A69"/>
    <w:rsid w:val="00245FD3"/>
    <w:rsid w:val="0024795F"/>
    <w:rsid w:val="002502E5"/>
    <w:rsid w:val="00250F86"/>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E1E"/>
    <w:rsid w:val="00267E9D"/>
    <w:rsid w:val="002703F5"/>
    <w:rsid w:val="002704A0"/>
    <w:rsid w:val="00270AF3"/>
    <w:rsid w:val="00271033"/>
    <w:rsid w:val="0027225B"/>
    <w:rsid w:val="002732F3"/>
    <w:rsid w:val="0027564C"/>
    <w:rsid w:val="00275BEC"/>
    <w:rsid w:val="0027713A"/>
    <w:rsid w:val="00281C26"/>
    <w:rsid w:val="00281D6C"/>
    <w:rsid w:val="0028211A"/>
    <w:rsid w:val="00283EEB"/>
    <w:rsid w:val="00283F53"/>
    <w:rsid w:val="00284846"/>
    <w:rsid w:val="00287A4C"/>
    <w:rsid w:val="00287CB6"/>
    <w:rsid w:val="00290279"/>
    <w:rsid w:val="00291639"/>
    <w:rsid w:val="002917A2"/>
    <w:rsid w:val="002919BB"/>
    <w:rsid w:val="00292075"/>
    <w:rsid w:val="002931D7"/>
    <w:rsid w:val="00293D18"/>
    <w:rsid w:val="00293E83"/>
    <w:rsid w:val="00294734"/>
    <w:rsid w:val="00294AA6"/>
    <w:rsid w:val="0029727E"/>
    <w:rsid w:val="002974EF"/>
    <w:rsid w:val="002A058A"/>
    <w:rsid w:val="002A13A2"/>
    <w:rsid w:val="002A20AE"/>
    <w:rsid w:val="002A3510"/>
    <w:rsid w:val="002A42AF"/>
    <w:rsid w:val="002A49B2"/>
    <w:rsid w:val="002A6BEB"/>
    <w:rsid w:val="002A7012"/>
    <w:rsid w:val="002B1021"/>
    <w:rsid w:val="002B1CC8"/>
    <w:rsid w:val="002B28C1"/>
    <w:rsid w:val="002B2A04"/>
    <w:rsid w:val="002B372A"/>
    <w:rsid w:val="002B3DEC"/>
    <w:rsid w:val="002B4C13"/>
    <w:rsid w:val="002B4F74"/>
    <w:rsid w:val="002B519C"/>
    <w:rsid w:val="002B51A0"/>
    <w:rsid w:val="002B5512"/>
    <w:rsid w:val="002B5D48"/>
    <w:rsid w:val="002B6A29"/>
    <w:rsid w:val="002B6B73"/>
    <w:rsid w:val="002B7E49"/>
    <w:rsid w:val="002C13D2"/>
    <w:rsid w:val="002C1617"/>
    <w:rsid w:val="002C225E"/>
    <w:rsid w:val="002C2458"/>
    <w:rsid w:val="002C3A42"/>
    <w:rsid w:val="002C4831"/>
    <w:rsid w:val="002C60DA"/>
    <w:rsid w:val="002C718B"/>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C48"/>
    <w:rsid w:val="002E248E"/>
    <w:rsid w:val="002E2720"/>
    <w:rsid w:val="002E41B1"/>
    <w:rsid w:val="002E693C"/>
    <w:rsid w:val="002E7726"/>
    <w:rsid w:val="002E778F"/>
    <w:rsid w:val="002E7FB0"/>
    <w:rsid w:val="002F0145"/>
    <w:rsid w:val="002F0382"/>
    <w:rsid w:val="002F12EA"/>
    <w:rsid w:val="002F1A1A"/>
    <w:rsid w:val="002F1B2E"/>
    <w:rsid w:val="002F27FB"/>
    <w:rsid w:val="002F40FD"/>
    <w:rsid w:val="002F4853"/>
    <w:rsid w:val="002F5B07"/>
    <w:rsid w:val="002F6102"/>
    <w:rsid w:val="002F6312"/>
    <w:rsid w:val="002F634E"/>
    <w:rsid w:val="002F675E"/>
    <w:rsid w:val="002F76A9"/>
    <w:rsid w:val="002F7C39"/>
    <w:rsid w:val="00300A2B"/>
    <w:rsid w:val="00301A8E"/>
    <w:rsid w:val="0030519A"/>
    <w:rsid w:val="003053BE"/>
    <w:rsid w:val="00306069"/>
    <w:rsid w:val="003067E9"/>
    <w:rsid w:val="00306B17"/>
    <w:rsid w:val="00306E05"/>
    <w:rsid w:val="00312195"/>
    <w:rsid w:val="00312670"/>
    <w:rsid w:val="00312D66"/>
    <w:rsid w:val="003133DD"/>
    <w:rsid w:val="00313F64"/>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F44"/>
    <w:rsid w:val="00350821"/>
    <w:rsid w:val="003508EA"/>
    <w:rsid w:val="00351193"/>
    <w:rsid w:val="00351E50"/>
    <w:rsid w:val="00351F10"/>
    <w:rsid w:val="0035289E"/>
    <w:rsid w:val="00352E16"/>
    <w:rsid w:val="00352EF4"/>
    <w:rsid w:val="003530A6"/>
    <w:rsid w:val="0035438E"/>
    <w:rsid w:val="00354704"/>
    <w:rsid w:val="00357199"/>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AE9"/>
    <w:rsid w:val="00373C42"/>
    <w:rsid w:val="00374107"/>
    <w:rsid w:val="003741EF"/>
    <w:rsid w:val="00374E81"/>
    <w:rsid w:val="00375C73"/>
    <w:rsid w:val="00375C9C"/>
    <w:rsid w:val="00375E4B"/>
    <w:rsid w:val="0037610E"/>
    <w:rsid w:val="00376A08"/>
    <w:rsid w:val="00377872"/>
    <w:rsid w:val="00377B86"/>
    <w:rsid w:val="00380248"/>
    <w:rsid w:val="00381AEA"/>
    <w:rsid w:val="00382054"/>
    <w:rsid w:val="00382960"/>
    <w:rsid w:val="00382CFD"/>
    <w:rsid w:val="00383812"/>
    <w:rsid w:val="003844F9"/>
    <w:rsid w:val="00385203"/>
    <w:rsid w:val="00385D19"/>
    <w:rsid w:val="00385E5E"/>
    <w:rsid w:val="00387FE6"/>
    <w:rsid w:val="003907BF"/>
    <w:rsid w:val="00390F53"/>
    <w:rsid w:val="003A07AE"/>
    <w:rsid w:val="003A0C5F"/>
    <w:rsid w:val="003A16DC"/>
    <w:rsid w:val="003A36F5"/>
    <w:rsid w:val="003A4078"/>
    <w:rsid w:val="003A5A64"/>
    <w:rsid w:val="003A6107"/>
    <w:rsid w:val="003A6363"/>
    <w:rsid w:val="003A6A60"/>
    <w:rsid w:val="003A7FDF"/>
    <w:rsid w:val="003B00AB"/>
    <w:rsid w:val="003B0824"/>
    <w:rsid w:val="003B1627"/>
    <w:rsid w:val="003B7350"/>
    <w:rsid w:val="003C03BE"/>
    <w:rsid w:val="003C1A76"/>
    <w:rsid w:val="003C2B8C"/>
    <w:rsid w:val="003C3233"/>
    <w:rsid w:val="003C35DD"/>
    <w:rsid w:val="003C4BD9"/>
    <w:rsid w:val="003D0187"/>
    <w:rsid w:val="003D0193"/>
    <w:rsid w:val="003D03F0"/>
    <w:rsid w:val="003D09B1"/>
    <w:rsid w:val="003D0A44"/>
    <w:rsid w:val="003D0C77"/>
    <w:rsid w:val="003D3178"/>
    <w:rsid w:val="003D337E"/>
    <w:rsid w:val="003D46BC"/>
    <w:rsid w:val="003D5315"/>
    <w:rsid w:val="003D5AD6"/>
    <w:rsid w:val="003D5F19"/>
    <w:rsid w:val="003D6A6D"/>
    <w:rsid w:val="003D6D48"/>
    <w:rsid w:val="003D7A34"/>
    <w:rsid w:val="003E20B2"/>
    <w:rsid w:val="003E24A2"/>
    <w:rsid w:val="003E3D48"/>
    <w:rsid w:val="003E5158"/>
    <w:rsid w:val="003E588C"/>
    <w:rsid w:val="003E71E2"/>
    <w:rsid w:val="003F007C"/>
    <w:rsid w:val="003F0C1B"/>
    <w:rsid w:val="003F1D9D"/>
    <w:rsid w:val="003F27B4"/>
    <w:rsid w:val="003F2DD4"/>
    <w:rsid w:val="003F3313"/>
    <w:rsid w:val="003F369B"/>
    <w:rsid w:val="003F6F79"/>
    <w:rsid w:val="003F7193"/>
    <w:rsid w:val="003F78B3"/>
    <w:rsid w:val="004001FA"/>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585"/>
    <w:rsid w:val="00415670"/>
    <w:rsid w:val="0041683B"/>
    <w:rsid w:val="00417561"/>
    <w:rsid w:val="00420999"/>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4065"/>
    <w:rsid w:val="004540C3"/>
    <w:rsid w:val="00454A07"/>
    <w:rsid w:val="00455AC8"/>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2F9A"/>
    <w:rsid w:val="004B4A62"/>
    <w:rsid w:val="004B531D"/>
    <w:rsid w:val="004B5671"/>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8B1"/>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47C"/>
    <w:rsid w:val="005004E5"/>
    <w:rsid w:val="00500906"/>
    <w:rsid w:val="005012EC"/>
    <w:rsid w:val="005013BF"/>
    <w:rsid w:val="0050194A"/>
    <w:rsid w:val="00502075"/>
    <w:rsid w:val="0050207B"/>
    <w:rsid w:val="005032B7"/>
    <w:rsid w:val="00503A6E"/>
    <w:rsid w:val="005042E3"/>
    <w:rsid w:val="00504E50"/>
    <w:rsid w:val="0051056C"/>
    <w:rsid w:val="005139EC"/>
    <w:rsid w:val="00513F7B"/>
    <w:rsid w:val="00515A94"/>
    <w:rsid w:val="0051671C"/>
    <w:rsid w:val="00517BEE"/>
    <w:rsid w:val="005224B8"/>
    <w:rsid w:val="00522816"/>
    <w:rsid w:val="00522C61"/>
    <w:rsid w:val="005243E7"/>
    <w:rsid w:val="00524AEE"/>
    <w:rsid w:val="00524F8C"/>
    <w:rsid w:val="0052782B"/>
    <w:rsid w:val="005279F2"/>
    <w:rsid w:val="005317F5"/>
    <w:rsid w:val="00531BA8"/>
    <w:rsid w:val="00531C7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5ECB"/>
    <w:rsid w:val="0055223C"/>
    <w:rsid w:val="005524C8"/>
    <w:rsid w:val="0055278D"/>
    <w:rsid w:val="005533F9"/>
    <w:rsid w:val="00553435"/>
    <w:rsid w:val="005544AB"/>
    <w:rsid w:val="0055479C"/>
    <w:rsid w:val="005559C3"/>
    <w:rsid w:val="00556BA3"/>
    <w:rsid w:val="00561489"/>
    <w:rsid w:val="00563086"/>
    <w:rsid w:val="0056335F"/>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7090"/>
    <w:rsid w:val="00587E98"/>
    <w:rsid w:val="00590DC6"/>
    <w:rsid w:val="005935DB"/>
    <w:rsid w:val="0059448D"/>
    <w:rsid w:val="00596E6D"/>
    <w:rsid w:val="005A0057"/>
    <w:rsid w:val="005A0344"/>
    <w:rsid w:val="005A0AB9"/>
    <w:rsid w:val="005A1A5E"/>
    <w:rsid w:val="005A237B"/>
    <w:rsid w:val="005A27D8"/>
    <w:rsid w:val="005A3E34"/>
    <w:rsid w:val="005A464E"/>
    <w:rsid w:val="005A4AAF"/>
    <w:rsid w:val="005A540F"/>
    <w:rsid w:val="005A5662"/>
    <w:rsid w:val="005A6BD3"/>
    <w:rsid w:val="005A6D1C"/>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E1C"/>
    <w:rsid w:val="005C1F88"/>
    <w:rsid w:val="005C2087"/>
    <w:rsid w:val="005C3304"/>
    <w:rsid w:val="005C36BE"/>
    <w:rsid w:val="005C43A7"/>
    <w:rsid w:val="005C4C88"/>
    <w:rsid w:val="005C4F44"/>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41D0"/>
    <w:rsid w:val="00604364"/>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7CE5"/>
    <w:rsid w:val="00627F93"/>
    <w:rsid w:val="00630666"/>
    <w:rsid w:val="00630D39"/>
    <w:rsid w:val="00631751"/>
    <w:rsid w:val="0063287B"/>
    <w:rsid w:val="00632901"/>
    <w:rsid w:val="00632944"/>
    <w:rsid w:val="00633341"/>
    <w:rsid w:val="006342C2"/>
    <w:rsid w:val="00635113"/>
    <w:rsid w:val="006354F7"/>
    <w:rsid w:val="00636C8F"/>
    <w:rsid w:val="006375BA"/>
    <w:rsid w:val="00641D07"/>
    <w:rsid w:val="00643660"/>
    <w:rsid w:val="0064443E"/>
    <w:rsid w:val="00644991"/>
    <w:rsid w:val="00645148"/>
    <w:rsid w:val="006452B0"/>
    <w:rsid w:val="00646C90"/>
    <w:rsid w:val="006473A5"/>
    <w:rsid w:val="00647FCD"/>
    <w:rsid w:val="006514C9"/>
    <w:rsid w:val="00652B8D"/>
    <w:rsid w:val="0065473B"/>
    <w:rsid w:val="006549EF"/>
    <w:rsid w:val="00654A8A"/>
    <w:rsid w:val="006561AA"/>
    <w:rsid w:val="0065671E"/>
    <w:rsid w:val="00657814"/>
    <w:rsid w:val="0066038A"/>
    <w:rsid w:val="00660D0C"/>
    <w:rsid w:val="00661232"/>
    <w:rsid w:val="00661575"/>
    <w:rsid w:val="0066160E"/>
    <w:rsid w:val="0066343A"/>
    <w:rsid w:val="0066429D"/>
    <w:rsid w:val="00664962"/>
    <w:rsid w:val="00664B50"/>
    <w:rsid w:val="006658E7"/>
    <w:rsid w:val="00665F27"/>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90168"/>
    <w:rsid w:val="0069049A"/>
    <w:rsid w:val="00690CF0"/>
    <w:rsid w:val="00690EA2"/>
    <w:rsid w:val="00690FAD"/>
    <w:rsid w:val="00692C5D"/>
    <w:rsid w:val="00692FEA"/>
    <w:rsid w:val="00693415"/>
    <w:rsid w:val="006947AC"/>
    <w:rsid w:val="00694E4B"/>
    <w:rsid w:val="00696216"/>
    <w:rsid w:val="00696638"/>
    <w:rsid w:val="006967BC"/>
    <w:rsid w:val="00697919"/>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8C8"/>
    <w:rsid w:val="006E77FD"/>
    <w:rsid w:val="006E7B9B"/>
    <w:rsid w:val="006F2A3F"/>
    <w:rsid w:val="006F2C39"/>
    <w:rsid w:val="006F456A"/>
    <w:rsid w:val="006F46A2"/>
    <w:rsid w:val="006F472E"/>
    <w:rsid w:val="006F4EAE"/>
    <w:rsid w:val="006F621C"/>
    <w:rsid w:val="006F6602"/>
    <w:rsid w:val="00701CCF"/>
    <w:rsid w:val="00701F11"/>
    <w:rsid w:val="00703865"/>
    <w:rsid w:val="007045B0"/>
    <w:rsid w:val="0070579E"/>
    <w:rsid w:val="00707799"/>
    <w:rsid w:val="0071017B"/>
    <w:rsid w:val="00711528"/>
    <w:rsid w:val="0071300A"/>
    <w:rsid w:val="00713D60"/>
    <w:rsid w:val="00713E80"/>
    <w:rsid w:val="00714313"/>
    <w:rsid w:val="0071439B"/>
    <w:rsid w:val="0071511B"/>
    <w:rsid w:val="00716CDB"/>
    <w:rsid w:val="0071790B"/>
    <w:rsid w:val="007210E0"/>
    <w:rsid w:val="007227BE"/>
    <w:rsid w:val="0072315A"/>
    <w:rsid w:val="007231B9"/>
    <w:rsid w:val="00723EB9"/>
    <w:rsid w:val="00725572"/>
    <w:rsid w:val="00725F58"/>
    <w:rsid w:val="00727199"/>
    <w:rsid w:val="007271B2"/>
    <w:rsid w:val="0072796F"/>
    <w:rsid w:val="00727B8D"/>
    <w:rsid w:val="0073127C"/>
    <w:rsid w:val="007328F9"/>
    <w:rsid w:val="007340BD"/>
    <w:rsid w:val="007342DE"/>
    <w:rsid w:val="00735363"/>
    <w:rsid w:val="00737B27"/>
    <w:rsid w:val="00740FC4"/>
    <w:rsid w:val="00741813"/>
    <w:rsid w:val="00743045"/>
    <w:rsid w:val="007436D9"/>
    <w:rsid w:val="00744767"/>
    <w:rsid w:val="00745231"/>
    <w:rsid w:val="00745B75"/>
    <w:rsid w:val="00747A4A"/>
    <w:rsid w:val="00747E60"/>
    <w:rsid w:val="00750121"/>
    <w:rsid w:val="00753DD0"/>
    <w:rsid w:val="007546D3"/>
    <w:rsid w:val="007551C4"/>
    <w:rsid w:val="00755FA9"/>
    <w:rsid w:val="0075692C"/>
    <w:rsid w:val="00756FF8"/>
    <w:rsid w:val="00757AE5"/>
    <w:rsid w:val="00757B9F"/>
    <w:rsid w:val="007601CB"/>
    <w:rsid w:val="00760400"/>
    <w:rsid w:val="00761E4C"/>
    <w:rsid w:val="007623B9"/>
    <w:rsid w:val="0076249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483"/>
    <w:rsid w:val="007915BE"/>
    <w:rsid w:val="00791DF1"/>
    <w:rsid w:val="007926AC"/>
    <w:rsid w:val="007926B9"/>
    <w:rsid w:val="00793744"/>
    <w:rsid w:val="00793D83"/>
    <w:rsid w:val="00794A79"/>
    <w:rsid w:val="0079506E"/>
    <w:rsid w:val="007954D1"/>
    <w:rsid w:val="00796C11"/>
    <w:rsid w:val="007A0F80"/>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7ED0"/>
    <w:rsid w:val="007C2509"/>
    <w:rsid w:val="007C2943"/>
    <w:rsid w:val="007C43A1"/>
    <w:rsid w:val="007C5229"/>
    <w:rsid w:val="007C58FB"/>
    <w:rsid w:val="007C6175"/>
    <w:rsid w:val="007D12F8"/>
    <w:rsid w:val="007D19D1"/>
    <w:rsid w:val="007D1EA4"/>
    <w:rsid w:val="007D2473"/>
    <w:rsid w:val="007D4AF8"/>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29F7"/>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2170"/>
    <w:rsid w:val="00812515"/>
    <w:rsid w:val="00812862"/>
    <w:rsid w:val="00814050"/>
    <w:rsid w:val="00814667"/>
    <w:rsid w:val="00814F9E"/>
    <w:rsid w:val="00816D5D"/>
    <w:rsid w:val="008173AC"/>
    <w:rsid w:val="00817809"/>
    <w:rsid w:val="00817F91"/>
    <w:rsid w:val="00821D47"/>
    <w:rsid w:val="00821E23"/>
    <w:rsid w:val="0082213E"/>
    <w:rsid w:val="00824066"/>
    <w:rsid w:val="00824570"/>
    <w:rsid w:val="008246B8"/>
    <w:rsid w:val="008260AE"/>
    <w:rsid w:val="008275C3"/>
    <w:rsid w:val="00827FBC"/>
    <w:rsid w:val="00832789"/>
    <w:rsid w:val="00833191"/>
    <w:rsid w:val="00834373"/>
    <w:rsid w:val="00834BF2"/>
    <w:rsid w:val="0084121F"/>
    <w:rsid w:val="00841512"/>
    <w:rsid w:val="0084329B"/>
    <w:rsid w:val="008435F2"/>
    <w:rsid w:val="00843C6C"/>
    <w:rsid w:val="00844647"/>
    <w:rsid w:val="00845A54"/>
    <w:rsid w:val="0084670F"/>
    <w:rsid w:val="00846EB2"/>
    <w:rsid w:val="00847501"/>
    <w:rsid w:val="008503F9"/>
    <w:rsid w:val="008504A8"/>
    <w:rsid w:val="008519D7"/>
    <w:rsid w:val="00852252"/>
    <w:rsid w:val="00852850"/>
    <w:rsid w:val="00855720"/>
    <w:rsid w:val="00855E25"/>
    <w:rsid w:val="00855F46"/>
    <w:rsid w:val="00856092"/>
    <w:rsid w:val="00856548"/>
    <w:rsid w:val="00856673"/>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5877"/>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939"/>
    <w:rsid w:val="008B5CBC"/>
    <w:rsid w:val="008B6461"/>
    <w:rsid w:val="008B74A1"/>
    <w:rsid w:val="008C0FDA"/>
    <w:rsid w:val="008C1987"/>
    <w:rsid w:val="008C251B"/>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5686"/>
    <w:rsid w:val="008E0497"/>
    <w:rsid w:val="008E1C7A"/>
    <w:rsid w:val="008E27D5"/>
    <w:rsid w:val="008E2CE5"/>
    <w:rsid w:val="008E4231"/>
    <w:rsid w:val="008E5006"/>
    <w:rsid w:val="008E593E"/>
    <w:rsid w:val="008E6C72"/>
    <w:rsid w:val="008E70DC"/>
    <w:rsid w:val="008F0063"/>
    <w:rsid w:val="008F03E1"/>
    <w:rsid w:val="008F0855"/>
    <w:rsid w:val="008F0907"/>
    <w:rsid w:val="008F1670"/>
    <w:rsid w:val="008F16F8"/>
    <w:rsid w:val="008F18E9"/>
    <w:rsid w:val="008F22DC"/>
    <w:rsid w:val="008F28CC"/>
    <w:rsid w:val="008F3E1D"/>
    <w:rsid w:val="008F4366"/>
    <w:rsid w:val="008F62A5"/>
    <w:rsid w:val="008F7302"/>
    <w:rsid w:val="008F783E"/>
    <w:rsid w:val="008F7BC8"/>
    <w:rsid w:val="00900256"/>
    <w:rsid w:val="00900273"/>
    <w:rsid w:val="00900DF9"/>
    <w:rsid w:val="009018F4"/>
    <w:rsid w:val="00902A0E"/>
    <w:rsid w:val="009032CD"/>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42695"/>
    <w:rsid w:val="00942EAE"/>
    <w:rsid w:val="00943482"/>
    <w:rsid w:val="00943F43"/>
    <w:rsid w:val="00944B76"/>
    <w:rsid w:val="00944F82"/>
    <w:rsid w:val="00946334"/>
    <w:rsid w:val="00946EE7"/>
    <w:rsid w:val="0094738E"/>
    <w:rsid w:val="00950D3C"/>
    <w:rsid w:val="00950EA3"/>
    <w:rsid w:val="00952822"/>
    <w:rsid w:val="0095350E"/>
    <w:rsid w:val="009538B5"/>
    <w:rsid w:val="00953A33"/>
    <w:rsid w:val="00954827"/>
    <w:rsid w:val="00955819"/>
    <w:rsid w:val="0095635E"/>
    <w:rsid w:val="009573F5"/>
    <w:rsid w:val="00957F39"/>
    <w:rsid w:val="00960993"/>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F47"/>
    <w:rsid w:val="00970C87"/>
    <w:rsid w:val="009711AC"/>
    <w:rsid w:val="009717DF"/>
    <w:rsid w:val="0097218E"/>
    <w:rsid w:val="00972BC6"/>
    <w:rsid w:val="00973A0E"/>
    <w:rsid w:val="0097692E"/>
    <w:rsid w:val="00977C10"/>
    <w:rsid w:val="00980A45"/>
    <w:rsid w:val="009816E0"/>
    <w:rsid w:val="009824C4"/>
    <w:rsid w:val="009827D9"/>
    <w:rsid w:val="00982A7A"/>
    <w:rsid w:val="009833CE"/>
    <w:rsid w:val="00983759"/>
    <w:rsid w:val="009841E5"/>
    <w:rsid w:val="009846B3"/>
    <w:rsid w:val="0098573D"/>
    <w:rsid w:val="00985D38"/>
    <w:rsid w:val="00985DA0"/>
    <w:rsid w:val="00986F96"/>
    <w:rsid w:val="009907D6"/>
    <w:rsid w:val="009909D1"/>
    <w:rsid w:val="00991E77"/>
    <w:rsid w:val="00993BCB"/>
    <w:rsid w:val="009943A5"/>
    <w:rsid w:val="00994B29"/>
    <w:rsid w:val="009950E4"/>
    <w:rsid w:val="00996A7C"/>
    <w:rsid w:val="00996CD0"/>
    <w:rsid w:val="00997A38"/>
    <w:rsid w:val="00997B54"/>
    <w:rsid w:val="009A01D6"/>
    <w:rsid w:val="009A0C0D"/>
    <w:rsid w:val="009A1997"/>
    <w:rsid w:val="009A25BB"/>
    <w:rsid w:val="009A2B42"/>
    <w:rsid w:val="009A47F8"/>
    <w:rsid w:val="009A4AAD"/>
    <w:rsid w:val="009A7ABF"/>
    <w:rsid w:val="009B1619"/>
    <w:rsid w:val="009B1981"/>
    <w:rsid w:val="009B2BDE"/>
    <w:rsid w:val="009B3035"/>
    <w:rsid w:val="009B478C"/>
    <w:rsid w:val="009B47A3"/>
    <w:rsid w:val="009B7BE6"/>
    <w:rsid w:val="009C0C6B"/>
    <w:rsid w:val="009C1156"/>
    <w:rsid w:val="009C13CA"/>
    <w:rsid w:val="009C187C"/>
    <w:rsid w:val="009C22EC"/>
    <w:rsid w:val="009C26FB"/>
    <w:rsid w:val="009C6681"/>
    <w:rsid w:val="009C6B07"/>
    <w:rsid w:val="009C6D60"/>
    <w:rsid w:val="009C7001"/>
    <w:rsid w:val="009C726D"/>
    <w:rsid w:val="009C7B86"/>
    <w:rsid w:val="009C7F85"/>
    <w:rsid w:val="009D0AE8"/>
    <w:rsid w:val="009D1011"/>
    <w:rsid w:val="009D198E"/>
    <w:rsid w:val="009D4743"/>
    <w:rsid w:val="009D584D"/>
    <w:rsid w:val="009D60B5"/>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BCC"/>
    <w:rsid w:val="00A050A4"/>
    <w:rsid w:val="00A05BF7"/>
    <w:rsid w:val="00A06738"/>
    <w:rsid w:val="00A0713D"/>
    <w:rsid w:val="00A10DC6"/>
    <w:rsid w:val="00A11404"/>
    <w:rsid w:val="00A115D9"/>
    <w:rsid w:val="00A12A0C"/>
    <w:rsid w:val="00A13EA9"/>
    <w:rsid w:val="00A143F7"/>
    <w:rsid w:val="00A146EE"/>
    <w:rsid w:val="00A14DC6"/>
    <w:rsid w:val="00A14F96"/>
    <w:rsid w:val="00A152C8"/>
    <w:rsid w:val="00A15503"/>
    <w:rsid w:val="00A169C6"/>
    <w:rsid w:val="00A1778D"/>
    <w:rsid w:val="00A17CA6"/>
    <w:rsid w:val="00A2038D"/>
    <w:rsid w:val="00A20EAC"/>
    <w:rsid w:val="00A21F92"/>
    <w:rsid w:val="00A23B90"/>
    <w:rsid w:val="00A24E90"/>
    <w:rsid w:val="00A24F1F"/>
    <w:rsid w:val="00A25013"/>
    <w:rsid w:val="00A26195"/>
    <w:rsid w:val="00A26BE8"/>
    <w:rsid w:val="00A27081"/>
    <w:rsid w:val="00A279E0"/>
    <w:rsid w:val="00A27EB6"/>
    <w:rsid w:val="00A27FC6"/>
    <w:rsid w:val="00A32A74"/>
    <w:rsid w:val="00A33226"/>
    <w:rsid w:val="00A33B35"/>
    <w:rsid w:val="00A3624D"/>
    <w:rsid w:val="00A362B4"/>
    <w:rsid w:val="00A367BE"/>
    <w:rsid w:val="00A40D39"/>
    <w:rsid w:val="00A442A0"/>
    <w:rsid w:val="00A44926"/>
    <w:rsid w:val="00A44B96"/>
    <w:rsid w:val="00A457B6"/>
    <w:rsid w:val="00A45AAB"/>
    <w:rsid w:val="00A5198D"/>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A27"/>
    <w:rsid w:val="00A61CA4"/>
    <w:rsid w:val="00A6303B"/>
    <w:rsid w:val="00A63EB6"/>
    <w:rsid w:val="00A640A1"/>
    <w:rsid w:val="00A64565"/>
    <w:rsid w:val="00A64CFC"/>
    <w:rsid w:val="00A65007"/>
    <w:rsid w:val="00A660CC"/>
    <w:rsid w:val="00A6738F"/>
    <w:rsid w:val="00A674CB"/>
    <w:rsid w:val="00A679BB"/>
    <w:rsid w:val="00A703E2"/>
    <w:rsid w:val="00A711AE"/>
    <w:rsid w:val="00A73A59"/>
    <w:rsid w:val="00A74F0C"/>
    <w:rsid w:val="00A757CD"/>
    <w:rsid w:val="00A75CCA"/>
    <w:rsid w:val="00A7606B"/>
    <w:rsid w:val="00A767BF"/>
    <w:rsid w:val="00A77A50"/>
    <w:rsid w:val="00A818AC"/>
    <w:rsid w:val="00A81CFD"/>
    <w:rsid w:val="00A826E5"/>
    <w:rsid w:val="00A8272E"/>
    <w:rsid w:val="00A838FF"/>
    <w:rsid w:val="00A83BE0"/>
    <w:rsid w:val="00A84DFC"/>
    <w:rsid w:val="00A862FA"/>
    <w:rsid w:val="00A9085C"/>
    <w:rsid w:val="00A91762"/>
    <w:rsid w:val="00A918FA"/>
    <w:rsid w:val="00A9227A"/>
    <w:rsid w:val="00A9277C"/>
    <w:rsid w:val="00A9281D"/>
    <w:rsid w:val="00A94028"/>
    <w:rsid w:val="00A9477F"/>
    <w:rsid w:val="00A94E89"/>
    <w:rsid w:val="00A95425"/>
    <w:rsid w:val="00A976D4"/>
    <w:rsid w:val="00A979A7"/>
    <w:rsid w:val="00AA03BB"/>
    <w:rsid w:val="00AA0C41"/>
    <w:rsid w:val="00AA0DC5"/>
    <w:rsid w:val="00AA239C"/>
    <w:rsid w:val="00AA2B04"/>
    <w:rsid w:val="00AA38C8"/>
    <w:rsid w:val="00AA3B1F"/>
    <w:rsid w:val="00AA406A"/>
    <w:rsid w:val="00AA4BFF"/>
    <w:rsid w:val="00AA53A7"/>
    <w:rsid w:val="00AA589B"/>
    <w:rsid w:val="00AA6251"/>
    <w:rsid w:val="00AA7118"/>
    <w:rsid w:val="00AB0855"/>
    <w:rsid w:val="00AB0CE1"/>
    <w:rsid w:val="00AB34F8"/>
    <w:rsid w:val="00AB44E7"/>
    <w:rsid w:val="00AB49E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CAE"/>
    <w:rsid w:val="00AC7D30"/>
    <w:rsid w:val="00AD0CAF"/>
    <w:rsid w:val="00AD19E7"/>
    <w:rsid w:val="00AD1F1F"/>
    <w:rsid w:val="00AD308A"/>
    <w:rsid w:val="00AD339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A7C"/>
    <w:rsid w:val="00AF3B8D"/>
    <w:rsid w:val="00AF3BDD"/>
    <w:rsid w:val="00AF478C"/>
    <w:rsid w:val="00AF6198"/>
    <w:rsid w:val="00AF6246"/>
    <w:rsid w:val="00B00353"/>
    <w:rsid w:val="00B011E8"/>
    <w:rsid w:val="00B029AC"/>
    <w:rsid w:val="00B03C52"/>
    <w:rsid w:val="00B050DE"/>
    <w:rsid w:val="00B0522C"/>
    <w:rsid w:val="00B0552C"/>
    <w:rsid w:val="00B056EF"/>
    <w:rsid w:val="00B0653E"/>
    <w:rsid w:val="00B069BF"/>
    <w:rsid w:val="00B07748"/>
    <w:rsid w:val="00B07BEF"/>
    <w:rsid w:val="00B10139"/>
    <w:rsid w:val="00B11671"/>
    <w:rsid w:val="00B11E6F"/>
    <w:rsid w:val="00B13235"/>
    <w:rsid w:val="00B134BA"/>
    <w:rsid w:val="00B136F5"/>
    <w:rsid w:val="00B1370E"/>
    <w:rsid w:val="00B1457E"/>
    <w:rsid w:val="00B15954"/>
    <w:rsid w:val="00B15B1A"/>
    <w:rsid w:val="00B21273"/>
    <w:rsid w:val="00B21D75"/>
    <w:rsid w:val="00B22951"/>
    <w:rsid w:val="00B233B6"/>
    <w:rsid w:val="00B23AF6"/>
    <w:rsid w:val="00B2468D"/>
    <w:rsid w:val="00B25961"/>
    <w:rsid w:val="00B259CE"/>
    <w:rsid w:val="00B30946"/>
    <w:rsid w:val="00B30E6F"/>
    <w:rsid w:val="00B3244D"/>
    <w:rsid w:val="00B331A7"/>
    <w:rsid w:val="00B338D0"/>
    <w:rsid w:val="00B35628"/>
    <w:rsid w:val="00B361B8"/>
    <w:rsid w:val="00B361D3"/>
    <w:rsid w:val="00B3678D"/>
    <w:rsid w:val="00B36964"/>
    <w:rsid w:val="00B37B3D"/>
    <w:rsid w:val="00B402E7"/>
    <w:rsid w:val="00B404EA"/>
    <w:rsid w:val="00B4063D"/>
    <w:rsid w:val="00B41749"/>
    <w:rsid w:val="00B41A87"/>
    <w:rsid w:val="00B41D1B"/>
    <w:rsid w:val="00B41E3A"/>
    <w:rsid w:val="00B43793"/>
    <w:rsid w:val="00B44771"/>
    <w:rsid w:val="00B465A5"/>
    <w:rsid w:val="00B46BF6"/>
    <w:rsid w:val="00B46C3D"/>
    <w:rsid w:val="00B474C2"/>
    <w:rsid w:val="00B476D6"/>
    <w:rsid w:val="00B5039A"/>
    <w:rsid w:val="00B523A1"/>
    <w:rsid w:val="00B5307A"/>
    <w:rsid w:val="00B550F5"/>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62"/>
    <w:rsid w:val="00B811E6"/>
    <w:rsid w:val="00B8344E"/>
    <w:rsid w:val="00B8423A"/>
    <w:rsid w:val="00B850D6"/>
    <w:rsid w:val="00B85BC4"/>
    <w:rsid w:val="00B85F69"/>
    <w:rsid w:val="00B864B4"/>
    <w:rsid w:val="00B90521"/>
    <w:rsid w:val="00B907C2"/>
    <w:rsid w:val="00B92497"/>
    <w:rsid w:val="00B92CE1"/>
    <w:rsid w:val="00B9311E"/>
    <w:rsid w:val="00BA0203"/>
    <w:rsid w:val="00BA02E0"/>
    <w:rsid w:val="00BA062E"/>
    <w:rsid w:val="00BA0B26"/>
    <w:rsid w:val="00BA1350"/>
    <w:rsid w:val="00BA142F"/>
    <w:rsid w:val="00BA2A4E"/>
    <w:rsid w:val="00BA2EA7"/>
    <w:rsid w:val="00BA301A"/>
    <w:rsid w:val="00BA5096"/>
    <w:rsid w:val="00BA564A"/>
    <w:rsid w:val="00BA5CE6"/>
    <w:rsid w:val="00BA6098"/>
    <w:rsid w:val="00BA63DA"/>
    <w:rsid w:val="00BA7123"/>
    <w:rsid w:val="00BA7145"/>
    <w:rsid w:val="00BA7C15"/>
    <w:rsid w:val="00BB11F8"/>
    <w:rsid w:val="00BB1959"/>
    <w:rsid w:val="00BB1F53"/>
    <w:rsid w:val="00BB3284"/>
    <w:rsid w:val="00BB40BB"/>
    <w:rsid w:val="00BB4C27"/>
    <w:rsid w:val="00BB4C45"/>
    <w:rsid w:val="00BB5D6E"/>
    <w:rsid w:val="00BB5DAB"/>
    <w:rsid w:val="00BB7C9C"/>
    <w:rsid w:val="00BB7D68"/>
    <w:rsid w:val="00BC13D7"/>
    <w:rsid w:val="00BC14B5"/>
    <w:rsid w:val="00BC17D8"/>
    <w:rsid w:val="00BC4A1F"/>
    <w:rsid w:val="00BC4F80"/>
    <w:rsid w:val="00BC66B6"/>
    <w:rsid w:val="00BC69F1"/>
    <w:rsid w:val="00BC6F66"/>
    <w:rsid w:val="00BD0956"/>
    <w:rsid w:val="00BD162E"/>
    <w:rsid w:val="00BD23A2"/>
    <w:rsid w:val="00BD29CE"/>
    <w:rsid w:val="00BD59A2"/>
    <w:rsid w:val="00BD63F9"/>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3C15"/>
    <w:rsid w:val="00C066DE"/>
    <w:rsid w:val="00C06E4F"/>
    <w:rsid w:val="00C07E4D"/>
    <w:rsid w:val="00C10C84"/>
    <w:rsid w:val="00C11A42"/>
    <w:rsid w:val="00C13E33"/>
    <w:rsid w:val="00C1509D"/>
    <w:rsid w:val="00C150C0"/>
    <w:rsid w:val="00C16464"/>
    <w:rsid w:val="00C16B0C"/>
    <w:rsid w:val="00C175ED"/>
    <w:rsid w:val="00C219A6"/>
    <w:rsid w:val="00C220D7"/>
    <w:rsid w:val="00C22527"/>
    <w:rsid w:val="00C22B15"/>
    <w:rsid w:val="00C23A2B"/>
    <w:rsid w:val="00C25440"/>
    <w:rsid w:val="00C25445"/>
    <w:rsid w:val="00C25FF4"/>
    <w:rsid w:val="00C268A8"/>
    <w:rsid w:val="00C26DEE"/>
    <w:rsid w:val="00C278D1"/>
    <w:rsid w:val="00C30383"/>
    <w:rsid w:val="00C30832"/>
    <w:rsid w:val="00C30A3D"/>
    <w:rsid w:val="00C30E1C"/>
    <w:rsid w:val="00C330CA"/>
    <w:rsid w:val="00C33984"/>
    <w:rsid w:val="00C33E93"/>
    <w:rsid w:val="00C34679"/>
    <w:rsid w:val="00C35259"/>
    <w:rsid w:val="00C3539C"/>
    <w:rsid w:val="00C3557F"/>
    <w:rsid w:val="00C360D3"/>
    <w:rsid w:val="00C3764D"/>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4555"/>
    <w:rsid w:val="00C55D1C"/>
    <w:rsid w:val="00C56D87"/>
    <w:rsid w:val="00C571D0"/>
    <w:rsid w:val="00C57AEF"/>
    <w:rsid w:val="00C57CD2"/>
    <w:rsid w:val="00C6061A"/>
    <w:rsid w:val="00C6122F"/>
    <w:rsid w:val="00C616B1"/>
    <w:rsid w:val="00C61EF5"/>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5C00"/>
    <w:rsid w:val="00C76451"/>
    <w:rsid w:val="00C76473"/>
    <w:rsid w:val="00C77B40"/>
    <w:rsid w:val="00C80E68"/>
    <w:rsid w:val="00C80F4B"/>
    <w:rsid w:val="00C817A1"/>
    <w:rsid w:val="00C830DB"/>
    <w:rsid w:val="00C8350D"/>
    <w:rsid w:val="00C8395D"/>
    <w:rsid w:val="00C83A12"/>
    <w:rsid w:val="00C84ABD"/>
    <w:rsid w:val="00C8674B"/>
    <w:rsid w:val="00C90443"/>
    <w:rsid w:val="00C916E2"/>
    <w:rsid w:val="00C91A72"/>
    <w:rsid w:val="00C91E51"/>
    <w:rsid w:val="00C94DA7"/>
    <w:rsid w:val="00C94EFC"/>
    <w:rsid w:val="00C96192"/>
    <w:rsid w:val="00C96196"/>
    <w:rsid w:val="00C96476"/>
    <w:rsid w:val="00C96AC1"/>
    <w:rsid w:val="00C978C2"/>
    <w:rsid w:val="00C97E63"/>
    <w:rsid w:val="00CA0E97"/>
    <w:rsid w:val="00CA1018"/>
    <w:rsid w:val="00CA1D02"/>
    <w:rsid w:val="00CA1E64"/>
    <w:rsid w:val="00CA204E"/>
    <w:rsid w:val="00CA2596"/>
    <w:rsid w:val="00CA27D2"/>
    <w:rsid w:val="00CA2D95"/>
    <w:rsid w:val="00CA3049"/>
    <w:rsid w:val="00CA4067"/>
    <w:rsid w:val="00CA5120"/>
    <w:rsid w:val="00CA5770"/>
    <w:rsid w:val="00CA584F"/>
    <w:rsid w:val="00CB03BA"/>
    <w:rsid w:val="00CB19F2"/>
    <w:rsid w:val="00CB2A48"/>
    <w:rsid w:val="00CB4630"/>
    <w:rsid w:val="00CB4EE5"/>
    <w:rsid w:val="00CB574F"/>
    <w:rsid w:val="00CB59D2"/>
    <w:rsid w:val="00CB7382"/>
    <w:rsid w:val="00CB7707"/>
    <w:rsid w:val="00CC2B3E"/>
    <w:rsid w:val="00CC4BA0"/>
    <w:rsid w:val="00CC5A6F"/>
    <w:rsid w:val="00CC639B"/>
    <w:rsid w:val="00CC6A74"/>
    <w:rsid w:val="00CC7295"/>
    <w:rsid w:val="00CC78A1"/>
    <w:rsid w:val="00CC7991"/>
    <w:rsid w:val="00CD084C"/>
    <w:rsid w:val="00CD11EF"/>
    <w:rsid w:val="00CD13C6"/>
    <w:rsid w:val="00CD1C5F"/>
    <w:rsid w:val="00CD2543"/>
    <w:rsid w:val="00CD5829"/>
    <w:rsid w:val="00CD59B5"/>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2788"/>
    <w:rsid w:val="00D52E51"/>
    <w:rsid w:val="00D537C1"/>
    <w:rsid w:val="00D55F7A"/>
    <w:rsid w:val="00D55FEB"/>
    <w:rsid w:val="00D5624F"/>
    <w:rsid w:val="00D562F3"/>
    <w:rsid w:val="00D56630"/>
    <w:rsid w:val="00D6059A"/>
    <w:rsid w:val="00D609BA"/>
    <w:rsid w:val="00D60E72"/>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2AE8"/>
    <w:rsid w:val="00D85BE9"/>
    <w:rsid w:val="00D85F6A"/>
    <w:rsid w:val="00D86652"/>
    <w:rsid w:val="00D86CFB"/>
    <w:rsid w:val="00D90262"/>
    <w:rsid w:val="00D90F59"/>
    <w:rsid w:val="00D91698"/>
    <w:rsid w:val="00D91DB4"/>
    <w:rsid w:val="00D9236D"/>
    <w:rsid w:val="00D97249"/>
    <w:rsid w:val="00D9775F"/>
    <w:rsid w:val="00DA09E5"/>
    <w:rsid w:val="00DA2625"/>
    <w:rsid w:val="00DA32F7"/>
    <w:rsid w:val="00DA44E7"/>
    <w:rsid w:val="00DA5246"/>
    <w:rsid w:val="00DA5911"/>
    <w:rsid w:val="00DA6462"/>
    <w:rsid w:val="00DA659F"/>
    <w:rsid w:val="00DA65D2"/>
    <w:rsid w:val="00DA6D8D"/>
    <w:rsid w:val="00DA7E59"/>
    <w:rsid w:val="00DB07EB"/>
    <w:rsid w:val="00DB1161"/>
    <w:rsid w:val="00DB2062"/>
    <w:rsid w:val="00DB5321"/>
    <w:rsid w:val="00DB5AC0"/>
    <w:rsid w:val="00DB608F"/>
    <w:rsid w:val="00DB7183"/>
    <w:rsid w:val="00DB776B"/>
    <w:rsid w:val="00DC03CD"/>
    <w:rsid w:val="00DC1125"/>
    <w:rsid w:val="00DC1CDA"/>
    <w:rsid w:val="00DC2BE1"/>
    <w:rsid w:val="00DC400E"/>
    <w:rsid w:val="00DC4DF9"/>
    <w:rsid w:val="00DC750E"/>
    <w:rsid w:val="00DD18CE"/>
    <w:rsid w:val="00DD3779"/>
    <w:rsid w:val="00DD40A0"/>
    <w:rsid w:val="00DD642F"/>
    <w:rsid w:val="00DD6BE7"/>
    <w:rsid w:val="00DD6F90"/>
    <w:rsid w:val="00DD7805"/>
    <w:rsid w:val="00DE149B"/>
    <w:rsid w:val="00DE2935"/>
    <w:rsid w:val="00DE2E28"/>
    <w:rsid w:val="00DE5238"/>
    <w:rsid w:val="00DE58E8"/>
    <w:rsid w:val="00DE6658"/>
    <w:rsid w:val="00DE6F54"/>
    <w:rsid w:val="00DF0977"/>
    <w:rsid w:val="00DF0D83"/>
    <w:rsid w:val="00DF1164"/>
    <w:rsid w:val="00DF1451"/>
    <w:rsid w:val="00DF15CD"/>
    <w:rsid w:val="00DF20F5"/>
    <w:rsid w:val="00DF42B1"/>
    <w:rsid w:val="00DF4F98"/>
    <w:rsid w:val="00DF76D9"/>
    <w:rsid w:val="00E00AB6"/>
    <w:rsid w:val="00E00ADC"/>
    <w:rsid w:val="00E01F3B"/>
    <w:rsid w:val="00E025C6"/>
    <w:rsid w:val="00E03DF2"/>
    <w:rsid w:val="00E05C15"/>
    <w:rsid w:val="00E06ECF"/>
    <w:rsid w:val="00E1197D"/>
    <w:rsid w:val="00E1241D"/>
    <w:rsid w:val="00E12669"/>
    <w:rsid w:val="00E127EB"/>
    <w:rsid w:val="00E133D4"/>
    <w:rsid w:val="00E16278"/>
    <w:rsid w:val="00E202CE"/>
    <w:rsid w:val="00E20FFA"/>
    <w:rsid w:val="00E22D89"/>
    <w:rsid w:val="00E22ED8"/>
    <w:rsid w:val="00E234C8"/>
    <w:rsid w:val="00E23C30"/>
    <w:rsid w:val="00E247E1"/>
    <w:rsid w:val="00E24882"/>
    <w:rsid w:val="00E254CB"/>
    <w:rsid w:val="00E26121"/>
    <w:rsid w:val="00E269C4"/>
    <w:rsid w:val="00E26BE9"/>
    <w:rsid w:val="00E302BF"/>
    <w:rsid w:val="00E31D7E"/>
    <w:rsid w:val="00E32830"/>
    <w:rsid w:val="00E33421"/>
    <w:rsid w:val="00E336BB"/>
    <w:rsid w:val="00E33727"/>
    <w:rsid w:val="00E34AC6"/>
    <w:rsid w:val="00E353AE"/>
    <w:rsid w:val="00E36BFB"/>
    <w:rsid w:val="00E373BD"/>
    <w:rsid w:val="00E40DDA"/>
    <w:rsid w:val="00E42879"/>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7D1"/>
    <w:rsid w:val="00E8161B"/>
    <w:rsid w:val="00E8179F"/>
    <w:rsid w:val="00E817AA"/>
    <w:rsid w:val="00E821F4"/>
    <w:rsid w:val="00E82A05"/>
    <w:rsid w:val="00E82C8C"/>
    <w:rsid w:val="00E8386D"/>
    <w:rsid w:val="00E83FBE"/>
    <w:rsid w:val="00E855F4"/>
    <w:rsid w:val="00E86F6E"/>
    <w:rsid w:val="00E90212"/>
    <w:rsid w:val="00E90699"/>
    <w:rsid w:val="00E906F6"/>
    <w:rsid w:val="00E90B73"/>
    <w:rsid w:val="00E90E72"/>
    <w:rsid w:val="00E92173"/>
    <w:rsid w:val="00E9316F"/>
    <w:rsid w:val="00E93724"/>
    <w:rsid w:val="00E94471"/>
    <w:rsid w:val="00E9492F"/>
    <w:rsid w:val="00E949BF"/>
    <w:rsid w:val="00E94FC6"/>
    <w:rsid w:val="00E9529F"/>
    <w:rsid w:val="00E95E4F"/>
    <w:rsid w:val="00E96856"/>
    <w:rsid w:val="00E977BA"/>
    <w:rsid w:val="00E97E83"/>
    <w:rsid w:val="00EA0BEC"/>
    <w:rsid w:val="00EA13DA"/>
    <w:rsid w:val="00EA193F"/>
    <w:rsid w:val="00EA1AE9"/>
    <w:rsid w:val="00EA3F73"/>
    <w:rsid w:val="00EA3FF0"/>
    <w:rsid w:val="00EA46DC"/>
    <w:rsid w:val="00EA47F5"/>
    <w:rsid w:val="00EA484B"/>
    <w:rsid w:val="00EA5C2F"/>
    <w:rsid w:val="00EA7AA7"/>
    <w:rsid w:val="00EB0890"/>
    <w:rsid w:val="00EB0D20"/>
    <w:rsid w:val="00EB20C0"/>
    <w:rsid w:val="00EB2339"/>
    <w:rsid w:val="00EB248A"/>
    <w:rsid w:val="00EB2737"/>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626F"/>
    <w:rsid w:val="00EC6761"/>
    <w:rsid w:val="00EC6762"/>
    <w:rsid w:val="00EC6FF7"/>
    <w:rsid w:val="00ED0494"/>
    <w:rsid w:val="00ED04F8"/>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5D7B"/>
    <w:rsid w:val="00EF6038"/>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566B"/>
    <w:rsid w:val="00F16151"/>
    <w:rsid w:val="00F164A8"/>
    <w:rsid w:val="00F1699F"/>
    <w:rsid w:val="00F2154B"/>
    <w:rsid w:val="00F21954"/>
    <w:rsid w:val="00F257D7"/>
    <w:rsid w:val="00F266ED"/>
    <w:rsid w:val="00F26960"/>
    <w:rsid w:val="00F26AFA"/>
    <w:rsid w:val="00F27C36"/>
    <w:rsid w:val="00F30869"/>
    <w:rsid w:val="00F3298D"/>
    <w:rsid w:val="00F32FAA"/>
    <w:rsid w:val="00F3512E"/>
    <w:rsid w:val="00F36029"/>
    <w:rsid w:val="00F36930"/>
    <w:rsid w:val="00F36D80"/>
    <w:rsid w:val="00F36E5C"/>
    <w:rsid w:val="00F37238"/>
    <w:rsid w:val="00F3731A"/>
    <w:rsid w:val="00F37F36"/>
    <w:rsid w:val="00F404D4"/>
    <w:rsid w:val="00F41B71"/>
    <w:rsid w:val="00F44947"/>
    <w:rsid w:val="00F44ED5"/>
    <w:rsid w:val="00F4618A"/>
    <w:rsid w:val="00F46F96"/>
    <w:rsid w:val="00F50644"/>
    <w:rsid w:val="00F508A6"/>
    <w:rsid w:val="00F50945"/>
    <w:rsid w:val="00F50AC4"/>
    <w:rsid w:val="00F51AB7"/>
    <w:rsid w:val="00F52125"/>
    <w:rsid w:val="00F53CF1"/>
    <w:rsid w:val="00F53E33"/>
    <w:rsid w:val="00F547EF"/>
    <w:rsid w:val="00F57071"/>
    <w:rsid w:val="00F573E6"/>
    <w:rsid w:val="00F60903"/>
    <w:rsid w:val="00F60F99"/>
    <w:rsid w:val="00F621B1"/>
    <w:rsid w:val="00F62400"/>
    <w:rsid w:val="00F62FFF"/>
    <w:rsid w:val="00F63F39"/>
    <w:rsid w:val="00F642BF"/>
    <w:rsid w:val="00F64887"/>
    <w:rsid w:val="00F66E3B"/>
    <w:rsid w:val="00F67762"/>
    <w:rsid w:val="00F71AF7"/>
    <w:rsid w:val="00F73ED6"/>
    <w:rsid w:val="00F741FD"/>
    <w:rsid w:val="00F756EF"/>
    <w:rsid w:val="00F75C9C"/>
    <w:rsid w:val="00F75D24"/>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B168B"/>
    <w:rsid w:val="00FB419E"/>
    <w:rsid w:val="00FB4AB6"/>
    <w:rsid w:val="00FB5840"/>
    <w:rsid w:val="00FB5891"/>
    <w:rsid w:val="00FB5D60"/>
    <w:rsid w:val="00FB5E0A"/>
    <w:rsid w:val="00FB611D"/>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61"/>
    <w:rsid w:val="00FD2157"/>
    <w:rsid w:val="00FD557D"/>
    <w:rsid w:val="00FD5699"/>
    <w:rsid w:val="00FD580B"/>
    <w:rsid w:val="00FD60F7"/>
    <w:rsid w:val="00FD6542"/>
    <w:rsid w:val="00FD70CD"/>
    <w:rsid w:val="00FE1109"/>
    <w:rsid w:val="00FE256A"/>
    <w:rsid w:val="00FE3DA6"/>
    <w:rsid w:val="00FE4209"/>
    <w:rsid w:val="00FE4298"/>
    <w:rsid w:val="00FE5994"/>
    <w:rsid w:val="00FE5DE6"/>
    <w:rsid w:val="00FE65F5"/>
    <w:rsid w:val="00FE7086"/>
    <w:rsid w:val="00FE74A7"/>
    <w:rsid w:val="00FF1458"/>
    <w:rsid w:val="00FF14B0"/>
    <w:rsid w:val="00FF251D"/>
    <w:rsid w:val="00FF39B0"/>
    <w:rsid w:val="00FF3ABA"/>
    <w:rsid w:val="00FF44EB"/>
    <w:rsid w:val="00FF46A9"/>
    <w:rsid w:val="00FF54FF"/>
    <w:rsid w:val="00FF6EF2"/>
    <w:rsid w:val="00FF76CF"/>
    <w:rsid w:val="00FF78FC"/>
    <w:rsid w:val="01562B90"/>
    <w:rsid w:val="01863873"/>
    <w:rsid w:val="01A56087"/>
    <w:rsid w:val="0206030D"/>
    <w:rsid w:val="02107A69"/>
    <w:rsid w:val="02210475"/>
    <w:rsid w:val="022C7B40"/>
    <w:rsid w:val="031E3DB3"/>
    <w:rsid w:val="036A428A"/>
    <w:rsid w:val="037657DC"/>
    <w:rsid w:val="038813C1"/>
    <w:rsid w:val="04153CF2"/>
    <w:rsid w:val="04296E3F"/>
    <w:rsid w:val="04C1104C"/>
    <w:rsid w:val="04FC7C7D"/>
    <w:rsid w:val="05F4145A"/>
    <w:rsid w:val="05FE7101"/>
    <w:rsid w:val="06994D63"/>
    <w:rsid w:val="06AF5860"/>
    <w:rsid w:val="06B869C0"/>
    <w:rsid w:val="06E04D6B"/>
    <w:rsid w:val="06EC0934"/>
    <w:rsid w:val="071F6AB6"/>
    <w:rsid w:val="07313A4A"/>
    <w:rsid w:val="07B962F3"/>
    <w:rsid w:val="08041617"/>
    <w:rsid w:val="08667E7D"/>
    <w:rsid w:val="08A246F4"/>
    <w:rsid w:val="091269CF"/>
    <w:rsid w:val="096A6E3C"/>
    <w:rsid w:val="0A29451F"/>
    <w:rsid w:val="0A5F6CEE"/>
    <w:rsid w:val="0A74048C"/>
    <w:rsid w:val="0ACB696D"/>
    <w:rsid w:val="0BFC6504"/>
    <w:rsid w:val="0C20000C"/>
    <w:rsid w:val="0C72145F"/>
    <w:rsid w:val="0CDA4870"/>
    <w:rsid w:val="0CF0193B"/>
    <w:rsid w:val="0D1B63E2"/>
    <w:rsid w:val="0D752A39"/>
    <w:rsid w:val="0DBD6610"/>
    <w:rsid w:val="0E425FEA"/>
    <w:rsid w:val="0ECE2D52"/>
    <w:rsid w:val="0F206A4D"/>
    <w:rsid w:val="0F7375B4"/>
    <w:rsid w:val="0FD71DD6"/>
    <w:rsid w:val="10497E2E"/>
    <w:rsid w:val="10566616"/>
    <w:rsid w:val="105E5F06"/>
    <w:rsid w:val="10605FA3"/>
    <w:rsid w:val="112D6993"/>
    <w:rsid w:val="11326013"/>
    <w:rsid w:val="118E12D7"/>
    <w:rsid w:val="119C2DA1"/>
    <w:rsid w:val="11C14211"/>
    <w:rsid w:val="11CC054E"/>
    <w:rsid w:val="11D4479F"/>
    <w:rsid w:val="11E5626B"/>
    <w:rsid w:val="11EA2591"/>
    <w:rsid w:val="12E72D00"/>
    <w:rsid w:val="13174AE5"/>
    <w:rsid w:val="147772D7"/>
    <w:rsid w:val="14854E92"/>
    <w:rsid w:val="14EF3903"/>
    <w:rsid w:val="156A33C4"/>
    <w:rsid w:val="156F7EC8"/>
    <w:rsid w:val="15E349A1"/>
    <w:rsid w:val="160E262B"/>
    <w:rsid w:val="16520028"/>
    <w:rsid w:val="1664733A"/>
    <w:rsid w:val="167F7778"/>
    <w:rsid w:val="168D58D8"/>
    <w:rsid w:val="175224C5"/>
    <w:rsid w:val="179748BE"/>
    <w:rsid w:val="180F49B8"/>
    <w:rsid w:val="18962DDE"/>
    <w:rsid w:val="18A86D7A"/>
    <w:rsid w:val="199F4D87"/>
    <w:rsid w:val="1A3537EE"/>
    <w:rsid w:val="1A787DE6"/>
    <w:rsid w:val="1A800FEA"/>
    <w:rsid w:val="1AB94E10"/>
    <w:rsid w:val="1B5F4421"/>
    <w:rsid w:val="1B601ACC"/>
    <w:rsid w:val="1BCB77EC"/>
    <w:rsid w:val="1C4B2F31"/>
    <w:rsid w:val="1C4E0215"/>
    <w:rsid w:val="1C6E60E9"/>
    <w:rsid w:val="1C6F0D4D"/>
    <w:rsid w:val="1CCC1362"/>
    <w:rsid w:val="1CE44729"/>
    <w:rsid w:val="1CF57FE2"/>
    <w:rsid w:val="1D2F3AD8"/>
    <w:rsid w:val="1D30305D"/>
    <w:rsid w:val="1D9A4A7B"/>
    <w:rsid w:val="1DD66ADD"/>
    <w:rsid w:val="1E8A046F"/>
    <w:rsid w:val="1E8A259A"/>
    <w:rsid w:val="1EDF36D9"/>
    <w:rsid w:val="1F28119D"/>
    <w:rsid w:val="1F5E479D"/>
    <w:rsid w:val="1F9466D4"/>
    <w:rsid w:val="1FA63A5F"/>
    <w:rsid w:val="1FB65274"/>
    <w:rsid w:val="1FFD6344"/>
    <w:rsid w:val="20132FFD"/>
    <w:rsid w:val="20461DA2"/>
    <w:rsid w:val="20463F1E"/>
    <w:rsid w:val="20B122CA"/>
    <w:rsid w:val="21115B64"/>
    <w:rsid w:val="212E7BC9"/>
    <w:rsid w:val="217B0BD5"/>
    <w:rsid w:val="21A02F7B"/>
    <w:rsid w:val="225A26E4"/>
    <w:rsid w:val="228C7D4B"/>
    <w:rsid w:val="22A05226"/>
    <w:rsid w:val="22C526C0"/>
    <w:rsid w:val="22DD4260"/>
    <w:rsid w:val="22E33722"/>
    <w:rsid w:val="235978A2"/>
    <w:rsid w:val="23A00FC9"/>
    <w:rsid w:val="23AD453C"/>
    <w:rsid w:val="2472324E"/>
    <w:rsid w:val="24980F86"/>
    <w:rsid w:val="24B45FD8"/>
    <w:rsid w:val="24EE24AE"/>
    <w:rsid w:val="25E140B7"/>
    <w:rsid w:val="25F80C05"/>
    <w:rsid w:val="26741523"/>
    <w:rsid w:val="26DB779D"/>
    <w:rsid w:val="27CB2687"/>
    <w:rsid w:val="27FA0D7D"/>
    <w:rsid w:val="280C63A4"/>
    <w:rsid w:val="28107F4F"/>
    <w:rsid w:val="2841193E"/>
    <w:rsid w:val="28560F2E"/>
    <w:rsid w:val="285C2186"/>
    <w:rsid w:val="285E4350"/>
    <w:rsid w:val="288F501E"/>
    <w:rsid w:val="28F74E2B"/>
    <w:rsid w:val="291B6C85"/>
    <w:rsid w:val="293E2F91"/>
    <w:rsid w:val="2982737F"/>
    <w:rsid w:val="299B68AD"/>
    <w:rsid w:val="2A027E45"/>
    <w:rsid w:val="2A034EED"/>
    <w:rsid w:val="2A0827B7"/>
    <w:rsid w:val="2A777809"/>
    <w:rsid w:val="2A7800A4"/>
    <w:rsid w:val="2A9622C7"/>
    <w:rsid w:val="2B122C18"/>
    <w:rsid w:val="2B6A5E9D"/>
    <w:rsid w:val="2BAC036C"/>
    <w:rsid w:val="2BC01D7A"/>
    <w:rsid w:val="2BCB5579"/>
    <w:rsid w:val="2C182496"/>
    <w:rsid w:val="2C933131"/>
    <w:rsid w:val="2CF230BC"/>
    <w:rsid w:val="2D6D53BB"/>
    <w:rsid w:val="2D763952"/>
    <w:rsid w:val="2E3877F2"/>
    <w:rsid w:val="2E67BD2A"/>
    <w:rsid w:val="2E804809"/>
    <w:rsid w:val="2EAB58F0"/>
    <w:rsid w:val="2EE8373F"/>
    <w:rsid w:val="2F602D2B"/>
    <w:rsid w:val="2FC87E36"/>
    <w:rsid w:val="30507502"/>
    <w:rsid w:val="30B9222E"/>
    <w:rsid w:val="30CD72B1"/>
    <w:rsid w:val="310075AF"/>
    <w:rsid w:val="3106021B"/>
    <w:rsid w:val="31264E7E"/>
    <w:rsid w:val="31457314"/>
    <w:rsid w:val="31573EB8"/>
    <w:rsid w:val="318D55C2"/>
    <w:rsid w:val="31B2610B"/>
    <w:rsid w:val="31D02775"/>
    <w:rsid w:val="32544453"/>
    <w:rsid w:val="32592C5A"/>
    <w:rsid w:val="32C7318A"/>
    <w:rsid w:val="337518A3"/>
    <w:rsid w:val="342776FE"/>
    <w:rsid w:val="345A6173"/>
    <w:rsid w:val="34A2122C"/>
    <w:rsid w:val="3524459F"/>
    <w:rsid w:val="35257A4D"/>
    <w:rsid w:val="3535462B"/>
    <w:rsid w:val="35E022B4"/>
    <w:rsid w:val="3768532A"/>
    <w:rsid w:val="37A4602E"/>
    <w:rsid w:val="37A5731D"/>
    <w:rsid w:val="38003324"/>
    <w:rsid w:val="382B1DE8"/>
    <w:rsid w:val="38945584"/>
    <w:rsid w:val="38952A4F"/>
    <w:rsid w:val="38DB30A5"/>
    <w:rsid w:val="392B06EA"/>
    <w:rsid w:val="39374B07"/>
    <w:rsid w:val="39743D15"/>
    <w:rsid w:val="39B852DC"/>
    <w:rsid w:val="39DA3011"/>
    <w:rsid w:val="3A6E6DAE"/>
    <w:rsid w:val="3BA95528"/>
    <w:rsid w:val="3BDF08B8"/>
    <w:rsid w:val="3BFF04CD"/>
    <w:rsid w:val="3C3118F6"/>
    <w:rsid w:val="3C36653E"/>
    <w:rsid w:val="3D1E293E"/>
    <w:rsid w:val="3D83701E"/>
    <w:rsid w:val="3D8F1598"/>
    <w:rsid w:val="3DCA2D2B"/>
    <w:rsid w:val="3DF0136C"/>
    <w:rsid w:val="3DF710BD"/>
    <w:rsid w:val="3E1A3B98"/>
    <w:rsid w:val="3E63220F"/>
    <w:rsid w:val="3E872442"/>
    <w:rsid w:val="3EE433DD"/>
    <w:rsid w:val="3EF137A1"/>
    <w:rsid w:val="3F084586"/>
    <w:rsid w:val="3F4C585B"/>
    <w:rsid w:val="3F4E43E9"/>
    <w:rsid w:val="3FABE9CB"/>
    <w:rsid w:val="40782104"/>
    <w:rsid w:val="40FC1163"/>
    <w:rsid w:val="419742BE"/>
    <w:rsid w:val="41BB6E00"/>
    <w:rsid w:val="42154407"/>
    <w:rsid w:val="424631B6"/>
    <w:rsid w:val="42CB54E6"/>
    <w:rsid w:val="42F535F3"/>
    <w:rsid w:val="43081E32"/>
    <w:rsid w:val="43487DB5"/>
    <w:rsid w:val="43E53CC0"/>
    <w:rsid w:val="43E640A3"/>
    <w:rsid w:val="44234E97"/>
    <w:rsid w:val="442F6B42"/>
    <w:rsid w:val="449744EA"/>
    <w:rsid w:val="44B4221A"/>
    <w:rsid w:val="453A5326"/>
    <w:rsid w:val="45720B4A"/>
    <w:rsid w:val="468E350A"/>
    <w:rsid w:val="46A15A3E"/>
    <w:rsid w:val="47003EE0"/>
    <w:rsid w:val="47347026"/>
    <w:rsid w:val="47975C19"/>
    <w:rsid w:val="47C57BD3"/>
    <w:rsid w:val="48025365"/>
    <w:rsid w:val="480B10EA"/>
    <w:rsid w:val="481F243C"/>
    <w:rsid w:val="482E0B83"/>
    <w:rsid w:val="483D7B75"/>
    <w:rsid w:val="48FF1808"/>
    <w:rsid w:val="4911712E"/>
    <w:rsid w:val="495344F1"/>
    <w:rsid w:val="496357C4"/>
    <w:rsid w:val="49940BFF"/>
    <w:rsid w:val="49A51845"/>
    <w:rsid w:val="49A62E0B"/>
    <w:rsid w:val="4A361D05"/>
    <w:rsid w:val="4AA16EC2"/>
    <w:rsid w:val="4AB1522B"/>
    <w:rsid w:val="4AF462B7"/>
    <w:rsid w:val="4B014A4C"/>
    <w:rsid w:val="4B3170E4"/>
    <w:rsid w:val="4B7C7239"/>
    <w:rsid w:val="4B814952"/>
    <w:rsid w:val="4C070FCA"/>
    <w:rsid w:val="4C2C2DD4"/>
    <w:rsid w:val="4C3E4266"/>
    <w:rsid w:val="4C4B0ACB"/>
    <w:rsid w:val="4C8E6BFC"/>
    <w:rsid w:val="4D460E38"/>
    <w:rsid w:val="4E234393"/>
    <w:rsid w:val="4E574B09"/>
    <w:rsid w:val="4E5B5B47"/>
    <w:rsid w:val="4E6F4101"/>
    <w:rsid w:val="4EBD33DC"/>
    <w:rsid w:val="4EBE5135"/>
    <w:rsid w:val="4EDA0FA7"/>
    <w:rsid w:val="4EDD2163"/>
    <w:rsid w:val="4F2A4BBE"/>
    <w:rsid w:val="4F844CD5"/>
    <w:rsid w:val="5019366F"/>
    <w:rsid w:val="506E15AE"/>
    <w:rsid w:val="50A97A36"/>
    <w:rsid w:val="50B56D84"/>
    <w:rsid w:val="511376A4"/>
    <w:rsid w:val="515E5E18"/>
    <w:rsid w:val="51A61FD4"/>
    <w:rsid w:val="520D2FCF"/>
    <w:rsid w:val="523E4047"/>
    <w:rsid w:val="5244074B"/>
    <w:rsid w:val="52641AC3"/>
    <w:rsid w:val="527B5D61"/>
    <w:rsid w:val="53434BF3"/>
    <w:rsid w:val="536067D6"/>
    <w:rsid w:val="54BF77A8"/>
    <w:rsid w:val="54F82ACE"/>
    <w:rsid w:val="550756F1"/>
    <w:rsid w:val="558D0327"/>
    <w:rsid w:val="55BF6A67"/>
    <w:rsid w:val="5612583D"/>
    <w:rsid w:val="562E39F2"/>
    <w:rsid w:val="563C16D4"/>
    <w:rsid w:val="564523F7"/>
    <w:rsid w:val="56543429"/>
    <w:rsid w:val="566E2343"/>
    <w:rsid w:val="56E161F8"/>
    <w:rsid w:val="56EC4265"/>
    <w:rsid w:val="57611B96"/>
    <w:rsid w:val="57620D3A"/>
    <w:rsid w:val="57C418E8"/>
    <w:rsid w:val="58714A5C"/>
    <w:rsid w:val="590316FF"/>
    <w:rsid w:val="5906675A"/>
    <w:rsid w:val="59375A22"/>
    <w:rsid w:val="595E61AC"/>
    <w:rsid w:val="59800CCA"/>
    <w:rsid w:val="59E12108"/>
    <w:rsid w:val="5A0B4023"/>
    <w:rsid w:val="5A4B20A6"/>
    <w:rsid w:val="5ABB514B"/>
    <w:rsid w:val="5B846436"/>
    <w:rsid w:val="5B98360C"/>
    <w:rsid w:val="5BC3635B"/>
    <w:rsid w:val="5BDB200E"/>
    <w:rsid w:val="5C0A69D0"/>
    <w:rsid w:val="5C242264"/>
    <w:rsid w:val="5CDC53F3"/>
    <w:rsid w:val="5D1E2762"/>
    <w:rsid w:val="5D9F16C2"/>
    <w:rsid w:val="5DB212D2"/>
    <w:rsid w:val="5E4A7504"/>
    <w:rsid w:val="5E5C6C5D"/>
    <w:rsid w:val="5F224EC2"/>
    <w:rsid w:val="5F7369F5"/>
    <w:rsid w:val="5FCF1ADE"/>
    <w:rsid w:val="5FE32162"/>
    <w:rsid w:val="60C95220"/>
    <w:rsid w:val="60E21471"/>
    <w:rsid w:val="60FA6592"/>
    <w:rsid w:val="612A1ACE"/>
    <w:rsid w:val="61755ECB"/>
    <w:rsid w:val="61C30C5E"/>
    <w:rsid w:val="6217734C"/>
    <w:rsid w:val="62507339"/>
    <w:rsid w:val="625E4788"/>
    <w:rsid w:val="628749C3"/>
    <w:rsid w:val="629C7B59"/>
    <w:rsid w:val="63263553"/>
    <w:rsid w:val="63644139"/>
    <w:rsid w:val="63653FF5"/>
    <w:rsid w:val="63E63E49"/>
    <w:rsid w:val="64536DB2"/>
    <w:rsid w:val="64A61277"/>
    <w:rsid w:val="64AA2690"/>
    <w:rsid w:val="64FE478A"/>
    <w:rsid w:val="651E7905"/>
    <w:rsid w:val="654C38FB"/>
    <w:rsid w:val="664C1F65"/>
    <w:rsid w:val="66F7E762"/>
    <w:rsid w:val="67397CFB"/>
    <w:rsid w:val="67517A97"/>
    <w:rsid w:val="67E06114"/>
    <w:rsid w:val="67E57E78"/>
    <w:rsid w:val="67F45EFB"/>
    <w:rsid w:val="685D096F"/>
    <w:rsid w:val="68CC337B"/>
    <w:rsid w:val="691B219C"/>
    <w:rsid w:val="697E5D8A"/>
    <w:rsid w:val="6A47744D"/>
    <w:rsid w:val="6A687F3B"/>
    <w:rsid w:val="6ABB5F67"/>
    <w:rsid w:val="6ABF7719"/>
    <w:rsid w:val="6AC61A67"/>
    <w:rsid w:val="6B31672A"/>
    <w:rsid w:val="6BF40458"/>
    <w:rsid w:val="6C0F3842"/>
    <w:rsid w:val="6CB14780"/>
    <w:rsid w:val="6D417F8D"/>
    <w:rsid w:val="6D535C20"/>
    <w:rsid w:val="6D554E35"/>
    <w:rsid w:val="6ED613D3"/>
    <w:rsid w:val="6F193C74"/>
    <w:rsid w:val="6F255DD2"/>
    <w:rsid w:val="6F6E0CD7"/>
    <w:rsid w:val="6F6E5314"/>
    <w:rsid w:val="6F794B00"/>
    <w:rsid w:val="6FBD596D"/>
    <w:rsid w:val="6FD57922"/>
    <w:rsid w:val="6FDA14BF"/>
    <w:rsid w:val="701F7070"/>
    <w:rsid w:val="70512559"/>
    <w:rsid w:val="70662510"/>
    <w:rsid w:val="70F133F4"/>
    <w:rsid w:val="71865D81"/>
    <w:rsid w:val="71A95BA6"/>
    <w:rsid w:val="729624A5"/>
    <w:rsid w:val="72996FB8"/>
    <w:rsid w:val="7334108B"/>
    <w:rsid w:val="73C34071"/>
    <w:rsid w:val="73E57F4F"/>
    <w:rsid w:val="73E74E34"/>
    <w:rsid w:val="741A3E8A"/>
    <w:rsid w:val="744D6FE2"/>
    <w:rsid w:val="745E10F9"/>
    <w:rsid w:val="746376D0"/>
    <w:rsid w:val="75380341"/>
    <w:rsid w:val="756B10CD"/>
    <w:rsid w:val="75D51D74"/>
    <w:rsid w:val="75FB71EF"/>
    <w:rsid w:val="75FC2876"/>
    <w:rsid w:val="76550141"/>
    <w:rsid w:val="76AD0D6F"/>
    <w:rsid w:val="76B91076"/>
    <w:rsid w:val="774B027B"/>
    <w:rsid w:val="778D1319"/>
    <w:rsid w:val="77DB72D8"/>
    <w:rsid w:val="78442E20"/>
    <w:rsid w:val="78584886"/>
    <w:rsid w:val="788B3F57"/>
    <w:rsid w:val="78A7183C"/>
    <w:rsid w:val="78AC2AC4"/>
    <w:rsid w:val="78BE1CAE"/>
    <w:rsid w:val="796B4778"/>
    <w:rsid w:val="79A951A2"/>
    <w:rsid w:val="79BE507A"/>
    <w:rsid w:val="79E9459D"/>
    <w:rsid w:val="7A983E8D"/>
    <w:rsid w:val="7AD76C87"/>
    <w:rsid w:val="7B3A5F08"/>
    <w:rsid w:val="7B6A1CB1"/>
    <w:rsid w:val="7B7B34A6"/>
    <w:rsid w:val="7B863DF3"/>
    <w:rsid w:val="7BB62C09"/>
    <w:rsid w:val="7C6F36DE"/>
    <w:rsid w:val="7C726EEC"/>
    <w:rsid w:val="7CCB6CB1"/>
    <w:rsid w:val="7D20753B"/>
    <w:rsid w:val="7D4D1A34"/>
    <w:rsid w:val="7D58558B"/>
    <w:rsid w:val="7D906276"/>
    <w:rsid w:val="7DA6F83C"/>
    <w:rsid w:val="7DBEE839"/>
    <w:rsid w:val="7DBF7766"/>
    <w:rsid w:val="7DC03778"/>
    <w:rsid w:val="7E287E74"/>
    <w:rsid w:val="7E9A71E5"/>
    <w:rsid w:val="7EAA0EAF"/>
    <w:rsid w:val="7EAA7A04"/>
    <w:rsid w:val="7EED6F7D"/>
    <w:rsid w:val="7F1FE33F"/>
    <w:rsid w:val="7F5921DE"/>
    <w:rsid w:val="7F644557"/>
    <w:rsid w:val="7F795557"/>
    <w:rsid w:val="7FA10275"/>
    <w:rsid w:val="7FE7486A"/>
    <w:rsid w:val="87E6D2EC"/>
    <w:rsid w:val="B2037C16"/>
    <w:rsid w:val="BECD5DF5"/>
    <w:rsid w:val="BFBFBD5F"/>
    <w:rsid w:val="CDFF58E2"/>
    <w:rsid w:val="DD8790B2"/>
    <w:rsid w:val="FF73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1"/>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2"/>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3"/>
    <w:autoRedefine/>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4"/>
    <w:autoRedefine/>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5"/>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66"/>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7"/>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8"/>
    <w:autoRedefine/>
    <w:qFormat/>
    <w:uiPriority w:val="0"/>
    <w:pPr>
      <w:ind w:firstLine="420"/>
    </w:pPr>
    <w:rPr>
      <w:kern w:val="0"/>
      <w:sz w:val="20"/>
      <w:szCs w:val="20"/>
    </w:rPr>
  </w:style>
  <w:style w:type="paragraph" w:styleId="12">
    <w:name w:val="toc 7"/>
    <w:basedOn w:val="1"/>
    <w:next w:val="1"/>
    <w:autoRedefine/>
    <w:qFormat/>
    <w:uiPriority w:val="39"/>
    <w:pPr>
      <w:ind w:left="2520" w:leftChars="1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spacing w:line="360" w:lineRule="auto"/>
      <w:jc w:val="left"/>
    </w:pPr>
    <w:rPr>
      <w:rFonts w:ascii="宋体"/>
      <w:b/>
      <w:sz w:val="24"/>
    </w:rPr>
  </w:style>
  <w:style w:type="paragraph" w:styleId="16">
    <w:name w:val="Document Map"/>
    <w:basedOn w:val="1"/>
    <w:link w:val="69"/>
    <w:autoRedefine/>
    <w:qFormat/>
    <w:uiPriority w:val="99"/>
    <w:pPr>
      <w:shd w:val="clear" w:color="auto" w:fill="000080"/>
    </w:pPr>
    <w:rPr>
      <w:kern w:val="0"/>
      <w:sz w:val="20"/>
    </w:rPr>
  </w:style>
  <w:style w:type="paragraph" w:styleId="17">
    <w:name w:val="toa heading"/>
    <w:basedOn w:val="1"/>
    <w:next w:val="1"/>
    <w:link w:val="70"/>
    <w:autoRedefine/>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71"/>
    <w:autoRedefine/>
    <w:qFormat/>
    <w:uiPriority w:val="0"/>
    <w:pPr>
      <w:jc w:val="left"/>
    </w:pPr>
    <w:rPr>
      <w:kern w:val="0"/>
      <w:sz w:val="20"/>
    </w:rPr>
  </w:style>
  <w:style w:type="paragraph" w:styleId="19">
    <w:name w:val="Body Text 3"/>
    <w:basedOn w:val="1"/>
    <w:link w:val="72"/>
    <w:autoRedefine/>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73"/>
    <w:autoRedefine/>
    <w:qFormat/>
    <w:uiPriority w:val="0"/>
    <w:pPr>
      <w:spacing w:after="120"/>
    </w:pPr>
    <w:rPr>
      <w:kern w:val="0"/>
      <w:sz w:val="28"/>
    </w:rPr>
  </w:style>
  <w:style w:type="paragraph" w:styleId="21">
    <w:name w:val="Body Text First Indent"/>
    <w:basedOn w:val="20"/>
    <w:next w:val="1"/>
    <w:link w:val="74"/>
    <w:autoRedefine/>
    <w:qFormat/>
    <w:uiPriority w:val="0"/>
    <w:pPr>
      <w:spacing w:beforeLines="50" w:afterLines="50" w:line="360" w:lineRule="auto"/>
      <w:ind w:firstLine="480" w:firstLineChars="200"/>
    </w:pPr>
    <w:rPr>
      <w:sz w:val="24"/>
    </w:rPr>
  </w:style>
  <w:style w:type="paragraph" w:styleId="22">
    <w:name w:val="Body Text Indent"/>
    <w:basedOn w:val="1"/>
    <w:next w:val="23"/>
    <w:link w:val="75"/>
    <w:autoRedefine/>
    <w:qFormat/>
    <w:uiPriority w:val="0"/>
    <w:pPr>
      <w:spacing w:line="200" w:lineRule="exact"/>
      <w:ind w:firstLine="301"/>
    </w:pPr>
    <w:rPr>
      <w:rFonts w:ascii="宋体" w:hAnsi="Courier New"/>
      <w:spacing w:val="-4"/>
      <w:kern w:val="0"/>
      <w:sz w:val="18"/>
      <w:szCs w:val="20"/>
    </w:rPr>
  </w:style>
  <w:style w:type="paragraph" w:styleId="23">
    <w:name w:val="Body Text First Indent 2"/>
    <w:basedOn w:val="22"/>
    <w:autoRedefine/>
    <w:unhideWhenUsed/>
    <w:qFormat/>
    <w:uiPriority w:val="99"/>
    <w:pPr>
      <w:spacing w:after="120" w:line="240" w:lineRule="auto"/>
      <w:ind w:left="420" w:leftChars="200" w:firstLine="420" w:firstLineChars="200"/>
    </w:pPr>
    <w:rPr>
      <w:rFonts w:ascii="Times New Roman" w:hAnsi="Times New Roman"/>
      <w:spacing w:val="0"/>
      <w:kern w:val="2"/>
      <w:sz w:val="21"/>
      <w:szCs w:val="24"/>
    </w:rPr>
  </w:style>
  <w:style w:type="paragraph" w:styleId="24">
    <w:name w:val="List Number 3"/>
    <w:basedOn w:val="1"/>
    <w:autoRedefine/>
    <w:qFormat/>
    <w:uiPriority w:val="0"/>
    <w:pPr>
      <w:tabs>
        <w:tab w:val="left" w:pos="1200"/>
      </w:tabs>
      <w:ind w:left="1200" w:hanging="360"/>
    </w:pPr>
  </w:style>
  <w:style w:type="paragraph" w:styleId="25">
    <w:name w:val="List 2"/>
    <w:basedOn w:val="1"/>
    <w:autoRedefine/>
    <w:qFormat/>
    <w:uiPriority w:val="0"/>
    <w:pPr>
      <w:ind w:left="100" w:leftChars="200" w:hanging="200" w:hangingChars="200"/>
    </w:pPr>
    <w:rPr>
      <w:sz w:val="28"/>
    </w:rPr>
  </w:style>
  <w:style w:type="paragraph" w:styleId="26">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ind w:left="840" w:leftChars="400"/>
    </w:pPr>
  </w:style>
  <w:style w:type="paragraph" w:styleId="29">
    <w:name w:val="Plain Text"/>
    <w:basedOn w:val="1"/>
    <w:next w:val="30"/>
    <w:link w:val="76"/>
    <w:autoRedefine/>
    <w:qFormat/>
    <w:uiPriority w:val="0"/>
    <w:pPr>
      <w:spacing w:beforeLines="50" w:afterLines="50" w:line="400" w:lineRule="exact"/>
    </w:pPr>
    <w:rPr>
      <w:rFonts w:ascii="宋体" w:hAnsi="Courier New"/>
      <w:kern w:val="0"/>
      <w:sz w:val="24"/>
    </w:rPr>
  </w:style>
  <w:style w:type="paragraph" w:styleId="30">
    <w:name w:val="Date"/>
    <w:basedOn w:val="1"/>
    <w:next w:val="1"/>
    <w:link w:val="77"/>
    <w:autoRedefine/>
    <w:qFormat/>
    <w:uiPriority w:val="0"/>
    <w:pPr>
      <w:ind w:left="2500" w:leftChars="2500"/>
    </w:pPr>
    <w:rPr>
      <w:rFonts w:eastAsia="楷体_GB2312"/>
      <w:kern w:val="0"/>
      <w:sz w:val="32"/>
      <w:szCs w:val="20"/>
    </w:rPr>
  </w:style>
  <w:style w:type="paragraph" w:styleId="31">
    <w:name w:val="toc 8"/>
    <w:basedOn w:val="1"/>
    <w:next w:val="1"/>
    <w:autoRedefine/>
    <w:unhideWhenUsed/>
    <w:qFormat/>
    <w:uiPriority w:val="39"/>
    <w:pPr>
      <w:ind w:left="2940" w:leftChars="1400"/>
    </w:pPr>
    <w:rPr>
      <w:rFonts w:ascii="Calibri" w:hAnsi="Calibri"/>
      <w:szCs w:val="22"/>
    </w:rPr>
  </w:style>
  <w:style w:type="paragraph" w:styleId="32">
    <w:name w:val="Body Text Indent 2"/>
    <w:basedOn w:val="1"/>
    <w:link w:val="78"/>
    <w:autoRedefine/>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79"/>
    <w:autoRedefine/>
    <w:qFormat/>
    <w:uiPriority w:val="99"/>
    <w:rPr>
      <w:kern w:val="0"/>
      <w:sz w:val="18"/>
      <w:szCs w:val="18"/>
    </w:rPr>
  </w:style>
  <w:style w:type="paragraph" w:styleId="34">
    <w:name w:val="footer"/>
    <w:basedOn w:val="1"/>
    <w:link w:val="80"/>
    <w:autoRedefine/>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81"/>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autoRedefine/>
    <w:qFormat/>
    <w:uiPriority w:val="39"/>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82"/>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83"/>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4"/>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85"/>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6"/>
    <w:autoRedefine/>
    <w:qFormat/>
    <w:uiPriority w:val="99"/>
    <w:rPr>
      <w:b/>
      <w:bCs/>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color w:val="000000"/>
    </w:rPr>
  </w:style>
  <w:style w:type="character" w:styleId="53">
    <w:name w:val="page number"/>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paragraph" w:customStyle="1" w:styleId="58">
    <w:name w:val="Normal Indent1"/>
    <w:basedOn w:val="1"/>
    <w:autoRedefine/>
    <w:qFormat/>
    <w:uiPriority w:val="0"/>
    <w:pPr>
      <w:ind w:firstLine="420" w:firstLineChars="200"/>
    </w:pPr>
  </w:style>
  <w:style w:type="character" w:customStyle="1" w:styleId="59">
    <w:name w:val="标题 2 Char"/>
    <w:link w:val="4"/>
    <w:autoRedefine/>
    <w:qFormat/>
    <w:uiPriority w:val="9"/>
    <w:rPr>
      <w:rFonts w:ascii="Arial" w:hAnsi="Arial" w:eastAsia="黑体" w:cs="Times New Roman"/>
      <w:b/>
      <w:bCs/>
      <w:kern w:val="0"/>
      <w:sz w:val="32"/>
      <w:szCs w:val="32"/>
    </w:rPr>
  </w:style>
  <w:style w:type="character" w:customStyle="1" w:styleId="60">
    <w:name w:val="标题 1 Char"/>
    <w:link w:val="3"/>
    <w:autoRedefine/>
    <w:qFormat/>
    <w:uiPriority w:val="9"/>
    <w:rPr>
      <w:rFonts w:ascii="Times New Roman" w:hAnsi="Times New Roman" w:eastAsia="宋体" w:cs="Times New Roman"/>
      <w:b/>
      <w:bCs/>
      <w:kern w:val="44"/>
      <w:sz w:val="44"/>
      <w:szCs w:val="44"/>
    </w:rPr>
  </w:style>
  <w:style w:type="character" w:customStyle="1" w:styleId="61">
    <w:name w:val="标题 3 Char"/>
    <w:link w:val="5"/>
    <w:autoRedefine/>
    <w:qFormat/>
    <w:uiPriority w:val="0"/>
    <w:rPr>
      <w:rFonts w:ascii="Times New Roman" w:hAnsi="Times New Roman" w:eastAsia="楷体_GB2312" w:cs="Times New Roman"/>
      <w:b/>
      <w:bCs/>
      <w:kern w:val="0"/>
      <w:sz w:val="32"/>
      <w:szCs w:val="32"/>
    </w:rPr>
  </w:style>
  <w:style w:type="character" w:customStyle="1" w:styleId="62">
    <w:name w:val="标题 4 Char"/>
    <w:link w:val="6"/>
    <w:autoRedefine/>
    <w:qFormat/>
    <w:uiPriority w:val="0"/>
    <w:rPr>
      <w:rFonts w:ascii="Arial" w:hAnsi="Arial" w:eastAsia="黑体" w:cs="Times New Roman"/>
      <w:b/>
      <w:bCs/>
      <w:kern w:val="0"/>
      <w:sz w:val="28"/>
      <w:szCs w:val="28"/>
    </w:rPr>
  </w:style>
  <w:style w:type="character" w:customStyle="1" w:styleId="63">
    <w:name w:val="标题 5 Char"/>
    <w:link w:val="7"/>
    <w:autoRedefine/>
    <w:qFormat/>
    <w:uiPriority w:val="9"/>
    <w:rPr>
      <w:rFonts w:ascii="Times New Roman" w:hAnsi="Times New Roman" w:eastAsia="宋体" w:cs="Times New Roman"/>
      <w:b/>
      <w:bCs/>
      <w:kern w:val="0"/>
      <w:sz w:val="28"/>
      <w:szCs w:val="28"/>
    </w:rPr>
  </w:style>
  <w:style w:type="character" w:customStyle="1" w:styleId="64">
    <w:name w:val="标题 6 Char"/>
    <w:link w:val="8"/>
    <w:autoRedefine/>
    <w:qFormat/>
    <w:uiPriority w:val="0"/>
    <w:rPr>
      <w:rFonts w:ascii="Arial" w:hAnsi="Arial" w:eastAsia="黑体" w:cs="Times New Roman"/>
      <w:b/>
      <w:bCs/>
      <w:kern w:val="0"/>
      <w:sz w:val="24"/>
      <w:szCs w:val="24"/>
    </w:rPr>
  </w:style>
  <w:style w:type="character" w:customStyle="1" w:styleId="65">
    <w:name w:val="标题 7 Char"/>
    <w:link w:val="9"/>
    <w:autoRedefine/>
    <w:qFormat/>
    <w:uiPriority w:val="0"/>
    <w:rPr>
      <w:rFonts w:ascii="Times New Roman" w:hAnsi="Times New Roman" w:eastAsia="宋体" w:cs="Times New Roman"/>
      <w:b/>
      <w:bCs/>
      <w:kern w:val="0"/>
      <w:sz w:val="24"/>
      <w:szCs w:val="24"/>
    </w:rPr>
  </w:style>
  <w:style w:type="character" w:customStyle="1" w:styleId="66">
    <w:name w:val="标题 8 Char"/>
    <w:link w:val="10"/>
    <w:autoRedefine/>
    <w:qFormat/>
    <w:uiPriority w:val="0"/>
    <w:rPr>
      <w:rFonts w:ascii="Arial" w:hAnsi="Arial" w:eastAsia="黑体" w:cs="Times New Roman"/>
      <w:kern w:val="0"/>
      <w:sz w:val="24"/>
      <w:szCs w:val="24"/>
    </w:rPr>
  </w:style>
  <w:style w:type="character" w:customStyle="1" w:styleId="67">
    <w:name w:val="标题 9 Char"/>
    <w:link w:val="11"/>
    <w:autoRedefine/>
    <w:qFormat/>
    <w:uiPriority w:val="0"/>
    <w:rPr>
      <w:rFonts w:ascii="Arial" w:hAnsi="Arial" w:eastAsia="黑体" w:cs="Times New Roman"/>
      <w:kern w:val="0"/>
      <w:sz w:val="20"/>
      <w:szCs w:val="21"/>
    </w:rPr>
  </w:style>
  <w:style w:type="character" w:customStyle="1" w:styleId="68">
    <w:name w:val="正文缩进 Char"/>
    <w:link w:val="2"/>
    <w:autoRedefine/>
    <w:qFormat/>
    <w:uiPriority w:val="0"/>
    <w:rPr>
      <w:rFonts w:eastAsia="宋体"/>
    </w:rPr>
  </w:style>
  <w:style w:type="character" w:customStyle="1" w:styleId="69">
    <w:name w:val="文档结构图 Char"/>
    <w:link w:val="16"/>
    <w:autoRedefine/>
    <w:qFormat/>
    <w:uiPriority w:val="99"/>
    <w:rPr>
      <w:szCs w:val="24"/>
      <w:shd w:val="clear" w:color="auto" w:fill="000080"/>
    </w:rPr>
  </w:style>
  <w:style w:type="character" w:customStyle="1" w:styleId="70">
    <w:name w:val="引文目录标题 Char"/>
    <w:link w:val="17"/>
    <w:autoRedefine/>
    <w:qFormat/>
    <w:uiPriority w:val="0"/>
    <w:rPr>
      <w:rFonts w:ascii="Arial" w:hAnsi="Arial" w:eastAsia="宋体" w:cs="Times New Roman"/>
      <w:kern w:val="0"/>
      <w:sz w:val="24"/>
      <w:szCs w:val="20"/>
    </w:rPr>
  </w:style>
  <w:style w:type="character" w:customStyle="1" w:styleId="71">
    <w:name w:val="批注文字 Char"/>
    <w:link w:val="18"/>
    <w:autoRedefine/>
    <w:qFormat/>
    <w:uiPriority w:val="0"/>
    <w:rPr>
      <w:szCs w:val="24"/>
    </w:rPr>
  </w:style>
  <w:style w:type="character" w:customStyle="1" w:styleId="72">
    <w:name w:val="正文文本 3 Char"/>
    <w:link w:val="19"/>
    <w:autoRedefine/>
    <w:qFormat/>
    <w:uiPriority w:val="0"/>
    <w:rPr>
      <w:rFonts w:hAnsi="宋体" w:eastAsia="仿宋_GB2312"/>
      <w:b/>
      <w:bCs/>
      <w:sz w:val="24"/>
    </w:rPr>
  </w:style>
  <w:style w:type="character" w:customStyle="1" w:styleId="73">
    <w:name w:val="正文文本 Char1"/>
    <w:link w:val="20"/>
    <w:autoRedefine/>
    <w:qFormat/>
    <w:uiPriority w:val="0"/>
    <w:rPr>
      <w:rFonts w:ascii="Times New Roman" w:hAnsi="Times New Roman" w:eastAsia="宋体" w:cs="Times New Roman"/>
      <w:kern w:val="0"/>
      <w:sz w:val="28"/>
      <w:szCs w:val="24"/>
    </w:rPr>
  </w:style>
  <w:style w:type="character" w:customStyle="1" w:styleId="74">
    <w:name w:val="正文首行缩进 Char"/>
    <w:link w:val="21"/>
    <w:autoRedefine/>
    <w:qFormat/>
    <w:uiPriority w:val="0"/>
    <w:rPr>
      <w:sz w:val="24"/>
      <w:szCs w:val="24"/>
    </w:rPr>
  </w:style>
  <w:style w:type="character" w:customStyle="1" w:styleId="75">
    <w:name w:val="正文文本缩进 Char"/>
    <w:link w:val="22"/>
    <w:autoRedefine/>
    <w:qFormat/>
    <w:uiPriority w:val="0"/>
    <w:rPr>
      <w:rFonts w:ascii="宋体" w:hAnsi="Courier New"/>
      <w:spacing w:val="-4"/>
      <w:sz w:val="18"/>
    </w:rPr>
  </w:style>
  <w:style w:type="character" w:customStyle="1" w:styleId="76">
    <w:name w:val="纯文本 Char"/>
    <w:link w:val="29"/>
    <w:autoRedefine/>
    <w:qFormat/>
    <w:uiPriority w:val="0"/>
    <w:rPr>
      <w:rFonts w:ascii="宋体" w:hAnsi="Courier New" w:eastAsia="宋体"/>
      <w:sz w:val="24"/>
      <w:szCs w:val="24"/>
    </w:rPr>
  </w:style>
  <w:style w:type="character" w:customStyle="1" w:styleId="77">
    <w:name w:val="日期 Char"/>
    <w:link w:val="30"/>
    <w:autoRedefine/>
    <w:qFormat/>
    <w:uiPriority w:val="0"/>
    <w:rPr>
      <w:rFonts w:eastAsia="楷体_GB2312"/>
      <w:sz w:val="32"/>
    </w:rPr>
  </w:style>
  <w:style w:type="character" w:customStyle="1" w:styleId="78">
    <w:name w:val="正文文本缩进 2 Char"/>
    <w:link w:val="32"/>
    <w:autoRedefine/>
    <w:qFormat/>
    <w:uiPriority w:val="0"/>
    <w:rPr>
      <w:rFonts w:ascii="仿宋_GB2312" w:hAnsi="宋体" w:cs="Arial"/>
      <w:b/>
      <w:bCs/>
      <w:color w:val="000000"/>
      <w:sz w:val="24"/>
      <w:szCs w:val="24"/>
    </w:rPr>
  </w:style>
  <w:style w:type="character" w:customStyle="1" w:styleId="79">
    <w:name w:val="批注框文本 Char"/>
    <w:link w:val="33"/>
    <w:autoRedefine/>
    <w:qFormat/>
    <w:uiPriority w:val="99"/>
    <w:rPr>
      <w:sz w:val="18"/>
      <w:szCs w:val="18"/>
    </w:rPr>
  </w:style>
  <w:style w:type="character" w:customStyle="1" w:styleId="80">
    <w:name w:val="页脚 Char2"/>
    <w:link w:val="34"/>
    <w:autoRedefine/>
    <w:qFormat/>
    <w:uiPriority w:val="99"/>
    <w:rPr>
      <w:rFonts w:eastAsia="黑体"/>
      <w:sz w:val="18"/>
      <w:szCs w:val="18"/>
    </w:rPr>
  </w:style>
  <w:style w:type="character" w:customStyle="1" w:styleId="81">
    <w:name w:val="页眉 Char"/>
    <w:link w:val="35"/>
    <w:autoRedefine/>
    <w:qFormat/>
    <w:uiPriority w:val="99"/>
    <w:rPr>
      <w:rFonts w:eastAsia="仿宋_GB2312"/>
      <w:sz w:val="18"/>
    </w:rPr>
  </w:style>
  <w:style w:type="character" w:customStyle="1" w:styleId="82">
    <w:name w:val="正文文本缩进 3 Char"/>
    <w:link w:val="40"/>
    <w:autoRedefine/>
    <w:qFormat/>
    <w:uiPriority w:val="0"/>
    <w:rPr>
      <w:rFonts w:ascii="仿宋_GB2312" w:hAnsi="宋体" w:eastAsia="仿宋_GB2312"/>
      <w:color w:val="000000"/>
      <w:sz w:val="24"/>
      <w:szCs w:val="24"/>
    </w:rPr>
  </w:style>
  <w:style w:type="character" w:customStyle="1" w:styleId="83">
    <w:name w:val="正文文本 2 Char"/>
    <w:link w:val="44"/>
    <w:autoRedefine/>
    <w:qFormat/>
    <w:uiPriority w:val="99"/>
    <w:rPr>
      <w:rFonts w:ascii="宋体" w:hAnsi="宋体"/>
      <w:color w:val="000000"/>
      <w:sz w:val="24"/>
      <w:szCs w:val="24"/>
    </w:rPr>
  </w:style>
  <w:style w:type="character" w:customStyle="1" w:styleId="84">
    <w:name w:val="普通(网站) Char"/>
    <w:link w:val="45"/>
    <w:autoRedefine/>
    <w:qFormat/>
    <w:uiPriority w:val="0"/>
    <w:rPr>
      <w:rFonts w:ascii="宋体" w:hAnsi="宋体"/>
      <w:sz w:val="24"/>
      <w:szCs w:val="24"/>
    </w:rPr>
  </w:style>
  <w:style w:type="character" w:customStyle="1" w:styleId="85">
    <w:name w:val="标题 Char"/>
    <w:link w:val="47"/>
    <w:autoRedefine/>
    <w:qFormat/>
    <w:uiPriority w:val="0"/>
    <w:rPr>
      <w:rFonts w:ascii="Cambria" w:hAnsi="Cambria"/>
      <w:b/>
      <w:bCs/>
      <w:sz w:val="32"/>
      <w:szCs w:val="32"/>
    </w:rPr>
  </w:style>
  <w:style w:type="character" w:customStyle="1" w:styleId="86">
    <w:name w:val="批注主题 Char"/>
    <w:link w:val="48"/>
    <w:autoRedefine/>
    <w:qFormat/>
    <w:uiPriority w:val="99"/>
    <w:rPr>
      <w:b/>
      <w:bCs/>
      <w:szCs w:val="24"/>
    </w:r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正文1"/>
    <w:basedOn w:val="1"/>
    <w:next w:val="1"/>
    <w:link w:val="89"/>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89">
    <w:name w:val="正文1 Char Char"/>
    <w:link w:val="88"/>
    <w:autoRedefine/>
    <w:qFormat/>
    <w:uiPriority w:val="0"/>
    <w:rPr>
      <w:rFonts w:ascii="宋体" w:hAnsi="宋体" w:eastAsia="宋体"/>
      <w:color w:val="000000"/>
      <w:sz w:val="24"/>
    </w:rPr>
  </w:style>
  <w:style w:type="character" w:customStyle="1" w:styleId="90">
    <w:name w:val="Plain Text Char"/>
    <w:autoRedefine/>
    <w:semiHidden/>
    <w:qFormat/>
    <w:locked/>
    <w:uiPriority w:val="0"/>
    <w:rPr>
      <w:rFonts w:ascii="宋体" w:hAnsi="Courier New" w:cs="Courier New"/>
      <w:kern w:val="0"/>
      <w:sz w:val="21"/>
      <w:szCs w:val="21"/>
    </w:rPr>
  </w:style>
  <w:style w:type="character" w:customStyle="1" w:styleId="91">
    <w:name w:val="Char Char1111"/>
    <w:autoRedefine/>
    <w:qFormat/>
    <w:uiPriority w:val="0"/>
    <w:rPr>
      <w:kern w:val="2"/>
      <w:sz w:val="28"/>
      <w:szCs w:val="24"/>
    </w:rPr>
  </w:style>
  <w:style w:type="character" w:customStyle="1" w:styleId="92">
    <w:name w:val="Heading 8 Char"/>
    <w:autoRedefine/>
    <w:semiHidden/>
    <w:qFormat/>
    <w:locked/>
    <w:uiPriority w:val="0"/>
    <w:rPr>
      <w:rFonts w:ascii="Cambria" w:hAnsi="Cambria" w:eastAsia="宋体" w:cs="Times New Roman"/>
      <w:kern w:val="0"/>
      <w:sz w:val="24"/>
      <w:szCs w:val="24"/>
    </w:rPr>
  </w:style>
  <w:style w:type="character" w:customStyle="1" w:styleId="93">
    <w:name w:val="Body Text Char"/>
    <w:autoRedefine/>
    <w:semiHidden/>
    <w:qFormat/>
    <w:locked/>
    <w:uiPriority w:val="0"/>
    <w:rPr>
      <w:rFonts w:cs="Times New Roman"/>
      <w:kern w:val="0"/>
      <w:sz w:val="21"/>
      <w:szCs w:val="21"/>
    </w:rPr>
  </w:style>
  <w:style w:type="character" w:customStyle="1" w:styleId="94">
    <w:name w:val="font11"/>
    <w:autoRedefine/>
    <w:qFormat/>
    <w:uiPriority w:val="0"/>
    <w:rPr>
      <w:rFonts w:hint="default" w:ascii="Times New Roman" w:hAnsi="Times New Roman" w:cs="Times New Roman"/>
      <w:color w:val="000000"/>
      <w:sz w:val="20"/>
      <w:szCs w:val="20"/>
      <w:u w:val="none"/>
    </w:rPr>
  </w:style>
  <w:style w:type="character" w:customStyle="1" w:styleId="95">
    <w:name w:val="wj1"/>
    <w:autoRedefine/>
    <w:qFormat/>
    <w:uiPriority w:val="0"/>
    <w:rPr>
      <w:color w:val="000000"/>
      <w:sz w:val="18"/>
      <w:szCs w:val="18"/>
      <w:u w:val="none"/>
    </w:rPr>
  </w:style>
  <w:style w:type="character" w:customStyle="1" w:styleId="96">
    <w:name w:val="!标题3 Ctrl+3 Char"/>
    <w:link w:val="97"/>
    <w:autoRedefine/>
    <w:qFormat/>
    <w:locked/>
    <w:uiPriority w:val="0"/>
    <w:rPr>
      <w:rFonts w:ascii="Arial" w:hAnsi="Arial" w:eastAsia="黑体"/>
      <w:b/>
      <w:kern w:val="2"/>
      <w:sz w:val="32"/>
      <w:szCs w:val="32"/>
    </w:rPr>
  </w:style>
  <w:style w:type="paragraph" w:customStyle="1" w:styleId="97">
    <w:name w:val="!标题3 Ctrl+3"/>
    <w:basedOn w:val="5"/>
    <w:next w:val="1"/>
    <w:link w:val="96"/>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98">
    <w:name w:val="H4 Char"/>
    <w:autoRedefine/>
    <w:qFormat/>
    <w:uiPriority w:val="0"/>
    <w:rPr>
      <w:rFonts w:ascii="Arial" w:hAnsi="Arial" w:eastAsia="黑体" w:cs="Times New Roman"/>
      <w:b/>
      <w:bCs/>
      <w:sz w:val="28"/>
      <w:szCs w:val="28"/>
    </w:rPr>
  </w:style>
  <w:style w:type="character" w:customStyle="1" w:styleId="99">
    <w:name w:val="Char Char15"/>
    <w:autoRedefine/>
    <w:qFormat/>
    <w:uiPriority w:val="0"/>
    <w:rPr>
      <w:rFonts w:hAnsi="宋体" w:eastAsia="仿宋_GB2312"/>
      <w:b/>
      <w:bCs/>
      <w:kern w:val="2"/>
      <w:sz w:val="24"/>
    </w:rPr>
  </w:style>
  <w:style w:type="character" w:customStyle="1" w:styleId="100">
    <w:name w:val="Char Char18"/>
    <w:autoRedefine/>
    <w:qFormat/>
    <w:uiPriority w:val="0"/>
    <w:rPr>
      <w:rFonts w:eastAsia="黑体"/>
      <w:sz w:val="18"/>
      <w:szCs w:val="18"/>
    </w:rPr>
  </w:style>
  <w:style w:type="character" w:customStyle="1" w:styleId="101">
    <w:name w:val="Char Char12"/>
    <w:autoRedefine/>
    <w:qFormat/>
    <w:uiPriority w:val="0"/>
    <w:rPr>
      <w:rFonts w:ascii="仿宋_GB2312" w:hAnsi="宋体" w:eastAsia="仿宋_GB2312"/>
      <w:color w:val="000000"/>
      <w:kern w:val="2"/>
      <w:sz w:val="24"/>
      <w:szCs w:val="24"/>
    </w:rPr>
  </w:style>
  <w:style w:type="character" w:customStyle="1" w:styleId="102">
    <w:name w:val="Char Char3"/>
    <w:autoRedefine/>
    <w:qFormat/>
    <w:uiPriority w:val="0"/>
    <w:rPr>
      <w:kern w:val="2"/>
      <w:sz w:val="24"/>
      <w:szCs w:val="24"/>
    </w:rPr>
  </w:style>
  <w:style w:type="character" w:customStyle="1" w:styleId="103">
    <w:name w:val="Char Char7"/>
    <w:autoRedefine/>
    <w:qFormat/>
    <w:uiPriority w:val="0"/>
    <w:rPr>
      <w:rFonts w:eastAsia="宋体"/>
      <w:kern w:val="2"/>
      <w:sz w:val="21"/>
      <w:lang w:val="en-US" w:eastAsia="zh-CN" w:bidi="ar-SA"/>
    </w:rPr>
  </w:style>
  <w:style w:type="character" w:customStyle="1" w:styleId="104">
    <w:name w:val="样式7 Char"/>
    <w:autoRedefine/>
    <w:qFormat/>
    <w:uiPriority w:val="0"/>
    <w:rPr>
      <w:rFonts w:eastAsia="宋体" w:cs="宋体"/>
      <w:kern w:val="2"/>
      <w:sz w:val="24"/>
      <w:szCs w:val="24"/>
      <w:lang w:val="en-US" w:eastAsia="zh-CN" w:bidi="ar-SA"/>
    </w:rPr>
  </w:style>
  <w:style w:type="character" w:customStyle="1" w:styleId="105">
    <w:name w:val="Char Char13"/>
    <w:autoRedefine/>
    <w:qFormat/>
    <w:uiPriority w:val="0"/>
    <w:rPr>
      <w:b/>
      <w:bCs/>
      <w:kern w:val="2"/>
      <w:sz w:val="21"/>
      <w:szCs w:val="24"/>
    </w:rPr>
  </w:style>
  <w:style w:type="character" w:customStyle="1" w:styleId="106">
    <w:name w:val="￥正文 Char Char"/>
    <w:autoRedefine/>
    <w:qFormat/>
    <w:uiPriority w:val="0"/>
    <w:rPr>
      <w:rFonts w:ascii="Calibri" w:hAnsi="Calibri"/>
      <w:sz w:val="24"/>
    </w:rPr>
  </w:style>
  <w:style w:type="character" w:customStyle="1" w:styleId="107">
    <w:name w:val="newscontent1"/>
    <w:autoRedefine/>
    <w:qFormat/>
    <w:uiPriority w:val="0"/>
    <w:rPr>
      <w:rFonts w:hint="default" w:ascii="Verdana" w:hAnsi="Verdana"/>
      <w:color w:val="333333"/>
      <w:sz w:val="18"/>
      <w:szCs w:val="18"/>
    </w:rPr>
  </w:style>
  <w:style w:type="character" w:customStyle="1" w:styleId="108">
    <w:name w:val="Heading 6 Char"/>
    <w:autoRedefine/>
    <w:semiHidden/>
    <w:qFormat/>
    <w:locked/>
    <w:uiPriority w:val="0"/>
    <w:rPr>
      <w:rFonts w:ascii="Cambria" w:hAnsi="Cambria" w:eastAsia="宋体" w:cs="Times New Roman"/>
      <w:b/>
      <w:bCs/>
      <w:kern w:val="0"/>
      <w:sz w:val="24"/>
      <w:szCs w:val="24"/>
    </w:rPr>
  </w:style>
  <w:style w:type="character" w:customStyle="1" w:styleId="109">
    <w:name w:val="中等深浅网格 2 字符"/>
    <w:link w:val="110"/>
    <w:autoRedefine/>
    <w:qFormat/>
    <w:uiPriority w:val="1"/>
    <w:rPr>
      <w:kern w:val="2"/>
      <w:sz w:val="21"/>
      <w:szCs w:val="24"/>
      <w:lang w:val="en-US" w:eastAsia="zh-CN" w:bidi="ar-SA"/>
    </w:rPr>
  </w:style>
  <w:style w:type="paragraph" w:customStyle="1" w:styleId="110">
    <w:name w:val="中等深浅网格 21"/>
    <w:link w:val="109"/>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H2 Char"/>
    <w:autoRedefine/>
    <w:qFormat/>
    <w:uiPriority w:val="0"/>
    <w:rPr>
      <w:rFonts w:ascii="Cambria" w:hAnsi="Cambria" w:eastAsia="宋体" w:cs="Times New Roman"/>
      <w:b/>
      <w:bCs/>
      <w:sz w:val="32"/>
      <w:szCs w:val="32"/>
    </w:rPr>
  </w:style>
  <w:style w:type="character" w:customStyle="1" w:styleId="112">
    <w:name w:val="正文文字缩进4字符 Char"/>
    <w:autoRedefine/>
    <w:qFormat/>
    <w:uiPriority w:val="0"/>
    <w:rPr>
      <w:rFonts w:ascii="Times New Roman" w:hAnsi="Times New Roman" w:eastAsia="宋体" w:cs="Times New Roman"/>
      <w:sz w:val="24"/>
      <w:szCs w:val="24"/>
    </w:rPr>
  </w:style>
  <w:style w:type="character" w:customStyle="1" w:styleId="113">
    <w:name w:val="Balloon Text Char"/>
    <w:autoRedefine/>
    <w:qFormat/>
    <w:locked/>
    <w:uiPriority w:val="0"/>
    <w:rPr>
      <w:rFonts w:cs="Times New Roman"/>
      <w:sz w:val="18"/>
      <w:szCs w:val="18"/>
    </w:rPr>
  </w:style>
  <w:style w:type="character" w:customStyle="1" w:styleId="114">
    <w:name w:val="表正文 Char"/>
    <w:autoRedefine/>
    <w:qFormat/>
    <w:uiPriority w:val="0"/>
    <w:rPr>
      <w:rFonts w:ascii="Times New Roman" w:hAnsi="Times New Roman" w:eastAsia="宋体" w:cs="Times New Roman"/>
      <w:szCs w:val="24"/>
    </w:rPr>
  </w:style>
  <w:style w:type="character" w:customStyle="1" w:styleId="115">
    <w:name w:val="正文文本 3 Char1"/>
    <w:autoRedefine/>
    <w:semiHidden/>
    <w:qFormat/>
    <w:uiPriority w:val="99"/>
    <w:rPr>
      <w:rFonts w:ascii="Times New Roman" w:hAnsi="Times New Roman" w:eastAsia="宋体" w:cs="Times New Roman"/>
      <w:sz w:val="16"/>
      <w:szCs w:val="16"/>
    </w:rPr>
  </w:style>
  <w:style w:type="character" w:customStyle="1" w:styleId="116">
    <w:name w:val="彩色列表 - 着色 1 字符"/>
    <w:link w:val="117"/>
    <w:autoRedefine/>
    <w:qFormat/>
    <w:locked/>
    <w:uiPriority w:val="34"/>
    <w:rPr>
      <w:rFonts w:ascii="Times New Roman" w:hAnsi="Times New Roman"/>
      <w:kern w:val="2"/>
      <w:sz w:val="21"/>
      <w:szCs w:val="24"/>
    </w:rPr>
  </w:style>
  <w:style w:type="paragraph" w:customStyle="1" w:styleId="117">
    <w:name w:val="彩色列表 - 着色 11"/>
    <w:basedOn w:val="1"/>
    <w:link w:val="116"/>
    <w:autoRedefine/>
    <w:qFormat/>
    <w:uiPriority w:val="34"/>
    <w:pPr>
      <w:ind w:firstLine="420" w:firstLineChars="200"/>
    </w:pPr>
  </w:style>
  <w:style w:type="character" w:customStyle="1" w:styleId="118">
    <w:name w:val="Item List Char"/>
    <w:link w:val="119"/>
    <w:autoRedefine/>
    <w:qFormat/>
    <w:uiPriority w:val="0"/>
    <w:rPr>
      <w:rFonts w:cs="Arial"/>
      <w:kern w:val="2"/>
      <w:sz w:val="21"/>
      <w:szCs w:val="21"/>
      <w:lang w:val="en-US" w:eastAsia="zh-CN" w:bidi="ar-SA"/>
    </w:rPr>
  </w:style>
  <w:style w:type="paragraph" w:customStyle="1" w:styleId="119">
    <w:name w:val="Item List"/>
    <w:link w:val="118"/>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20">
    <w:name w:val="样式 (中文) 放宋 小四号"/>
    <w:autoRedefine/>
    <w:qFormat/>
    <w:uiPriority w:val="0"/>
    <w:rPr>
      <w:rFonts w:eastAsia="仿宋_GB2312"/>
      <w:sz w:val="24"/>
    </w:rPr>
  </w:style>
  <w:style w:type="character" w:customStyle="1" w:styleId="121">
    <w:name w:val="纯文本 Char1"/>
    <w:autoRedefine/>
    <w:qFormat/>
    <w:uiPriority w:val="0"/>
    <w:rPr>
      <w:rFonts w:ascii="宋体" w:hAnsi="Courier New" w:eastAsia="宋体"/>
      <w:kern w:val="2"/>
      <w:sz w:val="24"/>
      <w:szCs w:val="24"/>
      <w:lang w:val="en-US" w:eastAsia="zh-CN" w:bidi="ar-SA"/>
    </w:rPr>
  </w:style>
  <w:style w:type="character" w:customStyle="1" w:styleId="122">
    <w:name w:val="Char Char4"/>
    <w:autoRedefine/>
    <w:qFormat/>
    <w:uiPriority w:val="0"/>
    <w:rPr>
      <w:rFonts w:ascii="宋体" w:hAnsi="Courier New" w:eastAsia="宋体"/>
      <w:kern w:val="2"/>
      <w:sz w:val="24"/>
      <w:szCs w:val="24"/>
      <w:lang w:val="en-US" w:eastAsia="zh-CN" w:bidi="ar-SA"/>
    </w:rPr>
  </w:style>
  <w:style w:type="character" w:customStyle="1" w:styleId="123">
    <w:name w:val="文档结构图 Char1"/>
    <w:autoRedefine/>
    <w:semiHidden/>
    <w:qFormat/>
    <w:uiPriority w:val="99"/>
    <w:rPr>
      <w:rFonts w:ascii="宋体" w:hAnsi="Times New Roman" w:eastAsia="宋体" w:cs="Times New Roman"/>
      <w:sz w:val="18"/>
      <w:szCs w:val="18"/>
    </w:rPr>
  </w:style>
  <w:style w:type="character" w:customStyle="1" w:styleId="124">
    <w:name w:val="body1"/>
    <w:autoRedefine/>
    <w:qFormat/>
    <w:uiPriority w:val="0"/>
    <w:rPr>
      <w:rFonts w:hint="default"/>
      <w:sz w:val="18"/>
    </w:rPr>
  </w:style>
  <w:style w:type="character" w:customStyle="1" w:styleId="125">
    <w:name w:val="font71"/>
    <w:autoRedefine/>
    <w:qFormat/>
    <w:uiPriority w:val="0"/>
    <w:rPr>
      <w:rFonts w:hint="default" w:ascii="Arial" w:hAnsi="Arial" w:cs="Arial"/>
      <w:color w:val="auto"/>
      <w:sz w:val="20"/>
      <w:szCs w:val="20"/>
      <w:u w:val="none"/>
    </w:rPr>
  </w:style>
  <w:style w:type="character" w:customStyle="1" w:styleId="126">
    <w:name w:val="正文文本 Char"/>
    <w:autoRedefine/>
    <w:qFormat/>
    <w:uiPriority w:val="0"/>
    <w:rPr>
      <w:rFonts w:ascii="Times New Roman" w:hAnsi="Times New Roman" w:eastAsia="宋体" w:cs="Times New Roman"/>
      <w:szCs w:val="24"/>
    </w:rPr>
  </w:style>
  <w:style w:type="character" w:customStyle="1" w:styleId="127">
    <w:name w:val="Body Text Indent 3 Char"/>
    <w:autoRedefine/>
    <w:qFormat/>
    <w:locked/>
    <w:uiPriority w:val="0"/>
    <w:rPr>
      <w:rFonts w:cs="Times New Roman"/>
      <w:kern w:val="2"/>
      <w:sz w:val="16"/>
      <w:szCs w:val="16"/>
    </w:rPr>
  </w:style>
  <w:style w:type="character" w:customStyle="1" w:styleId="128">
    <w:name w:val="文章正文 Char Char"/>
    <w:link w:val="129"/>
    <w:autoRedefine/>
    <w:qFormat/>
    <w:uiPriority w:val="0"/>
    <w:rPr>
      <w:rFonts w:ascii="宋体" w:hAnsi="宋体"/>
      <w:sz w:val="24"/>
      <w:szCs w:val="24"/>
    </w:rPr>
  </w:style>
  <w:style w:type="paragraph" w:customStyle="1" w:styleId="129">
    <w:name w:val="文章正文"/>
    <w:basedOn w:val="1"/>
    <w:link w:val="128"/>
    <w:autoRedefine/>
    <w:qFormat/>
    <w:uiPriority w:val="0"/>
    <w:pPr>
      <w:spacing w:line="360" w:lineRule="auto"/>
      <w:ind w:firstLine="200" w:firstLineChars="200"/>
      <w:jc w:val="left"/>
    </w:pPr>
    <w:rPr>
      <w:rFonts w:ascii="宋体" w:hAnsi="宋体"/>
      <w:kern w:val="0"/>
      <w:sz w:val="24"/>
    </w:rPr>
  </w:style>
  <w:style w:type="character" w:customStyle="1" w:styleId="130">
    <w:name w:val="con-all2"/>
    <w:autoRedefine/>
    <w:qFormat/>
    <w:uiPriority w:val="0"/>
  </w:style>
  <w:style w:type="character" w:customStyle="1" w:styleId="131">
    <w:name w:val="Heading 2 Char"/>
    <w:autoRedefine/>
    <w:semiHidden/>
    <w:qFormat/>
    <w:locked/>
    <w:uiPriority w:val="0"/>
    <w:rPr>
      <w:rFonts w:ascii="Cambria" w:hAnsi="Cambria" w:eastAsia="宋体" w:cs="Times New Roman"/>
      <w:b/>
      <w:bCs/>
      <w:kern w:val="0"/>
      <w:sz w:val="32"/>
      <w:szCs w:val="32"/>
    </w:rPr>
  </w:style>
  <w:style w:type="character" w:customStyle="1" w:styleId="132">
    <w:name w:val="粘贴正文 Char"/>
    <w:link w:val="133"/>
    <w:autoRedefine/>
    <w:qFormat/>
    <w:uiPriority w:val="0"/>
    <w:rPr>
      <w:kern w:val="2"/>
      <w:sz w:val="24"/>
      <w:szCs w:val="21"/>
      <w:lang w:val="en-US" w:eastAsia="zh-CN" w:bidi="ar-SA"/>
    </w:rPr>
  </w:style>
  <w:style w:type="paragraph" w:customStyle="1" w:styleId="133">
    <w:name w:val="粘贴正文"/>
    <w:link w:val="132"/>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34">
    <w:name w:val="txt1"/>
    <w:autoRedefine/>
    <w:qFormat/>
    <w:uiPriority w:val="0"/>
    <w:rPr>
      <w:rFonts w:hint="default" w:ascii="ˎ̥" w:hAnsi="ˎ̥"/>
      <w:sz w:val="18"/>
      <w:szCs w:val="18"/>
    </w:rPr>
  </w:style>
  <w:style w:type="character" w:customStyle="1" w:styleId="135">
    <w:name w:val="font41"/>
    <w:autoRedefine/>
    <w:qFormat/>
    <w:uiPriority w:val="0"/>
    <w:rPr>
      <w:rFonts w:hint="eastAsia" w:ascii="宋体" w:hAnsi="宋体" w:eastAsia="宋体" w:cs="宋体"/>
      <w:color w:val="000000"/>
      <w:sz w:val="20"/>
      <w:szCs w:val="20"/>
      <w:u w:val="none"/>
    </w:rPr>
  </w:style>
  <w:style w:type="character" w:customStyle="1" w:styleId="136">
    <w:name w:val="Char Char20"/>
    <w:autoRedefine/>
    <w:qFormat/>
    <w:uiPriority w:val="0"/>
    <w:rPr>
      <w:rFonts w:ascii="Arial" w:hAnsi="Arial" w:eastAsia="黑体"/>
      <w:kern w:val="2"/>
      <w:sz w:val="24"/>
      <w:szCs w:val="24"/>
    </w:rPr>
  </w:style>
  <w:style w:type="character" w:customStyle="1" w:styleId="137">
    <w:name w:val="Char Char27"/>
    <w:autoRedefine/>
    <w:qFormat/>
    <w:uiPriority w:val="0"/>
    <w:rPr>
      <w:b/>
      <w:bCs/>
      <w:kern w:val="44"/>
      <w:sz w:val="44"/>
      <w:szCs w:val="44"/>
    </w:rPr>
  </w:style>
  <w:style w:type="character" w:customStyle="1" w:styleId="138">
    <w:name w:val="font51"/>
    <w:autoRedefine/>
    <w:qFormat/>
    <w:uiPriority w:val="0"/>
    <w:rPr>
      <w:rFonts w:hint="eastAsia" w:ascii="宋体" w:hAnsi="宋体" w:eastAsia="宋体" w:cs="宋体"/>
      <w:color w:val="auto"/>
      <w:sz w:val="18"/>
      <w:szCs w:val="18"/>
      <w:u w:val="none"/>
    </w:rPr>
  </w:style>
  <w:style w:type="character" w:customStyle="1" w:styleId="139">
    <w:name w:val="Heading 7 Char"/>
    <w:autoRedefine/>
    <w:semiHidden/>
    <w:qFormat/>
    <w:locked/>
    <w:uiPriority w:val="0"/>
    <w:rPr>
      <w:rFonts w:cs="Times New Roman"/>
      <w:b/>
      <w:bCs/>
      <w:kern w:val="0"/>
      <w:sz w:val="24"/>
      <w:szCs w:val="24"/>
    </w:rPr>
  </w:style>
  <w:style w:type="character" w:customStyle="1" w:styleId="140">
    <w:name w:val="正文样式 Char"/>
    <w:link w:val="141"/>
    <w:autoRedefine/>
    <w:qFormat/>
    <w:uiPriority w:val="0"/>
    <w:rPr>
      <w:rFonts w:ascii="宋体" w:hAnsi="Calibri" w:eastAsia="宋体" w:cs="宋体"/>
      <w:sz w:val="24"/>
      <w:szCs w:val="24"/>
      <w:lang w:val="zh-CN" w:eastAsia="en-US" w:bidi="he-IL"/>
    </w:rPr>
  </w:style>
  <w:style w:type="paragraph" w:customStyle="1" w:styleId="141">
    <w:name w:val="正文样式"/>
    <w:basedOn w:val="1"/>
    <w:link w:val="140"/>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42">
    <w:name w:val="Heading 3 Char"/>
    <w:autoRedefine/>
    <w:semiHidden/>
    <w:qFormat/>
    <w:locked/>
    <w:uiPriority w:val="0"/>
    <w:rPr>
      <w:rFonts w:cs="Times New Roman"/>
      <w:b/>
      <w:bCs/>
      <w:kern w:val="0"/>
      <w:sz w:val="32"/>
      <w:szCs w:val="32"/>
    </w:rPr>
  </w:style>
  <w:style w:type="character" w:customStyle="1" w:styleId="143">
    <w:name w:val="标书正文格式 Char"/>
    <w:link w:val="144"/>
    <w:autoRedefine/>
    <w:qFormat/>
    <w:uiPriority w:val="0"/>
    <w:rPr>
      <w:rFonts w:eastAsia="楷体_GB2312"/>
      <w:kern w:val="2"/>
      <w:sz w:val="24"/>
      <w:szCs w:val="24"/>
      <w:lang w:val="en-US" w:eastAsia="zh-CN" w:bidi="ar-SA"/>
    </w:rPr>
  </w:style>
  <w:style w:type="paragraph" w:customStyle="1" w:styleId="144">
    <w:name w:val="标书正文格式"/>
    <w:link w:val="143"/>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45">
    <w:name w:val="BOD 4 Char Char"/>
    <w:autoRedefine/>
    <w:qFormat/>
    <w:uiPriority w:val="0"/>
    <w:rPr>
      <w:rFonts w:ascii="Arial" w:hAnsi="Arial" w:eastAsia="黑体" w:cs="Times New Roman"/>
      <w:b/>
      <w:bCs/>
      <w:sz w:val="24"/>
      <w:szCs w:val="24"/>
    </w:rPr>
  </w:style>
  <w:style w:type="character" w:customStyle="1" w:styleId="146">
    <w:name w:val="中等深浅网格 1 - 强调文字颜色 2 Char"/>
    <w:link w:val="147"/>
    <w:autoRedefine/>
    <w:qFormat/>
    <w:uiPriority w:val="0"/>
    <w:rPr>
      <w:rFonts w:ascii="Calibri" w:hAnsi="Calibri" w:eastAsia="宋体"/>
      <w:sz w:val="24"/>
      <w:lang w:bidi="ar-SA"/>
    </w:rPr>
  </w:style>
  <w:style w:type="paragraph" w:customStyle="1" w:styleId="147">
    <w:name w:val="中等深浅网格 1 - 强调文字颜色 21"/>
    <w:basedOn w:val="1"/>
    <w:link w:val="146"/>
    <w:autoRedefine/>
    <w:qFormat/>
    <w:uiPriority w:val="0"/>
    <w:pPr>
      <w:spacing w:line="360" w:lineRule="auto"/>
      <w:ind w:firstLine="420" w:firstLineChars="200"/>
    </w:pPr>
    <w:rPr>
      <w:rFonts w:ascii="Calibri" w:hAnsi="Calibri"/>
      <w:kern w:val="0"/>
      <w:sz w:val="24"/>
      <w:szCs w:val="20"/>
    </w:rPr>
  </w:style>
  <w:style w:type="character" w:customStyle="1" w:styleId="148">
    <w:name w:val="Char Char26"/>
    <w:autoRedefine/>
    <w:qFormat/>
    <w:uiPriority w:val="0"/>
    <w:rPr>
      <w:rFonts w:ascii="Arial" w:hAnsi="Arial" w:eastAsia="黑体"/>
      <w:b/>
      <w:bCs/>
      <w:kern w:val="2"/>
      <w:sz w:val="32"/>
      <w:szCs w:val="32"/>
    </w:rPr>
  </w:style>
  <w:style w:type="character" w:customStyle="1" w:styleId="149">
    <w:name w:val="Char Char17"/>
    <w:autoRedefine/>
    <w:qFormat/>
    <w:uiPriority w:val="0"/>
    <w:rPr>
      <w:rFonts w:ascii="仿宋_GB2312" w:hAnsi="宋体" w:cs="Arial"/>
      <w:b/>
      <w:bCs/>
      <w:color w:val="000000"/>
      <w:kern w:val="2"/>
      <w:sz w:val="24"/>
      <w:szCs w:val="24"/>
    </w:rPr>
  </w:style>
  <w:style w:type="character" w:customStyle="1" w:styleId="150">
    <w:name w:val="Char Char22"/>
    <w:autoRedefine/>
    <w:qFormat/>
    <w:uiPriority w:val="0"/>
    <w:rPr>
      <w:rFonts w:ascii="Arial" w:hAnsi="Arial" w:eastAsia="黑体"/>
      <w:b/>
      <w:bCs/>
      <w:kern w:val="2"/>
      <w:sz w:val="24"/>
      <w:szCs w:val="24"/>
    </w:rPr>
  </w:style>
  <w:style w:type="character" w:customStyle="1" w:styleId="151">
    <w:name w:val="正文文本缩进 Char1"/>
    <w:autoRedefine/>
    <w:semiHidden/>
    <w:qFormat/>
    <w:uiPriority w:val="99"/>
    <w:rPr>
      <w:rFonts w:ascii="Times New Roman" w:hAnsi="Times New Roman" w:eastAsia="宋体" w:cs="Times New Roman"/>
      <w:szCs w:val="24"/>
    </w:rPr>
  </w:style>
  <w:style w:type="character" w:customStyle="1" w:styleId="152">
    <w:name w:val="Heading 4 Char"/>
    <w:autoRedefine/>
    <w:qFormat/>
    <w:locked/>
    <w:uiPriority w:val="0"/>
    <w:rPr>
      <w:rFonts w:cs="Times New Roman"/>
      <w:b/>
      <w:sz w:val="21"/>
    </w:rPr>
  </w:style>
  <w:style w:type="character" w:customStyle="1" w:styleId="153">
    <w:name w:val="Char Char14"/>
    <w:autoRedefine/>
    <w:qFormat/>
    <w:uiPriority w:val="0"/>
    <w:rPr>
      <w:kern w:val="2"/>
      <w:sz w:val="18"/>
      <w:szCs w:val="18"/>
    </w:rPr>
  </w:style>
  <w:style w:type="character" w:customStyle="1" w:styleId="154">
    <w:name w:val="批注主题 Char1"/>
    <w:autoRedefine/>
    <w:semiHidden/>
    <w:qFormat/>
    <w:uiPriority w:val="99"/>
    <w:rPr>
      <w:rFonts w:ascii="Times New Roman" w:hAnsi="Times New Roman" w:eastAsia="宋体" w:cs="Times New Roman"/>
      <w:b/>
      <w:bCs/>
      <w:szCs w:val="24"/>
    </w:rPr>
  </w:style>
  <w:style w:type="character" w:customStyle="1" w:styleId="155">
    <w:name w:val="批注文字 Char1"/>
    <w:autoRedefine/>
    <w:semiHidden/>
    <w:qFormat/>
    <w:uiPriority w:val="99"/>
    <w:rPr>
      <w:rFonts w:ascii="Times New Roman" w:hAnsi="Times New Roman" w:eastAsia="宋体" w:cs="Times New Roman"/>
      <w:szCs w:val="24"/>
    </w:rPr>
  </w:style>
  <w:style w:type="character" w:customStyle="1" w:styleId="156">
    <w:name w:val="常规 Char"/>
    <w:link w:val="157"/>
    <w:autoRedefine/>
    <w:qFormat/>
    <w:uiPriority w:val="0"/>
    <w:rPr>
      <w:rFonts w:eastAsia="宋体"/>
      <w:szCs w:val="21"/>
      <w:lang w:bidi="ar-SA"/>
    </w:rPr>
  </w:style>
  <w:style w:type="paragraph" w:customStyle="1" w:styleId="157">
    <w:name w:val="常规"/>
    <w:basedOn w:val="1"/>
    <w:link w:val="156"/>
    <w:autoRedefine/>
    <w:qFormat/>
    <w:uiPriority w:val="0"/>
    <w:pPr>
      <w:spacing w:beforeLines="100" w:afterLines="100"/>
      <w:ind w:left="1134"/>
    </w:pPr>
    <w:rPr>
      <w:kern w:val="0"/>
      <w:sz w:val="20"/>
      <w:szCs w:val="21"/>
    </w:rPr>
  </w:style>
  <w:style w:type="character" w:customStyle="1" w:styleId="158">
    <w:name w:val="Char Char6"/>
    <w:autoRedefine/>
    <w:qFormat/>
    <w:uiPriority w:val="0"/>
    <w:rPr>
      <w:rFonts w:ascii="Cambria" w:hAnsi="Cambria"/>
      <w:b/>
      <w:bCs/>
      <w:kern w:val="2"/>
      <w:sz w:val="32"/>
      <w:szCs w:val="32"/>
    </w:rPr>
  </w:style>
  <w:style w:type="character" w:customStyle="1" w:styleId="159">
    <w:name w:val="Char Char24"/>
    <w:autoRedefine/>
    <w:qFormat/>
    <w:uiPriority w:val="0"/>
    <w:rPr>
      <w:rFonts w:ascii="Arial" w:hAnsi="Arial" w:eastAsia="黑体"/>
      <w:b/>
      <w:bCs/>
      <w:kern w:val="2"/>
      <w:sz w:val="28"/>
      <w:szCs w:val="28"/>
    </w:rPr>
  </w:style>
  <w:style w:type="character" w:customStyle="1" w:styleId="160">
    <w:name w:val="无格式标题 Char"/>
    <w:link w:val="161"/>
    <w:autoRedefine/>
    <w:qFormat/>
    <w:uiPriority w:val="0"/>
    <w:rPr>
      <w:rFonts w:ascii="微软雅黑" w:hAnsi="微软雅黑" w:eastAsia="微软雅黑"/>
      <w:b/>
      <w:szCs w:val="24"/>
      <w:lang w:bidi="ar-SA"/>
    </w:rPr>
  </w:style>
  <w:style w:type="paragraph" w:customStyle="1" w:styleId="161">
    <w:name w:val="无格式标题"/>
    <w:basedOn w:val="1"/>
    <w:link w:val="160"/>
    <w:autoRedefine/>
    <w:qFormat/>
    <w:uiPriority w:val="0"/>
    <w:pPr>
      <w:spacing w:line="360" w:lineRule="auto"/>
    </w:pPr>
    <w:rPr>
      <w:rFonts w:ascii="微软雅黑" w:hAnsi="微软雅黑" w:eastAsia="微软雅黑"/>
      <w:b/>
      <w:kern w:val="0"/>
      <w:sz w:val="20"/>
    </w:rPr>
  </w:style>
  <w:style w:type="character" w:customStyle="1" w:styleId="162">
    <w:name w:val="Char Char19"/>
    <w:autoRedefine/>
    <w:qFormat/>
    <w:uiPriority w:val="0"/>
    <w:rPr>
      <w:rFonts w:ascii="Arial" w:hAnsi="Arial" w:eastAsia="黑体"/>
      <w:kern w:val="2"/>
      <w:sz w:val="21"/>
      <w:szCs w:val="21"/>
    </w:rPr>
  </w:style>
  <w:style w:type="character" w:customStyle="1" w:styleId="163">
    <w:name w:val="Char Char8"/>
    <w:autoRedefine/>
    <w:qFormat/>
    <w:uiPriority w:val="0"/>
    <w:rPr>
      <w:rFonts w:eastAsia="楷体_GB2312"/>
      <w:kern w:val="2"/>
      <w:sz w:val="32"/>
    </w:rPr>
  </w:style>
  <w:style w:type="character" w:customStyle="1" w:styleId="164">
    <w:name w:val="正文文本缩进 3 Char1"/>
    <w:autoRedefine/>
    <w:semiHidden/>
    <w:qFormat/>
    <w:uiPriority w:val="99"/>
    <w:rPr>
      <w:rFonts w:ascii="Times New Roman" w:hAnsi="Times New Roman" w:eastAsia="宋体" w:cs="Times New Roman"/>
      <w:sz w:val="16"/>
      <w:szCs w:val="16"/>
    </w:rPr>
  </w:style>
  <w:style w:type="character" w:customStyle="1" w:styleId="165">
    <w:name w:val="Heading 9 Char"/>
    <w:autoRedefine/>
    <w:semiHidden/>
    <w:qFormat/>
    <w:locked/>
    <w:uiPriority w:val="0"/>
    <w:rPr>
      <w:rFonts w:ascii="Cambria" w:hAnsi="Cambria" w:eastAsia="宋体" w:cs="Times New Roman"/>
      <w:kern w:val="0"/>
      <w:sz w:val="21"/>
      <w:szCs w:val="21"/>
    </w:rPr>
  </w:style>
  <w:style w:type="character" w:customStyle="1" w:styleId="166">
    <w:name w:val="页眉 Char1"/>
    <w:autoRedefine/>
    <w:semiHidden/>
    <w:qFormat/>
    <w:uiPriority w:val="99"/>
    <w:rPr>
      <w:rFonts w:ascii="Times New Roman" w:hAnsi="Times New Roman" w:eastAsia="宋体" w:cs="Times New Roman"/>
      <w:sz w:val="18"/>
      <w:szCs w:val="18"/>
    </w:rPr>
  </w:style>
  <w:style w:type="character" w:customStyle="1" w:styleId="167">
    <w:name w:val="批注框文本 Char1"/>
    <w:autoRedefine/>
    <w:semiHidden/>
    <w:qFormat/>
    <w:uiPriority w:val="99"/>
    <w:rPr>
      <w:rFonts w:ascii="Times New Roman" w:hAnsi="Times New Roman" w:eastAsia="宋体" w:cs="Times New Roman"/>
      <w:sz w:val="18"/>
      <w:szCs w:val="18"/>
    </w:rPr>
  </w:style>
  <w:style w:type="character" w:customStyle="1" w:styleId="168">
    <w:name w:val="Char Char9"/>
    <w:autoRedefine/>
    <w:qFormat/>
    <w:uiPriority w:val="0"/>
    <w:rPr>
      <w:rFonts w:eastAsia="仿宋_GB2312"/>
      <w:kern w:val="2"/>
      <w:sz w:val="18"/>
    </w:rPr>
  </w:style>
  <w:style w:type="character" w:customStyle="1" w:styleId="169">
    <w:name w:val="A7"/>
    <w:autoRedefine/>
    <w:qFormat/>
    <w:uiPriority w:val="0"/>
    <w:rPr>
      <w:rFonts w:ascii="HelveticaNeueLT Std Lt" w:eastAsia="HelveticaNeueLT Std Lt" w:cs="HelveticaNeueLT Std Lt"/>
      <w:color w:val="000000"/>
      <w:sz w:val="20"/>
      <w:szCs w:val="20"/>
    </w:rPr>
  </w:style>
  <w:style w:type="character" w:customStyle="1" w:styleId="170">
    <w:name w:val="普通段落 Char"/>
    <w:link w:val="171"/>
    <w:autoRedefine/>
    <w:qFormat/>
    <w:uiPriority w:val="0"/>
    <w:rPr>
      <w:rFonts w:ascii="Arial" w:hAnsi="Arial" w:eastAsia="宋体"/>
      <w:lang w:bidi="ar-SA"/>
    </w:rPr>
  </w:style>
  <w:style w:type="paragraph" w:customStyle="1" w:styleId="171">
    <w:name w:val="普通段落"/>
    <w:basedOn w:val="1"/>
    <w:link w:val="170"/>
    <w:autoRedefine/>
    <w:qFormat/>
    <w:uiPriority w:val="0"/>
    <w:pPr>
      <w:spacing w:after="240" w:line="276" w:lineRule="auto"/>
    </w:pPr>
    <w:rPr>
      <w:rFonts w:ascii="Arial" w:hAnsi="Arial"/>
      <w:kern w:val="0"/>
      <w:sz w:val="20"/>
      <w:szCs w:val="20"/>
    </w:rPr>
  </w:style>
  <w:style w:type="character" w:customStyle="1" w:styleId="172">
    <w:name w:val="Char Char10"/>
    <w:autoRedefine/>
    <w:qFormat/>
    <w:uiPriority w:val="0"/>
    <w:rPr>
      <w:kern w:val="2"/>
      <w:sz w:val="21"/>
      <w:szCs w:val="24"/>
      <w:shd w:val="clear" w:color="auto" w:fill="000080"/>
    </w:rPr>
  </w:style>
  <w:style w:type="character" w:customStyle="1" w:styleId="173">
    <w:name w:val="正文首行缩进1 Char"/>
    <w:autoRedefine/>
    <w:qFormat/>
    <w:uiPriority w:val="0"/>
    <w:rPr>
      <w:rFonts w:ascii="Arial" w:hAnsi="Arial" w:eastAsia="宋体"/>
      <w:sz w:val="24"/>
      <w:szCs w:val="21"/>
      <w:lang w:bidi="ar-SA"/>
    </w:rPr>
  </w:style>
  <w:style w:type="character" w:customStyle="1" w:styleId="174">
    <w:name w:val="cn1"/>
    <w:autoRedefine/>
    <w:qFormat/>
    <w:uiPriority w:val="0"/>
  </w:style>
  <w:style w:type="character" w:customStyle="1" w:styleId="175">
    <w:name w:val="H1 Char"/>
    <w:autoRedefine/>
    <w:qFormat/>
    <w:uiPriority w:val="0"/>
    <w:rPr>
      <w:rFonts w:ascii="Times New Roman" w:hAnsi="Times New Roman" w:eastAsia="宋体" w:cs="Times New Roman"/>
      <w:b/>
      <w:bCs/>
      <w:kern w:val="44"/>
      <w:sz w:val="44"/>
      <w:szCs w:val="44"/>
    </w:rPr>
  </w:style>
  <w:style w:type="character" w:customStyle="1" w:styleId="176">
    <w:name w:val="Heading 3 - old Char"/>
    <w:autoRedefine/>
    <w:qFormat/>
    <w:uiPriority w:val="0"/>
    <w:rPr>
      <w:rFonts w:ascii="Times New Roman" w:hAnsi="Times New Roman" w:eastAsia="宋体" w:cs="Times New Roman"/>
      <w:b/>
      <w:bCs/>
      <w:sz w:val="32"/>
      <w:szCs w:val="32"/>
    </w:rPr>
  </w:style>
  <w:style w:type="character" w:customStyle="1" w:styleId="177">
    <w:name w:val="font31"/>
    <w:autoRedefine/>
    <w:qFormat/>
    <w:uiPriority w:val="0"/>
    <w:rPr>
      <w:rFonts w:hint="default" w:ascii="Times New Roman" w:hAnsi="Times New Roman" w:cs="Times New Roman"/>
      <w:color w:val="000000"/>
      <w:sz w:val="20"/>
      <w:szCs w:val="20"/>
      <w:u w:val="none"/>
    </w:rPr>
  </w:style>
  <w:style w:type="character" w:customStyle="1" w:styleId="178">
    <w:name w:val="Char Char16"/>
    <w:autoRedefine/>
    <w:qFormat/>
    <w:uiPriority w:val="0"/>
    <w:rPr>
      <w:rFonts w:ascii="宋体" w:hAnsi="Courier New"/>
      <w:spacing w:val="-4"/>
      <w:kern w:val="2"/>
      <w:sz w:val="18"/>
    </w:rPr>
  </w:style>
  <w:style w:type="character" w:customStyle="1" w:styleId="179">
    <w:name w:val="正文首行缩进 Char1"/>
    <w:autoRedefine/>
    <w:semiHidden/>
    <w:qFormat/>
    <w:uiPriority w:val="99"/>
    <w:rPr>
      <w:rFonts w:ascii="Times New Roman" w:hAnsi="Times New Roman" w:eastAsia="宋体" w:cs="Times New Roman"/>
      <w:szCs w:val="24"/>
    </w:rPr>
  </w:style>
  <w:style w:type="character" w:customStyle="1" w:styleId="180">
    <w:name w:val="普通 (Web) Char"/>
    <w:autoRedefine/>
    <w:qFormat/>
    <w:uiPriority w:val="0"/>
    <w:rPr>
      <w:rFonts w:ascii="宋体" w:hAnsi="宋体" w:eastAsia="宋体" w:cs="Times New Roman"/>
      <w:kern w:val="0"/>
      <w:sz w:val="24"/>
      <w:szCs w:val="24"/>
    </w:rPr>
  </w:style>
  <w:style w:type="character" w:customStyle="1" w:styleId="181">
    <w:name w:val="zhenwen14"/>
    <w:autoRedefine/>
    <w:qFormat/>
    <w:uiPriority w:val="0"/>
    <w:rPr>
      <w:color w:val="085994"/>
      <w:sz w:val="18"/>
      <w:szCs w:val="18"/>
    </w:rPr>
  </w:style>
  <w:style w:type="character" w:customStyle="1" w:styleId="182">
    <w:name w:val="font81"/>
    <w:autoRedefine/>
    <w:qFormat/>
    <w:uiPriority w:val="0"/>
    <w:rPr>
      <w:rFonts w:hint="eastAsia" w:ascii="宋体" w:hAnsi="宋体" w:eastAsia="宋体" w:cs="宋体"/>
      <w:color w:val="000000"/>
      <w:sz w:val="20"/>
      <w:szCs w:val="20"/>
      <w:u w:val="none"/>
      <w:vertAlign w:val="superscript"/>
    </w:rPr>
  </w:style>
  <w:style w:type="character" w:customStyle="1" w:styleId="183">
    <w:name w:val="Heading 5 Char"/>
    <w:autoRedefine/>
    <w:semiHidden/>
    <w:qFormat/>
    <w:locked/>
    <w:uiPriority w:val="0"/>
    <w:rPr>
      <w:rFonts w:cs="Times New Roman"/>
      <w:b/>
      <w:bCs/>
      <w:kern w:val="0"/>
      <w:sz w:val="28"/>
      <w:szCs w:val="28"/>
    </w:rPr>
  </w:style>
  <w:style w:type="character" w:customStyle="1" w:styleId="184">
    <w:name w:val="日期 Char1"/>
    <w:autoRedefine/>
    <w:semiHidden/>
    <w:qFormat/>
    <w:uiPriority w:val="99"/>
    <w:rPr>
      <w:rFonts w:ascii="Times New Roman" w:hAnsi="Times New Roman" w:eastAsia="宋体" w:cs="Times New Roman"/>
      <w:szCs w:val="24"/>
    </w:rPr>
  </w:style>
  <w:style w:type="character" w:customStyle="1" w:styleId="185">
    <w:name w:val="缺省文本 Char"/>
    <w:link w:val="186"/>
    <w:autoRedefine/>
    <w:qFormat/>
    <w:uiPriority w:val="0"/>
    <w:rPr>
      <w:rFonts w:ascii="Arial" w:hAnsi="Arial"/>
      <w:szCs w:val="21"/>
    </w:rPr>
  </w:style>
  <w:style w:type="paragraph" w:customStyle="1" w:styleId="186">
    <w:name w:val="缺省文本"/>
    <w:basedOn w:val="1"/>
    <w:link w:val="185"/>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autoRedefine/>
    <w:qFormat/>
    <w:uiPriority w:val="0"/>
    <w:rPr>
      <w:szCs w:val="24"/>
    </w:rPr>
  </w:style>
  <w:style w:type="paragraph" w:customStyle="1" w:styleId="188">
    <w:name w:val="A正文"/>
    <w:basedOn w:val="1"/>
    <w:link w:val="187"/>
    <w:autoRedefine/>
    <w:qFormat/>
    <w:uiPriority w:val="0"/>
    <w:pPr>
      <w:spacing w:line="360" w:lineRule="auto"/>
      <w:ind w:firstLine="200" w:firstLineChars="200"/>
    </w:pPr>
    <w:rPr>
      <w:kern w:val="0"/>
      <w:sz w:val="20"/>
    </w:rPr>
  </w:style>
  <w:style w:type="character" w:customStyle="1" w:styleId="189">
    <w:name w:val="style211"/>
    <w:autoRedefine/>
    <w:qFormat/>
    <w:uiPriority w:val="0"/>
    <w:rPr>
      <w:color w:val="0000FF"/>
    </w:rPr>
  </w:style>
  <w:style w:type="character" w:customStyle="1" w:styleId="190">
    <w:name w:val="def正文 Char Char"/>
    <w:link w:val="191"/>
    <w:autoRedefine/>
    <w:qFormat/>
    <w:uiPriority w:val="0"/>
    <w:rPr>
      <w:sz w:val="24"/>
      <w:szCs w:val="24"/>
    </w:rPr>
  </w:style>
  <w:style w:type="paragraph" w:customStyle="1" w:styleId="191">
    <w:name w:val="def正文"/>
    <w:basedOn w:val="20"/>
    <w:link w:val="190"/>
    <w:autoRedefine/>
    <w:qFormat/>
    <w:uiPriority w:val="0"/>
    <w:pPr>
      <w:widowControl/>
      <w:spacing w:after="0" w:line="360" w:lineRule="auto"/>
      <w:ind w:firstLine="510"/>
      <w:jc w:val="left"/>
    </w:pPr>
    <w:rPr>
      <w:sz w:val="24"/>
    </w:rPr>
  </w:style>
  <w:style w:type="character" w:customStyle="1" w:styleId="192">
    <w:name w:val="￥正文 Char"/>
    <w:link w:val="193"/>
    <w:autoRedefine/>
    <w:qFormat/>
    <w:uiPriority w:val="0"/>
    <w:rPr>
      <w:rFonts w:ascii="Calibri" w:hAnsi="Calibri" w:eastAsia="宋体"/>
      <w:sz w:val="24"/>
      <w:lang w:bidi="ar-SA"/>
    </w:rPr>
  </w:style>
  <w:style w:type="paragraph" w:customStyle="1" w:styleId="193">
    <w:name w:val="￥正文"/>
    <w:basedOn w:val="1"/>
    <w:link w:val="192"/>
    <w:autoRedefine/>
    <w:qFormat/>
    <w:uiPriority w:val="0"/>
    <w:pPr>
      <w:spacing w:line="360" w:lineRule="auto"/>
      <w:ind w:firstLine="200" w:firstLineChars="200"/>
    </w:pPr>
    <w:rPr>
      <w:rFonts w:ascii="Calibri" w:hAnsi="Calibri"/>
      <w:kern w:val="0"/>
      <w:sz w:val="24"/>
      <w:szCs w:val="20"/>
    </w:rPr>
  </w:style>
  <w:style w:type="character" w:customStyle="1" w:styleId="194">
    <w:name w:val="Char Char21"/>
    <w:autoRedefine/>
    <w:qFormat/>
    <w:uiPriority w:val="0"/>
    <w:rPr>
      <w:b/>
      <w:bCs/>
      <w:kern w:val="2"/>
      <w:sz w:val="24"/>
      <w:szCs w:val="24"/>
    </w:rPr>
  </w:style>
  <w:style w:type="character" w:customStyle="1" w:styleId="195">
    <w:name w:val="页脚 Char1"/>
    <w:autoRedefine/>
    <w:semiHidden/>
    <w:qFormat/>
    <w:uiPriority w:val="99"/>
    <w:rPr>
      <w:rFonts w:ascii="Times New Roman" w:hAnsi="Times New Roman" w:eastAsia="宋体" w:cs="Times New Roman"/>
      <w:sz w:val="18"/>
      <w:szCs w:val="18"/>
    </w:rPr>
  </w:style>
  <w:style w:type="character" w:customStyle="1" w:styleId="196">
    <w:name w:val="Char Char25"/>
    <w:autoRedefine/>
    <w:qFormat/>
    <w:uiPriority w:val="0"/>
    <w:rPr>
      <w:rFonts w:eastAsia="楷体_GB2312"/>
      <w:b/>
      <w:bCs/>
      <w:kern w:val="2"/>
      <w:sz w:val="32"/>
      <w:szCs w:val="32"/>
    </w:rPr>
  </w:style>
  <w:style w:type="character" w:customStyle="1" w:styleId="197">
    <w:name w:val="h Char"/>
    <w:autoRedefine/>
    <w:qFormat/>
    <w:uiPriority w:val="0"/>
    <w:rPr>
      <w:rFonts w:ascii="Times New Roman" w:hAnsi="Times New Roman" w:eastAsia="宋体" w:cs="Times New Roman"/>
      <w:sz w:val="18"/>
      <w:szCs w:val="18"/>
    </w:rPr>
  </w:style>
  <w:style w:type="character" w:customStyle="1" w:styleId="198">
    <w:name w:val="标题 Char1"/>
    <w:autoRedefine/>
    <w:qFormat/>
    <w:uiPriority w:val="10"/>
    <w:rPr>
      <w:rFonts w:ascii="Cambria" w:hAnsi="Cambria" w:eastAsia="宋体" w:cs="Times New Roman"/>
      <w:b/>
      <w:bCs/>
      <w:sz w:val="32"/>
      <w:szCs w:val="32"/>
    </w:rPr>
  </w:style>
  <w:style w:type="character" w:customStyle="1" w:styleId="199">
    <w:name w:val="表格文本 Char Char"/>
    <w:link w:val="200"/>
    <w:autoRedefine/>
    <w:qFormat/>
    <w:uiPriority w:val="0"/>
    <w:rPr>
      <w:rFonts w:ascii="Arial" w:hAnsi="Arial"/>
      <w:kern w:val="2"/>
      <w:sz w:val="21"/>
      <w:szCs w:val="21"/>
      <w:lang w:val="en-US" w:eastAsia="zh-CN" w:bidi="ar-SA"/>
    </w:rPr>
  </w:style>
  <w:style w:type="paragraph" w:customStyle="1" w:styleId="200">
    <w:name w:val="表格文本 Char"/>
    <w:link w:val="199"/>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201">
    <w:name w:val="Char Char23"/>
    <w:autoRedefine/>
    <w:qFormat/>
    <w:uiPriority w:val="0"/>
    <w:rPr>
      <w:b/>
      <w:bCs/>
      <w:kern w:val="2"/>
      <w:sz w:val="28"/>
      <w:szCs w:val="28"/>
    </w:rPr>
  </w:style>
  <w:style w:type="character" w:customStyle="1" w:styleId="202">
    <w:name w:val="style551"/>
    <w:autoRedefine/>
    <w:qFormat/>
    <w:uiPriority w:val="0"/>
    <w:rPr>
      <w:rFonts w:hint="default" w:ascii="Arial" w:hAnsi="Arial" w:cs="Arial"/>
      <w:color w:val="333333"/>
      <w:sz w:val="18"/>
      <w:szCs w:val="18"/>
    </w:rPr>
  </w:style>
  <w:style w:type="character" w:customStyle="1" w:styleId="203">
    <w:name w:val="unnamed21"/>
    <w:autoRedefine/>
    <w:qFormat/>
    <w:uiPriority w:val="0"/>
    <w:rPr>
      <w:b/>
      <w:bCs/>
      <w:spacing w:val="330"/>
      <w:sz w:val="21"/>
      <w:szCs w:val="21"/>
    </w:rPr>
  </w:style>
  <w:style w:type="character" w:customStyle="1" w:styleId="204">
    <w:name w:val="标题 1 Char Char"/>
    <w:autoRedefine/>
    <w:qFormat/>
    <w:uiPriority w:val="0"/>
    <w:rPr>
      <w:rFonts w:eastAsia="宋体"/>
      <w:b/>
      <w:spacing w:val="-2"/>
      <w:sz w:val="24"/>
      <w:lang w:val="en-US" w:eastAsia="zh-CN" w:bidi="ar-SA"/>
    </w:rPr>
  </w:style>
  <w:style w:type="character" w:customStyle="1" w:styleId="205">
    <w:name w:val="Char Char5"/>
    <w:autoRedefine/>
    <w:qFormat/>
    <w:uiPriority w:val="0"/>
    <w:rPr>
      <w:rFonts w:ascii="宋体" w:hAnsi="宋体"/>
      <w:sz w:val="24"/>
      <w:szCs w:val="24"/>
    </w:rPr>
  </w:style>
  <w:style w:type="character" w:customStyle="1" w:styleId="206">
    <w:name w:val="正文文本 2 Char1"/>
    <w:autoRedefine/>
    <w:semiHidden/>
    <w:qFormat/>
    <w:uiPriority w:val="99"/>
    <w:rPr>
      <w:rFonts w:ascii="Times New Roman" w:hAnsi="Times New Roman" w:eastAsia="宋体" w:cs="Times New Roman"/>
      <w:szCs w:val="24"/>
    </w:rPr>
  </w:style>
  <w:style w:type="character" w:customStyle="1" w:styleId="207">
    <w:name w:val="Char Char111"/>
    <w:autoRedefine/>
    <w:qFormat/>
    <w:uiPriority w:val="0"/>
    <w:rPr>
      <w:kern w:val="2"/>
      <w:sz w:val="28"/>
      <w:szCs w:val="24"/>
    </w:rPr>
  </w:style>
  <w:style w:type="character" w:customStyle="1" w:styleId="208">
    <w:name w:val="font91"/>
    <w:autoRedefine/>
    <w:qFormat/>
    <w:uiPriority w:val="0"/>
    <w:rPr>
      <w:rFonts w:hint="default" w:ascii="Arial" w:hAnsi="Arial" w:cs="Arial"/>
      <w:b/>
      <w:color w:val="auto"/>
      <w:sz w:val="20"/>
      <w:szCs w:val="20"/>
      <w:u w:val="none"/>
    </w:rPr>
  </w:style>
  <w:style w:type="character" w:customStyle="1" w:styleId="209">
    <w:name w:val="普通文字 Char Char"/>
    <w:autoRedefine/>
    <w:qFormat/>
    <w:uiPriority w:val="0"/>
    <w:rPr>
      <w:rFonts w:ascii="宋体" w:hAnsi="Courier New" w:eastAsia="宋体" w:cs="Times New Roman"/>
      <w:szCs w:val="20"/>
    </w:rPr>
  </w:style>
  <w:style w:type="character" w:customStyle="1" w:styleId="210">
    <w:name w:val="3zw"/>
    <w:autoRedefine/>
    <w:qFormat/>
    <w:uiPriority w:val="0"/>
  </w:style>
  <w:style w:type="character" w:customStyle="1" w:styleId="211">
    <w:name w:val="普通 (Web) Char1"/>
    <w:autoRedefine/>
    <w:qFormat/>
    <w:locked/>
    <w:uiPriority w:val="0"/>
    <w:rPr>
      <w:rFonts w:ascii="宋体" w:hAnsi="宋体" w:eastAsia="宋体"/>
      <w:sz w:val="24"/>
      <w:szCs w:val="24"/>
      <w:lang w:val="en-US" w:eastAsia="zh-CN" w:bidi="ar-SA"/>
    </w:rPr>
  </w:style>
  <w:style w:type="character" w:customStyle="1" w:styleId="212">
    <w:name w:val="Heading 1 Char"/>
    <w:autoRedefine/>
    <w:qFormat/>
    <w:locked/>
    <w:uiPriority w:val="0"/>
    <w:rPr>
      <w:rFonts w:cs="Times New Roman"/>
      <w:b/>
      <w:bCs/>
      <w:kern w:val="44"/>
      <w:sz w:val="44"/>
      <w:szCs w:val="44"/>
    </w:rPr>
  </w:style>
  <w:style w:type="character" w:customStyle="1" w:styleId="213">
    <w:name w:val="Footer Char"/>
    <w:autoRedefine/>
    <w:qFormat/>
    <w:locked/>
    <w:uiPriority w:val="0"/>
    <w:rPr>
      <w:rFonts w:ascii="Calibri" w:hAnsi="Calibri" w:eastAsia="宋体" w:cs="Times New Roman"/>
      <w:sz w:val="18"/>
      <w:szCs w:val="18"/>
    </w:rPr>
  </w:style>
  <w:style w:type="character" w:customStyle="1" w:styleId="214">
    <w:name w:val="Char Char1"/>
    <w:autoRedefine/>
    <w:qFormat/>
    <w:uiPriority w:val="0"/>
    <w:rPr>
      <w:kern w:val="2"/>
      <w:sz w:val="21"/>
      <w:szCs w:val="24"/>
    </w:rPr>
  </w:style>
  <w:style w:type="character" w:customStyle="1" w:styleId="215">
    <w:name w:val="font61"/>
    <w:autoRedefine/>
    <w:qFormat/>
    <w:uiPriority w:val="0"/>
    <w:rPr>
      <w:rFonts w:hint="eastAsia" w:ascii="宋体" w:hAnsi="宋体" w:eastAsia="宋体" w:cs="宋体"/>
      <w:color w:val="000000"/>
      <w:sz w:val="24"/>
      <w:szCs w:val="24"/>
      <w:u w:val="none"/>
    </w:rPr>
  </w:style>
  <w:style w:type="character" w:customStyle="1" w:styleId="216">
    <w:name w:val="font21"/>
    <w:basedOn w:val="51"/>
    <w:autoRedefine/>
    <w:qFormat/>
    <w:uiPriority w:val="0"/>
    <w:rPr>
      <w:rFonts w:hint="eastAsia" w:ascii="宋体" w:hAnsi="宋体" w:eastAsia="宋体" w:cs="宋体"/>
      <w:color w:val="000000"/>
      <w:sz w:val="20"/>
      <w:szCs w:val="20"/>
      <w:u w:val="none"/>
    </w:rPr>
  </w:style>
  <w:style w:type="character" w:customStyle="1" w:styleId="217">
    <w:name w:val="页脚 Char"/>
    <w:autoRedefine/>
    <w:qFormat/>
    <w:uiPriority w:val="99"/>
    <w:rPr>
      <w:rFonts w:eastAsia="Calibri"/>
      <w:sz w:val="21"/>
    </w:rPr>
  </w:style>
  <w:style w:type="character" w:customStyle="1" w:styleId="218">
    <w:name w:val="标题 3 Char1"/>
    <w:autoRedefine/>
    <w:qFormat/>
    <w:uiPriority w:val="0"/>
    <w:rPr>
      <w:rFonts w:ascii="Times New Roman" w:hAnsi="Times New Roman" w:eastAsia="宋体" w:cs="Times New Roman"/>
      <w:b/>
      <w:bCs/>
      <w:sz w:val="32"/>
      <w:szCs w:val="32"/>
    </w:rPr>
  </w:style>
  <w:style w:type="character" w:customStyle="1" w:styleId="219">
    <w:name w:val="纯文本 Char2"/>
    <w:autoRedefine/>
    <w:semiHidden/>
    <w:qFormat/>
    <w:uiPriority w:val="99"/>
    <w:rPr>
      <w:rFonts w:ascii="宋体" w:hAnsi="Courier New" w:eastAsia="宋体" w:cs="Courier New"/>
      <w:szCs w:val="21"/>
    </w:rPr>
  </w:style>
  <w:style w:type="character" w:customStyle="1" w:styleId="220">
    <w:name w:val="段落文本 Char"/>
    <w:link w:val="221"/>
    <w:autoRedefine/>
    <w:qFormat/>
    <w:uiPriority w:val="0"/>
    <w:rPr>
      <w:rFonts w:eastAsia="宋体"/>
      <w:szCs w:val="21"/>
      <w:lang w:bidi="ar-SA"/>
    </w:rPr>
  </w:style>
  <w:style w:type="paragraph" w:customStyle="1" w:styleId="221">
    <w:name w:val="段落文本"/>
    <w:basedOn w:val="1"/>
    <w:link w:val="220"/>
    <w:autoRedefine/>
    <w:qFormat/>
    <w:uiPriority w:val="0"/>
    <w:pPr>
      <w:spacing w:line="360" w:lineRule="auto"/>
      <w:ind w:firstLine="420"/>
    </w:pPr>
    <w:rPr>
      <w:kern w:val="0"/>
      <w:sz w:val="20"/>
      <w:szCs w:val="21"/>
    </w:rPr>
  </w:style>
  <w:style w:type="character" w:customStyle="1" w:styleId="222">
    <w:name w:val="彩色列表 - 强调文字颜色 1 Char"/>
    <w:link w:val="223"/>
    <w:autoRedefine/>
    <w:qFormat/>
    <w:uiPriority w:val="0"/>
    <w:rPr>
      <w:rFonts w:ascii="微软雅黑" w:hAnsi="微软雅黑" w:eastAsia="微软雅黑" w:cs="宋体"/>
      <w:kern w:val="2"/>
      <w:sz w:val="24"/>
      <w:szCs w:val="21"/>
      <w:lang w:val="en-US" w:eastAsia="zh-CN" w:bidi="ar-SA"/>
    </w:rPr>
  </w:style>
  <w:style w:type="paragraph" w:customStyle="1" w:styleId="223">
    <w:name w:val="列出段落2"/>
    <w:basedOn w:val="1"/>
    <w:link w:val="222"/>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4">
    <w:name w:val="Normal Indent Char"/>
    <w:autoRedefine/>
    <w:qFormat/>
    <w:locked/>
    <w:uiPriority w:val="0"/>
    <w:rPr>
      <w:sz w:val="20"/>
    </w:rPr>
  </w:style>
  <w:style w:type="character" w:customStyle="1" w:styleId="225">
    <w:name w:val="内容文本 Char"/>
    <w:link w:val="226"/>
    <w:autoRedefine/>
    <w:qFormat/>
    <w:uiPriority w:val="0"/>
    <w:rPr>
      <w:rFonts w:ascii="宋体" w:hAnsi="宋体" w:eastAsia="宋体"/>
      <w:kern w:val="2"/>
      <w:sz w:val="24"/>
      <w:szCs w:val="24"/>
      <w:lang w:bidi="ar-SA"/>
    </w:rPr>
  </w:style>
  <w:style w:type="paragraph" w:customStyle="1" w:styleId="226">
    <w:name w:val="内容文本"/>
    <w:basedOn w:val="1"/>
    <w:link w:val="225"/>
    <w:autoRedefine/>
    <w:qFormat/>
    <w:uiPriority w:val="0"/>
    <w:pPr>
      <w:spacing w:line="360" w:lineRule="auto"/>
      <w:ind w:firstLine="480" w:firstLineChars="200"/>
    </w:pPr>
    <w:rPr>
      <w:rFonts w:ascii="宋体" w:hAnsi="宋体"/>
      <w:sz w:val="24"/>
    </w:rPr>
  </w:style>
  <w:style w:type="character" w:customStyle="1" w:styleId="227">
    <w:name w:val="style171"/>
    <w:autoRedefine/>
    <w:qFormat/>
    <w:uiPriority w:val="0"/>
    <w:rPr>
      <w:sz w:val="20"/>
      <w:szCs w:val="20"/>
    </w:rPr>
  </w:style>
  <w:style w:type="character" w:customStyle="1" w:styleId="228">
    <w:name w:val="Char Char2"/>
    <w:autoRedefine/>
    <w:qFormat/>
    <w:uiPriority w:val="0"/>
    <w:rPr>
      <w:rFonts w:ascii="宋体" w:hAnsi="宋体"/>
      <w:color w:val="000000"/>
      <w:kern w:val="2"/>
      <w:sz w:val="24"/>
      <w:szCs w:val="24"/>
    </w:rPr>
  </w:style>
  <w:style w:type="character" w:customStyle="1" w:styleId="229">
    <w:name w:val="正文文本缩进 2 Char1"/>
    <w:autoRedefine/>
    <w:semiHidden/>
    <w:qFormat/>
    <w:uiPriority w:val="99"/>
    <w:rPr>
      <w:rFonts w:ascii="Times New Roman" w:hAnsi="Times New Roman" w:eastAsia="宋体" w:cs="Times New Roman"/>
      <w:szCs w:val="24"/>
    </w:rPr>
  </w:style>
  <w:style w:type="character" w:customStyle="1" w:styleId="230">
    <w:name w:val="* table text Char"/>
    <w:link w:val="231"/>
    <w:autoRedefine/>
    <w:qFormat/>
    <w:locked/>
    <w:uiPriority w:val="0"/>
    <w:rPr>
      <w:rFonts w:ascii="Arial" w:hAnsi="Arial" w:eastAsia="宋体"/>
      <w:color w:val="333333"/>
      <w:sz w:val="18"/>
      <w:szCs w:val="18"/>
      <w:lang w:bidi="ar-SA"/>
    </w:rPr>
  </w:style>
  <w:style w:type="paragraph" w:customStyle="1" w:styleId="231">
    <w:name w:val="* table text"/>
    <w:basedOn w:val="1"/>
    <w:link w:val="230"/>
    <w:autoRedefine/>
    <w:qFormat/>
    <w:uiPriority w:val="0"/>
    <w:pPr>
      <w:widowControl/>
    </w:pPr>
    <w:rPr>
      <w:rFonts w:ascii="Arial" w:hAnsi="Arial"/>
      <w:color w:val="333333"/>
      <w:kern w:val="0"/>
      <w:sz w:val="18"/>
      <w:szCs w:val="18"/>
    </w:rPr>
  </w:style>
  <w:style w:type="character" w:customStyle="1" w:styleId="232">
    <w:name w:val="样式 加粗"/>
    <w:autoRedefine/>
    <w:qFormat/>
    <w:uiPriority w:val="0"/>
    <w:rPr>
      <w:rFonts w:eastAsia="仿宋_GB2312"/>
      <w:b/>
      <w:bCs/>
      <w:sz w:val="24"/>
    </w:rPr>
  </w:style>
  <w:style w:type="character" w:customStyle="1" w:styleId="233">
    <w:name w:val="Header Char"/>
    <w:autoRedefine/>
    <w:qFormat/>
    <w:locked/>
    <w:uiPriority w:val="0"/>
    <w:rPr>
      <w:rFonts w:ascii="Calibri" w:hAnsi="Calibri" w:eastAsia="宋体" w:cs="Times New Roman"/>
      <w:sz w:val="18"/>
      <w:szCs w:val="18"/>
    </w:rPr>
  </w:style>
  <w:style w:type="paragraph" w:customStyle="1" w:styleId="23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autoRedefine/>
    <w:qFormat/>
    <w:uiPriority w:val="0"/>
    <w:rPr>
      <w:rFonts w:ascii="仿宋_GB2312" w:hAnsi="宋体" w:eastAsia="仿宋_GB2312" w:cs="宋体"/>
      <w:b/>
      <w:sz w:val="32"/>
      <w:szCs w:val="32"/>
    </w:rPr>
  </w:style>
  <w:style w:type="paragraph" w:customStyle="1" w:styleId="240">
    <w:name w:val="简单回函地址"/>
    <w:basedOn w:val="1"/>
    <w:autoRedefine/>
    <w:qFormat/>
    <w:uiPriority w:val="0"/>
    <w:rPr>
      <w:szCs w:val="20"/>
    </w:rPr>
  </w:style>
  <w:style w:type="paragraph" w:customStyle="1" w:styleId="241">
    <w:name w:val="正文段"/>
    <w:basedOn w:val="1"/>
    <w:autoRedefine/>
    <w:qFormat/>
    <w:uiPriority w:val="0"/>
    <w:pPr>
      <w:widowControl/>
      <w:snapToGrid w:val="0"/>
      <w:spacing w:afterLines="50"/>
      <w:ind w:firstLine="200" w:firstLineChars="200"/>
    </w:pPr>
    <w:rPr>
      <w:kern w:val="0"/>
      <w:sz w:val="24"/>
      <w:szCs w:val="20"/>
    </w:rPr>
  </w:style>
  <w:style w:type="paragraph" w:customStyle="1" w:styleId="24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autoRedefine/>
    <w:qFormat/>
    <w:uiPriority w:val="0"/>
    <w:pPr>
      <w:widowControl/>
      <w:jc w:val="left"/>
    </w:pPr>
    <w:rPr>
      <w:rFonts w:ascii="宋体" w:hAnsi="宋体"/>
      <w:kern w:val="0"/>
      <w:sz w:val="20"/>
      <w:szCs w:val="20"/>
    </w:rPr>
  </w:style>
  <w:style w:type="paragraph" w:customStyle="1" w:styleId="244">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7">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autoRedefine/>
    <w:qFormat/>
    <w:uiPriority w:val="0"/>
    <w:pPr>
      <w:ind w:firstLine="200" w:firstLineChars="200"/>
    </w:pPr>
    <w:rPr>
      <w:szCs w:val="20"/>
    </w:rPr>
  </w:style>
  <w:style w:type="paragraph" w:customStyle="1" w:styleId="250">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autoRedefine/>
    <w:qFormat/>
    <w:uiPriority w:val="0"/>
    <w:pPr>
      <w:spacing w:line="360" w:lineRule="auto"/>
      <w:ind w:firstLine="720"/>
    </w:pPr>
    <w:rPr>
      <w:szCs w:val="21"/>
    </w:rPr>
  </w:style>
  <w:style w:type="paragraph" w:customStyle="1" w:styleId="253">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autoRedefine/>
    <w:qFormat/>
    <w:uiPriority w:val="0"/>
    <w:pPr>
      <w:spacing w:line="360" w:lineRule="auto"/>
      <w:ind w:firstLine="420" w:firstLineChars="200"/>
    </w:pPr>
    <w:rPr>
      <w:rFonts w:ascii="宋体" w:hAnsi="宋体"/>
      <w:sz w:val="24"/>
    </w:rPr>
  </w:style>
  <w:style w:type="paragraph" w:customStyle="1" w:styleId="25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0"/>
    <w:autoRedefine/>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autoRedefine/>
    <w:qFormat/>
    <w:uiPriority w:val="0"/>
    <w:pPr>
      <w:tabs>
        <w:tab w:val="left" w:pos="420"/>
      </w:tabs>
      <w:ind w:left="420" w:hanging="420"/>
      <w:jc w:val="left"/>
    </w:pPr>
  </w:style>
  <w:style w:type="paragraph" w:customStyle="1" w:styleId="273">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5"/>
    <w:autoRedefine/>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autoRedefine/>
    <w:qFormat/>
    <w:uiPriority w:val="0"/>
    <w:pPr>
      <w:numPr>
        <w:ilvl w:val="0"/>
        <w:numId w:val="1"/>
      </w:numPr>
      <w:jc w:val="left"/>
    </w:p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autoRedefine/>
    <w:qFormat/>
    <w:uiPriority w:val="34"/>
    <w:pPr>
      <w:spacing w:line="360" w:lineRule="auto"/>
      <w:ind w:firstLine="420" w:firstLineChars="200"/>
    </w:pPr>
    <w:rPr>
      <w:rFonts w:ascii="Calibri" w:hAnsi="Calibri"/>
      <w:szCs w:val="22"/>
    </w:rPr>
  </w:style>
  <w:style w:type="paragraph" w:customStyle="1" w:styleId="284">
    <w:name w:val="次小点说明"/>
    <w:basedOn w:val="2"/>
    <w:autoRedefine/>
    <w:qFormat/>
    <w:uiPriority w:val="0"/>
    <w:pPr>
      <w:tabs>
        <w:tab w:val="left" w:pos="720"/>
      </w:tabs>
      <w:spacing w:line="360" w:lineRule="auto"/>
      <w:ind w:left="777" w:hanging="417"/>
    </w:pPr>
    <w:rPr>
      <w:sz w:val="24"/>
    </w:rPr>
  </w:style>
  <w:style w:type="paragraph" w:customStyle="1" w:styleId="28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autoRedefine/>
    <w:qFormat/>
    <w:uiPriority w:val="0"/>
    <w:pPr>
      <w:jc w:val="center"/>
    </w:pPr>
    <w:rPr>
      <w:rFonts w:ascii="仿宋_GB2312" w:eastAsia="仿宋_GB2312"/>
      <w:b/>
      <w:kern w:val="0"/>
      <w:sz w:val="32"/>
      <w:szCs w:val="32"/>
      <w:lang w:val="en-GB"/>
    </w:rPr>
  </w:style>
  <w:style w:type="paragraph" w:customStyle="1" w:styleId="288">
    <w:name w:val="此正文"/>
    <w:basedOn w:val="1"/>
    <w:autoRedefine/>
    <w:qFormat/>
    <w:uiPriority w:val="0"/>
    <w:pPr>
      <w:spacing w:line="360" w:lineRule="auto"/>
      <w:ind w:firstLine="200" w:firstLineChars="200"/>
    </w:pPr>
    <w:rPr>
      <w:sz w:val="24"/>
    </w:rPr>
  </w:style>
  <w:style w:type="paragraph" w:customStyle="1" w:styleId="289">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autoRedefine/>
    <w:qFormat/>
    <w:uiPriority w:val="0"/>
    <w:pPr>
      <w:tabs>
        <w:tab w:val="left" w:pos="1080"/>
      </w:tabs>
      <w:ind w:left="1134" w:firstLine="0" w:firstLineChars="0"/>
    </w:pPr>
  </w:style>
  <w:style w:type="paragraph" w:customStyle="1" w:styleId="294">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5">
    <w:name w:val="图片"/>
    <w:basedOn w:val="1"/>
    <w:next w:val="1"/>
    <w:autoRedefine/>
    <w:qFormat/>
    <w:uiPriority w:val="0"/>
    <w:pPr>
      <w:jc w:val="center"/>
    </w:pPr>
  </w:style>
  <w:style w:type="paragraph" w:customStyle="1" w:styleId="296">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autoRedefine/>
    <w:qFormat/>
    <w:uiPriority w:val="0"/>
    <w:rPr>
      <w:rFonts w:ascii="仿宋_GB2312" w:eastAsia="仿宋_GB2312"/>
      <w:b/>
      <w:sz w:val="32"/>
      <w:szCs w:val="32"/>
    </w:rPr>
  </w:style>
  <w:style w:type="paragraph" w:customStyle="1" w:styleId="301">
    <w:name w:val="项目正文"/>
    <w:basedOn w:val="1"/>
    <w:autoRedefine/>
    <w:qFormat/>
    <w:uiPriority w:val="0"/>
    <w:pPr>
      <w:ind w:left="420" w:hanging="420"/>
    </w:pPr>
    <w:rPr>
      <w:sz w:val="28"/>
      <w:szCs w:val="20"/>
    </w:rPr>
  </w:style>
  <w:style w:type="paragraph" w:customStyle="1" w:styleId="302">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autoRedefine/>
    <w:qFormat/>
    <w:uiPriority w:val="0"/>
    <w:pPr>
      <w:tabs>
        <w:tab w:val="left" w:pos="180"/>
        <w:tab w:val="left" w:pos="1580"/>
      </w:tabs>
      <w:ind w:left="1603" w:hanging="363"/>
    </w:pPr>
  </w:style>
  <w:style w:type="paragraph" w:customStyle="1" w:styleId="305">
    <w:name w:val="样式25"/>
    <w:basedOn w:val="1"/>
    <w:autoRedefine/>
    <w:qFormat/>
    <w:uiPriority w:val="0"/>
    <w:pPr>
      <w:tabs>
        <w:tab w:val="left" w:pos="180"/>
      </w:tabs>
      <w:ind w:left="1260" w:hanging="720"/>
    </w:pPr>
    <w:rPr>
      <w:sz w:val="24"/>
      <w:szCs w:val="20"/>
    </w:rPr>
  </w:style>
  <w:style w:type="paragraph" w:customStyle="1" w:styleId="306">
    <w:name w:val="Block"/>
    <w:basedOn w:val="1"/>
    <w:next w:val="157"/>
    <w:autoRedefine/>
    <w:qFormat/>
    <w:uiPriority w:val="0"/>
    <w:pPr>
      <w:tabs>
        <w:tab w:val="left" w:pos="0"/>
      </w:tabs>
    </w:pPr>
    <w:rPr>
      <w:rFonts w:ascii="Arial" w:hAnsi="Arial" w:eastAsia="楷体_GB2312"/>
      <w:color w:val="000080"/>
      <w:sz w:val="28"/>
      <w:szCs w:val="28"/>
    </w:rPr>
  </w:style>
  <w:style w:type="paragraph" w:customStyle="1" w:styleId="307">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3"/>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autoRedefine/>
    <w:qFormat/>
    <w:uiPriority w:val="0"/>
    <w:pPr>
      <w:widowControl/>
      <w:numPr>
        <w:ilvl w:val="0"/>
        <w:numId w:val="3"/>
      </w:numPr>
      <w:spacing w:afterLines="50"/>
      <w:jc w:val="left"/>
    </w:p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20"/>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autoRedefine/>
    <w:qFormat/>
    <w:uiPriority w:val="0"/>
    <w:pPr>
      <w:tabs>
        <w:tab w:val="left" w:pos="420"/>
      </w:tabs>
      <w:spacing w:after="80" w:line="360" w:lineRule="auto"/>
      <w:ind w:left="420" w:hanging="420"/>
    </w:pPr>
    <w:rPr>
      <w:sz w:val="24"/>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4"/>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autoRedefine/>
    <w:qFormat/>
    <w:uiPriority w:val="0"/>
    <w:pPr>
      <w:spacing w:line="360" w:lineRule="auto"/>
      <w:ind w:firstLine="461" w:firstLineChars="192"/>
    </w:pPr>
    <w:rPr>
      <w:rFonts w:ascii="宋体" w:hAnsi="宋体"/>
      <w:sz w:val="24"/>
    </w:rPr>
  </w:style>
  <w:style w:type="paragraph" w:customStyle="1" w:styleId="324">
    <w:name w:val="Figure Description"/>
    <w:basedOn w:val="325"/>
    <w:next w:val="157"/>
    <w:autoRedefine/>
    <w:qFormat/>
    <w:uiPriority w:val="0"/>
    <w:pPr>
      <w:tabs>
        <w:tab w:val="left" w:pos="680"/>
      </w:tabs>
      <w:spacing w:afterLines="100"/>
    </w:pPr>
    <w:rPr>
      <w:sz w:val="18"/>
    </w:rPr>
  </w:style>
  <w:style w:type="paragraph" w:customStyle="1" w:styleId="325">
    <w:name w:val="Figure"/>
    <w:basedOn w:val="1"/>
    <w:next w:val="324"/>
    <w:autoRedefine/>
    <w:qFormat/>
    <w:uiPriority w:val="0"/>
    <w:pPr>
      <w:keepNext/>
      <w:keepLines/>
      <w:ind w:left="1134"/>
      <w:jc w:val="center"/>
    </w:pPr>
  </w:style>
  <w:style w:type="paragraph" w:customStyle="1" w:styleId="326">
    <w:name w:val="列出段落3"/>
    <w:basedOn w:val="1"/>
    <w:autoRedefine/>
    <w:qFormat/>
    <w:uiPriority w:val="34"/>
    <w:pPr>
      <w:ind w:firstLine="420" w:firstLineChars="200"/>
    </w:pPr>
  </w:style>
  <w:style w:type="paragraph" w:customStyle="1" w:styleId="32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29">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autoRedefine/>
    <w:qFormat/>
    <w:uiPriority w:val="0"/>
    <w:rPr>
      <w:sz w:val="18"/>
    </w:rPr>
  </w:style>
  <w:style w:type="paragraph" w:customStyle="1" w:styleId="332">
    <w:name w:val="默认段落字体 Para Char Char Char Char Char Char Char Char Char1 Char Char Char Char"/>
    <w:basedOn w:val="1"/>
    <w:autoRedefine/>
    <w:qFormat/>
    <w:uiPriority w:val="0"/>
    <w:rPr>
      <w:rFonts w:ascii="Tahoma" w:hAnsi="Tahoma"/>
      <w:sz w:val="24"/>
      <w:szCs w:val="20"/>
    </w:rPr>
  </w:style>
  <w:style w:type="paragraph" w:customStyle="1" w:styleId="333">
    <w:name w:val="p18"/>
    <w:basedOn w:val="1"/>
    <w:autoRedefine/>
    <w:qFormat/>
    <w:uiPriority w:val="0"/>
    <w:pPr>
      <w:widowControl/>
      <w:spacing w:afterLines="100"/>
      <w:ind w:left="1134"/>
      <w:jc w:val="center"/>
    </w:pPr>
    <w:rPr>
      <w:kern w:val="0"/>
      <w:sz w:val="18"/>
      <w:szCs w:val="18"/>
    </w:rPr>
  </w:style>
  <w:style w:type="paragraph" w:customStyle="1" w:styleId="334">
    <w:name w:val="p16"/>
    <w:basedOn w:val="1"/>
    <w:autoRedefine/>
    <w:qFormat/>
    <w:uiPriority w:val="0"/>
    <w:pPr>
      <w:widowControl/>
    </w:pPr>
    <w:rPr>
      <w:rFonts w:ascii="Arial" w:hAnsi="Arial" w:cs="Arial"/>
      <w:color w:val="333333"/>
      <w:kern w:val="0"/>
      <w:sz w:val="18"/>
      <w:szCs w:val="18"/>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autoRedefine/>
    <w:qFormat/>
    <w:uiPriority w:val="0"/>
    <w:pPr>
      <w:widowControl/>
      <w:jc w:val="left"/>
    </w:pPr>
    <w:rPr>
      <w:sz w:val="36"/>
    </w:rPr>
  </w:style>
  <w:style w:type="paragraph" w:customStyle="1" w:styleId="343">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autoRedefine/>
    <w:qFormat/>
    <w:uiPriority w:val="0"/>
    <w:pPr>
      <w:spacing w:line="240" w:lineRule="atLeast"/>
      <w:ind w:left="420" w:firstLine="420"/>
    </w:pPr>
  </w:style>
  <w:style w:type="paragraph" w:customStyle="1" w:styleId="345">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autoRedefine/>
    <w:qFormat/>
    <w:uiPriority w:val="0"/>
    <w:rPr>
      <w:szCs w:val="20"/>
    </w:rPr>
  </w:style>
  <w:style w:type="paragraph" w:customStyle="1" w:styleId="347">
    <w:name w:val="二级编号"/>
    <w:basedOn w:val="1"/>
    <w:autoRedefine/>
    <w:qFormat/>
    <w:uiPriority w:val="0"/>
    <w:pPr>
      <w:tabs>
        <w:tab w:val="left" w:pos="851"/>
      </w:tabs>
      <w:spacing w:line="360" w:lineRule="auto"/>
      <w:jc w:val="left"/>
    </w:pPr>
    <w:rPr>
      <w:rFonts w:cs="宋体"/>
      <w:sz w:val="24"/>
      <w:szCs w:val="20"/>
    </w:rPr>
  </w:style>
  <w:style w:type="paragraph" w:customStyle="1" w:styleId="348">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6"/>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2"/>
    <w:autoRedefine/>
    <w:qFormat/>
    <w:uiPriority w:val="0"/>
    <w:pPr>
      <w:spacing w:after="80" w:line="360" w:lineRule="auto"/>
      <w:ind w:firstLine="480" w:firstLineChars="200"/>
    </w:pPr>
    <w:rPr>
      <w:sz w:val="24"/>
    </w:rPr>
  </w:style>
  <w:style w:type="paragraph" w:customStyle="1" w:styleId="353">
    <w:name w:val="Char111"/>
    <w:basedOn w:val="1"/>
    <w:autoRedefine/>
    <w:qFormat/>
    <w:uiPriority w:val="0"/>
    <w:rPr>
      <w:rFonts w:ascii="仿宋_GB2312" w:hAnsi="宋体" w:eastAsia="仿宋_GB2312" w:cs="宋体"/>
      <w:b/>
      <w:sz w:val="32"/>
      <w:szCs w:val="32"/>
    </w:rPr>
  </w:style>
  <w:style w:type="paragraph" w:customStyle="1" w:styleId="3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3"/>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autoRedefine/>
    <w:qFormat/>
    <w:uiPriority w:val="0"/>
    <w:pPr>
      <w:widowControl/>
      <w:spacing w:beforeLines="100" w:afterLines="100"/>
      <w:ind w:left="1134"/>
    </w:pPr>
    <w:rPr>
      <w:kern w:val="0"/>
      <w:szCs w:val="21"/>
    </w:rPr>
  </w:style>
  <w:style w:type="paragraph" w:customStyle="1" w:styleId="36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autoRedefine/>
    <w:qFormat/>
    <w:uiPriority w:val="0"/>
    <w:pPr>
      <w:adjustRightInd w:val="0"/>
      <w:snapToGrid w:val="0"/>
      <w:spacing w:after="0" w:line="240" w:lineRule="auto"/>
    </w:pPr>
    <w:rPr>
      <w:szCs w:val="20"/>
    </w:rPr>
  </w:style>
  <w:style w:type="paragraph" w:customStyle="1" w:styleId="3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8"/>
    <w:autoRedefine/>
    <w:qFormat/>
    <w:uiPriority w:val="0"/>
    <w:pPr>
      <w:spacing w:line="240" w:lineRule="auto"/>
      <w:ind w:firstLine="0" w:firstLineChars="0"/>
    </w:pPr>
    <w:rPr>
      <w:rFonts w:cs="宋体"/>
      <w:szCs w:val="20"/>
    </w:rPr>
  </w:style>
  <w:style w:type="paragraph" w:customStyle="1" w:styleId="376">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autoRedefine/>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5"/>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autoRedefine/>
    <w:qFormat/>
    <w:uiPriority w:val="0"/>
    <w:pPr>
      <w:jc w:val="center"/>
    </w:pPr>
    <w:rPr>
      <w:rFonts w:ascii="Arial" w:hAnsi="Arial" w:eastAsia="黑体"/>
      <w:b/>
    </w:rPr>
  </w:style>
  <w:style w:type="paragraph" w:customStyle="1" w:styleId="38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autoRedefine/>
    <w:qFormat/>
    <w:uiPriority w:val="0"/>
    <w:rPr>
      <w:rFonts w:ascii="宋体" w:hAnsi="Courier New" w:eastAsia="宋体"/>
      <w:sz w:val="24"/>
      <w:szCs w:val="24"/>
    </w:rPr>
  </w:style>
  <w:style w:type="character" w:customStyle="1" w:styleId="386">
    <w:name w:val="纯文本 字符"/>
    <w:autoRedefine/>
    <w:qFormat/>
    <w:uiPriority w:val="0"/>
    <w:rPr>
      <w:rFonts w:ascii="宋体" w:hAnsi="Courier New"/>
      <w:sz w:val="24"/>
      <w:szCs w:val="24"/>
    </w:rPr>
  </w:style>
  <w:style w:type="character" w:customStyle="1" w:styleId="387">
    <w:name w:val="正文文本缩进 字符"/>
    <w:autoRedefine/>
    <w:qFormat/>
    <w:uiPriority w:val="0"/>
    <w:rPr>
      <w:rFonts w:ascii="宋体" w:hAnsi="Courier New"/>
      <w:spacing w:val="-4"/>
      <w:sz w:val="18"/>
    </w:rPr>
  </w:style>
  <w:style w:type="character" w:customStyle="1" w:styleId="388">
    <w:name w:val="纯文本 字符1"/>
    <w:autoRedefine/>
    <w:semiHidden/>
    <w:qFormat/>
    <w:locked/>
    <w:uiPriority w:val="0"/>
    <w:rPr>
      <w:rFonts w:ascii="宋体" w:hAnsi="Courier New"/>
      <w:sz w:val="24"/>
      <w:szCs w:val="24"/>
    </w:rPr>
  </w:style>
  <w:style w:type="character" w:customStyle="1" w:styleId="389">
    <w:name w:val="未处理的提及"/>
    <w:autoRedefine/>
    <w:unhideWhenUsed/>
    <w:qFormat/>
    <w:uiPriority w:val="99"/>
    <w:rPr>
      <w:color w:val="605E5C"/>
      <w:shd w:val="clear" w:color="auto" w:fill="E1DFDD"/>
    </w:rPr>
  </w:style>
  <w:style w:type="table" w:customStyle="1" w:styleId="390">
    <w:name w:val="网格型1"/>
    <w:basedOn w:val="4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1">
    <w:name w:val="正文缩进 字符"/>
    <w:autoRedefine/>
    <w:qFormat/>
    <w:uiPriority w:val="0"/>
    <w:rPr>
      <w:rFonts w:eastAsia="宋体"/>
    </w:rPr>
  </w:style>
  <w:style w:type="character" w:customStyle="1" w:styleId="392">
    <w:name w:val="正文文本 字符"/>
    <w:autoRedefine/>
    <w:qFormat/>
    <w:uiPriority w:val="0"/>
    <w:rPr>
      <w:rFonts w:ascii="Times New Roman" w:hAnsi="Times New Roman" w:eastAsia="宋体" w:cs="Times New Roman"/>
      <w:kern w:val="0"/>
      <w:sz w:val="28"/>
      <w:szCs w:val="24"/>
    </w:rPr>
  </w:style>
  <w:style w:type="character" w:customStyle="1" w:styleId="393">
    <w:name w:val="标题 1 字符"/>
    <w:autoRedefine/>
    <w:qFormat/>
    <w:uiPriority w:val="9"/>
    <w:rPr>
      <w:b/>
      <w:bCs/>
      <w:kern w:val="44"/>
      <w:sz w:val="30"/>
      <w:szCs w:val="44"/>
    </w:rPr>
  </w:style>
  <w:style w:type="paragraph" w:customStyle="1" w:styleId="394">
    <w:name w:val="无间隔1"/>
    <w:autoRedefine/>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30722</Words>
  <Characters>32248</Characters>
  <Lines>255</Lines>
  <Paragraphs>71</Paragraphs>
  <TotalTime>58</TotalTime>
  <ScaleCrop>false</ScaleCrop>
  <LinksUpToDate>false</LinksUpToDate>
  <CharactersWithSpaces>33662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2024-05-29T06:35:00Z</dcterms:created>
  <dc:creator>Sky123.Org</dc:creator>
  <cp:lastModifiedBy>lihongjian</cp:lastModifiedBy>
  <cp:lastPrinted>2024-05-31T09:31:00Z</cp:lastPrinted>
  <dcterms:modified xsi:type="dcterms:W3CDTF">2024-06-03T07:20:57Z</dcterms:modified>
  <dc:title>临海市政府采购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8A446C2A520A4966A4D9DA1BD821C979_13</vt:lpwstr>
  </property>
</Properties>
</file>