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2025年度巡防中队保安服务项目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HCZX-ZC-[2025]0324</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杭州市拱墅区人民政府上塘街道办事处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2025年度巡防中队保安服务项目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6</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HCZX-ZC-[2025]0324</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2025年度巡防中队保安服务项目 </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3960000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3960000</w:t>
      </w:r>
    </w:p>
    <w:p w14:paraId="6EC5DB8E">
      <w:pPr>
        <w:pStyle w:val="1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2025年度巡防中队保安服务项目 </w:t>
      </w:r>
      <w:r>
        <w:rPr>
          <w:rFonts w:hint="eastAsia" w:hAnsi="宋体" w:cs="宋体"/>
          <w:bCs/>
          <w:snapToGrid/>
          <w:color w:val="auto"/>
          <w:kern w:val="2"/>
          <w:sz w:val="24"/>
          <w:szCs w:val="24"/>
          <w:highlight w:val="none"/>
        </w:rPr>
        <w:t>主要内容：2025年度巡防中队保安服务项目。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9D52D25">
      <w:pPr>
        <w:pStyle w:val="17"/>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合同履约期限：合同签订后1年。</w:t>
      </w:r>
    </w:p>
    <w:p w14:paraId="07281B02">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具有公安部门颁发的有效期内的《保安服务许可证》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《保安服务管理条例》 </w:t>
      </w:r>
      <w:r>
        <w:rPr>
          <w:rFonts w:hint="eastAsia" w:ascii="宋体" w:hAnsi="宋体" w:cs="宋体"/>
          <w:color w:val="auto"/>
          <w:sz w:val="24"/>
          <w:highlight w:val="none"/>
        </w:rPr>
        <w:t>。</w:t>
      </w:r>
      <w:bookmarkStart w:id="522" w:name="_GoBack"/>
      <w:bookmarkEnd w:id="522"/>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rPr>
        <w:t>拱墅区沈半路3号</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项目联系人（询问）：林先生</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项目联系方式（询问）：0571-88872390</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质疑联系人：陈先生</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质疑联系方式：0571-88872326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322BDA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址：杭州市拱墅区彩云路105号锦盛大楼</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楼</w:t>
      </w:r>
    </w:p>
    <w:p w14:paraId="4E949C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00F335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赵佳阳</w:t>
      </w:r>
    </w:p>
    <w:p w14:paraId="1BB267E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15868898744</w:t>
      </w:r>
    </w:p>
    <w:p w14:paraId="44BADC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质疑联系人：孙杏花</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质疑联系方式：0571-87032325</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202</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年度大关街道平安巡防安保服务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b w:val="0"/>
                <w:bCs w:val="0"/>
                <w:color w:val="auto"/>
                <w:kern w:val="0"/>
                <w:sz w:val="24"/>
                <w:szCs w:val="24"/>
                <w:highlight w:val="none"/>
                <w:lang w:val="en-US" w:eastAsia="zh-CN" w:bidi="ar-SA"/>
              </w:rPr>
              <w:br w:type="textWrapping"/>
            </w:r>
            <w:r>
              <w:rPr>
                <w:rFonts w:hint="eastAsia" w:ascii="宋体" w:hAnsi="宋体" w:eastAsia="宋体" w:cs="宋体"/>
                <w:b/>
                <w:bCs/>
                <w:color w:val="auto"/>
                <w:kern w:val="0"/>
                <w:sz w:val="24"/>
                <w:szCs w:val="24"/>
                <w:highlight w:val="none"/>
                <w:lang w:val="en-US" w:eastAsia="zh-CN" w:bidi="ar-SA"/>
              </w:rPr>
              <w:t>（2）本项目为专门面向中小企业预留采购份额的采购项目。</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杭州市拱墅区彩云路105号锦盛大楼</w:t>
            </w:r>
            <w:r>
              <w:rPr>
                <w:rFonts w:hint="eastAsia" w:hAnsi="宋体" w:cs="宋体"/>
                <w:color w:val="auto"/>
                <w:sz w:val="24"/>
                <w:highlight w:val="none"/>
                <w:u w:val="single"/>
                <w:lang w:val="en-US" w:eastAsia="zh-CN"/>
              </w:rPr>
              <w:t>3</w:t>
            </w:r>
            <w:r>
              <w:rPr>
                <w:rFonts w:hint="eastAsia" w:hAnsi="宋体" w:cs="宋体"/>
                <w:color w:val="auto"/>
                <w:sz w:val="24"/>
                <w:highlight w:val="none"/>
                <w:u w:val="single"/>
              </w:rPr>
              <w:t xml:space="preserve">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赵佳阳 15868898744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3A08139">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采购代理服务费：中标人应在接到中标通知书后两个工作日内向采购代理机构支付采购代理服务费，采购代理服务费按人民币以中标金额为基数按（计价格[2002]1980号）标准</w:t>
            </w:r>
            <w:r>
              <w:rPr>
                <w:rFonts w:hint="eastAsia" w:cs="Arial" w:asciiTheme="minorEastAsia" w:hAnsiTheme="minorEastAsia" w:eastAsiaTheme="minorEastAsia"/>
                <w:color w:val="auto"/>
                <w:kern w:val="0"/>
                <w:sz w:val="24"/>
                <w:highlight w:val="none"/>
                <w:lang w:val="en-US" w:eastAsia="zh-CN"/>
              </w:rPr>
              <w:t>80%</w:t>
            </w:r>
            <w:r>
              <w:rPr>
                <w:rFonts w:hint="eastAsia" w:cs="Arial" w:asciiTheme="minorEastAsia" w:hAnsiTheme="minorEastAsia" w:eastAsiaTheme="minorEastAsia"/>
                <w:color w:val="auto"/>
                <w:kern w:val="0"/>
                <w:sz w:val="24"/>
                <w:highlight w:val="none"/>
              </w:rPr>
              <w:t>计取。采购代理服务费由中标单位支付，并以人民币方式支付。</w:t>
            </w:r>
          </w:p>
          <w:tbl>
            <w:tblPr>
              <w:tblStyle w:val="6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2B04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906803F">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金额（万元）</w:t>
                  </w:r>
                </w:p>
              </w:tc>
              <w:tc>
                <w:tcPr>
                  <w:tcW w:w="2943" w:type="dxa"/>
                  <w:vAlign w:val="center"/>
                </w:tcPr>
                <w:p w14:paraId="2FE97715">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费率</w:t>
                  </w:r>
                </w:p>
              </w:tc>
            </w:tr>
            <w:tr w14:paraId="173A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BF76799">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100以下部分</w:t>
                  </w:r>
                </w:p>
              </w:tc>
              <w:tc>
                <w:tcPr>
                  <w:tcW w:w="2943" w:type="dxa"/>
                  <w:vAlign w:val="center"/>
                </w:tcPr>
                <w:p w14:paraId="3DA19BA2">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1.5%</w:t>
                  </w:r>
                </w:p>
              </w:tc>
            </w:tr>
            <w:tr w14:paraId="14F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E7AB7F3">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100~500之间部分</w:t>
                  </w:r>
                </w:p>
              </w:tc>
              <w:tc>
                <w:tcPr>
                  <w:tcW w:w="2943" w:type="dxa"/>
                  <w:vAlign w:val="center"/>
                </w:tcPr>
                <w:p w14:paraId="3651B87F">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lang w:val="en-US" w:eastAsia="zh-CN"/>
                    </w:rPr>
                    <w:t>0.8</w:t>
                  </w:r>
                  <w:r>
                    <w:rPr>
                      <w:rFonts w:hint="eastAsia" w:hAnsi="宋体"/>
                      <w:color w:val="auto"/>
                      <w:sz w:val="24"/>
                      <w:szCs w:val="24"/>
                      <w:highlight w:val="none"/>
                    </w:rPr>
                    <w:t>%</w:t>
                  </w:r>
                </w:p>
              </w:tc>
            </w:tr>
            <w:tr w14:paraId="33ED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DF6D77C">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500~1000之间部分</w:t>
                  </w:r>
                </w:p>
              </w:tc>
              <w:tc>
                <w:tcPr>
                  <w:tcW w:w="2943" w:type="dxa"/>
                  <w:vAlign w:val="center"/>
                </w:tcPr>
                <w:p w14:paraId="5485D837">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45</w:t>
                  </w:r>
                  <w:r>
                    <w:rPr>
                      <w:rFonts w:hint="eastAsia" w:hAnsi="宋体"/>
                      <w:color w:val="auto"/>
                      <w:sz w:val="24"/>
                      <w:szCs w:val="24"/>
                      <w:highlight w:val="none"/>
                    </w:rPr>
                    <w:t>%</w:t>
                  </w:r>
                </w:p>
              </w:tc>
            </w:tr>
            <w:tr w14:paraId="4209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393177B">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1000-5000之间部分</w:t>
                  </w:r>
                </w:p>
              </w:tc>
              <w:tc>
                <w:tcPr>
                  <w:tcW w:w="2943" w:type="dxa"/>
                  <w:vAlign w:val="center"/>
                </w:tcPr>
                <w:p w14:paraId="226F0035">
                  <w:pPr>
                    <w:pStyle w:val="34"/>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25</w:t>
                  </w:r>
                  <w:r>
                    <w:rPr>
                      <w:rFonts w:hint="eastAsia" w:hAnsi="宋体"/>
                      <w:color w:val="auto"/>
                      <w:sz w:val="24"/>
                      <w:szCs w:val="24"/>
                      <w:highlight w:val="none"/>
                    </w:rPr>
                    <w:t>%</w:t>
                  </w:r>
                </w:p>
              </w:tc>
            </w:tr>
          </w:tbl>
          <w:p w14:paraId="42A1BE3F">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名    称：华诚工程咨询集团有限公司</w:t>
            </w:r>
          </w:p>
          <w:p w14:paraId="6325595E">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开户银行：上海浦东发展银行股份有限公司杭州和睦支行</w:t>
            </w:r>
          </w:p>
          <w:p w14:paraId="790D68F2">
            <w:pPr>
              <w:spacing w:line="360" w:lineRule="auto"/>
              <w:rPr>
                <w:rFonts w:hint="eastAsia" w:ascii="宋体" w:hAnsi="宋体" w:eastAsia="宋体" w:cs="宋体"/>
                <w:color w:val="auto"/>
                <w:kern w:val="0"/>
                <w:sz w:val="24"/>
                <w:highlight w:val="none"/>
                <w:lang w:val="en" w:eastAsia="zh-CN"/>
              </w:rPr>
            </w:pPr>
            <w:r>
              <w:rPr>
                <w:rFonts w:hint="eastAsia" w:cs="Arial" w:asciiTheme="minorEastAsia" w:hAnsiTheme="minorEastAsia" w:eastAsiaTheme="minorEastAsia"/>
                <w:color w:val="auto"/>
                <w:kern w:val="0"/>
                <w:sz w:val="24"/>
                <w:highlight w:val="none"/>
              </w:rPr>
              <w:t>账   号：95220078801100000315</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101"/>
      <w:bookmarkEnd w:id="16"/>
      <w:bookmarkStart w:id="17" w:name="_Hlt74729768"/>
      <w:bookmarkEnd w:id="17"/>
      <w:bookmarkStart w:id="18" w:name="_Hlt74707468"/>
      <w:bookmarkEnd w:id="18"/>
      <w:bookmarkStart w:id="19" w:name="_Hlt75236290"/>
      <w:bookmarkEnd w:id="19"/>
      <w:bookmarkStart w:id="20" w:name="_Hlt68057669"/>
      <w:bookmarkEnd w:id="20"/>
      <w:bookmarkStart w:id="21" w:name="_Hlt74730295"/>
      <w:bookmarkEnd w:id="21"/>
      <w:bookmarkStart w:id="22" w:name="_Hlt74714665"/>
      <w:bookmarkEnd w:id="22"/>
      <w:bookmarkStart w:id="23" w:name="_Hlt68403820"/>
      <w:bookmarkEnd w:id="23"/>
      <w:bookmarkStart w:id="24" w:name="_Hlt68072998"/>
      <w:bookmarkEnd w:id="24"/>
      <w:bookmarkStart w:id="25" w:name="_Hlt68073093"/>
      <w:bookmarkEnd w:id="25"/>
      <w:bookmarkStart w:id="26" w:name="_Hlt680729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225A00A">
      <w:pPr>
        <w:pStyle w:val="6"/>
        <w:bidi w:val="0"/>
        <w:rPr>
          <w:rFonts w:hint="eastAsia" w:ascii="宋体" w:hAnsi="宋体" w:eastAsia="宋体" w:cs="宋体"/>
          <w:sz w:val="24"/>
          <w:szCs w:val="24"/>
        </w:rPr>
      </w:pPr>
      <w:bookmarkStart w:id="28" w:name="_Toc437617083"/>
      <w:r>
        <w:rPr>
          <w:rFonts w:hint="eastAsia" w:ascii="宋体" w:hAnsi="宋体" w:eastAsia="宋体" w:cs="宋体"/>
          <w:sz w:val="24"/>
          <w:szCs w:val="24"/>
        </w:rPr>
        <w:t>一、采购内容</w:t>
      </w:r>
    </w:p>
    <w:p w14:paraId="27B47091">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1、本项目采购内容</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US" w:eastAsia="zh-CN"/>
        </w:rPr>
        <w:t>拱墅区上塘派出所巡防中队服务项目</w:t>
      </w:r>
      <w:r>
        <w:rPr>
          <w:rFonts w:hint="eastAsia" w:ascii="宋体" w:hAnsi="宋体" w:eastAsia="宋体" w:cs="宋体"/>
          <w:sz w:val="24"/>
          <w:szCs w:val="24"/>
          <w:highlight w:val="none"/>
        </w:rPr>
        <w:t>，为更好的做好社会治理工作，提升辖区</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治安环境，夯实治安管理力量，加大报案、巡逻、基础排查、矛盾化解、秩序维护、服务企业等多方面的工作力度。通过服务采购的形式，选定服务单位为采购单位提供一年相应</w:t>
      </w:r>
      <w:r>
        <w:rPr>
          <w:rFonts w:hint="eastAsia" w:ascii="宋体" w:hAnsi="宋体" w:eastAsia="宋体" w:cs="宋体"/>
          <w:sz w:val="24"/>
          <w:szCs w:val="24"/>
          <w:highlight w:val="none"/>
          <w:lang w:eastAsia="zh-CN"/>
        </w:rPr>
        <w:t>安全巡防</w:t>
      </w:r>
      <w:r>
        <w:rPr>
          <w:rFonts w:hint="eastAsia" w:ascii="宋体" w:hAnsi="宋体" w:eastAsia="宋体" w:cs="宋体"/>
          <w:sz w:val="24"/>
          <w:szCs w:val="24"/>
          <w:highlight w:val="none"/>
        </w:rPr>
        <w:t>服务。本项目须提供24小时不间断巡防服务。</w:t>
      </w:r>
    </w:p>
    <w:p w14:paraId="76000ACB">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工作时间由招标单位具体制定，服务外包人员必须服从招标单位指挥、管理和安排，服务外包人员工作期间必须穿戴统一执勤衣帽，佩戴工作证，遵守招标单位制定的工作纪律，接受招标单位督查考核；中标单位必须确定专人负责对服务外包人员的管理和督查，定期对服务外包人员的业务培训，确保服务外包人员工作稳定性</w:t>
      </w:r>
      <w:r>
        <w:rPr>
          <w:rFonts w:hint="eastAsia" w:ascii="宋体" w:hAnsi="宋体" w:eastAsia="宋体" w:cs="宋体"/>
          <w:sz w:val="24"/>
          <w:szCs w:val="24"/>
          <w:highlight w:val="none"/>
          <w:lang w:val="en-US" w:eastAsia="zh-CN"/>
        </w:rPr>
        <w:t>。</w:t>
      </w:r>
    </w:p>
    <w:p w14:paraId="3C91572A">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巡防服务范围投标单位须完全满足招标人的动态调整。</w:t>
      </w:r>
    </w:p>
    <w:p w14:paraId="7D6363D1">
      <w:pPr>
        <w:pStyle w:val="6"/>
        <w:bidi w:val="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岗位及职数配备要求</w:t>
      </w:r>
    </w:p>
    <w:p w14:paraId="5A7FC13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1、岗位及职数配备要求：本项目岗位数量</w:t>
      </w:r>
      <w:r>
        <w:rPr>
          <w:rFonts w:hint="eastAsia" w:ascii="宋体" w:hAnsi="宋体" w:eastAsia="宋体" w:cs="宋体"/>
          <w:bCs/>
          <w:sz w:val="24"/>
          <w:szCs w:val="24"/>
          <w:highlight w:val="none"/>
          <w:lang w:val="en-US" w:eastAsia="zh-CN"/>
        </w:rPr>
        <w:t>为60</w:t>
      </w:r>
      <w:r>
        <w:rPr>
          <w:rFonts w:hint="eastAsia" w:ascii="宋体" w:hAnsi="宋体" w:eastAsia="宋体" w:cs="宋体"/>
          <w:bCs/>
          <w:sz w:val="24"/>
          <w:szCs w:val="24"/>
          <w:highlight w:val="none"/>
        </w:rPr>
        <w:t>个，设置1名队长、</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名副队长，</w:t>
      </w:r>
      <w:r>
        <w:rPr>
          <w:rFonts w:hint="eastAsia" w:ascii="宋体" w:hAnsi="宋体" w:eastAsia="宋体" w:cs="宋体"/>
          <w:bCs/>
          <w:sz w:val="24"/>
          <w:szCs w:val="24"/>
          <w:highlight w:val="none"/>
          <w:lang w:val="en-US" w:eastAsia="zh-CN"/>
        </w:rPr>
        <w:t>两班两</w:t>
      </w:r>
      <w:r>
        <w:rPr>
          <w:rFonts w:hint="eastAsia" w:ascii="宋体" w:hAnsi="宋体" w:eastAsia="宋体" w:cs="宋体"/>
          <w:bCs/>
          <w:sz w:val="24"/>
          <w:szCs w:val="24"/>
          <w:highlight w:val="none"/>
        </w:rPr>
        <w:t>运转，</w:t>
      </w:r>
      <w:r>
        <w:rPr>
          <w:rFonts w:hint="eastAsia" w:ascii="宋体" w:hAnsi="宋体" w:eastAsia="宋体" w:cs="宋体"/>
          <w:bCs/>
          <w:sz w:val="24"/>
          <w:szCs w:val="24"/>
          <w:highlight w:val="none"/>
          <w:lang w:val="en-US" w:eastAsia="zh-CN"/>
        </w:rPr>
        <w:t>服务时间为每天24小时。</w:t>
      </w:r>
      <w:r>
        <w:rPr>
          <w:rFonts w:hint="eastAsia" w:ascii="宋体" w:hAnsi="宋体" w:eastAsia="宋体" w:cs="宋体"/>
          <w:bCs/>
          <w:sz w:val="24"/>
          <w:szCs w:val="24"/>
          <w:highlight w:val="none"/>
        </w:rPr>
        <w:t>要求每班必须至少有一人持有驾驶证</w:t>
      </w:r>
      <w:r>
        <w:rPr>
          <w:rFonts w:hint="eastAsia" w:ascii="宋体" w:hAnsi="宋体" w:eastAsia="宋体" w:cs="宋体"/>
          <w:bCs/>
          <w:sz w:val="24"/>
          <w:szCs w:val="24"/>
          <w:highlight w:val="none"/>
          <w:lang w:eastAsia="zh-CN"/>
        </w:rPr>
        <w:t>。</w:t>
      </w:r>
    </w:p>
    <w:p w14:paraId="71817D65">
      <w:pPr>
        <w:keepNext w:val="0"/>
        <w:keepLines w:val="0"/>
        <w:pageBreakBefore w:val="0"/>
        <w:kinsoku/>
        <w:wordWrap/>
        <w:overflowPunct/>
        <w:topLinePunct w:val="0"/>
        <w:bidi w:val="0"/>
        <w:adjustRightInd/>
        <w:snapToGrid/>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巡防</w:t>
      </w:r>
      <w:r>
        <w:rPr>
          <w:rFonts w:hint="eastAsia" w:ascii="宋体" w:hAnsi="宋体" w:eastAsia="宋体" w:cs="宋体"/>
          <w:bCs/>
          <w:sz w:val="24"/>
          <w:szCs w:val="24"/>
          <w:highlight w:val="none"/>
        </w:rPr>
        <w:t>人员配备要求：</w:t>
      </w:r>
    </w:p>
    <w:p w14:paraId="37E1233F">
      <w:pPr>
        <w:keepNext w:val="0"/>
        <w:keepLines w:val="0"/>
        <w:pageBreakBefore w:val="0"/>
        <w:widowControl/>
        <w:kinsoku/>
        <w:wordWrap/>
        <w:overflowPunct/>
        <w:topLinePunct w:val="0"/>
        <w:bidi w:val="0"/>
        <w:adjustRightInd/>
        <w:snapToGrid/>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（1）项目总负责人：</w:t>
      </w:r>
      <w:r>
        <w:rPr>
          <w:rFonts w:hint="eastAsia" w:ascii="宋体" w:hAnsi="宋体" w:eastAsia="宋体" w:cs="宋体"/>
          <w:bCs/>
          <w:sz w:val="24"/>
          <w:szCs w:val="24"/>
          <w:highlight w:val="none"/>
          <w:lang w:val="en-US" w:eastAsia="zh-CN"/>
        </w:rPr>
        <w:t>45</w:t>
      </w:r>
      <w:r>
        <w:rPr>
          <w:rFonts w:hint="eastAsia" w:ascii="宋体" w:hAnsi="宋体" w:eastAsia="宋体" w:cs="宋体"/>
          <w:bCs/>
          <w:sz w:val="24"/>
          <w:szCs w:val="24"/>
          <w:highlight w:val="none"/>
        </w:rPr>
        <w:t>周岁以下，有符合国家规定的上岗证，经严格政审，没有刑事犯罪记录，退伍军人优先</w:t>
      </w:r>
      <w:r>
        <w:rPr>
          <w:rFonts w:hint="eastAsia" w:ascii="宋体" w:hAnsi="宋体" w:eastAsia="宋体" w:cs="宋体"/>
          <w:bCs/>
          <w:sz w:val="24"/>
          <w:szCs w:val="24"/>
          <w:highlight w:val="none"/>
          <w:lang w:eastAsia="zh-CN"/>
        </w:rPr>
        <w:t>。</w:t>
      </w:r>
    </w:p>
    <w:p w14:paraId="40251948">
      <w:pPr>
        <w:keepNext w:val="0"/>
        <w:keepLines w:val="0"/>
        <w:pageBreakBefore w:val="0"/>
        <w:widowControl/>
        <w:kinsoku/>
        <w:wordWrap/>
        <w:overflowPunct/>
        <w:topLinePunct w:val="0"/>
        <w:bidi w:val="0"/>
        <w:adjustRightInd/>
        <w:snapToGrid/>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（2）其</w:t>
      </w:r>
      <w:r>
        <w:rPr>
          <w:rFonts w:hint="eastAsia" w:ascii="宋体" w:hAnsi="宋体" w:eastAsia="宋体" w:cs="宋体"/>
          <w:bCs/>
          <w:sz w:val="24"/>
          <w:szCs w:val="24"/>
          <w:highlight w:val="none"/>
          <w:lang w:eastAsia="zh-CN"/>
        </w:rPr>
        <w:t>他巡防</w:t>
      </w:r>
      <w:r>
        <w:rPr>
          <w:rFonts w:hint="eastAsia" w:ascii="宋体" w:hAnsi="宋体" w:eastAsia="宋体" w:cs="宋体"/>
          <w:bCs/>
          <w:sz w:val="24"/>
          <w:szCs w:val="24"/>
          <w:highlight w:val="none"/>
        </w:rPr>
        <w:t>人员：年龄需在</w:t>
      </w:r>
      <w:r>
        <w:rPr>
          <w:rFonts w:hint="eastAsia" w:ascii="宋体" w:hAnsi="宋体" w:eastAsia="宋体" w:cs="宋体"/>
          <w:bCs/>
          <w:sz w:val="24"/>
          <w:szCs w:val="24"/>
          <w:highlight w:val="none"/>
          <w:lang w:val="en-US" w:eastAsia="zh-CN"/>
        </w:rPr>
        <w:t>4</w:t>
      </w:r>
      <w:r>
        <w:rPr>
          <w:rFonts w:hint="eastAsia" w:ascii="宋体" w:hAnsi="宋体" w:cs="宋体"/>
          <w:bCs/>
          <w:sz w:val="24"/>
          <w:szCs w:val="24"/>
          <w:highlight w:val="none"/>
          <w:lang w:val="en-US" w:eastAsia="zh-CN"/>
        </w:rPr>
        <w:t>0</w:t>
      </w:r>
      <w:r>
        <w:rPr>
          <w:rFonts w:hint="eastAsia" w:ascii="宋体" w:hAnsi="宋体" w:eastAsia="宋体" w:cs="宋体"/>
          <w:bCs/>
          <w:sz w:val="24"/>
          <w:szCs w:val="24"/>
          <w:highlight w:val="none"/>
        </w:rPr>
        <w:t>周岁及以下，男性，身体健康，体质较好</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退伍军人优先。</w:t>
      </w:r>
    </w:p>
    <w:p w14:paraId="71317CB1">
      <w:pPr>
        <w:keepNext w:val="0"/>
        <w:keepLines w:val="0"/>
        <w:pageBreakBefore w:val="0"/>
        <w:widowControl/>
        <w:kinsoku/>
        <w:wordWrap/>
        <w:overflowPunct/>
        <w:topLinePunct w:val="0"/>
        <w:bidi w:val="0"/>
        <w:adjustRightInd/>
        <w:snapToGrid/>
        <w:spacing w:line="360" w:lineRule="auto"/>
        <w:ind w:firstLine="48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（3）持证要求：本项目的所有</w:t>
      </w:r>
      <w:r>
        <w:rPr>
          <w:rFonts w:hint="eastAsia" w:ascii="宋体" w:hAnsi="宋体" w:eastAsia="宋体" w:cs="宋体"/>
          <w:bCs/>
          <w:sz w:val="24"/>
          <w:szCs w:val="24"/>
          <w:highlight w:val="none"/>
          <w:lang w:eastAsia="zh-CN"/>
        </w:rPr>
        <w:t>巡防</w:t>
      </w:r>
      <w:r>
        <w:rPr>
          <w:rFonts w:hint="eastAsia" w:ascii="宋体" w:hAnsi="宋体" w:eastAsia="宋体" w:cs="宋体"/>
          <w:bCs/>
          <w:sz w:val="24"/>
          <w:szCs w:val="24"/>
          <w:highlight w:val="none"/>
        </w:rPr>
        <w:t>人员上岗时必须持有公安机关颁发的《保安员证》</w:t>
      </w:r>
      <w:r>
        <w:rPr>
          <w:rFonts w:hint="eastAsia" w:ascii="宋体" w:hAnsi="宋体" w:cs="宋体"/>
          <w:bCs/>
          <w:sz w:val="24"/>
          <w:szCs w:val="24"/>
          <w:highlight w:val="none"/>
          <w:lang w:val="en-US" w:eastAsia="zh-CN"/>
        </w:rPr>
        <w:t>或提供警综平台查询截图</w:t>
      </w:r>
      <w:r>
        <w:rPr>
          <w:rFonts w:hint="eastAsia" w:ascii="宋体" w:hAnsi="宋体" w:eastAsia="宋体" w:cs="宋体"/>
          <w:bCs/>
          <w:sz w:val="24"/>
          <w:szCs w:val="24"/>
          <w:highlight w:val="none"/>
        </w:rPr>
        <w:t>，持证上岗，统一着装，进场服务前由采购人统一审核</w:t>
      </w:r>
      <w:r>
        <w:rPr>
          <w:rFonts w:hint="eastAsia" w:ascii="宋体" w:hAnsi="宋体" w:eastAsia="宋体" w:cs="宋体"/>
          <w:bCs/>
          <w:sz w:val="24"/>
          <w:szCs w:val="24"/>
          <w:highlight w:val="none"/>
          <w:lang w:eastAsia="zh-CN"/>
        </w:rPr>
        <w:t>。</w:t>
      </w:r>
    </w:p>
    <w:p w14:paraId="474F99CA">
      <w:pPr>
        <w:keepNext w:val="0"/>
        <w:keepLines w:val="0"/>
        <w:pageBreakBefore w:val="0"/>
        <w:widowControl/>
        <w:kinsoku/>
        <w:wordWrap/>
        <w:overflowPunct/>
        <w:topLinePunct w:val="0"/>
        <w:bidi w:val="0"/>
        <w:adjustRightInd/>
        <w:snapToGrid/>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（4）素质要求：</w:t>
      </w:r>
      <w:r>
        <w:rPr>
          <w:rFonts w:hint="eastAsia" w:ascii="宋体" w:hAnsi="宋体" w:eastAsia="宋体" w:cs="宋体"/>
          <w:bCs/>
          <w:sz w:val="24"/>
          <w:szCs w:val="24"/>
          <w:highlight w:val="none"/>
          <w:lang w:eastAsia="zh-CN"/>
        </w:rPr>
        <w:t>巡防人员</w:t>
      </w:r>
      <w:r>
        <w:rPr>
          <w:rFonts w:hint="eastAsia" w:ascii="宋体" w:hAnsi="宋体" w:eastAsia="宋体" w:cs="宋体"/>
          <w:bCs/>
          <w:sz w:val="24"/>
          <w:szCs w:val="24"/>
          <w:highlight w:val="none"/>
        </w:rPr>
        <w:t>应当政治素质好、工作积极、热爱工作，负责所指定区域、部位、物品、人员的安全防范和安全处理工作。</w:t>
      </w:r>
    </w:p>
    <w:p w14:paraId="65B11793">
      <w:pPr>
        <w:keepNext w:val="0"/>
        <w:keepLines w:val="0"/>
        <w:pageBreakBefore w:val="0"/>
        <w:widowControl/>
        <w:kinsoku/>
        <w:wordWrap/>
        <w:overflowPunct/>
        <w:topLinePunct w:val="0"/>
        <w:bidi w:val="0"/>
        <w:adjustRightInd/>
        <w:snapToGrid/>
        <w:spacing w:line="360" w:lineRule="auto"/>
        <w:ind w:firstLine="48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巡防人员</w:t>
      </w:r>
      <w:r>
        <w:rPr>
          <w:rFonts w:hint="eastAsia" w:ascii="宋体" w:hAnsi="宋体" w:eastAsia="宋体" w:cs="宋体"/>
          <w:bCs/>
          <w:sz w:val="24"/>
          <w:szCs w:val="24"/>
          <w:highlight w:val="none"/>
        </w:rPr>
        <w:t>进驻</w:t>
      </w:r>
      <w:r>
        <w:rPr>
          <w:rFonts w:hint="eastAsia" w:ascii="宋体" w:hAnsi="宋体" w:eastAsia="宋体" w:cs="宋体"/>
          <w:bCs/>
          <w:sz w:val="24"/>
          <w:szCs w:val="24"/>
          <w:highlight w:val="none"/>
          <w:lang w:eastAsia="zh-CN"/>
        </w:rPr>
        <w:t>巡防区域工作</w:t>
      </w:r>
      <w:r>
        <w:rPr>
          <w:rFonts w:hint="eastAsia" w:ascii="宋体" w:hAnsi="宋体" w:eastAsia="宋体" w:cs="宋体"/>
          <w:bCs/>
          <w:sz w:val="24"/>
          <w:szCs w:val="24"/>
          <w:highlight w:val="none"/>
        </w:rPr>
        <w:t>后，必须服从采购人的安排和管理，严格遵守采购人有关规章制度并接受采购人领导和员工的监督，遵纪守法、着装整洁、礼貌待客、认真负责；在执勤时，必须按规定着装，佩戴标志，做到文明执勤，礼貌待人</w:t>
      </w:r>
      <w:r>
        <w:rPr>
          <w:rFonts w:hint="eastAsia" w:ascii="宋体" w:hAnsi="宋体" w:eastAsia="宋体" w:cs="宋体"/>
          <w:bCs/>
          <w:sz w:val="24"/>
          <w:szCs w:val="24"/>
          <w:highlight w:val="none"/>
          <w:lang w:eastAsia="zh-CN"/>
        </w:rPr>
        <w:t>。</w:t>
      </w:r>
    </w:p>
    <w:p w14:paraId="0AF05019">
      <w:pPr>
        <w:keepNext w:val="0"/>
        <w:keepLines w:val="0"/>
        <w:pageBreakBefore w:val="0"/>
        <w:widowControl/>
        <w:kinsoku/>
        <w:wordWrap/>
        <w:overflowPunct/>
        <w:topLinePunct w:val="0"/>
        <w:bidi w:val="0"/>
        <w:adjustRightInd/>
        <w:snapToGrid/>
        <w:spacing w:line="360" w:lineRule="auto"/>
        <w:ind w:firstLine="48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（5）仪容仪表和执勤规范：</w:t>
      </w:r>
      <w:r>
        <w:rPr>
          <w:rFonts w:hint="eastAsia" w:ascii="宋体" w:hAnsi="宋体" w:eastAsia="宋体" w:cs="宋体"/>
          <w:bCs/>
          <w:sz w:val="24"/>
          <w:szCs w:val="24"/>
          <w:highlight w:val="none"/>
          <w:lang w:eastAsia="zh-CN"/>
        </w:rPr>
        <w:t>巡防人员</w:t>
      </w:r>
      <w:r>
        <w:rPr>
          <w:rFonts w:hint="eastAsia" w:ascii="宋体" w:hAnsi="宋体" w:eastAsia="宋体" w:cs="宋体"/>
          <w:bCs/>
          <w:sz w:val="24"/>
          <w:szCs w:val="24"/>
          <w:highlight w:val="none"/>
        </w:rPr>
        <w:t>应衣冠整洁，佩工作</w:t>
      </w:r>
      <w:r>
        <w:rPr>
          <w:rFonts w:hint="eastAsia" w:ascii="宋体" w:hAnsi="宋体" w:eastAsia="宋体" w:cs="宋体"/>
          <w:bCs/>
          <w:sz w:val="24"/>
          <w:szCs w:val="24"/>
          <w:highlight w:val="none"/>
          <w:lang w:val="en-US" w:eastAsia="zh-CN"/>
        </w:rPr>
        <w:t>标识</w:t>
      </w:r>
      <w:r>
        <w:rPr>
          <w:rFonts w:hint="eastAsia" w:ascii="宋体" w:hAnsi="宋体" w:eastAsia="宋体" w:cs="宋体"/>
          <w:bCs/>
          <w:sz w:val="24"/>
          <w:szCs w:val="24"/>
          <w:highlight w:val="none"/>
        </w:rPr>
        <w:t>；坚守工作岗位，提高警惕，严防犯罪分子从事破坏活动，保证人身安全；认真做好防火防盗工作，发现不安全因素立即查明原因，尽快排除险情并及时向采购人汇报；认真做好各类台账记录，严格履行交接班制度</w:t>
      </w:r>
      <w:r>
        <w:rPr>
          <w:rFonts w:hint="eastAsia" w:ascii="宋体" w:hAnsi="宋体" w:eastAsia="宋体" w:cs="宋体"/>
          <w:bCs/>
          <w:sz w:val="24"/>
          <w:szCs w:val="24"/>
          <w:highlight w:val="none"/>
          <w:lang w:eastAsia="zh-CN"/>
        </w:rPr>
        <w:t>。</w:t>
      </w:r>
    </w:p>
    <w:p w14:paraId="63F83C1B">
      <w:pPr>
        <w:keepNext w:val="0"/>
        <w:keepLines w:val="0"/>
        <w:pageBreakBefore w:val="0"/>
        <w:kinsoku/>
        <w:wordWrap/>
        <w:overflowPunct/>
        <w:topLinePunct w:val="0"/>
        <w:bidi w:val="0"/>
        <w:adjustRightInd/>
        <w:snapToGrid/>
        <w:spacing w:line="360" w:lineRule="auto"/>
        <w:ind w:firstLine="482"/>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（6）中标单位须在</w:t>
      </w:r>
      <w:r>
        <w:rPr>
          <w:rFonts w:hint="eastAsia" w:ascii="宋体" w:hAnsi="宋体" w:eastAsia="宋体" w:cs="宋体"/>
          <w:b/>
          <w:sz w:val="24"/>
          <w:szCs w:val="24"/>
          <w:highlight w:val="none"/>
          <w:lang w:eastAsia="zh-CN"/>
        </w:rPr>
        <w:t>合同签订</w:t>
      </w:r>
      <w:r>
        <w:rPr>
          <w:rFonts w:hint="eastAsia" w:ascii="宋体" w:hAnsi="宋体" w:eastAsia="宋体" w:cs="宋体"/>
          <w:b/>
          <w:sz w:val="24"/>
          <w:szCs w:val="24"/>
          <w:highlight w:val="none"/>
        </w:rPr>
        <w:t>后7个工作日内提交拟派保安人员清单交于采购人审阅，超出时间按照违约处理；按对应岗位向采购人提交应派遣的保安员信息资料（保安员信息应具备保安员基本身份信息、《保安职业资格证》或《保安员上岗证》证书编号、拟派驻岗位等），否则视为中标人未能</w:t>
      </w:r>
      <w:r>
        <w:rPr>
          <w:rFonts w:hint="eastAsia" w:ascii="宋体" w:hAnsi="宋体" w:eastAsia="宋体" w:cs="宋体"/>
          <w:b/>
          <w:sz w:val="24"/>
          <w:szCs w:val="24"/>
          <w:highlight w:val="none"/>
          <w:lang w:eastAsia="zh-CN"/>
        </w:rPr>
        <w:t>履行</w:t>
      </w:r>
      <w:r>
        <w:rPr>
          <w:rFonts w:hint="eastAsia" w:ascii="宋体" w:hAnsi="宋体" w:eastAsia="宋体" w:cs="宋体"/>
          <w:b/>
          <w:sz w:val="24"/>
          <w:szCs w:val="24"/>
          <w:highlight w:val="none"/>
        </w:rPr>
        <w:t>招标文件要求，取消中标资格。</w:t>
      </w:r>
    </w:p>
    <w:p w14:paraId="324886CB">
      <w:pPr>
        <w:pStyle w:val="6"/>
        <w:bidi w:val="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具体服务内容、职责等</w:t>
      </w:r>
    </w:p>
    <w:p w14:paraId="391B64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服务范围及工作要求：</w:t>
      </w:r>
    </w:p>
    <w:p w14:paraId="643394E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eastAsia="zh-CN"/>
        </w:rPr>
        <w:t>协助</w:t>
      </w:r>
      <w:r>
        <w:rPr>
          <w:rFonts w:hint="eastAsia" w:ascii="宋体" w:hAnsi="宋体" w:eastAsia="宋体" w:cs="宋体"/>
          <w:sz w:val="24"/>
          <w:szCs w:val="24"/>
          <w:lang w:val="en-US" w:eastAsia="zh-CN"/>
        </w:rPr>
        <w:t>上塘街道</w:t>
      </w:r>
      <w:r>
        <w:rPr>
          <w:rFonts w:hint="eastAsia" w:ascii="宋体" w:hAnsi="宋体" w:eastAsia="宋体" w:cs="宋体"/>
          <w:sz w:val="24"/>
          <w:szCs w:val="24"/>
          <w:lang w:eastAsia="zh-CN"/>
        </w:rPr>
        <w:t>对辖区内的</w:t>
      </w:r>
      <w:r>
        <w:rPr>
          <w:rFonts w:hint="eastAsia" w:ascii="宋体" w:hAnsi="宋体" w:eastAsia="宋体" w:cs="宋体"/>
          <w:sz w:val="24"/>
          <w:szCs w:val="24"/>
          <w:lang w:val="en-US" w:eastAsia="zh-CN"/>
        </w:rPr>
        <w:t>非法运营进行管控</w:t>
      </w:r>
      <w:r>
        <w:rPr>
          <w:rFonts w:hint="eastAsia" w:ascii="宋体" w:hAnsi="宋体" w:eastAsia="宋体" w:cs="宋体"/>
          <w:sz w:val="24"/>
          <w:szCs w:val="24"/>
          <w:lang w:eastAsia="zh-CN"/>
        </w:rPr>
        <w:t>，有效维护辖区内的</w:t>
      </w:r>
      <w:r>
        <w:rPr>
          <w:rFonts w:hint="eastAsia" w:ascii="宋体" w:hAnsi="宋体" w:eastAsia="宋体" w:cs="宋体"/>
          <w:sz w:val="24"/>
          <w:szCs w:val="24"/>
          <w:lang w:val="en-US" w:eastAsia="zh-CN"/>
        </w:rPr>
        <w:t>客运市场秩序</w:t>
      </w:r>
      <w:r>
        <w:rPr>
          <w:rFonts w:hint="eastAsia" w:ascii="宋体" w:hAnsi="宋体" w:eastAsia="宋体" w:cs="宋体"/>
          <w:sz w:val="24"/>
          <w:szCs w:val="24"/>
          <w:lang w:eastAsia="zh-CN"/>
        </w:rPr>
        <w:t>；</w:t>
      </w:r>
    </w:p>
    <w:p w14:paraId="172EA8F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lang w:eastAsia="zh-CN"/>
        </w:rPr>
        <w:t>协助上塘街道加强对重点区域、重点部位的</w:t>
      </w:r>
      <w:r>
        <w:rPr>
          <w:rFonts w:hint="eastAsia" w:ascii="宋体" w:hAnsi="宋体" w:eastAsia="宋体" w:cs="宋体"/>
          <w:sz w:val="24"/>
          <w:szCs w:val="24"/>
          <w:lang w:val="en-US" w:eastAsia="zh-CN"/>
        </w:rPr>
        <w:t>序化维护</w:t>
      </w:r>
      <w:r>
        <w:rPr>
          <w:rFonts w:hint="eastAsia" w:ascii="宋体" w:hAnsi="宋体" w:eastAsia="宋体" w:cs="宋体"/>
          <w:sz w:val="24"/>
          <w:szCs w:val="24"/>
          <w:lang w:eastAsia="zh-CN"/>
        </w:rPr>
        <w:t>值守；</w:t>
      </w:r>
    </w:p>
    <w:p w14:paraId="2561594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(3)</w:t>
      </w:r>
      <w:r>
        <w:rPr>
          <w:rFonts w:hint="eastAsia" w:ascii="宋体" w:hAnsi="宋体" w:eastAsia="宋体" w:cs="宋体"/>
          <w:sz w:val="24"/>
          <w:szCs w:val="24"/>
          <w:lang w:eastAsia="zh-CN"/>
        </w:rPr>
        <w:t>协助上塘街道开展安全防范的宣传教育，努力提高辖区内广大群众的靓城行动意识和</w:t>
      </w:r>
      <w:r>
        <w:rPr>
          <w:rFonts w:hint="eastAsia" w:ascii="宋体" w:hAnsi="宋体" w:eastAsia="宋体" w:cs="宋体"/>
          <w:sz w:val="24"/>
          <w:szCs w:val="24"/>
        </w:rPr>
        <w:t>自我安全防范意识与能力。</w:t>
      </w:r>
    </w:p>
    <w:p w14:paraId="4996A5F2">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eastAsia="zh-CN"/>
        </w:rPr>
        <w:t>(4)协助开展辖区内重点单位、重点物品的治安安全、消防安全巡查，及时发现各类不稳定因素及安全隐患，积极督促相关单位、人员开展整改，并将相关信息报送综治。</w:t>
      </w:r>
    </w:p>
    <w:p w14:paraId="41EE262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(5)协助开展辖区内重点对象、重点场所的安全监管；</w:t>
      </w:r>
    </w:p>
    <w:p w14:paraId="2356388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(6)协助开展对各类社会治安矛盾纠纷的化解；</w:t>
      </w:r>
    </w:p>
    <w:p w14:paraId="68256A4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rPr>
        <w:t>(7)对相关警情、突发性案（事）件进行应急响应；</w:t>
      </w:r>
    </w:p>
    <w:p w14:paraId="5085FD5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协助上塘街道开展辖区内重点</w:t>
      </w:r>
      <w:r>
        <w:rPr>
          <w:rFonts w:hint="eastAsia" w:ascii="宋体" w:hAnsi="宋体" w:eastAsia="宋体" w:cs="宋体"/>
          <w:sz w:val="24"/>
          <w:szCs w:val="24"/>
          <w:lang w:val="en-US" w:eastAsia="zh-CN"/>
        </w:rPr>
        <w:t>路段进行巡查</w:t>
      </w:r>
      <w:r>
        <w:rPr>
          <w:rFonts w:hint="eastAsia" w:ascii="宋体" w:hAnsi="宋体" w:eastAsia="宋体" w:cs="宋体"/>
          <w:sz w:val="24"/>
          <w:szCs w:val="24"/>
          <w:lang w:eastAsia="zh-CN"/>
        </w:rPr>
        <w:t>，积极督促相关单位、人员开展整改，并将相关信息报送上塘街道；</w:t>
      </w:r>
    </w:p>
    <w:p w14:paraId="74939C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(9)</w:t>
      </w:r>
      <w:r>
        <w:rPr>
          <w:rFonts w:hint="eastAsia" w:ascii="宋体" w:hAnsi="宋体" w:eastAsia="宋体" w:cs="宋体"/>
          <w:sz w:val="24"/>
          <w:szCs w:val="24"/>
          <w:lang w:eastAsia="zh-CN"/>
        </w:rPr>
        <w:t>协助上塘街道开展重大活动、重大节日的安保工作，增强人民群众的安全感和满意度；</w:t>
      </w:r>
    </w:p>
    <w:p w14:paraId="054AB74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(10)</w:t>
      </w:r>
      <w:r>
        <w:rPr>
          <w:rFonts w:hint="eastAsia" w:ascii="宋体" w:hAnsi="宋体" w:eastAsia="宋体" w:cs="宋体"/>
          <w:sz w:val="24"/>
          <w:szCs w:val="24"/>
          <w:lang w:eastAsia="zh-CN"/>
        </w:rPr>
        <w:t>协助上塘街道加强</w:t>
      </w:r>
      <w:r>
        <w:rPr>
          <w:rFonts w:hint="eastAsia" w:ascii="宋体" w:hAnsi="宋体" w:eastAsia="宋体" w:cs="宋体"/>
          <w:sz w:val="24"/>
          <w:szCs w:val="24"/>
          <w:lang w:val="en-US" w:eastAsia="zh-CN"/>
        </w:rPr>
        <w:t>辖区的城市综合管理</w:t>
      </w:r>
      <w:r>
        <w:rPr>
          <w:rFonts w:hint="eastAsia" w:ascii="宋体" w:hAnsi="宋体" w:eastAsia="宋体" w:cs="宋体"/>
          <w:sz w:val="24"/>
          <w:szCs w:val="24"/>
          <w:lang w:eastAsia="zh-CN"/>
        </w:rPr>
        <w:t>；</w:t>
      </w:r>
    </w:p>
    <w:p w14:paraId="7E701C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 xml:space="preserve"> (11)</w:t>
      </w:r>
      <w:r>
        <w:rPr>
          <w:rFonts w:hint="eastAsia" w:ascii="宋体" w:hAnsi="宋体" w:eastAsia="宋体" w:cs="宋体"/>
          <w:sz w:val="24"/>
          <w:szCs w:val="24"/>
          <w:lang w:eastAsia="zh-CN"/>
        </w:rPr>
        <w:t>主动发现各类违法犯</w:t>
      </w:r>
      <w:r>
        <w:rPr>
          <w:rFonts w:hint="eastAsia" w:ascii="宋体" w:hAnsi="宋体" w:eastAsia="宋体" w:cs="宋体"/>
          <w:color w:val="auto"/>
          <w:sz w:val="24"/>
          <w:szCs w:val="24"/>
          <w:lang w:eastAsia="zh-CN"/>
        </w:rPr>
        <w:t>罪线索并及时报告上塘街道；</w:t>
      </w:r>
    </w:p>
    <w:p w14:paraId="2CF042F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(12)</w:t>
      </w:r>
      <w:r>
        <w:rPr>
          <w:rFonts w:hint="eastAsia" w:ascii="宋体" w:hAnsi="宋体" w:eastAsia="宋体" w:cs="宋体"/>
          <w:color w:val="auto"/>
          <w:sz w:val="24"/>
          <w:szCs w:val="24"/>
          <w:lang w:eastAsia="zh-CN"/>
        </w:rPr>
        <w:t>完成上塘街道交办的其他各类工作任务。</w:t>
      </w:r>
    </w:p>
    <w:p w14:paraId="0951DC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其他相关费用说明：</w:t>
      </w:r>
    </w:p>
    <w:p w14:paraId="7B07DF1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如遇特殊情况，</w:t>
      </w:r>
      <w:r>
        <w:rPr>
          <w:rFonts w:hint="eastAsia" w:ascii="宋体" w:hAnsi="宋体" w:eastAsia="宋体" w:cs="宋体"/>
          <w:sz w:val="24"/>
          <w:szCs w:val="24"/>
          <w:lang w:eastAsia="zh-CN"/>
        </w:rPr>
        <w:t>安保</w:t>
      </w:r>
      <w:r>
        <w:rPr>
          <w:rFonts w:hint="eastAsia" w:ascii="宋体" w:hAnsi="宋体" w:eastAsia="宋体" w:cs="宋体"/>
          <w:sz w:val="24"/>
          <w:szCs w:val="24"/>
        </w:rPr>
        <w:t>须按采购人需求进行加班，加班费在投标报价中自行考虑，中标后不作调整。</w:t>
      </w:r>
    </w:p>
    <w:p w14:paraId="5ED826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队员</w:t>
      </w:r>
      <w:r>
        <w:rPr>
          <w:rFonts w:hint="eastAsia" w:ascii="宋体" w:hAnsi="宋体" w:eastAsia="宋体" w:cs="宋体"/>
          <w:sz w:val="24"/>
          <w:szCs w:val="24"/>
        </w:rPr>
        <w:t>使用对讲通讯、巡视等设备均由中标单位自理，</w:t>
      </w:r>
      <w:r>
        <w:rPr>
          <w:rFonts w:hint="eastAsia" w:ascii="宋体" w:hAnsi="宋体" w:eastAsia="宋体" w:cs="宋体"/>
          <w:sz w:val="24"/>
          <w:szCs w:val="24"/>
          <w:lang w:eastAsia="zh-CN"/>
        </w:rPr>
        <w:t>安保</w:t>
      </w:r>
      <w:r>
        <w:rPr>
          <w:rFonts w:hint="eastAsia" w:ascii="宋体" w:hAnsi="宋体" w:eastAsia="宋体" w:cs="宋体"/>
          <w:sz w:val="24"/>
          <w:szCs w:val="24"/>
        </w:rPr>
        <w:t>服务管理中所需的物品（如低值易耗品、工具及相关设备）包含在中标价中，但要附有明细。</w:t>
      </w:r>
    </w:p>
    <w:p w14:paraId="5F518FE3">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其它临时性杂项服务极少，如采购人在日常工作时间搬运、看管物品，应急性地保障服务等，费用包含在中标价中。</w:t>
      </w:r>
    </w:p>
    <w:p w14:paraId="03374B47">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shd w:val="clear" w:color="auto" w:fill="FFFF00"/>
        </w:rPr>
      </w:pPr>
      <w:r>
        <w:rPr>
          <w:rFonts w:hint="eastAsia" w:ascii="宋体" w:hAnsi="宋体" w:eastAsia="宋体" w:cs="宋体"/>
          <w:bCs/>
          <w:sz w:val="24"/>
          <w:szCs w:val="24"/>
          <w:highlight w:val="none"/>
        </w:rPr>
        <w:t>（6）对每天巡逻情况要及时规范填写巡查记录表，拍摄、保存反映实际情况的照片、摄像等资料，及时将发现问题与处理情况录入表格，并做好归档工作。</w:t>
      </w:r>
    </w:p>
    <w:p w14:paraId="48BE6176">
      <w:pPr>
        <w:keepNext w:val="0"/>
        <w:keepLines w:val="0"/>
        <w:pageBreakBefore w:val="0"/>
        <w:numPr>
          <w:ilvl w:val="0"/>
          <w:numId w:val="0"/>
        </w:numPr>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3、其他相关费用说明</w:t>
      </w:r>
    </w:p>
    <w:p w14:paraId="3A9C2111">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（1）如遇特殊情况，安保须按采购人需求进行加班，加班费在投标报价中自行考虑，中标后不作调整。</w:t>
      </w:r>
    </w:p>
    <w:p w14:paraId="10732FA1">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（2）采购人可适当提供通讯电话线路，但电话月租和通话费由中标人自理。</w:t>
      </w:r>
    </w:p>
    <w:p w14:paraId="18850C67">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上述所有投入</w:t>
      </w:r>
      <w:r>
        <w:rPr>
          <w:rFonts w:hint="eastAsia" w:ascii="宋体" w:hAnsi="宋体" w:eastAsia="宋体" w:cs="宋体"/>
          <w:b w:val="0"/>
          <w:bCs/>
          <w:sz w:val="24"/>
          <w:szCs w:val="24"/>
          <w:highlight w:val="none"/>
          <w:lang w:val="en-US" w:eastAsia="zh-CN"/>
        </w:rPr>
        <w:t>设备均</w:t>
      </w:r>
      <w:r>
        <w:rPr>
          <w:rFonts w:hint="eastAsia" w:ascii="宋体" w:hAnsi="宋体" w:eastAsia="宋体" w:cs="宋体"/>
          <w:bCs/>
          <w:sz w:val="24"/>
          <w:szCs w:val="24"/>
          <w:highlight w:val="none"/>
        </w:rPr>
        <w:t>由中标单位</w:t>
      </w:r>
      <w:r>
        <w:rPr>
          <w:rFonts w:hint="eastAsia" w:ascii="宋体" w:hAnsi="宋体" w:eastAsia="宋体" w:cs="宋体"/>
          <w:bCs/>
          <w:sz w:val="24"/>
          <w:szCs w:val="24"/>
          <w:highlight w:val="none"/>
          <w:lang w:eastAsia="zh-CN"/>
        </w:rPr>
        <w:t>配备，使用费用包括总投标报价中</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服务</w:t>
      </w:r>
      <w:r>
        <w:rPr>
          <w:rFonts w:hint="eastAsia" w:ascii="宋体" w:hAnsi="宋体" w:eastAsia="宋体" w:cs="宋体"/>
          <w:bCs/>
          <w:sz w:val="24"/>
          <w:szCs w:val="24"/>
          <w:highlight w:val="none"/>
        </w:rPr>
        <w:t>管理中所需的物品（如</w:t>
      </w:r>
      <w:r>
        <w:rPr>
          <w:rFonts w:hint="eastAsia" w:ascii="宋体" w:hAnsi="宋体" w:eastAsia="宋体" w:cs="宋体"/>
          <w:bCs/>
          <w:sz w:val="24"/>
          <w:szCs w:val="24"/>
          <w:highlight w:val="none"/>
          <w:lang w:eastAsia="zh-CN"/>
        </w:rPr>
        <w:t>巡防人员</w:t>
      </w:r>
      <w:r>
        <w:rPr>
          <w:rFonts w:hint="eastAsia" w:ascii="宋体" w:hAnsi="宋体" w:eastAsia="宋体" w:cs="宋体"/>
          <w:bCs/>
          <w:sz w:val="24"/>
          <w:szCs w:val="24"/>
          <w:highlight w:val="none"/>
        </w:rPr>
        <w:t>服装需要与相统一、低值易耗品、</w:t>
      </w:r>
      <w:r>
        <w:rPr>
          <w:rFonts w:hint="eastAsia" w:ascii="宋体" w:hAnsi="宋体" w:eastAsia="宋体" w:cs="宋体"/>
          <w:bCs/>
          <w:sz w:val="24"/>
          <w:szCs w:val="24"/>
          <w:highlight w:val="none"/>
          <w:lang w:eastAsia="zh-CN"/>
        </w:rPr>
        <w:t>办公</w:t>
      </w:r>
      <w:r>
        <w:rPr>
          <w:rFonts w:hint="eastAsia" w:ascii="宋体" w:hAnsi="宋体" w:eastAsia="宋体" w:cs="宋体"/>
          <w:bCs/>
          <w:sz w:val="24"/>
          <w:szCs w:val="24"/>
          <w:highlight w:val="none"/>
        </w:rPr>
        <w:t>工具、及相关</w:t>
      </w:r>
      <w:r>
        <w:rPr>
          <w:rFonts w:hint="eastAsia" w:ascii="宋体" w:hAnsi="宋体" w:eastAsia="宋体" w:cs="宋体"/>
          <w:bCs/>
          <w:sz w:val="24"/>
          <w:szCs w:val="24"/>
          <w:highlight w:val="none"/>
          <w:lang w:eastAsia="zh-CN"/>
        </w:rPr>
        <w:t>专业设备</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、管理费用</w:t>
      </w:r>
      <w:r>
        <w:rPr>
          <w:rFonts w:hint="eastAsia" w:ascii="宋体" w:hAnsi="宋体" w:eastAsia="宋体" w:cs="宋体"/>
          <w:bCs/>
          <w:sz w:val="24"/>
          <w:szCs w:val="24"/>
          <w:highlight w:val="none"/>
        </w:rPr>
        <w:t>包含在中标价中。</w:t>
      </w:r>
    </w:p>
    <w:p w14:paraId="569B3133">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本项目涉及</w:t>
      </w:r>
      <w:r>
        <w:rPr>
          <w:rFonts w:hint="eastAsia" w:ascii="宋体" w:hAnsi="宋体" w:eastAsia="宋体" w:cs="宋体"/>
          <w:bCs/>
          <w:sz w:val="24"/>
          <w:szCs w:val="24"/>
          <w:highlight w:val="none"/>
        </w:rPr>
        <w:t>其它临时性杂项服务</w:t>
      </w:r>
      <w:r>
        <w:rPr>
          <w:rFonts w:hint="eastAsia" w:ascii="宋体" w:hAnsi="宋体" w:eastAsia="宋体" w:cs="宋体"/>
          <w:bCs/>
          <w:sz w:val="24"/>
          <w:szCs w:val="24"/>
          <w:highlight w:val="none"/>
          <w:lang w:eastAsia="zh-CN"/>
        </w:rPr>
        <w:t>（较少）</w:t>
      </w:r>
      <w:r>
        <w:rPr>
          <w:rFonts w:hint="eastAsia" w:ascii="宋体" w:hAnsi="宋体" w:eastAsia="宋体" w:cs="宋体"/>
          <w:bCs/>
          <w:sz w:val="24"/>
          <w:szCs w:val="24"/>
          <w:highlight w:val="none"/>
        </w:rPr>
        <w:t>，如采购人在日常工作时间搬运、看管物品，应急性地保障服务等，费用包含在中标价中。</w:t>
      </w:r>
    </w:p>
    <w:p w14:paraId="54E015EA">
      <w:pPr>
        <w:pStyle w:val="6"/>
        <w:bidi w:val="0"/>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、服务期限和服务质量要求</w:t>
      </w:r>
    </w:p>
    <w:p w14:paraId="7ABC5F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1、服务期限：</w:t>
      </w:r>
      <w:r>
        <w:rPr>
          <w:rFonts w:hint="eastAsia" w:ascii="宋体" w:hAnsi="宋体" w:eastAsia="宋体" w:cs="宋体"/>
          <w:b/>
          <w:bCs/>
          <w:sz w:val="24"/>
          <w:szCs w:val="24"/>
          <w:highlight w:val="none"/>
        </w:rPr>
        <w:t>合同期为</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个月。</w:t>
      </w:r>
      <w:r>
        <w:rPr>
          <w:rFonts w:hint="eastAsia" w:ascii="宋体" w:hAnsi="宋体" w:eastAsia="宋体" w:cs="宋体"/>
          <w:b w:val="0"/>
          <w:bCs w:val="0"/>
          <w:sz w:val="24"/>
          <w:szCs w:val="24"/>
          <w:highlight w:val="none"/>
          <w:lang w:val="zh-CN"/>
        </w:rPr>
        <w:t>若在合同期内乙方有不配合采购方工作等严重违约行为或连续三个季度考核不合格的，采购方有权提前终止合同，由此造成的一切后果和损失由中标方承担。</w:t>
      </w:r>
    </w:p>
    <w:p w14:paraId="2645C4D1">
      <w:pPr>
        <w:keepNext w:val="0"/>
        <w:keepLines w:val="0"/>
        <w:pageBreakBefore w:val="0"/>
        <w:widowControl w:val="0"/>
        <w:kinsoku/>
        <w:wordWrap/>
        <w:overflowPunct/>
        <w:topLinePunct w:val="0"/>
        <w:bidi w:val="0"/>
        <w:snapToGrid/>
        <w:spacing w:line="360" w:lineRule="auto"/>
        <w:ind w:firstLine="4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2、服务期限内的服务质量要求：服务期内中标单位的巡防队队伍自身出现了问题，如缺岗、离岗、</w:t>
      </w:r>
      <w:r>
        <w:rPr>
          <w:rFonts w:hint="eastAsia" w:ascii="宋体" w:hAnsi="宋体" w:eastAsia="宋体" w:cs="宋体"/>
          <w:bCs/>
          <w:sz w:val="24"/>
          <w:szCs w:val="24"/>
          <w:highlight w:val="none"/>
          <w:lang w:val="en-US" w:eastAsia="zh-CN"/>
        </w:rPr>
        <w:t>工作期间与其他</w:t>
      </w:r>
      <w:r>
        <w:rPr>
          <w:rFonts w:hint="eastAsia" w:ascii="宋体" w:hAnsi="宋体" w:eastAsia="宋体" w:cs="宋体"/>
          <w:bCs/>
          <w:sz w:val="24"/>
          <w:szCs w:val="24"/>
          <w:highlight w:val="none"/>
        </w:rPr>
        <w:t>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56E80304">
      <w:pPr>
        <w:pStyle w:val="6"/>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、其他要求</w:t>
      </w:r>
    </w:p>
    <w:p w14:paraId="6E2B043B">
      <w:pPr>
        <w:keepNext w:val="0"/>
        <w:keepLines w:val="0"/>
        <w:pageBreakBefore w:val="0"/>
        <w:widowControl w:val="0"/>
        <w:kinsoku/>
        <w:wordWrap/>
        <w:overflowPunct/>
        <w:topLinePunct w:val="0"/>
        <w:bidi w:val="0"/>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须在对采购人单位现场及周边环境进行现场踏勘，在全面了解的情况下编制科学合理、切实可行的组织实施计划以及具体的保障措施、工作程序及相应的管理及考核制度。</w:t>
      </w:r>
    </w:p>
    <w:p w14:paraId="789CB54C">
      <w:pPr>
        <w:keepNext w:val="0"/>
        <w:keepLines w:val="0"/>
        <w:pageBreakBefore w:val="0"/>
        <w:widowControl w:val="0"/>
        <w:kinsoku/>
        <w:wordWrap/>
        <w:overflowPunct/>
        <w:topLinePunct w:val="0"/>
        <w:bidi w:val="0"/>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及其指派的巡防人员须遵守相关保密法规。</w:t>
      </w:r>
    </w:p>
    <w:p w14:paraId="4DD531D0">
      <w:pPr>
        <w:keepNext w:val="0"/>
        <w:keepLines w:val="0"/>
        <w:pageBreakBefore w:val="0"/>
        <w:widowControl w:val="0"/>
        <w:kinsoku/>
        <w:wordWrap/>
        <w:overflowPunct/>
        <w:topLinePunct w:val="0"/>
        <w:bidi w:val="0"/>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须无条件撤换不合格（不称职）的巡防人员。</w:t>
      </w:r>
    </w:p>
    <w:p w14:paraId="5E83240E">
      <w:pPr>
        <w:keepNext w:val="0"/>
        <w:keepLines w:val="0"/>
        <w:pageBreakBefore w:val="0"/>
        <w:widowControl w:val="0"/>
        <w:kinsoku/>
        <w:wordWrap/>
        <w:overflowPunct/>
        <w:topLinePunct w:val="0"/>
        <w:bidi w:val="0"/>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须制定相关的消防应急预案、重大安全事故应急预案、自然灾害应急预案、突发事件应急预案等应急措施。</w:t>
      </w:r>
    </w:p>
    <w:p w14:paraId="0FF9E4F1">
      <w:pPr>
        <w:keepNext w:val="0"/>
        <w:keepLines w:val="0"/>
        <w:pageBreakBefore w:val="0"/>
        <w:widowControl w:val="0"/>
        <w:kinsoku/>
        <w:wordWrap/>
        <w:overflowPunct/>
        <w:topLinePunct w:val="0"/>
        <w:bidi w:val="0"/>
        <w:adjustRightInd/>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5、拟指派人员必须为供应商的聘用人员，并且与供应商签订有正式的劳动合同，并提供劳动合同复印件交采购人。</w:t>
      </w:r>
    </w:p>
    <w:p w14:paraId="2C4D0DBC">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6、巡防队人员薪酬标准按相关规定执行，</w:t>
      </w:r>
      <w:r>
        <w:rPr>
          <w:rFonts w:hint="eastAsia" w:ascii="宋体" w:hAnsi="宋体" w:eastAsia="宋体" w:cs="宋体"/>
          <w:sz w:val="24"/>
          <w:szCs w:val="24"/>
          <w:highlight w:val="none"/>
          <w:lang w:eastAsia="zh-CN"/>
        </w:rPr>
        <w:t>费用包括：</w:t>
      </w:r>
      <w:r>
        <w:rPr>
          <w:rFonts w:hint="eastAsia" w:ascii="宋体" w:hAnsi="宋体" w:eastAsia="宋体" w:cs="宋体"/>
          <w:sz w:val="24"/>
          <w:szCs w:val="24"/>
          <w:highlight w:val="none"/>
        </w:rPr>
        <w:t>人员工资费用（含法定节假日加班</w:t>
      </w:r>
      <w:r>
        <w:rPr>
          <w:rFonts w:hint="eastAsia" w:ascii="宋体" w:hAnsi="宋体" w:eastAsia="宋体" w:cs="宋体"/>
          <w:color w:val="000000" w:themeColor="text1"/>
          <w:sz w:val="24"/>
          <w:szCs w:val="24"/>
          <w:highlight w:val="none"/>
          <w14:textFill>
            <w14:solidFill>
              <w14:schemeClr w14:val="tx1"/>
            </w14:solidFill>
          </w14:textFill>
        </w:rPr>
        <w:t>费等）、</w:t>
      </w:r>
      <w:r>
        <w:rPr>
          <w:rFonts w:hint="eastAsia" w:ascii="宋体" w:hAnsi="宋体" w:eastAsia="宋体" w:cs="宋体"/>
          <w:color w:val="000000" w:themeColor="text1"/>
          <w:sz w:val="24"/>
          <w:szCs w:val="24"/>
          <w:highlight w:val="none"/>
          <w:lang w:eastAsia="zh-CN"/>
          <w14:textFill>
            <w14:solidFill>
              <w14:schemeClr w14:val="tx1"/>
            </w14:solidFill>
          </w14:textFill>
        </w:rPr>
        <w:t>五险一金、</w:t>
      </w:r>
      <w:r>
        <w:rPr>
          <w:rFonts w:hint="eastAsia" w:ascii="宋体" w:hAnsi="宋体" w:eastAsia="宋体" w:cs="宋体"/>
          <w:color w:val="000000" w:themeColor="text1"/>
          <w:sz w:val="24"/>
          <w:szCs w:val="24"/>
          <w:highlight w:val="none"/>
          <w14:textFill>
            <w14:solidFill>
              <w14:schemeClr w14:val="tx1"/>
            </w14:solidFill>
          </w14:textFill>
        </w:rPr>
        <w:t>工伤意外等保险费用、巡防队队服等装备费用；管理费用由供应商根据企业自身实力，核算所需的成本及合理的利润，充分考虑合同期间的市场风险、人员增减、政策性调整及不可预见因素，</w:t>
      </w:r>
      <w:r>
        <w:rPr>
          <w:rFonts w:hint="eastAsia" w:ascii="宋体" w:hAnsi="宋体" w:eastAsia="宋体" w:cs="宋体"/>
          <w:color w:val="000000" w:themeColor="text1"/>
          <w:sz w:val="24"/>
          <w:szCs w:val="24"/>
          <w:highlight w:val="none"/>
          <w:lang w:eastAsia="zh-CN"/>
          <w14:textFill>
            <w14:solidFill>
              <w14:schemeClr w14:val="tx1"/>
            </w14:solidFill>
          </w14:textFill>
        </w:rPr>
        <w:t>并结合招标需求合理填报投标总价</w:t>
      </w:r>
      <w:r>
        <w:rPr>
          <w:rFonts w:hint="eastAsia" w:ascii="宋体" w:hAnsi="宋体" w:eastAsia="宋体" w:cs="宋体"/>
          <w:color w:val="000000" w:themeColor="text1"/>
          <w:sz w:val="24"/>
          <w:szCs w:val="24"/>
          <w:highlight w:val="none"/>
          <w14:textFill>
            <w14:solidFill>
              <w14:schemeClr w14:val="tx1"/>
            </w14:solidFill>
          </w14:textFill>
        </w:rPr>
        <w:t>。</w:t>
      </w:r>
    </w:p>
    <w:p w14:paraId="452723BB">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7、巡防队人员每月工资发放表由采购人审核，供应商需严格按照此表发放人员工资薪酬，不得苛扣工资，不得弄虚作假。</w:t>
      </w:r>
    </w:p>
    <w:p w14:paraId="764274B5">
      <w:pPr>
        <w:keepNext w:val="0"/>
        <w:keepLines w:val="0"/>
        <w:pageBreakBefore w:val="0"/>
        <w:widowControl w:val="0"/>
        <w:kinsoku/>
        <w:wordWrap/>
        <w:overflowPunct/>
        <w:topLinePunct w:val="0"/>
        <w:bidi w:val="0"/>
        <w:adjustRightInd/>
        <w:snapToGrid/>
        <w:spacing w:line="360" w:lineRule="auto"/>
        <w:ind w:firstLine="47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8、采购人不提供住宿用房。</w:t>
      </w:r>
    </w:p>
    <w:p w14:paraId="35D6A85E">
      <w:pPr>
        <w:pStyle w:val="3"/>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9、</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根据应急响应实时要求等进行无条件响应执行。</w:t>
      </w:r>
    </w:p>
    <w:p w14:paraId="3D9050BA">
      <w:pPr>
        <w:pStyle w:val="6"/>
        <w:bidi w:val="0"/>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、培训要求</w:t>
      </w:r>
    </w:p>
    <w:p w14:paraId="40CBFB60">
      <w:pPr>
        <w:keepNext w:val="0"/>
        <w:keepLines w:val="0"/>
        <w:pageBreakBefore w:val="0"/>
        <w:widowControl w:val="0"/>
        <w:numPr>
          <w:ilvl w:val="0"/>
          <w:numId w:val="0"/>
        </w:numPr>
        <w:kinsoku/>
        <w:wordWrap/>
        <w:overflowPunct/>
        <w:topLinePunct w:val="0"/>
        <w:bidi w:val="0"/>
        <w:adjustRightInd/>
        <w:snapToGrid/>
        <w:spacing w:line="360" w:lineRule="auto"/>
        <w:ind w:left="479"/>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中标单位</w:t>
      </w:r>
      <w:r>
        <w:rPr>
          <w:rFonts w:hint="eastAsia" w:ascii="宋体" w:hAnsi="宋体" w:eastAsia="宋体" w:cs="宋体"/>
          <w:bCs/>
          <w:color w:val="000000" w:themeColor="text1"/>
          <w:sz w:val="24"/>
          <w:szCs w:val="24"/>
          <w:highlight w:val="none"/>
          <w14:textFill>
            <w14:solidFill>
              <w14:schemeClr w14:val="tx1"/>
            </w14:solidFill>
          </w14:textFill>
        </w:rPr>
        <w:t>需进行完善的</w:t>
      </w:r>
      <w:r>
        <w:rPr>
          <w:rFonts w:hint="eastAsia" w:ascii="宋体" w:hAnsi="宋体" w:eastAsia="宋体" w:cs="宋体"/>
          <w:bCs/>
          <w:color w:val="000000" w:themeColor="text1"/>
          <w:sz w:val="24"/>
          <w:szCs w:val="24"/>
          <w:highlight w:val="none"/>
          <w:lang w:eastAsia="zh-CN"/>
          <w14:textFill>
            <w14:solidFill>
              <w14:schemeClr w14:val="tx1"/>
            </w14:solidFill>
          </w14:textFill>
        </w:rPr>
        <w:t>人员</w:t>
      </w:r>
      <w:r>
        <w:rPr>
          <w:rFonts w:hint="eastAsia" w:ascii="宋体" w:hAnsi="宋体" w:eastAsia="宋体" w:cs="宋体"/>
          <w:bCs/>
          <w:color w:val="000000" w:themeColor="text1"/>
          <w:sz w:val="24"/>
          <w:szCs w:val="24"/>
          <w:highlight w:val="none"/>
          <w14:textFill>
            <w14:solidFill>
              <w14:schemeClr w14:val="tx1"/>
            </w14:solidFill>
          </w14:textFill>
        </w:rPr>
        <w:t>培训后方可上岗，有详细的培训计划、内容、方案、时间</w:t>
      </w:r>
      <w:r>
        <w:rPr>
          <w:rFonts w:hint="eastAsia" w:ascii="宋体" w:hAnsi="宋体" w:eastAsia="宋体" w:cs="宋体"/>
          <w:bCs/>
          <w:color w:val="000000" w:themeColor="text1"/>
          <w:sz w:val="24"/>
          <w:szCs w:val="24"/>
          <w:highlight w:val="none"/>
          <w:lang w:eastAsia="zh-CN"/>
          <w14:textFill>
            <w14:solidFill>
              <w14:schemeClr w14:val="tx1"/>
            </w14:solidFill>
          </w14:textFill>
        </w:rPr>
        <w:t>节点</w:t>
      </w:r>
      <w:r>
        <w:rPr>
          <w:rFonts w:hint="eastAsia" w:ascii="宋体" w:hAnsi="宋体" w:eastAsia="宋体" w:cs="宋体"/>
          <w:bCs/>
          <w:color w:val="000000" w:themeColor="text1"/>
          <w:sz w:val="24"/>
          <w:szCs w:val="24"/>
          <w:highlight w:val="none"/>
          <w14:textFill>
            <w14:solidFill>
              <w14:schemeClr w14:val="tx1"/>
            </w14:solidFill>
          </w14:textFill>
        </w:rPr>
        <w:t>等。</w:t>
      </w:r>
    </w:p>
    <w:p w14:paraId="28B8ABC5">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每月组织安全培训和应急演练，不断提高专职巡防人员素质和处理突发安全</w:t>
      </w:r>
    </w:p>
    <w:p w14:paraId="50212C21">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事故的能力。</w:t>
      </w:r>
    </w:p>
    <w:p w14:paraId="721CA2A7">
      <w:pPr>
        <w:pStyle w:val="3"/>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3、根据采购单位要求进行相</w:t>
      </w:r>
      <w:r>
        <w:rPr>
          <w:rFonts w:hint="eastAsia" w:ascii="宋体" w:hAnsi="宋体" w:eastAsia="宋体" w:cs="宋体"/>
          <w:b w:val="0"/>
          <w:bCs/>
          <w:sz w:val="24"/>
          <w:szCs w:val="24"/>
          <w:highlight w:val="none"/>
          <w:lang w:val="en-US" w:eastAsia="zh-CN"/>
        </w:rPr>
        <w:t>关职业培训等。</w:t>
      </w:r>
    </w:p>
    <w:p w14:paraId="7E5C99D4">
      <w:pPr>
        <w:pStyle w:val="6"/>
        <w:bidi w:val="0"/>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、报价要求</w:t>
      </w:r>
    </w:p>
    <w:p w14:paraId="214D3E6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1、投标人应考虑企业自身实力、经验及项目实施过程中的各种因素，根据采购要求，详细说明所能提供的各项具体服务内容，自主确定报价，并按服务的内容分别独立报价并提供报价组成与成本分析。</w:t>
      </w:r>
    </w:p>
    <w:p w14:paraId="5B85508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的报价应包括为完成本项目服务可能发生的全部费用及投标人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投标人对合同内容的费用、质量、安全、文明服务等实行全面承包。</w:t>
      </w:r>
    </w:p>
    <w:p w14:paraId="1DA2EE1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人员综合费用应包含服务人员管理费、装备费（最终所有权归采购方）、四季服装费、社会保障费、工资奖金、住宿费、加班费、高温补贴、伙食补贴、各类社会保险、以及国家法律法规规定的劳动者福利待遇、企业税金利润等所有费用。为保证服务人员的稳定性，实际发放给服务人员个人的工资、奖金、福利、补贴、各类社会保险等。中标单位需按照采购人的需求制定服务人员的考核办法，以及加班费发放标准，具体标准参照采购人现有的编外人员管理办法。</w:t>
      </w:r>
    </w:p>
    <w:p w14:paraId="7D52C34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4、根据浙江省与杭州市相关文件规定，并结合本项目具体情况，投标人为服务人员缴纳基本社会保险，并承担企业承担部分（基本养老保险、基本医疗保险、失业保险、工伤保险、生育保险）。</w:t>
      </w:r>
    </w:p>
    <w:p w14:paraId="5C41DFE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5、中标单位须按相关规定给服务人员发放高温补贴、购买人身意外险等。</w:t>
      </w:r>
    </w:p>
    <w:p w14:paraId="57B0F3EC">
      <w:pPr>
        <w:pStyle w:val="6"/>
        <w:bidi w:val="0"/>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、商务要求表</w:t>
      </w:r>
    </w:p>
    <w:tbl>
      <w:tblPr>
        <w:tblStyle w:val="6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78"/>
        <w:gridCol w:w="7117"/>
      </w:tblGrid>
      <w:tr w14:paraId="528D9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5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14:paraId="70DA03A2">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4189" w:type="pct"/>
            <w:tcBorders>
              <w:top w:val="single" w:color="auto" w:sz="4" w:space="0"/>
              <w:left w:val="single" w:color="auto" w:sz="4" w:space="0"/>
              <w:bottom w:val="single" w:color="auto" w:sz="4" w:space="0"/>
              <w:right w:val="single" w:color="auto" w:sz="4" w:space="0"/>
            </w:tcBorders>
            <w:vAlign w:val="center"/>
          </w:tcPr>
          <w:p w14:paraId="133F7CE9">
            <w:pPr>
              <w:spacing w:line="480" w:lineRule="exact"/>
              <w:rPr>
                <w:rFonts w:hint="eastAsia" w:ascii="宋体" w:hAnsi="宋体" w:eastAsia="宋体" w:cs="宋体"/>
                <w:sz w:val="24"/>
                <w:szCs w:val="24"/>
              </w:rPr>
            </w:pPr>
            <w:r>
              <w:rPr>
                <w:rFonts w:hint="eastAsia" w:ascii="宋体" w:hAnsi="宋体" w:eastAsia="宋体" w:cs="宋体"/>
                <w:sz w:val="24"/>
                <w:szCs w:val="24"/>
              </w:rPr>
              <w:t>本项目投标限价为：</w:t>
            </w:r>
            <w:r>
              <w:rPr>
                <w:rFonts w:hint="eastAsia" w:ascii="宋体" w:hAnsi="宋体" w:eastAsia="宋体" w:cs="宋体"/>
                <w:sz w:val="24"/>
                <w:szCs w:val="24"/>
                <w:lang w:val="en-US" w:eastAsia="zh-CN"/>
              </w:rPr>
              <w:t>396</w:t>
            </w:r>
            <w:r>
              <w:rPr>
                <w:rFonts w:hint="eastAsia" w:ascii="宋体" w:hAnsi="宋体" w:eastAsia="宋体" w:cs="宋体"/>
                <w:sz w:val="24"/>
                <w:szCs w:val="24"/>
              </w:rPr>
              <w:t>万元人民币，超出此限价的投标报价无效。人员工资、福利待遇及社会保障费用不得低于杭州市政府及相关行业主管部门最新文件规定。供应商须自行考虑项目服务期内相关政策的调整，中标后总价不作调整。</w:t>
            </w:r>
          </w:p>
        </w:tc>
      </w:tr>
      <w:tr w14:paraId="40E96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14:paraId="6641EED8">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4189" w:type="pct"/>
            <w:tcBorders>
              <w:top w:val="single" w:color="auto" w:sz="4" w:space="0"/>
              <w:left w:val="single" w:color="auto" w:sz="4" w:space="0"/>
              <w:bottom w:val="single" w:color="auto" w:sz="4" w:space="0"/>
              <w:right w:val="single" w:color="auto" w:sz="4" w:space="0"/>
            </w:tcBorders>
            <w:vAlign w:val="center"/>
          </w:tcPr>
          <w:p w14:paraId="7C8EE81A">
            <w:pPr>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年。中标单位没有按合同规定服务，采购人有权终止合同，另行招标采购。</w:t>
            </w:r>
          </w:p>
        </w:tc>
      </w:tr>
      <w:tr w14:paraId="6B0BC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14:paraId="06837CB1">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189" w:type="pct"/>
            <w:tcBorders>
              <w:top w:val="single" w:color="auto" w:sz="4" w:space="0"/>
              <w:left w:val="single" w:color="auto" w:sz="4" w:space="0"/>
              <w:bottom w:val="single" w:color="auto" w:sz="4" w:space="0"/>
              <w:right w:val="single" w:color="auto" w:sz="4" w:space="0"/>
            </w:tcBorders>
            <w:vAlign w:val="center"/>
          </w:tcPr>
          <w:p w14:paraId="1E36E85C">
            <w:pPr>
              <w:spacing w:line="480" w:lineRule="exact"/>
              <w:rPr>
                <w:rFonts w:hint="eastAsia" w:ascii="宋体" w:hAnsi="宋体" w:eastAsia="宋体" w:cs="宋体"/>
                <w:sz w:val="24"/>
                <w:szCs w:val="24"/>
              </w:rPr>
            </w:pPr>
            <w:r>
              <w:rPr>
                <w:rFonts w:hint="eastAsia" w:ascii="宋体" w:hAnsi="宋体" w:eastAsia="宋体" w:cs="宋体"/>
                <w:sz w:val="24"/>
                <w:szCs w:val="24"/>
              </w:rPr>
              <w:t>1、合同签订且乙方提供发票后7个工作日内支付合同金额20%的预付</w:t>
            </w:r>
            <w:r>
              <w:rPr>
                <w:rFonts w:hint="eastAsia" w:ascii="宋体" w:hAnsi="宋体" w:eastAsia="宋体" w:cs="宋体"/>
                <w:sz w:val="24"/>
                <w:szCs w:val="24"/>
                <w:lang w:val="en-US" w:eastAsia="zh-CN"/>
              </w:rPr>
              <w:t>款</w:t>
            </w:r>
            <w:r>
              <w:rPr>
                <w:rFonts w:hint="eastAsia" w:ascii="宋体" w:hAnsi="宋体" w:eastAsia="宋体" w:cs="宋体"/>
                <w:sz w:val="24"/>
                <w:szCs w:val="24"/>
              </w:rPr>
              <w:t>。</w:t>
            </w:r>
          </w:p>
          <w:p w14:paraId="41EEED25">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剩余80%服务费每半年支付一次</w:t>
            </w:r>
            <w:r>
              <w:rPr>
                <w:rFonts w:hint="eastAsia" w:ascii="宋体" w:hAnsi="宋体" w:eastAsia="宋体" w:cs="宋体"/>
                <w:sz w:val="24"/>
                <w:szCs w:val="24"/>
              </w:rPr>
              <w:t>。付款前乙方应当提供相应的增值税发票，否则甲方有权拒付。</w:t>
            </w:r>
          </w:p>
        </w:tc>
      </w:tr>
      <w:tr w14:paraId="5797C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811" w:type="pct"/>
            <w:tcBorders>
              <w:top w:val="single" w:color="auto" w:sz="4" w:space="0"/>
              <w:left w:val="single" w:color="auto" w:sz="4" w:space="0"/>
              <w:bottom w:val="single" w:color="auto" w:sz="4" w:space="0"/>
              <w:right w:val="single" w:color="auto" w:sz="4" w:space="0"/>
            </w:tcBorders>
            <w:vAlign w:val="center"/>
          </w:tcPr>
          <w:p w14:paraId="0B6849B3">
            <w:pPr>
              <w:spacing w:line="480" w:lineRule="exact"/>
              <w:rPr>
                <w:rFonts w:hint="eastAsia" w:ascii="宋体" w:hAnsi="宋体" w:eastAsia="宋体" w:cs="宋体"/>
                <w:sz w:val="24"/>
                <w:szCs w:val="24"/>
              </w:rPr>
            </w:pPr>
            <w:r>
              <w:rPr>
                <w:rFonts w:hint="eastAsia" w:ascii="宋体" w:hAnsi="宋体" w:eastAsia="宋体" w:cs="宋体"/>
                <w:sz w:val="24"/>
                <w:szCs w:val="24"/>
              </w:rPr>
              <w:t>其他约定</w:t>
            </w:r>
          </w:p>
        </w:tc>
        <w:tc>
          <w:tcPr>
            <w:tcW w:w="4189" w:type="pct"/>
            <w:tcBorders>
              <w:top w:val="single" w:color="auto" w:sz="4" w:space="0"/>
              <w:left w:val="single" w:color="auto" w:sz="4" w:space="0"/>
              <w:bottom w:val="single" w:color="auto" w:sz="4" w:space="0"/>
              <w:right w:val="single" w:color="auto" w:sz="4" w:space="0"/>
            </w:tcBorders>
            <w:vAlign w:val="center"/>
          </w:tcPr>
          <w:p w14:paraId="18FBBA29">
            <w:pPr>
              <w:spacing w:line="480" w:lineRule="exact"/>
              <w:rPr>
                <w:rFonts w:hint="eastAsia" w:ascii="宋体" w:hAnsi="宋体" w:eastAsia="宋体" w:cs="宋体"/>
                <w:sz w:val="24"/>
                <w:szCs w:val="24"/>
              </w:rPr>
            </w:pPr>
            <w:r>
              <w:rPr>
                <w:rFonts w:hint="eastAsia" w:ascii="宋体" w:hAnsi="宋体" w:eastAsia="宋体" w:cs="宋体"/>
                <w:sz w:val="24"/>
                <w:szCs w:val="24"/>
              </w:rPr>
              <w:t>项目实施过程中发生的死亡、人身伤害、财产损失、损害以及任何其它损失、损害和引起的费用和开支，由供应商承担全部责任。</w:t>
            </w:r>
          </w:p>
        </w:tc>
      </w:tr>
    </w:tbl>
    <w:p w14:paraId="14760939">
      <w:pPr>
        <w:pStyle w:val="6"/>
        <w:bidi w:val="0"/>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、日常监督考核内容</w:t>
      </w:r>
    </w:p>
    <w:p w14:paraId="6DAFCB49">
      <w:pPr>
        <w:keepNext w:val="0"/>
        <w:keepLines w:val="0"/>
        <w:pageBreakBefore w:val="0"/>
        <w:kinsoku/>
        <w:wordWrap/>
        <w:overflowPunct/>
        <w:topLinePunct w:val="0"/>
        <w:autoSpaceDN/>
        <w:bidi w:val="0"/>
        <w:adjustRightInd/>
        <w:snapToGrid/>
        <w:spacing w:line="360" w:lineRule="auto"/>
        <w:ind w:firstLine="480" w:firstLineChars="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巡防队人员应当政治素质好、工作积极、热爱巡防队工作。巡防队人员要求为男性。巡防队人员进驻采购人</w:t>
      </w:r>
      <w:r>
        <w:rPr>
          <w:rFonts w:hint="eastAsia" w:ascii="宋体" w:hAnsi="宋体" w:eastAsia="宋体" w:cs="宋体"/>
          <w:sz w:val="24"/>
          <w:szCs w:val="24"/>
          <w:highlight w:val="none"/>
          <w:lang w:eastAsia="zh-CN"/>
        </w:rPr>
        <w:t>指点地点提供巡防服务</w:t>
      </w:r>
      <w:r>
        <w:rPr>
          <w:rFonts w:hint="eastAsia" w:ascii="宋体" w:hAnsi="宋体" w:eastAsia="宋体" w:cs="宋体"/>
          <w:sz w:val="24"/>
          <w:szCs w:val="24"/>
          <w:highlight w:val="none"/>
        </w:rPr>
        <w:t>后，必须服从采购人的安排和管理，严格遵守采购人有关规章制度并接受采购人领导和员工的监督，遵纪守法、着装整洁、礼貌待客、认真负责。</w:t>
      </w:r>
    </w:p>
    <w:p w14:paraId="1F936935">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（一）人员仪容仪表（10分）</w:t>
      </w:r>
    </w:p>
    <w:p w14:paraId="18A57054">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sz w:val="24"/>
          <w:szCs w:val="24"/>
        </w:rPr>
        <w:t>1、</w:t>
      </w:r>
      <w:r>
        <w:rPr>
          <w:rFonts w:hint="eastAsia" w:ascii="宋体" w:hAnsi="宋体" w:eastAsia="宋体" w:cs="宋体"/>
          <w:bCs/>
          <w:kern w:val="0"/>
          <w:sz w:val="24"/>
          <w:szCs w:val="24"/>
        </w:rPr>
        <w:t>上岗人员能自觉遵守各项规章制度，服从上级的指令，严守工作岗位，纪律严明；</w:t>
      </w:r>
    </w:p>
    <w:p w14:paraId="4677125A">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w:t>
      </w:r>
      <w:r>
        <w:rPr>
          <w:rFonts w:hint="eastAsia" w:ascii="宋体" w:hAnsi="宋体" w:eastAsia="宋体" w:cs="宋体"/>
          <w:bCs/>
          <w:sz w:val="24"/>
          <w:szCs w:val="24"/>
        </w:rPr>
        <w:t>上岗人员仪表整洁，统一着装，挂牌上岗，规范管理，礼貌待人；</w:t>
      </w:r>
      <w:r>
        <w:rPr>
          <w:rFonts w:hint="eastAsia" w:ascii="宋体" w:hAnsi="宋体" w:eastAsia="宋体" w:cs="宋体"/>
          <w:bCs/>
          <w:kern w:val="0"/>
          <w:sz w:val="24"/>
          <w:szCs w:val="24"/>
        </w:rPr>
        <w:t xml:space="preserve"> </w:t>
      </w:r>
    </w:p>
    <w:p w14:paraId="0AF48C70">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（二）工作时间（10分）</w:t>
      </w:r>
    </w:p>
    <w:p w14:paraId="730F6336">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1、上岗人员</w:t>
      </w:r>
      <w:r>
        <w:rPr>
          <w:rFonts w:hint="eastAsia" w:ascii="宋体" w:hAnsi="宋体" w:eastAsia="宋体" w:cs="宋体"/>
          <w:bCs/>
          <w:sz w:val="24"/>
          <w:szCs w:val="24"/>
        </w:rPr>
        <w:t>24小时</w:t>
      </w:r>
      <w:r>
        <w:rPr>
          <w:rFonts w:hint="eastAsia" w:ascii="宋体" w:hAnsi="宋体" w:eastAsia="宋体" w:cs="宋体"/>
          <w:bCs/>
          <w:sz w:val="24"/>
          <w:szCs w:val="24"/>
          <w:lang w:val="en-US" w:eastAsia="zh-CN"/>
        </w:rPr>
        <w:t>2</w:t>
      </w:r>
      <w:r>
        <w:rPr>
          <w:rFonts w:hint="eastAsia" w:ascii="宋体" w:hAnsi="宋体" w:eastAsia="宋体" w:cs="宋体"/>
          <w:bCs/>
          <w:sz w:val="24"/>
          <w:szCs w:val="24"/>
        </w:rPr>
        <w:t>班</w:t>
      </w:r>
      <w:r>
        <w:rPr>
          <w:rFonts w:hint="eastAsia" w:ascii="宋体" w:hAnsi="宋体" w:eastAsia="宋体" w:cs="宋体"/>
          <w:bCs/>
          <w:sz w:val="24"/>
          <w:szCs w:val="24"/>
          <w:lang w:val="en-US" w:eastAsia="zh-CN"/>
        </w:rPr>
        <w:t>2</w:t>
      </w:r>
      <w:r>
        <w:rPr>
          <w:rFonts w:hint="eastAsia" w:ascii="宋体" w:hAnsi="宋体" w:eastAsia="宋体" w:cs="宋体"/>
          <w:bCs/>
          <w:sz w:val="24"/>
          <w:szCs w:val="24"/>
        </w:rPr>
        <w:t>运转，早班（8:00-</w:t>
      </w:r>
      <w:r>
        <w:rPr>
          <w:rFonts w:hint="eastAsia" w:ascii="宋体" w:hAnsi="宋体" w:eastAsia="宋体" w:cs="宋体"/>
          <w:bCs/>
          <w:sz w:val="24"/>
          <w:szCs w:val="24"/>
          <w:lang w:val="en-US" w:eastAsia="zh-CN"/>
        </w:rPr>
        <w:t>20</w:t>
      </w:r>
      <w:r>
        <w:rPr>
          <w:rFonts w:hint="eastAsia" w:ascii="宋体" w:hAnsi="宋体" w:eastAsia="宋体" w:cs="宋体"/>
          <w:bCs/>
          <w:sz w:val="24"/>
          <w:szCs w:val="24"/>
        </w:rPr>
        <w:t>:00）、晚班（2</w:t>
      </w:r>
      <w:r>
        <w:rPr>
          <w:rFonts w:hint="eastAsia" w:ascii="宋体" w:hAnsi="宋体" w:eastAsia="宋体" w:cs="宋体"/>
          <w:bCs/>
          <w:sz w:val="24"/>
          <w:szCs w:val="24"/>
          <w:lang w:val="en-US" w:eastAsia="zh-CN"/>
        </w:rPr>
        <w:t>0</w:t>
      </w:r>
      <w:r>
        <w:rPr>
          <w:rFonts w:hint="eastAsia" w:ascii="宋体" w:hAnsi="宋体" w:eastAsia="宋体" w:cs="宋体"/>
          <w:bCs/>
          <w:sz w:val="24"/>
          <w:szCs w:val="24"/>
        </w:rPr>
        <w:t>:00-8:00）。</w:t>
      </w:r>
    </w:p>
    <w:p w14:paraId="4092B307">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2、到岗率100%。</w:t>
      </w:r>
    </w:p>
    <w:p w14:paraId="71A96DE7">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（三）工作状态（30分）</w:t>
      </w:r>
    </w:p>
    <w:p w14:paraId="7281C91A">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kern w:val="0"/>
          <w:sz w:val="24"/>
          <w:szCs w:val="24"/>
        </w:rPr>
        <w:t>1、</w:t>
      </w:r>
      <w:r>
        <w:rPr>
          <w:rFonts w:hint="eastAsia" w:ascii="宋体" w:hAnsi="宋体" w:eastAsia="宋体" w:cs="宋体"/>
          <w:bCs/>
          <w:sz w:val="24"/>
          <w:szCs w:val="24"/>
        </w:rPr>
        <w:t>管理要坚持原则、工作慎密严谨；服务要以人为本、主动热情；处理问题要高度警惕、有理有节；针对不同服务对象，区别对待，灵活操作，妥善处理；</w:t>
      </w:r>
    </w:p>
    <w:p w14:paraId="753B73CB">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2、微笑服务，礼貌待客，热情友好，不卑不亢；</w:t>
      </w:r>
    </w:p>
    <w:p w14:paraId="71DC274A">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kern w:val="0"/>
          <w:sz w:val="24"/>
          <w:szCs w:val="24"/>
        </w:rPr>
        <w:t>3、</w:t>
      </w:r>
      <w:r>
        <w:rPr>
          <w:rFonts w:hint="eastAsia" w:ascii="宋体" w:hAnsi="宋体" w:eastAsia="宋体" w:cs="宋体"/>
          <w:bCs/>
          <w:sz w:val="24"/>
          <w:szCs w:val="24"/>
        </w:rPr>
        <w:t>依法办事，文明值勤，有求必应，有警必出；</w:t>
      </w:r>
    </w:p>
    <w:p w14:paraId="59C5CF43">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4、在岗期间精神饱满，工作状态佳，遵从社会生活公德和职业道德，注重工作中的礼节礼貌；</w:t>
      </w:r>
    </w:p>
    <w:p w14:paraId="4F64C3AE">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5、结合工作的实际变化提出合理建议并在实践中不断完善和有效提升安全保卫整体实力；</w:t>
      </w:r>
    </w:p>
    <w:p w14:paraId="7E4FE1E5">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6、能按照上级领导管理规定处理自身权限范围内的日常事宜，工作积极、主动，能随时接受上级和管理部门的工作检查、监督；</w:t>
      </w:r>
    </w:p>
    <w:p w14:paraId="01CFB0E8">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sz w:val="24"/>
          <w:szCs w:val="24"/>
        </w:rPr>
        <w:t>（四）</w:t>
      </w:r>
      <w:r>
        <w:rPr>
          <w:rFonts w:hint="eastAsia" w:ascii="宋体" w:hAnsi="宋体" w:eastAsia="宋体" w:cs="宋体"/>
          <w:bCs/>
          <w:kern w:val="0"/>
          <w:sz w:val="24"/>
          <w:szCs w:val="24"/>
        </w:rPr>
        <w:t>处置效率(40分)</w:t>
      </w:r>
    </w:p>
    <w:p w14:paraId="612F1F7F">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sz w:val="24"/>
          <w:szCs w:val="24"/>
        </w:rPr>
        <w:t>1、</w:t>
      </w:r>
      <w:r>
        <w:rPr>
          <w:rFonts w:hint="eastAsia" w:ascii="宋体" w:hAnsi="宋体" w:eastAsia="宋体" w:cs="宋体"/>
          <w:bCs/>
          <w:kern w:val="0"/>
          <w:sz w:val="24"/>
          <w:szCs w:val="24"/>
        </w:rPr>
        <w:t>熟悉工作流程，并严格按照工作流程进行操作。</w:t>
      </w:r>
    </w:p>
    <w:p w14:paraId="786FE8F9">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2、熟悉各自的岗位职责，有较强的专业知识和业务水平；</w:t>
      </w:r>
    </w:p>
    <w:p w14:paraId="326D3982">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3、熟悉并能使用各类安全消防设施和各种灭火器材。</w:t>
      </w:r>
    </w:p>
    <w:p w14:paraId="171E8C1F">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4、</w:t>
      </w:r>
      <w:r>
        <w:rPr>
          <w:rFonts w:hint="eastAsia" w:ascii="宋体" w:hAnsi="宋体" w:eastAsia="宋体" w:cs="宋体"/>
          <w:bCs/>
          <w:sz w:val="24"/>
          <w:szCs w:val="24"/>
        </w:rPr>
        <w:t>制订切实可行的管理整体方案和应急预案，突发事件反应迅速，预案处置有力，</w:t>
      </w:r>
      <w:r>
        <w:rPr>
          <w:rFonts w:hint="eastAsia" w:ascii="宋体" w:hAnsi="宋体" w:eastAsia="宋体" w:cs="宋体"/>
          <w:bCs/>
          <w:kern w:val="0"/>
          <w:sz w:val="24"/>
          <w:szCs w:val="24"/>
        </w:rPr>
        <w:t>管理区域秩序井然；</w:t>
      </w:r>
    </w:p>
    <w:p w14:paraId="4AC7F0A3">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5、发现异常情况，应进行检查处理，做好处理情况记录，遇重大情况及时汇报；</w:t>
      </w:r>
    </w:p>
    <w:p w14:paraId="014A90BD">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6、高度重视和正确投诉，及时做好意见的反馈和跟踪；</w:t>
      </w:r>
    </w:p>
    <w:p w14:paraId="4ADBA549">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7、</w:t>
      </w:r>
      <w:r>
        <w:rPr>
          <w:rFonts w:hint="eastAsia" w:ascii="宋体" w:hAnsi="宋体" w:eastAsia="宋体" w:cs="宋体"/>
          <w:bCs/>
          <w:sz w:val="24"/>
          <w:szCs w:val="24"/>
        </w:rPr>
        <w:t>全年无责任事故和责任案件发生。</w:t>
      </w:r>
    </w:p>
    <w:p w14:paraId="3006F1AF">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8、全年无媒体曝光、领导批评、市民投诉发生。</w:t>
      </w:r>
    </w:p>
    <w:p w14:paraId="179BAA0B">
      <w:pPr>
        <w:spacing w:line="360" w:lineRule="auto"/>
        <w:ind w:firstLine="460" w:firstLineChars="200"/>
        <w:rPr>
          <w:rFonts w:hint="eastAsia" w:ascii="宋体" w:hAnsi="宋体" w:eastAsia="宋体" w:cs="宋体"/>
          <w:bCs/>
          <w:spacing w:val="-5"/>
          <w:sz w:val="24"/>
          <w:szCs w:val="24"/>
          <w:shd w:val="clear" w:color="auto" w:fill="FFFFFF"/>
        </w:rPr>
      </w:pPr>
      <w:r>
        <w:rPr>
          <w:rFonts w:hint="eastAsia" w:ascii="宋体" w:hAnsi="宋体" w:eastAsia="宋体" w:cs="宋体"/>
          <w:bCs/>
          <w:spacing w:val="-5"/>
          <w:sz w:val="24"/>
          <w:szCs w:val="24"/>
          <w:shd w:val="clear" w:color="auto" w:fill="FFFFFF"/>
        </w:rPr>
        <w:t>（五）满意程度（10分）</w:t>
      </w:r>
    </w:p>
    <w:p w14:paraId="0610C338">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采用调查表的方式征求意见，对服务</w:t>
      </w:r>
      <w:r>
        <w:rPr>
          <w:rFonts w:hint="eastAsia" w:ascii="宋体" w:hAnsi="宋体" w:eastAsia="宋体" w:cs="宋体"/>
          <w:bCs/>
          <w:kern w:val="0"/>
          <w:sz w:val="24"/>
          <w:szCs w:val="24"/>
        </w:rPr>
        <w:t>工作</w:t>
      </w:r>
      <w:r>
        <w:rPr>
          <w:rFonts w:hint="eastAsia" w:ascii="宋体" w:hAnsi="宋体" w:eastAsia="宋体" w:cs="宋体"/>
          <w:bCs/>
          <w:sz w:val="24"/>
          <w:szCs w:val="24"/>
        </w:rPr>
        <w:t>的满意率在90%（含）以上，得10分，对服务</w:t>
      </w:r>
      <w:r>
        <w:rPr>
          <w:rFonts w:hint="eastAsia" w:ascii="宋体" w:hAnsi="宋体" w:eastAsia="宋体" w:cs="宋体"/>
          <w:bCs/>
          <w:kern w:val="0"/>
          <w:sz w:val="24"/>
          <w:szCs w:val="24"/>
        </w:rPr>
        <w:t>工作</w:t>
      </w:r>
      <w:r>
        <w:rPr>
          <w:rFonts w:hint="eastAsia" w:ascii="宋体" w:hAnsi="宋体" w:eastAsia="宋体" w:cs="宋体"/>
          <w:bCs/>
          <w:sz w:val="24"/>
          <w:szCs w:val="24"/>
        </w:rPr>
        <w:t>的满意率在75（含））-90%，得5分。对服务</w:t>
      </w:r>
      <w:r>
        <w:rPr>
          <w:rFonts w:hint="eastAsia" w:ascii="宋体" w:hAnsi="宋体" w:eastAsia="宋体" w:cs="宋体"/>
          <w:bCs/>
          <w:kern w:val="0"/>
          <w:sz w:val="24"/>
          <w:szCs w:val="24"/>
        </w:rPr>
        <w:t>工作</w:t>
      </w:r>
      <w:r>
        <w:rPr>
          <w:rFonts w:hint="eastAsia" w:ascii="宋体" w:hAnsi="宋体" w:eastAsia="宋体" w:cs="宋体"/>
          <w:bCs/>
          <w:sz w:val="24"/>
          <w:szCs w:val="24"/>
        </w:rPr>
        <w:t>的满意率在75%以下，得0分。</w:t>
      </w:r>
    </w:p>
    <w:p w14:paraId="605C8044">
      <w:pPr>
        <w:spacing w:line="360" w:lineRule="auto"/>
        <w:ind w:firstLine="460" w:firstLineChars="200"/>
        <w:rPr>
          <w:rFonts w:hint="eastAsia" w:ascii="宋体" w:hAnsi="宋体" w:eastAsia="宋体" w:cs="宋体"/>
          <w:bCs/>
          <w:spacing w:val="-5"/>
          <w:sz w:val="24"/>
          <w:szCs w:val="24"/>
          <w:shd w:val="clear" w:color="auto" w:fill="FFFFFF"/>
        </w:rPr>
      </w:pPr>
      <w:r>
        <w:rPr>
          <w:rFonts w:hint="eastAsia" w:ascii="宋体" w:hAnsi="宋体" w:eastAsia="宋体" w:cs="宋体"/>
          <w:bCs/>
          <w:spacing w:val="-5"/>
          <w:sz w:val="24"/>
          <w:szCs w:val="24"/>
          <w:shd w:val="clear" w:color="auto" w:fill="FFFFFF"/>
        </w:rPr>
        <w:t>（六）以上考核内容为基础要求，后续将会根据“小脑+手脚”综合治理工作实际开展情况进一步完善和调整修改。</w:t>
      </w:r>
    </w:p>
    <w:p w14:paraId="0A108859">
      <w:pPr>
        <w:spacing w:line="360" w:lineRule="auto"/>
        <w:ind w:firstLine="468" w:firstLineChars="200"/>
        <w:rPr>
          <w:rFonts w:hint="eastAsia" w:ascii="宋体" w:hAnsi="宋体" w:eastAsia="宋体" w:cs="宋体"/>
          <w:bCs/>
          <w:spacing w:val="-3"/>
          <w:sz w:val="24"/>
          <w:szCs w:val="24"/>
          <w:shd w:val="clear" w:color="auto" w:fill="FFFFFF"/>
        </w:rPr>
      </w:pPr>
      <w:r>
        <w:rPr>
          <w:rFonts w:hint="eastAsia" w:ascii="宋体" w:hAnsi="宋体" w:eastAsia="宋体" w:cs="宋体"/>
          <w:bCs/>
          <w:spacing w:val="-3"/>
          <w:sz w:val="24"/>
          <w:szCs w:val="24"/>
          <w:shd w:val="clear" w:color="auto" w:fill="FFFFFF"/>
        </w:rPr>
        <w:t>合格标准：综合得分90分及以上为优秀，85—90分为良好，80—85为合格，80分以下为不合格。</w:t>
      </w:r>
    </w:p>
    <w:p w14:paraId="1BA9B5B3">
      <w:pPr>
        <w:spacing w:line="360" w:lineRule="auto"/>
        <w:ind w:firstLine="460" w:firstLineChars="200"/>
        <w:rPr>
          <w:rFonts w:hint="eastAsia" w:ascii="宋体" w:hAnsi="宋体" w:eastAsia="宋体" w:cs="宋体"/>
          <w:bCs/>
          <w:spacing w:val="-5"/>
          <w:sz w:val="24"/>
          <w:szCs w:val="24"/>
          <w:shd w:val="clear" w:color="auto" w:fill="FFFFFF"/>
        </w:rPr>
      </w:pPr>
      <w:r>
        <w:rPr>
          <w:rFonts w:hint="eastAsia" w:ascii="宋体" w:hAnsi="宋体" w:eastAsia="宋体" w:cs="宋体"/>
          <w:bCs/>
          <w:spacing w:val="-5"/>
          <w:sz w:val="24"/>
          <w:szCs w:val="24"/>
          <w:shd w:val="clear" w:color="auto" w:fill="FFFFFF"/>
        </w:rPr>
        <w:t>连续2个月未达到80分以上的，采购人可根据实际情况有权终止合同。</w:t>
      </w:r>
    </w:p>
    <w:p w14:paraId="79657D44">
      <w:pPr>
        <w:spacing w:line="360" w:lineRule="auto"/>
        <w:ind w:firstLine="482" w:firstLineChars="200"/>
        <w:rPr>
          <w:rFonts w:hint="eastAsia" w:ascii="宋体" w:hAnsi="宋体" w:eastAsia="宋体" w:cs="宋体"/>
          <w:b/>
          <w:bCs/>
          <w:sz w:val="24"/>
          <w:szCs w:val="24"/>
        </w:rPr>
      </w:pPr>
      <w:bookmarkStart w:id="29" w:name="_Toc109654398"/>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、合同执行约束</w:t>
      </w:r>
      <w:bookmarkEnd w:id="29"/>
    </w:p>
    <w:p w14:paraId="3F030D16">
      <w:pPr>
        <w:spacing w:line="360" w:lineRule="auto"/>
        <w:ind w:firstLine="460" w:firstLineChars="200"/>
        <w:rPr>
          <w:rFonts w:hint="eastAsia" w:ascii="宋体" w:hAnsi="宋体" w:eastAsia="宋体" w:cs="宋体"/>
          <w:bCs/>
          <w:spacing w:val="-5"/>
          <w:sz w:val="24"/>
          <w:szCs w:val="24"/>
          <w:shd w:val="clear" w:color="auto" w:fill="FFFFFF"/>
        </w:rPr>
      </w:pPr>
      <w:r>
        <w:rPr>
          <w:rFonts w:hint="eastAsia" w:ascii="宋体" w:hAnsi="宋体" w:eastAsia="宋体" w:cs="宋体"/>
          <w:bCs/>
          <w:spacing w:val="-5"/>
          <w:sz w:val="24"/>
          <w:szCs w:val="24"/>
          <w:shd w:val="clear" w:color="auto" w:fill="FFFFFF"/>
        </w:rPr>
        <w:t>采购人可以不定期组织检查根据考核要求对中标单位服务质量进行考核，中标单位须无条件接受采购人的检查，采购人有权根据考核结果对中标单位进行处罚。具体考核条例在中标后由双方进行商谈确定。</w:t>
      </w:r>
    </w:p>
    <w:bookmarkEnd w:id="28"/>
    <w:p w14:paraId="16A70E79">
      <w:pPr>
        <w:spacing w:line="360" w:lineRule="auto"/>
        <w:rPr>
          <w:rFonts w:hint="eastAsia" w:ascii="宋体" w:hAnsi="宋体" w:eastAsia="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26C9CB27">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4436"/>
      <w:bookmarkEnd w:id="30"/>
      <w:bookmarkStart w:id="31" w:name="_Toc184313270"/>
      <w:bookmarkEnd w:id="31"/>
      <w:bookmarkStart w:id="32" w:name="_Toc184310323"/>
      <w:bookmarkEnd w:id="32"/>
      <w:bookmarkStart w:id="33" w:name="_Toc184310296"/>
      <w:bookmarkEnd w:id="33"/>
      <w:bookmarkStart w:id="34" w:name="_Toc184308046"/>
      <w:bookmarkEnd w:id="34"/>
      <w:bookmarkStart w:id="35" w:name="_Toc184313262"/>
      <w:bookmarkEnd w:id="35"/>
      <w:bookmarkStart w:id="36" w:name="_Toc184312137"/>
      <w:bookmarkEnd w:id="36"/>
      <w:bookmarkStart w:id="37" w:name="_Toc184313266"/>
      <w:bookmarkEnd w:id="37"/>
      <w:bookmarkStart w:id="38" w:name="_Toc184313246"/>
      <w:bookmarkEnd w:id="38"/>
      <w:bookmarkStart w:id="39" w:name="_Toc184308080"/>
      <w:bookmarkEnd w:id="39"/>
      <w:bookmarkStart w:id="40" w:name="_Toc184312076"/>
      <w:bookmarkEnd w:id="40"/>
      <w:bookmarkStart w:id="41" w:name="_Toc184313245"/>
      <w:bookmarkEnd w:id="41"/>
      <w:bookmarkStart w:id="42" w:name="_Toc184308104"/>
      <w:bookmarkEnd w:id="42"/>
      <w:bookmarkStart w:id="43" w:name="_Toc184312088"/>
      <w:bookmarkEnd w:id="43"/>
      <w:bookmarkStart w:id="44" w:name="_Toc184314440"/>
      <w:bookmarkEnd w:id="44"/>
      <w:bookmarkStart w:id="45" w:name="_Toc184313279"/>
      <w:bookmarkEnd w:id="45"/>
      <w:bookmarkStart w:id="46" w:name="_Toc184310308"/>
      <w:bookmarkEnd w:id="46"/>
      <w:bookmarkStart w:id="47" w:name="_Toc184313263"/>
      <w:bookmarkEnd w:id="47"/>
      <w:bookmarkStart w:id="48" w:name="_Toc184313303"/>
      <w:bookmarkEnd w:id="48"/>
      <w:bookmarkStart w:id="49" w:name="_Toc184314482"/>
      <w:bookmarkEnd w:id="49"/>
      <w:bookmarkStart w:id="50" w:name="_Toc184310337"/>
      <w:bookmarkEnd w:id="50"/>
      <w:bookmarkStart w:id="51" w:name="_Toc184313301"/>
      <w:bookmarkEnd w:id="51"/>
      <w:bookmarkStart w:id="52" w:name="_Toc184310344"/>
      <w:bookmarkEnd w:id="52"/>
      <w:bookmarkStart w:id="53" w:name="_Toc184314463"/>
      <w:bookmarkEnd w:id="53"/>
      <w:bookmarkStart w:id="54" w:name="_Toc184310275"/>
      <w:bookmarkEnd w:id="54"/>
      <w:bookmarkStart w:id="55" w:name="_Toc184314437"/>
      <w:bookmarkEnd w:id="55"/>
      <w:bookmarkStart w:id="56" w:name="_Toc184312134"/>
      <w:bookmarkEnd w:id="56"/>
      <w:bookmarkStart w:id="57" w:name="_Toc184312127"/>
      <w:bookmarkEnd w:id="57"/>
      <w:bookmarkStart w:id="58" w:name="_Toc184314459"/>
      <w:bookmarkEnd w:id="58"/>
      <w:bookmarkStart w:id="59" w:name="_Toc184312081"/>
      <w:bookmarkEnd w:id="59"/>
      <w:bookmarkStart w:id="60" w:name="_Toc184308039"/>
      <w:bookmarkEnd w:id="60"/>
      <w:bookmarkStart w:id="61" w:name="_Toc184313275"/>
      <w:bookmarkEnd w:id="61"/>
      <w:bookmarkStart w:id="62" w:name="_Toc184310292"/>
      <w:bookmarkEnd w:id="62"/>
      <w:bookmarkStart w:id="63" w:name="_Toc184310286"/>
      <w:bookmarkEnd w:id="63"/>
      <w:bookmarkStart w:id="64" w:name="_Toc184308072"/>
      <w:bookmarkEnd w:id="64"/>
      <w:bookmarkStart w:id="65" w:name="_Toc184314462"/>
      <w:bookmarkEnd w:id="65"/>
      <w:bookmarkStart w:id="66" w:name="_Toc184313242"/>
      <w:bookmarkEnd w:id="66"/>
      <w:bookmarkStart w:id="67" w:name="_Toc184314455"/>
      <w:bookmarkEnd w:id="67"/>
      <w:bookmarkStart w:id="68" w:name="_Toc184310326"/>
      <w:bookmarkEnd w:id="68"/>
      <w:bookmarkStart w:id="69" w:name="_Toc184314453"/>
      <w:bookmarkEnd w:id="69"/>
      <w:bookmarkStart w:id="70" w:name="_Toc184312110"/>
      <w:bookmarkEnd w:id="70"/>
      <w:bookmarkStart w:id="71" w:name="_Toc184308094"/>
      <w:bookmarkEnd w:id="71"/>
      <w:bookmarkStart w:id="72" w:name="_Toc184308087"/>
      <w:bookmarkEnd w:id="72"/>
      <w:bookmarkStart w:id="73" w:name="_Toc184310319"/>
      <w:bookmarkEnd w:id="73"/>
      <w:bookmarkStart w:id="74" w:name="_Toc184314415"/>
      <w:bookmarkEnd w:id="74"/>
      <w:bookmarkStart w:id="75" w:name="_Toc184310343"/>
      <w:bookmarkEnd w:id="75"/>
      <w:bookmarkStart w:id="76" w:name="_Toc184314469"/>
      <w:bookmarkEnd w:id="76"/>
      <w:bookmarkStart w:id="77" w:name="_Toc184308045"/>
      <w:bookmarkEnd w:id="77"/>
      <w:bookmarkStart w:id="78" w:name="_Toc184310334"/>
      <w:bookmarkEnd w:id="78"/>
      <w:bookmarkStart w:id="79" w:name="_Toc184313259"/>
      <w:bookmarkEnd w:id="79"/>
      <w:bookmarkStart w:id="80" w:name="_Toc184313284"/>
      <w:bookmarkEnd w:id="80"/>
      <w:bookmarkStart w:id="81" w:name="_Toc184312075"/>
      <w:bookmarkEnd w:id="81"/>
      <w:bookmarkStart w:id="82" w:name="_Toc184313299"/>
      <w:bookmarkEnd w:id="82"/>
      <w:bookmarkStart w:id="83" w:name="_Toc184312108"/>
      <w:bookmarkEnd w:id="83"/>
      <w:bookmarkStart w:id="84" w:name="_Toc184308069"/>
      <w:bookmarkEnd w:id="84"/>
      <w:bookmarkStart w:id="85" w:name="_Toc184314417"/>
      <w:bookmarkEnd w:id="85"/>
      <w:bookmarkStart w:id="86" w:name="_Toc184314422"/>
      <w:bookmarkEnd w:id="86"/>
      <w:bookmarkStart w:id="87" w:name="_Toc184313280"/>
      <w:bookmarkEnd w:id="87"/>
      <w:bookmarkStart w:id="88" w:name="_Toc184308040"/>
      <w:bookmarkEnd w:id="88"/>
      <w:bookmarkStart w:id="89" w:name="_Toc184308082"/>
      <w:bookmarkEnd w:id="89"/>
      <w:bookmarkStart w:id="90" w:name="_Toc184313278"/>
      <w:bookmarkEnd w:id="90"/>
      <w:bookmarkStart w:id="91" w:name="_Toc184312083"/>
      <w:bookmarkEnd w:id="91"/>
      <w:bookmarkStart w:id="92" w:name="_Toc184313260"/>
      <w:bookmarkEnd w:id="92"/>
      <w:bookmarkStart w:id="93" w:name="_Toc184313238"/>
      <w:bookmarkEnd w:id="93"/>
      <w:bookmarkStart w:id="94" w:name="_Toc184310324"/>
      <w:bookmarkEnd w:id="94"/>
      <w:bookmarkStart w:id="95" w:name="_Toc184314474"/>
      <w:bookmarkEnd w:id="95"/>
      <w:bookmarkStart w:id="96" w:name="_Toc184310281"/>
      <w:bookmarkEnd w:id="96"/>
      <w:bookmarkStart w:id="97" w:name="_Toc184312115"/>
      <w:bookmarkEnd w:id="97"/>
      <w:bookmarkStart w:id="98" w:name="_Toc184314478"/>
      <w:bookmarkEnd w:id="98"/>
      <w:bookmarkStart w:id="99" w:name="_Toc184312094"/>
      <w:bookmarkEnd w:id="99"/>
      <w:bookmarkStart w:id="100" w:name="_Toc184314430"/>
      <w:bookmarkEnd w:id="100"/>
      <w:bookmarkStart w:id="101" w:name="_Toc184308079"/>
      <w:bookmarkEnd w:id="101"/>
      <w:bookmarkStart w:id="102" w:name="_Toc184308076"/>
      <w:bookmarkEnd w:id="102"/>
      <w:bookmarkStart w:id="103" w:name="_Toc184313241"/>
      <w:bookmarkEnd w:id="103"/>
      <w:bookmarkStart w:id="104" w:name="_Toc184314419"/>
      <w:bookmarkEnd w:id="104"/>
      <w:bookmarkStart w:id="105" w:name="_Toc184314467"/>
      <w:bookmarkEnd w:id="105"/>
      <w:bookmarkStart w:id="106" w:name="_Toc184314479"/>
      <w:bookmarkEnd w:id="106"/>
      <w:bookmarkStart w:id="107" w:name="_Toc184313300"/>
      <w:bookmarkEnd w:id="107"/>
      <w:bookmarkStart w:id="108" w:name="_Toc184308096"/>
      <w:bookmarkEnd w:id="108"/>
      <w:bookmarkStart w:id="109" w:name="_Toc184312082"/>
      <w:bookmarkEnd w:id="109"/>
      <w:bookmarkStart w:id="110" w:name="_Toc184312130"/>
      <w:bookmarkEnd w:id="110"/>
      <w:bookmarkStart w:id="111" w:name="_Toc184308051"/>
      <w:bookmarkEnd w:id="111"/>
      <w:bookmarkStart w:id="112" w:name="_Toc184308097"/>
      <w:bookmarkEnd w:id="112"/>
      <w:bookmarkStart w:id="113" w:name="_Toc184312072"/>
      <w:bookmarkEnd w:id="113"/>
      <w:bookmarkStart w:id="114" w:name="_Toc184308108"/>
      <w:bookmarkEnd w:id="114"/>
      <w:bookmarkStart w:id="115" w:name="_Toc184308060"/>
      <w:bookmarkEnd w:id="115"/>
      <w:bookmarkStart w:id="116" w:name="_Toc184310307"/>
      <w:bookmarkEnd w:id="116"/>
      <w:bookmarkStart w:id="117" w:name="_Toc184308044"/>
      <w:bookmarkEnd w:id="117"/>
      <w:bookmarkStart w:id="118" w:name="_Toc184312121"/>
      <w:bookmarkEnd w:id="118"/>
      <w:bookmarkStart w:id="119" w:name="_Toc184310321"/>
      <w:bookmarkEnd w:id="119"/>
      <w:bookmarkStart w:id="120" w:name="_Toc184312105"/>
      <w:bookmarkEnd w:id="120"/>
      <w:bookmarkStart w:id="121" w:name="_Toc184308086"/>
      <w:bookmarkEnd w:id="121"/>
      <w:bookmarkStart w:id="122" w:name="_Toc184313305"/>
      <w:bookmarkEnd w:id="122"/>
      <w:bookmarkStart w:id="123" w:name="_Toc184313267"/>
      <w:bookmarkEnd w:id="123"/>
      <w:bookmarkStart w:id="124" w:name="_Toc184312097"/>
      <w:bookmarkEnd w:id="124"/>
      <w:bookmarkStart w:id="125" w:name="_Toc184313292"/>
      <w:bookmarkEnd w:id="125"/>
      <w:bookmarkStart w:id="126" w:name="_Toc184308084"/>
      <w:bookmarkEnd w:id="126"/>
      <w:bookmarkStart w:id="127" w:name="_Toc184313254"/>
      <w:bookmarkEnd w:id="127"/>
      <w:bookmarkStart w:id="128" w:name="_Toc184308102"/>
      <w:bookmarkEnd w:id="128"/>
      <w:bookmarkStart w:id="129" w:name="_Toc184308067"/>
      <w:bookmarkEnd w:id="129"/>
      <w:bookmarkStart w:id="130" w:name="_Toc184308092"/>
      <w:bookmarkEnd w:id="130"/>
      <w:bookmarkStart w:id="131" w:name="_Toc184312091"/>
      <w:bookmarkEnd w:id="131"/>
      <w:bookmarkStart w:id="132" w:name="_Toc184314476"/>
      <w:bookmarkEnd w:id="132"/>
      <w:bookmarkStart w:id="133" w:name="_Toc184310284"/>
      <w:bookmarkEnd w:id="133"/>
      <w:bookmarkStart w:id="134" w:name="_Toc184312084"/>
      <w:bookmarkEnd w:id="134"/>
      <w:bookmarkStart w:id="135" w:name="_Toc184313244"/>
      <w:bookmarkEnd w:id="135"/>
      <w:bookmarkStart w:id="136" w:name="_Toc184313285"/>
      <w:bookmarkEnd w:id="136"/>
      <w:bookmarkStart w:id="137" w:name="_Toc184308054"/>
      <w:bookmarkEnd w:id="137"/>
      <w:bookmarkStart w:id="138" w:name="_Toc184308075"/>
      <w:bookmarkEnd w:id="138"/>
      <w:bookmarkStart w:id="139" w:name="_Toc184312090"/>
      <w:bookmarkEnd w:id="139"/>
      <w:bookmarkStart w:id="140" w:name="_Toc184314446"/>
      <w:bookmarkEnd w:id="140"/>
      <w:bookmarkStart w:id="141" w:name="_Toc184310306"/>
      <w:bookmarkEnd w:id="141"/>
      <w:bookmarkStart w:id="142" w:name="_Toc184313249"/>
      <w:bookmarkEnd w:id="142"/>
      <w:bookmarkStart w:id="143" w:name="_Toc184312104"/>
      <w:bookmarkEnd w:id="143"/>
      <w:bookmarkStart w:id="144" w:name="_Toc184312112"/>
      <w:bookmarkEnd w:id="144"/>
      <w:bookmarkStart w:id="145" w:name="_Toc184313239"/>
      <w:bookmarkEnd w:id="145"/>
      <w:bookmarkStart w:id="146" w:name="_Toc184314451"/>
      <w:bookmarkEnd w:id="146"/>
      <w:bookmarkStart w:id="147" w:name="_Toc184310287"/>
      <w:bookmarkEnd w:id="147"/>
      <w:bookmarkStart w:id="148" w:name="_Toc184312077"/>
      <w:bookmarkEnd w:id="148"/>
      <w:bookmarkStart w:id="149" w:name="_Toc184308057"/>
      <w:bookmarkEnd w:id="149"/>
      <w:bookmarkStart w:id="150" w:name="_Toc184314456"/>
      <w:bookmarkEnd w:id="150"/>
      <w:bookmarkStart w:id="151" w:name="_Toc184313248"/>
      <w:bookmarkEnd w:id="151"/>
      <w:bookmarkStart w:id="152" w:name="_Toc184310330"/>
      <w:bookmarkEnd w:id="152"/>
      <w:bookmarkStart w:id="153" w:name="_Toc184313256"/>
      <w:bookmarkEnd w:id="153"/>
      <w:bookmarkStart w:id="154" w:name="_Toc184314481"/>
      <w:bookmarkEnd w:id="154"/>
      <w:bookmarkStart w:id="155" w:name="_Toc184313268"/>
      <w:bookmarkEnd w:id="155"/>
      <w:bookmarkStart w:id="156" w:name="_Toc184313296"/>
      <w:bookmarkEnd w:id="156"/>
      <w:bookmarkStart w:id="157" w:name="_Toc184313273"/>
      <w:bookmarkEnd w:id="157"/>
      <w:bookmarkStart w:id="158" w:name="_Toc184313309"/>
      <w:bookmarkEnd w:id="158"/>
      <w:bookmarkStart w:id="159" w:name="_Toc184312126"/>
      <w:bookmarkEnd w:id="159"/>
      <w:bookmarkStart w:id="160" w:name="_Toc184312078"/>
      <w:bookmarkEnd w:id="160"/>
      <w:bookmarkStart w:id="161" w:name="_Toc184310276"/>
      <w:bookmarkEnd w:id="161"/>
      <w:bookmarkStart w:id="162" w:name="_Toc184313281"/>
      <w:bookmarkEnd w:id="162"/>
      <w:bookmarkStart w:id="163" w:name="_Toc184314447"/>
      <w:bookmarkEnd w:id="163"/>
      <w:bookmarkStart w:id="164" w:name="_Toc184313272"/>
      <w:bookmarkEnd w:id="164"/>
      <w:bookmarkStart w:id="165" w:name="_Toc184310313"/>
      <w:bookmarkEnd w:id="165"/>
      <w:bookmarkStart w:id="166" w:name="_Toc184313297"/>
      <w:bookmarkEnd w:id="166"/>
      <w:bookmarkStart w:id="167" w:name="_Toc184312129"/>
      <w:bookmarkEnd w:id="167"/>
      <w:bookmarkStart w:id="168" w:name="_Toc184310320"/>
      <w:bookmarkEnd w:id="168"/>
      <w:bookmarkStart w:id="169" w:name="_Toc184308098"/>
      <w:bookmarkEnd w:id="169"/>
      <w:bookmarkStart w:id="170" w:name="_Toc184308095"/>
      <w:bookmarkEnd w:id="170"/>
      <w:bookmarkStart w:id="171" w:name="_Toc184312123"/>
      <w:bookmarkEnd w:id="171"/>
      <w:bookmarkStart w:id="172" w:name="_Toc184314424"/>
      <w:bookmarkEnd w:id="172"/>
      <w:bookmarkStart w:id="173" w:name="_Toc184308053"/>
      <w:bookmarkEnd w:id="173"/>
      <w:bookmarkStart w:id="174" w:name="_Toc184310294"/>
      <w:bookmarkEnd w:id="174"/>
      <w:bookmarkStart w:id="175" w:name="_Toc184310315"/>
      <w:bookmarkEnd w:id="175"/>
      <w:bookmarkStart w:id="176" w:name="_Toc184308061"/>
      <w:bookmarkEnd w:id="176"/>
      <w:bookmarkStart w:id="177" w:name="_Toc184310274"/>
      <w:bookmarkEnd w:id="177"/>
      <w:bookmarkStart w:id="178" w:name="_Toc184312087"/>
      <w:bookmarkEnd w:id="178"/>
      <w:bookmarkStart w:id="179" w:name="_Toc184312093"/>
      <w:bookmarkEnd w:id="179"/>
      <w:bookmarkStart w:id="180" w:name="_Toc184310329"/>
      <w:bookmarkEnd w:id="180"/>
      <w:bookmarkStart w:id="181" w:name="_Toc184310278"/>
      <w:bookmarkEnd w:id="181"/>
      <w:bookmarkStart w:id="182" w:name="_Toc184314445"/>
      <w:bookmarkEnd w:id="182"/>
      <w:bookmarkStart w:id="183" w:name="_Toc184312069"/>
      <w:bookmarkEnd w:id="183"/>
      <w:bookmarkStart w:id="184" w:name="_Toc184310331"/>
      <w:bookmarkEnd w:id="184"/>
      <w:bookmarkStart w:id="185" w:name="_Toc184312074"/>
      <w:bookmarkEnd w:id="185"/>
      <w:bookmarkStart w:id="186" w:name="_Toc184312095"/>
      <w:bookmarkEnd w:id="186"/>
      <w:bookmarkStart w:id="187" w:name="_Toc184312096"/>
      <w:bookmarkEnd w:id="187"/>
      <w:bookmarkStart w:id="188" w:name="_Toc184313250"/>
      <w:bookmarkEnd w:id="188"/>
      <w:bookmarkStart w:id="189" w:name="_Toc184308106"/>
      <w:bookmarkEnd w:id="189"/>
      <w:bookmarkStart w:id="190" w:name="_Toc184312113"/>
      <w:bookmarkEnd w:id="190"/>
      <w:bookmarkStart w:id="191" w:name="_Toc184314468"/>
      <w:bookmarkEnd w:id="191"/>
      <w:bookmarkStart w:id="192" w:name="_Toc184313306"/>
      <w:bookmarkEnd w:id="192"/>
      <w:bookmarkStart w:id="193" w:name="_Toc184314480"/>
      <w:bookmarkEnd w:id="193"/>
      <w:bookmarkStart w:id="194" w:name="_Toc184313264"/>
      <w:bookmarkEnd w:id="194"/>
      <w:bookmarkStart w:id="195" w:name="_Toc184314449"/>
      <w:bookmarkEnd w:id="195"/>
      <w:bookmarkStart w:id="196" w:name="_Toc184310282"/>
      <w:bookmarkEnd w:id="196"/>
      <w:bookmarkStart w:id="197" w:name="_Toc184313269"/>
      <w:bookmarkEnd w:id="197"/>
      <w:bookmarkStart w:id="198" w:name="_Toc184308101"/>
      <w:bookmarkEnd w:id="198"/>
      <w:bookmarkStart w:id="199" w:name="_Toc184313251"/>
      <w:bookmarkEnd w:id="199"/>
      <w:bookmarkStart w:id="200" w:name="_Toc184310272"/>
      <w:bookmarkEnd w:id="200"/>
      <w:bookmarkStart w:id="201" w:name="_Toc184310283"/>
      <w:bookmarkEnd w:id="201"/>
      <w:bookmarkStart w:id="202" w:name="_Toc184310293"/>
      <w:bookmarkEnd w:id="202"/>
      <w:bookmarkStart w:id="203" w:name="_Toc184314434"/>
      <w:bookmarkEnd w:id="203"/>
      <w:bookmarkStart w:id="204" w:name="_Toc184312079"/>
      <w:bookmarkEnd w:id="204"/>
      <w:bookmarkStart w:id="205" w:name="_Toc184308041"/>
      <w:bookmarkEnd w:id="205"/>
      <w:bookmarkStart w:id="206" w:name="_Toc184310317"/>
      <w:bookmarkEnd w:id="206"/>
      <w:bookmarkStart w:id="207" w:name="_Toc184312109"/>
      <w:bookmarkEnd w:id="207"/>
      <w:bookmarkStart w:id="208" w:name="_Toc184313276"/>
      <w:bookmarkEnd w:id="208"/>
      <w:bookmarkStart w:id="209" w:name="_Toc184310327"/>
      <w:bookmarkEnd w:id="209"/>
      <w:bookmarkStart w:id="210" w:name="_Toc184312114"/>
      <w:bookmarkEnd w:id="210"/>
      <w:bookmarkStart w:id="211" w:name="_Toc184312122"/>
      <w:bookmarkEnd w:id="211"/>
      <w:bookmarkStart w:id="212" w:name="_Toc184314470"/>
      <w:bookmarkEnd w:id="212"/>
      <w:bookmarkStart w:id="213" w:name="_Toc184313287"/>
      <w:bookmarkEnd w:id="213"/>
      <w:bookmarkStart w:id="214" w:name="_Toc184312101"/>
      <w:bookmarkEnd w:id="214"/>
      <w:bookmarkStart w:id="215" w:name="_Toc184313310"/>
      <w:bookmarkEnd w:id="215"/>
      <w:bookmarkStart w:id="216" w:name="_Toc184314410"/>
      <w:bookmarkEnd w:id="216"/>
      <w:bookmarkStart w:id="217" w:name="_Toc184310342"/>
      <w:bookmarkEnd w:id="217"/>
      <w:bookmarkStart w:id="218" w:name="_Toc184312118"/>
      <w:bookmarkEnd w:id="218"/>
      <w:bookmarkStart w:id="219" w:name="_Toc184313308"/>
      <w:bookmarkEnd w:id="219"/>
      <w:bookmarkStart w:id="220" w:name="_Toc184310311"/>
      <w:bookmarkEnd w:id="220"/>
      <w:bookmarkStart w:id="221" w:name="_Toc184313274"/>
      <w:bookmarkEnd w:id="221"/>
      <w:bookmarkStart w:id="222" w:name="_Toc184310341"/>
      <w:bookmarkEnd w:id="222"/>
      <w:bookmarkStart w:id="223" w:name="_Toc184313265"/>
      <w:bookmarkEnd w:id="223"/>
      <w:bookmarkStart w:id="224" w:name="_Toc184314473"/>
      <w:bookmarkEnd w:id="224"/>
      <w:bookmarkStart w:id="225" w:name="_Toc184314460"/>
      <w:bookmarkEnd w:id="225"/>
      <w:bookmarkStart w:id="226" w:name="_Toc184314444"/>
      <w:bookmarkEnd w:id="226"/>
      <w:bookmarkStart w:id="227" w:name="_Toc184308049"/>
      <w:bookmarkEnd w:id="227"/>
      <w:bookmarkStart w:id="228" w:name="_Toc184310310"/>
      <w:bookmarkEnd w:id="228"/>
      <w:bookmarkStart w:id="229" w:name="_Toc184314428"/>
      <w:bookmarkEnd w:id="229"/>
      <w:bookmarkStart w:id="230" w:name="_Toc184308074"/>
      <w:bookmarkEnd w:id="230"/>
      <w:bookmarkStart w:id="231" w:name="_Toc184310279"/>
      <w:bookmarkEnd w:id="231"/>
      <w:bookmarkStart w:id="232" w:name="_Toc184308107"/>
      <w:bookmarkEnd w:id="232"/>
      <w:bookmarkStart w:id="233" w:name="_Toc184314471"/>
      <w:bookmarkEnd w:id="233"/>
      <w:bookmarkStart w:id="234" w:name="_Toc184308055"/>
      <w:bookmarkEnd w:id="234"/>
      <w:bookmarkStart w:id="235" w:name="_Toc184312103"/>
      <w:bookmarkEnd w:id="235"/>
      <w:bookmarkStart w:id="236" w:name="_Toc184313277"/>
      <w:bookmarkEnd w:id="236"/>
      <w:bookmarkStart w:id="237" w:name="_Toc184310304"/>
      <w:bookmarkEnd w:id="237"/>
      <w:bookmarkStart w:id="238" w:name="_Toc184312085"/>
      <w:bookmarkEnd w:id="238"/>
      <w:bookmarkStart w:id="239" w:name="_Toc184308068"/>
      <w:bookmarkEnd w:id="239"/>
      <w:bookmarkStart w:id="240" w:name="_Toc184308070"/>
      <w:bookmarkEnd w:id="240"/>
      <w:bookmarkStart w:id="241" w:name="_Toc184314431"/>
      <w:bookmarkEnd w:id="241"/>
      <w:bookmarkStart w:id="242" w:name="_Toc184314452"/>
      <w:bookmarkEnd w:id="242"/>
      <w:bookmarkStart w:id="243" w:name="_Toc184312106"/>
      <w:bookmarkEnd w:id="243"/>
      <w:bookmarkStart w:id="244" w:name="_Toc184313247"/>
      <w:bookmarkEnd w:id="244"/>
      <w:bookmarkStart w:id="245" w:name="_Toc184313252"/>
      <w:bookmarkEnd w:id="245"/>
      <w:bookmarkStart w:id="246" w:name="_Toc184312117"/>
      <w:bookmarkEnd w:id="246"/>
      <w:bookmarkStart w:id="247" w:name="_Toc184308064"/>
      <w:bookmarkEnd w:id="247"/>
      <w:bookmarkStart w:id="248" w:name="_Toc184314472"/>
      <w:bookmarkEnd w:id="248"/>
      <w:bookmarkStart w:id="249" w:name="_Toc184308042"/>
      <w:bookmarkEnd w:id="249"/>
      <w:bookmarkStart w:id="250" w:name="_Toc184308058"/>
      <w:bookmarkEnd w:id="250"/>
      <w:bookmarkStart w:id="251" w:name="_Toc184308063"/>
      <w:bookmarkEnd w:id="251"/>
      <w:bookmarkStart w:id="252" w:name="_Toc184314433"/>
      <w:bookmarkEnd w:id="252"/>
      <w:bookmarkStart w:id="253" w:name="_Toc184314461"/>
      <w:bookmarkEnd w:id="253"/>
      <w:bookmarkStart w:id="254" w:name="_Toc184312128"/>
      <w:bookmarkEnd w:id="254"/>
      <w:bookmarkStart w:id="255" w:name="_Toc184312071"/>
      <w:bookmarkEnd w:id="255"/>
      <w:bookmarkStart w:id="256" w:name="_Toc184308105"/>
      <w:bookmarkEnd w:id="256"/>
      <w:bookmarkStart w:id="257" w:name="_Toc184310314"/>
      <w:bookmarkEnd w:id="257"/>
      <w:bookmarkStart w:id="258" w:name="_Toc184308048"/>
      <w:bookmarkEnd w:id="258"/>
      <w:bookmarkStart w:id="259" w:name="_Toc184308100"/>
      <w:bookmarkEnd w:id="259"/>
      <w:bookmarkStart w:id="260" w:name="_Toc184310303"/>
      <w:bookmarkEnd w:id="260"/>
      <w:bookmarkStart w:id="261" w:name="_Toc184314448"/>
      <w:bookmarkEnd w:id="261"/>
      <w:bookmarkStart w:id="262" w:name="_Toc184313293"/>
      <w:bookmarkEnd w:id="262"/>
      <w:bookmarkStart w:id="263" w:name="_Toc184313304"/>
      <w:bookmarkEnd w:id="263"/>
      <w:bookmarkStart w:id="264" w:name="_Toc184314477"/>
      <w:bookmarkEnd w:id="264"/>
      <w:bookmarkStart w:id="265" w:name="_Toc184310290"/>
      <w:bookmarkEnd w:id="265"/>
      <w:bookmarkStart w:id="266" w:name="_Toc184310318"/>
      <w:bookmarkEnd w:id="266"/>
      <w:bookmarkStart w:id="267" w:name="_Toc184314466"/>
      <w:bookmarkEnd w:id="267"/>
      <w:bookmarkStart w:id="268" w:name="_Toc184308099"/>
      <w:bookmarkEnd w:id="268"/>
      <w:bookmarkStart w:id="269" w:name="_Toc184308062"/>
      <w:bookmarkEnd w:id="269"/>
      <w:bookmarkStart w:id="270" w:name="_Toc184310340"/>
      <w:bookmarkEnd w:id="270"/>
      <w:bookmarkStart w:id="271" w:name="_Toc184310339"/>
      <w:bookmarkEnd w:id="271"/>
      <w:bookmarkStart w:id="272" w:name="_Toc184313307"/>
      <w:bookmarkEnd w:id="272"/>
      <w:bookmarkStart w:id="273" w:name="_Toc184313253"/>
      <w:bookmarkEnd w:id="273"/>
      <w:bookmarkStart w:id="274" w:name="_Toc184310316"/>
      <w:bookmarkEnd w:id="274"/>
      <w:bookmarkStart w:id="275" w:name="_Toc184314413"/>
      <w:bookmarkEnd w:id="275"/>
      <w:bookmarkStart w:id="276" w:name="_Toc184308047"/>
      <w:bookmarkEnd w:id="276"/>
      <w:bookmarkStart w:id="277" w:name="_Toc184308093"/>
      <w:bookmarkEnd w:id="277"/>
      <w:bookmarkStart w:id="278" w:name="_Toc184313271"/>
      <w:bookmarkEnd w:id="278"/>
      <w:bookmarkStart w:id="279" w:name="_Toc184312136"/>
      <w:bookmarkEnd w:id="279"/>
      <w:bookmarkStart w:id="280" w:name="_Toc184314443"/>
      <w:bookmarkEnd w:id="280"/>
      <w:bookmarkStart w:id="281" w:name="_Toc184312135"/>
      <w:bookmarkEnd w:id="281"/>
      <w:bookmarkStart w:id="282" w:name="_Toc184313282"/>
      <w:bookmarkEnd w:id="282"/>
      <w:bookmarkStart w:id="283" w:name="_Toc184308088"/>
      <w:bookmarkEnd w:id="283"/>
      <w:bookmarkStart w:id="284" w:name="_Toc184314414"/>
      <w:bookmarkEnd w:id="284"/>
      <w:bookmarkStart w:id="285" w:name="_Toc184310299"/>
      <w:bookmarkEnd w:id="285"/>
      <w:bookmarkStart w:id="286" w:name="_Toc184308078"/>
      <w:bookmarkEnd w:id="286"/>
      <w:bookmarkStart w:id="287" w:name="_Toc184310305"/>
      <w:bookmarkEnd w:id="287"/>
      <w:bookmarkStart w:id="288" w:name="_Toc184314426"/>
      <w:bookmarkEnd w:id="288"/>
      <w:bookmarkStart w:id="289" w:name="_Toc184314412"/>
      <w:bookmarkEnd w:id="289"/>
      <w:bookmarkStart w:id="290" w:name="_Toc184310333"/>
      <w:bookmarkEnd w:id="290"/>
      <w:bookmarkStart w:id="291" w:name="_Toc184312139"/>
      <w:bookmarkEnd w:id="291"/>
      <w:bookmarkStart w:id="292" w:name="_Toc184308037"/>
      <w:bookmarkEnd w:id="292"/>
      <w:bookmarkStart w:id="293" w:name="_Toc184310338"/>
      <w:bookmarkEnd w:id="293"/>
      <w:bookmarkStart w:id="294" w:name="_Toc184314427"/>
      <w:bookmarkEnd w:id="294"/>
      <w:bookmarkStart w:id="295" w:name="_Toc184312111"/>
      <w:bookmarkEnd w:id="295"/>
      <w:bookmarkStart w:id="296" w:name="_Toc184308043"/>
      <w:bookmarkEnd w:id="296"/>
      <w:bookmarkStart w:id="297" w:name="_Toc184308066"/>
      <w:bookmarkEnd w:id="297"/>
      <w:bookmarkStart w:id="298" w:name="_Toc184314464"/>
      <w:bookmarkEnd w:id="298"/>
      <w:bookmarkStart w:id="299" w:name="_Toc184314421"/>
      <w:bookmarkEnd w:id="299"/>
      <w:bookmarkStart w:id="300" w:name="_Toc184308050"/>
      <w:bookmarkEnd w:id="300"/>
      <w:bookmarkStart w:id="301" w:name="_Toc184308090"/>
      <w:bookmarkEnd w:id="301"/>
      <w:bookmarkStart w:id="302" w:name="_Toc184313243"/>
      <w:bookmarkEnd w:id="302"/>
      <w:bookmarkStart w:id="303" w:name="_Toc184308089"/>
      <w:bookmarkEnd w:id="303"/>
      <w:bookmarkStart w:id="304" w:name="_Toc184308071"/>
      <w:bookmarkEnd w:id="304"/>
      <w:bookmarkStart w:id="305" w:name="_Toc184308083"/>
      <w:bookmarkEnd w:id="305"/>
      <w:bookmarkStart w:id="306" w:name="_Toc184312120"/>
      <w:bookmarkEnd w:id="306"/>
      <w:bookmarkStart w:id="307" w:name="_Toc184310325"/>
      <w:bookmarkEnd w:id="307"/>
      <w:bookmarkStart w:id="308" w:name="_Toc184313255"/>
      <w:bookmarkEnd w:id="308"/>
      <w:bookmarkStart w:id="309" w:name="_Toc184310280"/>
      <w:bookmarkEnd w:id="309"/>
      <w:bookmarkStart w:id="310" w:name="_Toc184312089"/>
      <w:bookmarkEnd w:id="310"/>
      <w:bookmarkStart w:id="311" w:name="_Toc184310322"/>
      <w:bookmarkEnd w:id="311"/>
      <w:bookmarkStart w:id="312" w:name="_Toc184313240"/>
      <w:bookmarkEnd w:id="312"/>
      <w:bookmarkStart w:id="313" w:name="_Toc184308091"/>
      <w:bookmarkEnd w:id="313"/>
      <w:bookmarkStart w:id="314" w:name="_Toc184314435"/>
      <w:bookmarkEnd w:id="314"/>
      <w:bookmarkStart w:id="315" w:name="_Toc184314475"/>
      <w:bookmarkEnd w:id="315"/>
      <w:bookmarkStart w:id="316" w:name="_Toc184310291"/>
      <w:bookmarkEnd w:id="316"/>
      <w:bookmarkStart w:id="317" w:name="_Toc184310336"/>
      <w:bookmarkEnd w:id="317"/>
      <w:bookmarkStart w:id="318" w:name="_Toc184312133"/>
      <w:bookmarkEnd w:id="318"/>
      <w:bookmarkStart w:id="319" w:name="_Toc184312068"/>
      <w:bookmarkEnd w:id="319"/>
      <w:bookmarkStart w:id="320" w:name="_Toc184310273"/>
      <w:bookmarkEnd w:id="320"/>
      <w:bookmarkStart w:id="321" w:name="_Toc184308065"/>
      <w:bookmarkEnd w:id="321"/>
      <w:bookmarkStart w:id="322" w:name="_Toc184312119"/>
      <w:bookmarkEnd w:id="322"/>
      <w:bookmarkStart w:id="323" w:name="_Toc184313286"/>
      <w:bookmarkEnd w:id="323"/>
      <w:bookmarkStart w:id="324" w:name="_Toc184310335"/>
      <w:bookmarkEnd w:id="324"/>
      <w:bookmarkStart w:id="325" w:name="_Toc184310328"/>
      <w:bookmarkEnd w:id="325"/>
      <w:bookmarkStart w:id="326" w:name="_Toc184314465"/>
      <w:bookmarkEnd w:id="326"/>
      <w:bookmarkStart w:id="327" w:name="_Toc184314457"/>
      <w:bookmarkEnd w:id="327"/>
      <w:bookmarkStart w:id="328" w:name="_Toc184310302"/>
      <w:bookmarkEnd w:id="328"/>
      <w:bookmarkStart w:id="329" w:name="_Toc184308038"/>
      <w:bookmarkEnd w:id="329"/>
      <w:bookmarkStart w:id="330" w:name="_Toc184310285"/>
      <w:bookmarkEnd w:id="330"/>
      <w:bookmarkStart w:id="331" w:name="_Toc184308052"/>
      <w:bookmarkEnd w:id="331"/>
      <w:bookmarkStart w:id="332" w:name="_Toc184312080"/>
      <w:bookmarkEnd w:id="332"/>
      <w:bookmarkStart w:id="333" w:name="_Toc184308085"/>
      <w:bookmarkEnd w:id="333"/>
      <w:bookmarkStart w:id="334" w:name="_Toc184314441"/>
      <w:bookmarkEnd w:id="334"/>
      <w:bookmarkStart w:id="335" w:name="_Toc184308103"/>
      <w:bookmarkEnd w:id="335"/>
      <w:bookmarkStart w:id="336" w:name="_Toc184312098"/>
      <w:bookmarkEnd w:id="336"/>
      <w:bookmarkStart w:id="337" w:name="_Toc184313290"/>
      <w:bookmarkEnd w:id="337"/>
      <w:bookmarkStart w:id="338" w:name="_Toc184313283"/>
      <w:bookmarkEnd w:id="338"/>
      <w:bookmarkStart w:id="339" w:name="_Toc184314438"/>
      <w:bookmarkEnd w:id="339"/>
      <w:bookmarkStart w:id="340" w:name="_Toc184312125"/>
      <w:bookmarkEnd w:id="340"/>
      <w:bookmarkStart w:id="341" w:name="_Toc184308056"/>
      <w:bookmarkEnd w:id="341"/>
      <w:bookmarkStart w:id="342" w:name="_Toc184310298"/>
      <w:bookmarkEnd w:id="342"/>
      <w:bookmarkStart w:id="343" w:name="_Toc184314432"/>
      <w:bookmarkEnd w:id="343"/>
      <w:bookmarkStart w:id="344" w:name="_Toc184310309"/>
      <w:bookmarkEnd w:id="344"/>
      <w:bookmarkStart w:id="345" w:name="_Toc184308077"/>
      <w:bookmarkEnd w:id="345"/>
      <w:bookmarkStart w:id="346" w:name="_Toc184312131"/>
      <w:bookmarkEnd w:id="346"/>
      <w:bookmarkStart w:id="347" w:name="_Toc184312107"/>
      <w:bookmarkEnd w:id="347"/>
      <w:bookmarkStart w:id="348" w:name="_Toc184308036"/>
      <w:bookmarkEnd w:id="348"/>
      <w:bookmarkStart w:id="349" w:name="_Toc184312138"/>
      <w:bookmarkEnd w:id="349"/>
      <w:bookmarkStart w:id="350" w:name="_Toc184312100"/>
      <w:bookmarkEnd w:id="350"/>
      <w:bookmarkStart w:id="351" w:name="_Toc184313302"/>
      <w:bookmarkEnd w:id="351"/>
      <w:bookmarkStart w:id="352" w:name="_Toc184313289"/>
      <w:bookmarkEnd w:id="352"/>
      <w:bookmarkStart w:id="353" w:name="_Toc184313261"/>
      <w:bookmarkEnd w:id="353"/>
      <w:bookmarkStart w:id="354" w:name="_Toc184314423"/>
      <w:bookmarkEnd w:id="354"/>
      <w:bookmarkStart w:id="355" w:name="_Toc184313291"/>
      <w:bookmarkEnd w:id="355"/>
      <w:bookmarkStart w:id="356" w:name="_Toc184310332"/>
      <w:bookmarkEnd w:id="356"/>
      <w:bookmarkStart w:id="357" w:name="_Toc184310295"/>
      <w:bookmarkEnd w:id="357"/>
      <w:bookmarkStart w:id="358" w:name="_Toc184314425"/>
      <w:bookmarkEnd w:id="358"/>
      <w:bookmarkStart w:id="359" w:name="_Toc184313288"/>
      <w:bookmarkEnd w:id="359"/>
      <w:bookmarkStart w:id="360" w:name="_Toc184308081"/>
      <w:bookmarkEnd w:id="360"/>
      <w:bookmarkStart w:id="361" w:name="_Toc184310312"/>
      <w:bookmarkEnd w:id="361"/>
      <w:bookmarkStart w:id="362" w:name="_Toc184308059"/>
      <w:bookmarkEnd w:id="362"/>
      <w:bookmarkStart w:id="363" w:name="_Toc184312067"/>
      <w:bookmarkEnd w:id="363"/>
      <w:bookmarkStart w:id="364" w:name="_Toc184314429"/>
      <w:bookmarkEnd w:id="364"/>
      <w:bookmarkStart w:id="365" w:name="_Toc184310301"/>
      <w:bookmarkEnd w:id="365"/>
      <w:bookmarkStart w:id="366" w:name="_Toc184314450"/>
      <w:bookmarkEnd w:id="366"/>
      <w:bookmarkStart w:id="367" w:name="_Toc184313295"/>
      <w:bookmarkEnd w:id="367"/>
      <w:bookmarkStart w:id="368" w:name="_Toc184312102"/>
      <w:bookmarkEnd w:id="368"/>
      <w:bookmarkStart w:id="369" w:name="_Toc184310297"/>
      <w:bookmarkEnd w:id="369"/>
      <w:bookmarkStart w:id="370" w:name="_Toc184313294"/>
      <w:bookmarkEnd w:id="370"/>
      <w:bookmarkStart w:id="371" w:name="_Toc184313298"/>
      <w:bookmarkEnd w:id="371"/>
      <w:bookmarkStart w:id="372" w:name="_Toc184313258"/>
      <w:bookmarkEnd w:id="372"/>
      <w:bookmarkStart w:id="373" w:name="_Toc184312099"/>
      <w:bookmarkEnd w:id="373"/>
      <w:bookmarkStart w:id="374" w:name="_Toc184312086"/>
      <w:bookmarkEnd w:id="374"/>
      <w:bookmarkStart w:id="375" w:name="_Toc184314416"/>
      <w:bookmarkEnd w:id="375"/>
      <w:bookmarkStart w:id="376" w:name="_Toc184312116"/>
      <w:bookmarkEnd w:id="376"/>
      <w:bookmarkStart w:id="377" w:name="_Toc184312124"/>
      <w:bookmarkEnd w:id="377"/>
      <w:bookmarkStart w:id="378" w:name="_Toc184312070"/>
      <w:bookmarkEnd w:id="378"/>
      <w:bookmarkStart w:id="379" w:name="_Toc184312132"/>
      <w:bookmarkEnd w:id="379"/>
      <w:bookmarkStart w:id="380" w:name="_Toc184310289"/>
      <w:bookmarkEnd w:id="380"/>
      <w:bookmarkStart w:id="381" w:name="_Toc184314420"/>
      <w:bookmarkEnd w:id="381"/>
      <w:bookmarkStart w:id="382" w:name="_Toc184314411"/>
      <w:bookmarkEnd w:id="382"/>
      <w:bookmarkStart w:id="383" w:name="_Toc184314442"/>
      <w:bookmarkEnd w:id="383"/>
      <w:bookmarkStart w:id="384" w:name="_Toc184314454"/>
      <w:bookmarkEnd w:id="384"/>
      <w:bookmarkStart w:id="385" w:name="_Toc184314418"/>
      <w:bookmarkEnd w:id="385"/>
      <w:bookmarkStart w:id="386" w:name="_Toc184310288"/>
      <w:bookmarkEnd w:id="386"/>
      <w:bookmarkStart w:id="387" w:name="_Toc184308073"/>
      <w:bookmarkEnd w:id="387"/>
      <w:bookmarkStart w:id="388" w:name="_Toc184310300"/>
      <w:bookmarkEnd w:id="388"/>
      <w:bookmarkStart w:id="389" w:name="_Toc184314458"/>
      <w:bookmarkEnd w:id="389"/>
      <w:bookmarkStart w:id="390" w:name="_Toc184312092"/>
      <w:bookmarkEnd w:id="390"/>
      <w:bookmarkStart w:id="391" w:name="_Toc184310277"/>
      <w:bookmarkEnd w:id="391"/>
      <w:bookmarkStart w:id="392" w:name="_Toc184313257"/>
      <w:bookmarkEnd w:id="392"/>
      <w:bookmarkStart w:id="393" w:name="_Toc184314439"/>
      <w:bookmarkEnd w:id="393"/>
      <w:bookmarkStart w:id="394" w:name="_Toc184312073"/>
      <w:bookmarkEnd w:id="394"/>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1281" w:tblpY="1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5197"/>
        <w:gridCol w:w="634"/>
        <w:gridCol w:w="828"/>
        <w:gridCol w:w="1317"/>
      </w:tblGrid>
      <w:tr w14:paraId="5B79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04" w:type="pct"/>
            <w:vAlign w:val="center"/>
          </w:tcPr>
          <w:p w14:paraId="4057ECF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058" w:type="pct"/>
            <w:vAlign w:val="center"/>
          </w:tcPr>
          <w:p w14:paraId="0C05BB9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评标标准</w:t>
            </w:r>
          </w:p>
        </w:tc>
        <w:tc>
          <w:tcPr>
            <w:tcW w:w="373" w:type="pct"/>
            <w:vAlign w:val="center"/>
          </w:tcPr>
          <w:p w14:paraId="131334F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c>
          <w:tcPr>
            <w:tcW w:w="487" w:type="pct"/>
            <w:vAlign w:val="center"/>
          </w:tcPr>
          <w:p w14:paraId="2BFD689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主观分/客观分属性</w:t>
            </w:r>
          </w:p>
        </w:tc>
        <w:tc>
          <w:tcPr>
            <w:tcW w:w="775" w:type="pct"/>
          </w:tcPr>
          <w:p w14:paraId="11B9D74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投标文件中评标标准相应的商务技术资料目录 *</w:t>
            </w:r>
          </w:p>
        </w:tc>
      </w:tr>
      <w:tr w14:paraId="029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04" w:type="pct"/>
            <w:vAlign w:val="center"/>
          </w:tcPr>
          <w:p w14:paraId="532596E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58" w:type="pct"/>
            <w:vAlign w:val="center"/>
          </w:tcPr>
          <w:p w14:paraId="0A0B263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供应商具有有效的ISO质量管理体系认证、ISO职业健康管理体系认证、ISO环境管理体系认证的，每个得1分，最高得3分。</w:t>
            </w:r>
            <w:r>
              <w:rPr>
                <w:rFonts w:hint="eastAsia" w:ascii="宋体" w:hAnsi="宋体" w:eastAsia="宋体" w:cs="宋体"/>
                <w:color w:val="auto"/>
                <w:sz w:val="24"/>
                <w:szCs w:val="24"/>
                <w:lang w:val="en-US" w:eastAsia="zh-CN"/>
              </w:rPr>
              <w:t>证明材料：</w:t>
            </w:r>
            <w:r>
              <w:rPr>
                <w:rFonts w:hint="eastAsia" w:ascii="宋体" w:hAnsi="宋体" w:eastAsia="宋体" w:cs="宋体"/>
                <w:color w:val="auto"/>
                <w:sz w:val="24"/>
                <w:szCs w:val="24"/>
              </w:rPr>
              <w:t>提供证书扫描件，未提供的不得分</w:t>
            </w:r>
          </w:p>
        </w:tc>
        <w:tc>
          <w:tcPr>
            <w:tcW w:w="373" w:type="pct"/>
            <w:vAlign w:val="center"/>
          </w:tcPr>
          <w:p w14:paraId="36D852E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487" w:type="pct"/>
            <w:vAlign w:val="center"/>
          </w:tcPr>
          <w:p w14:paraId="50C943D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客观分</w:t>
            </w:r>
          </w:p>
        </w:tc>
        <w:tc>
          <w:tcPr>
            <w:tcW w:w="775" w:type="pct"/>
            <w:vAlign w:val="center"/>
          </w:tcPr>
          <w:p w14:paraId="28C2DCD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7D18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04" w:type="pct"/>
            <w:vAlign w:val="center"/>
          </w:tcPr>
          <w:p w14:paraId="4CA6B34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58" w:type="pct"/>
            <w:vAlign w:val="center"/>
          </w:tcPr>
          <w:p w14:paraId="31F5C9D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年01月01日以来完成</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类似</w:t>
            </w:r>
            <w:r>
              <w:rPr>
                <w:rFonts w:hint="eastAsia" w:ascii="宋体" w:hAnsi="宋体" w:eastAsia="宋体" w:cs="宋体"/>
                <w:color w:val="auto"/>
                <w:sz w:val="24"/>
                <w:szCs w:val="24"/>
                <w:lang w:val="en-US" w:eastAsia="zh-CN"/>
              </w:rPr>
              <w:t>巡防保安服务</w:t>
            </w:r>
            <w:r>
              <w:rPr>
                <w:rFonts w:hint="eastAsia" w:ascii="宋体" w:hAnsi="宋体" w:eastAsia="宋体" w:cs="宋体"/>
                <w:color w:val="auto"/>
                <w:sz w:val="24"/>
                <w:szCs w:val="24"/>
              </w:rPr>
              <w:t>业绩，每个得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分。（证明材料：须提供服务合同，时间以合同签订时间为准；同一业主单位的业绩不重复计算）</w:t>
            </w:r>
          </w:p>
        </w:tc>
        <w:tc>
          <w:tcPr>
            <w:tcW w:w="373" w:type="pct"/>
            <w:vAlign w:val="center"/>
          </w:tcPr>
          <w:p w14:paraId="0B00984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487" w:type="pct"/>
            <w:vAlign w:val="center"/>
          </w:tcPr>
          <w:p w14:paraId="03CD1A6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客观分</w:t>
            </w:r>
          </w:p>
        </w:tc>
        <w:tc>
          <w:tcPr>
            <w:tcW w:w="775" w:type="pct"/>
          </w:tcPr>
          <w:p w14:paraId="3E6F218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6C50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trPr>
        <w:tc>
          <w:tcPr>
            <w:tcW w:w="304" w:type="pct"/>
            <w:vAlign w:val="center"/>
          </w:tcPr>
          <w:p w14:paraId="09929F6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58" w:type="pct"/>
            <w:vAlign w:val="center"/>
          </w:tcPr>
          <w:p w14:paraId="4E24BEB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针对本项目的人员安排情况：</w:t>
            </w:r>
          </w:p>
          <w:p w14:paraId="608F54A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bookmarkStart w:id="395" w:name="OLE_LINK2"/>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项目负责人具有</w:t>
            </w:r>
            <w:r>
              <w:rPr>
                <w:rFonts w:hint="eastAsia" w:ascii="宋体" w:hAnsi="宋体" w:eastAsia="宋体" w:cs="宋体"/>
                <w:color w:val="auto"/>
                <w:sz w:val="24"/>
                <w:szCs w:val="24"/>
                <w:lang w:eastAsia="zh-CN"/>
              </w:rPr>
              <w:t>：</w:t>
            </w:r>
          </w:p>
          <w:p w14:paraId="046F0FE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（1）年龄45周岁及以下得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67A3BBA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w:t>
            </w:r>
            <w:r>
              <w:rPr>
                <w:rFonts w:hint="eastAsia" w:ascii="宋体" w:hAnsi="宋体" w:eastAsia="宋体" w:cs="宋体"/>
                <w:color w:val="auto"/>
                <w:sz w:val="24"/>
                <w:szCs w:val="24"/>
                <w:lang w:val="en-US" w:eastAsia="zh-CN"/>
              </w:rPr>
              <w:t>本科</w:t>
            </w:r>
            <w:r>
              <w:rPr>
                <w:rFonts w:hint="eastAsia" w:ascii="宋体" w:hAnsi="宋体" w:eastAsia="宋体" w:cs="宋体"/>
                <w:color w:val="auto"/>
                <w:sz w:val="24"/>
                <w:szCs w:val="24"/>
              </w:rPr>
              <w:t>及以上学历的得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43358C2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（3）具有保安员（二级）</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证书得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31FD7C6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）具有安全评价师证书得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61FA606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驻点队长具有大专及以上学历得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分；具有保安员（二级）</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证书得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3EFE106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驻点副队长具有保安员</w:t>
            </w:r>
            <w:r>
              <w:rPr>
                <w:rFonts w:hint="eastAsia" w:ascii="宋体" w:hAnsi="宋体" w:eastAsia="宋体" w:cs="宋体"/>
                <w:color w:val="auto"/>
                <w:sz w:val="24"/>
                <w:szCs w:val="24"/>
                <w:lang w:val="en-US" w:eastAsia="zh-CN"/>
              </w:rPr>
              <w:t>（三级保安员）及以上</w:t>
            </w:r>
            <w:r>
              <w:rPr>
                <w:rFonts w:hint="eastAsia" w:ascii="宋体" w:hAnsi="宋体" w:eastAsia="宋体" w:cs="宋体"/>
                <w:color w:val="auto"/>
                <w:sz w:val="24"/>
                <w:szCs w:val="24"/>
                <w:lang w:eastAsia="zh-CN"/>
              </w:rPr>
              <w:t>证书</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bookmarkEnd w:id="395"/>
          </w:p>
          <w:p w14:paraId="1BF7B7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sz w:val="24"/>
                <w:szCs w:val="24"/>
              </w:rPr>
              <w:t>证明材料：提供证书</w:t>
            </w:r>
            <w:r>
              <w:rPr>
                <w:rFonts w:hint="eastAsia" w:ascii="宋体" w:hAnsi="宋体" w:eastAsia="宋体" w:cs="宋体"/>
                <w:b/>
                <w:bCs/>
                <w:color w:val="auto"/>
                <w:sz w:val="24"/>
                <w:szCs w:val="24"/>
                <w:lang w:val="en-US" w:eastAsia="zh-CN"/>
              </w:rPr>
              <w:t>证明</w:t>
            </w:r>
            <w:r>
              <w:rPr>
                <w:rFonts w:hint="eastAsia" w:ascii="宋体" w:hAnsi="宋体" w:eastAsia="宋体" w:cs="宋体"/>
                <w:b/>
                <w:bCs/>
                <w:color w:val="auto"/>
                <w:sz w:val="24"/>
                <w:szCs w:val="24"/>
              </w:rPr>
              <w:t>扫描件</w:t>
            </w:r>
            <w:r>
              <w:rPr>
                <w:rFonts w:hint="eastAsia" w:ascii="宋体" w:hAnsi="宋体" w:eastAsia="宋体" w:cs="宋体"/>
                <w:b/>
                <w:bCs/>
                <w:color w:val="auto"/>
                <w:sz w:val="24"/>
                <w:szCs w:val="24"/>
                <w:lang w:val="en-US" w:eastAsia="zh-CN"/>
              </w:rPr>
              <w:t>及</w:t>
            </w:r>
            <w:r>
              <w:rPr>
                <w:rFonts w:hint="eastAsia" w:ascii="宋体" w:hAnsi="宋体" w:eastAsia="宋体" w:cs="宋体"/>
                <w:b/>
                <w:bCs/>
                <w:color w:val="auto"/>
                <w:sz w:val="24"/>
                <w:szCs w:val="24"/>
                <w:highlight w:val="none"/>
                <w:lang w:val="en-US" w:eastAsia="zh-CN"/>
              </w:rPr>
              <w:t>近三个月任一一个月参保证明，不提供不得分</w:t>
            </w:r>
          </w:p>
        </w:tc>
        <w:tc>
          <w:tcPr>
            <w:tcW w:w="373" w:type="pct"/>
            <w:vAlign w:val="center"/>
          </w:tcPr>
          <w:p w14:paraId="1C612E0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487" w:type="pct"/>
            <w:vAlign w:val="center"/>
          </w:tcPr>
          <w:p w14:paraId="4D1C910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客观分</w:t>
            </w:r>
          </w:p>
        </w:tc>
        <w:tc>
          <w:tcPr>
            <w:tcW w:w="775" w:type="pct"/>
          </w:tcPr>
          <w:p w14:paraId="5D093C6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0EAF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vAlign w:val="center"/>
          </w:tcPr>
          <w:p w14:paraId="3CF6998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058" w:type="pct"/>
            <w:vAlign w:val="center"/>
          </w:tcPr>
          <w:p w14:paraId="263EB32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项目投入人员：</w:t>
            </w:r>
          </w:p>
          <w:p w14:paraId="75BEB00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提供入场人员名单及证明资料</w:t>
            </w:r>
          </w:p>
          <w:p w14:paraId="7D9D1A0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b w:val="0"/>
                <w:bCs w:val="0"/>
                <w:color w:val="auto"/>
                <w:sz w:val="24"/>
                <w:szCs w:val="24"/>
                <w:highlight w:val="none"/>
                <w:lang w:val="en-US" w:eastAsia="zh-CN"/>
              </w:rPr>
              <w:t>项目团队中退伍军人，每人得0.5分，最高得4分，提供退伍（役）证，不提供的不得分。</w:t>
            </w:r>
            <w:r>
              <w:rPr>
                <w:rFonts w:hint="eastAsia" w:ascii="宋体" w:hAnsi="宋体" w:eastAsia="宋体" w:cs="宋体"/>
                <w:b/>
                <w:bCs/>
                <w:color w:val="auto"/>
                <w:sz w:val="24"/>
                <w:szCs w:val="24"/>
                <w:highlight w:val="none"/>
                <w:lang w:val="en-US" w:eastAsia="zh-CN"/>
              </w:rPr>
              <w:t>，不提供不得分。</w:t>
            </w:r>
          </w:p>
          <w:p w14:paraId="110550C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（2）拟派项目人员有街道巡防工作经验每个人员得0.2分，共4分；注：提供有效的甲方工作证明材料，不提供的不得分。</w:t>
            </w:r>
          </w:p>
          <w:p w14:paraId="538A757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（3）拟派项目人员会驾驶车辆，提供一个驾驶证1分，最高得4分；</w:t>
            </w:r>
          </w:p>
          <w:p w14:paraId="181241C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（4）投标人提供保安人员人身意外险购买证明的，得2分，（证明材料：提供身意外险购买证明及承诺书，不提供不得分）；</w:t>
            </w:r>
          </w:p>
          <w:p w14:paraId="5743069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（5）承诺项目后补人员不低于4人的得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分。不提供承诺不得分；</w:t>
            </w:r>
          </w:p>
        </w:tc>
        <w:tc>
          <w:tcPr>
            <w:tcW w:w="373" w:type="pct"/>
            <w:vAlign w:val="center"/>
          </w:tcPr>
          <w:p w14:paraId="1B0EC53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487" w:type="pct"/>
          </w:tcPr>
          <w:p w14:paraId="5196F7E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客观分</w:t>
            </w:r>
          </w:p>
        </w:tc>
        <w:tc>
          <w:tcPr>
            <w:tcW w:w="775" w:type="pct"/>
          </w:tcPr>
          <w:p w14:paraId="4DECA63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751A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14:paraId="67BF4A9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058" w:type="pct"/>
            <w:vAlign w:val="center"/>
          </w:tcPr>
          <w:p w14:paraId="5FAFAD41">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项目背景分析：供应商针对本项目的背景分析，根据内容完整性、合理性、周密性进行打分。要点内容完整、完全符合项目情况的具有合理操作性且符合实际需求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方案完整、</w:t>
            </w:r>
            <w:r>
              <w:rPr>
                <w:rFonts w:hint="eastAsia" w:ascii="宋体" w:hAnsi="宋体" w:eastAsia="宋体" w:cs="宋体"/>
                <w:color w:val="auto"/>
                <w:sz w:val="24"/>
                <w:szCs w:val="24"/>
              </w:rPr>
              <w:t>具有合理操作性且符合</w:t>
            </w:r>
            <w:r>
              <w:rPr>
                <w:rFonts w:hint="eastAsia" w:ascii="宋体" w:hAnsi="宋体" w:eastAsia="宋体" w:cs="宋体"/>
                <w:color w:val="auto"/>
                <w:sz w:val="24"/>
                <w:szCs w:val="24"/>
                <w:lang w:val="en-US" w:eastAsia="zh-CN"/>
              </w:rPr>
              <w:t>采购需求的。（评分范围：5,4,3,2,1,0）</w:t>
            </w:r>
          </w:p>
        </w:tc>
        <w:tc>
          <w:tcPr>
            <w:tcW w:w="373" w:type="pct"/>
            <w:vAlign w:val="center"/>
          </w:tcPr>
          <w:p w14:paraId="4F4DAF8B">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487" w:type="pct"/>
            <w:vAlign w:val="center"/>
          </w:tcPr>
          <w:p w14:paraId="70C3C1F4">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775" w:type="pct"/>
          </w:tcPr>
          <w:p w14:paraId="647EA9D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1EF9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14:paraId="5933CC4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058" w:type="pct"/>
            <w:vAlign w:val="center"/>
          </w:tcPr>
          <w:p w14:paraId="7BD9F37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w:t>
            </w:r>
            <w:r>
              <w:rPr>
                <w:rFonts w:hint="eastAsia" w:ascii="宋体" w:hAnsi="宋体" w:eastAsia="宋体" w:cs="宋体"/>
                <w:color w:val="auto"/>
                <w:sz w:val="24"/>
                <w:szCs w:val="24"/>
                <w:lang w:eastAsia="zh-CN"/>
              </w:rPr>
              <w:t>组织机构及人员配备</w:t>
            </w:r>
            <w:r>
              <w:rPr>
                <w:rFonts w:hint="eastAsia" w:ascii="宋体" w:hAnsi="宋体" w:eastAsia="宋体" w:cs="宋体"/>
                <w:color w:val="auto"/>
                <w:sz w:val="24"/>
                <w:szCs w:val="24"/>
                <w:lang w:val="en-US" w:eastAsia="zh-CN"/>
              </w:rPr>
              <w:t>计划</w:t>
            </w:r>
          </w:p>
          <w:p w14:paraId="103C344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根据投标文件</w:t>
            </w:r>
            <w:r>
              <w:rPr>
                <w:rFonts w:hint="eastAsia" w:ascii="宋体" w:hAnsi="宋体" w:eastAsia="宋体" w:cs="宋体"/>
                <w:color w:val="auto"/>
                <w:sz w:val="24"/>
                <w:szCs w:val="24"/>
                <w:lang w:val="en-US" w:eastAsia="zh-CN"/>
              </w:rPr>
              <w:t xml:space="preserve">岗位细则、排班制度、福利待遇、人员管理等 </w:t>
            </w:r>
            <w:r>
              <w:rPr>
                <w:rFonts w:hint="eastAsia" w:ascii="宋体" w:hAnsi="宋体" w:eastAsia="宋体" w:cs="宋体"/>
                <w:color w:val="auto"/>
                <w:sz w:val="24"/>
                <w:szCs w:val="24"/>
              </w:rPr>
              <w:t>内容进行综合打分。具有合理操作性且符合实际需求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方案完整、</w:t>
            </w:r>
            <w:r>
              <w:rPr>
                <w:rFonts w:hint="eastAsia" w:ascii="宋体" w:hAnsi="宋体" w:eastAsia="宋体" w:cs="宋体"/>
                <w:color w:val="auto"/>
                <w:sz w:val="24"/>
                <w:szCs w:val="24"/>
              </w:rPr>
              <w:t>具有合理操作性且符合</w:t>
            </w:r>
            <w:r>
              <w:rPr>
                <w:rFonts w:hint="eastAsia" w:ascii="宋体" w:hAnsi="宋体" w:eastAsia="宋体" w:cs="宋体"/>
                <w:color w:val="auto"/>
                <w:sz w:val="24"/>
                <w:szCs w:val="24"/>
                <w:lang w:val="en-US" w:eastAsia="zh-CN"/>
              </w:rPr>
              <w:t>采购需求的。（评分范围：5,4,3,2,1,0）</w:t>
            </w:r>
          </w:p>
        </w:tc>
        <w:tc>
          <w:tcPr>
            <w:tcW w:w="373" w:type="pct"/>
            <w:vAlign w:val="center"/>
          </w:tcPr>
          <w:p w14:paraId="2DCA1AC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487" w:type="pct"/>
            <w:vAlign w:val="center"/>
          </w:tcPr>
          <w:p w14:paraId="5FD144FA">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7DBCA2B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3886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4" w:type="pct"/>
            <w:vAlign w:val="center"/>
          </w:tcPr>
          <w:p w14:paraId="3F1631F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3058" w:type="pct"/>
            <w:vAlign w:val="center"/>
          </w:tcPr>
          <w:p w14:paraId="15C0C64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针对本项目设施设备投入方案</w:t>
            </w:r>
          </w:p>
          <w:p w14:paraId="652EAB5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供应商针对本项目拟投入使用的服装、设备、工器具、车辆情况：</w:t>
            </w:r>
          </w:p>
          <w:p w14:paraId="522FDB7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对服务人员的各季节服装、防暑防雨用品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春秋冬特保服、防暑药品、口罩、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配备情况。</w:t>
            </w:r>
            <w:r>
              <w:rPr>
                <w:rFonts w:hint="eastAsia" w:ascii="宋体" w:hAnsi="宋体" w:eastAsia="宋体" w:cs="宋体"/>
                <w:color w:val="auto"/>
                <w:sz w:val="24"/>
                <w:szCs w:val="24"/>
                <w:lang w:val="en-US" w:eastAsia="zh-CN"/>
              </w:rPr>
              <w:t>根据配备情况进行打分。（评分范围：3,2,1,0）</w:t>
            </w:r>
          </w:p>
          <w:p w14:paraId="2F1B572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对服务人员的通讯器材、装备工具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对讲机、警用盾牌、防爆毯、钢叉、灭火器、指挥棒、肩灯、口哨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配置情况。</w:t>
            </w:r>
            <w:r>
              <w:rPr>
                <w:rFonts w:hint="eastAsia" w:ascii="宋体" w:hAnsi="宋体" w:eastAsia="宋体" w:cs="宋体"/>
                <w:color w:val="auto"/>
                <w:sz w:val="24"/>
                <w:szCs w:val="24"/>
                <w:lang w:val="en-US" w:eastAsia="zh-CN"/>
              </w:rPr>
              <w:t>根据配备情况进行打分。（评分范围：3,2,1,0）</w:t>
            </w:r>
          </w:p>
          <w:p w14:paraId="6C23E10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3）基本车辆配置（巡逻电动车不低于14辆、四轮巡逻车不低于2辆）及合理的车辆使用保障方案。提供车辆购置发票或车辆租赁协议、租赁发票复印件等相关证明。（符合要求得3分）</w:t>
            </w:r>
          </w:p>
          <w:p w14:paraId="2E0D821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4）自有应急机动车辆配置情况（不低于1辆应急机动车辆），提供车辆购置发票等相关证明。（符合要求得2分）</w:t>
            </w:r>
          </w:p>
        </w:tc>
        <w:tc>
          <w:tcPr>
            <w:tcW w:w="373" w:type="pct"/>
            <w:vAlign w:val="center"/>
          </w:tcPr>
          <w:p w14:paraId="2B325C8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tc>
        <w:tc>
          <w:tcPr>
            <w:tcW w:w="487" w:type="pct"/>
            <w:vAlign w:val="center"/>
          </w:tcPr>
          <w:p w14:paraId="2EF8B202">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vAlign w:val="top"/>
          </w:tcPr>
          <w:p w14:paraId="05EBB0A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p>
        </w:tc>
      </w:tr>
      <w:tr w14:paraId="1903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4" w:type="pct"/>
            <w:vAlign w:val="center"/>
          </w:tcPr>
          <w:p w14:paraId="4D58FAA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3058" w:type="pct"/>
            <w:vAlign w:val="center"/>
          </w:tcPr>
          <w:p w14:paraId="34BBA561">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针对本项目的保安服务理念、定位、目标：根据本项目服务特点提出合理的保安服务理念，提出服务定位、目标，投标人的管理模式能够切合实际，且安全可行，安全性、文明服务的计划及承诺情况比较，根据投标文件内容进行综合打分。</w:t>
            </w:r>
            <w:r>
              <w:rPr>
                <w:rFonts w:hint="eastAsia" w:ascii="宋体" w:hAnsi="宋体" w:eastAsia="宋体" w:cs="宋体"/>
                <w:color w:val="auto"/>
                <w:sz w:val="24"/>
                <w:szCs w:val="24"/>
                <w:lang w:val="en-US" w:eastAsia="zh-CN"/>
              </w:rPr>
              <w:t>（评分范围：5,4,3,2,1,0）</w:t>
            </w:r>
          </w:p>
        </w:tc>
        <w:tc>
          <w:tcPr>
            <w:tcW w:w="373" w:type="pct"/>
            <w:vAlign w:val="center"/>
          </w:tcPr>
          <w:p w14:paraId="2EC6BE8F">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5分</w:t>
            </w:r>
          </w:p>
        </w:tc>
        <w:tc>
          <w:tcPr>
            <w:tcW w:w="487" w:type="pct"/>
            <w:vAlign w:val="center"/>
          </w:tcPr>
          <w:p w14:paraId="754C1E0E">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00080C0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59CB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4" w:type="pct"/>
            <w:vAlign w:val="center"/>
          </w:tcPr>
          <w:p w14:paraId="42908BF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3058" w:type="pct"/>
            <w:vAlign w:val="center"/>
          </w:tcPr>
          <w:p w14:paraId="3449552E">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针对本项目的组织架构、</w:t>
            </w:r>
            <w:r>
              <w:rPr>
                <w:rFonts w:hint="eastAsia" w:ascii="宋体" w:hAnsi="宋体" w:eastAsia="宋体" w:cs="宋体"/>
                <w:color w:val="auto"/>
                <w:sz w:val="24"/>
                <w:szCs w:val="24"/>
                <w:lang w:val="en-US" w:eastAsia="zh-CN"/>
              </w:rPr>
              <w:t>人员配置</w:t>
            </w:r>
            <w:r>
              <w:rPr>
                <w:rFonts w:hint="eastAsia" w:ascii="宋体" w:hAnsi="宋体" w:eastAsia="宋体" w:cs="宋体"/>
                <w:color w:val="auto"/>
                <w:sz w:val="24"/>
                <w:szCs w:val="24"/>
              </w:rPr>
              <w:t>：有比较完善的组织架构，清晰简练地列出主要管理流程，包括对运作流程图、激励机制、监督机制、自我约束机制、信息反馈渠道及处理机制比较，根据投标文件内容进行综合打分。</w:t>
            </w:r>
            <w:r>
              <w:rPr>
                <w:rFonts w:hint="eastAsia" w:ascii="宋体" w:hAnsi="宋体" w:eastAsia="宋体" w:cs="宋体"/>
                <w:color w:val="auto"/>
                <w:sz w:val="24"/>
                <w:szCs w:val="24"/>
                <w:lang w:val="en-US" w:eastAsia="zh-CN"/>
              </w:rPr>
              <w:t>（评分范围：5,4,3,2,1,0）</w:t>
            </w:r>
          </w:p>
        </w:tc>
        <w:tc>
          <w:tcPr>
            <w:tcW w:w="373" w:type="pct"/>
            <w:vAlign w:val="center"/>
          </w:tcPr>
          <w:p w14:paraId="1A005775">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5分</w:t>
            </w:r>
          </w:p>
        </w:tc>
        <w:tc>
          <w:tcPr>
            <w:tcW w:w="487" w:type="pct"/>
            <w:vAlign w:val="center"/>
          </w:tcPr>
          <w:p w14:paraId="67D68C10">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07D0CD0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1BFA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304" w:type="pct"/>
            <w:vAlign w:val="center"/>
          </w:tcPr>
          <w:p w14:paraId="6B1972F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3058" w:type="pct"/>
            <w:vAlign w:val="center"/>
          </w:tcPr>
          <w:p w14:paraId="486220AC">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针对本项目的各项管理制度：安全制度、各级人员的管理制度、岗位职责、考核制度比较，根据投标文件内容进行综合打分。</w:t>
            </w:r>
            <w:r>
              <w:rPr>
                <w:rFonts w:hint="eastAsia" w:ascii="宋体" w:hAnsi="宋体" w:eastAsia="宋体" w:cs="宋体"/>
                <w:color w:val="auto"/>
                <w:sz w:val="24"/>
                <w:szCs w:val="24"/>
                <w:lang w:val="en-US" w:eastAsia="zh-CN"/>
              </w:rPr>
              <w:t>制度方案完整、</w:t>
            </w:r>
            <w:r>
              <w:rPr>
                <w:rFonts w:hint="eastAsia" w:ascii="宋体" w:hAnsi="宋体" w:eastAsia="宋体" w:cs="宋体"/>
                <w:color w:val="auto"/>
                <w:sz w:val="24"/>
                <w:szCs w:val="24"/>
              </w:rPr>
              <w:t>具有合理操作性且符合</w:t>
            </w:r>
            <w:r>
              <w:rPr>
                <w:rFonts w:hint="eastAsia" w:ascii="宋体" w:hAnsi="宋体" w:eastAsia="宋体" w:cs="宋体"/>
                <w:color w:val="auto"/>
                <w:sz w:val="24"/>
                <w:szCs w:val="24"/>
                <w:lang w:val="en-US" w:eastAsia="zh-CN"/>
              </w:rPr>
              <w:t>采购需求的。（评分范围：5,4,3,2,1,0）</w:t>
            </w:r>
          </w:p>
        </w:tc>
        <w:tc>
          <w:tcPr>
            <w:tcW w:w="373" w:type="pct"/>
            <w:vAlign w:val="center"/>
          </w:tcPr>
          <w:p w14:paraId="2E16FDF2">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487" w:type="pct"/>
            <w:vAlign w:val="center"/>
          </w:tcPr>
          <w:p w14:paraId="40CB5CEF">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5B4D771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146A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4" w:type="pct"/>
            <w:vAlign w:val="center"/>
          </w:tcPr>
          <w:p w14:paraId="59E4A0E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3058" w:type="pct"/>
            <w:vAlign w:val="center"/>
          </w:tcPr>
          <w:p w14:paraId="152C4014">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针对本项目所提供的进退场交接方案以及确保执法辅助服务平稳交接过渡方案的完善情况：根据提供的方案内容进行评分，要点内容完整、完全符合项目情况。</w:t>
            </w:r>
            <w:r>
              <w:rPr>
                <w:rFonts w:hint="eastAsia" w:ascii="宋体" w:hAnsi="宋体" w:eastAsia="宋体" w:cs="宋体"/>
                <w:color w:val="auto"/>
                <w:sz w:val="24"/>
                <w:szCs w:val="24"/>
                <w:lang w:val="en-US" w:eastAsia="zh-CN"/>
              </w:rPr>
              <w:t>方案完整、</w:t>
            </w:r>
            <w:r>
              <w:rPr>
                <w:rFonts w:hint="eastAsia" w:ascii="宋体" w:hAnsi="宋体" w:eastAsia="宋体" w:cs="宋体"/>
                <w:color w:val="auto"/>
                <w:sz w:val="24"/>
                <w:szCs w:val="24"/>
              </w:rPr>
              <w:t>具有合理操作性且符合</w:t>
            </w:r>
            <w:r>
              <w:rPr>
                <w:rFonts w:hint="eastAsia" w:ascii="宋体" w:hAnsi="宋体" w:eastAsia="宋体" w:cs="宋体"/>
                <w:color w:val="auto"/>
                <w:sz w:val="24"/>
                <w:szCs w:val="24"/>
                <w:lang w:val="en-US" w:eastAsia="zh-CN"/>
              </w:rPr>
              <w:t>采购需求的。（评分范围：5,4,3,2,1,0）</w:t>
            </w:r>
          </w:p>
        </w:tc>
        <w:tc>
          <w:tcPr>
            <w:tcW w:w="373" w:type="pct"/>
            <w:vAlign w:val="center"/>
          </w:tcPr>
          <w:p w14:paraId="529617F6">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5分</w:t>
            </w:r>
          </w:p>
        </w:tc>
        <w:tc>
          <w:tcPr>
            <w:tcW w:w="487" w:type="pct"/>
            <w:vAlign w:val="center"/>
          </w:tcPr>
          <w:p w14:paraId="2C30E7D1">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67D34EF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73AE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4" w:type="pct"/>
            <w:vAlign w:val="center"/>
          </w:tcPr>
          <w:p w14:paraId="48BBC53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3058" w:type="pct"/>
            <w:vAlign w:val="top"/>
          </w:tcPr>
          <w:p w14:paraId="6EF20EA8">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保安管理与服务方案及质量标准措施：保安管理与服务方案，方案详细完整，可操作性强；根据采购人提出的保安服务质量标准提出相应的保证措施，根据投标文件内容进行综合打分。</w:t>
            </w:r>
            <w:r>
              <w:rPr>
                <w:rFonts w:hint="eastAsia" w:ascii="宋体" w:hAnsi="宋体" w:eastAsia="宋体" w:cs="宋体"/>
                <w:color w:val="auto"/>
                <w:sz w:val="24"/>
                <w:szCs w:val="24"/>
                <w:lang w:val="en-US" w:eastAsia="zh-CN"/>
              </w:rPr>
              <w:t>措施方案完整、</w:t>
            </w:r>
            <w:r>
              <w:rPr>
                <w:rFonts w:hint="eastAsia" w:ascii="宋体" w:hAnsi="宋体" w:eastAsia="宋体" w:cs="宋体"/>
                <w:color w:val="auto"/>
                <w:sz w:val="24"/>
                <w:szCs w:val="24"/>
              </w:rPr>
              <w:t>具有合理操作性且符合</w:t>
            </w:r>
            <w:r>
              <w:rPr>
                <w:rFonts w:hint="eastAsia" w:ascii="宋体" w:hAnsi="宋体" w:eastAsia="宋体" w:cs="宋体"/>
                <w:color w:val="auto"/>
                <w:sz w:val="24"/>
                <w:szCs w:val="24"/>
                <w:lang w:val="en-US" w:eastAsia="zh-CN"/>
              </w:rPr>
              <w:t>采购需求的。（评分范围：5,4,3,2,1,0）</w:t>
            </w:r>
          </w:p>
        </w:tc>
        <w:tc>
          <w:tcPr>
            <w:tcW w:w="373" w:type="pct"/>
            <w:vAlign w:val="center"/>
          </w:tcPr>
          <w:p w14:paraId="295C9BAF">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5分</w:t>
            </w:r>
          </w:p>
        </w:tc>
        <w:tc>
          <w:tcPr>
            <w:tcW w:w="487" w:type="pct"/>
            <w:vAlign w:val="center"/>
          </w:tcPr>
          <w:p w14:paraId="161AFE19">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2A3CF07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0C63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4" w:type="pct"/>
            <w:vAlign w:val="center"/>
          </w:tcPr>
          <w:p w14:paraId="1FFC933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3058" w:type="pct"/>
            <w:vAlign w:val="top"/>
          </w:tcPr>
          <w:p w14:paraId="1FFCF68B">
            <w:pPr>
              <w:keepNext w:val="0"/>
              <w:keepLines w:val="0"/>
              <w:pageBreakBefore w:val="0"/>
              <w:widowControl w:val="0"/>
              <w:kinsoku/>
              <w:wordWrap/>
              <w:topLinePunct w:val="0"/>
              <w:autoSpaceDE/>
              <w:autoSpaceDN/>
              <w:bidi w:val="0"/>
              <w:adjustRightInd w:val="0"/>
              <w:snapToGrid/>
              <w:spacing w:line="360" w:lineRule="auto"/>
              <w:ind w:firstLine="0" w:firstLineChars="0"/>
              <w:jc w:val="left"/>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突发事件的应急措施：对紧急事件的处理预案，内容完整，预案制定科学合理、真实有效，符合现场实际情况，根据投标文件内容进行综合打分。</w:t>
            </w:r>
            <w:r>
              <w:rPr>
                <w:rFonts w:hint="eastAsia" w:ascii="宋体" w:hAnsi="宋体" w:eastAsia="宋体" w:cs="宋体"/>
                <w:color w:val="auto"/>
                <w:sz w:val="24"/>
                <w:szCs w:val="24"/>
                <w:lang w:val="en-US" w:eastAsia="zh-CN"/>
              </w:rPr>
              <w:t>措施方案完整、</w:t>
            </w:r>
            <w:r>
              <w:rPr>
                <w:rFonts w:hint="eastAsia" w:ascii="宋体" w:hAnsi="宋体" w:eastAsia="宋体" w:cs="宋体"/>
                <w:color w:val="auto"/>
                <w:sz w:val="24"/>
                <w:szCs w:val="24"/>
              </w:rPr>
              <w:t>具有合理操作性且符合</w:t>
            </w:r>
            <w:r>
              <w:rPr>
                <w:rFonts w:hint="eastAsia" w:ascii="宋体" w:hAnsi="宋体" w:eastAsia="宋体" w:cs="宋体"/>
                <w:color w:val="auto"/>
                <w:sz w:val="24"/>
                <w:szCs w:val="24"/>
                <w:lang w:val="en-US" w:eastAsia="zh-CN"/>
              </w:rPr>
              <w:t>采购需求的。（评分范围：5,4,3,2,1,0）</w:t>
            </w:r>
          </w:p>
        </w:tc>
        <w:tc>
          <w:tcPr>
            <w:tcW w:w="373" w:type="pct"/>
            <w:vAlign w:val="center"/>
          </w:tcPr>
          <w:p w14:paraId="4412DCD1">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5分</w:t>
            </w:r>
          </w:p>
        </w:tc>
        <w:tc>
          <w:tcPr>
            <w:tcW w:w="487" w:type="pct"/>
            <w:vAlign w:val="center"/>
          </w:tcPr>
          <w:p w14:paraId="55ACD1AC">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326CDF3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34C1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14:paraId="6233872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3058" w:type="pct"/>
            <w:vAlign w:val="center"/>
          </w:tcPr>
          <w:p w14:paraId="465957A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针对本项目的</w:t>
            </w:r>
            <w:r>
              <w:rPr>
                <w:rFonts w:hint="eastAsia" w:ascii="宋体" w:hAnsi="宋体" w:eastAsia="宋体" w:cs="宋体"/>
                <w:color w:val="auto"/>
                <w:sz w:val="24"/>
                <w:szCs w:val="24"/>
                <w:lang w:val="en-US" w:eastAsia="zh-CN"/>
              </w:rPr>
              <w:t>人员培训方案：</w:t>
            </w:r>
          </w:p>
          <w:p w14:paraId="1989714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根据内容完整性、合理性、周密性进行打分。</w:t>
            </w:r>
            <w:r>
              <w:rPr>
                <w:rFonts w:hint="eastAsia" w:ascii="宋体" w:hAnsi="宋体" w:eastAsia="宋体" w:cs="宋体"/>
                <w:color w:val="auto"/>
                <w:sz w:val="24"/>
                <w:szCs w:val="24"/>
                <w:lang w:val="en-US" w:eastAsia="zh-CN"/>
              </w:rPr>
              <w:t>方案完整、</w:t>
            </w:r>
            <w:r>
              <w:rPr>
                <w:rFonts w:hint="eastAsia" w:ascii="宋体" w:hAnsi="宋体" w:eastAsia="宋体" w:cs="宋体"/>
                <w:color w:val="auto"/>
                <w:sz w:val="24"/>
                <w:szCs w:val="24"/>
              </w:rPr>
              <w:t>具有合理操作性且符合</w:t>
            </w:r>
            <w:r>
              <w:rPr>
                <w:rFonts w:hint="eastAsia" w:ascii="宋体" w:hAnsi="宋体" w:eastAsia="宋体" w:cs="宋体"/>
                <w:color w:val="auto"/>
                <w:sz w:val="24"/>
                <w:szCs w:val="24"/>
                <w:lang w:val="en-US" w:eastAsia="zh-CN"/>
              </w:rPr>
              <w:t>采购需求的。（评分范围：5,4,3,2,1,0）</w:t>
            </w:r>
          </w:p>
        </w:tc>
        <w:tc>
          <w:tcPr>
            <w:tcW w:w="373" w:type="pct"/>
            <w:vAlign w:val="center"/>
          </w:tcPr>
          <w:p w14:paraId="3F25A2A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487" w:type="pct"/>
            <w:vAlign w:val="center"/>
          </w:tcPr>
          <w:p w14:paraId="112BC729">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428C27C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4C65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04" w:type="pct"/>
            <w:vAlign w:val="center"/>
          </w:tcPr>
          <w:p w14:paraId="577A418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3058" w:type="pct"/>
          </w:tcPr>
          <w:p w14:paraId="3407C5B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投诉处理服务方案：</w:t>
            </w:r>
          </w:p>
          <w:p w14:paraId="6B2AD4A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根据提供的方案内容进行评分，要点内容完整、完全符合项目情况的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（评分范围：5,4,3,2,1,0）</w:t>
            </w:r>
          </w:p>
        </w:tc>
        <w:tc>
          <w:tcPr>
            <w:tcW w:w="373" w:type="pct"/>
            <w:vAlign w:val="center"/>
          </w:tcPr>
          <w:p w14:paraId="225F050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487" w:type="pct"/>
            <w:vAlign w:val="center"/>
          </w:tcPr>
          <w:p w14:paraId="141E3163">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主观分</w:t>
            </w:r>
          </w:p>
        </w:tc>
        <w:tc>
          <w:tcPr>
            <w:tcW w:w="775" w:type="pct"/>
          </w:tcPr>
          <w:p w14:paraId="01A253E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r w14:paraId="1390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04" w:type="pct"/>
            <w:vAlign w:val="center"/>
          </w:tcPr>
          <w:p w14:paraId="25C87C6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3058" w:type="pct"/>
          </w:tcPr>
          <w:p w14:paraId="5D131B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有效投标报价</w:t>
            </w:r>
            <w:r>
              <w:rPr>
                <w:rFonts w:hint="eastAsia" w:ascii="宋体" w:hAnsi="宋体" w:eastAsia="宋体" w:cs="宋体"/>
                <w:color w:val="auto"/>
                <w:sz w:val="24"/>
                <w:szCs w:val="24"/>
                <w:highlight w:val="none"/>
              </w:rPr>
              <w:t>的最低价作为评标基</w:t>
            </w:r>
            <w:r>
              <w:rPr>
                <w:rFonts w:hint="eastAsia" w:ascii="宋体" w:hAnsi="宋体" w:eastAsia="宋体" w:cs="宋体"/>
                <w:color w:val="auto"/>
                <w:sz w:val="24"/>
                <w:szCs w:val="24"/>
              </w:rPr>
              <w:t>准价，其最低报价为满分；按［投标报价得分=（评标基准价/投标报价）*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0］的计算公式计算。</w:t>
            </w:r>
          </w:p>
          <w:p w14:paraId="64E44EA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69D324E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报价是中标的一个重要因素，但最低报价不是中标的唯一依据。</w:t>
            </w:r>
          </w:p>
        </w:tc>
        <w:tc>
          <w:tcPr>
            <w:tcW w:w="373" w:type="pct"/>
            <w:vAlign w:val="center"/>
          </w:tcPr>
          <w:p w14:paraId="2826B34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487" w:type="pct"/>
            <w:vAlign w:val="center"/>
          </w:tcPr>
          <w:p w14:paraId="0262818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color w:val="auto"/>
                <w:sz w:val="24"/>
                <w:szCs w:val="24"/>
                <w:lang w:val="en-US" w:eastAsia="zh-CN"/>
              </w:rPr>
            </w:pPr>
          </w:p>
        </w:tc>
        <w:tc>
          <w:tcPr>
            <w:tcW w:w="775" w:type="pct"/>
            <w:vAlign w:val="center"/>
          </w:tcPr>
          <w:p w14:paraId="7EE354D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42006C56">
      <w:pPr>
        <w:rPr>
          <w:color w:val="auto"/>
          <w:highlight w:val="none"/>
        </w:rPr>
      </w:pPr>
    </w:p>
    <w:p w14:paraId="76C55267">
      <w:pPr>
        <w:pStyle w:val="5"/>
      </w:pPr>
    </w:p>
    <w:p w14:paraId="51F9DBBD">
      <w:pPr>
        <w:pStyle w:val="5"/>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262C661">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2518FDCF">
      <w:pPr>
        <w:spacing w:line="480" w:lineRule="auto"/>
        <w:jc w:val="center"/>
        <w:rPr>
          <w:rFonts w:hint="eastAsia" w:ascii="仿宋" w:hAnsi="仿宋" w:eastAsia="仿宋" w:cs="仿宋"/>
          <w:b/>
          <w:color w:val="auto"/>
          <w:sz w:val="28"/>
          <w:szCs w:val="28"/>
        </w:rPr>
      </w:pPr>
    </w:p>
    <w:p w14:paraId="0D533E7A">
      <w:pPr>
        <w:spacing w:line="480" w:lineRule="auto"/>
        <w:jc w:val="center"/>
        <w:rPr>
          <w:rFonts w:hint="eastAsia" w:ascii="仿宋" w:hAnsi="仿宋" w:eastAsia="仿宋" w:cs="仿宋"/>
          <w:b/>
          <w:color w:val="auto"/>
          <w:sz w:val="24"/>
        </w:rPr>
      </w:pPr>
    </w:p>
    <w:p w14:paraId="63B8DC39">
      <w:pPr>
        <w:spacing w:line="480" w:lineRule="auto"/>
        <w:jc w:val="center"/>
        <w:rPr>
          <w:rFonts w:hint="eastAsia" w:ascii="仿宋" w:hAnsi="仿宋" w:eastAsia="仿宋" w:cs="仿宋"/>
          <w:b/>
          <w:color w:val="auto"/>
          <w:sz w:val="24"/>
        </w:rPr>
      </w:pPr>
    </w:p>
    <w:p w14:paraId="32E2C487">
      <w:pPr>
        <w:pStyle w:val="704"/>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5F3A02D4">
      <w:pPr>
        <w:spacing w:before="120" w:line="22" w:lineRule="atLeast"/>
        <w:rPr>
          <w:rFonts w:hint="eastAsia" w:ascii="仿宋" w:hAnsi="仿宋" w:eastAsia="仿宋" w:cs="仿宋"/>
          <w:color w:val="auto"/>
          <w:sz w:val="24"/>
        </w:rPr>
      </w:pPr>
    </w:p>
    <w:p w14:paraId="466FB0ED">
      <w:pPr>
        <w:pStyle w:val="5"/>
        <w:rPr>
          <w:rFonts w:hint="eastAsia" w:ascii="仿宋" w:hAnsi="仿宋" w:eastAsia="仿宋" w:cs="仿宋"/>
          <w:color w:val="auto"/>
        </w:rPr>
      </w:pPr>
    </w:p>
    <w:p w14:paraId="28E17A52">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2025年度巡防中队保安服务项目</w:t>
      </w:r>
      <w:r>
        <w:rPr>
          <w:rFonts w:hint="eastAsia" w:ascii="仿宋" w:hAnsi="仿宋" w:eastAsia="仿宋" w:cs="仿宋"/>
          <w:color w:val="auto"/>
          <w:sz w:val="24"/>
          <w:u w:val="single"/>
        </w:rPr>
        <w:t xml:space="preserve">    </w:t>
      </w:r>
    </w:p>
    <w:p w14:paraId="2195CF3D">
      <w:pPr>
        <w:pStyle w:val="601"/>
        <w:spacing w:before="120" w:line="22" w:lineRule="atLeast"/>
        <w:rPr>
          <w:rFonts w:hint="eastAsia" w:ascii="仿宋" w:hAnsi="仿宋" w:eastAsia="仿宋" w:cs="仿宋"/>
          <w:color w:val="auto"/>
          <w:szCs w:val="24"/>
        </w:rPr>
      </w:pPr>
    </w:p>
    <w:p w14:paraId="331BD3FA">
      <w:pPr>
        <w:pStyle w:val="601"/>
        <w:spacing w:before="120" w:line="22" w:lineRule="atLeast"/>
        <w:rPr>
          <w:rFonts w:hint="eastAsia" w:ascii="仿宋" w:hAnsi="仿宋" w:eastAsia="仿宋" w:cs="仿宋"/>
          <w:color w:val="auto"/>
          <w:szCs w:val="24"/>
        </w:rPr>
      </w:pPr>
    </w:p>
    <w:p w14:paraId="3C53B74D">
      <w:pPr>
        <w:rPr>
          <w:rFonts w:hint="eastAsia" w:ascii="仿宋" w:hAnsi="仿宋" w:eastAsia="仿宋" w:cs="仿宋"/>
          <w:color w:val="auto"/>
          <w:sz w:val="24"/>
        </w:rPr>
      </w:pPr>
    </w:p>
    <w:p w14:paraId="19C203C9">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74793A04">
      <w:pPr>
        <w:spacing w:before="120" w:line="22" w:lineRule="atLeast"/>
        <w:rPr>
          <w:rFonts w:hint="eastAsia" w:ascii="仿宋" w:hAnsi="仿宋" w:eastAsia="仿宋" w:cs="仿宋"/>
          <w:color w:val="auto"/>
          <w:sz w:val="24"/>
        </w:rPr>
      </w:pPr>
    </w:p>
    <w:p w14:paraId="5BD9356E">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184783E">
      <w:pPr>
        <w:spacing w:before="120" w:line="22" w:lineRule="atLeast"/>
        <w:rPr>
          <w:rFonts w:hint="eastAsia" w:ascii="仿宋" w:hAnsi="仿宋" w:eastAsia="仿宋" w:cs="仿宋"/>
          <w:color w:val="auto"/>
          <w:sz w:val="24"/>
        </w:rPr>
      </w:pPr>
    </w:p>
    <w:p w14:paraId="6CD3EFA2">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711C348">
      <w:pPr>
        <w:spacing w:before="120" w:line="22" w:lineRule="atLeast"/>
        <w:rPr>
          <w:rFonts w:hint="eastAsia" w:ascii="仿宋" w:hAnsi="仿宋" w:eastAsia="仿宋" w:cs="仿宋"/>
          <w:color w:val="auto"/>
          <w:sz w:val="24"/>
        </w:rPr>
      </w:pPr>
    </w:p>
    <w:p w14:paraId="10F4E6C4">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5F1ECB5">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15467FB0">
      <w:pPr>
        <w:rPr>
          <w:rFonts w:hint="eastAsia" w:ascii="仿宋" w:hAnsi="仿宋" w:eastAsia="仿宋" w:cs="仿宋"/>
          <w:b/>
          <w:color w:val="auto"/>
          <w:sz w:val="24"/>
        </w:rPr>
      </w:pPr>
    </w:p>
    <w:p w14:paraId="7432B3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杭州市拱墅区人民政府上塘街道办事处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2025年度巡防中队保安服务项目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121ECF1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杭州市拱墅区人民政府上塘街道办事处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31BBB97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仿宋" w:hAnsi="仿宋" w:eastAsia="仿宋" w:cs="仿宋"/>
          <w:color w:val="auto"/>
          <w:sz w:val="24"/>
        </w:rPr>
      </w:pPr>
      <w:bookmarkStart w:id="398" w:name="_Toc20421"/>
      <w:bookmarkStart w:id="399" w:name="_Toc22967"/>
      <w:bookmarkStart w:id="400" w:name="_Toc19273"/>
      <w:bookmarkStart w:id="401" w:name="_Toc28855"/>
      <w:bookmarkStart w:id="402" w:name="_Toc15367"/>
      <w:r>
        <w:rPr>
          <w:rFonts w:hint="eastAsia" w:ascii="仿宋" w:hAnsi="仿宋" w:eastAsia="仿宋" w:cs="仿宋"/>
          <w:b/>
          <w:color w:val="auto"/>
          <w:sz w:val="24"/>
        </w:rPr>
        <w:t>1.1 合同组成部分</w:t>
      </w:r>
      <w:bookmarkEnd w:id="398"/>
      <w:bookmarkEnd w:id="399"/>
      <w:bookmarkEnd w:id="400"/>
      <w:bookmarkEnd w:id="401"/>
      <w:bookmarkEnd w:id="402"/>
    </w:p>
    <w:p w14:paraId="772B2F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93319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195890A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591BCB2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1553AA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5C2EFE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714A0C8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仿宋" w:hAnsi="仿宋" w:eastAsia="仿宋" w:cs="仿宋"/>
          <w:b/>
          <w:color w:val="auto"/>
          <w:sz w:val="24"/>
        </w:rPr>
      </w:pPr>
      <w:bookmarkStart w:id="403" w:name="_Toc2918"/>
      <w:bookmarkStart w:id="404" w:name="_Toc22185"/>
      <w:bookmarkStart w:id="405" w:name="_Toc6311"/>
      <w:bookmarkStart w:id="406" w:name="_Toc6773"/>
      <w:bookmarkStart w:id="407" w:name="_Toc18585"/>
      <w:r>
        <w:rPr>
          <w:rFonts w:hint="eastAsia" w:ascii="仿宋" w:hAnsi="仿宋" w:eastAsia="仿宋" w:cs="仿宋"/>
          <w:b/>
          <w:color w:val="auto"/>
          <w:sz w:val="24"/>
        </w:rPr>
        <w:t>1.2 标的</w:t>
      </w:r>
      <w:bookmarkEnd w:id="403"/>
      <w:bookmarkEnd w:id="404"/>
      <w:bookmarkEnd w:id="405"/>
      <w:bookmarkEnd w:id="406"/>
      <w:bookmarkEnd w:id="407"/>
    </w:p>
    <w:p w14:paraId="2F75F52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highlight w:val="none"/>
          <w:u w:val="single"/>
        </w:rPr>
        <w:t>详见</w:t>
      </w:r>
      <w:r>
        <w:rPr>
          <w:rFonts w:hint="eastAsia" w:ascii="仿宋" w:hAnsi="仿宋" w:eastAsia="仿宋" w:cs="仿宋"/>
          <w:color w:val="auto"/>
          <w:sz w:val="24"/>
          <w:highlight w:val="none"/>
          <w:u w:val="single"/>
          <w:lang w:val="en-US" w:eastAsia="zh-CN"/>
        </w:rPr>
        <w:t>附件：</w:t>
      </w:r>
      <w:r>
        <w:rPr>
          <w:rFonts w:hint="eastAsia" w:ascii="仿宋" w:hAnsi="仿宋" w:eastAsia="仿宋" w:cs="仿宋"/>
          <w:color w:val="auto"/>
          <w:sz w:val="24"/>
          <w:highlight w:val="none"/>
          <w:u w:val="single"/>
        </w:rPr>
        <w:t>采购需求；</w:t>
      </w:r>
    </w:p>
    <w:p w14:paraId="205DDEA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highlight w:val="none"/>
          <w:u w:val="single"/>
        </w:rPr>
        <w:t>详见</w:t>
      </w:r>
      <w:r>
        <w:rPr>
          <w:rFonts w:hint="eastAsia" w:ascii="仿宋" w:hAnsi="仿宋" w:eastAsia="仿宋" w:cs="仿宋"/>
          <w:color w:val="auto"/>
          <w:sz w:val="24"/>
          <w:highlight w:val="none"/>
          <w:u w:val="single"/>
          <w:lang w:val="en-US" w:eastAsia="zh-CN"/>
        </w:rPr>
        <w:t>附件：</w:t>
      </w:r>
      <w:r>
        <w:rPr>
          <w:rFonts w:hint="eastAsia" w:ascii="仿宋" w:hAnsi="仿宋" w:eastAsia="仿宋" w:cs="仿宋"/>
          <w:color w:val="auto"/>
          <w:sz w:val="24"/>
          <w:highlight w:val="none"/>
          <w:u w:val="single"/>
        </w:rPr>
        <w:t>采购需求；</w:t>
      </w:r>
    </w:p>
    <w:p w14:paraId="4777D0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r>
        <w:rPr>
          <w:rFonts w:hint="eastAsia" w:ascii="仿宋" w:hAnsi="仿宋" w:eastAsia="仿宋" w:cs="仿宋"/>
          <w:color w:val="auto"/>
          <w:sz w:val="24"/>
          <w:highlight w:val="none"/>
          <w:u w:val="single"/>
        </w:rPr>
        <w:t>详见</w:t>
      </w:r>
      <w:r>
        <w:rPr>
          <w:rFonts w:hint="eastAsia" w:ascii="仿宋" w:hAnsi="仿宋" w:eastAsia="仿宋" w:cs="仿宋"/>
          <w:color w:val="auto"/>
          <w:sz w:val="24"/>
          <w:highlight w:val="none"/>
          <w:u w:val="single"/>
          <w:lang w:val="en-US" w:eastAsia="zh-CN"/>
        </w:rPr>
        <w:t>附件：</w:t>
      </w:r>
      <w:r>
        <w:rPr>
          <w:rFonts w:hint="eastAsia" w:ascii="仿宋" w:hAnsi="仿宋" w:eastAsia="仿宋" w:cs="仿宋"/>
          <w:color w:val="auto"/>
          <w:sz w:val="24"/>
          <w:highlight w:val="none"/>
          <w:u w:val="single"/>
        </w:rPr>
        <w:t>采购需求；</w:t>
      </w:r>
    </w:p>
    <w:p w14:paraId="0E015B6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w:t>
      </w:r>
      <w:r>
        <w:rPr>
          <w:rFonts w:hint="eastAsia" w:ascii="仿宋" w:hAnsi="仿宋" w:eastAsia="仿宋" w:cs="仿宋"/>
          <w:color w:val="auto"/>
          <w:sz w:val="24"/>
          <w:highlight w:val="none"/>
          <w:u w:val="single"/>
        </w:rPr>
        <w:t>详见</w:t>
      </w:r>
      <w:r>
        <w:rPr>
          <w:rFonts w:hint="eastAsia" w:ascii="仿宋" w:hAnsi="仿宋" w:eastAsia="仿宋" w:cs="仿宋"/>
          <w:color w:val="auto"/>
          <w:sz w:val="24"/>
          <w:highlight w:val="none"/>
          <w:u w:val="single"/>
          <w:lang w:val="en-US" w:eastAsia="zh-CN"/>
        </w:rPr>
        <w:t>附件：项目组人员清单</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2133801">
      <w:pPr>
        <w:pStyle w:val="96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否</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（是/否）涉及货物。若涉及货物的，则：</w:t>
      </w:r>
    </w:p>
    <w:p w14:paraId="06B6208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u w:val="single"/>
        </w:rPr>
      </w:pPr>
      <w:bookmarkStart w:id="408" w:name="_Toc1386"/>
      <w:bookmarkStart w:id="409" w:name="_Toc21124"/>
      <w:bookmarkStart w:id="410" w:name="_Toc13918"/>
      <w:bookmarkStart w:id="411" w:name="_Toc4929"/>
      <w:bookmarkStart w:id="412" w:name="_Toc5635"/>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B07E6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94641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F2F7DF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8"/>
      <w:bookmarkEnd w:id="409"/>
      <w:bookmarkEnd w:id="410"/>
      <w:bookmarkEnd w:id="411"/>
      <w:bookmarkEnd w:id="412"/>
    </w:p>
    <w:p w14:paraId="1B2B527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1.3.1</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0220CC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40AAE8F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3402"/>
        <w:gridCol w:w="2552"/>
      </w:tblGrid>
      <w:tr w14:paraId="1A23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13" w:type="dxa"/>
            <w:vAlign w:val="center"/>
          </w:tcPr>
          <w:p w14:paraId="049D93EC">
            <w:pPr>
              <w:pStyle w:val="322"/>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7CE94118">
            <w:pPr>
              <w:pStyle w:val="322"/>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37026FF8">
            <w:pPr>
              <w:pStyle w:val="322"/>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2BF3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13" w:type="dxa"/>
            <w:vAlign w:val="center"/>
          </w:tcPr>
          <w:p w14:paraId="6FB5518D">
            <w:pPr>
              <w:pStyle w:val="322"/>
              <w:spacing w:line="560" w:lineRule="exact"/>
              <w:ind w:firstLine="200"/>
              <w:jc w:val="center"/>
              <w:rPr>
                <w:rFonts w:hint="eastAsia" w:ascii="仿宋" w:hAnsi="仿宋" w:eastAsia="仿宋" w:cs="仿宋"/>
                <w:color w:val="auto"/>
                <w:sz w:val="24"/>
                <w:szCs w:val="24"/>
              </w:rPr>
            </w:pPr>
          </w:p>
        </w:tc>
        <w:tc>
          <w:tcPr>
            <w:tcW w:w="3402" w:type="dxa"/>
            <w:vAlign w:val="center"/>
          </w:tcPr>
          <w:p w14:paraId="08B42D95">
            <w:pPr>
              <w:pStyle w:val="322"/>
              <w:spacing w:line="560" w:lineRule="exact"/>
              <w:ind w:firstLine="200"/>
              <w:jc w:val="center"/>
              <w:rPr>
                <w:rFonts w:hint="eastAsia" w:ascii="仿宋" w:hAnsi="仿宋" w:eastAsia="仿宋" w:cs="仿宋"/>
                <w:color w:val="auto"/>
                <w:sz w:val="24"/>
                <w:szCs w:val="24"/>
              </w:rPr>
            </w:pPr>
          </w:p>
        </w:tc>
        <w:tc>
          <w:tcPr>
            <w:tcW w:w="2552" w:type="dxa"/>
            <w:vAlign w:val="center"/>
          </w:tcPr>
          <w:p w14:paraId="6DCE2359">
            <w:pPr>
              <w:pStyle w:val="322"/>
              <w:spacing w:line="560" w:lineRule="exact"/>
              <w:ind w:firstLine="200"/>
              <w:jc w:val="center"/>
              <w:rPr>
                <w:rFonts w:hint="eastAsia" w:ascii="仿宋" w:hAnsi="仿宋" w:eastAsia="仿宋" w:cs="仿宋"/>
                <w:color w:val="auto"/>
                <w:sz w:val="24"/>
                <w:szCs w:val="24"/>
              </w:rPr>
            </w:pPr>
          </w:p>
        </w:tc>
      </w:tr>
      <w:tr w14:paraId="485B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13" w:type="dxa"/>
            <w:vAlign w:val="center"/>
          </w:tcPr>
          <w:p w14:paraId="210F3079">
            <w:pPr>
              <w:pStyle w:val="322"/>
              <w:spacing w:line="560" w:lineRule="exact"/>
              <w:ind w:firstLine="200"/>
              <w:jc w:val="center"/>
              <w:rPr>
                <w:rFonts w:hint="eastAsia" w:ascii="仿宋" w:hAnsi="仿宋" w:eastAsia="仿宋" w:cs="仿宋"/>
                <w:color w:val="auto"/>
                <w:sz w:val="24"/>
                <w:szCs w:val="24"/>
              </w:rPr>
            </w:pPr>
          </w:p>
        </w:tc>
        <w:tc>
          <w:tcPr>
            <w:tcW w:w="3402" w:type="dxa"/>
            <w:vAlign w:val="center"/>
          </w:tcPr>
          <w:p w14:paraId="17A696CA">
            <w:pPr>
              <w:pStyle w:val="322"/>
              <w:spacing w:line="560" w:lineRule="exact"/>
              <w:ind w:firstLine="200"/>
              <w:jc w:val="center"/>
              <w:rPr>
                <w:rFonts w:hint="eastAsia" w:ascii="仿宋" w:hAnsi="仿宋" w:eastAsia="仿宋" w:cs="仿宋"/>
                <w:color w:val="auto"/>
                <w:sz w:val="24"/>
                <w:szCs w:val="24"/>
              </w:rPr>
            </w:pPr>
          </w:p>
        </w:tc>
        <w:tc>
          <w:tcPr>
            <w:tcW w:w="2552" w:type="dxa"/>
            <w:vAlign w:val="center"/>
          </w:tcPr>
          <w:p w14:paraId="6D7E3719">
            <w:pPr>
              <w:pStyle w:val="322"/>
              <w:spacing w:line="560" w:lineRule="exact"/>
              <w:ind w:firstLine="200"/>
              <w:jc w:val="center"/>
              <w:rPr>
                <w:rFonts w:hint="eastAsia" w:ascii="仿宋" w:hAnsi="仿宋" w:eastAsia="仿宋" w:cs="仿宋"/>
                <w:color w:val="auto"/>
                <w:sz w:val="24"/>
                <w:szCs w:val="24"/>
              </w:rPr>
            </w:pPr>
          </w:p>
        </w:tc>
      </w:tr>
      <w:tr w14:paraId="41C0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13" w:type="dxa"/>
            <w:vAlign w:val="center"/>
          </w:tcPr>
          <w:p w14:paraId="49BEEEB7">
            <w:pPr>
              <w:pStyle w:val="322"/>
              <w:spacing w:line="560" w:lineRule="exact"/>
              <w:ind w:firstLine="200"/>
              <w:jc w:val="center"/>
              <w:rPr>
                <w:rFonts w:hint="eastAsia" w:ascii="仿宋" w:hAnsi="仿宋" w:eastAsia="仿宋" w:cs="仿宋"/>
                <w:color w:val="auto"/>
                <w:sz w:val="24"/>
                <w:szCs w:val="24"/>
              </w:rPr>
            </w:pPr>
          </w:p>
        </w:tc>
        <w:tc>
          <w:tcPr>
            <w:tcW w:w="3402" w:type="dxa"/>
            <w:vAlign w:val="center"/>
          </w:tcPr>
          <w:p w14:paraId="65ACDD64">
            <w:pPr>
              <w:pStyle w:val="322"/>
              <w:spacing w:line="560" w:lineRule="exact"/>
              <w:ind w:firstLine="200"/>
              <w:jc w:val="center"/>
              <w:rPr>
                <w:rFonts w:hint="eastAsia" w:ascii="仿宋" w:hAnsi="仿宋" w:eastAsia="仿宋" w:cs="仿宋"/>
                <w:color w:val="auto"/>
                <w:sz w:val="24"/>
                <w:szCs w:val="24"/>
              </w:rPr>
            </w:pPr>
          </w:p>
        </w:tc>
        <w:tc>
          <w:tcPr>
            <w:tcW w:w="2552" w:type="dxa"/>
            <w:vAlign w:val="center"/>
          </w:tcPr>
          <w:p w14:paraId="00B105C4">
            <w:pPr>
              <w:pStyle w:val="322"/>
              <w:spacing w:line="560" w:lineRule="exact"/>
              <w:ind w:firstLine="200"/>
              <w:jc w:val="center"/>
              <w:rPr>
                <w:rFonts w:hint="eastAsia" w:ascii="仿宋" w:hAnsi="仿宋" w:eastAsia="仿宋" w:cs="仿宋"/>
                <w:color w:val="auto"/>
                <w:sz w:val="24"/>
                <w:szCs w:val="24"/>
              </w:rPr>
            </w:pPr>
          </w:p>
        </w:tc>
      </w:tr>
      <w:tr w14:paraId="00C9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13" w:type="dxa"/>
            <w:vAlign w:val="center"/>
          </w:tcPr>
          <w:p w14:paraId="29260938">
            <w:pPr>
              <w:pStyle w:val="322"/>
              <w:spacing w:line="560" w:lineRule="exact"/>
              <w:ind w:firstLine="200"/>
              <w:jc w:val="center"/>
              <w:rPr>
                <w:rFonts w:hint="eastAsia" w:ascii="仿宋" w:hAnsi="仿宋" w:eastAsia="仿宋" w:cs="仿宋"/>
                <w:color w:val="auto"/>
                <w:sz w:val="24"/>
                <w:szCs w:val="24"/>
              </w:rPr>
            </w:pPr>
          </w:p>
        </w:tc>
        <w:tc>
          <w:tcPr>
            <w:tcW w:w="3402" w:type="dxa"/>
            <w:vAlign w:val="center"/>
          </w:tcPr>
          <w:p w14:paraId="2031A684">
            <w:pPr>
              <w:pStyle w:val="322"/>
              <w:spacing w:line="560" w:lineRule="exact"/>
              <w:ind w:firstLine="200"/>
              <w:jc w:val="center"/>
              <w:rPr>
                <w:rFonts w:hint="eastAsia" w:ascii="仿宋" w:hAnsi="仿宋" w:eastAsia="仿宋" w:cs="仿宋"/>
                <w:color w:val="auto"/>
                <w:sz w:val="24"/>
                <w:szCs w:val="24"/>
              </w:rPr>
            </w:pPr>
          </w:p>
        </w:tc>
        <w:tc>
          <w:tcPr>
            <w:tcW w:w="2552" w:type="dxa"/>
            <w:vAlign w:val="center"/>
          </w:tcPr>
          <w:p w14:paraId="34849E09">
            <w:pPr>
              <w:pStyle w:val="322"/>
              <w:spacing w:line="560" w:lineRule="exact"/>
              <w:ind w:firstLine="200"/>
              <w:jc w:val="center"/>
              <w:rPr>
                <w:rFonts w:hint="eastAsia" w:ascii="仿宋" w:hAnsi="仿宋" w:eastAsia="仿宋" w:cs="仿宋"/>
                <w:color w:val="auto"/>
                <w:sz w:val="24"/>
                <w:szCs w:val="24"/>
              </w:rPr>
            </w:pPr>
          </w:p>
        </w:tc>
      </w:tr>
      <w:tr w14:paraId="5776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15" w:type="dxa"/>
            <w:gridSpan w:val="2"/>
            <w:vAlign w:val="center"/>
          </w:tcPr>
          <w:p w14:paraId="7F63C3AE">
            <w:pPr>
              <w:pStyle w:val="322"/>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347D889C">
            <w:pPr>
              <w:pStyle w:val="322"/>
              <w:spacing w:line="560" w:lineRule="exact"/>
              <w:ind w:firstLine="200"/>
              <w:jc w:val="center"/>
              <w:rPr>
                <w:rFonts w:hint="eastAsia" w:ascii="仿宋" w:hAnsi="仿宋" w:eastAsia="仿宋" w:cs="仿宋"/>
                <w:color w:val="auto"/>
                <w:sz w:val="24"/>
                <w:szCs w:val="24"/>
              </w:rPr>
            </w:pPr>
          </w:p>
        </w:tc>
      </w:tr>
    </w:tbl>
    <w:p w14:paraId="164FE4B4">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bookmarkStart w:id="413" w:name="_Toc14993"/>
      <w:bookmarkStart w:id="414" w:name="_Toc30506"/>
      <w:bookmarkStart w:id="415" w:name="_Toc26916"/>
      <w:bookmarkStart w:id="416" w:name="_Toc30158"/>
      <w:bookmarkStart w:id="417" w:name="_Toc3654"/>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1A7F7579">
      <w:pPr>
        <w:pStyle w:val="5"/>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lang w:val="en-US"/>
        </w:rPr>
      </w:pP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13"/>
    <w:bookmarkEnd w:id="414"/>
    <w:bookmarkEnd w:id="415"/>
    <w:bookmarkEnd w:id="416"/>
    <w:bookmarkEnd w:id="417"/>
    <w:p w14:paraId="64ED6686">
      <w:pPr>
        <w:pStyle w:val="962"/>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仿宋" w:hAnsi="仿宋" w:eastAsia="仿宋" w:cs="仿宋"/>
          <w:b/>
          <w:color w:val="auto"/>
        </w:rPr>
      </w:pPr>
      <w:bookmarkStart w:id="418" w:name="_Toc22618"/>
      <w:bookmarkStart w:id="419" w:name="_Toc1814"/>
      <w:bookmarkStart w:id="420" w:name="_Toc10340"/>
      <w:bookmarkStart w:id="421" w:name="_Toc4760"/>
      <w:bookmarkStart w:id="422" w:name="_Toc11108"/>
      <w:bookmarkStart w:id="423" w:name="_Toc8772"/>
      <w:bookmarkStart w:id="424" w:name="_Toc31421"/>
      <w:bookmarkStart w:id="425" w:name="_Toc3625"/>
      <w:r>
        <w:rPr>
          <w:rFonts w:hint="eastAsia" w:ascii="仿宋" w:hAnsi="仿宋" w:eastAsia="仿宋" w:cs="仿宋"/>
          <w:b/>
          <w:color w:val="auto"/>
        </w:rPr>
        <w:t>1.4履约保证金</w:t>
      </w:r>
    </w:p>
    <w:p w14:paraId="4EF407C3">
      <w:pPr>
        <w:pStyle w:val="962"/>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是</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31B22904">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38A9DDA">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转账或保函</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516E8A3">
      <w:pPr>
        <w:pStyle w:val="5"/>
        <w:pageBreakBefore w:val="0"/>
        <w:tabs>
          <w:tab w:val="left" w:pos="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65A996">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1226D64A">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18"/>
      <w:bookmarkEnd w:id="419"/>
      <w:bookmarkEnd w:id="420"/>
      <w:r>
        <w:rPr>
          <w:rFonts w:hint="eastAsia" w:ascii="仿宋" w:hAnsi="仿宋" w:eastAsia="仿宋" w:cs="仿宋"/>
          <w:b/>
          <w:color w:val="auto"/>
          <w:sz w:val="24"/>
        </w:rPr>
        <w:t>预付款</w:t>
      </w:r>
    </w:p>
    <w:p w14:paraId="64D48B3A">
      <w:pPr>
        <w:pStyle w:val="962"/>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是</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1F7FAB47">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E0AA55F">
      <w:pPr>
        <w:pStyle w:val="962"/>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EE10CF1">
      <w:pPr>
        <w:pStyle w:val="962"/>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43A50996">
      <w:pPr>
        <w:pStyle w:val="962"/>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仿宋" w:hAnsi="仿宋" w:eastAsia="仿宋" w:cs="仿宋"/>
          <w:b/>
          <w:bCs/>
          <w:color w:val="auto"/>
        </w:rPr>
      </w:pPr>
      <w:r>
        <w:rPr>
          <w:rFonts w:hint="eastAsia" w:ascii="仿宋" w:hAnsi="仿宋" w:eastAsia="仿宋" w:cs="仿宋"/>
          <w:b/>
          <w:bCs/>
          <w:color w:val="auto"/>
        </w:rPr>
        <w:t>1.6资金支付</w:t>
      </w:r>
    </w:p>
    <w:p w14:paraId="6515625A">
      <w:pPr>
        <w:pStyle w:val="962"/>
        <w:pageBreakBefore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30ABAD">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1ABEAFE">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21"/>
      <w:bookmarkEnd w:id="422"/>
      <w:bookmarkEnd w:id="423"/>
      <w:bookmarkEnd w:id="424"/>
      <w:bookmarkEnd w:id="425"/>
    </w:p>
    <w:p w14:paraId="732F317F">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356C319">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44CB592">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0D94CC2">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0"/>
        <w:rPr>
          <w:rFonts w:hint="eastAsia" w:ascii="仿宋" w:hAnsi="仿宋" w:eastAsia="仿宋" w:cs="仿宋"/>
          <w:bCs/>
          <w:color w:val="auto"/>
          <w:sz w:val="24"/>
        </w:rPr>
      </w:pPr>
      <w:bookmarkStart w:id="426" w:name="_Toc2375"/>
      <w:bookmarkStart w:id="427" w:name="_Toc3079"/>
      <w:bookmarkStart w:id="428" w:name="_Toc5698"/>
      <w:bookmarkStart w:id="429" w:name="_Toc24662"/>
      <w:bookmarkStart w:id="430" w:name="_Toc8586"/>
      <w:r>
        <w:rPr>
          <w:rFonts w:hint="eastAsia" w:ascii="仿宋" w:hAnsi="仿宋" w:eastAsia="仿宋" w:cs="仿宋"/>
          <w:bCs/>
          <w:color w:val="auto"/>
          <w:sz w:val="24"/>
        </w:rPr>
        <w:t>1.7.4若服务涉及货物的，则货物的：</w:t>
      </w:r>
    </w:p>
    <w:p w14:paraId="7C7D40DB">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DA52E88">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CE41F13">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9D1C710">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6"/>
      <w:bookmarkEnd w:id="427"/>
      <w:bookmarkEnd w:id="428"/>
      <w:bookmarkEnd w:id="429"/>
      <w:bookmarkEnd w:id="430"/>
    </w:p>
    <w:p w14:paraId="567D707E">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6C2B7FD5">
      <w:pPr>
        <w:pStyle w:val="5"/>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5</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59154B20">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31F0D8AA">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bookmarkStart w:id="431" w:name="_Toc26807"/>
      <w:bookmarkStart w:id="432" w:name="_Toc18683"/>
      <w:bookmarkStart w:id="433" w:name="_Toc9497"/>
      <w:bookmarkStart w:id="434" w:name="_Toc32454"/>
      <w:bookmarkStart w:id="435" w:name="_Toc30329"/>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8567C0">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DE6091">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0276D52">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31"/>
    <w:bookmarkEnd w:id="432"/>
    <w:bookmarkEnd w:id="433"/>
    <w:bookmarkEnd w:id="434"/>
    <w:bookmarkEnd w:id="435"/>
    <w:p w14:paraId="07858416">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hint="eastAsia" w:ascii="仿宋" w:hAnsi="仿宋" w:eastAsia="仿宋" w:cs="仿宋"/>
          <w:b/>
          <w:color w:val="auto"/>
          <w:sz w:val="24"/>
        </w:rPr>
      </w:pPr>
      <w:bookmarkStart w:id="436" w:name="_Toc28375"/>
      <w:bookmarkStart w:id="437" w:name="_Toc15583"/>
      <w:bookmarkStart w:id="438" w:name="_Toc16021"/>
      <w:r>
        <w:rPr>
          <w:rFonts w:hint="eastAsia" w:ascii="仿宋" w:hAnsi="仿宋" w:eastAsia="仿宋" w:cs="仿宋"/>
          <w:b/>
          <w:color w:val="auto"/>
          <w:sz w:val="24"/>
        </w:rPr>
        <w:t>1.9合同争议的解决</w:t>
      </w:r>
      <w:bookmarkEnd w:id="436"/>
      <w:bookmarkEnd w:id="437"/>
      <w:bookmarkEnd w:id="438"/>
    </w:p>
    <w:p w14:paraId="040BDD8F">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b/>
          <w:i/>
          <w:color w:val="auto"/>
          <w:sz w:val="24"/>
          <w:u w:val="single"/>
          <w:lang w:val="en-US"/>
        </w:rPr>
        <w:t>1.9.2</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3C867257">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5CFB4B5A">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65292EF">
      <w:pPr>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0"/>
        <w:rPr>
          <w:rFonts w:hint="eastAsia" w:ascii="仿宋" w:hAnsi="仿宋" w:eastAsia="仿宋" w:cs="仿宋"/>
          <w:b/>
          <w:color w:val="auto"/>
          <w:sz w:val="24"/>
        </w:rPr>
      </w:pPr>
      <w:bookmarkStart w:id="439" w:name="_Toc7245"/>
      <w:bookmarkStart w:id="440" w:name="_Toc15322"/>
      <w:bookmarkStart w:id="441" w:name="_Toc11173"/>
      <w:r>
        <w:rPr>
          <w:rFonts w:hint="eastAsia" w:ascii="仿宋" w:hAnsi="仿宋" w:eastAsia="仿宋" w:cs="仿宋"/>
          <w:b/>
          <w:color w:val="auto"/>
          <w:sz w:val="24"/>
        </w:rPr>
        <w:t>2.0 合同生效</w:t>
      </w:r>
      <w:bookmarkEnd w:id="439"/>
      <w:bookmarkEnd w:id="440"/>
      <w:bookmarkEnd w:id="441"/>
    </w:p>
    <w:p w14:paraId="0852813B">
      <w:pPr>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14:paraId="77A6489F">
      <w:pPr>
        <w:autoSpaceDE w:val="0"/>
        <w:autoSpaceDN w:val="0"/>
        <w:spacing w:line="560" w:lineRule="exact"/>
        <w:rPr>
          <w:rFonts w:hint="eastAsia" w:ascii="仿宋" w:hAnsi="仿宋" w:eastAsia="仿宋" w:cs="仿宋"/>
          <w:color w:val="auto"/>
          <w:sz w:val="24"/>
          <w:lang w:val="zh-CN"/>
        </w:rPr>
      </w:pPr>
    </w:p>
    <w:p w14:paraId="077443D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5F7C1D8A">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7E166064">
      <w:pPr>
        <w:autoSpaceDE w:val="0"/>
        <w:autoSpaceDN w:val="0"/>
        <w:spacing w:line="560" w:lineRule="exact"/>
        <w:rPr>
          <w:rFonts w:hint="eastAsia" w:ascii="仿宋" w:hAnsi="仿宋" w:eastAsia="仿宋" w:cs="仿宋"/>
          <w:color w:val="auto"/>
          <w:sz w:val="24"/>
          <w:lang w:val="zh-CN"/>
        </w:rPr>
      </w:pPr>
    </w:p>
    <w:p w14:paraId="033D91D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29A2905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6EDB6C3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359F190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53B1DEC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49857E9A">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0036C73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5ADB14F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50D45D2B">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535A77CA">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58AD0058">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29FFA94A">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28292CE6">
      <w:pPr>
        <w:widowControl/>
        <w:spacing w:line="560" w:lineRule="exact"/>
        <w:jc w:val="left"/>
        <w:rPr>
          <w:rFonts w:hint="eastAsia" w:ascii="仿宋" w:hAnsi="仿宋" w:eastAsia="仿宋" w:cs="仿宋"/>
          <w:b/>
          <w:color w:val="auto"/>
          <w:sz w:val="24"/>
        </w:rPr>
      </w:pPr>
    </w:p>
    <w:p w14:paraId="08F9D480">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14:paraId="73337E66">
      <w:pPr>
        <w:pStyle w:val="704"/>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54EA1BD1">
      <w:pPr>
        <w:spacing w:line="560" w:lineRule="exact"/>
        <w:ind w:firstLine="482" w:firstLineChars="200"/>
        <w:outlineLvl w:val="0"/>
        <w:rPr>
          <w:rFonts w:hint="eastAsia" w:ascii="仿宋" w:hAnsi="仿宋" w:eastAsia="仿宋" w:cs="仿宋"/>
          <w:b/>
          <w:color w:val="auto"/>
          <w:sz w:val="24"/>
        </w:rPr>
      </w:pPr>
      <w:bookmarkStart w:id="442" w:name="_Toc14021"/>
      <w:bookmarkStart w:id="443" w:name="_Toc25079"/>
      <w:bookmarkStart w:id="444" w:name="_Toc19680"/>
      <w:bookmarkStart w:id="445" w:name="_Toc31297"/>
      <w:bookmarkStart w:id="446" w:name="_Toc5228"/>
      <w:r>
        <w:rPr>
          <w:rFonts w:hint="eastAsia" w:ascii="仿宋" w:hAnsi="仿宋" w:eastAsia="仿宋" w:cs="仿宋"/>
          <w:b/>
          <w:color w:val="auto"/>
          <w:sz w:val="24"/>
        </w:rPr>
        <w:t>2.1 定义</w:t>
      </w:r>
      <w:bookmarkEnd w:id="442"/>
      <w:bookmarkEnd w:id="443"/>
      <w:bookmarkEnd w:id="444"/>
      <w:bookmarkEnd w:id="445"/>
      <w:bookmarkEnd w:id="446"/>
    </w:p>
    <w:p w14:paraId="1699A63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76C4991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32800E6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57C33B1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0BEA4A1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7F404CC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6CADD5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2B62FA1B">
      <w:pPr>
        <w:spacing w:line="560" w:lineRule="exact"/>
        <w:ind w:firstLine="482" w:firstLineChars="200"/>
        <w:outlineLvl w:val="0"/>
        <w:rPr>
          <w:rFonts w:hint="eastAsia" w:ascii="仿宋" w:hAnsi="仿宋" w:eastAsia="仿宋" w:cs="仿宋"/>
          <w:b/>
          <w:color w:val="auto"/>
          <w:sz w:val="24"/>
        </w:rPr>
      </w:pPr>
      <w:bookmarkStart w:id="447" w:name="_Toc31402"/>
      <w:bookmarkStart w:id="448" w:name="_Toc19539"/>
      <w:bookmarkStart w:id="449" w:name="_Toc3769"/>
      <w:bookmarkStart w:id="450" w:name="_Toc16752"/>
      <w:bookmarkStart w:id="451" w:name="_Toc23289"/>
      <w:r>
        <w:rPr>
          <w:rFonts w:hint="eastAsia" w:ascii="仿宋" w:hAnsi="仿宋" w:eastAsia="仿宋" w:cs="仿宋"/>
          <w:b/>
          <w:color w:val="auto"/>
          <w:sz w:val="24"/>
        </w:rPr>
        <w:t>2.2 技术规范</w:t>
      </w:r>
      <w:bookmarkEnd w:id="447"/>
      <w:bookmarkEnd w:id="448"/>
      <w:bookmarkEnd w:id="449"/>
      <w:bookmarkEnd w:id="450"/>
      <w:bookmarkEnd w:id="451"/>
    </w:p>
    <w:p w14:paraId="11F954D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41C58D9">
      <w:pPr>
        <w:spacing w:line="560" w:lineRule="exact"/>
        <w:ind w:firstLine="482" w:firstLineChars="200"/>
        <w:outlineLvl w:val="0"/>
        <w:rPr>
          <w:rFonts w:hint="eastAsia" w:ascii="仿宋" w:hAnsi="仿宋" w:eastAsia="仿宋" w:cs="仿宋"/>
          <w:b/>
          <w:color w:val="auto"/>
          <w:sz w:val="24"/>
        </w:rPr>
      </w:pPr>
      <w:bookmarkStart w:id="452" w:name="_Toc9161"/>
      <w:bookmarkStart w:id="453" w:name="_Toc4133"/>
      <w:bookmarkStart w:id="454" w:name="_Toc27945"/>
      <w:bookmarkStart w:id="455" w:name="_Toc12412"/>
      <w:bookmarkStart w:id="456" w:name="_Toc13673"/>
      <w:r>
        <w:rPr>
          <w:rFonts w:hint="eastAsia" w:ascii="仿宋" w:hAnsi="仿宋" w:eastAsia="仿宋" w:cs="仿宋"/>
          <w:b/>
          <w:color w:val="auto"/>
          <w:sz w:val="24"/>
        </w:rPr>
        <w:t>2.3 知识产权</w:t>
      </w:r>
      <w:bookmarkEnd w:id="452"/>
      <w:bookmarkEnd w:id="453"/>
      <w:bookmarkEnd w:id="454"/>
      <w:bookmarkEnd w:id="455"/>
      <w:bookmarkEnd w:id="456"/>
    </w:p>
    <w:p w14:paraId="3932997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7A5DE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CAE788C">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7DB0188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C549D7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36EDB0AD">
      <w:pPr>
        <w:spacing w:line="560" w:lineRule="exact"/>
        <w:ind w:firstLine="482" w:firstLineChars="200"/>
        <w:outlineLvl w:val="0"/>
        <w:rPr>
          <w:rFonts w:hint="eastAsia" w:ascii="仿宋" w:hAnsi="仿宋" w:eastAsia="仿宋" w:cs="仿宋"/>
          <w:b/>
          <w:color w:val="auto"/>
          <w:sz w:val="24"/>
        </w:rPr>
      </w:pPr>
      <w:bookmarkStart w:id="457" w:name="_Toc31233"/>
      <w:bookmarkStart w:id="458" w:name="_Toc26555"/>
      <w:bookmarkStart w:id="459" w:name="_Toc15447"/>
      <w:bookmarkStart w:id="460" w:name="_Toc32670"/>
      <w:bookmarkStart w:id="461" w:name="_Toc22011"/>
      <w:r>
        <w:rPr>
          <w:rFonts w:hint="eastAsia" w:ascii="仿宋" w:hAnsi="仿宋" w:eastAsia="仿宋" w:cs="仿宋"/>
          <w:b/>
          <w:color w:val="auto"/>
          <w:sz w:val="24"/>
        </w:rPr>
        <w:t>2.5 结算方式和付款条件</w:t>
      </w:r>
      <w:bookmarkEnd w:id="457"/>
      <w:bookmarkEnd w:id="458"/>
      <w:bookmarkEnd w:id="459"/>
      <w:bookmarkEnd w:id="460"/>
      <w:bookmarkEnd w:id="461"/>
    </w:p>
    <w:p w14:paraId="5AFE06F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EADA193">
      <w:pPr>
        <w:spacing w:line="560" w:lineRule="exact"/>
        <w:ind w:firstLine="482" w:firstLineChars="200"/>
        <w:outlineLvl w:val="0"/>
        <w:rPr>
          <w:rFonts w:hint="eastAsia" w:ascii="仿宋" w:hAnsi="仿宋" w:eastAsia="仿宋" w:cs="仿宋"/>
          <w:b/>
          <w:color w:val="auto"/>
          <w:sz w:val="24"/>
        </w:rPr>
      </w:pPr>
      <w:bookmarkStart w:id="462" w:name="_Toc16163"/>
      <w:bookmarkStart w:id="463" w:name="_Toc30507"/>
      <w:bookmarkStart w:id="464" w:name="_Toc13154"/>
      <w:bookmarkStart w:id="465" w:name="_Toc18990"/>
      <w:bookmarkStart w:id="466" w:name="_Toc13467"/>
      <w:r>
        <w:rPr>
          <w:rFonts w:hint="eastAsia" w:ascii="仿宋" w:hAnsi="仿宋" w:eastAsia="仿宋" w:cs="仿宋"/>
          <w:b/>
          <w:color w:val="auto"/>
          <w:sz w:val="24"/>
        </w:rPr>
        <w:t>2.6 技术资料和保密义务</w:t>
      </w:r>
      <w:bookmarkEnd w:id="462"/>
      <w:bookmarkEnd w:id="463"/>
      <w:bookmarkEnd w:id="464"/>
      <w:bookmarkEnd w:id="465"/>
      <w:bookmarkEnd w:id="466"/>
    </w:p>
    <w:p w14:paraId="2D94A1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670C8A8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77E013C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C978C7">
      <w:pPr>
        <w:spacing w:line="560" w:lineRule="exact"/>
        <w:ind w:firstLine="482" w:firstLineChars="200"/>
        <w:outlineLvl w:val="0"/>
        <w:rPr>
          <w:rFonts w:hint="eastAsia" w:ascii="仿宋" w:hAnsi="仿宋" w:eastAsia="仿宋" w:cs="仿宋"/>
          <w:b/>
          <w:color w:val="auto"/>
          <w:sz w:val="24"/>
        </w:rPr>
      </w:pPr>
      <w:bookmarkStart w:id="467" w:name="_Toc19069"/>
      <w:r>
        <w:rPr>
          <w:rFonts w:hint="eastAsia" w:ascii="仿宋" w:hAnsi="仿宋" w:eastAsia="仿宋" w:cs="仿宋"/>
          <w:b/>
          <w:color w:val="auto"/>
          <w:sz w:val="24"/>
        </w:rPr>
        <w:t>2.7 质量保证</w:t>
      </w:r>
      <w:bookmarkEnd w:id="467"/>
    </w:p>
    <w:p w14:paraId="03569EA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DF8263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0A7B4FD2">
      <w:pPr>
        <w:spacing w:line="560" w:lineRule="exact"/>
        <w:ind w:firstLine="482" w:firstLineChars="200"/>
        <w:outlineLvl w:val="0"/>
        <w:rPr>
          <w:rFonts w:hint="eastAsia" w:ascii="仿宋" w:hAnsi="仿宋" w:eastAsia="仿宋" w:cs="仿宋"/>
          <w:b/>
          <w:color w:val="auto"/>
          <w:sz w:val="24"/>
        </w:rPr>
      </w:pPr>
      <w:bookmarkStart w:id="468" w:name="_Toc22267"/>
      <w:r>
        <w:rPr>
          <w:rFonts w:hint="eastAsia" w:ascii="仿宋" w:hAnsi="仿宋" w:eastAsia="仿宋" w:cs="仿宋"/>
          <w:b/>
          <w:color w:val="auto"/>
          <w:sz w:val="24"/>
        </w:rPr>
        <w:t>2.8 延迟履行</w:t>
      </w:r>
      <w:bookmarkEnd w:id="468"/>
    </w:p>
    <w:p w14:paraId="765CAC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228E606">
      <w:pPr>
        <w:spacing w:line="560" w:lineRule="exact"/>
        <w:ind w:firstLine="482" w:firstLineChars="200"/>
        <w:outlineLvl w:val="0"/>
        <w:rPr>
          <w:rFonts w:hint="eastAsia" w:ascii="仿宋" w:hAnsi="仿宋" w:eastAsia="仿宋" w:cs="仿宋"/>
          <w:b/>
          <w:color w:val="auto"/>
          <w:sz w:val="24"/>
        </w:rPr>
      </w:pPr>
      <w:bookmarkStart w:id="469" w:name="_Toc10611"/>
      <w:r>
        <w:rPr>
          <w:rFonts w:hint="eastAsia" w:ascii="仿宋" w:hAnsi="仿宋" w:eastAsia="仿宋" w:cs="仿宋"/>
          <w:b/>
          <w:color w:val="auto"/>
          <w:sz w:val="24"/>
        </w:rPr>
        <w:t>2.9 合同变更</w:t>
      </w:r>
      <w:bookmarkEnd w:id="469"/>
    </w:p>
    <w:p w14:paraId="51DF0F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343A2887">
      <w:pPr>
        <w:spacing w:line="560" w:lineRule="exact"/>
        <w:ind w:firstLine="482" w:firstLineChars="200"/>
        <w:outlineLvl w:val="0"/>
        <w:rPr>
          <w:rFonts w:hint="eastAsia" w:ascii="仿宋" w:hAnsi="仿宋" w:eastAsia="仿宋" w:cs="仿宋"/>
          <w:b/>
          <w:color w:val="auto"/>
          <w:sz w:val="24"/>
        </w:rPr>
      </w:pPr>
      <w:bookmarkStart w:id="470" w:name="_Toc23368"/>
      <w:bookmarkStart w:id="471" w:name="_Toc21830"/>
      <w:bookmarkStart w:id="472" w:name="_Toc10663"/>
      <w:bookmarkStart w:id="473" w:name="_Toc42"/>
      <w:bookmarkStart w:id="474" w:name="_Toc26689"/>
      <w:r>
        <w:rPr>
          <w:rFonts w:hint="eastAsia" w:ascii="仿宋" w:hAnsi="仿宋" w:eastAsia="仿宋" w:cs="仿宋"/>
          <w:b/>
          <w:color w:val="auto"/>
          <w:sz w:val="24"/>
        </w:rPr>
        <w:t>2.10 合同转让和分包</w:t>
      </w:r>
      <w:bookmarkEnd w:id="470"/>
      <w:bookmarkEnd w:id="471"/>
      <w:bookmarkEnd w:id="472"/>
      <w:bookmarkEnd w:id="473"/>
      <w:bookmarkEnd w:id="474"/>
    </w:p>
    <w:p w14:paraId="220B6A0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C1FB226">
      <w:pPr>
        <w:spacing w:line="560" w:lineRule="exact"/>
        <w:ind w:firstLine="482" w:firstLineChars="200"/>
        <w:outlineLvl w:val="0"/>
        <w:rPr>
          <w:rFonts w:hint="eastAsia" w:ascii="仿宋" w:hAnsi="仿宋" w:eastAsia="仿宋" w:cs="仿宋"/>
          <w:b/>
          <w:color w:val="auto"/>
          <w:sz w:val="24"/>
        </w:rPr>
      </w:pPr>
      <w:bookmarkStart w:id="475" w:name="_Toc4720"/>
      <w:bookmarkStart w:id="476" w:name="_Toc26633"/>
      <w:bookmarkStart w:id="477" w:name="_Toc32494"/>
      <w:bookmarkStart w:id="478" w:name="_Toc25571"/>
      <w:bookmarkStart w:id="479" w:name="_Toc14371"/>
      <w:r>
        <w:rPr>
          <w:rFonts w:hint="eastAsia" w:ascii="仿宋" w:hAnsi="仿宋" w:eastAsia="仿宋" w:cs="仿宋"/>
          <w:b/>
          <w:color w:val="auto"/>
          <w:sz w:val="24"/>
        </w:rPr>
        <w:t>2.11 不可抗力</w:t>
      </w:r>
      <w:bookmarkEnd w:id="475"/>
      <w:bookmarkEnd w:id="476"/>
      <w:bookmarkEnd w:id="477"/>
      <w:bookmarkEnd w:id="478"/>
      <w:bookmarkEnd w:id="479"/>
    </w:p>
    <w:p w14:paraId="5E8693C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31E3C5A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630F2A4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6E2C01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7561B838">
      <w:pPr>
        <w:spacing w:line="560" w:lineRule="exact"/>
        <w:ind w:firstLine="482" w:firstLineChars="200"/>
        <w:outlineLvl w:val="0"/>
        <w:rPr>
          <w:rFonts w:hint="eastAsia" w:ascii="仿宋" w:hAnsi="仿宋" w:eastAsia="仿宋" w:cs="仿宋"/>
          <w:b/>
          <w:color w:val="auto"/>
          <w:sz w:val="24"/>
        </w:rPr>
      </w:pPr>
      <w:bookmarkStart w:id="480" w:name="_Toc23854"/>
      <w:bookmarkStart w:id="481" w:name="_Toc24465"/>
      <w:bookmarkStart w:id="482" w:name="_Toc14115"/>
      <w:bookmarkStart w:id="483" w:name="_Toc25783"/>
      <w:bookmarkStart w:id="484" w:name="_Toc3638"/>
      <w:r>
        <w:rPr>
          <w:rFonts w:hint="eastAsia" w:ascii="仿宋" w:hAnsi="仿宋" w:eastAsia="仿宋" w:cs="仿宋"/>
          <w:b/>
          <w:color w:val="auto"/>
          <w:sz w:val="24"/>
        </w:rPr>
        <w:t>2.12 税费</w:t>
      </w:r>
      <w:bookmarkEnd w:id="480"/>
      <w:bookmarkEnd w:id="481"/>
      <w:bookmarkEnd w:id="482"/>
      <w:bookmarkEnd w:id="483"/>
      <w:bookmarkEnd w:id="484"/>
    </w:p>
    <w:p w14:paraId="7078DC5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5E76E213">
      <w:pPr>
        <w:spacing w:line="560" w:lineRule="exact"/>
        <w:ind w:firstLine="482" w:firstLineChars="200"/>
        <w:outlineLvl w:val="0"/>
        <w:rPr>
          <w:rFonts w:hint="eastAsia" w:ascii="仿宋" w:hAnsi="仿宋" w:eastAsia="仿宋" w:cs="仿宋"/>
          <w:b/>
          <w:color w:val="auto"/>
          <w:sz w:val="24"/>
        </w:rPr>
      </w:pPr>
      <w:bookmarkStart w:id="485" w:name="_Toc30105"/>
      <w:bookmarkStart w:id="486" w:name="_Toc7315"/>
      <w:bookmarkStart w:id="487" w:name="_Toc14814"/>
      <w:bookmarkStart w:id="488" w:name="_Toc25525"/>
      <w:bookmarkStart w:id="489" w:name="_Toc26883"/>
      <w:r>
        <w:rPr>
          <w:rFonts w:hint="eastAsia" w:ascii="仿宋" w:hAnsi="仿宋" w:eastAsia="仿宋" w:cs="仿宋"/>
          <w:b/>
          <w:color w:val="auto"/>
          <w:sz w:val="24"/>
        </w:rPr>
        <w:t>2.13 乙方破产</w:t>
      </w:r>
      <w:bookmarkEnd w:id="485"/>
      <w:bookmarkEnd w:id="486"/>
      <w:bookmarkEnd w:id="487"/>
      <w:bookmarkEnd w:id="488"/>
      <w:bookmarkEnd w:id="489"/>
    </w:p>
    <w:p w14:paraId="54422C0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516FD1">
      <w:pPr>
        <w:spacing w:line="560" w:lineRule="exact"/>
        <w:ind w:firstLine="482" w:firstLineChars="200"/>
        <w:outlineLvl w:val="0"/>
        <w:rPr>
          <w:rFonts w:hint="eastAsia" w:ascii="仿宋" w:hAnsi="仿宋" w:eastAsia="仿宋" w:cs="仿宋"/>
          <w:b/>
          <w:color w:val="auto"/>
          <w:sz w:val="24"/>
        </w:rPr>
      </w:pPr>
      <w:bookmarkStart w:id="490" w:name="_Toc23323"/>
      <w:bookmarkStart w:id="491" w:name="_Toc2016"/>
      <w:bookmarkStart w:id="492" w:name="_Toc1123"/>
      <w:r>
        <w:rPr>
          <w:rFonts w:hint="eastAsia" w:ascii="仿宋" w:hAnsi="仿宋" w:eastAsia="仿宋" w:cs="仿宋"/>
          <w:b/>
          <w:color w:val="auto"/>
          <w:sz w:val="24"/>
        </w:rPr>
        <w:t>2.14 合同中止、终止</w:t>
      </w:r>
      <w:bookmarkEnd w:id="490"/>
      <w:bookmarkEnd w:id="491"/>
      <w:bookmarkEnd w:id="492"/>
    </w:p>
    <w:p w14:paraId="18136BC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24503EA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7C919B79">
      <w:pPr>
        <w:spacing w:line="560" w:lineRule="exact"/>
        <w:ind w:firstLine="482" w:firstLineChars="200"/>
        <w:outlineLvl w:val="0"/>
        <w:rPr>
          <w:rFonts w:hint="eastAsia" w:ascii="仿宋" w:hAnsi="仿宋" w:eastAsia="仿宋" w:cs="仿宋"/>
          <w:b/>
          <w:color w:val="auto"/>
          <w:sz w:val="24"/>
        </w:rPr>
      </w:pPr>
      <w:bookmarkStart w:id="493" w:name="_Toc14525"/>
      <w:bookmarkStart w:id="494" w:name="_Toc17363"/>
      <w:bookmarkStart w:id="495" w:name="_Toc1969"/>
      <w:r>
        <w:rPr>
          <w:rFonts w:hint="eastAsia" w:ascii="仿宋" w:hAnsi="仿宋" w:eastAsia="仿宋" w:cs="仿宋"/>
          <w:b/>
          <w:color w:val="auto"/>
          <w:sz w:val="24"/>
        </w:rPr>
        <w:t>2.15 检验和验收</w:t>
      </w:r>
      <w:bookmarkEnd w:id="493"/>
      <w:bookmarkEnd w:id="494"/>
      <w:bookmarkEnd w:id="495"/>
    </w:p>
    <w:p w14:paraId="67E86445">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CA2C1A4">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14EDBC">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59EA437C">
      <w:pPr>
        <w:spacing w:line="560" w:lineRule="exact"/>
        <w:ind w:firstLine="482" w:firstLineChars="200"/>
        <w:outlineLvl w:val="0"/>
        <w:rPr>
          <w:rFonts w:hint="eastAsia" w:ascii="仿宋" w:hAnsi="仿宋" w:eastAsia="仿宋" w:cs="仿宋"/>
          <w:b/>
          <w:color w:val="auto"/>
          <w:sz w:val="24"/>
        </w:rPr>
      </w:pPr>
      <w:bookmarkStart w:id="496" w:name="_Toc31892"/>
      <w:bookmarkStart w:id="497" w:name="_Toc25198"/>
      <w:bookmarkStart w:id="498" w:name="_Toc12666"/>
      <w:bookmarkStart w:id="499" w:name="_Toc9808"/>
      <w:bookmarkStart w:id="500" w:name="_Toc2308"/>
      <w:r>
        <w:rPr>
          <w:rFonts w:hint="eastAsia" w:ascii="仿宋" w:hAnsi="仿宋" w:eastAsia="仿宋" w:cs="仿宋"/>
          <w:b/>
          <w:color w:val="auto"/>
          <w:sz w:val="24"/>
        </w:rPr>
        <w:t>2.16 通知和送达</w:t>
      </w:r>
      <w:bookmarkEnd w:id="496"/>
      <w:bookmarkEnd w:id="497"/>
      <w:bookmarkEnd w:id="498"/>
      <w:bookmarkEnd w:id="499"/>
      <w:bookmarkEnd w:id="500"/>
    </w:p>
    <w:p w14:paraId="38D043DB">
      <w:pPr>
        <w:spacing w:line="560" w:lineRule="exact"/>
        <w:ind w:firstLine="480" w:firstLineChars="200"/>
        <w:rPr>
          <w:rFonts w:hint="eastAsia" w:ascii="仿宋" w:hAnsi="仿宋" w:eastAsia="仿宋" w:cs="仿宋"/>
          <w:color w:val="auto"/>
          <w:sz w:val="24"/>
        </w:rPr>
      </w:pPr>
      <w:bookmarkStart w:id="501" w:name="_Toc18401"/>
      <w:bookmarkStart w:id="502"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3DCCA47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14:paraId="5F421BA5">
      <w:pPr>
        <w:spacing w:line="560" w:lineRule="exact"/>
        <w:ind w:firstLine="482" w:firstLineChars="200"/>
        <w:outlineLvl w:val="0"/>
        <w:rPr>
          <w:rFonts w:hint="eastAsia" w:ascii="仿宋" w:hAnsi="仿宋" w:eastAsia="仿宋" w:cs="仿宋"/>
          <w:b/>
          <w:color w:val="auto"/>
          <w:sz w:val="24"/>
        </w:rPr>
      </w:pPr>
      <w:bookmarkStart w:id="503" w:name="_Toc12254"/>
      <w:bookmarkStart w:id="504" w:name="_Toc5063"/>
      <w:bookmarkStart w:id="505" w:name="_Toc28906"/>
      <w:bookmarkStart w:id="506" w:name="_Toc20808"/>
      <w:bookmarkStart w:id="507" w:name="_Toc27644"/>
      <w:r>
        <w:rPr>
          <w:rFonts w:hint="eastAsia" w:ascii="仿宋" w:hAnsi="仿宋" w:eastAsia="仿宋" w:cs="仿宋"/>
          <w:b/>
          <w:color w:val="auto"/>
          <w:sz w:val="24"/>
        </w:rPr>
        <w:t>2.17 合同使用的文字和适用的法律</w:t>
      </w:r>
      <w:bookmarkEnd w:id="503"/>
      <w:bookmarkEnd w:id="504"/>
      <w:bookmarkEnd w:id="505"/>
      <w:bookmarkEnd w:id="506"/>
      <w:bookmarkEnd w:id="507"/>
    </w:p>
    <w:p w14:paraId="65EB859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2B8C07D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690D4ABA">
      <w:pPr>
        <w:spacing w:line="560" w:lineRule="exact"/>
        <w:ind w:firstLine="482" w:firstLineChars="200"/>
        <w:outlineLvl w:val="0"/>
        <w:rPr>
          <w:rFonts w:hint="eastAsia" w:ascii="仿宋" w:hAnsi="仿宋" w:eastAsia="仿宋" w:cs="仿宋"/>
          <w:b/>
          <w:color w:val="auto"/>
          <w:sz w:val="24"/>
        </w:rPr>
      </w:pPr>
      <w:bookmarkStart w:id="508" w:name="_Toc18540"/>
      <w:bookmarkStart w:id="509" w:name="_Toc30599"/>
      <w:bookmarkStart w:id="510" w:name="_Toc4355"/>
      <w:r>
        <w:rPr>
          <w:rFonts w:hint="eastAsia" w:ascii="仿宋" w:hAnsi="仿宋" w:eastAsia="仿宋" w:cs="仿宋"/>
          <w:b/>
          <w:color w:val="auto"/>
          <w:sz w:val="24"/>
        </w:rPr>
        <w:t>2.18 计量单位</w:t>
      </w:r>
      <w:bookmarkEnd w:id="508"/>
      <w:bookmarkEnd w:id="509"/>
      <w:bookmarkEnd w:id="510"/>
    </w:p>
    <w:p w14:paraId="104CE05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79E808FE">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1AA6EF5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4D1694FD">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bookmarkStart w:id="511" w:name="_Toc331685784"/>
      <w:r>
        <w:rPr>
          <w:rFonts w:hint="eastAsia" w:ascii="仿宋" w:hAnsi="仿宋" w:eastAsia="仿宋" w:cs="仿宋"/>
          <w:b/>
          <w:color w:val="auto"/>
          <w:sz w:val="24"/>
        </w:rPr>
        <w:t xml:space="preserve"> </w:t>
      </w:r>
      <w:bookmarkEnd w:id="511"/>
      <w:r>
        <w:rPr>
          <w:rFonts w:hint="eastAsia" w:ascii="仿宋" w:hAnsi="仿宋" w:eastAsia="仿宋" w:cs="仿宋"/>
          <w:b/>
          <w:color w:val="auto"/>
          <w:sz w:val="24"/>
        </w:rPr>
        <w:t>第三部分  合同专用条款</w:t>
      </w:r>
    </w:p>
    <w:p w14:paraId="3D79B3B9">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81F1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8ABCF2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464" w:type="pct"/>
            <w:vAlign w:val="center"/>
          </w:tcPr>
          <w:p w14:paraId="753C5FA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27A3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B6BC86">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4464" w:type="pct"/>
            <w:vAlign w:val="center"/>
          </w:tcPr>
          <w:p w14:paraId="4C0A1079">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28563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18B4F4">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4464" w:type="pct"/>
            <w:vAlign w:val="center"/>
          </w:tcPr>
          <w:p w14:paraId="3AEE0890">
            <w:pPr>
              <w:spacing w:line="360" w:lineRule="auto"/>
              <w:rPr>
                <w:rFonts w:hint="eastAsia" w:ascii="仿宋" w:hAnsi="仿宋" w:eastAsia="仿宋" w:cs="仿宋"/>
                <w:color w:val="auto"/>
                <w:sz w:val="24"/>
                <w:highlight w:val="none"/>
              </w:rPr>
            </w:pPr>
            <w:r>
              <w:rPr>
                <w:rFonts w:hint="eastAsia" w:ascii="仿宋" w:hAnsi="仿宋" w:eastAsia="仿宋" w:cs="仿宋"/>
                <w:color w:val="FF0000"/>
                <w:sz w:val="24"/>
                <w:szCs w:val="24"/>
              </w:rPr>
              <w:t>合同签订且乙方提供发票后7个工作日内支付合同金额20%的预付</w:t>
            </w:r>
            <w:r>
              <w:rPr>
                <w:rFonts w:hint="eastAsia" w:ascii="仿宋" w:hAnsi="仿宋" w:eastAsia="仿宋" w:cs="仿宋"/>
                <w:color w:val="FF0000"/>
                <w:sz w:val="24"/>
                <w:szCs w:val="24"/>
                <w:lang w:val="en-US" w:eastAsia="zh-CN"/>
              </w:rPr>
              <w:t>款</w:t>
            </w:r>
            <w:r>
              <w:rPr>
                <w:rFonts w:hint="eastAsia" w:ascii="仿宋" w:hAnsi="仿宋" w:eastAsia="仿宋" w:cs="仿宋"/>
                <w:color w:val="FF0000"/>
                <w:sz w:val="24"/>
                <w:highlight w:val="none"/>
                <w:lang w:val="en-US" w:eastAsia="zh-CN"/>
              </w:rPr>
              <w:t>，</w:t>
            </w:r>
            <w:r>
              <w:rPr>
                <w:rFonts w:hint="eastAsia" w:ascii="仿宋" w:hAnsi="仿宋" w:eastAsia="仿宋" w:cs="仿宋"/>
                <w:color w:val="auto"/>
                <w:sz w:val="24"/>
                <w:highlight w:val="none"/>
                <w:lang w:val="en-US" w:eastAsia="zh-CN"/>
              </w:rPr>
              <w:t>同时收取</w:t>
            </w:r>
            <w:r>
              <w:rPr>
                <w:rFonts w:hint="eastAsia" w:ascii="仿宋" w:hAnsi="仿宋" w:eastAsia="仿宋" w:cs="仿宋"/>
                <w:color w:val="auto"/>
                <w:sz w:val="24"/>
                <w:highlight w:val="none"/>
              </w:rPr>
              <w:t>合同总价1%</w:t>
            </w:r>
            <w:r>
              <w:rPr>
                <w:rFonts w:hint="eastAsia" w:ascii="仿宋" w:hAnsi="仿宋" w:eastAsia="仿宋" w:cs="仿宋"/>
                <w:color w:val="auto"/>
                <w:sz w:val="24"/>
                <w:highlight w:val="none"/>
                <w:lang w:val="en-US" w:eastAsia="zh-CN"/>
              </w:rPr>
              <w:t>的履约保证金</w:t>
            </w:r>
            <w:r>
              <w:rPr>
                <w:rFonts w:hint="eastAsia" w:ascii="仿宋" w:hAnsi="仿宋" w:eastAsia="仿宋" w:cs="仿宋"/>
                <w:color w:val="auto"/>
                <w:sz w:val="24"/>
                <w:highlight w:val="none"/>
              </w:rPr>
              <w:t>。</w:t>
            </w:r>
          </w:p>
        </w:tc>
      </w:tr>
      <w:tr w14:paraId="22CB4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703D4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4464" w:type="pct"/>
            <w:vAlign w:val="center"/>
          </w:tcPr>
          <w:p w14:paraId="433A65D0">
            <w:pPr>
              <w:spacing w:line="360" w:lineRule="auto"/>
              <w:rPr>
                <w:rFonts w:hint="eastAsia" w:ascii="仿宋" w:hAnsi="仿宋" w:eastAsia="仿宋" w:cs="仿宋"/>
                <w:color w:val="auto"/>
                <w:sz w:val="24"/>
                <w:highlight w:val="none"/>
              </w:rPr>
            </w:pPr>
            <w:r>
              <w:rPr>
                <w:rFonts w:hint="eastAsia" w:ascii="仿宋" w:hAnsi="仿宋" w:eastAsia="仿宋" w:cs="仿宋"/>
                <w:color w:val="FF0000"/>
                <w:sz w:val="24"/>
                <w:szCs w:val="24"/>
              </w:rPr>
              <w:t>合同签订且乙方提供发票后7个工作日内支付合同金额20%的预付</w:t>
            </w:r>
            <w:r>
              <w:rPr>
                <w:rFonts w:hint="eastAsia" w:ascii="仿宋" w:hAnsi="仿宋" w:eastAsia="仿宋" w:cs="仿宋"/>
                <w:color w:val="FF0000"/>
                <w:sz w:val="24"/>
                <w:szCs w:val="24"/>
                <w:lang w:val="en-US" w:eastAsia="zh-CN"/>
              </w:rPr>
              <w:t>款</w:t>
            </w:r>
            <w:r>
              <w:rPr>
                <w:rFonts w:hint="eastAsia" w:ascii="仿宋" w:hAnsi="仿宋" w:eastAsia="仿宋" w:cs="仿宋"/>
                <w:color w:val="auto"/>
                <w:sz w:val="24"/>
                <w:highlight w:val="none"/>
                <w:lang w:val="en-US" w:eastAsia="zh-CN"/>
              </w:rPr>
              <w:t>，同时收取</w:t>
            </w:r>
            <w:r>
              <w:rPr>
                <w:rFonts w:hint="eastAsia" w:ascii="仿宋" w:hAnsi="仿宋" w:eastAsia="仿宋" w:cs="仿宋"/>
                <w:color w:val="auto"/>
                <w:sz w:val="24"/>
                <w:highlight w:val="none"/>
              </w:rPr>
              <w:t>合同总价1%</w:t>
            </w:r>
            <w:r>
              <w:rPr>
                <w:rFonts w:hint="eastAsia" w:ascii="仿宋" w:hAnsi="仿宋" w:eastAsia="仿宋" w:cs="仿宋"/>
                <w:color w:val="auto"/>
                <w:sz w:val="24"/>
                <w:highlight w:val="none"/>
                <w:lang w:val="en-US" w:eastAsia="zh-CN"/>
              </w:rPr>
              <w:t>的履约保证金</w:t>
            </w:r>
            <w:r>
              <w:rPr>
                <w:rFonts w:hint="eastAsia" w:ascii="仿宋" w:hAnsi="仿宋" w:eastAsia="仿宋" w:cs="仿宋"/>
                <w:color w:val="auto"/>
                <w:sz w:val="24"/>
                <w:highlight w:val="none"/>
              </w:rPr>
              <w:t>。</w:t>
            </w:r>
          </w:p>
        </w:tc>
      </w:tr>
      <w:tr w14:paraId="3FCE6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5A300E">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4464" w:type="pct"/>
            <w:vAlign w:val="center"/>
          </w:tcPr>
          <w:p w14:paraId="41A5988A">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预付款不扣回</w:t>
            </w:r>
          </w:p>
        </w:tc>
      </w:tr>
      <w:tr w14:paraId="4945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D0D07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464" w:type="pct"/>
            <w:vAlign w:val="center"/>
          </w:tcPr>
          <w:p w14:paraId="37A51DD5">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无</w:t>
            </w:r>
          </w:p>
        </w:tc>
      </w:tr>
      <w:tr w14:paraId="4E72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D97D29">
            <w:pPr>
              <w:spacing w:line="360" w:lineRule="auto"/>
              <w:rPr>
                <w:rFonts w:hint="eastAsia" w:ascii="仿宋" w:hAnsi="仿宋" w:eastAsia="仿宋" w:cs="仿宋"/>
                <w:color w:val="FF0000"/>
                <w:sz w:val="24"/>
              </w:rPr>
            </w:pPr>
            <w:r>
              <w:rPr>
                <w:rFonts w:hint="eastAsia" w:ascii="仿宋" w:hAnsi="仿宋" w:eastAsia="仿宋" w:cs="仿宋"/>
                <w:color w:val="FF0000"/>
                <w:sz w:val="24"/>
              </w:rPr>
              <w:t>1.6.2</w:t>
            </w:r>
          </w:p>
        </w:tc>
        <w:tc>
          <w:tcPr>
            <w:tcW w:w="4464" w:type="pct"/>
            <w:vAlign w:val="center"/>
          </w:tcPr>
          <w:p w14:paraId="411BBA4D">
            <w:pPr>
              <w:adjustRightInd/>
              <w:spacing w:line="500" w:lineRule="exact"/>
              <w:ind w:firstLine="0"/>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w:t>
            </w:r>
            <w:r>
              <w:rPr>
                <w:rFonts w:hint="eastAsia" w:ascii="仿宋" w:hAnsi="仿宋" w:eastAsia="仿宋" w:cs="仿宋"/>
                <w:color w:val="FF0000"/>
                <w:sz w:val="24"/>
                <w:szCs w:val="24"/>
              </w:rPr>
              <w:t>合同签订且乙方提供发票后7个工作日内支付合同金额20%的预付</w:t>
            </w:r>
            <w:r>
              <w:rPr>
                <w:rFonts w:hint="eastAsia" w:ascii="仿宋" w:hAnsi="仿宋" w:eastAsia="仿宋" w:cs="仿宋"/>
                <w:color w:val="FF0000"/>
                <w:sz w:val="24"/>
                <w:highlight w:val="none"/>
                <w:lang w:val="en-US" w:eastAsia="zh-CN"/>
              </w:rPr>
              <w:t>，同时收取</w:t>
            </w:r>
            <w:r>
              <w:rPr>
                <w:rFonts w:hint="eastAsia" w:ascii="仿宋" w:hAnsi="仿宋" w:eastAsia="仿宋" w:cs="仿宋"/>
                <w:color w:val="FF0000"/>
                <w:sz w:val="24"/>
                <w:highlight w:val="none"/>
              </w:rPr>
              <w:t>合同总价1%</w:t>
            </w:r>
            <w:r>
              <w:rPr>
                <w:rFonts w:hint="eastAsia" w:ascii="仿宋" w:hAnsi="仿宋" w:eastAsia="仿宋" w:cs="仿宋"/>
                <w:color w:val="FF0000"/>
                <w:sz w:val="24"/>
                <w:highlight w:val="none"/>
                <w:lang w:val="en-US" w:eastAsia="zh-CN"/>
              </w:rPr>
              <w:t>的履约保证金</w:t>
            </w:r>
            <w:r>
              <w:rPr>
                <w:rFonts w:hint="eastAsia" w:ascii="仿宋" w:hAnsi="仿宋" w:eastAsia="仿宋" w:cs="仿宋"/>
                <w:color w:val="FF0000"/>
                <w:sz w:val="24"/>
                <w:highlight w:val="none"/>
              </w:rPr>
              <w:t>。</w:t>
            </w:r>
          </w:p>
          <w:p w14:paraId="17520983">
            <w:pPr>
              <w:adjustRightInd/>
              <w:spacing w:line="500" w:lineRule="exac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2、剩余80%服务费每半年支付一次。付款前乙方应当提供相应的增值税发票，否则甲方有权拒付。</w:t>
            </w:r>
          </w:p>
        </w:tc>
      </w:tr>
      <w:tr w14:paraId="355C3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9E5224">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464" w:type="pct"/>
            <w:vAlign w:val="center"/>
          </w:tcPr>
          <w:p w14:paraId="51602444">
            <w:pPr>
              <w:spacing w:line="360" w:lineRule="auto"/>
              <w:rPr>
                <w:rFonts w:hint="eastAsia" w:ascii="仿宋" w:hAnsi="仿宋" w:eastAsia="仿宋" w:cs="仿宋"/>
                <w:color w:val="auto"/>
                <w:sz w:val="24"/>
              </w:rPr>
            </w:pPr>
            <w:r>
              <w:rPr>
                <w:rFonts w:hint="eastAsia" w:ascii="仿宋" w:hAnsi="仿宋" w:eastAsia="仿宋" w:cs="仿宋"/>
                <w:color w:val="auto"/>
                <w:sz w:val="24"/>
              </w:rPr>
              <w:t>自合同签订之日起一年。</w:t>
            </w:r>
          </w:p>
        </w:tc>
      </w:tr>
      <w:tr w14:paraId="0E4D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898FD6">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4464" w:type="pct"/>
            <w:vAlign w:val="center"/>
          </w:tcPr>
          <w:p w14:paraId="17BAD643">
            <w:pPr>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lang w:eastAsia="zh-CN"/>
              </w:rPr>
              <w:t>上塘</w:t>
            </w:r>
            <w:r>
              <w:rPr>
                <w:rFonts w:hint="eastAsia" w:ascii="仿宋" w:hAnsi="仿宋" w:eastAsia="仿宋" w:cs="仿宋"/>
                <w:color w:val="auto"/>
                <w:kern w:val="0"/>
                <w:sz w:val="24"/>
              </w:rPr>
              <w:t>街道</w:t>
            </w:r>
            <w:r>
              <w:rPr>
                <w:rFonts w:hint="eastAsia" w:ascii="仿宋" w:hAnsi="仿宋" w:eastAsia="仿宋" w:cs="仿宋"/>
                <w:color w:val="auto"/>
                <w:kern w:val="0"/>
                <w:sz w:val="24"/>
                <w:lang w:val="en-US" w:eastAsia="zh-CN"/>
              </w:rPr>
              <w:t>办事处</w:t>
            </w:r>
            <w:r>
              <w:rPr>
                <w:rFonts w:hint="eastAsia" w:ascii="仿宋" w:hAnsi="仿宋" w:eastAsia="仿宋" w:cs="仿宋"/>
                <w:color w:val="auto"/>
                <w:kern w:val="0"/>
                <w:sz w:val="24"/>
              </w:rPr>
              <w:t>管辖范围</w:t>
            </w:r>
          </w:p>
        </w:tc>
      </w:tr>
      <w:tr w14:paraId="31DBF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BF8F23">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4464" w:type="pct"/>
            <w:vAlign w:val="center"/>
          </w:tcPr>
          <w:p w14:paraId="599A0B6D">
            <w:pPr>
              <w:spacing w:line="360" w:lineRule="auto"/>
              <w:rPr>
                <w:rFonts w:hint="eastAsia" w:ascii="仿宋" w:hAnsi="仿宋" w:eastAsia="仿宋" w:cs="仿宋"/>
                <w:color w:val="auto"/>
                <w:sz w:val="24"/>
              </w:rPr>
            </w:pPr>
            <w:r>
              <w:rPr>
                <w:rFonts w:hint="eastAsia" w:ascii="仿宋" w:hAnsi="仿宋" w:eastAsia="仿宋" w:cs="仿宋"/>
                <w:color w:val="auto"/>
                <w:sz w:val="24"/>
              </w:rPr>
              <w:t>现场交付</w:t>
            </w:r>
          </w:p>
        </w:tc>
      </w:tr>
      <w:tr w14:paraId="33E26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356565">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4464" w:type="pct"/>
            <w:vAlign w:val="center"/>
          </w:tcPr>
          <w:p w14:paraId="7434F1F2">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无</w:t>
            </w:r>
          </w:p>
        </w:tc>
      </w:tr>
      <w:tr w14:paraId="3BDF9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7ACC63">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4464" w:type="pct"/>
            <w:vAlign w:val="center"/>
          </w:tcPr>
          <w:p w14:paraId="731B5E4A">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无</w:t>
            </w:r>
          </w:p>
        </w:tc>
      </w:tr>
      <w:tr w14:paraId="2527A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8F6D0">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4464" w:type="pct"/>
            <w:vAlign w:val="center"/>
          </w:tcPr>
          <w:p w14:paraId="755FA4B7">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无</w:t>
            </w:r>
          </w:p>
        </w:tc>
      </w:tr>
      <w:tr w14:paraId="3EC1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CA148E">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4464" w:type="pct"/>
            <w:vAlign w:val="center"/>
          </w:tcPr>
          <w:p w14:paraId="355D3E21">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无</w:t>
            </w:r>
          </w:p>
        </w:tc>
      </w:tr>
      <w:tr w14:paraId="323C2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9949DA">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4464" w:type="pct"/>
            <w:vAlign w:val="center"/>
          </w:tcPr>
          <w:p w14:paraId="1C611961">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无</w:t>
            </w:r>
          </w:p>
        </w:tc>
      </w:tr>
      <w:tr w14:paraId="41C85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312F95">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4464" w:type="pct"/>
            <w:vAlign w:val="center"/>
          </w:tcPr>
          <w:p w14:paraId="71AF6FB1">
            <w:pPr>
              <w:spacing w:line="360" w:lineRule="auto"/>
              <w:rPr>
                <w:rFonts w:hint="eastAsia" w:ascii="仿宋" w:hAnsi="仿宋" w:eastAsia="仿宋" w:cs="仿宋"/>
                <w:color w:val="auto"/>
                <w:sz w:val="24"/>
              </w:rPr>
            </w:pPr>
            <w:r>
              <w:rPr>
                <w:rFonts w:hint="eastAsia" w:ascii="仿宋" w:hAnsi="仿宋" w:eastAsia="仿宋" w:cs="仿宋"/>
                <w:color w:val="auto"/>
                <w:sz w:val="24"/>
              </w:rPr>
              <w:t>向甲方所在地人民法院起诉。</w:t>
            </w:r>
          </w:p>
        </w:tc>
      </w:tr>
      <w:tr w14:paraId="6BE8C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CB410A">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464" w:type="pct"/>
            <w:vAlign w:val="center"/>
          </w:tcPr>
          <w:p w14:paraId="35FBA142">
            <w:pPr>
              <w:spacing w:line="360" w:lineRule="auto"/>
              <w:ind w:left="-420" w:leftChars="-200" w:right="-420" w:righ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无</w:t>
            </w:r>
          </w:p>
        </w:tc>
      </w:tr>
      <w:tr w14:paraId="69B84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372921">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4464" w:type="pct"/>
            <w:vAlign w:val="center"/>
          </w:tcPr>
          <w:p w14:paraId="79826CD1">
            <w:pPr>
              <w:adjustRightInd/>
              <w:spacing w:line="500" w:lineRule="exact"/>
              <w:ind w:firstLine="0"/>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1、</w:t>
            </w:r>
            <w:r>
              <w:rPr>
                <w:rFonts w:hint="eastAsia" w:ascii="仿宋" w:hAnsi="仿宋" w:eastAsia="仿宋" w:cs="仿宋"/>
                <w:color w:val="FF0000"/>
                <w:sz w:val="24"/>
                <w:szCs w:val="24"/>
              </w:rPr>
              <w:t>合同签订且乙方提供发票后7个工作日内支付合同金额20%的预付</w:t>
            </w:r>
            <w:r>
              <w:rPr>
                <w:rFonts w:hint="eastAsia" w:ascii="仿宋" w:hAnsi="仿宋" w:eastAsia="仿宋" w:cs="仿宋"/>
                <w:color w:val="FF0000"/>
                <w:sz w:val="24"/>
                <w:highlight w:val="none"/>
                <w:lang w:val="en-US" w:eastAsia="zh-CN"/>
              </w:rPr>
              <w:t>，同时收取</w:t>
            </w:r>
            <w:r>
              <w:rPr>
                <w:rFonts w:hint="eastAsia" w:ascii="仿宋" w:hAnsi="仿宋" w:eastAsia="仿宋" w:cs="仿宋"/>
                <w:color w:val="FF0000"/>
                <w:sz w:val="24"/>
                <w:highlight w:val="none"/>
              </w:rPr>
              <w:t>合同总价1%</w:t>
            </w:r>
            <w:r>
              <w:rPr>
                <w:rFonts w:hint="eastAsia" w:ascii="仿宋" w:hAnsi="仿宋" w:eastAsia="仿宋" w:cs="仿宋"/>
                <w:color w:val="FF0000"/>
                <w:sz w:val="24"/>
                <w:highlight w:val="none"/>
                <w:lang w:val="en-US" w:eastAsia="zh-CN"/>
              </w:rPr>
              <w:t>的履约保证金</w:t>
            </w:r>
            <w:r>
              <w:rPr>
                <w:rFonts w:hint="eastAsia" w:ascii="仿宋" w:hAnsi="仿宋" w:eastAsia="仿宋" w:cs="仿宋"/>
                <w:color w:val="FF0000"/>
                <w:sz w:val="24"/>
                <w:highlight w:val="none"/>
              </w:rPr>
              <w:t>。</w:t>
            </w:r>
          </w:p>
          <w:p w14:paraId="1AFBF988">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FF0000"/>
                <w:sz w:val="24"/>
                <w:highlight w:val="none"/>
                <w:lang w:val="en-US" w:eastAsia="zh-CN"/>
              </w:rPr>
              <w:t>2、剩余80%服务费每半年支付一次。付款前乙方应当提供相应的增值税发票，否则甲方有权拒付。</w:t>
            </w:r>
          </w:p>
        </w:tc>
      </w:tr>
      <w:tr w14:paraId="7E9C4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FD3168">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4464" w:type="pct"/>
            <w:vAlign w:val="center"/>
          </w:tcPr>
          <w:p w14:paraId="7E623FB6">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不可抗力发生后5日内以书面形式变更合同</w:t>
            </w:r>
          </w:p>
        </w:tc>
      </w:tr>
      <w:tr w14:paraId="31DA5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5A2286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4464" w:type="pct"/>
          </w:tcPr>
          <w:p w14:paraId="2EC350E4">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不可抗力发生后1日内以书面形式通知对方当事人；不可抗力发生后15日内将有关部门出具的证明文件送达对方当事人。</w:t>
            </w:r>
          </w:p>
        </w:tc>
      </w:tr>
      <w:tr w14:paraId="3776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12D4D8">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4464" w:type="pct"/>
            <w:vAlign w:val="center"/>
          </w:tcPr>
          <w:p w14:paraId="69184C4E">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满足验收条件之日起10日内组织验收</w:t>
            </w:r>
          </w:p>
        </w:tc>
      </w:tr>
      <w:tr w14:paraId="649E6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1429ED">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4464" w:type="pct"/>
            <w:vAlign w:val="center"/>
          </w:tcPr>
          <w:p w14:paraId="72A6F7CB">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2FC32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80B079C">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4464" w:type="pct"/>
          </w:tcPr>
          <w:p w14:paraId="28DC614C">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合同份数按甲方执叁份，乙方执叁份规定，每份均具有同等法律效力。</w:t>
            </w:r>
          </w:p>
        </w:tc>
      </w:tr>
    </w:tbl>
    <w:p w14:paraId="3657AA8D">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02BAF754">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2025年度巡防中队保安服务项目</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6B6935F5">
            <w:pPr>
              <w:jc w:val="center"/>
              <w:rPr>
                <w:rFonts w:ascii="宋体" w:hAnsi="宋体" w:cs="宋体"/>
                <w:b/>
                <w:color w:val="auto"/>
                <w:kern w:val="0"/>
                <w:sz w:val="32"/>
                <w:szCs w:val="32"/>
                <w:highlight w:val="none"/>
              </w:rPr>
            </w:pPr>
          </w:p>
        </w:tc>
        <w:tc>
          <w:tcPr>
            <w:tcW w:w="1873" w:type="pct"/>
          </w:tcPr>
          <w:p w14:paraId="5FF76456">
            <w:pPr>
              <w:jc w:val="center"/>
              <w:rPr>
                <w:rFonts w:ascii="宋体" w:hAnsi="宋体" w:cs="宋体"/>
                <w:b/>
                <w:color w:val="auto"/>
                <w:kern w:val="0"/>
                <w:sz w:val="32"/>
                <w:szCs w:val="32"/>
                <w:highlight w:val="none"/>
              </w:rPr>
            </w:pPr>
          </w:p>
        </w:tc>
        <w:tc>
          <w:tcPr>
            <w:tcW w:w="674" w:type="pct"/>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3D96D204">
            <w:pPr>
              <w:jc w:val="center"/>
              <w:rPr>
                <w:rFonts w:ascii="宋体" w:hAnsi="宋体" w:cs="宋体"/>
                <w:b/>
                <w:color w:val="auto"/>
                <w:kern w:val="0"/>
                <w:sz w:val="32"/>
                <w:szCs w:val="32"/>
                <w:highlight w:val="none"/>
              </w:rPr>
            </w:pPr>
          </w:p>
        </w:tc>
        <w:tc>
          <w:tcPr>
            <w:tcW w:w="1873" w:type="pct"/>
          </w:tcPr>
          <w:p w14:paraId="0A81AFEB">
            <w:pPr>
              <w:jc w:val="center"/>
              <w:rPr>
                <w:rFonts w:ascii="宋体" w:hAnsi="宋体" w:cs="宋体"/>
                <w:b/>
                <w:color w:val="auto"/>
                <w:kern w:val="0"/>
                <w:sz w:val="32"/>
                <w:szCs w:val="32"/>
                <w:highlight w:val="none"/>
              </w:rPr>
            </w:pPr>
          </w:p>
        </w:tc>
        <w:tc>
          <w:tcPr>
            <w:tcW w:w="674" w:type="pct"/>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0A4801BD">
            <w:pPr>
              <w:jc w:val="center"/>
              <w:rPr>
                <w:rFonts w:ascii="宋体" w:hAnsi="宋体" w:cs="宋体"/>
                <w:b/>
                <w:color w:val="auto"/>
                <w:kern w:val="0"/>
                <w:sz w:val="32"/>
                <w:szCs w:val="32"/>
                <w:highlight w:val="none"/>
              </w:rPr>
            </w:pPr>
          </w:p>
        </w:tc>
        <w:tc>
          <w:tcPr>
            <w:tcW w:w="1873" w:type="pct"/>
          </w:tcPr>
          <w:p w14:paraId="25AE5A44">
            <w:pPr>
              <w:jc w:val="center"/>
              <w:rPr>
                <w:rFonts w:ascii="宋体" w:hAnsi="宋体" w:cs="宋体"/>
                <w:b/>
                <w:color w:val="auto"/>
                <w:kern w:val="0"/>
                <w:sz w:val="32"/>
                <w:szCs w:val="32"/>
                <w:highlight w:val="none"/>
              </w:rPr>
            </w:pPr>
          </w:p>
        </w:tc>
        <w:tc>
          <w:tcPr>
            <w:tcW w:w="674" w:type="pct"/>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杭州市拱墅区人民政府上塘街道办事处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4E1C2A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p w14:paraId="38848F90">
            <w:pPr>
              <w:spacing w:line="360" w:lineRule="auto"/>
              <w:jc w:val="center"/>
              <w:rPr>
                <w:rFonts w:ascii="宋体" w:hAnsi="宋体" w:cs="宋体"/>
                <w:b/>
                <w:color w:val="auto"/>
                <w:sz w:val="24"/>
                <w:highlight w:val="none"/>
              </w:rPr>
            </w:pPr>
            <w:r>
              <w:rPr>
                <w:rFonts w:hint="eastAsia" w:ascii="仿宋" w:hAnsi="仿宋" w:eastAsia="仿宋" w:cs="仿宋"/>
                <w:b/>
                <w:sz w:val="24"/>
              </w:rPr>
              <w:t>（地点）</w:t>
            </w:r>
          </w:p>
        </w:tc>
        <w:tc>
          <w:tcPr>
            <w:tcW w:w="2410" w:type="dxa"/>
            <w:vAlign w:val="center"/>
          </w:tcPr>
          <w:p w14:paraId="6B1D14D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p w14:paraId="7653DDE9">
            <w:pPr>
              <w:spacing w:line="360" w:lineRule="auto"/>
              <w:jc w:val="center"/>
              <w:rPr>
                <w:rFonts w:ascii="宋体" w:hAnsi="宋体" w:cs="宋体"/>
                <w:b/>
                <w:color w:val="auto"/>
                <w:sz w:val="24"/>
                <w:highlight w:val="none"/>
              </w:rPr>
            </w:pPr>
            <w:r>
              <w:rPr>
                <w:rFonts w:hint="eastAsia" w:ascii="仿宋" w:hAnsi="仿宋" w:eastAsia="仿宋" w:cs="仿宋"/>
                <w:b/>
                <w:sz w:val="24"/>
              </w:rPr>
              <w:t>（按照招标文件要求）</w:t>
            </w:r>
          </w:p>
        </w:tc>
        <w:tc>
          <w:tcPr>
            <w:tcW w:w="2268" w:type="dxa"/>
            <w:vAlign w:val="center"/>
          </w:tcPr>
          <w:p w14:paraId="38EAABB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p w14:paraId="15B12DF6">
            <w:pPr>
              <w:spacing w:line="360" w:lineRule="auto"/>
              <w:jc w:val="center"/>
              <w:rPr>
                <w:rFonts w:ascii="宋体" w:hAnsi="宋体" w:cs="宋体"/>
                <w:b/>
                <w:color w:val="auto"/>
                <w:sz w:val="24"/>
                <w:highlight w:val="none"/>
              </w:rPr>
            </w:pPr>
            <w:r>
              <w:rPr>
                <w:rFonts w:hint="eastAsia" w:ascii="仿宋" w:hAnsi="仿宋" w:eastAsia="仿宋" w:cs="仿宋"/>
                <w:b/>
                <w:sz w:val="24"/>
              </w:rPr>
              <w:t>（岗位时间及合同时间）</w:t>
            </w:r>
          </w:p>
        </w:tc>
        <w:tc>
          <w:tcPr>
            <w:tcW w:w="2126" w:type="dxa"/>
            <w:vAlign w:val="center"/>
          </w:tcPr>
          <w:p w14:paraId="0D59817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p w14:paraId="41336C83">
            <w:pPr>
              <w:spacing w:line="360" w:lineRule="auto"/>
              <w:jc w:val="center"/>
              <w:rPr>
                <w:rFonts w:ascii="宋体" w:hAnsi="宋体" w:cs="宋体"/>
                <w:b/>
                <w:color w:val="auto"/>
                <w:sz w:val="24"/>
                <w:highlight w:val="none"/>
              </w:rPr>
            </w:pPr>
            <w:r>
              <w:rPr>
                <w:rFonts w:hint="eastAsia" w:ascii="仿宋" w:hAnsi="仿宋" w:eastAsia="仿宋" w:cs="仿宋"/>
                <w:b/>
                <w:sz w:val="24"/>
              </w:rPr>
              <w:t>（按照招标文件要求）</w:t>
            </w:r>
          </w:p>
        </w:tc>
        <w:tc>
          <w:tcPr>
            <w:tcW w:w="2127" w:type="dxa"/>
          </w:tcPr>
          <w:p w14:paraId="6EDFF947">
            <w:pPr>
              <w:spacing w:line="360" w:lineRule="auto"/>
              <w:jc w:val="center"/>
              <w:rPr>
                <w:rFonts w:ascii="宋体" w:hAnsi="宋体" w:cs="宋体"/>
                <w:b/>
                <w:color w:val="auto"/>
                <w:sz w:val="24"/>
                <w:highlight w:val="none"/>
              </w:rPr>
            </w:pPr>
          </w:p>
          <w:p w14:paraId="1D0B3CF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p w14:paraId="5722E16A">
            <w:pPr>
              <w:spacing w:line="360" w:lineRule="auto"/>
              <w:jc w:val="center"/>
              <w:rPr>
                <w:rFonts w:ascii="宋体" w:hAnsi="宋体" w:cs="宋体"/>
                <w:b/>
                <w:color w:val="auto"/>
                <w:sz w:val="24"/>
                <w:highlight w:val="none"/>
              </w:rPr>
            </w:pPr>
            <w:r>
              <w:rPr>
                <w:rFonts w:hint="eastAsia" w:ascii="仿宋" w:hAnsi="仿宋" w:eastAsia="仿宋" w:cs="仿宋"/>
                <w:b/>
                <w:sz w:val="24"/>
              </w:rPr>
              <w:t>（岗位及人数）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2025年度巡防中队保安服务项目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089D433B">
      <w:pPr>
        <w:spacing w:line="360" w:lineRule="auto"/>
        <w:jc w:val="left"/>
        <w:rPr>
          <w:rFonts w:hint="eastAsia" w:ascii="宋体" w:hAnsi="宋体" w:cs="宋体"/>
          <w:b/>
          <w:color w:val="auto"/>
          <w:spacing w:val="6"/>
          <w:sz w:val="32"/>
          <w:szCs w:val="32"/>
          <w:highlight w:val="none"/>
        </w:rPr>
      </w:pPr>
    </w:p>
    <w:p w14:paraId="06BC8BCE">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6E0E1186">
      <w:pPr>
        <w:spacing w:line="360" w:lineRule="auto"/>
        <w:jc w:val="left"/>
        <w:rPr>
          <w:rFonts w:hint="eastAsia" w:ascii="宋体" w:hAnsi="宋体" w:cs="宋体"/>
          <w:b/>
          <w:color w:val="auto"/>
          <w:spacing w:val="6"/>
          <w:sz w:val="32"/>
          <w:szCs w:val="32"/>
          <w:highlight w:val="none"/>
        </w:rPr>
      </w:pPr>
    </w:p>
    <w:p w14:paraId="68968C20">
      <w:pPr>
        <w:spacing w:line="360" w:lineRule="auto"/>
        <w:jc w:val="left"/>
        <w:rPr>
          <w:rFonts w:hint="eastAsia" w:ascii="宋体" w:hAnsi="宋体" w:cs="宋体"/>
          <w:b/>
          <w:color w:val="auto"/>
          <w:spacing w:val="6"/>
          <w:sz w:val="32"/>
          <w:szCs w:val="32"/>
          <w:highlight w:val="none"/>
        </w:rPr>
      </w:pPr>
    </w:p>
    <w:p w14:paraId="77AA92BA">
      <w:pPr>
        <w:spacing w:line="360" w:lineRule="auto"/>
        <w:jc w:val="left"/>
        <w:rPr>
          <w:rFonts w:hint="eastAsia" w:ascii="宋体" w:hAnsi="宋体" w:cs="宋体"/>
          <w:b/>
          <w:color w:val="auto"/>
          <w:spacing w:val="6"/>
          <w:sz w:val="32"/>
          <w:szCs w:val="32"/>
          <w:highlight w:val="none"/>
        </w:rPr>
      </w:pPr>
    </w:p>
    <w:p w14:paraId="00424438">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杭州市拱墅区人民政府上塘街道办事处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2025年度巡防中队保安服务项目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HCZX-ZC-[2025]0324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30148CA">
      <w:pPr>
        <w:spacing w:line="360" w:lineRule="auto"/>
        <w:jc w:val="left"/>
        <w:outlineLvl w:val="0"/>
        <w:rPr>
          <w:rFonts w:hint="eastAsia" w:ascii="宋体" w:hAnsi="宋体" w:cs="宋体"/>
          <w:b/>
          <w:color w:val="auto"/>
          <w:sz w:val="36"/>
          <w:szCs w:val="20"/>
          <w:highlight w:val="none"/>
        </w:rPr>
      </w:pPr>
    </w:p>
    <w:p w14:paraId="2A121D98">
      <w:pPr>
        <w:spacing w:line="360" w:lineRule="auto"/>
        <w:jc w:val="left"/>
        <w:outlineLvl w:val="0"/>
        <w:rPr>
          <w:rFonts w:hint="eastAsia" w:ascii="宋体" w:hAnsi="宋体" w:cs="宋体"/>
          <w:b/>
          <w:color w:val="auto"/>
          <w:sz w:val="36"/>
          <w:szCs w:val="20"/>
          <w:highlight w:val="none"/>
        </w:rPr>
      </w:pPr>
    </w:p>
    <w:p w14:paraId="33D6267B">
      <w:pPr>
        <w:spacing w:line="360" w:lineRule="auto"/>
        <w:jc w:val="left"/>
        <w:outlineLvl w:val="0"/>
        <w:rPr>
          <w:rFonts w:hint="eastAsia" w:ascii="宋体" w:hAnsi="宋体" w:cs="宋体"/>
          <w:b/>
          <w:color w:val="auto"/>
          <w:sz w:val="36"/>
          <w:szCs w:val="20"/>
          <w:highlight w:val="none"/>
        </w:rPr>
      </w:pPr>
    </w:p>
    <w:p w14:paraId="6EF472E5">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杭州市拱墅区人民政府上塘街道办事处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2025年度巡防中队保安服务项目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2025年度巡防中队保安服务项目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4"/>
      </w:rPr>
    </w:pPr>
    <w:r>
      <w:fldChar w:fldCharType="begin"/>
    </w:r>
    <w:r>
      <w:rPr>
        <w:rStyle w:val="74"/>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164085800"/>
    <w:bookmarkStart w:id="520" w:name="_Toc131845147"/>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4"/>
      </w:rPr>
    </w:pPr>
    <w:r>
      <w:fldChar w:fldCharType="begin"/>
    </w:r>
    <w:r>
      <w:rPr>
        <w:rStyle w:val="74"/>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476C0D5E"/>
    <w:multiLevelType w:val="singleLevel"/>
    <w:tmpl w:val="476C0D5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C03DF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8644A"/>
    <w:rsid w:val="0D4A7419"/>
    <w:rsid w:val="0D5C5FEA"/>
    <w:rsid w:val="0D827401"/>
    <w:rsid w:val="0D84094E"/>
    <w:rsid w:val="0D8A00E9"/>
    <w:rsid w:val="0D8D589E"/>
    <w:rsid w:val="0DA01C73"/>
    <w:rsid w:val="0DD63300"/>
    <w:rsid w:val="0DF50604"/>
    <w:rsid w:val="0DF702FE"/>
    <w:rsid w:val="0E060E51"/>
    <w:rsid w:val="0E5604B2"/>
    <w:rsid w:val="0E6D5D79"/>
    <w:rsid w:val="0E734194"/>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23F9F"/>
    <w:rsid w:val="17D349C1"/>
    <w:rsid w:val="1830729E"/>
    <w:rsid w:val="1870062C"/>
    <w:rsid w:val="18817102"/>
    <w:rsid w:val="18830A15"/>
    <w:rsid w:val="18852B28"/>
    <w:rsid w:val="188B5321"/>
    <w:rsid w:val="19932372"/>
    <w:rsid w:val="19A20DD5"/>
    <w:rsid w:val="19AE03F1"/>
    <w:rsid w:val="1A071A03"/>
    <w:rsid w:val="1A1F16AE"/>
    <w:rsid w:val="1A3B5C77"/>
    <w:rsid w:val="1A6A3720"/>
    <w:rsid w:val="1A984BAD"/>
    <w:rsid w:val="1AB8220E"/>
    <w:rsid w:val="1AE4166C"/>
    <w:rsid w:val="1AF06CFB"/>
    <w:rsid w:val="1AF11B8D"/>
    <w:rsid w:val="1AFB7967"/>
    <w:rsid w:val="1B11359C"/>
    <w:rsid w:val="1B2A271F"/>
    <w:rsid w:val="1B530544"/>
    <w:rsid w:val="1B713184"/>
    <w:rsid w:val="1B977C17"/>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21BB0"/>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A2492"/>
    <w:rsid w:val="239C0061"/>
    <w:rsid w:val="23B908A4"/>
    <w:rsid w:val="23E95BEF"/>
    <w:rsid w:val="23FD0064"/>
    <w:rsid w:val="245375B0"/>
    <w:rsid w:val="24642C0A"/>
    <w:rsid w:val="24B22173"/>
    <w:rsid w:val="24B95AD9"/>
    <w:rsid w:val="24BE24DA"/>
    <w:rsid w:val="24CF5825"/>
    <w:rsid w:val="24D663E6"/>
    <w:rsid w:val="24D77F2B"/>
    <w:rsid w:val="24EF23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71D61"/>
    <w:rsid w:val="280313DD"/>
    <w:rsid w:val="280D58F7"/>
    <w:rsid w:val="28333E1D"/>
    <w:rsid w:val="28454BD6"/>
    <w:rsid w:val="28455253"/>
    <w:rsid w:val="28551971"/>
    <w:rsid w:val="285B1C53"/>
    <w:rsid w:val="289F7086"/>
    <w:rsid w:val="28C32028"/>
    <w:rsid w:val="28CC490F"/>
    <w:rsid w:val="28D720B4"/>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6778C"/>
    <w:rsid w:val="2CE82D6F"/>
    <w:rsid w:val="2D343236"/>
    <w:rsid w:val="2D5F540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586F6D"/>
    <w:rsid w:val="336963EB"/>
    <w:rsid w:val="33816EEB"/>
    <w:rsid w:val="33D65752"/>
    <w:rsid w:val="33EB55CD"/>
    <w:rsid w:val="33EC4C02"/>
    <w:rsid w:val="340D2360"/>
    <w:rsid w:val="3410665D"/>
    <w:rsid w:val="34211214"/>
    <w:rsid w:val="342E63AB"/>
    <w:rsid w:val="34717000"/>
    <w:rsid w:val="34817B64"/>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E3DA7"/>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AC312F"/>
    <w:rsid w:val="4019356B"/>
    <w:rsid w:val="40592157"/>
    <w:rsid w:val="406E1CAE"/>
    <w:rsid w:val="4075506B"/>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42D58"/>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7544BA"/>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4356D2"/>
    <w:rsid w:val="50962ECB"/>
    <w:rsid w:val="50A42E38"/>
    <w:rsid w:val="50A4577F"/>
    <w:rsid w:val="50B73D1F"/>
    <w:rsid w:val="50BD5BC9"/>
    <w:rsid w:val="50C11EEE"/>
    <w:rsid w:val="50E97CFC"/>
    <w:rsid w:val="50FA4028"/>
    <w:rsid w:val="510D65B7"/>
    <w:rsid w:val="511157AB"/>
    <w:rsid w:val="5142540C"/>
    <w:rsid w:val="51681D18"/>
    <w:rsid w:val="518832C8"/>
    <w:rsid w:val="519D3C50"/>
    <w:rsid w:val="51A0432A"/>
    <w:rsid w:val="51A86090"/>
    <w:rsid w:val="51B7396D"/>
    <w:rsid w:val="522E32A0"/>
    <w:rsid w:val="522E4CC3"/>
    <w:rsid w:val="5244713B"/>
    <w:rsid w:val="52615633"/>
    <w:rsid w:val="526F4DE4"/>
    <w:rsid w:val="528C6666"/>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A5EEB"/>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50BD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C3E6B"/>
    <w:rsid w:val="643E143A"/>
    <w:rsid w:val="64491666"/>
    <w:rsid w:val="648B6EEF"/>
    <w:rsid w:val="64C158BF"/>
    <w:rsid w:val="64CE2EAA"/>
    <w:rsid w:val="653A1732"/>
    <w:rsid w:val="653C3090"/>
    <w:rsid w:val="65854376"/>
    <w:rsid w:val="658767BE"/>
    <w:rsid w:val="65892531"/>
    <w:rsid w:val="66195831"/>
    <w:rsid w:val="662E75B1"/>
    <w:rsid w:val="66342C2E"/>
    <w:rsid w:val="663E784C"/>
    <w:rsid w:val="666F593F"/>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23149"/>
    <w:rsid w:val="6ACB717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A82761"/>
    <w:rsid w:val="71D43752"/>
    <w:rsid w:val="71F1796A"/>
    <w:rsid w:val="72154626"/>
    <w:rsid w:val="72262B5D"/>
    <w:rsid w:val="72281098"/>
    <w:rsid w:val="72283FF7"/>
    <w:rsid w:val="722E7212"/>
    <w:rsid w:val="723A0474"/>
    <w:rsid w:val="725923E4"/>
    <w:rsid w:val="72864BF7"/>
    <w:rsid w:val="729023FC"/>
    <w:rsid w:val="739E2D67"/>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BFF02E5"/>
    <w:rsid w:val="7C0A0FE4"/>
    <w:rsid w:val="7C254906"/>
    <w:rsid w:val="7C590818"/>
    <w:rsid w:val="7C7C10F6"/>
    <w:rsid w:val="7C853BEA"/>
    <w:rsid w:val="7C881368"/>
    <w:rsid w:val="7CDB5638"/>
    <w:rsid w:val="7CE27788"/>
    <w:rsid w:val="7D0C32F1"/>
    <w:rsid w:val="7D0F408D"/>
    <w:rsid w:val="7D491C6C"/>
    <w:rsid w:val="7D5429C0"/>
    <w:rsid w:val="7D6E6D43"/>
    <w:rsid w:val="7D733B0F"/>
    <w:rsid w:val="7DB57A34"/>
    <w:rsid w:val="7DE60973"/>
    <w:rsid w:val="7DEF0916"/>
    <w:rsid w:val="7E1E5218"/>
    <w:rsid w:val="7E3F7E73"/>
    <w:rsid w:val="7E9A4E1F"/>
    <w:rsid w:val="7EA7723A"/>
    <w:rsid w:val="7EF56FBB"/>
    <w:rsid w:val="7F026C8C"/>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3"/>
    <w:qFormat/>
    <w:uiPriority w:val="0"/>
    <w:pPr>
      <w:ind w:firstLine="420"/>
    </w:pPr>
    <w:rPr>
      <w:rFonts w:hAnsi="Calibri" w:cs="Times New Roman"/>
      <w:snapToGrid/>
      <w:szCs w:val="20"/>
    </w:rPr>
  </w:style>
  <w:style w:type="paragraph" w:styleId="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paragraph" w:styleId="62">
    <w:name w:val="Body Text First Indent 2"/>
    <w:basedOn w:val="25"/>
    <w:next w:val="63"/>
    <w:link w:val="123"/>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360</Words>
  <Characters>449</Characters>
  <Lines>281</Lines>
  <Paragraphs>79</Paragraphs>
  <TotalTime>75</TotalTime>
  <ScaleCrop>false</ScaleCrop>
  <LinksUpToDate>false</LinksUpToDate>
  <CharactersWithSpaces>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JYang、Z</cp:lastModifiedBy>
  <cp:lastPrinted>2021-12-28T03:06:00Z</cp:lastPrinted>
  <dcterms:modified xsi:type="dcterms:W3CDTF">2025-04-10T07:50:01Z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38C20003A0F04722A040C2C994C12C68_13</vt:lpwstr>
  </property>
  <property fmtid="{D5CDD505-2E9C-101B-9397-08002B2CF9AE}" pid="5" name="KSOTemplateDocerSaveRecord">
    <vt:lpwstr>eyJoZGlkIjoiYjhjZDM5N2ExMzgwZGY3NTZlYWMzMTYyMGMzNjNhNjkiLCJ1c2VySWQiOiIyNTM3MDI0ODAifQ==</vt:lpwstr>
  </property>
</Properties>
</file>