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浙江省公安厅“浙江交警”新媒体运维项目（第三次重新招标）</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招标文件</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HCZX-ZC-[2024]0588-2</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浙江省公安厅</w:t>
      </w:r>
    </w:p>
    <w:p>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华诚工程咨询集团有限公司</w:t>
      </w:r>
    </w:p>
    <w:p>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二〇二</w:t>
      </w:r>
      <w:r>
        <w:rPr>
          <w:rFonts w:hint="eastAsia" w:ascii="宋体" w:hAnsi="宋体" w:cs="宋体"/>
          <w:bCs/>
          <w:sz w:val="32"/>
          <w:szCs w:val="32"/>
          <w:lang w:val="en-US" w:eastAsia="zh-CN"/>
        </w:rPr>
        <w:t>四</w:t>
      </w:r>
      <w:r>
        <w:rPr>
          <w:rFonts w:hint="eastAsia" w:ascii="宋体" w:hAnsi="宋体" w:cs="宋体"/>
          <w:bCs/>
          <w:sz w:val="32"/>
          <w:szCs w:val="32"/>
          <w:lang w:eastAsia="zh-CN"/>
        </w:rPr>
        <w:t>年</w:t>
      </w:r>
      <w:r>
        <w:rPr>
          <w:rFonts w:hint="eastAsia" w:ascii="宋体" w:hAnsi="宋体" w:cs="宋体"/>
          <w:bCs/>
          <w:sz w:val="32"/>
          <w:szCs w:val="32"/>
          <w:lang w:val="en-US" w:eastAsia="zh-CN"/>
        </w:rPr>
        <w:t>八</w:t>
      </w:r>
      <w:r>
        <w:rPr>
          <w:rFonts w:hint="eastAsia" w:ascii="宋体" w:hAnsi="宋体" w:cs="宋体"/>
          <w:bCs/>
          <w:sz w:val="32"/>
          <w:szCs w:val="32"/>
          <w:lang w:eastAsia="zh-CN"/>
        </w:rPr>
        <w:t>月</w:t>
      </w:r>
      <w:r>
        <w:rPr>
          <w:rFonts w:hint="eastAsia" w:ascii="宋体" w:hAnsi="宋体" w:cs="宋体"/>
          <w:bCs/>
          <w:sz w:val="32"/>
          <w:szCs w:val="32"/>
          <w:lang w:val="en-US" w:eastAsia="zh-CN"/>
        </w:rPr>
        <w:t>八</w:t>
      </w:r>
      <w:r>
        <w:rPr>
          <w:rFonts w:hint="eastAsia" w:ascii="宋体" w:hAnsi="宋体" w:cs="宋体"/>
          <w:bCs/>
          <w:sz w:val="32"/>
          <w:szCs w:val="32"/>
          <w:lang w:eastAsia="zh-CN"/>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
      <w:pPr>
        <w:bidi w:val="0"/>
      </w:pPr>
    </w:p>
    <w:p>
      <w:pPr>
        <w:spacing w:before="0" w:beforeLines="-2147483648" w:after="0" w:afterLines="-2147483648" w:line="360" w:lineRule="auto"/>
        <w:ind w:left="0" w:leftChars="0" w:right="0" w:rightChars="0" w:firstLine="0" w:firstLineChars="0"/>
        <w:jc w:val="center"/>
        <w:rPr>
          <w:rFonts w:ascii="宋体" w:hAnsi="宋体" w:cs="宋体"/>
          <w:b/>
          <w:sz w:val="48"/>
          <w:szCs w:val="48"/>
        </w:rPr>
      </w:pPr>
      <w:bookmarkStart w:id="1" w:name="_Toc91899869"/>
      <w:r>
        <w:rPr>
          <w:rFonts w:ascii="宋体" w:hAnsi="宋体" w:eastAsia="宋体" w:cs="宋体"/>
          <w:b/>
          <w:sz w:val="48"/>
          <w:szCs w:val="48"/>
        </w:rPr>
        <w:t>目</w:t>
      </w:r>
      <w:r>
        <w:rPr>
          <w:rFonts w:hint="eastAsia" w:ascii="宋体" w:hAnsi="宋体" w:cs="宋体"/>
          <w:b/>
          <w:sz w:val="48"/>
          <w:szCs w:val="48"/>
          <w:lang w:val="en-US" w:eastAsia="zh-CN"/>
        </w:rPr>
        <w:t xml:space="preserve">  </w:t>
      </w:r>
      <w:r>
        <w:rPr>
          <w:rFonts w:ascii="宋体" w:hAnsi="宋体" w:eastAsia="宋体" w:cs="宋体"/>
          <w:b/>
          <w:sz w:val="48"/>
          <w:szCs w:val="48"/>
        </w:rPr>
        <w:t>录</w:t>
      </w:r>
    </w:p>
    <w:p>
      <w:pPr>
        <w:rPr>
          <w:rFonts w:hint="eastAsia" w:asciiTheme="minorEastAsia" w:hAnsiTheme="minorEastAsia" w:eastAsiaTheme="minorEastAsia" w:cstheme="minorEastAsia"/>
          <w:sz w:val="24"/>
        </w:rPr>
      </w:pPr>
    </w:p>
    <w:p>
      <w:pPr>
        <w:pStyle w:val="43"/>
        <w:tabs>
          <w:tab w:val="right" w:leader="dot" w:pos="9070"/>
        </w:tabs>
        <w:spacing w:line="360" w:lineRule="auto"/>
        <w:rPr>
          <w:rFonts w:hint="eastAsia" w:asciiTheme="minorEastAsia" w:hAnsiTheme="minorEastAsia" w:eastAsiaTheme="minorEastAsia" w:cstheme="minorEastAsia"/>
          <w:sz w:val="24"/>
        </w:rPr>
      </w:pPr>
      <w:r>
        <w:rPr>
          <w:lang w:val="zh-CN" w:eastAsia="zh-CN"/>
        </w:rPr>
        <w:fldChar w:fldCharType="begin"/>
      </w:r>
      <w:r>
        <w:rPr>
          <w:lang w:val="zh-CN" w:eastAsia="zh-CN"/>
        </w:rPr>
        <w:instrText xml:space="preserve">TOC \o "1-2" \h \u </w:instrText>
      </w:r>
      <w:r>
        <w:rPr>
          <w:lang w:val="zh-CN" w:eastAsia="zh-CN"/>
        </w:rPr>
        <w:fldChar w:fldCharType="separate"/>
      </w: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_Toc10627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 xml:space="preserve">第一部分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招标公告</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_Toc10627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43"/>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_Toc27754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 xml:space="preserve">第二部分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投标人须知</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_Toc27754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_Toc18229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一、总则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_Toc18229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_Toc5504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二、招标文件的构成、澄清、修改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_Toc29444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三、投标</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_Toc29444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_Toc5115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四、开标、资格审查与信用信息查询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_Toc5115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_Toc3203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五、评标</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_Toc14548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六、定 标</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_Toc14737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七、合同授予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_Toc14737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_Toc4093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八、电子交易活动的中止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_Toc4093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_Toc1470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九、验收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_Toc1470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43"/>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_Toc28829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第三部分  采购需求</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_Toc28829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43"/>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_Toc26117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第四部分  评标办法</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_Toc26117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_Toc22277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一、评标方法</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_Toc22277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_Toc184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二、评标标准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_Toc987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三、评标程序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_Toc987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_Toc17066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四、评标中的其他事项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_Toc17066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43"/>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_Toc4805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第五部分 拟签订的合同文本</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_Toc4805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42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43"/>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_Toc3401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szCs w:val="24"/>
        </w:rPr>
        <w:t>第六部分 应提交的有关格式范例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_Toc3401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49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_Toc27635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kern w:val="0"/>
          <w:sz w:val="24"/>
          <w:szCs w:val="24"/>
        </w:rPr>
        <w:t>资格文件部分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_Toc27635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_Toc31046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kern w:val="0"/>
          <w:sz w:val="24"/>
          <w:szCs w:val="24"/>
        </w:rPr>
        <w:t>商务技术文件部分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_Toc31046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_Toc22915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kern w:val="0"/>
          <w:sz w:val="24"/>
          <w:szCs w:val="24"/>
        </w:rPr>
        <w:t>报价文件部分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_Toc22915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68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pPr>
        <w:pStyle w:val="54"/>
        <w:tabs>
          <w:tab w:val="right" w:leader="dot" w:pos="9070"/>
        </w:tabs>
        <w:spacing w:line="360" w:lineRule="auto"/>
      </w:pPr>
      <w:r>
        <w:rPr>
          <w:rFonts w:hint="eastAsia" w:asciiTheme="minorEastAsia" w:hAnsiTheme="minorEastAsia" w:eastAsiaTheme="minorEastAsia" w:cstheme="minorEastAsia"/>
          <w:sz w:val="24"/>
          <w:lang w:val="zh-CN" w:eastAsia="zh-CN"/>
        </w:rPr>
        <w:fldChar w:fldCharType="begin"/>
      </w:r>
      <w:r>
        <w:rPr>
          <w:rFonts w:hint="eastAsia" w:asciiTheme="minorEastAsia" w:hAnsiTheme="minorEastAsia" w:eastAsiaTheme="minorEastAsia" w:cstheme="minorEastAsia"/>
          <w:sz w:val="24"/>
          <w:lang w:val="zh-CN" w:eastAsia="zh-CN"/>
        </w:rPr>
        <w:instrText xml:space="preserve"> HYPERLINK \l _Toc14875 </w:instrText>
      </w:r>
      <w:r>
        <w:rPr>
          <w:rFonts w:hint="eastAsia" w:asciiTheme="minorEastAsia" w:hAnsiTheme="minorEastAsia" w:eastAsiaTheme="minorEastAsia" w:cstheme="minorEastAsia"/>
          <w:sz w:val="24"/>
          <w:lang w:val="zh-CN" w:eastAsia="zh-CN"/>
        </w:rPr>
        <w:fldChar w:fldCharType="separate"/>
      </w:r>
      <w:r>
        <w:rPr>
          <w:rFonts w:hint="eastAsia" w:asciiTheme="minorEastAsia" w:hAnsiTheme="minorEastAsia" w:eastAsiaTheme="minorEastAsia" w:cstheme="minorEastAsia"/>
          <w:sz w:val="24"/>
        </w:rPr>
        <w:t>附件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_Toc14875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eastAsia="zh-CN"/>
        </w:rPr>
        <w:fldChar w:fldCharType="end"/>
      </w:r>
    </w:p>
    <w:p>
      <w:r>
        <w:rPr>
          <w:lang w:val="zh-CN" w:eastAsia="zh-CN"/>
        </w:rPr>
        <w:fldChar w:fldCharType="end"/>
      </w:r>
    </w:p>
    <w:p>
      <w:pPr>
        <w:adjustRightInd/>
        <w:spacing w:line="360" w:lineRule="auto"/>
        <w:jc w:val="center"/>
        <w:outlineLvl w:val="0"/>
        <w:rPr>
          <w:rFonts w:ascii="宋体" w:hAnsi="宋体" w:cs="宋体"/>
          <w:b/>
          <w:color w:val="auto"/>
          <w:sz w:val="36"/>
          <w:szCs w:val="20"/>
        </w:rPr>
      </w:pPr>
      <w:bookmarkStart w:id="2" w:name="第一部分"/>
      <w:r>
        <w:rPr>
          <w:rFonts w:hint="eastAsia" w:ascii="宋体" w:hAnsi="宋体" w:cs="宋体"/>
          <w:b/>
          <w:sz w:val="36"/>
          <w:szCs w:val="36"/>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_Toc27207"/>
      <w:bookmarkStart w:id="8" w:name="_Toc10627"/>
      <w:bookmarkStart w:id="9" w:name="_Toc29791"/>
      <w:bookmarkStart w:id="10" w:name="第二部分"/>
      <w:bookmarkStart w:id="11" w:name="_Toc91899870"/>
      <w:bookmarkStart w:id="12" w:name="_Toc91899871"/>
      <w:r>
        <w:rPr>
          <w:rFonts w:hint="eastAsia" w:ascii="宋体" w:hAnsi="宋体" w:cs="宋体"/>
          <w:b/>
          <w:color w:val="auto"/>
          <w:sz w:val="36"/>
          <w:szCs w:val="20"/>
        </w:rPr>
        <w:t xml:space="preserve">第一部分 </w:t>
      </w:r>
      <w:r>
        <w:rPr>
          <w:rFonts w:hint="eastAsia" w:ascii="宋体" w:hAnsi="宋体" w:cs="宋体"/>
          <w:b/>
          <w:color w:val="auto"/>
          <w:sz w:val="36"/>
          <w:szCs w:val="20"/>
          <w:lang w:val="en-US" w:eastAsia="zh-CN"/>
        </w:rPr>
        <w:t xml:space="preserve"> </w:t>
      </w:r>
      <w:r>
        <w:rPr>
          <w:rFonts w:hint="eastAsia" w:ascii="宋体" w:hAnsi="宋体" w:cs="宋体"/>
          <w:b/>
          <w:color w:val="auto"/>
          <w:sz w:val="36"/>
          <w:szCs w:val="20"/>
        </w:rPr>
        <w:t>招标公告</w:t>
      </w:r>
      <w:bookmarkEnd w:id="7"/>
      <w:bookmarkEnd w:id="8"/>
      <w:bookmarkEnd w:id="9"/>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浙江省公安厅“浙江交警”新媒体运维项目（第三次重新招标）</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8</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30</w:t>
      </w:r>
      <w:bookmarkStart w:id="506" w:name="_GoBack"/>
      <w:bookmarkEnd w:id="506"/>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14</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ind w:firstLine="48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HCZX-ZC-[2024]0588-2</w:t>
      </w:r>
    </w:p>
    <w:p>
      <w:pPr>
        <w:spacing w:line="360" w:lineRule="auto"/>
        <w:ind w:firstLine="48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浙江省公安厅“浙江交警”新媒体运维项目（第三次重新招标）</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预算金额（元）：</w:t>
      </w:r>
      <w:r>
        <w:rPr>
          <w:rFonts w:hint="eastAsia" w:ascii="宋体" w:hAnsi="宋体" w:cs="宋体"/>
          <w:color w:val="auto"/>
          <w:sz w:val="24"/>
          <w:lang w:val="en-US" w:eastAsia="zh-CN"/>
        </w:rPr>
        <w:t>1720000</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1628000</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浙江省公安厅“浙江交警”新媒体运维项目（第三次重新招标）</w:t>
      </w:r>
      <w:r>
        <w:rPr>
          <w:rFonts w:hint="eastAsia" w:hAnsi="宋体" w:cs="宋体"/>
          <w:bCs/>
          <w:snapToGrid/>
          <w:color w:val="auto"/>
          <w:kern w:val="2"/>
          <w:sz w:val="24"/>
          <w:szCs w:val="24"/>
        </w:rPr>
        <w:t>主要内容：浙江省公安厅交管局对“浙江交警”新媒体（微信公众号、微博、头条号、抖音、快手、微信视频号）运维服务项目进行采购。</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6"/>
        <w:spacing w:line="360" w:lineRule="auto"/>
        <w:ind w:firstLine="480"/>
        <w:rPr>
          <w:rFonts w:hint="eastAsia" w:hAnsi="宋体" w:cs="宋体"/>
          <w:b/>
          <w:color w:val="auto"/>
          <w:sz w:val="24"/>
        </w:rPr>
      </w:pPr>
      <w:r>
        <w:rPr>
          <w:rFonts w:hint="eastAsia" w:hAnsi="宋体" w:cs="宋体"/>
          <w:b/>
          <w:color w:val="auto"/>
          <w:sz w:val="24"/>
        </w:rPr>
        <w:t>合同履约期限：</w:t>
      </w:r>
      <w:r>
        <w:rPr>
          <w:rFonts w:hint="eastAsia" w:hAnsi="宋体" w:cs="宋体"/>
          <w:b w:val="0"/>
          <w:bCs/>
          <w:color w:val="auto"/>
          <w:sz w:val="24"/>
        </w:rPr>
        <w:t>自项目合同签订之日起贰年。</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pStyle w:val="20"/>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lang w:val="en-US" w:eastAsia="zh-CN"/>
        </w:rPr>
        <w:t>无</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b/>
          <w:bCs/>
          <w:color w:val="auto"/>
          <w:sz w:val="24"/>
        </w:rPr>
      </w:pPr>
      <w:r>
        <w:rPr>
          <w:rFonts w:hint="eastAsia" w:ascii="宋体" w:hAnsi="宋体" w:cs="宋体"/>
          <w:b/>
          <w:color w:val="auto"/>
          <w:sz w:val="24"/>
        </w:rPr>
        <w:t>开标地点（网址）：杭州市拱墅区彩云路105号锦盛大楼</w:t>
      </w:r>
      <w:r>
        <w:rPr>
          <w:rFonts w:hint="eastAsia" w:ascii="宋体" w:hAnsi="宋体" w:cs="宋体"/>
          <w:b/>
          <w:color w:val="auto"/>
          <w:sz w:val="24"/>
          <w:lang w:val="en-US" w:eastAsia="zh-CN"/>
        </w:rPr>
        <w:t>3</w:t>
      </w:r>
      <w:r>
        <w:rPr>
          <w:rFonts w:hint="eastAsia" w:ascii="宋体" w:hAnsi="宋体" w:cs="宋体"/>
          <w:b/>
          <w:color w:val="auto"/>
          <w:sz w:val="24"/>
        </w:rPr>
        <w:t>楼</w:t>
      </w:r>
      <w:r>
        <w:rPr>
          <w:rFonts w:hint="eastAsia" w:ascii="宋体" w:hAnsi="宋体" w:cs="宋体"/>
          <w:b/>
          <w:color w:val="auto"/>
          <w:sz w:val="24"/>
          <w:lang w:eastAsia="zh-CN"/>
        </w:rPr>
        <w:t>，</w:t>
      </w:r>
      <w:r>
        <w:rPr>
          <w:rFonts w:hint="eastAsia" w:ascii="宋体" w:hAnsi="宋体" w:cs="宋体"/>
          <w:b/>
          <w:bCs/>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称：浙江省公安厅</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w:t>
      </w:r>
      <w:r>
        <w:rPr>
          <w:rFonts w:hint="eastAsia" w:ascii="宋体" w:hAnsi="宋体" w:cs="宋体"/>
          <w:color w:val="auto"/>
          <w:sz w:val="24"/>
          <w:highlight w:val="none"/>
          <w:lang w:val="en-US" w:eastAsia="zh-CN"/>
        </w:rPr>
        <w:t>上城区</w:t>
      </w:r>
      <w:r>
        <w:rPr>
          <w:rFonts w:hint="eastAsia" w:ascii="宋体" w:hAnsi="宋体" w:cs="宋体"/>
          <w:color w:val="auto"/>
          <w:sz w:val="24"/>
          <w:highlight w:val="none"/>
        </w:rPr>
        <w:t>民生路66号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项目联系人（询问）：朱先生</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项目联系方式（询问）：0571-87286653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质疑联系人：张女士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质疑联系方式：0571-87286472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址：杭州市拱墅区彩云路105号锦盛大楼8楼</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黄广华</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19011282358</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 孙杏花</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质疑联系方式：0571-87032325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称：浙江省财政厅政府采购监管处、浙江省政府采购行政裁决服务中心（杭州）</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监督投诉电话：0571-85252453</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政策咨询：何一平、冯华，0571-87058424、8705574</w:t>
      </w:r>
    </w:p>
    <w:p>
      <w:pPr>
        <w:spacing w:line="360" w:lineRule="auto"/>
        <w:ind w:firstLine="480"/>
        <w:rPr>
          <w:rFonts w:hint="eastAsia"/>
          <w:b/>
          <w:bCs/>
          <w:color w:val="auto"/>
          <w:sz w:val="24"/>
          <w:highlight w:val="none"/>
          <w:lang w:val="en-US" w:eastAsia="zh-CN"/>
        </w:rPr>
      </w:pPr>
      <w:r>
        <w:rPr>
          <w:rFonts w:hint="eastAsia"/>
          <w:b/>
          <w:bCs/>
          <w:color w:val="auto"/>
          <w:sz w:val="24"/>
          <w:highlight w:val="none"/>
          <w:lang w:val="en-US" w:eastAsia="zh-CN"/>
        </w:rPr>
        <w:t>预算</w:t>
      </w:r>
      <w:r>
        <w:rPr>
          <w:rFonts w:hint="eastAsia" w:ascii="宋体" w:hAnsi="宋体" w:eastAsia="宋体" w:cs="宋体"/>
          <w:b/>
          <w:bCs/>
          <w:color w:val="auto"/>
          <w:sz w:val="24"/>
          <w:highlight w:val="none"/>
          <w:lang w:val="en-US" w:eastAsia="zh-CN"/>
        </w:rPr>
        <w:t>金额未</w:t>
      </w:r>
      <w:r>
        <w:rPr>
          <w:rFonts w:hint="eastAsia"/>
          <w:b/>
          <w:bCs/>
          <w:color w:val="auto"/>
          <w:sz w:val="24"/>
          <w:highlight w:val="none"/>
          <w:lang w:val="en-US" w:eastAsia="zh-CN"/>
        </w:rPr>
        <w:t>达100万元的采购项目，由采购人处理采购争议。</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bookmarkStart w:id="13" w:name="_Toc27754"/>
      <w:bookmarkStart w:id="14" w:name="_Toc7666"/>
      <w:bookmarkStart w:id="15" w:name="_Toc21652"/>
      <w:r>
        <w:rPr>
          <w:rFonts w:hint="eastAsia" w:ascii="宋体" w:hAnsi="宋体" w:cs="宋体"/>
          <w:b/>
          <w:sz w:val="36"/>
          <w:szCs w:val="20"/>
        </w:rPr>
        <w:t>第二部分</w:t>
      </w:r>
      <w:bookmarkEnd w:id="10"/>
      <w:r>
        <w:rPr>
          <w:rFonts w:hint="eastAsia" w:ascii="宋体" w:hAnsi="宋体" w:cs="宋体"/>
          <w:b/>
          <w:sz w:val="36"/>
          <w:szCs w:val="20"/>
        </w:rPr>
        <w:t xml:space="preserve"> </w:t>
      </w:r>
      <w:r>
        <w:rPr>
          <w:rFonts w:hint="eastAsia" w:ascii="宋体" w:hAnsi="宋体" w:cs="宋体"/>
          <w:b/>
          <w:sz w:val="36"/>
          <w:szCs w:val="20"/>
          <w:lang w:val="en-US" w:eastAsia="zh-CN"/>
        </w:rPr>
        <w:t xml:space="preserve"> </w:t>
      </w:r>
      <w:r>
        <w:rPr>
          <w:rFonts w:hint="eastAsia" w:ascii="宋体" w:hAnsi="宋体" w:cs="宋体"/>
          <w:b/>
          <w:sz w:val="36"/>
          <w:szCs w:val="20"/>
        </w:rPr>
        <w:t>投标人须知</w:t>
      </w:r>
      <w:bookmarkEnd w:id="11"/>
      <w:bookmarkEnd w:id="13"/>
      <w:bookmarkEnd w:id="14"/>
      <w:bookmarkEnd w:id="15"/>
    </w:p>
    <w:p>
      <w:pPr>
        <w:adjustRightInd/>
        <w:spacing w:line="360" w:lineRule="auto"/>
        <w:ind w:firstLine="3845" w:firstLineChars="1197"/>
        <w:outlineLvl w:val="9"/>
        <w:rPr>
          <w:rFonts w:hint="eastAsia" w:ascii="宋体" w:hAnsi="宋体" w:cs="宋体"/>
          <w:b/>
          <w:sz w:val="32"/>
          <w:szCs w:val="20"/>
        </w:rPr>
      </w:pPr>
      <w:r>
        <w:rPr>
          <w:rFonts w:hint="eastAsia" w:ascii="宋体" w:hAnsi="宋体" w:cs="宋体"/>
          <w:b/>
          <w:sz w:val="32"/>
          <w:szCs w:val="20"/>
        </w:rPr>
        <w:t>前附表</w:t>
      </w:r>
    </w:p>
    <w:tbl>
      <w:tblPr>
        <w:tblStyle w:val="63"/>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4"/>
        <w:gridCol w:w="1558"/>
        <w:gridCol w:w="737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6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kern w:val="2"/>
                <w:sz w:val="24"/>
                <w:szCs w:val="24"/>
                <w:highlight w:val="none"/>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kern w:val="2"/>
                <w:sz w:val="24"/>
                <w:szCs w:val="24"/>
                <w:highlight w:val="none"/>
                <w:lang w:val="en-US" w:eastAsia="zh-CN" w:bidi="ar"/>
              </w:rPr>
              <w:t>内  容</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kern w:val="2"/>
                <w:sz w:val="24"/>
                <w:szCs w:val="24"/>
                <w:highlight w:val="none"/>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kern w:val="2"/>
                <w:sz w:val="24"/>
                <w:szCs w:val="24"/>
                <w:highlight w:val="none"/>
                <w:lang w:val="en-US" w:eastAsia="zh-CN" w:bidi="ar"/>
              </w:rPr>
              <w:t>项目名称</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left"/>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kern w:val="2"/>
                <w:sz w:val="24"/>
                <w:szCs w:val="24"/>
                <w:highlight w:val="none"/>
                <w:lang w:val="en-US" w:eastAsia="zh-CN" w:bidi="ar"/>
              </w:rPr>
              <w:t>信用记录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both"/>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kern w:val="2"/>
                <w:sz w:val="24"/>
                <w:szCs w:val="24"/>
                <w:highlight w:val="none"/>
                <w:lang w:val="en-US" w:eastAsia="zh-CN" w:bidi="ar"/>
              </w:rPr>
              <w:t>中小企业预留份额情况</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jc w:val="both"/>
              <w:textAlignment w:val="auto"/>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val="0"/>
                <w:bCs/>
                <w:color w:val="000000"/>
                <w:kern w:val="2"/>
                <w:sz w:val="24"/>
                <w:szCs w:val="24"/>
                <w:highlight w:val="none"/>
                <w:lang w:val="en-US" w:eastAsia="zh-CN" w:bidi="ar"/>
              </w:rPr>
              <w:t>本项目</w:t>
            </w:r>
            <w:r>
              <w:rPr>
                <w:rFonts w:hint="eastAsia" w:asciiTheme="minorEastAsia" w:hAnsiTheme="minorEastAsia" w:eastAsiaTheme="minorEastAsia" w:cstheme="minorEastAsia"/>
                <w:b w:val="0"/>
                <w:bCs/>
                <w:color w:val="000000"/>
                <w:kern w:val="2"/>
                <w:sz w:val="24"/>
                <w:szCs w:val="24"/>
                <w:highlight w:val="none"/>
                <w:u w:val="single"/>
                <w:lang w:val="en-US" w:eastAsia="zh-CN" w:bidi="ar"/>
              </w:rPr>
              <w:t>不</w:t>
            </w:r>
            <w:r>
              <w:rPr>
                <w:rFonts w:hint="eastAsia" w:asciiTheme="minorEastAsia" w:hAnsiTheme="minorEastAsia" w:eastAsiaTheme="minorEastAsia" w:cstheme="minorEastAsia"/>
                <w:b w:val="0"/>
                <w:bCs/>
                <w:color w:val="000000"/>
                <w:kern w:val="2"/>
                <w:sz w:val="24"/>
                <w:szCs w:val="24"/>
                <w:highlight w:val="none"/>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kern w:val="2"/>
                <w:sz w:val="24"/>
                <w:szCs w:val="24"/>
                <w:highlight w:val="none"/>
                <w:lang w:val="en-US" w:eastAsia="zh-CN" w:bidi="ar"/>
              </w:rPr>
              <w:t>中小企业优惠措施</w:t>
            </w:r>
          </w:p>
        </w:tc>
        <w:tc>
          <w:tcPr>
            <w:tcW w:w="7372" w:type="dxa"/>
            <w:tcBorders>
              <w:top w:val="single" w:color="auto" w:sz="4" w:space="0"/>
              <w:left w:val="nil"/>
              <w:bottom w:val="single" w:color="auto" w:sz="4" w:space="0"/>
              <w:right w:val="single" w:color="auto" w:sz="4" w:space="0"/>
            </w:tcBorders>
            <w:shd w:val="clear" w:color="auto" w:fill="auto"/>
            <w:vAlign w:val="center"/>
          </w:tcPr>
          <w:p>
            <w:pPr>
              <w:pStyle w:val="576"/>
              <w:keepNext w:val="0"/>
              <w:keepLines w:val="0"/>
              <w:pageBreakBefore w:val="0"/>
              <w:widowControl/>
              <w:kinsoku/>
              <w:wordWrap/>
              <w:overflowPunct/>
              <w:topLinePunct w:val="0"/>
              <w:autoSpaceDE/>
              <w:autoSpaceDN/>
              <w:bidi w:val="0"/>
              <w:snapToGrid w:val="0"/>
              <w:spacing w:line="460" w:lineRule="exact"/>
              <w:ind w:left="0" w:leftChars="0" w:firstLine="0" w:firstLineChars="0"/>
              <w:textAlignment w:val="auto"/>
              <w:rPr>
                <w:rFonts w:hint="eastAsia" w:asciiTheme="minorEastAsia" w:hAnsiTheme="minorEastAsia" w:eastAsiaTheme="minorEastAsia" w:cstheme="minorEastAsia"/>
                <w:b w:val="0"/>
                <w:bCs/>
                <w:color w:val="000000"/>
                <w:sz w:val="24"/>
                <w:szCs w:val="24"/>
                <w:highlight w:val="none"/>
                <w:u w:val="single"/>
                <w:lang w:val="en-US" w:eastAsia="zh-CN"/>
              </w:rPr>
            </w:pPr>
            <w:r>
              <w:rPr>
                <w:rFonts w:hint="eastAsia" w:asciiTheme="minorEastAsia" w:hAnsiTheme="minorEastAsia" w:eastAsiaTheme="minorEastAsia" w:cstheme="minorEastAsia"/>
                <w:b w:val="0"/>
                <w:bCs/>
                <w:color w:val="000000"/>
                <w:sz w:val="24"/>
                <w:szCs w:val="24"/>
                <w:highlight w:val="none"/>
                <w:lang w:val="en-US"/>
              </w:rPr>
              <w:t>1</w:t>
            </w:r>
            <w:r>
              <w:rPr>
                <w:rFonts w:hint="eastAsia" w:asciiTheme="minorEastAsia" w:hAnsiTheme="minorEastAsia" w:eastAsiaTheme="minorEastAsia" w:cstheme="minorEastAsia"/>
                <w:b w:val="0"/>
                <w:bCs/>
                <w:color w:val="000000"/>
                <w:sz w:val="24"/>
                <w:szCs w:val="24"/>
                <w:highlight w:val="none"/>
              </w:rPr>
              <w:t>、项目属性：</w:t>
            </w:r>
            <w:r>
              <w:rPr>
                <w:rFonts w:hint="eastAsia" w:asciiTheme="minorEastAsia" w:hAnsiTheme="minorEastAsia" w:eastAsiaTheme="minorEastAsia" w:cstheme="minorEastAsia"/>
                <w:b w:val="0"/>
                <w:bCs/>
                <w:color w:val="000000"/>
                <w:sz w:val="24"/>
                <w:szCs w:val="24"/>
                <w:highlight w:val="none"/>
                <w:u w:val="single"/>
                <w:lang w:val="en-US" w:eastAsia="zh-CN"/>
              </w:rPr>
              <w:t>服务类。</w:t>
            </w:r>
          </w:p>
          <w:p>
            <w:pPr>
              <w:pStyle w:val="576"/>
              <w:keepNext w:val="0"/>
              <w:keepLines w:val="0"/>
              <w:pageBreakBefore w:val="0"/>
              <w:widowControl/>
              <w:kinsoku/>
              <w:wordWrap/>
              <w:overflowPunct/>
              <w:topLinePunct w:val="0"/>
              <w:autoSpaceDE/>
              <w:autoSpaceDN/>
              <w:bidi w:val="0"/>
              <w:snapToGrid w:val="0"/>
              <w:spacing w:line="460" w:lineRule="exact"/>
              <w:ind w:firstLine="0" w:firstLineChars="0"/>
              <w:textAlignment w:val="auto"/>
              <w:rPr>
                <w:rFonts w:hint="eastAsia" w:asciiTheme="minorEastAsia" w:hAnsiTheme="minorEastAsia" w:eastAsiaTheme="minorEastAsia" w:cstheme="minorEastAsia"/>
                <w:b w:val="0"/>
                <w:bCs/>
                <w:color w:val="000000"/>
                <w:sz w:val="24"/>
                <w:szCs w:val="24"/>
                <w:highlight w:val="none"/>
                <w:lang w:val="en-US"/>
              </w:rPr>
            </w:pPr>
            <w:r>
              <w:rPr>
                <w:rFonts w:hint="eastAsia" w:asciiTheme="minorEastAsia" w:hAnsiTheme="minorEastAsia" w:eastAsiaTheme="minorEastAsia" w:cstheme="minorEastAsia"/>
                <w:b w:val="0"/>
                <w:bCs/>
                <w:color w:val="000000"/>
                <w:sz w:val="24"/>
                <w:szCs w:val="24"/>
                <w:highlight w:val="none"/>
                <w:lang w:val="en-US"/>
              </w:rPr>
              <w:t>2</w:t>
            </w:r>
            <w:r>
              <w:rPr>
                <w:rFonts w:hint="eastAsia" w:asciiTheme="minorEastAsia" w:hAnsiTheme="minorEastAsia" w:eastAsiaTheme="minorEastAsia" w:cstheme="minorEastAsia"/>
                <w:b w:val="0"/>
                <w:bCs/>
                <w:color w:val="000000"/>
                <w:sz w:val="24"/>
                <w:szCs w:val="24"/>
                <w:highlight w:val="none"/>
              </w:rPr>
              <w:t>、采购标的对应中小企业划分标准（具体根据《中小企业划型标准规定》执行）</w:t>
            </w:r>
            <w:r>
              <w:rPr>
                <w:rFonts w:hint="eastAsia" w:asciiTheme="minorEastAsia" w:hAnsiTheme="minorEastAsia" w:eastAsiaTheme="minorEastAsia" w:cstheme="minorEastAsia"/>
                <w:b w:val="0"/>
                <w:bCs/>
                <w:color w:val="000000"/>
                <w:kern w:val="2"/>
                <w:sz w:val="24"/>
                <w:szCs w:val="24"/>
                <w:highlight w:val="none"/>
                <w:lang w:val="en-US" w:eastAsia="zh-CN" w:bidi="ar"/>
              </w:rPr>
              <w:t>所属行业：</w:t>
            </w:r>
            <w:r>
              <w:rPr>
                <w:rFonts w:hint="eastAsia" w:asciiTheme="minorEastAsia" w:hAnsiTheme="minorEastAsia" w:eastAsiaTheme="minorEastAsia" w:cstheme="minorEastAsia"/>
                <w:b w:val="0"/>
                <w:bCs/>
                <w:color w:val="000000"/>
                <w:kern w:val="2"/>
                <w:sz w:val="24"/>
                <w:szCs w:val="24"/>
                <w:highlight w:val="none"/>
                <w:u w:val="single"/>
                <w:lang w:val="en-US" w:eastAsia="zh-CN" w:bidi="ar"/>
              </w:rPr>
              <w:t>租赁和商务服务业</w:t>
            </w:r>
            <w:r>
              <w:rPr>
                <w:rFonts w:hint="eastAsia" w:asciiTheme="minorEastAsia" w:hAnsiTheme="minorEastAsia" w:eastAsiaTheme="minorEastAsia" w:cstheme="minorEastAsia"/>
                <w:b w:val="0"/>
                <w:bCs/>
                <w:color w:val="000000"/>
                <w:kern w:val="2"/>
                <w:sz w:val="24"/>
                <w:szCs w:val="24"/>
                <w:highlight w:val="none"/>
                <w:u w:val="none"/>
                <w:lang w:val="en-US" w:eastAsia="zh-CN" w:bidi="ar"/>
              </w:rPr>
              <w:t>。</w:t>
            </w:r>
          </w:p>
          <w:p>
            <w:pPr>
              <w:pStyle w:val="576"/>
              <w:keepNext w:val="0"/>
              <w:keepLines w:val="0"/>
              <w:pageBreakBefore w:val="0"/>
              <w:widowControl/>
              <w:kinsoku/>
              <w:wordWrap/>
              <w:overflowPunct/>
              <w:topLinePunct w:val="0"/>
              <w:autoSpaceDE/>
              <w:autoSpaceDN/>
              <w:bidi w:val="0"/>
              <w:spacing w:line="460" w:lineRule="exact"/>
              <w:ind w:firstLine="0" w:firstLineChars="0"/>
              <w:textAlignment w:val="auto"/>
              <w:rPr>
                <w:rFonts w:hint="eastAsia" w:asciiTheme="minorEastAsia" w:hAnsiTheme="minorEastAsia" w:eastAsiaTheme="minorEastAsia" w:cstheme="minorEastAsia"/>
                <w:b w:val="0"/>
                <w:bCs/>
                <w:strike/>
                <w:dstrike w:val="0"/>
                <w:color w:val="000000"/>
                <w:sz w:val="24"/>
                <w:szCs w:val="24"/>
                <w:highlight w:val="none"/>
                <w:lang w:val="en-US"/>
              </w:rPr>
            </w:pPr>
            <w:r>
              <w:rPr>
                <w:rFonts w:hint="eastAsia" w:asciiTheme="minorEastAsia" w:hAnsiTheme="minorEastAsia" w:eastAsiaTheme="minorEastAsia" w:cstheme="minorEastAsia"/>
                <w:b w:val="0"/>
                <w:bCs/>
                <w:color w:val="000000"/>
                <w:kern w:val="2"/>
                <w:sz w:val="24"/>
                <w:szCs w:val="24"/>
                <w:highlight w:val="none"/>
                <w:lang w:val="en-US" w:eastAsia="zh-CN" w:bidi="ar"/>
              </w:rPr>
              <w:t>3、根据财库〔2020〕46号的相关规定，在评审时对符合本办法规定的小微企业报价给予</w:t>
            </w:r>
            <w:r>
              <w:rPr>
                <w:rFonts w:hint="eastAsia" w:asciiTheme="minorEastAsia" w:hAnsiTheme="minorEastAsia" w:eastAsiaTheme="minorEastAsia" w:cstheme="minorEastAsia"/>
                <w:b w:val="0"/>
                <w:bCs/>
                <w:color w:val="000000"/>
                <w:kern w:val="2"/>
                <w:sz w:val="24"/>
                <w:szCs w:val="24"/>
                <w:highlight w:val="none"/>
                <w:u w:val="single"/>
                <w:lang w:val="en-US" w:eastAsia="zh-CN" w:bidi="ar"/>
              </w:rPr>
              <w:t>20%</w:t>
            </w:r>
            <w:r>
              <w:rPr>
                <w:rFonts w:hint="eastAsia" w:asciiTheme="minorEastAsia" w:hAnsiTheme="minorEastAsia" w:eastAsiaTheme="minorEastAsia" w:cstheme="minorEastAsia"/>
                <w:b w:val="0"/>
                <w:bCs/>
                <w:color w:val="000000"/>
                <w:kern w:val="2"/>
                <w:sz w:val="24"/>
                <w:szCs w:val="24"/>
                <w:highlight w:val="none"/>
                <w:lang w:val="en-US" w:eastAsia="zh-CN" w:bidi="ar"/>
              </w:rPr>
              <w:t>（10%-20%）的扣除，取扣除后的价格作为最终投标报价（此最终投标报价仅作为价格分计算）。中小企业参加政府采购活动，应当出具本办法规定的《中小企业声明函》，否则不得享受相关中小企业扶持政策。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right="0"/>
              <w:jc w:val="both"/>
              <w:textAlignment w:val="auto"/>
              <w:rPr>
                <w:rFonts w:hint="eastAsia" w:asciiTheme="minorEastAsia" w:hAnsiTheme="minorEastAsia" w:eastAsiaTheme="minorEastAsia" w:cstheme="minorEastAsia"/>
                <w:b w:val="0"/>
                <w:bCs/>
                <w:strike/>
                <w:dstrike w:val="0"/>
                <w:color w:val="000000"/>
                <w:sz w:val="24"/>
                <w:szCs w:val="24"/>
                <w:highlight w:val="none"/>
                <w:lang w:val="en-US"/>
              </w:rPr>
            </w:pPr>
            <w:r>
              <w:rPr>
                <w:rFonts w:hint="eastAsia" w:asciiTheme="minorEastAsia" w:hAnsiTheme="minorEastAsia" w:eastAsiaTheme="minorEastAsia" w:cstheme="minorEastAsia"/>
                <w:b w:val="0"/>
                <w:bCs/>
                <w:color w:val="000000"/>
                <w:kern w:val="2"/>
                <w:sz w:val="24"/>
                <w:szCs w:val="24"/>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Theme="minorEastAsia" w:hAnsiTheme="minorEastAsia" w:eastAsiaTheme="minorEastAsia" w:cstheme="minorEastAsia"/>
                <w:b w:val="0"/>
                <w:bCs/>
                <w:color w:val="000000"/>
                <w:kern w:val="2"/>
                <w:sz w:val="24"/>
                <w:szCs w:val="24"/>
                <w:highlight w:val="none"/>
                <w:u w:val="single"/>
                <w:lang w:val="en-US" w:eastAsia="zh-CN" w:bidi="ar"/>
              </w:rPr>
              <w:t>6%</w:t>
            </w:r>
            <w:r>
              <w:rPr>
                <w:rFonts w:hint="eastAsia" w:asciiTheme="minorEastAsia" w:hAnsiTheme="minorEastAsia" w:eastAsiaTheme="minorEastAsia" w:cstheme="minorEastAsia"/>
                <w:b w:val="0"/>
                <w:bCs/>
                <w:color w:val="000000"/>
                <w:kern w:val="2"/>
                <w:sz w:val="24"/>
                <w:szCs w:val="24"/>
                <w:highlight w:val="none"/>
                <w:lang w:val="en-US" w:eastAsia="zh-CN" w:bidi="ar"/>
              </w:rPr>
              <w:t>(4%-6%)的扣除，用扣除后的价格参加评审。</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right="0"/>
              <w:jc w:val="both"/>
              <w:textAlignment w:val="auto"/>
              <w:rPr>
                <w:rFonts w:hint="eastAsia" w:asciiTheme="minorEastAsia" w:hAnsiTheme="minorEastAsia" w:eastAsiaTheme="minorEastAsia" w:cstheme="minorEastAsia"/>
                <w:b w:val="0"/>
                <w:bCs/>
                <w:color w:val="000000"/>
                <w:sz w:val="24"/>
                <w:szCs w:val="24"/>
                <w:highlight w:val="none"/>
                <w:lang w:val="en-US"/>
              </w:rPr>
            </w:pPr>
            <w:r>
              <w:rPr>
                <w:rFonts w:hint="eastAsia" w:asciiTheme="minorEastAsia" w:hAnsiTheme="minorEastAsia" w:eastAsiaTheme="minorEastAsia" w:cstheme="minorEastAsia"/>
                <w:b w:val="0"/>
                <w:bCs/>
                <w:color w:val="000000"/>
                <w:kern w:val="2"/>
                <w:sz w:val="24"/>
                <w:szCs w:val="24"/>
                <w:highlight w:val="none"/>
                <w:lang w:val="en-US" w:eastAsia="zh-CN" w:bidi="ar"/>
              </w:rPr>
              <w:t>组成联合体或者接受分包 的小微企业与联合体内其他企业、分包企业之间存在直接控 股、管理关系的，不享受价格扣除优惠政策。</w:t>
            </w:r>
          </w:p>
          <w:p>
            <w:pPr>
              <w:pStyle w:val="576"/>
              <w:keepNext w:val="0"/>
              <w:keepLines w:val="0"/>
              <w:pageBreakBefore w:val="0"/>
              <w:widowControl/>
              <w:kinsoku/>
              <w:wordWrap/>
              <w:overflowPunct/>
              <w:topLinePunct w:val="0"/>
              <w:autoSpaceDE/>
              <w:autoSpaceDN/>
              <w:bidi w:val="0"/>
              <w:snapToGrid/>
              <w:spacing w:line="460" w:lineRule="exact"/>
              <w:ind w:firstLine="0" w:firstLineChars="0"/>
              <w:textAlignment w:val="auto"/>
              <w:rPr>
                <w:rFonts w:hint="eastAsia" w:asciiTheme="minorEastAsia" w:hAnsiTheme="minorEastAsia" w:eastAsiaTheme="minorEastAsia" w:cstheme="minorEastAsia"/>
                <w:b w:val="0"/>
                <w:bCs/>
                <w:color w:val="000000"/>
                <w:sz w:val="24"/>
                <w:szCs w:val="24"/>
                <w:highlight w:val="none"/>
                <w:lang w:val="en-US"/>
              </w:rPr>
            </w:pPr>
            <w:r>
              <w:rPr>
                <w:rFonts w:hint="eastAsia" w:asciiTheme="minorEastAsia" w:hAnsiTheme="minorEastAsia" w:eastAsiaTheme="minorEastAsia" w:cstheme="minorEastAsia"/>
                <w:b w:val="0"/>
                <w:bCs/>
                <w:color w:val="000000"/>
                <w:kern w:val="2"/>
                <w:sz w:val="24"/>
                <w:szCs w:val="24"/>
                <w:highlight w:val="none"/>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576"/>
              <w:keepNext w:val="0"/>
              <w:keepLines w:val="0"/>
              <w:pageBreakBefore w:val="0"/>
              <w:widowControl/>
              <w:kinsoku/>
              <w:wordWrap/>
              <w:overflowPunct/>
              <w:topLinePunct w:val="0"/>
              <w:autoSpaceDE/>
              <w:autoSpaceDN/>
              <w:bidi w:val="0"/>
              <w:snapToGrid/>
              <w:spacing w:line="460" w:lineRule="exact"/>
              <w:ind w:firstLine="0" w:firstLineChars="0"/>
              <w:textAlignment w:val="auto"/>
              <w:rPr>
                <w:rFonts w:hint="eastAsia" w:asciiTheme="minorEastAsia" w:hAnsiTheme="minorEastAsia" w:eastAsiaTheme="minorEastAsia" w:cstheme="minorEastAsia"/>
                <w:b w:val="0"/>
                <w:bCs/>
                <w:color w:val="000000"/>
                <w:sz w:val="24"/>
                <w:szCs w:val="24"/>
                <w:highlight w:val="none"/>
                <w:lang w:val="en-US"/>
              </w:rPr>
            </w:pPr>
            <w:r>
              <w:rPr>
                <w:rFonts w:hint="eastAsia" w:asciiTheme="minorEastAsia" w:hAnsiTheme="minorEastAsia" w:eastAsiaTheme="minorEastAsia" w:cstheme="minorEastAsia"/>
                <w:b w:val="0"/>
                <w:bCs/>
                <w:color w:val="000000"/>
                <w:kern w:val="2"/>
                <w:sz w:val="24"/>
                <w:szCs w:val="24"/>
                <w:highlight w:val="none"/>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jc w:val="left"/>
              <w:textAlignment w:val="auto"/>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kern w:val="2"/>
                <w:sz w:val="24"/>
                <w:szCs w:val="24"/>
                <w:highlight w:val="none"/>
                <w:lang w:val="en-US" w:eastAsia="zh-CN" w:bidi="ar"/>
              </w:rPr>
              <w:t>政府采购节能环保产品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right="0"/>
              <w:jc w:val="both"/>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right="0"/>
              <w:jc w:val="both"/>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Theme="minorEastAsia" w:hAnsiTheme="minorEastAsia" w:eastAsiaTheme="minorEastAsia" w:cstheme="minorEastAsia"/>
                <w:b/>
                <w:color w:val="000000"/>
                <w:kern w:val="2"/>
                <w:sz w:val="24"/>
                <w:szCs w:val="24"/>
                <w:highlight w:val="none"/>
                <w:lang w:val="en-US" w:eastAsia="zh-CN" w:bidi="ar"/>
              </w:rPr>
              <w:t>产品属于政府强制采购节能产品品目的，投标人未提供节能产品的，其投标将作无效标处理；本文件“第三部分采购需求”另有规定的除外。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kern w:val="2"/>
                <w:sz w:val="24"/>
                <w:szCs w:val="24"/>
                <w:highlight w:val="none"/>
                <w:lang w:val="en-US" w:eastAsia="zh-CN" w:bidi="ar"/>
              </w:rPr>
              <w:t>促进绿色发展有关政策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right="0"/>
              <w:jc w:val="both"/>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质疑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right="0"/>
              <w:jc w:val="both"/>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浙江政府采购网下载专区下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default"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left"/>
              <w:textAlignment w:val="auto"/>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b/>
                <w:bCs/>
                <w:kern w:val="2"/>
                <w:sz w:val="24"/>
                <w:szCs w:val="24"/>
                <w:highlight w:val="none"/>
                <w:lang w:val="en-US" w:eastAsia="zh-CN" w:bidi="ar"/>
              </w:rPr>
              <w:t>首台套政策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right="0" w:rightChars="0"/>
              <w:jc w:val="both"/>
              <w:rPr>
                <w:rFonts w:hint="eastAsia" w:ascii="仿宋" w:hAnsi="仿宋" w:eastAsia="仿宋" w:cs="仿宋"/>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是否允许采购进口产品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left"/>
              <w:textAlignment w:val="auto"/>
              <w:rPr>
                <w:rFonts w:hint="eastAsia" w:asciiTheme="minorEastAsia" w:hAnsiTheme="minorEastAsia" w:eastAsiaTheme="minorEastAsia" w:cstheme="minorEastAsia"/>
                <w:color w:val="000000"/>
                <w:sz w:val="24"/>
                <w:szCs w:val="24"/>
                <w:highlight w:val="none"/>
                <w:lang w:val="en-US"/>
              </w:rPr>
            </w:pPr>
            <w:bookmarkStart w:id="16" w:name="PO_15528_PM042"/>
            <w:r>
              <w:rPr>
                <w:rFonts w:hint="eastAsia" w:asciiTheme="minorEastAsia" w:hAnsiTheme="minorEastAsia" w:eastAsiaTheme="minorEastAsia" w:cstheme="minorEastAsia"/>
                <w:color w:val="000000"/>
                <w:kern w:val="2"/>
                <w:sz w:val="24"/>
                <w:szCs w:val="24"/>
                <w:highlight w:val="none"/>
                <w:lang w:val="en-US" w:eastAsia="zh-CN" w:bidi="ar"/>
              </w:rPr>
              <w:t>不允许进口产品</w:t>
            </w:r>
            <w:bookmarkEnd w:id="16"/>
            <w:r>
              <w:rPr>
                <w:rFonts w:hint="eastAsia" w:asciiTheme="minorEastAsia" w:hAnsiTheme="minorEastAsia" w:eastAsiaTheme="minorEastAsia" w:cstheme="minorEastAsia"/>
                <w:color w:val="000000"/>
                <w:kern w:val="2"/>
                <w:sz w:val="24"/>
                <w:szCs w:val="24"/>
                <w:highlight w:val="none"/>
                <w:lang w:val="en-US" w:eastAsia="zh-CN" w:bidi="ar"/>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是否允许转包与分包</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jc w:val="both"/>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转包：否</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jc w:val="both"/>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分包：</w:t>
            </w:r>
            <w:bookmarkStart w:id="17" w:name="PO_15528_PM044"/>
            <w:r>
              <w:rPr>
                <w:rFonts w:hint="eastAsia" w:asciiTheme="minorEastAsia" w:hAnsiTheme="minorEastAsia" w:eastAsiaTheme="minorEastAsia" w:cstheme="minorEastAsia"/>
                <w:color w:val="000000"/>
                <w:kern w:val="2"/>
                <w:sz w:val="24"/>
                <w:szCs w:val="24"/>
                <w:highlight w:val="none"/>
                <w:lang w:val="en-US" w:eastAsia="zh-CN" w:bidi="ar"/>
              </w:rPr>
              <w:t>允许分包</w:t>
            </w:r>
            <w:bookmarkEnd w:id="17"/>
            <w:r>
              <w:rPr>
                <w:rFonts w:hint="eastAsia" w:asciiTheme="minorEastAsia" w:hAnsiTheme="minorEastAsia" w:eastAsiaTheme="minorEastAsia" w:cstheme="minorEastAsia"/>
                <w:color w:val="000000"/>
                <w:kern w:val="2"/>
                <w:sz w:val="24"/>
                <w:szCs w:val="24"/>
                <w:highlight w:val="none"/>
                <w:lang w:val="en-US" w:eastAsia="zh-CN" w:bidi="ar"/>
              </w:rPr>
              <w:t>；非主体、非关键性工作</w:t>
            </w:r>
            <w:r>
              <w:rPr>
                <w:rFonts w:hint="eastAsia" w:asciiTheme="minorEastAsia" w:hAnsiTheme="minorEastAsia" w:eastAsiaTheme="minorEastAsia" w:cstheme="minorEastAsia"/>
                <w:b/>
                <w:bCs/>
                <w:color w:val="000000"/>
                <w:kern w:val="2"/>
                <w:sz w:val="24"/>
                <w:szCs w:val="24"/>
                <w:highlight w:val="none"/>
                <w:u w:val="single"/>
                <w:lang w:val="en-US" w:eastAsia="zh-CN" w:bidi="ar"/>
              </w:rPr>
              <w:t>运维范围及具体要求：</w:t>
            </w:r>
            <w:r>
              <w:rPr>
                <w:rFonts w:hint="eastAsia" w:ascii="宋体" w:hAnsi="宋体" w:eastAsia="宋体" w:cs="宋体"/>
                <w:kern w:val="0"/>
                <w:sz w:val="24"/>
                <w:highlight w:val="none"/>
              </w:rPr>
              <w:t>122全国交通安全日主题活动（主要为线上活动，按需增加线下活动）</w:t>
            </w:r>
            <w:r>
              <w:rPr>
                <w:rFonts w:hint="eastAsia" w:ascii="宋体" w:hAnsi="宋体" w:cs="宋体"/>
                <w:kern w:val="0"/>
                <w:sz w:val="24"/>
                <w:highlight w:val="none"/>
                <w:lang w:eastAsia="zh-CN"/>
              </w:rPr>
              <w:t>；</w:t>
            </w:r>
            <w:r>
              <w:rPr>
                <w:rFonts w:hint="eastAsia" w:ascii="宋体" w:hAnsi="宋体" w:eastAsia="宋体" w:cs="宋体"/>
                <w:kern w:val="0"/>
                <w:sz w:val="24"/>
                <w:highlight w:val="none"/>
              </w:rPr>
              <w:t>美丽乡村行活动（按照每季度宣传主题制作专题活动海报组图、推广小视频、公众号banner</w:t>
            </w:r>
            <w:r>
              <w:rPr>
                <w:rFonts w:hint="eastAsia" w:ascii="宋体" w:hAnsi="宋体" w:cs="宋体"/>
                <w:kern w:val="0"/>
                <w:sz w:val="24"/>
                <w:highlight w:val="none"/>
                <w:lang w:val="en-US" w:eastAsia="zh-CN"/>
              </w:rPr>
              <w:t>等</w:t>
            </w:r>
            <w:r>
              <w:rPr>
                <w:rFonts w:hint="eastAsia" w:ascii="宋体" w:hAnsi="宋体" w:eastAsia="宋体" w:cs="宋体"/>
                <w:kern w:val="0"/>
                <w:sz w:val="24"/>
                <w:highlight w:val="none"/>
              </w:rPr>
              <w:t>）</w:t>
            </w:r>
            <w:r>
              <w:rPr>
                <w:rFonts w:hint="eastAsia" w:asciiTheme="minorEastAsia" w:hAnsiTheme="minorEastAsia" w:eastAsiaTheme="minorEastAsia" w:cstheme="minorEastAsia"/>
                <w:color w:val="000000"/>
                <w:kern w:val="2"/>
                <w:sz w:val="24"/>
                <w:szCs w:val="24"/>
                <w:highlight w:val="none"/>
                <w:lang w:val="en-US" w:eastAsia="zh-CN" w:bidi="ar"/>
              </w:rPr>
              <w:t>允许分包。</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left"/>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left"/>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联合体投标</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bookmarkStart w:id="18" w:name="PO_15528_PM007_1"/>
            <w:r>
              <w:rPr>
                <w:rFonts w:hint="eastAsia" w:asciiTheme="minorEastAsia" w:hAnsiTheme="minorEastAsia" w:eastAsiaTheme="minorEastAsia" w:cstheme="minorEastAsia"/>
                <w:color w:val="000000"/>
                <w:kern w:val="2"/>
                <w:sz w:val="24"/>
                <w:szCs w:val="24"/>
                <w:highlight w:val="none"/>
                <w:lang w:val="en-US" w:eastAsia="zh-CN" w:bidi="ar"/>
              </w:rPr>
              <w:t>标项1:允许联合体投标</w:t>
            </w:r>
            <w:bookmarkEnd w:id="18"/>
            <w:r>
              <w:rPr>
                <w:rFonts w:hint="eastAsia" w:asciiTheme="minorEastAsia" w:hAnsiTheme="minorEastAsia" w:eastAsiaTheme="minorEastAsia" w:cstheme="minorEastAsia"/>
                <w:color w:val="000000"/>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sz w:val="24"/>
                <w:szCs w:val="24"/>
                <w:highlight w:val="none"/>
                <w:lang w:val="en-US"/>
              </w:rPr>
              <w:t>开标前答疑会或现场考察</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left"/>
              <w:textAlignment w:val="auto"/>
              <w:rPr>
                <w:rFonts w:hint="eastAsia" w:asciiTheme="minorEastAsia" w:hAnsiTheme="minorEastAsia" w:eastAsiaTheme="minorEastAsia" w:cstheme="minorEastAsia"/>
                <w:color w:val="000000"/>
                <w:kern w:val="2"/>
                <w:sz w:val="24"/>
                <w:szCs w:val="24"/>
                <w:highlight w:val="none"/>
                <w:lang w:val="en-US" w:eastAsia="zh-CN" w:bidi="ar"/>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000000"/>
                  <w:kern w:val="2"/>
                  <w:sz w:val="24"/>
                  <w:szCs w:val="24"/>
                  <w:highlight w:val="none"/>
                  <w:lang w:val="en-US" w:eastAsia="zh-CN" w:bidi="ar"/>
                </w:rPr>
              </w:sdtEndPr>
              <w:sdtContent>
                <w:r>
                  <w:rPr>
                    <w:rFonts w:hint="eastAsia" w:asciiTheme="minorEastAsia" w:hAnsiTheme="minorEastAsia" w:eastAsiaTheme="minorEastAsia" w:cstheme="minorEastAsia"/>
                    <w:color w:val="000000"/>
                    <w:kern w:val="2"/>
                    <w:sz w:val="24"/>
                    <w:szCs w:val="24"/>
                    <w:highlight w:val="none"/>
                    <w:lang w:val="en-US" w:eastAsia="zh-CN" w:bidi="ar"/>
                  </w:rPr>
                  <w:sym w:font="Wingdings" w:char="F0FE"/>
                </w:r>
              </w:sdtContent>
            </w:sdt>
            <w:r>
              <w:rPr>
                <w:rFonts w:hint="eastAsia" w:asciiTheme="minorEastAsia" w:hAnsiTheme="minorEastAsia" w:eastAsiaTheme="minorEastAsia" w:cstheme="minorEastAsia"/>
                <w:color w:val="000000"/>
                <w:kern w:val="2"/>
                <w:sz w:val="24"/>
                <w:szCs w:val="24"/>
                <w:highlight w:val="none"/>
                <w:lang w:val="en-US" w:eastAsia="zh-CN" w:bidi="ar"/>
              </w:rPr>
              <w:t>A不组织。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60" w:lineRule="exact"/>
              <w:ind w:left="0" w:right="0"/>
              <w:jc w:val="left"/>
              <w:textAlignment w:val="auto"/>
              <w:rPr>
                <w:rFonts w:hint="eastAsia" w:asciiTheme="minorEastAsia" w:hAnsiTheme="minorEastAsia" w:eastAsiaTheme="minorEastAsia" w:cstheme="minorEastAsia"/>
                <w:color w:val="000000"/>
                <w:sz w:val="24"/>
                <w:szCs w:val="24"/>
                <w:highlight w:val="none"/>
                <w:lang w:val="en-US"/>
              </w:rPr>
            </w:pPr>
            <w:sdt>
              <w:sdtPr>
                <w:rPr>
                  <w:rFonts w:hint="eastAsia" w:asciiTheme="minorEastAsia" w:hAnsiTheme="minorEastAsia" w:eastAsiaTheme="minorEastAsia" w:cstheme="minorEastAsia"/>
                  <w:color w:val="000000"/>
                  <w:kern w:val="2"/>
                  <w:sz w:val="24"/>
                  <w:szCs w:val="24"/>
                  <w:highlight w:val="none"/>
                  <w:lang w:val="en-US" w:eastAsia="zh-CN" w:bidi="ar"/>
                </w:rPr>
                <w:id w:val="-99980297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kern w:val="2"/>
                  <w:sz w:val="24"/>
                  <w:szCs w:val="24"/>
                  <w:highlight w:val="none"/>
                  <w:lang w:val="en-US" w:eastAsia="zh-CN" w:bidi="ar"/>
                </w:rPr>
              </w:sdtEndPr>
              <w:sdtContent>
                <w:r>
                  <w:rPr>
                    <w:rFonts w:hint="eastAsia" w:asciiTheme="minorEastAsia" w:hAnsiTheme="minorEastAsia" w:eastAsiaTheme="minorEastAsia" w:cstheme="minorEastAsia"/>
                    <w:color w:val="000000"/>
                    <w:kern w:val="2"/>
                    <w:sz w:val="24"/>
                    <w:szCs w:val="24"/>
                    <w:highlight w:val="none"/>
                    <w:lang w:val="en-US" w:eastAsia="zh-CN" w:bidi="ar"/>
                  </w:rPr>
                  <w:t>☐</w:t>
                </w:r>
              </w:sdtContent>
            </w:sdt>
            <w:r>
              <w:rPr>
                <w:rFonts w:hint="eastAsia" w:asciiTheme="minorEastAsia" w:hAnsiTheme="minorEastAsia" w:eastAsiaTheme="minorEastAsia" w:cstheme="minorEastAsia"/>
                <w:color w:val="000000"/>
                <w:kern w:val="2"/>
                <w:sz w:val="24"/>
                <w:szCs w:val="24"/>
                <w:highlight w:val="none"/>
                <w:lang w:val="en-US" w:eastAsia="zh-CN" w:bidi="ar"/>
              </w:rPr>
              <w:t>B组织，时间：      ,地点：      ，联系人：      ，联系方式：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是否提供演示</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60" w:lineRule="exact"/>
              <w:ind w:left="0" w:right="0"/>
              <w:textAlignment w:val="auto"/>
              <w:rPr>
                <w:rFonts w:hint="eastAsia" w:asciiTheme="minorEastAsia" w:hAnsiTheme="minorEastAsia" w:eastAsiaTheme="minorEastAsia" w:cstheme="minorEastAsia"/>
                <w:sz w:val="24"/>
                <w:highlight w:val="none"/>
              </w:rPr>
            </w:pPr>
            <w:sdt>
              <w:sdtPr>
                <w:rPr>
                  <w:rFonts w:hint="eastAsia" w:asciiTheme="minorEastAsia" w:hAnsiTheme="minorEastAsia" w:eastAsiaTheme="minorEastAsia" w:cstheme="minorEastAsia"/>
                  <w:kern w:val="0"/>
                  <w:sz w:val="24"/>
                  <w:highlight w:val="none"/>
                </w:rPr>
                <w:id w:val="-185934854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highlight w:val="none"/>
                </w:rPr>
              </w:sdtEndPr>
              <w:sdtContent>
                <w:r>
                  <w:rPr>
                    <w:rFonts w:hint="eastAsia" w:ascii="Wingdings" w:hAnsi="Wingdings" w:eastAsiaTheme="minorEastAsia" w:cstheme="minorEastAsia"/>
                    <w:kern w:val="0"/>
                    <w:sz w:val="24"/>
                    <w:szCs w:val="24"/>
                    <w:highlight w:val="none"/>
                    <w:lang w:val="en-US" w:eastAsia="zh-CN" w:bidi="ar-SA"/>
                  </w:rPr>
                  <w:t>þ</w:t>
                </w:r>
              </w:sdtContent>
            </w:sdt>
            <w:r>
              <w:rPr>
                <w:rFonts w:hint="eastAsia" w:asciiTheme="minorEastAsia" w:hAnsiTheme="minorEastAsia" w:eastAsiaTheme="minorEastAsia" w:cstheme="minorEastAsia"/>
                <w:kern w:val="0"/>
                <w:sz w:val="24"/>
                <w:highlight w:val="none"/>
              </w:rPr>
              <w:t>A</w:t>
            </w:r>
            <w:r>
              <w:rPr>
                <w:rFonts w:hint="eastAsia" w:asciiTheme="minorEastAsia" w:hAnsiTheme="minorEastAsia" w:eastAsiaTheme="minorEastAsia" w:cstheme="minorEastAsia"/>
                <w:sz w:val="24"/>
                <w:highlight w:val="none"/>
              </w:rPr>
              <w:t>不组织。</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60" w:lineRule="exact"/>
              <w:ind w:left="0" w:right="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sym w:font="Wingdings 2" w:char="00A3"/>
            </w:r>
            <w:r>
              <w:rPr>
                <w:rFonts w:hint="eastAsia" w:asciiTheme="minorEastAsia" w:hAnsiTheme="minorEastAsia" w:eastAsiaTheme="minorEastAsia" w:cstheme="minorEastAsia"/>
                <w:kern w:val="0"/>
                <w:sz w:val="24"/>
                <w:highlight w:val="none"/>
              </w:rPr>
              <w:t>B组织。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（1）各投标供应商可以根据评分细则，进行现场演示，演示时间不超过15分钟。演示地址：/，联系人：/。投标供应商不提供演示文件是投标供应商自己的风险，请各投标供应商积极准备。</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60" w:lineRule="exact"/>
              <w:ind w:left="0" w:right="0"/>
              <w:jc w:val="left"/>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是否提供样品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sym w:font="Wingdings 2" w:char="0052"/>
            </w:r>
            <w:r>
              <w:rPr>
                <w:rFonts w:hint="eastAsia" w:asciiTheme="minorEastAsia" w:hAnsiTheme="minorEastAsia" w:eastAsiaTheme="minorEastAsia" w:cstheme="minorEastAsia"/>
                <w:sz w:val="24"/>
                <w:highlight w:val="none"/>
              </w:rPr>
              <w:t>不要求提供。</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rPr>
                <w:rFonts w:hint="eastAsia" w:asciiTheme="minorEastAsia" w:hAnsiTheme="minorEastAsia" w:eastAsiaTheme="minorEastAsia" w:cstheme="minorEastAsia"/>
                <w:kern w:val="0"/>
                <w:sz w:val="24"/>
                <w:highlight w:val="none"/>
              </w:rPr>
            </w:pPr>
            <w:sdt>
              <w:sdtPr>
                <w:rPr>
                  <w:rFonts w:hint="eastAsia" w:asciiTheme="minorEastAsia" w:hAnsiTheme="minorEastAsia" w:eastAsiaTheme="minorEastAsia" w:cstheme="minorEastAsia"/>
                  <w:kern w:val="0"/>
                  <w:sz w:val="24"/>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highlight w:val="none"/>
                </w:rPr>
              </w:sdtEndPr>
              <w:sdtContent>
                <w:r>
                  <w:rPr>
                    <w:rFonts w:hint="eastAsia" w:asciiTheme="minorEastAsia" w:hAnsiTheme="minorEastAsia" w:eastAsiaTheme="minorEastAsia" w:cstheme="minorEastAsia"/>
                    <w:kern w:val="0"/>
                    <w:sz w:val="24"/>
                    <w:highlight w:val="none"/>
                  </w:rPr>
                  <w:t>☐</w:t>
                </w:r>
              </w:sdtContent>
            </w:sdt>
            <w:r>
              <w:rPr>
                <w:rFonts w:hint="eastAsia" w:asciiTheme="minorEastAsia" w:hAnsiTheme="minorEastAsia" w:eastAsiaTheme="minorEastAsia" w:cstheme="minorEastAsia"/>
                <w:kern w:val="0"/>
                <w:sz w:val="24"/>
                <w:highlight w:val="none"/>
              </w:rPr>
              <w:t>B要求提供，</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snapToGrid w:val="0"/>
                <w:kern w:val="28"/>
                <w:sz w:val="24"/>
                <w:highlight w:val="none"/>
              </w:rPr>
              <w:t>样品：</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kern w:val="0"/>
                <w:sz w:val="24"/>
                <w:highlight w:val="none"/>
              </w:rPr>
              <w:t>；</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snapToGrid w:val="0"/>
                <w:kern w:val="28"/>
                <w:sz w:val="24"/>
                <w:highlight w:val="none"/>
              </w:rPr>
              <w:t>样品制作的标准和要求：</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kern w:val="0"/>
                <w:sz w:val="24"/>
                <w:highlight w:val="none"/>
              </w:rPr>
              <w:t>；</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（3）样品的评审方法以及评审标准</w:t>
            </w:r>
            <w:r>
              <w:rPr>
                <w:rFonts w:hint="eastAsia" w:asciiTheme="minorEastAsia" w:hAnsiTheme="minorEastAsia" w:eastAsiaTheme="minorEastAsia" w:cstheme="minorEastAsia"/>
                <w:snapToGrid w:val="0"/>
                <w:kern w:val="28"/>
                <w:sz w:val="24"/>
                <w:highlight w:val="none"/>
              </w:rPr>
              <w:t>：详见</w:t>
            </w:r>
            <w:r>
              <w:rPr>
                <w:rFonts w:hint="eastAsia" w:asciiTheme="minorEastAsia" w:hAnsiTheme="minorEastAsia" w:eastAsiaTheme="minorEastAsia" w:cstheme="minorEastAsia"/>
                <w:sz w:val="24"/>
                <w:highlight w:val="none"/>
                <w:u w:val="single"/>
              </w:rPr>
              <w:t>评标办法</w:t>
            </w:r>
            <w:r>
              <w:rPr>
                <w:rFonts w:hint="eastAsia" w:asciiTheme="minorEastAsia" w:hAnsiTheme="minorEastAsia" w:eastAsiaTheme="minorEastAsia" w:cstheme="minorEastAsia"/>
                <w:kern w:val="0"/>
                <w:sz w:val="24"/>
                <w:highlight w:val="none"/>
              </w:rPr>
              <w:t>；</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（4）是否需要随样品提交检测报告：</w:t>
            </w:r>
            <w:sdt>
              <w:sdtPr>
                <w:rPr>
                  <w:rFonts w:hint="eastAsia" w:asciiTheme="minorEastAsia" w:hAnsiTheme="minorEastAsia" w:eastAsiaTheme="minorEastAsia" w:cstheme="minorEastAsia"/>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highlight w:val="none"/>
                </w:rPr>
              </w:sdtEndPr>
              <w:sdtContent>
                <w:r>
                  <w:rPr>
                    <w:rFonts w:hint="eastAsia" w:asciiTheme="minorEastAsia" w:hAnsiTheme="minorEastAsia" w:eastAsiaTheme="minorEastAsia" w:cstheme="minorEastAsia"/>
                    <w:kern w:val="0"/>
                    <w:sz w:val="24"/>
                    <w:highlight w:val="none"/>
                  </w:rPr>
                  <w:t>☐</w:t>
                </w:r>
              </w:sdtContent>
            </w:sdt>
            <w:r>
              <w:rPr>
                <w:rFonts w:hint="eastAsia" w:asciiTheme="minorEastAsia" w:hAnsiTheme="minorEastAsia" w:eastAsiaTheme="minorEastAsia" w:cstheme="minorEastAsia"/>
                <w:kern w:val="0"/>
                <w:sz w:val="24"/>
                <w:highlight w:val="none"/>
              </w:rPr>
              <w:t>否；</w:t>
            </w:r>
            <w:sdt>
              <w:sdtPr>
                <w:rPr>
                  <w:rFonts w:hint="eastAsia" w:asciiTheme="minorEastAsia" w:hAnsiTheme="minorEastAsia" w:eastAsiaTheme="minorEastAsia" w:cstheme="minorEastAsia"/>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highlight w:val="none"/>
                </w:rPr>
              </w:sdtEndPr>
              <w:sdtContent>
                <w:r>
                  <w:rPr>
                    <w:rFonts w:hint="eastAsia" w:asciiTheme="minorEastAsia" w:hAnsiTheme="minorEastAsia" w:eastAsiaTheme="minorEastAsia" w:cstheme="minorEastAsia"/>
                    <w:kern w:val="0"/>
                    <w:sz w:val="24"/>
                    <w:highlight w:val="none"/>
                  </w:rPr>
                  <w:t>☐</w:t>
                </w:r>
              </w:sdtContent>
            </w:sdt>
            <w:r>
              <w:rPr>
                <w:rFonts w:hint="eastAsia" w:asciiTheme="minorEastAsia" w:hAnsiTheme="minorEastAsia" w:eastAsiaTheme="minorEastAsia" w:cstheme="minorEastAsia"/>
                <w:kern w:val="0"/>
                <w:sz w:val="24"/>
                <w:highlight w:val="none"/>
              </w:rPr>
              <w:t>是，检测机构的要求</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kern w:val="0"/>
                <w:sz w:val="24"/>
                <w:highlight w:val="none"/>
              </w:rPr>
              <w:t>；检测内容</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kern w:val="0"/>
                <w:sz w:val="24"/>
                <w:highlight w:val="none"/>
              </w:rPr>
              <w:t>。</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（5）提供样品的时间：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kern w:val="0"/>
                <w:sz w:val="24"/>
                <w:highlight w:val="none"/>
              </w:rPr>
              <w:t>；地点：</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kern w:val="0"/>
                <w:sz w:val="24"/>
                <w:highlight w:val="none"/>
              </w:rPr>
              <w:t>；联系人</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28"/>
                <w:sz w:val="24"/>
                <w:highlight w:val="none"/>
              </w:rPr>
              <w:t>联系电话：</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jc w:val="left"/>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投标文件组成</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color w:val="000000"/>
                <w:kern w:val="2"/>
                <w:sz w:val="24"/>
                <w:szCs w:val="24"/>
                <w:highlight w:val="none"/>
                <w:lang w:val="en-US" w:eastAsia="zh-CN" w:bidi="ar"/>
              </w:rPr>
              <w:t>投标文件均由资格文件、技术商务文件、报价文件组成。</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投标人提供备份投标文件（正本）的，数量为1份。</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8"/>
                <w:sz w:val="24"/>
                <w:szCs w:val="24"/>
                <w:highlight w:val="none"/>
              </w:rPr>
              <w:t>备份投标文件送达地点：</w:t>
            </w:r>
            <w:r>
              <w:rPr>
                <w:rFonts w:hint="eastAsia" w:asciiTheme="minorEastAsia" w:hAnsiTheme="minorEastAsia" w:eastAsiaTheme="minorEastAsia" w:cstheme="minorEastAsia"/>
                <w:sz w:val="24"/>
                <w:szCs w:val="24"/>
                <w:highlight w:val="none"/>
                <w:u w:val="single"/>
              </w:rPr>
              <w:t xml:space="preserve"> 杭州市拱墅区彩云路105号锦盛大楼8楼会议室</w:t>
            </w:r>
            <w:r>
              <w:rPr>
                <w:rFonts w:hint="eastAsia" w:asciiTheme="minorEastAsia" w:hAnsiTheme="minorEastAsia" w:eastAsiaTheme="minorEastAsia" w:cstheme="minorEastAsia"/>
                <w:kern w:val="28"/>
                <w:sz w:val="24"/>
                <w:szCs w:val="24"/>
                <w:highlight w:val="none"/>
              </w:rPr>
              <w:t>；备份投标文件签收人员联系电话：</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黄广华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18738722421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color w:val="auto"/>
                <w:sz w:val="24"/>
                <w:szCs w:val="24"/>
                <w:highlight w:val="none"/>
              </w:rPr>
              <w:t>寄出后将（快递单号、项目名称、公司名称、联系方式等相关信息）发至：</w:t>
            </w:r>
            <w:r>
              <w:rPr>
                <w:rFonts w:hint="eastAsia" w:asciiTheme="minorEastAsia" w:hAnsiTheme="minorEastAsia" w:eastAsiaTheme="minorEastAsia" w:cstheme="minorEastAsia"/>
                <w:b/>
                <w:bCs/>
                <w:color w:val="auto"/>
                <w:sz w:val="24"/>
                <w:szCs w:val="24"/>
                <w:highlight w:val="none"/>
                <w:lang w:val="en-US" w:eastAsia="zh-CN"/>
              </w:rPr>
              <w:t>1743342018@qq.com</w:t>
            </w:r>
            <w:r>
              <w:rPr>
                <w:rFonts w:hint="eastAsia" w:asciiTheme="minorEastAsia" w:hAnsiTheme="minorEastAsia" w:eastAsiaTheme="minorEastAsia" w:cstheme="minorEastAsia"/>
                <w:b/>
                <w:bCs/>
                <w:color w:val="auto"/>
                <w:sz w:val="24"/>
                <w:szCs w:val="24"/>
                <w:highlight w:val="none"/>
              </w:rPr>
              <w:t>，以便查收。</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b/>
                <w:bCs/>
                <w:sz w:val="24"/>
                <w:szCs w:val="24"/>
                <w:highlight w:val="none"/>
              </w:rPr>
              <w:t>特别说明：双休日和法定节假日不收件，投标人自行承担邮寄风险。</w:t>
            </w:r>
            <w:r>
              <w:rPr>
                <w:rFonts w:hint="eastAsia" w:asciiTheme="minorEastAsia" w:hAnsiTheme="minorEastAsia" w:eastAsiaTheme="minorEastAsia" w:cstheme="minorEastAsia"/>
                <w:b/>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电子交易平台登录方法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第一步：供应商登记</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both"/>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投标人应在投标前登记成为浙江政府采购网的正式供应商（注册网址：</w:t>
            </w:r>
            <w:r>
              <w:rPr>
                <w:rFonts w:hint="eastAsia" w:asciiTheme="minorEastAsia" w:hAnsiTheme="minorEastAsia" w:eastAsiaTheme="minorEastAsia" w:cstheme="minorEastAsia"/>
                <w:kern w:val="2"/>
                <w:sz w:val="24"/>
                <w:szCs w:val="24"/>
                <w:highlight w:val="none"/>
                <w:lang w:val="en-US" w:eastAsia="zh-CN" w:bidi="ar"/>
              </w:rPr>
              <w:fldChar w:fldCharType="begin"/>
            </w:r>
            <w:r>
              <w:rPr>
                <w:rFonts w:hint="eastAsia" w:asciiTheme="minorEastAsia" w:hAnsiTheme="minorEastAsia" w:eastAsiaTheme="minorEastAsia" w:cstheme="minorEastAsia"/>
                <w:kern w:val="2"/>
                <w:sz w:val="24"/>
                <w:szCs w:val="24"/>
                <w:highlight w:val="none"/>
                <w:lang w:val="en-US" w:eastAsia="zh-CN" w:bidi="ar"/>
              </w:rPr>
              <w:instrText xml:space="preserve"> HYPERLINK "https://middle.zcygov.cn/v-settle-front/registry" </w:instrText>
            </w:r>
            <w:r>
              <w:rPr>
                <w:rFonts w:hint="eastAsia" w:asciiTheme="minorEastAsia" w:hAnsiTheme="minorEastAsia" w:eastAsiaTheme="minorEastAsia" w:cstheme="minorEastAsia"/>
                <w:kern w:val="2"/>
                <w:sz w:val="24"/>
                <w:szCs w:val="24"/>
                <w:highlight w:val="none"/>
                <w:lang w:val="en-US" w:eastAsia="zh-CN" w:bidi="ar"/>
              </w:rPr>
              <w:fldChar w:fldCharType="separate"/>
            </w:r>
            <w:r>
              <w:rPr>
                <w:rStyle w:val="77"/>
                <w:rFonts w:hint="eastAsia" w:asciiTheme="minorEastAsia" w:hAnsiTheme="minorEastAsia" w:eastAsiaTheme="minorEastAsia" w:cstheme="minorEastAsia"/>
                <w:sz w:val="24"/>
                <w:szCs w:val="24"/>
                <w:highlight w:val="none"/>
                <w:u w:val="single"/>
                <w:lang w:val="en-US"/>
              </w:rPr>
              <w:t>https://middle.zcygov.cn/v-settle-front/registry</w:t>
            </w:r>
            <w:r>
              <w:rPr>
                <w:rFonts w:hint="eastAsia" w:asciiTheme="minorEastAsia" w:hAnsiTheme="minorEastAsia" w:eastAsiaTheme="minorEastAsia" w:cstheme="minorEastAsia"/>
                <w:kern w:val="2"/>
                <w:sz w:val="24"/>
                <w:szCs w:val="24"/>
                <w:highlight w:val="none"/>
                <w:lang w:val="en-US" w:eastAsia="zh-CN" w:bidi="ar"/>
              </w:rPr>
              <w:fldChar w:fldCharType="end"/>
            </w:r>
            <w:r>
              <w:rPr>
                <w:rFonts w:hint="eastAsia" w:asciiTheme="minorEastAsia" w:hAnsiTheme="minorEastAsia" w:eastAsiaTheme="minorEastAsia" w:cstheme="minorEastAsia"/>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第二步：申请CA</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both"/>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第三步：下载客户端</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投标人通过政采云电子交易客户端制作投标文件，请自行前往浙江政府采购网下载并安装（下载网址：</w:t>
            </w:r>
            <w:r>
              <w:rPr>
                <w:rFonts w:hint="eastAsia" w:asciiTheme="minorEastAsia" w:hAnsiTheme="minorEastAsia" w:eastAsiaTheme="minorEastAsia" w:cstheme="minorEastAsia"/>
                <w:kern w:val="2"/>
                <w:sz w:val="24"/>
                <w:szCs w:val="24"/>
                <w:highlight w:val="none"/>
                <w:lang w:val="en-US" w:eastAsia="zh-CN" w:bidi="ar"/>
              </w:rPr>
              <w:fldChar w:fldCharType="begin"/>
            </w:r>
            <w:r>
              <w:rPr>
                <w:rFonts w:hint="eastAsia" w:asciiTheme="minorEastAsia" w:hAnsiTheme="minorEastAsia" w:eastAsiaTheme="minorEastAsia" w:cstheme="minorEastAsia"/>
                <w:kern w:val="2"/>
                <w:sz w:val="24"/>
                <w:szCs w:val="24"/>
                <w:highlight w:val="none"/>
                <w:lang w:val="en-US" w:eastAsia="zh-CN" w:bidi="ar"/>
              </w:rPr>
              <w:instrText xml:space="preserve"> HYPERLINK "http://zfcg.czt.zj.gov.cn/bidClientTemplate/2019-09-24/12975.html" </w:instrText>
            </w:r>
            <w:r>
              <w:rPr>
                <w:rFonts w:hint="eastAsia" w:asciiTheme="minorEastAsia" w:hAnsiTheme="minorEastAsia" w:eastAsiaTheme="minorEastAsia" w:cstheme="minorEastAsia"/>
                <w:kern w:val="2"/>
                <w:sz w:val="24"/>
                <w:szCs w:val="24"/>
                <w:highlight w:val="none"/>
                <w:lang w:val="en-US" w:eastAsia="zh-CN" w:bidi="ar"/>
              </w:rPr>
              <w:fldChar w:fldCharType="separate"/>
            </w:r>
            <w:r>
              <w:rPr>
                <w:rStyle w:val="77"/>
                <w:rFonts w:hint="eastAsia" w:asciiTheme="minorEastAsia" w:hAnsiTheme="minorEastAsia" w:eastAsiaTheme="minorEastAsia" w:cstheme="minorEastAsia"/>
                <w:sz w:val="24"/>
                <w:szCs w:val="24"/>
                <w:highlight w:val="none"/>
                <w:u w:val="single"/>
                <w:lang w:val="en-US"/>
              </w:rPr>
              <w:t>http://zfcg.czt.zj.gov.cn/bidClientTemplate/2019-09-24/12975.html</w:t>
            </w:r>
            <w:r>
              <w:rPr>
                <w:rFonts w:hint="eastAsia" w:asciiTheme="minorEastAsia" w:hAnsiTheme="minorEastAsia" w:eastAsiaTheme="minorEastAsia" w:cstheme="minorEastAsia"/>
                <w:kern w:val="2"/>
                <w:sz w:val="24"/>
                <w:szCs w:val="24"/>
                <w:highlight w:val="none"/>
                <w:lang w:val="en-US" w:eastAsia="zh-CN" w:bidi="ar"/>
              </w:rPr>
              <w:fldChar w:fldCharType="end"/>
            </w:r>
            <w:r>
              <w:rPr>
                <w:rFonts w:hint="eastAsia" w:asciiTheme="minorEastAsia" w:hAnsiTheme="minorEastAsia" w:eastAsiaTheme="minorEastAsia" w:cstheme="minorEastAsia"/>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第四步：具体流程</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详见浙江省“电子交易/不见面开评标”学习专题（网址</w:t>
            </w:r>
            <w:r>
              <w:rPr>
                <w:rFonts w:hint="eastAsia" w:asciiTheme="minorEastAsia" w:hAnsiTheme="minorEastAsia" w:eastAsiaTheme="minorEastAsia" w:cstheme="minorEastAsia"/>
                <w:kern w:val="2"/>
                <w:sz w:val="24"/>
                <w:szCs w:val="24"/>
                <w:highlight w:val="none"/>
                <w:lang w:val="en-US" w:eastAsia="zh-CN" w:bidi="ar"/>
              </w:rPr>
              <w:fldChar w:fldCharType="begin"/>
            </w:r>
            <w:r>
              <w:rPr>
                <w:rFonts w:hint="eastAsia" w:asciiTheme="minorEastAsia" w:hAnsiTheme="minorEastAsia" w:eastAsiaTheme="minorEastAsia" w:cstheme="minorEastAsia"/>
                <w:kern w:val="2"/>
                <w:sz w:val="24"/>
                <w:szCs w:val="24"/>
                <w:highlight w:val="none"/>
                <w:lang w:val="en-US" w:eastAsia="zh-CN" w:bidi="ar"/>
              </w:rPr>
              <w:instrText xml:space="preserve"> HYPERLINK "https://edu.zcygov.cn/luban/e-biding" </w:instrText>
            </w:r>
            <w:r>
              <w:rPr>
                <w:rFonts w:hint="eastAsia" w:asciiTheme="minorEastAsia" w:hAnsiTheme="minorEastAsia" w:eastAsiaTheme="minorEastAsia" w:cstheme="minorEastAsia"/>
                <w:kern w:val="2"/>
                <w:sz w:val="24"/>
                <w:szCs w:val="24"/>
                <w:highlight w:val="none"/>
                <w:lang w:val="en-US" w:eastAsia="zh-CN" w:bidi="ar"/>
              </w:rPr>
              <w:fldChar w:fldCharType="separate"/>
            </w:r>
            <w:r>
              <w:rPr>
                <w:rStyle w:val="77"/>
                <w:rFonts w:hint="eastAsia" w:asciiTheme="minorEastAsia" w:hAnsiTheme="minorEastAsia" w:eastAsiaTheme="minorEastAsia" w:cstheme="minorEastAsia"/>
                <w:sz w:val="24"/>
                <w:szCs w:val="24"/>
                <w:highlight w:val="none"/>
                <w:u w:val="single"/>
                <w:lang w:val="en-US"/>
              </w:rPr>
              <w:t>https://edu.zcygov.cn/luban/e-biding</w:t>
            </w:r>
            <w:r>
              <w:rPr>
                <w:rFonts w:hint="eastAsia" w:asciiTheme="minorEastAsia" w:hAnsiTheme="minorEastAsia" w:eastAsiaTheme="minorEastAsia" w:cstheme="minorEastAsia"/>
                <w:kern w:val="2"/>
                <w:sz w:val="24"/>
                <w:szCs w:val="24"/>
                <w:highlight w:val="none"/>
                <w:lang w:val="en-US" w:eastAsia="zh-CN" w:bidi="ar"/>
              </w:rPr>
              <w:fldChar w:fldCharType="end"/>
            </w:r>
            <w:r>
              <w:rPr>
                <w:rFonts w:hint="eastAsia" w:asciiTheme="minorEastAsia" w:hAnsiTheme="minorEastAsia" w:eastAsiaTheme="minorEastAsia" w:cstheme="minorEastAsia"/>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提醒：</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1.请各投标人合理安排时间，尽快完成第一、二、三步骤，避免影响投标。</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b/>
                <w:color w:val="000000"/>
                <w:kern w:val="2"/>
                <w:sz w:val="24"/>
                <w:szCs w:val="24"/>
                <w:highlight w:val="none"/>
                <w:lang w:val="en-US" w:eastAsia="zh-CN" w:bidi="ar"/>
              </w:rP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投标文件的编制</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sz w:val="24"/>
                <w:szCs w:val="24"/>
                <w:highlight w:val="none"/>
                <w:lang w:val="en-US"/>
              </w:rPr>
              <w:t>1、“电子加密投标文件”：</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sz w:val="24"/>
                <w:szCs w:val="24"/>
                <w:highlight w:val="none"/>
                <w:lang w:val="en-US"/>
              </w:rPr>
              <w:t>（1）“电子加密投标文件”是指通过“政采云电子交易客户端”完成投标文件编制后生成并加密的数据电文形式的投标文件。</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sz w:val="24"/>
                <w:szCs w:val="24"/>
                <w:highlight w:val="none"/>
                <w:lang w:val="en-US"/>
              </w:rPr>
              <w:t>（2）供应商应先安装“政采云电子交易客户端”，并按照本招标文件和“政府采购云平台”的要求，通过“政采云电子交易客户端”编制并加密投标文件。</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sz w:val="24"/>
                <w:szCs w:val="24"/>
                <w:highlight w:val="none"/>
                <w:lang w:val="en-US"/>
              </w:rPr>
              <w:t>2、“电子备份投标文件”：</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sz w:val="24"/>
                <w:szCs w:val="24"/>
                <w:highlight w:val="none"/>
                <w:lang w:val="en-US"/>
              </w:rPr>
              <w:t>（1）“电子备份投标文件”是指与“电子加密投标文件”同时生成的数据电文形式的电子文件。</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sz w:val="24"/>
                <w:szCs w:val="24"/>
                <w:highlight w:val="none"/>
                <w:lang w:val="en-US"/>
              </w:rPr>
              <w:t>（2）供应商可自主选择是否编制“电子备份投标文件”。</w:t>
            </w:r>
          </w:p>
          <w:p>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sz w:val="24"/>
                <w:szCs w:val="24"/>
                <w:highlight w:val="none"/>
                <w:lang w:val="en-US"/>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投标撤销（撤回）</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1.在投标截止时间起至投标有效期届满，供应商投标文件不可撤销。</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b/>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中标结果公告</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jc w:val="both"/>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中标供应商确定之日起2个工作日内，将在浙江省政府采购网(</w:t>
            </w:r>
            <w:r>
              <w:rPr>
                <w:rFonts w:hint="eastAsia" w:asciiTheme="minorEastAsia" w:hAnsiTheme="minorEastAsia" w:eastAsiaTheme="minorEastAsia" w:cstheme="minorEastAsia"/>
                <w:kern w:val="2"/>
                <w:sz w:val="24"/>
                <w:szCs w:val="24"/>
                <w:highlight w:val="none"/>
                <w:lang w:val="en-US" w:eastAsia="zh-CN" w:bidi="ar"/>
              </w:rPr>
              <w:fldChar w:fldCharType="begin"/>
            </w:r>
            <w:r>
              <w:rPr>
                <w:rFonts w:hint="eastAsia" w:asciiTheme="minorEastAsia" w:hAnsiTheme="minorEastAsia" w:eastAsiaTheme="minorEastAsia" w:cstheme="minorEastAsia"/>
                <w:kern w:val="2"/>
                <w:sz w:val="24"/>
                <w:szCs w:val="24"/>
                <w:highlight w:val="none"/>
                <w:lang w:val="en-US" w:eastAsia="zh-CN" w:bidi="ar"/>
              </w:rPr>
              <w:instrText xml:space="preserve"> HYPERLINK "http://www.zjzfcg.gov.cn/new" </w:instrText>
            </w:r>
            <w:r>
              <w:rPr>
                <w:rFonts w:hint="eastAsia" w:asciiTheme="minorEastAsia" w:hAnsiTheme="minorEastAsia" w:eastAsiaTheme="minorEastAsia" w:cstheme="minorEastAsia"/>
                <w:kern w:val="2"/>
                <w:sz w:val="24"/>
                <w:szCs w:val="24"/>
                <w:highlight w:val="none"/>
                <w:lang w:val="en-US" w:eastAsia="zh-CN" w:bidi="ar"/>
              </w:rPr>
              <w:fldChar w:fldCharType="separate"/>
            </w:r>
            <w:r>
              <w:rPr>
                <w:rStyle w:val="77"/>
                <w:rFonts w:hint="eastAsia" w:asciiTheme="minorEastAsia" w:hAnsiTheme="minorEastAsia" w:eastAsiaTheme="minorEastAsia" w:cstheme="minorEastAsia"/>
                <w:sz w:val="24"/>
                <w:szCs w:val="24"/>
                <w:highlight w:val="none"/>
                <w:u w:val="single"/>
                <w:lang w:val="en-US"/>
              </w:rPr>
              <w:t>http://www.zjzfcg.gov.cn</w:t>
            </w:r>
            <w:r>
              <w:rPr>
                <w:rFonts w:hint="eastAsia" w:asciiTheme="minorEastAsia" w:hAnsiTheme="minorEastAsia" w:eastAsiaTheme="minorEastAsia" w:cstheme="minorEastAsia"/>
                <w:kern w:val="2"/>
                <w:sz w:val="24"/>
                <w:szCs w:val="24"/>
                <w:highlight w:val="none"/>
                <w:lang w:val="en-US" w:eastAsia="zh-CN" w:bidi="ar"/>
              </w:rPr>
              <w:fldChar w:fldCharType="end"/>
            </w:r>
            <w:r>
              <w:rPr>
                <w:rFonts w:hint="eastAsia" w:asciiTheme="minorEastAsia" w:hAnsiTheme="minorEastAsia" w:eastAsiaTheme="minorEastAsia" w:cstheme="minorEastAsia"/>
                <w:kern w:val="2"/>
                <w:sz w:val="24"/>
                <w:szCs w:val="24"/>
                <w:highlight w:val="none"/>
                <w:lang w:val="en-US" w:eastAsia="zh-CN" w:bidi="ar"/>
              </w:rPr>
              <w:t>)发布</w:t>
            </w:r>
            <w:r>
              <w:rPr>
                <w:rFonts w:hint="eastAsia" w:asciiTheme="minorEastAsia" w:hAnsiTheme="minorEastAsia" w:eastAsiaTheme="minorEastAsia" w:cstheme="minorEastAsia"/>
                <w:color w:val="000000"/>
                <w:kern w:val="2"/>
                <w:sz w:val="24"/>
                <w:szCs w:val="24"/>
                <w:highlight w:val="none"/>
                <w:lang w:val="en-US" w:eastAsia="zh-CN" w:bidi="ar"/>
              </w:rPr>
              <w:t>中标公告</w:t>
            </w:r>
            <w:r>
              <w:rPr>
                <w:rFonts w:hint="eastAsia" w:asciiTheme="minorEastAsia" w:hAnsiTheme="minorEastAsia" w:eastAsiaTheme="minorEastAsia" w:cstheme="minorEastAsia"/>
                <w:b/>
                <w:color w:val="000000"/>
                <w:kern w:val="2"/>
                <w:sz w:val="24"/>
                <w:szCs w:val="24"/>
                <w:highlight w:val="none"/>
                <w:lang w:val="en-US" w:eastAsia="zh-CN" w:bidi="ar"/>
              </w:rPr>
              <w:t>（中标人为中小企业的，其声明函将随中标结果同时公告）</w:t>
            </w:r>
            <w:r>
              <w:rPr>
                <w:rFonts w:hint="eastAsia" w:asciiTheme="minorEastAsia" w:hAnsiTheme="minorEastAsia" w:eastAsiaTheme="minorEastAsia" w:cstheme="minorEastAsia"/>
                <w:color w:val="000000"/>
                <w:kern w:val="2"/>
                <w:sz w:val="24"/>
                <w:szCs w:val="24"/>
                <w:highlight w:val="none"/>
                <w:lang w:val="en-US" w:eastAsia="zh-CN" w:bidi="ar"/>
              </w:rPr>
              <w:t>，公告期限为1个工作日。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中标供应商放弃中标赔偿责任</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履约保证金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highlight w:val="none"/>
              </w:rPr>
              <w:sym w:font="Wingdings 2" w:char="00A3"/>
            </w:r>
            <w:r>
              <w:rPr>
                <w:rFonts w:hint="eastAsia" w:asciiTheme="minorEastAsia" w:hAnsiTheme="minorEastAsia" w:eastAsiaTheme="minorEastAsia" w:cstheme="minorEastAsia"/>
                <w:color w:val="000000"/>
                <w:kern w:val="2"/>
                <w:sz w:val="24"/>
                <w:szCs w:val="24"/>
                <w:highlight w:val="none"/>
                <w:lang w:val="en-US" w:eastAsia="zh-CN" w:bidi="ar"/>
              </w:rPr>
              <w:t xml:space="preserve"> 不要求提供</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sym w:font="Wingdings 2" w:char="0052"/>
            </w:r>
            <w:r>
              <w:rPr>
                <w:rFonts w:hint="eastAsia" w:asciiTheme="minorEastAsia" w:hAnsiTheme="minorEastAsia" w:eastAsiaTheme="minorEastAsia" w:cstheme="minorEastAsia"/>
                <w:color w:val="000000"/>
                <w:kern w:val="2"/>
                <w:sz w:val="24"/>
                <w:szCs w:val="24"/>
                <w:highlight w:val="none"/>
                <w:lang w:val="en-US" w:eastAsia="zh-CN" w:bidi="ar"/>
              </w:rPr>
              <w:t xml:space="preserve"> 要求提供：</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1、金额为合同总价的1%</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2、合同签订生效后，向采购人支付履约保证金，服务期</w:t>
            </w:r>
            <w:r>
              <w:rPr>
                <w:rFonts w:hint="eastAsia" w:asciiTheme="minorEastAsia" w:hAnsiTheme="minorEastAsia" w:eastAsiaTheme="minorEastAsia" w:cstheme="minorEastAsia"/>
                <w:color w:val="000000"/>
                <w:kern w:val="2"/>
                <w:sz w:val="24"/>
                <w:szCs w:val="24"/>
                <w:highlight w:val="none"/>
                <w:lang w:val="zh-CN" w:eastAsia="zh-CN" w:bidi="ar"/>
              </w:rPr>
              <w:t>内</w:t>
            </w:r>
            <w:r>
              <w:rPr>
                <w:rFonts w:hint="eastAsia" w:asciiTheme="minorEastAsia" w:hAnsiTheme="minorEastAsia" w:eastAsiaTheme="minorEastAsia" w:cstheme="minorEastAsia"/>
                <w:color w:val="000000"/>
                <w:kern w:val="2"/>
                <w:sz w:val="24"/>
                <w:szCs w:val="24"/>
                <w:highlight w:val="none"/>
                <w:lang w:val="en-US" w:eastAsia="zh-CN" w:bidi="ar"/>
              </w:rPr>
              <w:t>项目服务单位</w:t>
            </w:r>
            <w:r>
              <w:rPr>
                <w:rFonts w:hint="eastAsia" w:asciiTheme="minorEastAsia" w:hAnsiTheme="minorEastAsia" w:eastAsiaTheme="minorEastAsia" w:cstheme="minorEastAsia"/>
                <w:color w:val="000000"/>
                <w:kern w:val="2"/>
                <w:sz w:val="24"/>
                <w:szCs w:val="24"/>
                <w:highlight w:val="none"/>
                <w:lang w:val="zh-CN" w:eastAsia="zh-CN" w:bidi="ar"/>
              </w:rPr>
              <w:t>无任何违约责任和服务问题，服务期满之后按照招标方规定的流程验收合格后10个工作日内无息退还</w:t>
            </w:r>
            <w:r>
              <w:rPr>
                <w:rFonts w:hint="eastAsia" w:asciiTheme="minorEastAsia" w:hAnsiTheme="minorEastAsia" w:eastAsiaTheme="minorEastAsia" w:cstheme="minorEastAsia"/>
                <w:color w:val="000000"/>
                <w:kern w:val="2"/>
                <w:sz w:val="24"/>
                <w:szCs w:val="24"/>
                <w:highlight w:val="none"/>
                <w:lang w:val="en-US" w:eastAsia="zh-CN" w:bidi="ar"/>
              </w:rPr>
              <w:t>履约</w:t>
            </w:r>
            <w:r>
              <w:rPr>
                <w:rFonts w:hint="eastAsia" w:asciiTheme="minorEastAsia" w:hAnsiTheme="minorEastAsia" w:eastAsiaTheme="minorEastAsia" w:cstheme="minorEastAsia"/>
                <w:color w:val="000000"/>
                <w:kern w:val="2"/>
                <w:sz w:val="24"/>
                <w:szCs w:val="24"/>
                <w:highlight w:val="none"/>
                <w:lang w:val="zh-CN" w:eastAsia="zh-CN" w:bidi="ar"/>
              </w:rPr>
              <w:t>保证金。</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3、</w:t>
            </w:r>
            <w:r>
              <w:rPr>
                <w:rFonts w:hint="default" w:asciiTheme="minorEastAsia" w:hAnsiTheme="minorEastAsia" w:eastAsiaTheme="minorEastAsia" w:cstheme="minorEastAsia"/>
                <w:color w:val="000000"/>
                <w:kern w:val="2"/>
                <w:sz w:val="24"/>
                <w:szCs w:val="24"/>
                <w:highlight w:val="none"/>
                <w:lang w:val="en-US" w:eastAsia="zh-CN" w:bidi="ar"/>
              </w:rPr>
              <w:t>履约保证金缴纳方式</w:t>
            </w:r>
            <w:r>
              <w:rPr>
                <w:rFonts w:hint="eastAsia" w:asciiTheme="minorEastAsia" w:hAnsiTheme="minorEastAsia" w:eastAsiaTheme="minorEastAsia" w:cstheme="minorEastAsia"/>
                <w:color w:val="000000"/>
                <w:kern w:val="2"/>
                <w:sz w:val="24"/>
                <w:szCs w:val="24"/>
                <w:highlight w:val="none"/>
                <w:lang w:val="en-US" w:eastAsia="zh-CN" w:bidi="ar"/>
              </w:rPr>
              <w:t>：供应商可以以银行、保险公司等出具的保函形式提交。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付款方式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rPr>
              <w:t>2024年不支付项目费用。项目经费纳入2025、2026年预算申报，在2025年至2026年期间每</w:t>
            </w:r>
            <w:r>
              <w:rPr>
                <w:rFonts w:hint="eastAsia" w:asciiTheme="minorEastAsia" w:hAnsiTheme="minorEastAsia" w:eastAsiaTheme="minorEastAsia" w:cstheme="minorEastAsia"/>
                <w:color w:val="000000"/>
                <w:sz w:val="24"/>
                <w:szCs w:val="24"/>
                <w:highlight w:val="none"/>
                <w:lang w:val="en-US" w:eastAsia="zh-CN"/>
              </w:rPr>
              <w:t>六个月</w:t>
            </w:r>
            <w:r>
              <w:rPr>
                <w:rFonts w:hint="eastAsia" w:asciiTheme="minorEastAsia" w:hAnsiTheme="minorEastAsia" w:eastAsiaTheme="minorEastAsia" w:cstheme="minorEastAsia"/>
                <w:color w:val="000000"/>
                <w:sz w:val="24"/>
                <w:szCs w:val="24"/>
                <w:highlight w:val="none"/>
                <w:lang w:val="en-US"/>
              </w:rPr>
              <w:t>一付，均待每期项目完成并验收合格后，甲方收到乙方开具的正式发票后7个工作日内支付合同金额。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23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投标文件有效期</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60" w:lineRule="exact"/>
              <w:ind w:left="0" w:right="0"/>
              <w:jc w:val="left"/>
              <w:textAlignment w:val="bottom"/>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24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合同签订时间</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kern w:val="2"/>
                <w:sz w:val="24"/>
                <w:szCs w:val="24"/>
                <w:highlight w:val="none"/>
                <w:lang w:val="en-US" w:eastAsia="zh-CN" w:bidi="ar"/>
              </w:rPr>
              <w:t>25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b/>
                <w:bCs/>
                <w:color w:val="000000"/>
                <w:sz w:val="24"/>
                <w:szCs w:val="24"/>
                <w:highlight w:val="none"/>
                <w:lang w:val="en-US"/>
              </w:rPr>
            </w:pPr>
            <w:r>
              <w:rPr>
                <w:rFonts w:hint="eastAsia" w:asciiTheme="minorEastAsia" w:hAnsiTheme="minorEastAsia" w:eastAsiaTheme="minorEastAsia" w:cstheme="minorEastAsia"/>
                <w:b/>
                <w:bCs/>
                <w:kern w:val="2"/>
                <w:sz w:val="24"/>
                <w:szCs w:val="24"/>
                <w:highlight w:val="none"/>
                <w:lang w:val="en-US" w:eastAsia="zh-CN" w:bidi="ar"/>
              </w:rPr>
              <w:t>招标代理服务费用</w:t>
            </w:r>
          </w:p>
        </w:tc>
        <w:tc>
          <w:tcPr>
            <w:tcW w:w="7372" w:type="dxa"/>
            <w:tcBorders>
              <w:top w:val="single" w:color="auto" w:sz="4" w:space="0"/>
              <w:left w:val="nil"/>
              <w:bottom w:val="single" w:color="auto" w:sz="4" w:space="0"/>
              <w:right w:val="single" w:color="auto" w:sz="4" w:space="0"/>
            </w:tcBorders>
            <w:shd w:val="clear" w:color="auto" w:fill="auto"/>
            <w:vAlign w:val="center"/>
          </w:tcPr>
          <w:p>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kern w:val="28"/>
                <w:sz w:val="24"/>
                <w:szCs w:val="24"/>
                <w:highlight w:val="none"/>
              </w:rPr>
            </w:pPr>
            <w:r>
              <w:rPr>
                <w:rFonts w:hint="eastAsia" w:ascii="宋体" w:hAnsi="宋体" w:cs="宋体"/>
                <w:snapToGrid w:val="0"/>
                <w:kern w:val="28"/>
                <w:sz w:val="24"/>
                <w:highlight w:val="none"/>
              </w:rPr>
              <w:t>按</w:t>
            </w:r>
            <w:r>
              <w:rPr>
                <w:rFonts w:hint="eastAsia" w:hAnsi="宋体" w:cs="宋体"/>
                <w:snapToGrid w:val="0"/>
                <w:kern w:val="28"/>
                <w:sz w:val="24"/>
                <w:highlight w:val="none"/>
                <w:lang w:val="en-US" w:eastAsia="zh-CN"/>
              </w:rPr>
              <w:t>中标</w:t>
            </w:r>
            <w:r>
              <w:rPr>
                <w:rFonts w:hint="eastAsia" w:ascii="宋体" w:hAnsi="宋体" w:cs="宋体"/>
                <w:snapToGrid w:val="0"/>
                <w:kern w:val="28"/>
                <w:sz w:val="24"/>
                <w:highlight w:val="none"/>
              </w:rPr>
              <w:t>价做为基数，依据国家发展计划委员会计价格[2002]1980号文《招标代理服务收费管理办法》、发改办价格[2003]857号文及发改价格[2011]534号收费标准的</w:t>
            </w:r>
            <w:r>
              <w:rPr>
                <w:rFonts w:hint="eastAsia" w:ascii="宋体" w:hAnsi="宋体" w:cs="宋体"/>
                <w:snapToGrid w:val="0"/>
                <w:kern w:val="28"/>
                <w:sz w:val="24"/>
                <w:highlight w:val="none"/>
                <w:lang w:val="en-US" w:eastAsia="zh-CN"/>
              </w:rPr>
              <w:t>55</w:t>
            </w:r>
            <w:r>
              <w:rPr>
                <w:rFonts w:hint="eastAsia" w:ascii="宋体" w:hAnsi="宋体" w:cs="宋体"/>
                <w:snapToGrid w:val="0"/>
                <w:kern w:val="28"/>
                <w:sz w:val="24"/>
                <w:highlight w:val="none"/>
              </w:rPr>
              <w:t>%，按差额定率累进的方法由</w:t>
            </w:r>
            <w:r>
              <w:rPr>
                <w:rFonts w:hint="eastAsia" w:hAnsi="宋体" w:cs="宋体"/>
                <w:snapToGrid w:val="0"/>
                <w:kern w:val="28"/>
                <w:sz w:val="24"/>
                <w:highlight w:val="none"/>
                <w:lang w:val="en-US" w:eastAsia="zh-CN"/>
              </w:rPr>
              <w:t>中标</w:t>
            </w:r>
            <w:r>
              <w:rPr>
                <w:rFonts w:hint="eastAsia" w:ascii="宋体" w:hAnsi="宋体" w:cs="宋体"/>
                <w:snapToGrid w:val="0"/>
                <w:kern w:val="28"/>
                <w:sz w:val="24"/>
                <w:highlight w:val="none"/>
              </w:rPr>
              <w:t>供应商支付（</w:t>
            </w:r>
            <w:r>
              <w:rPr>
                <w:rFonts w:hint="eastAsia" w:hAnsi="宋体" w:cs="宋体"/>
                <w:snapToGrid w:val="0"/>
                <w:kern w:val="28"/>
                <w:sz w:val="24"/>
                <w:highlight w:val="none"/>
                <w:lang w:val="en-US" w:eastAsia="zh-CN"/>
              </w:rPr>
              <w:t>中标</w:t>
            </w:r>
            <w:r>
              <w:rPr>
                <w:rFonts w:hint="eastAsia" w:ascii="宋体" w:hAnsi="宋体" w:cs="宋体"/>
                <w:snapToGrid w:val="0"/>
                <w:kern w:val="28"/>
                <w:sz w:val="24"/>
                <w:highlight w:val="none"/>
              </w:rPr>
              <w:t>价不足20万元的按20万元为基数计算收费）。该费用在</w:t>
            </w:r>
            <w:r>
              <w:rPr>
                <w:rFonts w:hint="eastAsia" w:hAnsi="宋体" w:cs="宋体"/>
                <w:snapToGrid w:val="0"/>
                <w:kern w:val="28"/>
                <w:sz w:val="24"/>
                <w:highlight w:val="none"/>
                <w:lang w:val="en-US" w:eastAsia="zh-CN"/>
              </w:rPr>
              <w:t>投标</w:t>
            </w:r>
            <w:r>
              <w:rPr>
                <w:rFonts w:hint="eastAsia" w:ascii="宋体" w:hAnsi="宋体" w:cs="宋体"/>
                <w:snapToGrid w:val="0"/>
                <w:kern w:val="28"/>
                <w:sz w:val="24"/>
                <w:highlight w:val="none"/>
              </w:rPr>
              <w:t>文件中不单列，由供应商在投标总报价中综合考虑。</w:t>
            </w:r>
          </w:p>
          <w:p>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b/>
                <w:bCs/>
                <w:kern w:val="28"/>
                <w:sz w:val="24"/>
                <w:szCs w:val="24"/>
                <w:highlight w:val="none"/>
              </w:rPr>
            </w:pPr>
            <w:r>
              <w:rPr>
                <w:rFonts w:hint="eastAsia" w:asciiTheme="minorEastAsia" w:hAnsiTheme="minorEastAsia" w:eastAsiaTheme="minorEastAsia" w:cstheme="minorEastAsia"/>
                <w:b/>
                <w:bCs/>
                <w:kern w:val="28"/>
                <w:sz w:val="24"/>
                <w:szCs w:val="24"/>
                <w:highlight w:val="none"/>
              </w:rPr>
              <w:t>在接到中标通知书后两个工作日内由中标人一次性向采购代理机构付清。采购代理服务费须包含在投标报价中，并以人民币方式支付。服务费汇入以下账号：</w:t>
            </w:r>
          </w:p>
          <w:p>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户 名：华诚工程咨询集团有限公司</w:t>
            </w:r>
          </w:p>
          <w:p>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开 户：上海浦东发展银行股份有限公司杭州和睦支行</w:t>
            </w:r>
          </w:p>
          <w:p>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snapToGrid w:val="0"/>
                <w:kern w:val="28"/>
                <w:sz w:val="24"/>
                <w:szCs w:val="24"/>
                <w:highlight w:val="none"/>
              </w:rPr>
              <w:t>账 号：95220078801100000315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57" w:hRule="atLeast"/>
        </w:trPr>
        <w:tc>
          <w:tcPr>
            <w:tcW w:w="53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26</w:t>
            </w:r>
          </w:p>
        </w:tc>
        <w:tc>
          <w:tcPr>
            <w:tcW w:w="1558" w:type="dxa"/>
            <w:vMerge w:val="restart"/>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b/>
                <w:bCs/>
                <w:color w:val="000000"/>
                <w:kern w:val="2"/>
                <w:sz w:val="24"/>
                <w:szCs w:val="24"/>
                <w:highlight w:val="none"/>
                <w:lang w:val="en-US" w:eastAsia="zh-CN" w:bidi="ar"/>
              </w:rPr>
            </w:pPr>
            <w:r>
              <w:rPr>
                <w:rFonts w:hint="eastAsia" w:asciiTheme="minorEastAsia" w:hAnsiTheme="minorEastAsia" w:eastAsiaTheme="minorEastAsia" w:cstheme="minorEastAsia"/>
                <w:b/>
                <w:bCs/>
                <w:kern w:val="2"/>
                <w:sz w:val="24"/>
                <w:szCs w:val="24"/>
                <w:highlight w:val="none"/>
                <w:lang w:val="en-US" w:eastAsia="zh-CN" w:bidi="ar"/>
              </w:rPr>
              <w:t>特别说明</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textAlignment w:val="auto"/>
              <w:rPr>
                <w:rFonts w:hint="eastAsia" w:asciiTheme="minorEastAsia" w:hAnsiTheme="minorEastAsia" w:eastAsiaTheme="minorEastAsia" w:cstheme="minorEastAsia"/>
                <w:snapToGrid w:val="0"/>
                <w:kern w:val="28"/>
                <w:sz w:val="24"/>
                <w:szCs w:val="24"/>
                <w:highlight w:val="none"/>
                <w:lang w:val="en-US" w:eastAsia="zh-CN" w:bidi="ar-SA"/>
              </w:rPr>
            </w:pPr>
            <w:r>
              <w:rPr>
                <w:rFonts w:hint="eastAsia" w:asciiTheme="minorEastAsia" w:hAnsiTheme="minorEastAsia" w:eastAsiaTheme="minorEastAsia" w:cstheme="minorEastAsia"/>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57" w:hRule="atLeast"/>
        </w:trPr>
        <w:tc>
          <w:tcPr>
            <w:tcW w:w="534" w:type="dxa"/>
            <w:vMerge w:val="continue"/>
            <w:tcBorders>
              <w:left w:val="single" w:color="auto" w:sz="4" w:space="0"/>
              <w:right w:val="single" w:color="auto" w:sz="4" w:space="0"/>
            </w:tcBorders>
            <w:shd w:val="clear" w:color="auto" w:fill="auto"/>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kern w:val="2"/>
                <w:sz w:val="24"/>
                <w:szCs w:val="24"/>
                <w:highlight w:val="none"/>
                <w:lang w:val="en-US" w:eastAsia="zh-CN" w:bidi="ar"/>
              </w:rPr>
            </w:pPr>
          </w:p>
        </w:tc>
        <w:tc>
          <w:tcPr>
            <w:tcW w:w="1558" w:type="dxa"/>
            <w:vMerge w:val="continue"/>
            <w:tcBorders>
              <w:left w:val="nil"/>
              <w:right w:val="single" w:color="auto" w:sz="4" w:space="0"/>
            </w:tcBorders>
            <w:shd w:val="clear" w:color="auto" w:fill="auto"/>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kern w:val="2"/>
                <w:sz w:val="24"/>
                <w:szCs w:val="24"/>
                <w:highlight w:val="none"/>
                <w:lang w:val="en-US" w:eastAsia="zh-CN" w:bidi="ar"/>
              </w:rPr>
            </w:pPr>
          </w:p>
        </w:tc>
        <w:tc>
          <w:tcPr>
            <w:tcW w:w="737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textAlignment w:val="auto"/>
              <w:rPr>
                <w:rFonts w:hint="eastAsia" w:asciiTheme="minorEastAsia" w:hAnsiTheme="minorEastAsia" w:eastAsiaTheme="minorEastAsia" w:cstheme="minorEastAsia"/>
                <w:snapToGrid w:val="0"/>
                <w:kern w:val="28"/>
                <w:sz w:val="24"/>
                <w:highlight w:val="none"/>
              </w:rPr>
            </w:pPr>
            <w:sdt>
              <w:sdtPr>
                <w:rPr>
                  <w:rFonts w:hint="eastAsia" w:asciiTheme="minorEastAsia" w:hAnsiTheme="minorEastAsia" w:eastAsiaTheme="minorEastAsia" w:cstheme="minorEastAsia"/>
                  <w:kern w:val="0"/>
                  <w:sz w:val="24"/>
                  <w:highlight w:val="none"/>
                </w:rPr>
                <w:id w:val="-181633666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highlight w:val="none"/>
                </w:rPr>
              </w:sdtEndPr>
              <w:sdtContent>
                <w:r>
                  <w:rPr>
                    <w:rFonts w:hint="eastAsia" w:asciiTheme="minorEastAsia" w:hAnsiTheme="minorEastAsia" w:eastAsiaTheme="minorEastAsia" w:cstheme="minorEastAsia"/>
                    <w:kern w:val="0"/>
                    <w:sz w:val="24"/>
                    <w:highlight w:val="none"/>
                  </w:rPr>
                  <w:t>☐</w:t>
                </w:r>
              </w:sdtContent>
            </w:sdt>
            <w:r>
              <w:rPr>
                <w:rFonts w:hint="eastAsia" w:asciiTheme="minorEastAsia" w:hAnsiTheme="minorEastAsia" w:eastAsiaTheme="minorEastAsia" w:cstheme="minorEastAsia"/>
                <w:snapToGrid w:val="0"/>
                <w:kern w:val="28"/>
                <w:sz w:val="24"/>
                <w:highlight w:val="none"/>
              </w:rPr>
              <w:t>联合体投标的，联合体各方均需按招标文件要求提供资信证明文件，否则视为不符合相关要求。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textAlignment w:val="auto"/>
              <w:rPr>
                <w:rFonts w:hint="eastAsia" w:asciiTheme="minorEastAsia" w:hAnsiTheme="minorEastAsia" w:eastAsiaTheme="minorEastAsia" w:cstheme="minorEastAsia"/>
                <w:snapToGrid w:val="0"/>
                <w:kern w:val="28"/>
                <w:sz w:val="24"/>
                <w:szCs w:val="24"/>
                <w:highlight w:val="none"/>
                <w:lang w:val="en-US" w:eastAsia="zh-CN" w:bidi="ar-SA"/>
              </w:rPr>
            </w:pPr>
            <w:sdt>
              <w:sdtPr>
                <w:rPr>
                  <w:rFonts w:hint="eastAsia" w:asciiTheme="minorEastAsia" w:hAnsiTheme="minorEastAsia" w:eastAsiaTheme="minorEastAsia" w:cstheme="minorEastAsia"/>
                  <w:kern w:val="0"/>
                  <w:sz w:val="24"/>
                  <w:highlight w:val="none"/>
                </w:rPr>
                <w:id w:val="-23231189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highlight w:val="none"/>
                </w:rPr>
              </w:sdtEndPr>
              <w:sdtContent>
                <w:r>
                  <w:rPr>
                    <w:rFonts w:hint="eastAsia" w:asciiTheme="minorEastAsia" w:hAnsiTheme="minorEastAsia" w:eastAsiaTheme="minorEastAsia" w:cstheme="minorEastAsia"/>
                    <w:kern w:val="0"/>
                    <w:sz w:val="24"/>
                    <w:highlight w:val="none"/>
                  </w:rPr>
                  <w:sym w:font="Wingdings" w:char="F0FE"/>
                </w:r>
              </w:sdtContent>
            </w:sdt>
            <w:r>
              <w:rPr>
                <w:rFonts w:hint="eastAsia" w:asciiTheme="minorEastAsia" w:hAnsiTheme="minorEastAsia" w:eastAsiaTheme="minorEastAsia" w:cstheme="minorEastAsia"/>
                <w:snapToGrid w:val="0"/>
                <w:kern w:val="28"/>
                <w:sz w:val="24"/>
                <w:highlight w:val="none"/>
              </w:rPr>
              <w:t>联合体投标的，联合体中有一方或者联合体成员根据分工按招标文件要求提供资信证明文件的，视为符合了相关要求。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57" w:hRule="atLeast"/>
        </w:trPr>
        <w:tc>
          <w:tcPr>
            <w:tcW w:w="534" w:type="dxa"/>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27</w:t>
            </w:r>
          </w:p>
        </w:tc>
        <w:tc>
          <w:tcPr>
            <w:tcW w:w="1558" w:type="dxa"/>
            <w:tcBorders>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Theme="minorEastAsia" w:hAnsiTheme="minorEastAsia" w:eastAsiaTheme="minorEastAsia" w:cstheme="minorEastAsia"/>
                <w:color w:val="000000"/>
                <w:kern w:val="2"/>
                <w:sz w:val="24"/>
                <w:szCs w:val="24"/>
                <w:highlight w:val="none"/>
                <w:lang w:val="en-US" w:eastAsia="zh-CN" w:bidi="ar"/>
              </w:rPr>
            </w:pPr>
            <w:r>
              <w:rPr>
                <w:rFonts w:hint="default" w:asciiTheme="minorEastAsia" w:hAnsiTheme="minorEastAsia" w:eastAsiaTheme="minorEastAsia" w:cstheme="minorEastAsia"/>
                <w:b/>
                <w:bCs/>
                <w:color w:val="000000"/>
                <w:kern w:val="2"/>
                <w:sz w:val="24"/>
                <w:szCs w:val="24"/>
                <w:highlight w:val="none"/>
                <w:lang w:val="en-US" w:eastAsia="zh-CN" w:bidi="ar"/>
              </w:rPr>
              <w:t>解释权</w:t>
            </w:r>
          </w:p>
        </w:tc>
        <w:tc>
          <w:tcPr>
            <w:tcW w:w="7372" w:type="dxa"/>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Theme="minorEastAsia" w:hAnsiTheme="minorEastAsia" w:eastAsiaTheme="minorEastAsia" w:cstheme="minorEastAsia"/>
                <w:color w:val="000000"/>
                <w:kern w:val="2"/>
                <w:sz w:val="24"/>
                <w:szCs w:val="24"/>
                <w:highlight w:val="none"/>
                <w:lang w:val="en-US" w:eastAsia="zh-CN" w:bidi="ar"/>
              </w:rPr>
            </w:pPr>
            <w:r>
              <w:rPr>
                <w:rFonts w:hint="default" w:asciiTheme="minorEastAsia" w:hAnsiTheme="minorEastAsia" w:eastAsiaTheme="minorEastAsia" w:cstheme="minorEastAsia"/>
                <w:color w:val="000000"/>
                <w:kern w:val="2"/>
                <w:sz w:val="24"/>
                <w:szCs w:val="24"/>
                <w:highlight w:val="none"/>
                <w:lang w:val="en-US" w:eastAsia="zh-CN" w:bidi="ar"/>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57" w:hRule="atLeast"/>
        </w:trPr>
        <w:tc>
          <w:tcPr>
            <w:tcW w:w="534" w:type="dxa"/>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4"/>
                <w:highlight w:val="none"/>
                <w:lang w:val="en-US" w:eastAsia="zh-CN" w:bidi="ar"/>
              </w:rPr>
              <w:t>28</w:t>
            </w:r>
          </w:p>
        </w:tc>
        <w:tc>
          <w:tcPr>
            <w:tcW w:w="1558" w:type="dxa"/>
            <w:tcBorders>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Theme="minorEastAsia" w:hAnsiTheme="minorEastAsia" w:eastAsiaTheme="minorEastAsia" w:cstheme="minorEastAsia"/>
                <w:b/>
                <w:bCs/>
                <w:color w:val="000000"/>
                <w:kern w:val="2"/>
                <w:sz w:val="24"/>
                <w:szCs w:val="24"/>
                <w:highlight w:val="none"/>
                <w:lang w:val="en-US" w:eastAsia="zh-CN" w:bidi="ar"/>
              </w:rPr>
            </w:pPr>
            <w:r>
              <w:rPr>
                <w:rFonts w:hint="eastAsia" w:asciiTheme="minorEastAsia" w:hAnsiTheme="minorEastAsia" w:eastAsiaTheme="minorEastAsia" w:cstheme="minorEastAsia"/>
                <w:b/>
                <w:bCs/>
                <w:color w:val="000000"/>
                <w:kern w:val="2"/>
                <w:sz w:val="24"/>
                <w:szCs w:val="24"/>
                <w:highlight w:val="none"/>
                <w:lang w:val="en-US" w:eastAsia="zh-CN" w:bidi="ar"/>
              </w:rPr>
              <w:t>重要提醒</w:t>
            </w:r>
          </w:p>
        </w:tc>
        <w:tc>
          <w:tcPr>
            <w:tcW w:w="7372" w:type="dxa"/>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default" w:asciiTheme="minorEastAsia" w:hAnsiTheme="minorEastAsia" w:eastAsiaTheme="minorEastAsia" w:cstheme="minorEastAsia"/>
                <w:color w:val="000000"/>
                <w:kern w:val="2"/>
                <w:sz w:val="24"/>
                <w:szCs w:val="24"/>
                <w:highlight w:val="none"/>
                <w:lang w:val="en-US" w:eastAsia="zh-CN" w:bidi="ar"/>
              </w:rPr>
            </w:pPr>
            <w:r>
              <w:rPr>
                <w:rFonts w:hint="eastAsia" w:ascii="宋体" w:hAnsi="宋体" w:eastAsia="宋体" w:cs="宋体"/>
                <w:b/>
                <w:bCs w:val="0"/>
                <w:sz w:val="24"/>
                <w:szCs w:val="24"/>
                <w:highlight w:val="none"/>
              </w:rPr>
              <w:t>▲不同供应商递交的投标《响应) 文件出现文档属性中作者名雷同的，需要投标人做出必要的澄清或说明。若在规定的时间内未作出合理的</w:t>
            </w:r>
            <w:r>
              <w:rPr>
                <w:rFonts w:hint="eastAsia" w:ascii="宋体" w:hAnsi="宋体" w:eastAsia="宋体" w:cs="宋体"/>
                <w:b/>
                <w:bCs w:val="0"/>
                <w:sz w:val="24"/>
                <w:szCs w:val="24"/>
                <w:highlight w:val="none"/>
                <w:lang w:val="en-US" w:eastAsia="zh-CN"/>
              </w:rPr>
              <w:t>澄</w:t>
            </w:r>
            <w:r>
              <w:rPr>
                <w:rFonts w:hint="eastAsia" w:ascii="宋体" w:hAnsi="宋体" w:eastAsia="宋体" w:cs="宋体"/>
                <w:b/>
                <w:bCs w:val="0"/>
                <w:sz w:val="24"/>
                <w:szCs w:val="24"/>
                <w:highlight w:val="none"/>
              </w:rPr>
              <w:t>清或合理的说明，按废标处理。</w:t>
            </w:r>
          </w:p>
        </w:tc>
      </w:tr>
    </w:tbl>
    <w:p>
      <w:pPr>
        <w:rPr>
          <w:rFonts w:ascii="宋体" w:hAnsi="宋体" w:cs="宋体"/>
          <w:b/>
          <w:sz w:val="32"/>
          <w:szCs w:val="20"/>
        </w:rPr>
      </w:pPr>
      <w:r>
        <w:rPr>
          <w:rFonts w:ascii="宋体" w:hAnsi="宋体" w:cs="宋体"/>
          <w:b/>
          <w:sz w:val="32"/>
          <w:szCs w:val="20"/>
        </w:rPr>
        <w:br w:type="page"/>
      </w:r>
    </w:p>
    <w:bookmarkEnd w:id="12"/>
    <w:p>
      <w:pPr>
        <w:keepNext w:val="0"/>
        <w:keepLines w:val="0"/>
        <w:pageBreakBefore w:val="0"/>
        <w:kinsoku/>
        <w:wordWrap/>
        <w:overflowPunct/>
        <w:topLinePunct w:val="0"/>
        <w:bidi w:val="0"/>
        <w:adjustRightInd/>
        <w:spacing w:line="360" w:lineRule="auto"/>
        <w:ind w:firstLine="3845" w:firstLineChars="1197"/>
        <w:textAlignment w:val="auto"/>
        <w:outlineLvl w:val="1"/>
        <w:rPr>
          <w:rFonts w:ascii="宋体" w:hAnsi="宋体" w:cs="宋体"/>
          <w:b/>
          <w:sz w:val="32"/>
          <w:szCs w:val="20"/>
        </w:rPr>
      </w:pPr>
      <w:bookmarkStart w:id="19" w:name="_Toc17804"/>
      <w:bookmarkStart w:id="20" w:name="_Toc22376"/>
      <w:bookmarkStart w:id="21" w:name="_Toc18229"/>
      <w:bookmarkStart w:id="22" w:name="_Toc164416483"/>
      <w:bookmarkStart w:id="23" w:name="第三部分"/>
      <w:r>
        <w:rPr>
          <w:rFonts w:hint="eastAsia" w:ascii="宋体" w:hAnsi="宋体" w:cs="宋体"/>
          <w:b/>
          <w:sz w:val="32"/>
          <w:szCs w:val="20"/>
        </w:rPr>
        <w:t>一、总则</w:t>
      </w:r>
      <w:bookmarkEnd w:id="19"/>
      <w:bookmarkEnd w:id="20"/>
      <w:bookmarkEnd w:id="21"/>
    </w:p>
    <w:p>
      <w:pPr>
        <w:keepNext w:val="0"/>
        <w:keepLines w:val="0"/>
        <w:pageBreakBefore w:val="0"/>
        <w:kinsoku/>
        <w:wordWrap/>
        <w:overflowPunct/>
        <w:topLinePunct w:val="0"/>
        <w:bidi w:val="0"/>
        <w:snapToGrid w:val="0"/>
        <w:spacing w:line="360" w:lineRule="auto"/>
        <w:ind w:firstLine="361" w:firstLineChars="150"/>
        <w:jc w:val="left"/>
        <w:textAlignment w:val="auto"/>
        <w:outlineLvl w:val="9"/>
        <w:rPr>
          <w:rFonts w:ascii="宋体" w:hAnsi="宋体" w:cs="宋体"/>
          <w:b/>
          <w:sz w:val="24"/>
        </w:rPr>
      </w:pPr>
      <w:r>
        <w:rPr>
          <w:rFonts w:hint="eastAsia" w:ascii="宋体" w:hAnsi="宋体" w:cs="宋体"/>
          <w:b/>
          <w:sz w:val="24"/>
        </w:rPr>
        <w:t>1.适用范围</w:t>
      </w:r>
    </w:p>
    <w:p>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snapToGrid w:val="0"/>
        <w:spacing w:line="360" w:lineRule="auto"/>
        <w:ind w:firstLine="361" w:firstLineChars="150"/>
        <w:jc w:val="left"/>
        <w:textAlignment w:val="auto"/>
        <w:outlineLvl w:val="9"/>
        <w:rPr>
          <w:rFonts w:hint="eastAsia" w:ascii="宋体" w:hAnsi="宋体" w:eastAsia="宋体" w:cs="宋体"/>
          <w:b/>
          <w:sz w:val="24"/>
        </w:rPr>
      </w:pPr>
      <w:r>
        <w:rPr>
          <w:rFonts w:hint="eastAsia" w:ascii="宋体" w:hAnsi="宋体" w:eastAsia="宋体" w:cs="宋体"/>
          <w:b/>
          <w:sz w:val="24"/>
        </w:rPr>
        <w:t>2.定义</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2.1 “采购人”系指招标公告中载明的本项目的采购人。</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2.3 “投标人”系指是指响应招标、参加投标竞争的法人、其他组织或者自然人。</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2.5</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z w:val="24"/>
        </w:rPr>
        <w:t>联合体</w:t>
      </w:r>
      <w:r>
        <w:rPr>
          <w:rFonts w:hint="eastAsia" w:ascii="宋体" w:hAnsi="宋体" w:cs="宋体"/>
          <w:sz w:val="24"/>
          <w:lang w:eastAsia="zh-CN"/>
        </w:rPr>
        <w:t>”</w:t>
      </w:r>
      <w:r>
        <w:rPr>
          <w:rFonts w:hint="eastAsia" w:ascii="宋体" w:hAnsi="宋体" w:eastAsia="宋体" w:cs="宋体"/>
          <w:sz w:val="24"/>
        </w:rPr>
        <w:t>系指两个以上供应商组成联合体，以一个供应商的身份参加投标。</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2.6</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z w:val="24"/>
        </w:rPr>
        <w:t>甲方</w:t>
      </w:r>
      <w:r>
        <w:rPr>
          <w:rFonts w:hint="eastAsia" w:ascii="宋体" w:hAnsi="宋体" w:cs="宋体"/>
          <w:sz w:val="24"/>
          <w:lang w:eastAsia="zh-CN"/>
        </w:rPr>
        <w:t>”</w:t>
      </w:r>
      <w:r>
        <w:rPr>
          <w:rFonts w:hint="eastAsia" w:ascii="宋体" w:hAnsi="宋体" w:eastAsia="宋体" w:cs="宋体"/>
          <w:sz w:val="24"/>
        </w:rPr>
        <w:t>系指合同签订的一方，一般与采购人、招标人、用户相同。</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2.7</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z w:val="24"/>
        </w:rPr>
        <w:t>乙方</w:t>
      </w:r>
      <w:r>
        <w:rPr>
          <w:rFonts w:hint="eastAsia" w:ascii="宋体" w:hAnsi="宋体" w:cs="宋体"/>
          <w:sz w:val="24"/>
          <w:lang w:eastAsia="zh-CN"/>
        </w:rPr>
        <w:t>”</w:t>
      </w:r>
      <w:r>
        <w:rPr>
          <w:rFonts w:hint="eastAsia" w:ascii="宋体" w:hAnsi="宋体" w:eastAsia="宋体" w:cs="宋体"/>
          <w:sz w:val="24"/>
        </w:rPr>
        <w:t>系指合同签订的另一方，与中标人相同。</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.“产品”系指供方按招标文件规定，须向采购人提供的一切设备、保险、税金、备品备件、工具、手册及其它有关技术资料和材料。</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.“服务”系指招标文件规定投标人须承担的本项目相关服务以及其他类似的义务。</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2.10</w:t>
      </w:r>
      <w:r>
        <w:rPr>
          <w:rFonts w:hint="eastAsia" w:ascii="宋体" w:hAnsi="宋体" w:eastAsia="宋体" w:cs="宋体"/>
          <w:sz w:val="24"/>
        </w:rPr>
        <w:t>.“项目”系指投标人按招标文件规定向采购人提供的产品和服务。</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2.11</w:t>
      </w:r>
      <w:r>
        <w:rPr>
          <w:rFonts w:hint="eastAsia" w:ascii="宋体" w:hAnsi="宋体" w:eastAsia="宋体" w:cs="宋体"/>
          <w:sz w:val="24"/>
        </w:rPr>
        <w:t>.“书面形式”包括信函、传真、电报等。</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en-US" w:eastAsia="zh-CN"/>
        </w:rPr>
        <w:t>12</w:t>
      </w:r>
      <w:r>
        <w:rPr>
          <w:rFonts w:hint="eastAsia" w:ascii="宋体" w:hAnsi="宋体" w:cs="宋体"/>
          <w:sz w:val="24"/>
        </w:rPr>
        <w:t>“电子签名”系指数据电文中以电子形式所含、所附用于识别签名人身份并表明签名人认可其中内容的数据；“公章”系指单位法定名称章。因特殊原因需要使用冠以法定名称的业务专用章的，投标时须提供《业务专</w:t>
      </w:r>
      <w:r>
        <w:rPr>
          <w:rFonts w:hint="eastAsia" w:ascii="宋体" w:hAnsi="宋体" w:cs="宋体"/>
          <w:sz w:val="24"/>
          <w:highlight w:val="none"/>
        </w:rPr>
        <w:t>用章使用说明函》（附件4）。</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en-US" w:eastAsia="zh-CN"/>
        </w:rPr>
        <w:t>13</w:t>
      </w:r>
      <w:r>
        <w:rPr>
          <w:rFonts w:hint="eastAsia" w:ascii="宋体" w:hAnsi="宋体" w:cs="宋体"/>
          <w:sz w:val="24"/>
        </w:rPr>
        <w:t>“电子交易平台”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14</w:t>
      </w:r>
      <w:r>
        <w:rPr>
          <w:rFonts w:hint="eastAsia" w:ascii="宋体" w:hAnsi="宋体" w:cs="宋体"/>
          <w:sz w:val="24"/>
        </w:rPr>
        <w:t xml:space="preserve">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keepNext w:val="0"/>
        <w:keepLines w:val="0"/>
        <w:pageBreakBefore w:val="0"/>
        <w:kinsoku/>
        <w:wordWrap/>
        <w:overflowPunct/>
        <w:topLinePunct w:val="0"/>
        <w:bidi w:val="0"/>
        <w:snapToGrid w:val="0"/>
        <w:spacing w:line="360" w:lineRule="auto"/>
        <w:ind w:firstLine="361" w:firstLineChars="150"/>
        <w:jc w:val="left"/>
        <w:textAlignment w:val="auto"/>
        <w:outlineLvl w:val="9"/>
        <w:rPr>
          <w:rFonts w:hint="eastAsia" w:ascii="宋体" w:hAnsi="宋体" w:eastAsia="宋体" w:cs="宋体"/>
          <w:b/>
          <w:sz w:val="24"/>
        </w:rPr>
      </w:pPr>
      <w:r>
        <w:rPr>
          <w:rFonts w:hint="eastAsia" w:ascii="宋体" w:hAnsi="宋体" w:eastAsia="宋体" w:cs="宋体"/>
          <w:b/>
          <w:sz w:val="24"/>
        </w:rPr>
        <w:t>3. 采购项目需要落实的政府采购政策</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3.2 支持绿色发展</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3.3支持中小企业发展</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符合中小企业划分标准的个体工商户，在政府采购活动中视同中小企业。</w:t>
      </w:r>
    </w:p>
    <w:p>
      <w:pPr>
        <w:keepNext w:val="0"/>
        <w:keepLines w:val="0"/>
        <w:pageBreakBefore w:val="0"/>
        <w:widowControl/>
        <w:kinsoku/>
        <w:wordWrap/>
        <w:overflowPunct/>
        <w:topLinePunct w:val="0"/>
        <w:bidi w:val="0"/>
        <w:spacing w:line="360" w:lineRule="auto"/>
        <w:ind w:firstLine="480" w:firstLineChars="200"/>
        <w:jc w:val="left"/>
        <w:textAlignment w:val="auto"/>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bidi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highlight w:val="none"/>
        </w:rPr>
      </w:pPr>
      <w:r>
        <w:rPr>
          <w:rFonts w:hint="eastAsia" w:ascii="宋体" w:hAnsi="宋体" w:cs="宋体"/>
          <w:sz w:val="24"/>
        </w:rPr>
        <w:t>3.3.3对于未预</w:t>
      </w:r>
      <w:r>
        <w:rPr>
          <w:rFonts w:hint="eastAsia" w:ascii="宋体" w:hAnsi="宋体" w:cs="宋体"/>
          <w:sz w:val="24"/>
          <w:highlight w:val="none"/>
        </w:rPr>
        <w:t>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highlight w:val="none"/>
        </w:rPr>
        <w:t>3.3.4符合《关于促进残疾人就业政府采购政策的通知》（财库〔2017〕141号）规定的条件并提供《残疾人福利性单位声明函》（附件1）的残</w:t>
      </w:r>
      <w:r>
        <w:rPr>
          <w:rFonts w:hint="eastAsia" w:ascii="宋体" w:hAnsi="宋体" w:cs="宋体"/>
          <w:sz w:val="24"/>
        </w:rPr>
        <w:t>疾人福利性单位视同小型、微型企业；</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3.4.1 采购人优先采购被认定为首台套产品和“制造精品”的自主创新产品。</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rPr>
        <w:t xml:space="preserve">3.4.3 </w:t>
      </w:r>
      <w:r>
        <w:rPr>
          <w:rFonts w:hint="eastAsia" w:ascii="宋体" w:hAnsi="宋体" w:eastAsia="宋体" w:cs="宋体"/>
          <w:sz w:val="24"/>
          <w:lang w:val="en-US" w:eastAsia="zh-CN"/>
        </w:rPr>
        <w:t>采购人应当贯彻落实知识产权保护相关法律法规，</w:t>
      </w:r>
      <w:r>
        <w:rPr>
          <w:rFonts w:hint="eastAsia" w:ascii="宋体" w:hAnsi="宋体" w:eastAsia="宋体" w:cs="宋体"/>
          <w:sz w:val="24"/>
          <w:lang w:val="en-US"/>
        </w:rPr>
        <w:t>应当采购使用正版软件。</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3.5平等对待内外资企业和符合条件的破产重整企业</w:t>
      </w:r>
    </w:p>
    <w:p>
      <w:pPr>
        <w:keepNext w:val="0"/>
        <w:keepLines w:val="0"/>
        <w:pageBreakBefore w:val="0"/>
        <w:kinsoku/>
        <w:wordWrap/>
        <w:overflowPunct/>
        <w:topLinePunct w:val="0"/>
        <w:bidi w:val="0"/>
        <w:spacing w:line="360" w:lineRule="auto"/>
        <w:ind w:firstLine="240" w:firstLineChars="100"/>
        <w:textAlignment w:val="auto"/>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w:t>
      </w:r>
      <w:r>
        <w:rPr>
          <w:rFonts w:hint="eastAsia" w:ascii="宋体" w:hAnsi="宋体" w:cs="宋体"/>
          <w:b/>
          <w:sz w:val="24"/>
          <w:lang w:val="en-US" w:eastAsia="zh-CN"/>
        </w:rPr>
        <w:t>与</w:t>
      </w:r>
      <w:r>
        <w:rPr>
          <w:rFonts w:hint="eastAsia" w:ascii="宋体" w:hAnsi="宋体" w:cs="宋体"/>
          <w:b/>
          <w:sz w:val="24"/>
        </w:rPr>
        <w:t>投诉</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4.1在线询问、质疑、投诉</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4.2供应商询问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hint="default" w:ascii="宋体" w:hAnsi="宋体" w:eastAsia="宋体" w:cs="宋体"/>
          <w:kern w:val="0"/>
          <w:sz w:val="24"/>
          <w:lang w:val="en-US" w:eastAsia="zh-CN"/>
        </w:rPr>
      </w:pPr>
      <w:r>
        <w:rPr>
          <w:rFonts w:hint="eastAsia" w:ascii="宋体" w:hAnsi="宋体" w:cs="宋体"/>
          <w:kern w:val="0"/>
          <w:sz w:val="24"/>
          <w:lang w:val="zh-CN"/>
        </w:rPr>
        <w:t>4.3供应商质疑</w:t>
      </w:r>
      <w:r>
        <w:rPr>
          <w:rFonts w:hint="eastAsia" w:ascii="宋体" w:hAnsi="宋体" w:cs="宋体"/>
          <w:kern w:val="0"/>
          <w:sz w:val="24"/>
          <w:lang w:val="en-US" w:eastAsia="zh-CN"/>
        </w:rPr>
        <w:t>与投诉</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4.3.1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4.3.2.投标人提出质疑应当提交质疑函和必要的证明材料，质疑函范本、投诉书范本请到浙江政府采购网下载专区下载。质疑函应当包括下列内容：</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（1）供应商的姓名或者名称、地址、邮编、联系人及联系电话；</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（2）质疑项目的名称、编号；</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（3）具体、明确的质疑事项和与质疑事项相关的请求；</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（4）事实依据；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（5）必要的法律依据；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（6）提出质疑的日期。</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投标人为自然人的，应当由本人签名；投标人为法人或者其他组织的，应当由法定代表人、主要负责人，或者其授权代表签名或者盖章，并加盖公章。</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4.3.3.提出质疑的供应商应当是参与本项目招标活动的投标人。投标人在法定质疑期内应一次性提出针对同一采购程序环节的质疑。</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4.3.4.根据《政府采购质疑和投诉办法》第三十七条的规定，投诉人在全国范围12个月内三次以上投诉查无实据的，由财政部门列入不良行为记录名单。</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投诉人有下列行为之一的，属于虚假、恶意投诉，由财政部门列入不良行为记录名单，禁止其1至3年内参加政府采购活动：</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（1）捏造事实；</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（2）提供虚假材料；</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（3）以非法手段取得证明材料。证据来源的合法性存在明显疑问，投诉人无法证明其取得方式合法的，视为以非法手段取得证明材料。</w:t>
      </w:r>
    </w:p>
    <w:p>
      <w:pPr>
        <w:keepNext w:val="0"/>
        <w:keepLines w:val="0"/>
        <w:pageBreakBefore w:val="0"/>
        <w:kinsoku/>
        <w:wordWrap/>
        <w:overflowPunct/>
        <w:topLinePunct w:val="0"/>
        <w:bidi w:val="0"/>
        <w:adjustRightInd/>
        <w:spacing w:line="360" w:lineRule="auto"/>
        <w:jc w:val="center"/>
        <w:textAlignment w:val="auto"/>
        <w:outlineLvl w:val="1"/>
        <w:rPr>
          <w:rFonts w:ascii="宋体" w:hAnsi="宋体" w:cs="宋体"/>
          <w:b/>
          <w:sz w:val="32"/>
          <w:szCs w:val="20"/>
        </w:rPr>
      </w:pPr>
      <w:bookmarkStart w:id="24" w:name="_Toc5504"/>
      <w:bookmarkStart w:id="25" w:name="_Toc21306"/>
      <w:bookmarkStart w:id="26" w:name="_Toc25895"/>
      <w:r>
        <w:rPr>
          <w:rFonts w:hint="eastAsia" w:ascii="宋体" w:hAnsi="宋体" w:cs="宋体"/>
          <w:b/>
          <w:sz w:val="32"/>
          <w:szCs w:val="20"/>
        </w:rPr>
        <w:t>二、招标文件的构成、澄清、修改</w:t>
      </w:r>
      <w:bookmarkEnd w:id="24"/>
      <w:bookmarkEnd w:id="25"/>
      <w:bookmarkEnd w:id="26"/>
    </w:p>
    <w:p>
      <w:pPr>
        <w:pStyle w:val="33"/>
        <w:keepNext w:val="0"/>
        <w:keepLines w:val="0"/>
        <w:pageBreakBefore w:val="0"/>
        <w:kinsoku/>
        <w:wordWrap/>
        <w:overflowPunct/>
        <w:topLinePunct w:val="0"/>
        <w:bidi w:val="0"/>
        <w:spacing w:line="360" w:lineRule="auto"/>
        <w:textAlignment w:val="auto"/>
        <w:rPr>
          <w:rFonts w:hAnsi="宋体" w:cs="宋体"/>
          <w:b/>
          <w:sz w:val="24"/>
          <w:szCs w:val="24"/>
        </w:rPr>
      </w:pPr>
      <w:r>
        <w:rPr>
          <w:rFonts w:hint="eastAsia" w:hAnsi="宋体" w:cs="宋体"/>
          <w:b/>
          <w:sz w:val="24"/>
          <w:szCs w:val="24"/>
        </w:rPr>
        <w:t>5．招标文件的构成</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sz w:val="24"/>
          <w:szCs w:val="24"/>
        </w:rPr>
      </w:pPr>
      <w:r>
        <w:rPr>
          <w:rFonts w:hint="eastAsia" w:hAnsi="宋体" w:cs="宋体"/>
          <w:sz w:val="24"/>
          <w:szCs w:val="24"/>
        </w:rPr>
        <w:t>5.1 招标文件包括下列文件及附件：</w:t>
      </w:r>
    </w:p>
    <w:p>
      <w:pPr>
        <w:pStyle w:val="33"/>
        <w:keepNext w:val="0"/>
        <w:keepLines w:val="0"/>
        <w:pageBreakBefore w:val="0"/>
        <w:tabs>
          <w:tab w:val="left" w:pos="840"/>
        </w:tabs>
        <w:kinsoku/>
        <w:wordWrap/>
        <w:overflowPunct/>
        <w:topLinePunct w:val="0"/>
        <w:bidi w:val="0"/>
        <w:spacing w:line="360" w:lineRule="auto"/>
        <w:ind w:firstLine="960" w:firstLineChars="400"/>
        <w:textAlignment w:val="auto"/>
        <w:rPr>
          <w:rFonts w:hAnsi="宋体" w:cs="宋体"/>
          <w:sz w:val="24"/>
          <w:szCs w:val="24"/>
        </w:rPr>
      </w:pPr>
      <w:r>
        <w:rPr>
          <w:rFonts w:hint="eastAsia" w:hAnsi="宋体" w:cs="宋体"/>
          <w:sz w:val="24"/>
          <w:szCs w:val="24"/>
        </w:rPr>
        <w:t>5.1.1招标公告；</w:t>
      </w:r>
    </w:p>
    <w:p>
      <w:pPr>
        <w:pStyle w:val="33"/>
        <w:keepNext w:val="0"/>
        <w:keepLines w:val="0"/>
        <w:pageBreakBefore w:val="0"/>
        <w:tabs>
          <w:tab w:val="left" w:pos="840"/>
        </w:tabs>
        <w:kinsoku/>
        <w:wordWrap/>
        <w:overflowPunct/>
        <w:topLinePunct w:val="0"/>
        <w:bidi w:val="0"/>
        <w:spacing w:line="360" w:lineRule="auto"/>
        <w:ind w:firstLine="960" w:firstLineChars="400"/>
        <w:textAlignment w:val="auto"/>
        <w:rPr>
          <w:rFonts w:hAnsi="宋体" w:cs="宋体"/>
          <w:sz w:val="24"/>
          <w:szCs w:val="24"/>
        </w:rPr>
      </w:pPr>
      <w:r>
        <w:rPr>
          <w:rFonts w:hint="eastAsia" w:hAnsi="宋体" w:cs="宋体"/>
          <w:sz w:val="24"/>
          <w:szCs w:val="24"/>
        </w:rPr>
        <w:t>5.1.2投标人须知；</w:t>
      </w:r>
    </w:p>
    <w:p>
      <w:pPr>
        <w:pStyle w:val="33"/>
        <w:keepNext w:val="0"/>
        <w:keepLines w:val="0"/>
        <w:pageBreakBefore w:val="0"/>
        <w:tabs>
          <w:tab w:val="left" w:pos="840"/>
        </w:tabs>
        <w:kinsoku/>
        <w:wordWrap/>
        <w:overflowPunct/>
        <w:topLinePunct w:val="0"/>
        <w:bidi w:val="0"/>
        <w:spacing w:line="360" w:lineRule="auto"/>
        <w:ind w:firstLine="960" w:firstLineChars="400"/>
        <w:textAlignment w:val="auto"/>
        <w:rPr>
          <w:rFonts w:hAnsi="宋体" w:cs="宋体"/>
          <w:sz w:val="24"/>
          <w:szCs w:val="24"/>
        </w:rPr>
      </w:pPr>
      <w:r>
        <w:rPr>
          <w:rFonts w:hint="eastAsia" w:hAnsi="宋体" w:cs="宋体"/>
          <w:sz w:val="24"/>
          <w:szCs w:val="24"/>
        </w:rPr>
        <w:t>5.1.3采购需求；</w:t>
      </w:r>
    </w:p>
    <w:p>
      <w:pPr>
        <w:pStyle w:val="33"/>
        <w:keepNext w:val="0"/>
        <w:keepLines w:val="0"/>
        <w:pageBreakBefore w:val="0"/>
        <w:tabs>
          <w:tab w:val="left" w:pos="840"/>
        </w:tabs>
        <w:kinsoku/>
        <w:wordWrap/>
        <w:overflowPunct/>
        <w:topLinePunct w:val="0"/>
        <w:bidi w:val="0"/>
        <w:spacing w:line="360" w:lineRule="auto"/>
        <w:ind w:firstLine="960" w:firstLineChars="400"/>
        <w:textAlignment w:val="auto"/>
        <w:rPr>
          <w:rFonts w:hAnsi="宋体" w:cs="宋体"/>
          <w:sz w:val="24"/>
          <w:szCs w:val="24"/>
        </w:rPr>
      </w:pPr>
      <w:r>
        <w:rPr>
          <w:rFonts w:hint="eastAsia" w:hAnsi="宋体" w:cs="宋体"/>
          <w:sz w:val="24"/>
          <w:szCs w:val="24"/>
        </w:rPr>
        <w:t>5.1.4评标办法；</w:t>
      </w:r>
    </w:p>
    <w:p>
      <w:pPr>
        <w:pStyle w:val="33"/>
        <w:keepNext w:val="0"/>
        <w:keepLines w:val="0"/>
        <w:pageBreakBefore w:val="0"/>
        <w:tabs>
          <w:tab w:val="left" w:pos="840"/>
        </w:tabs>
        <w:kinsoku/>
        <w:wordWrap/>
        <w:overflowPunct/>
        <w:topLinePunct w:val="0"/>
        <w:bidi w:val="0"/>
        <w:spacing w:line="360" w:lineRule="auto"/>
        <w:ind w:firstLine="960" w:firstLineChars="400"/>
        <w:textAlignment w:val="auto"/>
        <w:rPr>
          <w:rFonts w:hAnsi="宋体" w:cs="宋体"/>
          <w:sz w:val="24"/>
          <w:szCs w:val="24"/>
        </w:rPr>
      </w:pPr>
      <w:r>
        <w:rPr>
          <w:rFonts w:hint="eastAsia" w:hAnsi="宋体" w:cs="宋体"/>
          <w:sz w:val="24"/>
          <w:szCs w:val="24"/>
        </w:rPr>
        <w:t>5.1.5拟签订的合同文本；</w:t>
      </w:r>
    </w:p>
    <w:p>
      <w:pPr>
        <w:pStyle w:val="33"/>
        <w:keepNext w:val="0"/>
        <w:keepLines w:val="0"/>
        <w:pageBreakBefore w:val="0"/>
        <w:tabs>
          <w:tab w:val="left" w:pos="840"/>
        </w:tabs>
        <w:kinsoku/>
        <w:wordWrap/>
        <w:overflowPunct/>
        <w:topLinePunct w:val="0"/>
        <w:bidi w:val="0"/>
        <w:spacing w:line="360" w:lineRule="auto"/>
        <w:ind w:firstLine="960" w:firstLineChars="400"/>
        <w:textAlignment w:val="auto"/>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keepNext w:val="0"/>
        <w:keepLines w:val="0"/>
        <w:pageBreakBefore w:val="0"/>
        <w:kinsoku/>
        <w:wordWrap/>
        <w:overflowPunct/>
        <w:topLinePunct w:val="0"/>
        <w:bidi w:val="0"/>
        <w:spacing w:line="360" w:lineRule="auto"/>
        <w:textAlignment w:val="auto"/>
        <w:rPr>
          <w:rFonts w:hAnsi="宋体" w:cs="宋体"/>
          <w:b/>
          <w:sz w:val="24"/>
          <w:szCs w:val="24"/>
        </w:rPr>
      </w:pPr>
      <w:r>
        <w:rPr>
          <w:rFonts w:hint="eastAsia" w:hAnsi="宋体" w:cs="宋体"/>
          <w:b/>
          <w:sz w:val="24"/>
          <w:szCs w:val="24"/>
        </w:rPr>
        <w:t>6. 招标文件的澄清、修改</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keepNext w:val="0"/>
        <w:keepLines w:val="0"/>
        <w:pageBreakBefore w:val="0"/>
        <w:kinsoku/>
        <w:wordWrap/>
        <w:overflowPunct/>
        <w:topLinePunct w:val="0"/>
        <w:bidi w:val="0"/>
        <w:adjustRightInd/>
        <w:spacing w:line="360" w:lineRule="auto"/>
        <w:jc w:val="center"/>
        <w:textAlignment w:val="auto"/>
        <w:outlineLvl w:val="1"/>
        <w:rPr>
          <w:rFonts w:ascii="宋体" w:hAnsi="宋体" w:cs="宋体"/>
          <w:b/>
          <w:sz w:val="30"/>
          <w:szCs w:val="20"/>
        </w:rPr>
      </w:pPr>
      <w:bookmarkStart w:id="27" w:name="_Toc30687"/>
      <w:bookmarkStart w:id="28" w:name="_Toc14197"/>
      <w:bookmarkStart w:id="29" w:name="_Toc29444"/>
      <w:r>
        <w:rPr>
          <w:rFonts w:hint="eastAsia" w:ascii="宋体" w:hAnsi="宋体" w:cs="宋体"/>
          <w:b/>
          <w:sz w:val="30"/>
          <w:szCs w:val="20"/>
        </w:rPr>
        <w:t>三、投标</w:t>
      </w:r>
      <w:bookmarkEnd w:id="27"/>
      <w:bookmarkEnd w:id="28"/>
      <w:bookmarkEnd w:id="29"/>
    </w:p>
    <w:p>
      <w:pPr>
        <w:pStyle w:val="33"/>
        <w:keepNext w:val="0"/>
        <w:keepLines w:val="0"/>
        <w:pageBreakBefore w:val="0"/>
        <w:kinsoku/>
        <w:wordWrap/>
        <w:overflowPunct/>
        <w:topLinePunct w:val="0"/>
        <w:bidi w:val="0"/>
        <w:spacing w:line="360" w:lineRule="auto"/>
        <w:textAlignment w:val="auto"/>
        <w:rPr>
          <w:rFonts w:hAnsi="宋体" w:cs="宋体"/>
          <w:b/>
          <w:sz w:val="24"/>
          <w:szCs w:val="24"/>
        </w:rPr>
      </w:pPr>
      <w:r>
        <w:rPr>
          <w:rFonts w:hint="eastAsia" w:hAnsi="宋体" w:cs="宋体"/>
          <w:b/>
          <w:sz w:val="24"/>
          <w:szCs w:val="24"/>
        </w:rPr>
        <w:t>7. 招标文件的获取</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keepNext w:val="0"/>
        <w:keepLines w:val="0"/>
        <w:pageBreakBefore w:val="0"/>
        <w:kinsoku/>
        <w:wordWrap/>
        <w:overflowPunct/>
        <w:topLinePunct w:val="0"/>
        <w:bidi w:val="0"/>
        <w:spacing w:line="360" w:lineRule="auto"/>
        <w:textAlignment w:val="auto"/>
        <w:rPr>
          <w:rFonts w:hAnsi="宋体" w:cs="宋体"/>
          <w:b/>
          <w:sz w:val="24"/>
          <w:szCs w:val="24"/>
        </w:rPr>
      </w:pPr>
      <w:r>
        <w:rPr>
          <w:rFonts w:hint="eastAsia" w:hAnsi="宋体" w:cs="宋体"/>
          <w:b/>
          <w:sz w:val="24"/>
          <w:szCs w:val="24"/>
        </w:rPr>
        <w:t>8.开标前答疑会或现场考察</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keepNext w:val="0"/>
        <w:keepLines w:val="0"/>
        <w:pageBreakBefore w:val="0"/>
        <w:kinsoku/>
        <w:wordWrap/>
        <w:overflowPunct/>
        <w:topLinePunct w:val="0"/>
        <w:bidi w:val="0"/>
        <w:spacing w:line="360" w:lineRule="auto"/>
        <w:textAlignment w:val="auto"/>
        <w:rPr>
          <w:rFonts w:hAnsi="宋体" w:cs="宋体"/>
          <w:b/>
          <w:szCs w:val="24"/>
        </w:rPr>
      </w:pPr>
      <w:r>
        <w:rPr>
          <w:rFonts w:hint="eastAsia" w:hAnsi="宋体" w:cs="宋体"/>
          <w:b/>
          <w:kern w:val="28"/>
          <w:sz w:val="24"/>
          <w:szCs w:val="24"/>
        </w:rPr>
        <w:t>9.投标保证金</w:t>
      </w:r>
    </w:p>
    <w:p>
      <w:pPr>
        <w:pStyle w:val="6"/>
        <w:keepNext w:val="0"/>
        <w:keepLines w:val="0"/>
        <w:pageBreakBefore w:val="0"/>
        <w:kinsoku/>
        <w:wordWrap/>
        <w:overflowPunct/>
        <w:topLinePunct w:val="0"/>
        <w:bidi w:val="0"/>
        <w:spacing w:line="360" w:lineRule="auto"/>
        <w:ind w:firstLine="470" w:firstLineChars="196"/>
        <w:textAlignment w:val="auto"/>
        <w:rPr>
          <w:rFonts w:hAnsi="宋体" w:cs="宋体"/>
          <w:color w:val="auto"/>
          <w:sz w:val="24"/>
        </w:rPr>
      </w:pPr>
      <w:r>
        <w:rPr>
          <w:rFonts w:hint="eastAsia" w:hAnsi="宋体" w:cs="宋体"/>
          <w:color w:val="auto"/>
          <w:sz w:val="24"/>
        </w:rPr>
        <w:t>本项目不需缴纳投标保证金。</w:t>
      </w:r>
    </w:p>
    <w:p>
      <w:pPr>
        <w:pStyle w:val="33"/>
        <w:keepNext w:val="0"/>
        <w:keepLines w:val="0"/>
        <w:pageBreakBefore w:val="0"/>
        <w:kinsoku/>
        <w:wordWrap/>
        <w:overflowPunct/>
        <w:topLinePunct w:val="0"/>
        <w:bidi w:val="0"/>
        <w:spacing w:line="360" w:lineRule="auto"/>
        <w:textAlignment w:val="auto"/>
        <w:rPr>
          <w:rFonts w:hAnsi="宋体" w:cs="宋体"/>
          <w:b/>
          <w:sz w:val="24"/>
          <w:szCs w:val="24"/>
        </w:rPr>
      </w:pPr>
      <w:r>
        <w:rPr>
          <w:rFonts w:hint="eastAsia" w:hAnsi="宋体" w:cs="宋体"/>
          <w:b/>
          <w:sz w:val="24"/>
          <w:szCs w:val="24"/>
        </w:rPr>
        <w:t>10. 投标文件的语言</w:t>
      </w:r>
    </w:p>
    <w:p>
      <w:pPr>
        <w:keepNext w:val="0"/>
        <w:keepLines w:val="0"/>
        <w:pageBreakBefore w:val="0"/>
        <w:kinsoku/>
        <w:wordWrap/>
        <w:overflowPunct/>
        <w:topLinePunct w:val="0"/>
        <w:autoSpaceDE w:val="0"/>
        <w:autoSpaceDN w:val="0"/>
        <w:bidi w:val="0"/>
        <w:spacing w:line="360" w:lineRule="auto"/>
        <w:ind w:firstLine="480" w:firstLineChars="200"/>
        <w:textAlignment w:val="auto"/>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keepNext w:val="0"/>
        <w:keepLines w:val="0"/>
        <w:pageBreakBefore w:val="0"/>
        <w:kinsoku/>
        <w:wordWrap/>
        <w:overflowPunct/>
        <w:topLinePunct w:val="0"/>
        <w:bidi w:val="0"/>
        <w:spacing w:line="360" w:lineRule="auto"/>
        <w:textAlignment w:val="auto"/>
        <w:rPr>
          <w:rFonts w:hAnsi="宋体" w:cs="宋体"/>
          <w:b/>
          <w:sz w:val="24"/>
          <w:szCs w:val="24"/>
        </w:rPr>
      </w:pPr>
      <w:r>
        <w:rPr>
          <w:rFonts w:hint="eastAsia" w:hAnsi="宋体" w:cs="宋体"/>
          <w:b/>
          <w:sz w:val="24"/>
          <w:szCs w:val="24"/>
        </w:rPr>
        <w:t>11. 投标文件的组成</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b/>
          <w:sz w:val="24"/>
          <w:lang w:eastAsia="zh-CN"/>
        </w:rPr>
        <w:t>（</w:t>
      </w:r>
      <w:r>
        <w:rPr>
          <w:rFonts w:hint="eastAsia" w:ascii="宋体" w:hAnsi="宋体" w:cs="宋体"/>
          <w:b/>
          <w:sz w:val="24"/>
        </w:rPr>
        <w:t>资格审查要求的资格证明材料均需加盖公章）</w:t>
      </w:r>
      <w:r>
        <w:rPr>
          <w:rFonts w:hint="eastAsia" w:ascii="宋体" w:hAnsi="宋体" w:cs="宋体"/>
          <w:sz w:val="24"/>
        </w:rPr>
        <w:t>：</w:t>
      </w:r>
    </w:p>
    <w:p>
      <w:pPr>
        <w:keepNext w:val="0"/>
        <w:keepLines w:val="0"/>
        <w:pageBreakBefore w:val="0"/>
        <w:kinsoku/>
        <w:wordWrap/>
        <w:overflowPunct/>
        <w:topLinePunct w:val="0"/>
        <w:bidi w:val="0"/>
        <w:snapToGrid w:val="0"/>
        <w:spacing w:line="360" w:lineRule="auto"/>
        <w:ind w:firstLine="960" w:firstLineChars="400"/>
        <w:textAlignment w:val="auto"/>
        <w:rPr>
          <w:rFonts w:hint="default" w:ascii="宋体" w:hAnsi="宋体" w:eastAsia="宋体" w:cs="宋体"/>
          <w:sz w:val="24"/>
          <w:lang w:val="en-US" w:eastAsia="zh-CN"/>
        </w:rPr>
      </w:pPr>
      <w:r>
        <w:rPr>
          <w:rFonts w:hint="eastAsia" w:ascii="宋体" w:hAnsi="宋体" w:cs="宋体"/>
          <w:sz w:val="24"/>
        </w:rPr>
        <w:t>11.1.1</w:t>
      </w:r>
      <w:r>
        <w:rPr>
          <w:rFonts w:hint="eastAsia" w:ascii="宋体" w:hAnsi="宋体" w:cs="宋体"/>
          <w:sz w:val="24"/>
          <w:lang w:val="en-US" w:eastAsia="zh-CN"/>
        </w:rPr>
        <w:t>营业执照（或事业法人登记证或其他工商等登记证明材料）复印件（供应商为自然人的，提供自然人的身份证明）</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sz w:val="24"/>
        </w:rPr>
      </w:pPr>
      <w:r>
        <w:rPr>
          <w:rFonts w:hint="eastAsia" w:ascii="宋体" w:hAnsi="宋体" w:cs="宋体"/>
          <w:sz w:val="24"/>
          <w:lang w:val="en-US" w:eastAsia="zh-CN"/>
        </w:rPr>
        <w:t>11.1.2</w:t>
      </w:r>
      <w:r>
        <w:rPr>
          <w:rFonts w:hint="eastAsia" w:ascii="宋体" w:hAnsi="宋体" w:cs="宋体"/>
          <w:sz w:val="24"/>
        </w:rPr>
        <w:t>符合参加政府采购活动应当具备的一般条件的承诺函；</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sz w:val="24"/>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（如为联合体投标的，须提供）</w:t>
      </w:r>
      <w:r>
        <w:rPr>
          <w:rFonts w:hint="eastAsia" w:ascii="宋体" w:hAnsi="宋体" w:cs="宋体"/>
          <w:snapToGrid w:val="0"/>
          <w:kern w:val="28"/>
          <w:sz w:val="24"/>
          <w:szCs w:val="20"/>
        </w:rPr>
        <w:t>；</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分包意向协议（需明确分包的金额比重、中小企业声明函中需体现分包商的信息）（如有）；</w:t>
      </w:r>
    </w:p>
    <w:p>
      <w:pPr>
        <w:keepNext w:val="0"/>
        <w:keepLines w:val="0"/>
        <w:pageBreakBefore w:val="0"/>
        <w:kinsoku/>
        <w:wordWrap/>
        <w:overflowPunct/>
        <w:topLinePunct w:val="0"/>
        <w:bidi w:val="0"/>
        <w:snapToGrid w:val="0"/>
        <w:spacing w:line="360" w:lineRule="auto"/>
        <w:ind w:firstLine="960" w:firstLineChars="400"/>
        <w:textAlignment w:val="auto"/>
        <w:rPr>
          <w:rFonts w:hint="eastAsia" w:ascii="宋体" w:hAnsi="宋体" w:cs="宋体"/>
          <w:sz w:val="24"/>
          <w:lang w:val="en-US" w:eastAsia="zh-CN"/>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落实政府采购政策需满足的资格要求</w:t>
      </w:r>
    </w:p>
    <w:p>
      <w:pPr>
        <w:keepNext w:val="0"/>
        <w:keepLines w:val="0"/>
        <w:pageBreakBefore w:val="0"/>
        <w:kinsoku/>
        <w:wordWrap/>
        <w:overflowPunct/>
        <w:topLinePunct w:val="0"/>
        <w:bidi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lang w:val="en-US" w:eastAsia="zh-CN"/>
        </w:rPr>
        <w:t>11.1.6符合特定资格条件的相关证明材料（如有）</w:t>
      </w:r>
      <w:r>
        <w:rPr>
          <w:rFonts w:hint="eastAsia" w:ascii="宋体" w:hAnsi="宋体" w:cs="宋体"/>
          <w:sz w:val="24"/>
        </w:rPr>
        <w:t>。</w:t>
      </w:r>
    </w:p>
    <w:p>
      <w:pPr>
        <w:keepNext w:val="0"/>
        <w:keepLines w:val="0"/>
        <w:pageBreakBefore w:val="0"/>
        <w:kinsoku/>
        <w:wordWrap/>
        <w:overflowPunct/>
        <w:topLinePunct w:val="0"/>
        <w:bidi w:val="0"/>
        <w:snapToGrid w:val="0"/>
        <w:spacing w:line="360" w:lineRule="auto"/>
        <w:ind w:firstLine="472" w:firstLineChars="196"/>
        <w:jc w:val="left"/>
        <w:textAlignment w:val="auto"/>
        <w:rPr>
          <w:rFonts w:hint="default"/>
          <w:b/>
          <w:bCs/>
          <w:sz w:val="24"/>
          <w:szCs w:val="21"/>
        </w:rPr>
      </w:pPr>
      <w:r>
        <w:rPr>
          <w:rFonts w:hint="default"/>
          <w:b/>
          <w:bCs/>
          <w:sz w:val="24"/>
          <w:szCs w:val="21"/>
        </w:rPr>
        <w:t>上述资格条件审查材料有一项不提供的，视为资格审查不通过。</w:t>
      </w:r>
    </w:p>
    <w:p>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hint="eastAsia" w:ascii="宋体" w:hAnsi="宋体" w:cs="宋体"/>
          <w:b/>
          <w:sz w:val="24"/>
          <w:lang w:val="zh-CN"/>
        </w:rPr>
        <w:t xml:space="preserve">  </w:t>
      </w:r>
      <w:r>
        <w:rPr>
          <w:rFonts w:hint="eastAsia" w:ascii="宋体" w:hAnsi="宋体" w:cs="宋体"/>
          <w:b/>
          <w:sz w:val="24"/>
        </w:rPr>
        <w:t>商务技术</w:t>
      </w:r>
      <w:r>
        <w:rPr>
          <w:rFonts w:hint="eastAsia" w:ascii="宋体" w:hAnsi="宋体" w:cs="宋体"/>
          <w:b/>
          <w:sz w:val="24"/>
          <w:lang w:val="zh-CN"/>
        </w:rPr>
        <w:t>文件：</w:t>
      </w:r>
    </w:p>
    <w:p>
      <w:pPr>
        <w:keepNext w:val="0"/>
        <w:keepLines w:val="0"/>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lang w:val="en-US" w:eastAsia="zh-CN"/>
        </w:rPr>
      </w:pPr>
      <w:r>
        <w:rPr>
          <w:rFonts w:hint="eastAsia" w:ascii="宋体" w:hAnsi="宋体" w:cs="宋体"/>
          <w:sz w:val="24"/>
        </w:rPr>
        <w:t>11.2.</w:t>
      </w:r>
      <w:r>
        <w:rPr>
          <w:rFonts w:hint="eastAsia" w:ascii="宋体" w:hAnsi="宋体" w:cs="宋体"/>
          <w:sz w:val="24"/>
          <w:lang w:val="en-US" w:eastAsia="zh-CN"/>
        </w:rPr>
        <w:t>1</w:t>
      </w:r>
      <w:r>
        <w:rPr>
          <w:rFonts w:hint="eastAsia" w:ascii="宋体" w:hAnsi="宋体" w:cs="宋体"/>
          <w:sz w:val="24"/>
        </w:rPr>
        <w:t>投标函</w:t>
      </w:r>
      <w:r>
        <w:rPr>
          <w:rFonts w:hint="eastAsia" w:ascii="宋体" w:hAnsi="宋体" w:cs="宋体"/>
          <w:sz w:val="24"/>
          <w:lang w:eastAsia="zh-CN"/>
        </w:rPr>
        <w:t>；</w:t>
      </w:r>
    </w:p>
    <w:p>
      <w:pPr>
        <w:keepNext w:val="0"/>
        <w:keepLines w:val="0"/>
        <w:pageBreakBefore w:val="0"/>
        <w:kinsoku/>
        <w:wordWrap/>
        <w:overflowPunct/>
        <w:topLinePunct w:val="0"/>
        <w:bidi w:val="0"/>
        <w:snapToGrid w:val="0"/>
        <w:spacing w:line="360" w:lineRule="auto"/>
        <w:ind w:firstLine="960" w:firstLineChars="4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11.2.2</w:t>
      </w:r>
      <w:r>
        <w:rPr>
          <w:rFonts w:hint="eastAsia" w:asciiTheme="minorEastAsia" w:hAnsiTheme="minorEastAsia" w:eastAsiaTheme="minorEastAsia" w:cstheme="minorEastAsia"/>
          <w:sz w:val="24"/>
        </w:rPr>
        <w:t>授权委托书或法定代表人（单位负责人、自然人本人）身份证明；</w:t>
      </w:r>
    </w:p>
    <w:p>
      <w:pPr>
        <w:keepNext w:val="0"/>
        <w:keepLines w:val="0"/>
        <w:pageBreakBefore w:val="0"/>
        <w:kinsoku/>
        <w:wordWrap/>
        <w:overflowPunct/>
        <w:topLinePunct w:val="0"/>
        <w:bidi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11.2.</w:t>
      </w:r>
      <w:r>
        <w:rPr>
          <w:rFonts w:hint="eastAsia" w:ascii="宋体" w:hAnsi="宋体" w:cs="宋体"/>
          <w:sz w:val="24"/>
          <w:lang w:val="en-US" w:eastAsia="zh-CN"/>
        </w:rPr>
        <w:t>3</w:t>
      </w:r>
      <w:r>
        <w:rPr>
          <w:rFonts w:hint="eastAsia" w:ascii="宋体" w:hAnsi="宋体" w:cs="宋体"/>
          <w:sz w:val="24"/>
        </w:rPr>
        <w:t>公司介绍、资信及同类项目经验（需提供合同复印件并加盖公章）；</w:t>
      </w:r>
    </w:p>
    <w:p>
      <w:pPr>
        <w:keepNext w:val="0"/>
        <w:keepLines w:val="0"/>
        <w:pageBreakBefore w:val="0"/>
        <w:widowControl w:val="0"/>
        <w:kinsoku/>
        <w:wordWrap/>
        <w:overflowPunct/>
        <w:topLinePunct w:val="0"/>
        <w:autoSpaceDE/>
        <w:autoSpaceDN/>
        <w:bidi w:val="0"/>
        <w:adjustRightInd w:val="0"/>
        <w:snapToGrid w:val="0"/>
        <w:spacing w:line="360" w:lineRule="auto"/>
        <w:ind w:left="958" w:leftChars="456" w:firstLine="0" w:firstLineChars="0"/>
        <w:textAlignment w:val="auto"/>
        <w:rPr>
          <w:rFonts w:hint="eastAsia" w:ascii="宋体" w:hAnsi="宋体" w:cs="宋体"/>
          <w:b/>
          <w:bCs/>
          <w:sz w:val="24"/>
        </w:rPr>
      </w:pPr>
      <w:r>
        <w:rPr>
          <w:rFonts w:hint="eastAsia" w:ascii="宋体" w:hAnsi="宋体" w:cs="宋体"/>
          <w:b/>
          <w:bCs/>
          <w:sz w:val="24"/>
        </w:rPr>
        <w:t>（联合体参加的，联合体各方分别提供与联合体协议中规定的分工内容相应的业绩证明材料，分工内容相同的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投标标的清单；</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7</w:t>
      </w:r>
      <w:r>
        <w:rPr>
          <w:rFonts w:hint="eastAsia" w:ascii="宋体" w:hAnsi="宋体" w:cs="宋体"/>
          <w:sz w:val="24"/>
        </w:rPr>
        <w:t>商务技术偏离表；</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p>
    <w:p>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cs="宋体"/>
          <w:b/>
          <w:sz w:val="24"/>
          <w:lang w:val="zh-CN"/>
        </w:rPr>
      </w:pPr>
      <w:r>
        <w:rPr>
          <w:rFonts w:hint="eastAsia" w:ascii="宋体" w:hAnsi="宋体" w:cs="宋体"/>
          <w:b/>
          <w:sz w:val="24"/>
          <w:lang w:val="zh-CN"/>
        </w:rPr>
        <w:t>11.</w:t>
      </w:r>
      <w:r>
        <w:rPr>
          <w:rFonts w:hint="eastAsia" w:ascii="宋体" w:hAnsi="宋体" w:cs="宋体"/>
          <w:b/>
          <w:sz w:val="24"/>
        </w:rPr>
        <w:t>3报价文件：</w:t>
      </w:r>
    </w:p>
    <w:p>
      <w:pPr>
        <w:keepNext w:val="0"/>
        <w:keepLines w:val="0"/>
        <w:pageBreakBefore w:val="0"/>
        <w:kinsoku/>
        <w:wordWrap/>
        <w:overflowPunct/>
        <w:topLinePunct w:val="0"/>
        <w:bidi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pPr>
        <w:keepNext w:val="0"/>
        <w:keepLines w:val="0"/>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FF0000"/>
          <w:sz w:val="24"/>
        </w:rPr>
      </w:pPr>
      <w:r>
        <w:rPr>
          <w:rFonts w:hint="eastAsia" w:ascii="宋体" w:hAnsi="宋体" w:eastAsia="宋体" w:cs="宋体"/>
          <w:color w:val="FF0000"/>
          <w:sz w:val="24"/>
          <w:lang w:val="en-US"/>
        </w:rPr>
        <w:t>11.3.</w:t>
      </w:r>
      <w:r>
        <w:rPr>
          <w:rFonts w:hint="eastAsia" w:ascii="宋体" w:hAnsi="宋体" w:cs="宋体"/>
          <w:color w:val="FF0000"/>
          <w:sz w:val="24"/>
          <w:lang w:val="en-US" w:eastAsia="zh-CN"/>
        </w:rPr>
        <w:t>2</w:t>
      </w:r>
      <w:r>
        <w:rPr>
          <w:rFonts w:hint="eastAsia" w:ascii="宋体" w:hAnsi="宋体" w:eastAsia="宋体" w:cs="宋体"/>
          <w:color w:val="FF0000"/>
          <w:sz w:val="24"/>
          <w:lang w:val="en-US"/>
        </w:rPr>
        <w:t>报价情况说明（如供应商报价低于项目预算50%的，应当提交本文档，详细阐述不影响产品质量或者诚信履约的具体原因）</w:t>
      </w:r>
      <w:r>
        <w:rPr>
          <w:rFonts w:hint="eastAsia" w:ascii="宋体" w:hAnsi="宋体" w:eastAsia="宋体" w:cs="宋体"/>
          <w:color w:val="FF0000"/>
          <w:sz w:val="24"/>
          <w:lang w:val="en-US" w:eastAsia="zh-CN"/>
        </w:rPr>
        <w:t>；</w:t>
      </w:r>
    </w:p>
    <w:p>
      <w:pPr>
        <w:keepNext w:val="0"/>
        <w:keepLines w:val="0"/>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FF0000"/>
          <w:sz w:val="24"/>
          <w:lang w:val="en-US"/>
        </w:rPr>
      </w:pPr>
      <w:r>
        <w:rPr>
          <w:rFonts w:hint="eastAsia" w:ascii="宋体" w:hAnsi="宋体" w:eastAsia="宋体" w:cs="宋体"/>
          <w:color w:val="FF0000"/>
          <w:sz w:val="24"/>
          <w:lang w:val="en-US"/>
        </w:rPr>
        <w:t>11.3.</w:t>
      </w:r>
      <w:r>
        <w:rPr>
          <w:rFonts w:hint="eastAsia" w:ascii="宋体" w:hAnsi="宋体" w:eastAsia="宋体" w:cs="宋体"/>
          <w:color w:val="FF0000"/>
          <w:sz w:val="24"/>
          <w:lang w:val="en-US" w:eastAsia="zh-CN"/>
        </w:rPr>
        <w:t>3</w:t>
      </w:r>
      <w:r>
        <w:rPr>
          <w:rFonts w:hint="eastAsia" w:ascii="宋体" w:hAnsi="宋体" w:eastAsia="宋体" w:cs="宋体"/>
          <w:color w:val="FF0000"/>
          <w:sz w:val="24"/>
          <w:lang w:val="en-US"/>
        </w:rPr>
        <w:t>中小企业声明函。</w:t>
      </w:r>
    </w:p>
    <w:p>
      <w:pPr>
        <w:keepNext w:val="0"/>
        <w:keepLines w:val="0"/>
        <w:pageBreakBefore w:val="0"/>
        <w:kinsoku/>
        <w:wordWrap/>
        <w:overflowPunct/>
        <w:topLinePunct w:val="0"/>
        <w:bidi w:val="0"/>
        <w:spacing w:line="360" w:lineRule="auto"/>
        <w:ind w:firstLine="723" w:firstLineChars="300"/>
        <w:textAlignment w:val="auto"/>
        <w:rPr>
          <w:rFonts w:ascii="宋体" w:hAnsi="宋体" w:cs="宋体"/>
          <w:b/>
          <w:sz w:val="24"/>
        </w:rPr>
      </w:pPr>
      <w:r>
        <w:rPr>
          <w:rFonts w:hint="eastAsia" w:ascii="宋体" w:hAnsi="宋体" w:cs="宋体"/>
          <w:b/>
          <w:sz w:val="24"/>
        </w:rPr>
        <w:t>投标文件含有采购人不能接受的附加条件的，投标无效；</w:t>
      </w:r>
    </w:p>
    <w:p>
      <w:pPr>
        <w:keepNext w:val="0"/>
        <w:keepLines w:val="0"/>
        <w:pageBreakBefore w:val="0"/>
        <w:kinsoku/>
        <w:wordWrap/>
        <w:overflowPunct/>
        <w:topLinePunct w:val="0"/>
        <w:bidi w:val="0"/>
        <w:spacing w:line="360" w:lineRule="auto"/>
        <w:ind w:firstLine="723" w:firstLineChars="300"/>
        <w:textAlignment w:val="auto"/>
        <w:rPr>
          <w:rFonts w:hint="eastAsia" w:ascii="宋体" w:hAnsi="宋体" w:cs="宋体"/>
          <w:b/>
          <w:sz w:val="24"/>
        </w:rPr>
      </w:pPr>
      <w:r>
        <w:rPr>
          <w:rFonts w:hint="eastAsia" w:ascii="宋体" w:hAnsi="宋体" w:cs="宋体"/>
          <w:b/>
          <w:sz w:val="24"/>
        </w:rPr>
        <w:t>投标人提供虚假材料投标的，投标无效。</w:t>
      </w:r>
    </w:p>
    <w:p>
      <w:pPr>
        <w:keepNext w:val="0"/>
        <w:keepLines w:val="0"/>
        <w:pageBreakBefore w:val="0"/>
        <w:kinsoku/>
        <w:wordWrap/>
        <w:overflowPunct/>
        <w:topLinePunct w:val="0"/>
        <w:bidi w:val="0"/>
        <w:spacing w:line="360" w:lineRule="auto"/>
        <w:ind w:firstLine="720" w:firstLineChars="300"/>
        <w:textAlignment w:val="auto"/>
        <w:rPr>
          <w:color w:val="FF0000"/>
        </w:rPr>
      </w:pPr>
      <w:r>
        <w:rPr>
          <w:rFonts w:hint="eastAsia"/>
          <w:color w:val="FF0000"/>
          <w:sz w:val="24"/>
          <w:szCs w:val="24"/>
          <w:shd w:val="clear" w:color="auto" w:fill="FFFFFF"/>
          <w:lang w:val="en-US" w:eastAsia="zh-CN"/>
        </w:rPr>
        <w:t>投标人应对投标文件中材料的真实性、合法性负责。</w:t>
      </w:r>
    </w:p>
    <w:p>
      <w:pPr>
        <w:keepNext w:val="0"/>
        <w:keepLines w:val="0"/>
        <w:pageBreakBefore w:val="0"/>
        <w:kinsoku/>
        <w:wordWrap/>
        <w:overflowPunct/>
        <w:topLinePunct w:val="0"/>
        <w:bidi w:val="0"/>
        <w:snapToGrid w:val="0"/>
        <w:spacing w:line="360" w:lineRule="auto"/>
        <w:textAlignment w:val="auto"/>
        <w:rPr>
          <w:rFonts w:hint="eastAsia" w:ascii="宋体" w:hAnsi="宋体" w:cs="宋体"/>
          <w:b/>
          <w:sz w:val="24"/>
        </w:rPr>
      </w:pPr>
      <w:r>
        <w:rPr>
          <w:rFonts w:hint="eastAsia" w:ascii="宋体" w:hAnsi="宋体" w:cs="宋体"/>
          <w:b/>
          <w:sz w:val="24"/>
        </w:rPr>
        <w:t>12</w:t>
      </w:r>
      <w:r>
        <w:rPr>
          <w:rFonts w:hint="eastAsia" w:ascii="宋体" w:hAnsi="宋体" w:cs="宋体"/>
          <w:b/>
          <w:sz w:val="24"/>
          <w:lang w:val="zh-CN"/>
        </w:rPr>
        <w:t xml:space="preserve">. </w:t>
      </w:r>
      <w:r>
        <w:rPr>
          <w:rFonts w:hint="eastAsia" w:ascii="宋体" w:hAnsi="宋体" w:cs="宋体"/>
          <w:b/>
          <w:sz w:val="24"/>
        </w:rPr>
        <w:t>投标文件的编制</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line="360" w:lineRule="auto"/>
        <w:textAlignment w:val="auto"/>
        <w:rPr>
          <w:rFonts w:ascii="宋体" w:hAnsi="宋体" w:cs="宋体"/>
          <w:b/>
          <w:sz w:val="24"/>
        </w:rPr>
      </w:pPr>
      <w:r>
        <w:rPr>
          <w:rFonts w:hint="eastAsia" w:ascii="宋体" w:hAnsi="宋体" w:cs="宋体"/>
          <w:b/>
          <w:sz w:val="24"/>
        </w:rPr>
        <w:t>13.投标文件的签署、盖章</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szCs w:val="24"/>
        </w:rPr>
      </w:pPr>
      <w:r>
        <w:rPr>
          <w:rFonts w:hint="eastAsia" w:ascii="宋体" w:hAnsi="宋体" w:cs="宋体"/>
        </w:rPr>
        <w:t>13.3招标文件对投标文件签署、盖章的要求适用于电子签名。</w:t>
      </w:r>
    </w:p>
    <w:p>
      <w:pPr>
        <w:pStyle w:val="131"/>
        <w:keepNext w:val="0"/>
        <w:keepLines w:val="0"/>
        <w:pageBreakBefore w:val="0"/>
        <w:kinsoku/>
        <w:wordWrap/>
        <w:overflowPunct/>
        <w:topLinePunct w:val="0"/>
        <w:bidi w:val="0"/>
        <w:spacing w:before="0"/>
        <w:ind w:firstLine="0" w:firstLineChars="0"/>
        <w:textAlignment w:val="auto"/>
        <w:rPr>
          <w:rFonts w:ascii="宋体" w:hAnsi="宋体" w:cs="宋体"/>
          <w:b/>
          <w:szCs w:val="24"/>
        </w:rPr>
      </w:pPr>
      <w:r>
        <w:rPr>
          <w:rFonts w:hint="eastAsia" w:ascii="宋体" w:hAnsi="宋体" w:cs="宋体"/>
          <w:b/>
          <w:szCs w:val="24"/>
        </w:rPr>
        <w:t>14. 投标文件的提交、补充、修改、撤回</w:t>
      </w:r>
    </w:p>
    <w:p>
      <w:pPr>
        <w:pStyle w:val="131"/>
        <w:keepNext w:val="0"/>
        <w:keepLines w:val="0"/>
        <w:pageBreakBefore w:val="0"/>
        <w:kinsoku/>
        <w:wordWrap/>
        <w:overflowPunct/>
        <w:topLinePunct w:val="0"/>
        <w:bidi w:val="0"/>
        <w:ind w:firstLine="480"/>
        <w:textAlignment w:val="auto"/>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keepNext w:val="0"/>
        <w:keepLines w:val="0"/>
        <w:pageBreakBefore w:val="0"/>
        <w:kinsoku/>
        <w:wordWrap/>
        <w:overflowPunct/>
        <w:topLinePunct w:val="0"/>
        <w:bidi w:val="0"/>
        <w:spacing w:before="0"/>
        <w:ind w:firstLine="480"/>
        <w:textAlignment w:val="auto"/>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keepNext w:val="0"/>
        <w:keepLines w:val="0"/>
        <w:pageBreakBefore w:val="0"/>
        <w:kinsoku/>
        <w:wordWrap/>
        <w:overflowPunct/>
        <w:topLinePunct w:val="0"/>
        <w:bidi w:val="0"/>
        <w:spacing w:before="0"/>
        <w:ind w:firstLine="480"/>
        <w:textAlignment w:val="auto"/>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3"/>
        <w:keepNext w:val="0"/>
        <w:keepLines w:val="0"/>
        <w:pageBreakBefore w:val="0"/>
        <w:kinsoku/>
        <w:wordWrap/>
        <w:overflowPunct/>
        <w:topLinePunct w:val="0"/>
        <w:bidi w:val="0"/>
        <w:spacing w:line="360" w:lineRule="auto"/>
        <w:textAlignment w:val="auto"/>
        <w:rPr>
          <w:rFonts w:hAnsi="宋体" w:cs="宋体"/>
          <w:b/>
          <w:sz w:val="24"/>
          <w:szCs w:val="24"/>
        </w:rPr>
      </w:pPr>
      <w:r>
        <w:rPr>
          <w:rFonts w:hint="eastAsia" w:hAnsi="宋体" w:cs="宋体"/>
          <w:b/>
          <w:sz w:val="24"/>
          <w:szCs w:val="24"/>
        </w:rPr>
        <w:t>15.备份投标文件</w:t>
      </w:r>
    </w:p>
    <w:p>
      <w:pPr>
        <w:pStyle w:val="33"/>
        <w:keepNext w:val="0"/>
        <w:keepLines w:val="0"/>
        <w:pageBreakBefore w:val="0"/>
        <w:kinsoku/>
        <w:wordWrap/>
        <w:overflowPunct/>
        <w:topLinePunct w:val="0"/>
        <w:bidi w:val="0"/>
        <w:spacing w:line="360" w:lineRule="auto"/>
        <w:ind w:firstLine="360" w:firstLineChars="150"/>
        <w:textAlignment w:val="auto"/>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keepNext w:val="0"/>
        <w:keepLines w:val="0"/>
        <w:pageBreakBefore w:val="0"/>
        <w:kinsoku/>
        <w:wordWrap/>
        <w:overflowPunct/>
        <w:topLinePunct w:val="0"/>
        <w:bidi w:val="0"/>
        <w:spacing w:line="360" w:lineRule="auto"/>
        <w:ind w:firstLine="479" w:firstLineChars="199"/>
        <w:textAlignment w:val="auto"/>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keepNext w:val="0"/>
        <w:keepLines w:val="0"/>
        <w:pageBreakBefore w:val="0"/>
        <w:kinsoku/>
        <w:wordWrap/>
        <w:overflowPunct/>
        <w:topLinePunct w:val="0"/>
        <w:bidi w:val="0"/>
        <w:spacing w:before="0"/>
        <w:ind w:firstLine="0" w:firstLineChars="0"/>
        <w:textAlignment w:val="auto"/>
        <w:rPr>
          <w:rFonts w:ascii="宋体" w:hAnsi="宋体" w:cs="宋体"/>
          <w:b/>
          <w:szCs w:val="24"/>
        </w:rPr>
      </w:pPr>
      <w:r>
        <w:rPr>
          <w:rFonts w:hint="eastAsia" w:ascii="宋体" w:hAnsi="宋体" w:cs="宋体"/>
          <w:b/>
          <w:szCs w:val="24"/>
        </w:rPr>
        <w:t>16.投标文件的无效处理</w:t>
      </w:r>
    </w:p>
    <w:p>
      <w:pPr>
        <w:pStyle w:val="24"/>
        <w:keepNext w:val="0"/>
        <w:keepLines w:val="0"/>
        <w:pageBreakBefore w:val="0"/>
        <w:kinsoku/>
        <w:wordWrap/>
        <w:overflowPunct/>
        <w:topLinePunct w:val="0"/>
        <w:bidi w:val="0"/>
        <w:spacing w:line="360" w:lineRule="auto"/>
        <w:ind w:firstLine="360" w:firstLineChars="150"/>
        <w:textAlignment w:val="auto"/>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1"/>
        <w:keepNext w:val="0"/>
        <w:keepLines w:val="0"/>
        <w:pageBreakBefore w:val="0"/>
        <w:kinsoku/>
        <w:wordWrap/>
        <w:overflowPunct/>
        <w:topLinePunct w:val="0"/>
        <w:bidi w:val="0"/>
        <w:spacing w:before="0"/>
        <w:ind w:firstLine="0" w:firstLineChars="0"/>
        <w:textAlignment w:val="auto"/>
        <w:rPr>
          <w:rFonts w:ascii="宋体" w:hAnsi="宋体" w:cs="宋体"/>
          <w:b/>
          <w:szCs w:val="24"/>
        </w:rPr>
      </w:pPr>
      <w:r>
        <w:rPr>
          <w:rFonts w:hint="eastAsia" w:ascii="宋体" w:hAnsi="宋体" w:cs="宋体"/>
          <w:b/>
          <w:szCs w:val="24"/>
        </w:rPr>
        <w:t>17.投标有效期</w:t>
      </w:r>
    </w:p>
    <w:p>
      <w:pPr>
        <w:keepNext w:val="0"/>
        <w:keepLines w:val="0"/>
        <w:pageBreakBefore w:val="0"/>
        <w:kinsoku/>
        <w:wordWrap/>
        <w:overflowPunct/>
        <w:topLinePunct w:val="0"/>
        <w:bidi w:val="0"/>
        <w:spacing w:line="360" w:lineRule="auto"/>
        <w:ind w:firstLine="480" w:firstLineChars="200"/>
        <w:textAlignment w:val="auto"/>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keepNext w:val="0"/>
        <w:keepLines w:val="0"/>
        <w:pageBreakBefore w:val="0"/>
        <w:kinsoku/>
        <w:wordWrap/>
        <w:overflowPunct/>
        <w:topLinePunct w:val="0"/>
        <w:bidi w:val="0"/>
        <w:spacing w:before="0"/>
        <w:ind w:firstLine="480"/>
        <w:textAlignment w:val="auto"/>
        <w:rPr>
          <w:rFonts w:ascii="宋体" w:hAnsi="宋体" w:cs="宋体"/>
        </w:rPr>
      </w:pPr>
      <w:r>
        <w:rPr>
          <w:rFonts w:hint="eastAsia" w:ascii="宋体" w:hAnsi="宋体" w:cs="宋体"/>
        </w:rPr>
        <w:t>17.2投标文件合格投递后，自投标截止日期起，在投标有效期内有效。</w:t>
      </w:r>
    </w:p>
    <w:p>
      <w:pPr>
        <w:pStyle w:val="131"/>
        <w:keepNext w:val="0"/>
        <w:keepLines w:val="0"/>
        <w:pageBreakBefore w:val="0"/>
        <w:kinsoku/>
        <w:wordWrap/>
        <w:overflowPunct/>
        <w:topLinePunct w:val="0"/>
        <w:bidi w:val="0"/>
        <w:spacing w:before="0"/>
        <w:ind w:firstLine="480"/>
        <w:textAlignment w:val="auto"/>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keepNext w:val="0"/>
        <w:keepLines w:val="0"/>
        <w:pageBreakBefore w:val="0"/>
        <w:kinsoku/>
        <w:wordWrap/>
        <w:overflowPunct/>
        <w:topLinePunct w:val="0"/>
        <w:bidi w:val="0"/>
        <w:adjustRightInd/>
        <w:spacing w:line="360" w:lineRule="auto"/>
        <w:jc w:val="center"/>
        <w:textAlignment w:val="auto"/>
        <w:outlineLvl w:val="1"/>
        <w:rPr>
          <w:rFonts w:hint="eastAsia" w:ascii="宋体" w:hAnsi="宋体" w:cs="宋体"/>
          <w:b/>
          <w:sz w:val="30"/>
          <w:szCs w:val="20"/>
        </w:rPr>
      </w:pPr>
      <w:bookmarkStart w:id="30" w:name="_Toc4750"/>
      <w:bookmarkStart w:id="31" w:name="_Toc4123"/>
      <w:bookmarkStart w:id="32" w:name="_Toc5115"/>
      <w:r>
        <w:rPr>
          <w:rFonts w:hint="eastAsia" w:ascii="宋体" w:hAnsi="宋体" w:cs="宋体"/>
          <w:b/>
          <w:sz w:val="30"/>
          <w:szCs w:val="20"/>
        </w:rPr>
        <w:t>四、开标、资格审查与信用信息查询</w:t>
      </w:r>
      <w:bookmarkEnd w:id="30"/>
      <w:bookmarkEnd w:id="31"/>
      <w:bookmarkEnd w:id="32"/>
    </w:p>
    <w:p>
      <w:pPr>
        <w:pStyle w:val="558"/>
        <w:keepNext w:val="0"/>
        <w:keepLines w:val="0"/>
        <w:pageBreakBefore w:val="0"/>
        <w:kinsoku/>
        <w:wordWrap/>
        <w:overflowPunct/>
        <w:topLinePunct w:val="0"/>
        <w:bidi w:val="0"/>
        <w:spacing w:before="0" w:line="360" w:lineRule="auto"/>
        <w:ind w:left="0" w:firstLine="241" w:firstLineChars="100"/>
        <w:contextualSpacing/>
        <w:textAlignment w:val="auto"/>
        <w:rPr>
          <w:rFonts w:hint="eastAsia" w:ascii="宋体" w:hAnsi="宋体" w:cs="宋体"/>
          <w:b/>
          <w:sz w:val="24"/>
          <w:szCs w:val="24"/>
        </w:rPr>
      </w:pPr>
      <w:r>
        <w:rPr>
          <w:rFonts w:hint="eastAsia" w:ascii="宋体" w:hAnsi="宋体" w:cs="宋体"/>
          <w:b/>
          <w:sz w:val="24"/>
          <w:szCs w:val="24"/>
        </w:rPr>
        <w:t>18.开标</w:t>
      </w:r>
    </w:p>
    <w:p>
      <w:pPr>
        <w:pStyle w:val="558"/>
        <w:keepNext w:val="0"/>
        <w:keepLines w:val="0"/>
        <w:pageBreakBefore w:val="0"/>
        <w:kinsoku/>
        <w:wordWrap/>
        <w:overflowPunct/>
        <w:topLinePunct w:val="0"/>
        <w:bidi w:val="0"/>
        <w:spacing w:before="0" w:line="360" w:lineRule="auto"/>
        <w:ind w:left="0" w:firstLine="480" w:firstLineChars="200"/>
        <w:contextualSpacing/>
        <w:textAlignment w:val="auto"/>
        <w:rPr>
          <w:rFonts w:hint="eastAsia"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8"/>
        <w:keepNext w:val="0"/>
        <w:keepLines w:val="0"/>
        <w:pageBreakBefore w:val="0"/>
        <w:kinsoku/>
        <w:wordWrap/>
        <w:overflowPunct/>
        <w:topLinePunct w:val="0"/>
        <w:bidi w:val="0"/>
        <w:spacing w:before="0" w:line="360" w:lineRule="auto"/>
        <w:ind w:left="0" w:firstLine="480" w:firstLineChars="200"/>
        <w:contextualSpacing/>
        <w:textAlignment w:val="auto"/>
        <w:rPr>
          <w:rFonts w:hint="eastAsia"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8"/>
        <w:keepNext w:val="0"/>
        <w:keepLines w:val="0"/>
        <w:pageBreakBefore w:val="0"/>
        <w:kinsoku/>
        <w:wordWrap/>
        <w:overflowPunct/>
        <w:topLinePunct w:val="0"/>
        <w:bidi w:val="0"/>
        <w:spacing w:before="0" w:line="360" w:lineRule="auto"/>
        <w:ind w:left="0" w:firstLine="482" w:firstLineChars="200"/>
        <w:contextualSpacing/>
        <w:textAlignment w:val="auto"/>
        <w:rPr>
          <w:rFonts w:hint="eastAsia" w:ascii="宋体" w:hAnsi="宋体" w:cs="宋体"/>
          <w:b/>
          <w:bCs/>
          <w:sz w:val="24"/>
        </w:rPr>
      </w:pPr>
      <w:r>
        <w:rPr>
          <w:rFonts w:hint="eastAsia" w:ascii="宋体" w:hAnsi="宋体" w:cs="宋体"/>
          <w:b/>
          <w:bCs/>
          <w:sz w:val="24"/>
        </w:rPr>
        <w:t>18.3投标文件未按时解密，投标人提供了备份投标文件的，以备份投标文件作为依据，否则视为投标文件撤回。投标文件已按时解密的，备份投标文件自动失效。</w:t>
      </w:r>
    </w:p>
    <w:p>
      <w:pPr>
        <w:pStyle w:val="558"/>
        <w:keepNext w:val="0"/>
        <w:keepLines w:val="0"/>
        <w:pageBreakBefore w:val="0"/>
        <w:kinsoku/>
        <w:wordWrap/>
        <w:overflowPunct/>
        <w:topLinePunct w:val="0"/>
        <w:bidi w:val="0"/>
        <w:spacing w:before="0" w:line="360" w:lineRule="auto"/>
        <w:ind w:left="0" w:firstLine="241" w:firstLineChars="100"/>
        <w:contextualSpacing/>
        <w:textAlignment w:val="auto"/>
        <w:rPr>
          <w:rFonts w:hint="eastAsia" w:ascii="宋体" w:hAnsi="宋体" w:cs="宋体"/>
          <w:b/>
          <w:sz w:val="24"/>
          <w:szCs w:val="24"/>
        </w:rPr>
      </w:pPr>
      <w:r>
        <w:rPr>
          <w:rFonts w:hint="eastAsia" w:ascii="宋体" w:hAnsi="宋体" w:cs="宋体"/>
          <w:b/>
          <w:sz w:val="24"/>
          <w:szCs w:val="24"/>
        </w:rPr>
        <w:t>19、资格审查</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1"/>
        <w:keepNext w:val="0"/>
        <w:keepLines w:val="0"/>
        <w:pageBreakBefore w:val="0"/>
        <w:kinsoku/>
        <w:wordWrap/>
        <w:overflowPunct/>
        <w:topLinePunct w:val="0"/>
        <w:bidi w:val="0"/>
        <w:spacing w:before="0"/>
        <w:ind w:firstLine="480"/>
        <w:textAlignment w:val="auto"/>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keepNext w:val="0"/>
        <w:keepLines w:val="0"/>
        <w:pageBreakBefore w:val="0"/>
        <w:kinsoku/>
        <w:wordWrap/>
        <w:overflowPunct/>
        <w:topLinePunct w:val="0"/>
        <w:bidi w:val="0"/>
        <w:spacing w:before="0"/>
        <w:ind w:firstLine="480"/>
        <w:textAlignment w:val="auto"/>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1"/>
        <w:keepNext w:val="0"/>
        <w:keepLines w:val="0"/>
        <w:pageBreakBefore w:val="0"/>
        <w:kinsoku/>
        <w:wordWrap/>
        <w:overflowPunct/>
        <w:topLinePunct w:val="0"/>
        <w:bidi w:val="0"/>
        <w:spacing w:before="0"/>
        <w:ind w:firstLine="480"/>
        <w:textAlignment w:val="auto"/>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lang w:eastAsia="zh-CN"/>
        </w:rPr>
      </w:pPr>
      <w:r>
        <w:rPr>
          <w:rFonts w:hint="eastAsia" w:ascii="宋体" w:hAnsi="宋体" w:cs="宋体"/>
          <w:sz w:val="24"/>
          <w:lang w:eastAsia="zh-CN"/>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keepNext w:val="0"/>
        <w:keepLines w:val="0"/>
        <w:pageBreakBefore w:val="0"/>
        <w:kinsoku/>
        <w:wordWrap/>
        <w:overflowPunct/>
        <w:topLinePunct w:val="0"/>
        <w:bidi w:val="0"/>
        <w:spacing w:before="0"/>
        <w:ind w:firstLine="0" w:firstLineChars="0"/>
        <w:textAlignment w:val="auto"/>
        <w:rPr>
          <w:rFonts w:ascii="宋体" w:hAnsi="宋体" w:cs="宋体"/>
          <w:b/>
          <w:szCs w:val="24"/>
        </w:rPr>
      </w:pPr>
      <w:r>
        <w:rPr>
          <w:rFonts w:hint="eastAsia" w:ascii="宋体" w:hAnsi="宋体" w:cs="宋体"/>
          <w:b/>
          <w:szCs w:val="24"/>
        </w:rPr>
        <w:t>20、信用信息查询</w:t>
      </w:r>
    </w:p>
    <w:p>
      <w:pPr>
        <w:pStyle w:val="131"/>
        <w:keepNext w:val="0"/>
        <w:keepLines w:val="0"/>
        <w:pageBreakBefore w:val="0"/>
        <w:kinsoku/>
        <w:wordWrap/>
        <w:overflowPunct/>
        <w:topLinePunct w:val="0"/>
        <w:bidi w:val="0"/>
        <w:spacing w:before="0"/>
        <w:ind w:firstLine="495" w:firstLineChars="0"/>
        <w:textAlignment w:val="auto"/>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31"/>
        <w:keepNext w:val="0"/>
        <w:keepLines w:val="0"/>
        <w:pageBreakBefore w:val="0"/>
        <w:kinsoku/>
        <w:wordWrap/>
        <w:overflowPunct/>
        <w:topLinePunct w:val="0"/>
        <w:bidi w:val="0"/>
        <w:spacing w:before="0"/>
        <w:ind w:firstLine="495" w:firstLineChars="0"/>
        <w:textAlignment w:val="auto"/>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keepNext w:val="0"/>
        <w:keepLines w:val="0"/>
        <w:pageBreakBefore w:val="0"/>
        <w:kinsoku/>
        <w:wordWrap/>
        <w:overflowPunct/>
        <w:topLinePunct w:val="0"/>
        <w:bidi w:val="0"/>
        <w:spacing w:before="0"/>
        <w:ind w:firstLine="495" w:firstLineChars="0"/>
        <w:textAlignment w:val="auto"/>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keepNext w:val="0"/>
        <w:keepLines w:val="0"/>
        <w:pageBreakBefore w:val="0"/>
        <w:kinsoku/>
        <w:wordWrap/>
        <w:overflowPunct/>
        <w:topLinePunct w:val="0"/>
        <w:bidi w:val="0"/>
        <w:spacing w:before="0"/>
        <w:ind w:firstLine="480"/>
        <w:textAlignment w:val="auto"/>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keepNext w:val="0"/>
        <w:keepLines w:val="0"/>
        <w:pageBreakBefore w:val="0"/>
        <w:kinsoku/>
        <w:wordWrap/>
        <w:overflowPunct/>
        <w:topLinePunct w:val="0"/>
        <w:bidi w:val="0"/>
        <w:adjustRightInd/>
        <w:spacing w:line="360" w:lineRule="auto"/>
        <w:jc w:val="center"/>
        <w:textAlignment w:val="auto"/>
        <w:outlineLvl w:val="1"/>
        <w:rPr>
          <w:rFonts w:hint="eastAsia" w:ascii="宋体" w:hAnsi="宋体" w:cs="宋体"/>
          <w:b/>
          <w:sz w:val="30"/>
          <w:szCs w:val="20"/>
        </w:rPr>
      </w:pPr>
      <w:bookmarkStart w:id="33" w:name="_Toc3203"/>
      <w:bookmarkStart w:id="34" w:name="_Toc5017"/>
      <w:bookmarkStart w:id="35" w:name="_Toc4331"/>
      <w:r>
        <w:rPr>
          <w:rFonts w:hint="eastAsia" w:ascii="宋体" w:hAnsi="宋体" w:cs="宋体"/>
          <w:b/>
          <w:sz w:val="30"/>
          <w:szCs w:val="20"/>
        </w:rPr>
        <w:t>五、评标</w:t>
      </w:r>
      <w:bookmarkEnd w:id="33"/>
      <w:bookmarkEnd w:id="34"/>
      <w:bookmarkEnd w:id="35"/>
    </w:p>
    <w:p>
      <w:pPr>
        <w:keepNext w:val="0"/>
        <w:keepLines w:val="0"/>
        <w:pageBreakBefore w:val="0"/>
        <w:kinsoku/>
        <w:wordWrap/>
        <w:overflowPunct/>
        <w:topLinePunct w:val="0"/>
        <w:bidi w:val="0"/>
        <w:spacing w:line="360" w:lineRule="auto"/>
        <w:textAlignment w:val="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keepNext w:val="0"/>
        <w:keepLines w:val="0"/>
        <w:pageBreakBefore w:val="0"/>
        <w:kinsoku/>
        <w:wordWrap/>
        <w:overflowPunct/>
        <w:topLinePunct w:val="0"/>
        <w:bidi w:val="0"/>
        <w:adjustRightInd/>
        <w:spacing w:line="360" w:lineRule="auto"/>
        <w:jc w:val="center"/>
        <w:textAlignment w:val="auto"/>
        <w:outlineLvl w:val="1"/>
        <w:rPr>
          <w:rFonts w:hint="eastAsia" w:ascii="宋体" w:hAnsi="宋体" w:cs="宋体"/>
          <w:b/>
          <w:sz w:val="30"/>
          <w:szCs w:val="20"/>
        </w:rPr>
      </w:pPr>
      <w:bookmarkStart w:id="37" w:name="_Toc14548"/>
      <w:bookmarkStart w:id="38" w:name="_Toc7270"/>
      <w:bookmarkStart w:id="39" w:name="_Toc16870"/>
      <w:r>
        <w:rPr>
          <w:rFonts w:hint="eastAsia" w:ascii="宋体" w:hAnsi="宋体" w:cs="宋体"/>
          <w:b/>
          <w:sz w:val="30"/>
          <w:szCs w:val="20"/>
        </w:rPr>
        <w:t>六、定 标</w:t>
      </w:r>
      <w:bookmarkEnd w:id="37"/>
      <w:bookmarkEnd w:id="38"/>
      <w:bookmarkEnd w:id="39"/>
    </w:p>
    <w:p>
      <w:pPr>
        <w:pStyle w:val="24"/>
        <w:keepNext w:val="0"/>
        <w:keepLines w:val="0"/>
        <w:pageBreakBefore w:val="0"/>
        <w:kinsoku/>
        <w:wordWrap/>
        <w:overflowPunct/>
        <w:topLinePunct w:val="0"/>
        <w:bidi w:val="0"/>
        <w:spacing w:line="360" w:lineRule="auto"/>
        <w:ind w:left="479" w:hanging="479" w:hangingChars="199"/>
        <w:textAlignment w:val="auto"/>
        <w:rPr>
          <w:rFonts w:cs="宋体"/>
          <w:b/>
        </w:rPr>
      </w:pPr>
      <w:r>
        <w:rPr>
          <w:rFonts w:hint="eastAsia" w:cs="宋体"/>
          <w:b/>
        </w:rPr>
        <w:t>22. 确定中标供应商</w:t>
      </w:r>
    </w:p>
    <w:p>
      <w:pPr>
        <w:pStyle w:val="131"/>
        <w:keepNext w:val="0"/>
        <w:keepLines w:val="0"/>
        <w:pageBreakBefore w:val="0"/>
        <w:kinsoku/>
        <w:wordWrap/>
        <w:overflowPunct/>
        <w:topLinePunct w:val="0"/>
        <w:bidi w:val="0"/>
        <w:snapToGrid w:val="0"/>
        <w:spacing w:before="0"/>
        <w:ind w:firstLine="480"/>
        <w:textAlignment w:val="auto"/>
        <w:rPr>
          <w:rFonts w:hint="eastAsia"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szCs w:val="24"/>
          <w:lang w:val="en-US" w:eastAsia="zh-CN"/>
        </w:rPr>
        <w:t>鼓励</w:t>
      </w:r>
      <w:r>
        <w:rPr>
          <w:rFonts w:hint="eastAsia" w:ascii="宋体" w:hAnsi="宋体" w:cs="宋体"/>
          <w:szCs w:val="24"/>
        </w:rPr>
        <w:t>在收到评审报告当天</w:t>
      </w:r>
      <w:r>
        <w:rPr>
          <w:rFonts w:hint="eastAsia" w:ascii="宋体" w:hAnsi="宋体" w:cs="宋体"/>
          <w:szCs w:val="24"/>
          <w:lang w:val="en-US" w:eastAsia="zh-CN"/>
        </w:rPr>
        <w:t>在线</w:t>
      </w:r>
      <w:r>
        <w:rPr>
          <w:rFonts w:hint="eastAsia" w:ascii="宋体" w:hAnsi="宋体" w:cs="宋体"/>
          <w:szCs w:val="24"/>
        </w:rPr>
        <w:t>确定中标或者成交供应商。中标、成交通知书和中标、成交结果公告应当在规定时间内同时发出。</w:t>
      </w:r>
    </w:p>
    <w:p>
      <w:pPr>
        <w:pStyle w:val="131"/>
        <w:keepNext w:val="0"/>
        <w:keepLines w:val="0"/>
        <w:pageBreakBefore w:val="0"/>
        <w:kinsoku/>
        <w:wordWrap/>
        <w:overflowPunct/>
        <w:topLinePunct w:val="0"/>
        <w:bidi w:val="0"/>
        <w:snapToGrid w:val="0"/>
        <w:spacing w:before="0"/>
        <w:ind w:firstLine="0" w:firstLineChars="0"/>
        <w:textAlignment w:val="auto"/>
        <w:rPr>
          <w:rFonts w:ascii="宋体" w:hAnsi="宋体" w:cs="宋体"/>
          <w:b/>
          <w:szCs w:val="24"/>
        </w:rPr>
      </w:pPr>
      <w:r>
        <w:rPr>
          <w:rFonts w:hint="eastAsia" w:ascii="宋体" w:hAnsi="宋体" w:cs="宋体"/>
          <w:b/>
          <w:szCs w:val="24"/>
        </w:rPr>
        <w:t>23. 中标通知与中标结果公告</w:t>
      </w:r>
    </w:p>
    <w:p>
      <w:pPr>
        <w:pStyle w:val="131"/>
        <w:keepNext w:val="0"/>
        <w:keepLines w:val="0"/>
        <w:pageBreakBefore w:val="0"/>
        <w:kinsoku/>
        <w:wordWrap/>
        <w:overflowPunct/>
        <w:topLinePunct w:val="0"/>
        <w:bidi w:val="0"/>
        <w:snapToGrid w:val="0"/>
        <w:spacing w:before="0"/>
        <w:ind w:firstLine="480"/>
        <w:textAlignment w:val="auto"/>
        <w:rPr>
          <w:rFonts w:hint="eastAsia" w:ascii="宋体" w:hAnsi="宋体" w:cs="宋体"/>
          <w:szCs w:val="24"/>
        </w:rPr>
      </w:pPr>
      <w:r>
        <w:rPr>
          <w:rFonts w:hint="eastAsia" w:ascii="宋体" w:hAnsi="宋体" w:cs="宋体"/>
          <w:szCs w:val="24"/>
        </w:rPr>
        <w:t>23.1自中标人确定之日起2个工作日内，</w:t>
      </w:r>
      <w:r>
        <w:rPr>
          <w:rFonts w:hint="eastAsia" w:ascii="宋体" w:hAnsi="宋体" w:cs="宋体"/>
          <w:szCs w:val="24"/>
          <w:lang w:eastAsia="zh-CN"/>
        </w:rPr>
        <w:t>采购代理机构</w:t>
      </w:r>
      <w:r>
        <w:rPr>
          <w:rFonts w:hint="eastAsia" w:ascii="宋体" w:hAnsi="宋体" w:cs="宋体"/>
          <w:szCs w:val="24"/>
        </w:rPr>
        <w:t>通过电子交易平台向中标人发出中标通知书，同时编制发布采购结果公告。</w:t>
      </w:r>
      <w:r>
        <w:rPr>
          <w:rFonts w:hint="eastAsia" w:ascii="宋体" w:hAnsi="宋体" w:cs="宋体"/>
          <w:szCs w:val="24"/>
          <w:lang w:eastAsia="zh-CN"/>
        </w:rPr>
        <w:t>采购代理机构</w:t>
      </w:r>
      <w:r>
        <w:rPr>
          <w:rFonts w:hint="eastAsia" w:ascii="宋体" w:hAnsi="宋体" w:cs="宋体"/>
          <w:szCs w:val="24"/>
        </w:rPr>
        <w:t>也可以以纸质形式进行中标通知。</w:t>
      </w:r>
    </w:p>
    <w:p>
      <w:pPr>
        <w:pStyle w:val="131"/>
        <w:keepNext w:val="0"/>
        <w:keepLines w:val="0"/>
        <w:pageBreakBefore w:val="0"/>
        <w:kinsoku/>
        <w:wordWrap/>
        <w:overflowPunct/>
        <w:topLinePunct w:val="0"/>
        <w:bidi w:val="0"/>
        <w:snapToGrid w:val="0"/>
        <w:spacing w:before="0"/>
        <w:ind w:firstLine="480"/>
        <w:textAlignment w:val="auto"/>
        <w:rPr>
          <w:rFonts w:hint="eastAsia" w:ascii="宋体" w:hAnsi="宋体" w:cs="宋体"/>
          <w:szCs w:val="24"/>
        </w:rPr>
      </w:pPr>
      <w:r>
        <w:rPr>
          <w:rFonts w:hint="eastAsia" w:ascii="宋体" w:hAnsi="宋体" w:cs="宋体"/>
          <w:szCs w:val="24"/>
        </w:rPr>
        <w:t>23.2中标结果公告内容包括采购人及其委托的</w:t>
      </w:r>
      <w:r>
        <w:rPr>
          <w:rFonts w:hint="eastAsia" w:ascii="宋体" w:hAnsi="宋体" w:cs="宋体"/>
          <w:szCs w:val="24"/>
          <w:lang w:eastAsia="zh-CN"/>
        </w:rPr>
        <w:t>采购代理机构</w:t>
      </w:r>
      <w:r>
        <w:rPr>
          <w:rFonts w:hint="eastAsia" w:ascii="宋体" w:hAnsi="宋体" w:cs="宋体"/>
          <w:szCs w:val="24"/>
        </w:rPr>
        <w:t>的名称、地址、联系方式，项目名称和项目编号，中标人名称、地址和中标金额，主要中标标的的名称、规格型号、数量、单价、服务要求，开标记录、</w:t>
      </w:r>
      <w:bookmarkStart w:id="40" w:name="_Hlk101184471"/>
      <w:r>
        <w:rPr>
          <w:rFonts w:hint="eastAsia" w:ascii="宋体" w:hAnsi="宋体" w:cs="宋体"/>
          <w:szCs w:val="24"/>
        </w:rPr>
        <w:t>资格审查情况、评审专家抽取规则、符合性审查情况、</w:t>
      </w:r>
      <w:bookmarkEnd w:id="40"/>
      <w:r>
        <w:rPr>
          <w:rFonts w:hint="eastAsia" w:ascii="宋体" w:hAnsi="宋体" w:cs="宋体"/>
          <w:szCs w:val="24"/>
        </w:rPr>
        <w:t>未中标情况说明、中标公告期限以及评审专家名单、评分汇总及明细。</w:t>
      </w:r>
    </w:p>
    <w:p>
      <w:pPr>
        <w:pStyle w:val="131"/>
        <w:keepNext w:val="0"/>
        <w:keepLines w:val="0"/>
        <w:pageBreakBefore w:val="0"/>
        <w:kinsoku/>
        <w:wordWrap/>
        <w:overflowPunct/>
        <w:topLinePunct w:val="0"/>
        <w:bidi w:val="0"/>
        <w:snapToGrid w:val="0"/>
        <w:spacing w:before="0"/>
        <w:ind w:firstLine="480"/>
        <w:textAlignment w:val="auto"/>
        <w:rPr>
          <w:rFonts w:hint="eastAsia" w:ascii="宋体" w:hAnsi="宋体" w:cs="宋体"/>
          <w:szCs w:val="24"/>
        </w:rPr>
      </w:pPr>
      <w:r>
        <w:rPr>
          <w:rFonts w:hint="eastAsia" w:ascii="宋体" w:hAnsi="宋体" w:cs="宋体"/>
          <w:szCs w:val="24"/>
        </w:rPr>
        <w:t>23.3公告期限为1个工作日。</w:t>
      </w:r>
    </w:p>
    <w:p>
      <w:pPr>
        <w:pStyle w:val="131"/>
        <w:keepNext w:val="0"/>
        <w:keepLines w:val="0"/>
        <w:pageBreakBefore w:val="0"/>
        <w:kinsoku/>
        <w:wordWrap/>
        <w:overflowPunct/>
        <w:topLinePunct w:val="0"/>
        <w:bidi w:val="0"/>
        <w:snapToGrid w:val="0"/>
        <w:spacing w:before="0"/>
        <w:ind w:firstLine="480"/>
        <w:textAlignment w:val="auto"/>
        <w:rPr>
          <w:rFonts w:hint="eastAsia" w:ascii="宋体" w:hAnsi="宋体" w:cs="宋体"/>
          <w:szCs w:val="24"/>
        </w:rPr>
      </w:pPr>
      <w:r>
        <w:rPr>
          <w:rFonts w:hint="eastAsia" w:ascii="宋体" w:hAnsi="宋体" w:cs="宋体"/>
          <w:szCs w:val="24"/>
          <w:lang w:val="en-US" w:eastAsia="zh-CN"/>
        </w:rPr>
        <w:t xml:space="preserve">23.4 </w:t>
      </w:r>
      <w:r>
        <w:rPr>
          <w:rFonts w:hint="eastAsia" w:ascii="宋体" w:hAnsi="宋体" w:cs="宋体"/>
          <w:szCs w:val="24"/>
        </w:rPr>
        <w:t>由于中标、成交供应商原因导致重新采购的，应当承担支付代理费和专家评审费等费用在内的赔偿责任。</w:t>
      </w:r>
    </w:p>
    <w:p>
      <w:pPr>
        <w:keepNext w:val="0"/>
        <w:keepLines w:val="0"/>
        <w:pageBreakBefore w:val="0"/>
        <w:kinsoku/>
        <w:wordWrap/>
        <w:overflowPunct/>
        <w:topLinePunct w:val="0"/>
        <w:bidi w:val="0"/>
        <w:adjustRightInd/>
        <w:spacing w:line="360" w:lineRule="auto"/>
        <w:jc w:val="center"/>
        <w:textAlignment w:val="auto"/>
        <w:outlineLvl w:val="1"/>
        <w:rPr>
          <w:rFonts w:hint="eastAsia" w:ascii="宋体" w:hAnsi="宋体" w:cs="宋体"/>
          <w:b/>
          <w:sz w:val="30"/>
          <w:szCs w:val="20"/>
        </w:rPr>
      </w:pPr>
      <w:bookmarkStart w:id="41" w:name="_Toc14737"/>
      <w:bookmarkStart w:id="42" w:name="_Toc8358"/>
      <w:bookmarkStart w:id="43" w:name="_Toc22944"/>
      <w:r>
        <w:rPr>
          <w:rFonts w:hint="eastAsia" w:ascii="宋体" w:hAnsi="宋体" w:cs="宋体"/>
          <w:b/>
          <w:sz w:val="30"/>
          <w:szCs w:val="20"/>
        </w:rPr>
        <w:t>七、合同授予</w:t>
      </w:r>
      <w:bookmarkEnd w:id="41"/>
      <w:bookmarkEnd w:id="42"/>
      <w:bookmarkEnd w:id="43"/>
    </w:p>
    <w:p>
      <w:pPr>
        <w:pStyle w:val="24"/>
        <w:keepNext w:val="0"/>
        <w:keepLines w:val="0"/>
        <w:pageBreakBefore w:val="0"/>
        <w:kinsoku/>
        <w:wordWrap/>
        <w:overflowPunct/>
        <w:topLinePunct w:val="0"/>
        <w:bidi w:val="0"/>
        <w:spacing w:line="360" w:lineRule="auto"/>
        <w:ind w:left="479" w:hanging="479" w:hangingChars="199"/>
        <w:textAlignment w:val="auto"/>
        <w:rPr>
          <w:rFonts w:cs="宋体"/>
          <w:b/>
        </w:rPr>
      </w:pPr>
      <w:r>
        <w:rPr>
          <w:rFonts w:hint="eastAsia" w:cs="宋体"/>
          <w:b/>
        </w:rPr>
        <w:t xml:space="preserve">24. </w:t>
      </w:r>
      <w:r>
        <w:rPr>
          <w:rFonts w:hint="eastAsia" w:cs="宋体"/>
        </w:rPr>
        <w:t>合同主要条款详见第五部分拟签订的合同文本。</w:t>
      </w:r>
    </w:p>
    <w:p>
      <w:pPr>
        <w:pStyle w:val="24"/>
        <w:keepNext w:val="0"/>
        <w:keepLines w:val="0"/>
        <w:pageBreakBefore w:val="0"/>
        <w:kinsoku/>
        <w:wordWrap/>
        <w:overflowPunct/>
        <w:topLinePunct w:val="0"/>
        <w:bidi w:val="0"/>
        <w:spacing w:line="360" w:lineRule="auto"/>
        <w:ind w:left="479" w:hanging="479" w:hangingChars="199"/>
        <w:textAlignment w:val="auto"/>
        <w:rPr>
          <w:rFonts w:cs="宋体"/>
          <w:b/>
        </w:rPr>
      </w:pPr>
      <w:r>
        <w:rPr>
          <w:rFonts w:hint="eastAsia" w:cs="宋体"/>
          <w:b/>
        </w:rPr>
        <w:t>25. 合同的签订</w:t>
      </w:r>
    </w:p>
    <w:p>
      <w:pPr>
        <w:pStyle w:val="131"/>
        <w:keepNext w:val="0"/>
        <w:keepLines w:val="0"/>
        <w:pageBreakBefore w:val="0"/>
        <w:kinsoku/>
        <w:wordWrap/>
        <w:overflowPunct/>
        <w:topLinePunct w:val="0"/>
        <w:bidi w:val="0"/>
        <w:snapToGrid w:val="0"/>
        <w:spacing w:before="0"/>
        <w:ind w:firstLine="480"/>
        <w:textAlignment w:val="auto"/>
        <w:rPr>
          <w:rFonts w:hint="eastAsia" w:ascii="宋体" w:hAnsi="宋体" w:cs="宋体"/>
          <w:kern w:val="0"/>
          <w:lang w:val="zh-CN"/>
        </w:rPr>
      </w:pPr>
      <w:r>
        <w:rPr>
          <w:rFonts w:hint="eastAsia" w:ascii="宋体" w:hAnsi="宋体" w:cs="宋体"/>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keepNext w:val="0"/>
        <w:keepLines w:val="0"/>
        <w:pageBreakBefore w:val="0"/>
        <w:kinsoku/>
        <w:wordWrap/>
        <w:overflowPunct/>
        <w:topLinePunct w:val="0"/>
        <w:bidi w:val="0"/>
        <w:snapToGrid w:val="0"/>
        <w:spacing w:before="0"/>
        <w:ind w:firstLine="480"/>
        <w:textAlignment w:val="auto"/>
        <w:rPr>
          <w:rFonts w:hint="eastAsia"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rPr>
      </w:pPr>
      <w:r>
        <w:rPr>
          <w:rFonts w:hint="eastAsia" w:ascii="宋体" w:hAnsi="宋体" w:cs="宋体"/>
          <w:kern w:val="0"/>
          <w:lang w:val="zh-CN"/>
        </w:rPr>
        <w:t>25.3如签订合同并</w:t>
      </w:r>
      <w:r>
        <w:rPr>
          <w:rFonts w:hint="eastAsia" w:ascii="宋体" w:hAnsi="宋体" w:cs="宋体"/>
        </w:rPr>
        <w:t>生效后，供应商无故拒绝或延期，除按照合同条款处理外，列入不良行为记录一次，并给予通报。</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keepNext w:val="0"/>
        <w:keepLines w:val="0"/>
        <w:pageBreakBefore w:val="0"/>
        <w:kinsoku/>
        <w:wordWrap/>
        <w:overflowPunct/>
        <w:topLinePunct w:val="0"/>
        <w:bidi w:val="0"/>
        <w:snapToGrid w:val="0"/>
        <w:spacing w:before="0" w:after="120"/>
        <w:ind w:firstLine="480"/>
        <w:textAlignment w:val="auto"/>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keepNext w:val="0"/>
        <w:keepLines w:val="0"/>
        <w:pageBreakBefore w:val="0"/>
        <w:kinsoku/>
        <w:wordWrap/>
        <w:overflowPunct/>
        <w:topLinePunct w:val="0"/>
        <w:bidi w:val="0"/>
        <w:spacing w:line="360" w:lineRule="auto"/>
        <w:ind w:left="479" w:hanging="479" w:hangingChars="199"/>
        <w:textAlignment w:val="auto"/>
        <w:rPr>
          <w:rFonts w:cs="宋体"/>
          <w:b/>
        </w:rPr>
      </w:pPr>
      <w:r>
        <w:rPr>
          <w:rFonts w:hint="eastAsia" w:cs="宋体"/>
          <w:b/>
        </w:rPr>
        <w:t>26. 履约保证金</w:t>
      </w:r>
    </w:p>
    <w:p>
      <w:pPr>
        <w:keepNext w:val="0"/>
        <w:keepLines w:val="0"/>
        <w:pageBreakBefore w:val="0"/>
        <w:tabs>
          <w:tab w:val="left" w:pos="0"/>
        </w:tabs>
        <w:kinsoku/>
        <w:wordWrap/>
        <w:overflowPunct/>
        <w:topLinePunct w:val="0"/>
        <w:bidi w:val="0"/>
        <w:spacing w:line="360" w:lineRule="auto"/>
        <w:ind w:firstLine="482"/>
        <w:textAlignment w:val="auto"/>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keepNext w:val="0"/>
        <w:keepLines w:val="0"/>
        <w:pageBreakBefore w:val="0"/>
        <w:tabs>
          <w:tab w:val="left" w:pos="0"/>
        </w:tabs>
        <w:kinsoku/>
        <w:wordWrap/>
        <w:overflowPunct/>
        <w:topLinePunct w:val="0"/>
        <w:bidi w:val="0"/>
        <w:spacing w:line="360" w:lineRule="auto"/>
        <w:ind w:firstLine="482"/>
        <w:textAlignment w:val="auto"/>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 w:val="24"/>
          <w:lang w:val="en-US"/>
        </w:rPr>
        <w:t>可</w:t>
      </w:r>
      <w:r>
        <w:rPr>
          <w:rFonts w:hint="eastAsia" w:ascii="宋体" w:hAnsi="宋体" w:cs="宋体"/>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keepNext w:val="0"/>
        <w:keepLines w:val="0"/>
        <w:pageBreakBefore w:val="0"/>
        <w:kinsoku/>
        <w:wordWrap/>
        <w:overflowPunct/>
        <w:topLinePunct w:val="0"/>
        <w:bidi w:val="0"/>
        <w:spacing w:line="360" w:lineRule="auto"/>
        <w:ind w:left="479" w:hanging="479" w:hangingChars="199"/>
        <w:textAlignment w:val="auto"/>
        <w:rPr>
          <w:rFonts w:hint="eastAsia" w:cs="宋体"/>
          <w:b/>
        </w:rPr>
      </w:pPr>
      <w:r>
        <w:rPr>
          <w:rFonts w:hint="eastAsia" w:cs="宋体"/>
          <w:b/>
          <w:lang w:val="en-US"/>
        </w:rPr>
        <w:t>27.预付款</w:t>
      </w:r>
    </w:p>
    <w:p>
      <w:pPr>
        <w:keepNext w:val="0"/>
        <w:keepLines w:val="0"/>
        <w:pageBreakBefore w:val="0"/>
        <w:kinsoku/>
        <w:wordWrap/>
        <w:overflowPunct/>
        <w:topLinePunct w:val="0"/>
        <w:bidi w:val="0"/>
        <w:adjustRightInd/>
        <w:spacing w:line="360" w:lineRule="auto"/>
        <w:ind w:firstLine="480" w:firstLineChars="200"/>
        <w:textAlignment w:val="auto"/>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keepNext w:val="0"/>
        <w:keepLines w:val="0"/>
        <w:pageBreakBefore w:val="0"/>
        <w:kinsoku/>
        <w:wordWrap/>
        <w:overflowPunct/>
        <w:topLinePunct w:val="0"/>
        <w:bidi w:val="0"/>
        <w:adjustRightInd/>
        <w:spacing w:line="360" w:lineRule="auto"/>
        <w:jc w:val="center"/>
        <w:textAlignment w:val="auto"/>
        <w:outlineLvl w:val="1"/>
        <w:rPr>
          <w:rFonts w:hint="eastAsia" w:ascii="宋体" w:hAnsi="宋体" w:cs="宋体"/>
          <w:b/>
          <w:sz w:val="30"/>
          <w:szCs w:val="20"/>
        </w:rPr>
      </w:pPr>
      <w:bookmarkStart w:id="44" w:name="_Toc929"/>
      <w:bookmarkStart w:id="45" w:name="_Toc4093"/>
      <w:bookmarkStart w:id="46" w:name="_Toc12450"/>
      <w:r>
        <w:rPr>
          <w:rFonts w:hint="eastAsia" w:ascii="宋体" w:hAnsi="宋体" w:cs="宋体"/>
          <w:b/>
          <w:sz w:val="30"/>
          <w:szCs w:val="20"/>
        </w:rPr>
        <w:t>八、电子交易活动的中止</w:t>
      </w:r>
      <w:bookmarkEnd w:id="44"/>
      <w:bookmarkEnd w:id="45"/>
      <w:bookmarkEnd w:id="46"/>
    </w:p>
    <w:p>
      <w:pPr>
        <w:pStyle w:val="131"/>
        <w:keepNext w:val="0"/>
        <w:keepLines w:val="0"/>
        <w:pageBreakBefore w:val="0"/>
        <w:kinsoku/>
        <w:wordWrap/>
        <w:overflowPunct/>
        <w:topLinePunct w:val="0"/>
        <w:bidi w:val="0"/>
        <w:snapToGrid w:val="0"/>
        <w:spacing w:before="0"/>
        <w:ind w:firstLine="0" w:firstLineChars="0"/>
        <w:textAlignment w:val="auto"/>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rPr>
      </w:pPr>
      <w:r>
        <w:rPr>
          <w:rFonts w:hint="eastAsia" w:ascii="宋体" w:hAnsi="宋体" w:cs="宋体"/>
        </w:rPr>
        <w:t xml:space="preserve">28.1电子交易平台发生故障而无法登录访问的； </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rPr>
      </w:pPr>
      <w:r>
        <w:rPr>
          <w:rFonts w:hint="eastAsia" w:ascii="宋体" w:hAnsi="宋体" w:cs="宋体"/>
        </w:rPr>
        <w:t>28.2电子交易平台应用或数据库出现错误，不能进行正常操作的；</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rPr>
      </w:pPr>
      <w:r>
        <w:rPr>
          <w:rFonts w:hint="eastAsia" w:ascii="宋体" w:hAnsi="宋体" w:cs="宋体"/>
        </w:rPr>
        <w:t>28.3电子交易平台发现严重安全漏洞，有潜在泄密危险的；</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rPr>
      </w:pPr>
      <w:r>
        <w:rPr>
          <w:rFonts w:hint="eastAsia" w:ascii="宋体" w:hAnsi="宋体" w:cs="宋体"/>
        </w:rPr>
        <w:t xml:space="preserve">28.4病毒发作导致不能进行正常操作的； </w:t>
      </w:r>
    </w:p>
    <w:p>
      <w:pPr>
        <w:pStyle w:val="131"/>
        <w:keepNext w:val="0"/>
        <w:keepLines w:val="0"/>
        <w:pageBreakBefore w:val="0"/>
        <w:kinsoku/>
        <w:wordWrap/>
        <w:overflowPunct/>
        <w:topLinePunct w:val="0"/>
        <w:bidi w:val="0"/>
        <w:snapToGrid w:val="0"/>
        <w:spacing w:before="0"/>
        <w:ind w:firstLine="480"/>
        <w:textAlignment w:val="auto"/>
        <w:rPr>
          <w:rFonts w:ascii="宋体" w:hAnsi="宋体" w:cs="宋体"/>
        </w:rPr>
      </w:pPr>
      <w:r>
        <w:rPr>
          <w:rFonts w:hint="eastAsia" w:ascii="宋体" w:hAnsi="宋体" w:cs="宋体"/>
        </w:rPr>
        <w:t>28.5其他无法保证电子交易的公平、公正和安全的情况。</w:t>
      </w:r>
    </w:p>
    <w:p>
      <w:pPr>
        <w:pStyle w:val="131"/>
        <w:keepNext w:val="0"/>
        <w:keepLines w:val="0"/>
        <w:pageBreakBefore w:val="0"/>
        <w:kinsoku/>
        <w:wordWrap/>
        <w:overflowPunct/>
        <w:topLinePunct w:val="0"/>
        <w:bidi w:val="0"/>
        <w:snapToGrid w:val="0"/>
        <w:spacing w:before="0"/>
        <w:ind w:firstLine="0" w:firstLineChars="0"/>
        <w:textAlignment w:val="auto"/>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bidi w:val="0"/>
        <w:adjustRightInd/>
        <w:spacing w:line="360" w:lineRule="auto"/>
        <w:jc w:val="center"/>
        <w:textAlignment w:val="auto"/>
        <w:outlineLvl w:val="1"/>
        <w:rPr>
          <w:rFonts w:hint="eastAsia" w:ascii="宋体" w:hAnsi="宋体" w:cs="宋体"/>
          <w:b/>
          <w:sz w:val="30"/>
          <w:szCs w:val="20"/>
        </w:rPr>
      </w:pPr>
      <w:bookmarkStart w:id="47" w:name="_Toc1470"/>
      <w:bookmarkStart w:id="48" w:name="_Toc7805"/>
      <w:bookmarkStart w:id="49" w:name="_Toc103"/>
      <w:r>
        <w:rPr>
          <w:rFonts w:hint="eastAsia" w:ascii="宋体" w:hAnsi="宋体" w:cs="宋体"/>
          <w:b/>
          <w:sz w:val="30"/>
          <w:szCs w:val="20"/>
        </w:rPr>
        <w:t>九、验收</w:t>
      </w:r>
      <w:bookmarkEnd w:id="47"/>
      <w:bookmarkEnd w:id="48"/>
      <w:bookmarkEnd w:id="49"/>
    </w:p>
    <w:p>
      <w:pPr>
        <w:pStyle w:val="24"/>
        <w:keepNext w:val="0"/>
        <w:keepLines w:val="0"/>
        <w:pageBreakBefore w:val="0"/>
        <w:kinsoku/>
        <w:wordWrap/>
        <w:overflowPunct/>
        <w:topLinePunct w:val="0"/>
        <w:bidi w:val="0"/>
        <w:spacing w:line="360" w:lineRule="auto"/>
        <w:ind w:firstLine="0" w:firstLineChars="0"/>
        <w:textAlignment w:val="auto"/>
        <w:rPr>
          <w:rFonts w:cs="宋体"/>
          <w:b/>
        </w:rPr>
      </w:pPr>
      <w:r>
        <w:rPr>
          <w:rFonts w:hint="eastAsia" w:cs="宋体"/>
          <w:b/>
        </w:rPr>
        <w:t>30.验收</w:t>
      </w:r>
    </w:p>
    <w:p>
      <w:pPr>
        <w:keepNext w:val="0"/>
        <w:keepLines w:val="0"/>
        <w:pageBreakBefore w:val="0"/>
        <w:tabs>
          <w:tab w:val="left" w:pos="0"/>
        </w:tabs>
        <w:kinsoku/>
        <w:wordWrap/>
        <w:overflowPunct/>
        <w:topLinePunct w:val="0"/>
        <w:bidi w:val="0"/>
        <w:spacing w:line="360" w:lineRule="auto"/>
        <w:ind w:firstLine="480"/>
        <w:textAlignment w:val="auto"/>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spacing w:line="360" w:lineRule="auto"/>
        <w:ind w:firstLine="480"/>
        <w:textAlignment w:val="auto"/>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spacing w:line="360" w:lineRule="auto"/>
        <w:ind w:firstLine="480"/>
        <w:textAlignment w:val="auto"/>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rPr>
      </w:pPr>
      <w:r>
        <w:rPr>
          <w:rFonts w:hint="eastAsia" w:ascii="宋体" w:hAnsi="宋体" w:cs="宋体"/>
          <w:kern w:val="0"/>
          <w:sz w:val="24"/>
          <w:lang w:val="en-US"/>
        </w:rPr>
        <w:t>30.5 对于满足合同约定的采购资金支付条件的，供应商可通过政采云平台提起在线支付申请、查询支付结果，路径为政采云-我的工作台-</w:t>
      </w:r>
      <w:r>
        <w:rPr>
          <w:rFonts w:hint="eastAsia" w:ascii="宋体" w:hAnsi="宋体" w:cs="宋体"/>
          <w:kern w:val="0"/>
          <w:sz w:val="24"/>
          <w:lang w:val="en-US" w:eastAsia="zh-CN"/>
        </w:rPr>
        <w:t>合同管理</w:t>
      </w:r>
      <w:r>
        <w:rPr>
          <w:rFonts w:hint="eastAsia" w:ascii="宋体" w:hAnsi="宋体" w:cs="宋体"/>
          <w:kern w:val="0"/>
          <w:sz w:val="24"/>
          <w:lang w:val="en-US"/>
        </w:rPr>
        <w:t>-支付管理。对于供应商提起在线支付申请的，采购</w:t>
      </w:r>
      <w:r>
        <w:rPr>
          <w:rFonts w:hint="eastAsia" w:ascii="宋体" w:hAnsi="宋体" w:cs="宋体"/>
          <w:kern w:val="0"/>
          <w:sz w:val="24"/>
          <w:lang w:val="en-US" w:eastAsia="zh-CN"/>
        </w:rPr>
        <w:t>人</w:t>
      </w:r>
      <w:r>
        <w:rPr>
          <w:rFonts w:hint="eastAsia" w:ascii="宋体" w:hAnsi="宋体" w:cs="宋体"/>
          <w:kern w:val="0"/>
          <w:sz w:val="24"/>
          <w:lang w:val="en-US"/>
        </w:rPr>
        <w:t>应当</w:t>
      </w:r>
      <w:r>
        <w:rPr>
          <w:rFonts w:hint="eastAsia" w:ascii="宋体" w:hAnsi="宋体" w:cs="宋体"/>
          <w:kern w:val="0"/>
          <w:sz w:val="24"/>
          <w:lang w:val="en-US" w:eastAsia="zh-CN"/>
        </w:rPr>
        <w:t>按规定</w:t>
      </w:r>
      <w:r>
        <w:rPr>
          <w:rFonts w:hint="eastAsia" w:ascii="宋体" w:hAnsi="宋体" w:cs="宋体"/>
          <w:kern w:val="0"/>
          <w:sz w:val="24"/>
          <w:lang w:val="en-US"/>
        </w:rPr>
        <w:t>做好审核并完成支付。</w:t>
      </w:r>
    </w:p>
    <w:p>
      <w:pPr>
        <w:pStyle w:val="80"/>
      </w:pPr>
    </w:p>
    <w:bookmarkEnd w:id="22"/>
    <w:bookmarkEnd w:id="23"/>
    <w:bookmarkEnd w:id="36"/>
    <w:p>
      <w:pPr>
        <w:rPr>
          <w:rFonts w:hint="eastAsia" w:ascii="宋体" w:hAnsi="宋体" w:cs="宋体"/>
          <w:b/>
          <w:sz w:val="36"/>
          <w:szCs w:val="36"/>
        </w:rPr>
      </w:pPr>
      <w:bookmarkStart w:id="50" w:name="_Hlt68072998"/>
      <w:bookmarkEnd w:id="50"/>
      <w:bookmarkStart w:id="51" w:name="_Hlt75236011"/>
      <w:bookmarkEnd w:id="51"/>
      <w:bookmarkStart w:id="52" w:name="_Hlt68072990"/>
      <w:bookmarkEnd w:id="52"/>
      <w:bookmarkStart w:id="53" w:name="_Hlt74729768"/>
      <w:bookmarkEnd w:id="53"/>
      <w:bookmarkStart w:id="54" w:name="_Hlt74707468"/>
      <w:bookmarkEnd w:id="54"/>
      <w:bookmarkStart w:id="55" w:name="_Hlt68057669"/>
      <w:bookmarkEnd w:id="55"/>
      <w:bookmarkStart w:id="56" w:name="_Hlt75236290"/>
      <w:bookmarkEnd w:id="56"/>
      <w:bookmarkStart w:id="57" w:name="_Hlt68403820"/>
      <w:bookmarkEnd w:id="57"/>
      <w:bookmarkStart w:id="58" w:name="_Hlt74714665"/>
      <w:bookmarkEnd w:id="58"/>
      <w:bookmarkStart w:id="59" w:name="_Hlt75236101"/>
      <w:bookmarkEnd w:id="59"/>
      <w:bookmarkStart w:id="60" w:name="_Hlt74730295"/>
      <w:bookmarkEnd w:id="60"/>
      <w:bookmarkStart w:id="61" w:name="_Hlt68073093"/>
      <w:bookmarkEnd w:id="61"/>
      <w:bookmarkStart w:id="62" w:name="_Toc28829"/>
      <w:bookmarkStart w:id="63" w:name="_Toc20506"/>
      <w:bookmarkStart w:id="64" w:name="_Toc32252"/>
      <w:bookmarkStart w:id="65" w:name="第四部分"/>
      <w:r>
        <w:rPr>
          <w:rFonts w:hint="eastAsia" w:ascii="宋体" w:hAnsi="宋体"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bookmarkEnd w:id="62"/>
      <w:bookmarkEnd w:id="63"/>
      <w:bookmarkEnd w:id="64"/>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cs="宋体"/>
          <w:b/>
          <w:bCs/>
          <w:sz w:val="24"/>
        </w:rPr>
      </w:pPr>
      <w:r>
        <w:rPr>
          <w:rFonts w:hint="eastAsia" w:ascii="宋体" w:hAnsi="宋体" w:cs="宋体"/>
          <w:b/>
          <w:bCs/>
          <w:sz w:val="24"/>
        </w:rPr>
        <w:t>“▲” 系指实质性要求条款，“</w:t>
      </w:r>
      <w:sdt>
        <w:sdtPr>
          <w:rPr>
            <w:rFonts w:hint="eastAsia" w:ascii="宋体" w:hAnsi="宋体" w:cs="宋体"/>
            <w:b/>
            <w:bCs/>
            <w:kern w:val="0"/>
            <w:sz w:val="24"/>
          </w:rPr>
          <w:id w:val="512970236"/>
          <w14:checkbox>
            <w14:checked w14:val="1"/>
            <w14:checkedState w14:val="00FE" w14:font="Wingdings"/>
            <w14:uncheckedState w14:val="2610" w14:font="MS Gothic"/>
          </w14:checkbox>
        </w:sdtPr>
        <w:sdtEndPr>
          <w:rPr>
            <w:rFonts w:hint="eastAsia" w:ascii="宋体" w:hAnsi="宋体" w:cs="宋体"/>
            <w:b/>
            <w:bCs/>
            <w:kern w:val="0"/>
            <w:sz w:val="24"/>
          </w:rPr>
        </w:sdtEndPr>
        <w:sdtContent>
          <w:r>
            <w:rPr>
              <w:rFonts w:ascii="Wingdings" w:hAnsi="Wingdings" w:cs="宋体"/>
              <w:b/>
              <w:bCs/>
              <w:kern w:val="0"/>
              <w:sz w:val="24"/>
            </w:rPr>
            <w:t></w:t>
          </w:r>
        </w:sdtContent>
      </w:sdt>
      <w:r>
        <w:rPr>
          <w:rFonts w:hint="eastAsia" w:ascii="宋体" w:hAnsi="宋体" w:cs="宋体"/>
          <w:b/>
          <w:bCs/>
          <w:sz w:val="24"/>
        </w:rPr>
        <w:t>” 系指适用本项目的要求，“</w:t>
      </w:r>
      <w:sdt>
        <w:sdtPr>
          <w:rPr>
            <w:rFonts w:hint="eastAsia" w:ascii="宋体" w:hAnsi="宋体" w:cs="宋体"/>
            <w:b/>
            <w:bCs/>
            <w:kern w:val="0"/>
            <w:sz w:val="24"/>
          </w:rPr>
          <w:id w:val="404888855"/>
          <w14:checkbox>
            <w14:checked w14:val="0"/>
            <w14:checkedState w14:val="00FE" w14:font="Wingdings"/>
            <w14:uncheckedState w14:val="2610" w14:font="MS Gothic"/>
          </w14:checkbox>
        </w:sdtPr>
        <w:sdtEndPr>
          <w:rPr>
            <w:rFonts w:hint="eastAsia" w:ascii="宋体" w:hAnsi="宋体" w:cs="宋体"/>
            <w:b/>
            <w:bCs/>
            <w:kern w:val="0"/>
            <w:sz w:val="24"/>
          </w:rPr>
        </w:sdtEndPr>
        <w:sdtContent>
          <w:r>
            <w:rPr>
              <w:rFonts w:hint="eastAsia" w:ascii="宋体" w:hAnsi="宋体" w:cs="宋体"/>
              <w:b/>
              <w:bCs/>
              <w:kern w:val="0"/>
              <w:sz w:val="24"/>
            </w:rPr>
            <w:t>☐</w:t>
          </w:r>
        </w:sdtContent>
      </w:sdt>
      <w:r>
        <w:rPr>
          <w:rFonts w:hint="eastAsia" w:ascii="宋体" w:hAnsi="宋体" w:cs="宋体"/>
          <w:b/>
          <w:bCs/>
          <w:sz w:val="24"/>
        </w:rPr>
        <w:t>” 系指不适用本项目的要求。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val="0"/>
          <w:bCs w:val="0"/>
          <w:kern w:val="0"/>
          <w:sz w:val="24"/>
        </w:rPr>
      </w:pPr>
      <w:r>
        <w:rPr>
          <w:rFonts w:hint="eastAsia" w:ascii="宋体" w:hAnsi="宋体" w:eastAsia="宋体" w:cs="宋体"/>
          <w:b/>
          <w:bCs/>
          <w:kern w:val="0"/>
          <w:sz w:val="28"/>
          <w:szCs w:val="28"/>
        </w:rPr>
        <w:t>一、项目总体要求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lang w:eastAsia="zh-CN"/>
        </w:rPr>
      </w:pPr>
      <w:r>
        <w:rPr>
          <w:rFonts w:hint="eastAsia" w:ascii="宋体" w:hAnsi="宋体" w:eastAsia="宋体" w:cs="宋体"/>
          <w:kern w:val="0"/>
          <w:sz w:val="24"/>
        </w:rPr>
        <w:t>浙江省公安厅交管局对“浙江交警”新媒体（微信公众号、微博、头条号、抖音、快手、微信视频号）运维服务项目进行采购</w:t>
      </w:r>
      <w:r>
        <w:rPr>
          <w:rFonts w:hint="eastAsia" w:ascii="宋体" w:hAnsi="宋体" w:cs="宋体"/>
          <w:kern w:val="0"/>
          <w:sz w:val="24"/>
          <w:lang w:eastAsia="zh-CN"/>
        </w:rPr>
        <w:t>。</w:t>
      </w:r>
      <w:r>
        <w:rPr>
          <w:rFonts w:hint="eastAsia" w:ascii="宋体" w:hAnsi="宋体" w:eastAsia="宋体" w:cs="宋体"/>
          <w:kern w:val="0"/>
          <w:sz w:val="24"/>
        </w:rPr>
        <w:t>服务周期为2年，项目分4期实施</w:t>
      </w:r>
      <w:r>
        <w:rPr>
          <w:rFonts w:hint="eastAsia" w:ascii="宋体" w:hAnsi="宋体" w:cs="宋体"/>
          <w:kern w:val="0"/>
          <w:sz w:val="24"/>
          <w:lang w:eastAsia="zh-CN"/>
        </w:rPr>
        <w:t>。</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二</w:t>
      </w:r>
      <w:r>
        <w:rPr>
          <w:rFonts w:hint="eastAsia" w:ascii="宋体" w:hAnsi="宋体" w:eastAsia="宋体" w:cs="宋体"/>
          <w:b/>
          <w:bCs/>
          <w:kern w:val="0"/>
          <w:sz w:val="28"/>
          <w:szCs w:val="28"/>
        </w:rPr>
        <w:t>、项目实施时间</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自项目合同签订之日起贰年。</w:t>
      </w:r>
    </w:p>
    <w:p>
      <w:pPr>
        <w:keepNext w:val="0"/>
        <w:keepLines w:val="0"/>
        <w:pageBreakBefore w:val="0"/>
        <w:numPr>
          <w:ilvl w:val="0"/>
          <w:numId w:val="1"/>
        </w:numPr>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投标人</w:t>
      </w:r>
      <w:r>
        <w:rPr>
          <w:rFonts w:hint="eastAsia" w:ascii="宋体" w:hAnsi="宋体" w:eastAsia="宋体" w:cs="宋体"/>
          <w:b/>
          <w:bCs/>
          <w:kern w:val="0"/>
          <w:sz w:val="28"/>
          <w:szCs w:val="28"/>
          <w:lang w:val="en-US" w:eastAsia="zh-CN"/>
        </w:rPr>
        <w:t>要求</w:t>
      </w:r>
    </w:p>
    <w:p>
      <w:pPr>
        <w:keepNext w:val="0"/>
        <w:keepLines w:val="0"/>
        <w:pageBreakBefore w:val="0"/>
        <w:tabs>
          <w:tab w:val="left" w:pos="0"/>
        </w:tabs>
        <w:kinsoku/>
        <w:wordWrap/>
        <w:overflowPunct/>
        <w:topLinePunct w:val="0"/>
        <w:bidi w:val="0"/>
        <w:spacing w:line="360" w:lineRule="auto"/>
        <w:ind w:firstLine="480"/>
        <w:textAlignment w:val="auto"/>
        <w:rPr>
          <w:rFonts w:hint="default" w:ascii="宋体" w:hAnsi="宋体" w:eastAsia="宋体" w:cs="宋体"/>
          <w:b/>
          <w:bCs/>
          <w:kern w:val="0"/>
          <w:sz w:val="24"/>
          <w:lang w:val="en-US" w:eastAsia="zh-CN"/>
        </w:rPr>
      </w:pPr>
      <w:r>
        <w:rPr>
          <w:rFonts w:hint="eastAsia" w:ascii="宋体" w:hAnsi="宋体" w:eastAsia="宋体" w:cs="宋体"/>
          <w:b/>
          <w:bCs w:val="0"/>
          <w:sz w:val="24"/>
          <w:szCs w:val="24"/>
        </w:rPr>
        <w:t>▲</w:t>
      </w:r>
      <w:r>
        <w:rPr>
          <w:rFonts w:hint="eastAsia" w:ascii="宋体" w:hAnsi="宋体" w:eastAsia="宋体" w:cs="宋体"/>
          <w:kern w:val="0"/>
          <w:sz w:val="24"/>
          <w:lang w:val="en-US" w:eastAsia="zh-CN"/>
        </w:rPr>
        <w:t>投标人要求须符合《浙江省人民政府办公厅关于全面推进基层政务新媒体规范化建设工作的实施意见》（浙政办发【2022】15号】）中关于委托第三方运营的相关规定：“(四)规范委托运营。</w:t>
      </w:r>
      <w:r>
        <w:rPr>
          <w:rFonts w:hint="eastAsia" w:ascii="宋体" w:hAnsi="宋体" w:eastAsia="宋体" w:cs="宋体"/>
          <w:b/>
          <w:bCs/>
          <w:kern w:val="0"/>
          <w:sz w:val="24"/>
          <w:lang w:val="en-US" w:eastAsia="zh-CN"/>
        </w:rPr>
        <w:t>政务新媒体内容运营业务原则上由主办单位负责运营,确需委托第三方运营的，受委托方应为主办单位下属企事业单位，或主流新闻媒体、具有互联网新闻信息采编发布服务资质的主流新闻网站等。</w:t>
      </w:r>
      <w:r>
        <w:rPr>
          <w:rFonts w:hint="eastAsia" w:ascii="宋体" w:hAnsi="宋体" w:eastAsia="宋体" w:cs="宋体"/>
          <w:kern w:val="0"/>
          <w:sz w:val="24"/>
          <w:lang w:val="en-US" w:eastAsia="zh-CN"/>
        </w:rPr>
        <w:t>不得将内容运营业务外包给社会组织、社会企业等无新闻采编发布服务资质的单位,合规受委托方不得将内容运营业务再次转包。双方须明确约定有关权责，签订保密协议，加强日常监督。”</w:t>
      </w:r>
      <w:r>
        <w:rPr>
          <w:rFonts w:hint="eastAsia" w:ascii="宋体" w:hAnsi="宋体" w:cs="宋体"/>
          <w:b/>
          <w:bCs/>
          <w:kern w:val="0"/>
          <w:sz w:val="24"/>
          <w:lang w:val="en-US" w:eastAsia="zh-CN"/>
        </w:rPr>
        <w:t>投标人在投标文件中提供响应证明材料或承诺，否则为无效投标。</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四、服务</w:t>
      </w:r>
      <w:r>
        <w:rPr>
          <w:rFonts w:hint="eastAsia" w:ascii="宋体" w:hAnsi="宋体" w:eastAsia="宋体" w:cs="宋体"/>
          <w:b/>
          <w:bCs/>
          <w:kern w:val="0"/>
          <w:sz w:val="28"/>
          <w:szCs w:val="28"/>
        </w:rPr>
        <w:t>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（一）公司与团队要求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.本项目主创团队承诺在服务期间，安排3名新媒体小编驻场（1名美工、1名视频剪辑人员、1名文字策划），驻场地点：浙江省公安厅交通管理局，杭州市上城区运河东路518号；</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cs="宋体"/>
          <w:kern w:val="0"/>
          <w:sz w:val="24"/>
          <w:lang w:val="en-US" w:eastAsia="zh-CN"/>
        </w:rPr>
        <w:t>2</w:t>
      </w:r>
      <w:r>
        <w:rPr>
          <w:rFonts w:hint="eastAsia" w:ascii="宋体" w:hAnsi="宋体" w:eastAsia="宋体" w:cs="宋体"/>
          <w:kern w:val="0"/>
          <w:sz w:val="24"/>
        </w:rPr>
        <w:t>.团队主创人员及驻场小编具有2年以上代运营服务工作经验；</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（二）服务能力要求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投标人</w:t>
      </w:r>
      <w:r>
        <w:rPr>
          <w:rFonts w:hint="eastAsia" w:ascii="宋体" w:hAnsi="宋体" w:eastAsia="宋体" w:cs="宋体"/>
          <w:kern w:val="0"/>
          <w:sz w:val="24"/>
        </w:rPr>
        <w:t>具有专业的运营团队，包括文案、策划、设计、美工、剪辑和新闻采编人员，具备微信小程序开发能力，并拥有相关联程序或功能的知识产权；</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2.本项目主创团队近2年内执行过不少于3家政务新媒体或头部企业（企业人数为1万以上）蓝V账号代运营项目（需提供有效代运营合同扫描件及账号登陆截图，涉及机密信息可隐去）；</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3.本项目主创团队擅长内容制作，需提供5个不同主题的新闻报道、5个不同创意方向的原创视频及各自传播效果截图。</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（三）规格技术展示要求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投标人</w:t>
      </w:r>
      <w:r>
        <w:rPr>
          <w:rFonts w:hint="eastAsia" w:ascii="宋体" w:hAnsi="宋体" w:eastAsia="宋体" w:cs="宋体"/>
          <w:kern w:val="0"/>
          <w:sz w:val="24"/>
        </w:rPr>
        <w:t>基本实力展示：（</w:t>
      </w:r>
      <w:r>
        <w:rPr>
          <w:rFonts w:hint="eastAsia" w:ascii="宋体" w:hAnsi="宋体" w:cs="宋体"/>
          <w:kern w:val="0"/>
          <w:sz w:val="24"/>
          <w:lang w:val="en-US" w:eastAsia="zh-CN"/>
        </w:rPr>
        <w:t>投标文件中体现</w:t>
      </w:r>
      <w:r>
        <w:rPr>
          <w:rFonts w:hint="eastAsia" w:ascii="宋体" w:hAnsi="宋体" w:eastAsia="宋体" w:cs="宋体"/>
          <w:kern w:val="0"/>
          <w:sz w:val="24"/>
        </w:rPr>
        <w:t>）包括公司资质、人员架构、相关优秀案例等；</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投标人</w:t>
      </w:r>
      <w:r>
        <w:rPr>
          <w:rFonts w:hint="eastAsia" w:ascii="宋体" w:hAnsi="宋体" w:eastAsia="宋体" w:cs="宋体"/>
          <w:kern w:val="0"/>
          <w:sz w:val="24"/>
        </w:rPr>
        <w:t>专业能力展示：（投标文件中</w:t>
      </w:r>
      <w:r>
        <w:rPr>
          <w:rFonts w:hint="eastAsia" w:ascii="宋体" w:hAnsi="宋体" w:cs="宋体"/>
          <w:kern w:val="0"/>
          <w:sz w:val="24"/>
          <w:lang w:val="en-US" w:eastAsia="zh-CN"/>
        </w:rPr>
        <w:t>体现</w:t>
      </w:r>
      <w:r>
        <w:rPr>
          <w:rFonts w:hint="eastAsia" w:ascii="宋体" w:hAnsi="宋体" w:eastAsia="宋体" w:cs="宋体"/>
          <w:kern w:val="0"/>
          <w:sz w:val="24"/>
        </w:rPr>
        <w:t>）</w:t>
      </w:r>
      <w:r>
        <w:rPr>
          <w:rFonts w:hint="eastAsia" w:ascii="宋体" w:hAnsi="宋体" w:eastAsia="宋体" w:cs="宋体"/>
          <w:kern w:val="0"/>
          <w:sz w:val="24"/>
          <w:lang w:eastAsia="zh-CN"/>
        </w:rPr>
        <w:t>投标人</w:t>
      </w:r>
      <w:r>
        <w:rPr>
          <w:rFonts w:hint="eastAsia" w:ascii="宋体" w:hAnsi="宋体" w:eastAsia="宋体" w:cs="宋体"/>
          <w:kern w:val="0"/>
          <w:sz w:val="24"/>
        </w:rPr>
        <w:t>有较强的行业洞见力、用户洞察、创意策划力、技术执行力，能够围绕内容需求提交高质量的创意提案。</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五</w:t>
      </w:r>
      <w:r>
        <w:rPr>
          <w:rFonts w:hint="eastAsia" w:ascii="宋体" w:hAnsi="宋体" w:eastAsia="宋体" w:cs="宋体"/>
          <w:b/>
          <w:bCs/>
          <w:kern w:val="0"/>
          <w:sz w:val="28"/>
          <w:szCs w:val="28"/>
        </w:rPr>
        <w:t>、技术要求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（一）运维范围及具体要求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lang w:eastAsia="zh-CN"/>
        </w:rPr>
        <w:t>投标人</w:t>
      </w:r>
      <w:r>
        <w:rPr>
          <w:rFonts w:hint="eastAsia" w:ascii="宋体" w:hAnsi="宋体" w:eastAsia="宋体" w:cs="宋体"/>
          <w:kern w:val="0"/>
          <w:sz w:val="24"/>
        </w:rPr>
        <w:t>具体负责“浙江交警”新媒体（微信公众号、微博、头条号、抖音、快手、微信视频号）账号日常运维，包括选题策划、素材收集、文章撰写、视频拍摄剪辑、图文设计、推广传播、数据分析、平台技术支持等工作，同时协助做好舆情监控及危机处理，提供“浙江交警”IP全周期服务策略。</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1.图文内容创作</w:t>
      </w:r>
    </w:p>
    <w:p>
      <w:pPr>
        <w:keepNext w:val="0"/>
        <w:keepLines w:val="0"/>
        <w:pageBreakBefore w:val="0"/>
        <w:tabs>
          <w:tab w:val="left" w:pos="0"/>
        </w:tabs>
        <w:kinsoku/>
        <w:wordWrap/>
        <w:overflowPunct/>
        <w:topLinePunct w:val="0"/>
        <w:bidi w:val="0"/>
        <w:spacing w:line="360" w:lineRule="auto"/>
        <w:ind w:firstLine="480"/>
        <w:textAlignment w:val="auto"/>
        <w:rPr>
          <w:rFonts w:hint="default" w:ascii="宋体" w:hAnsi="宋体" w:cs="宋体"/>
          <w:kern w:val="0"/>
          <w:sz w:val="24"/>
          <w:lang w:val="en-US" w:eastAsia="zh-CN"/>
        </w:rPr>
      </w:pPr>
      <w:r>
        <w:rPr>
          <w:rFonts w:hint="eastAsia" w:ascii="宋体" w:hAnsi="宋体" w:cs="宋体"/>
          <w:kern w:val="0"/>
          <w:sz w:val="24"/>
          <w:lang w:val="en-US" w:eastAsia="zh-CN"/>
        </w:rPr>
        <w:t>专稿</w:t>
      </w:r>
      <w:r>
        <w:rPr>
          <w:rFonts w:hint="eastAsia" w:ascii="宋体" w:hAnsi="宋体" w:eastAsia="宋体" w:cs="宋体"/>
          <w:kern w:val="0"/>
          <w:sz w:val="24"/>
        </w:rPr>
        <w:t>：</w:t>
      </w:r>
      <w:r>
        <w:rPr>
          <w:rFonts w:hint="eastAsia" w:ascii="宋体" w:hAnsi="宋体" w:cs="宋体"/>
          <w:kern w:val="0"/>
          <w:sz w:val="24"/>
          <w:lang w:val="en-US" w:eastAsia="zh-CN"/>
        </w:rPr>
        <w:t>根据甲方实际工作需求，对重大事件、人物等进行报道。每个月专稿上限为2条。</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日常原创内容：包括文案设计、图片设计、内容排版等，每篇图文定制平面设计，活动界面美化等。</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根据需要进行动画设计、宣传海报等设计制作。</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其他招标方指令创作的图文内容。</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2.视频制作</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原创主题视频：</w:t>
      </w:r>
      <w:r>
        <w:rPr>
          <w:rFonts w:hint="eastAsia" w:ascii="宋体" w:hAnsi="宋体" w:cs="宋体"/>
          <w:kern w:val="0"/>
          <w:sz w:val="24"/>
          <w:lang w:val="en-US" w:eastAsia="zh-CN"/>
        </w:rPr>
        <w:t>结合上级单位发布的每月度宣传主题，</w:t>
      </w:r>
      <w:r>
        <w:rPr>
          <w:rFonts w:hint="eastAsia" w:ascii="宋体" w:hAnsi="宋体" w:eastAsia="宋体" w:cs="宋体"/>
          <w:kern w:val="0"/>
          <w:sz w:val="24"/>
        </w:rPr>
        <w:t>开展音视频宣教片、专题片、微电影等策划、摄制、制作，含选题策划、采编、拍摄、整理、剪辑整个流程。平均每月发布不少于1条，视频时长3分钟</w:t>
      </w:r>
      <w:r>
        <w:rPr>
          <w:rFonts w:hint="eastAsia" w:ascii="宋体" w:hAnsi="宋体" w:cs="宋体"/>
          <w:kern w:val="0"/>
          <w:sz w:val="24"/>
          <w:lang w:val="en-US" w:eastAsia="zh-CN"/>
        </w:rPr>
        <w:t>以内</w:t>
      </w:r>
      <w:r>
        <w:rPr>
          <w:rFonts w:hint="eastAsia" w:ascii="宋体" w:hAnsi="宋体" w:eastAsia="宋体" w:cs="宋体"/>
          <w:kern w:val="0"/>
          <w:sz w:val="24"/>
        </w:rPr>
        <w:t>，</w:t>
      </w:r>
      <w:r>
        <w:rPr>
          <w:rFonts w:hint="eastAsia" w:ascii="宋体" w:hAnsi="宋体" w:cs="宋体"/>
          <w:kern w:val="0"/>
          <w:sz w:val="24"/>
          <w:lang w:val="en-US" w:eastAsia="zh-CN"/>
        </w:rPr>
        <w:t>全</w:t>
      </w:r>
      <w:r>
        <w:rPr>
          <w:rFonts w:hint="eastAsia" w:ascii="宋体" w:hAnsi="宋体" w:eastAsia="宋体" w:cs="宋体"/>
          <w:kern w:val="0"/>
          <w:sz w:val="24"/>
        </w:rPr>
        <w:t>平台可通用。</w:t>
      </w:r>
      <w:r>
        <w:rPr>
          <w:rFonts w:hint="eastAsia" w:ascii="宋体" w:hAnsi="宋体" w:cs="宋体"/>
          <w:kern w:val="0"/>
          <w:sz w:val="24"/>
          <w:lang w:val="en-US" w:eastAsia="zh-CN"/>
        </w:rPr>
        <w:t>要求</w:t>
      </w:r>
      <w:r>
        <w:rPr>
          <w:rFonts w:hint="eastAsia" w:ascii="宋体" w:hAnsi="宋体" w:eastAsia="宋体" w:cs="宋体"/>
          <w:kern w:val="0"/>
          <w:sz w:val="24"/>
        </w:rPr>
        <w:t>画质分辨率</w:t>
      </w:r>
      <w:r>
        <w:rPr>
          <w:rFonts w:hint="eastAsia" w:ascii="宋体" w:hAnsi="宋体" w:cs="宋体"/>
          <w:kern w:val="0"/>
          <w:sz w:val="24"/>
          <w:lang w:val="en-US" w:eastAsia="zh-CN"/>
        </w:rPr>
        <w:t>不低于</w:t>
      </w:r>
      <w:r>
        <w:rPr>
          <w:rFonts w:hint="eastAsia" w:ascii="宋体" w:hAnsi="宋体" w:eastAsia="宋体" w:cs="宋体"/>
          <w:kern w:val="0"/>
          <w:sz w:val="24"/>
        </w:rPr>
        <w:t>1080*1920</w:t>
      </w:r>
      <w:r>
        <w:rPr>
          <w:rFonts w:hint="eastAsia" w:ascii="宋体" w:hAnsi="宋体" w:cs="宋体"/>
          <w:kern w:val="0"/>
          <w:sz w:val="24"/>
          <w:lang w:eastAsia="zh-CN"/>
        </w:rPr>
        <w:t>；</w:t>
      </w:r>
      <w:r>
        <w:rPr>
          <w:rFonts w:hint="eastAsia" w:ascii="宋体" w:hAnsi="宋体" w:eastAsia="宋体" w:cs="宋体"/>
          <w:kern w:val="0"/>
          <w:sz w:val="24"/>
        </w:rPr>
        <w:t>影片配音</w:t>
      </w:r>
      <w:r>
        <w:rPr>
          <w:rFonts w:hint="eastAsia" w:ascii="宋体" w:hAnsi="宋体" w:cs="宋体"/>
          <w:kern w:val="0"/>
          <w:sz w:val="24"/>
          <w:lang w:val="en-US" w:eastAsia="zh-CN"/>
        </w:rPr>
        <w:t>上</w:t>
      </w:r>
      <w:r>
        <w:rPr>
          <w:rFonts w:hint="eastAsia" w:ascii="宋体" w:hAnsi="宋体" w:eastAsia="宋体" w:cs="宋体"/>
          <w:kern w:val="0"/>
          <w:sz w:val="24"/>
        </w:rPr>
        <w:t>语速稳定、吐字清晰，与画面风格和人物表现形式相吻合；镜头画面</w:t>
      </w:r>
      <w:r>
        <w:rPr>
          <w:rFonts w:hint="eastAsia" w:ascii="宋体" w:hAnsi="宋体" w:cs="宋体"/>
          <w:kern w:val="0"/>
          <w:sz w:val="24"/>
          <w:lang w:val="en-US" w:eastAsia="zh-CN"/>
        </w:rPr>
        <w:t>上要求</w:t>
      </w:r>
      <w:r>
        <w:rPr>
          <w:rFonts w:hint="eastAsia" w:ascii="宋体" w:hAnsi="宋体" w:eastAsia="宋体" w:cs="宋体"/>
          <w:kern w:val="0"/>
          <w:sz w:val="24"/>
        </w:rPr>
        <w:t>画面构图</w:t>
      </w:r>
      <w:r>
        <w:rPr>
          <w:rFonts w:hint="eastAsia" w:ascii="宋体" w:hAnsi="宋体" w:cs="宋体"/>
          <w:kern w:val="0"/>
          <w:sz w:val="24"/>
          <w:lang w:val="en-US" w:eastAsia="zh-CN"/>
        </w:rPr>
        <w:t>和</w:t>
      </w:r>
      <w:r>
        <w:rPr>
          <w:rFonts w:hint="eastAsia" w:ascii="宋体" w:hAnsi="宋体" w:eastAsia="宋体" w:cs="宋体"/>
          <w:kern w:val="0"/>
          <w:sz w:val="24"/>
        </w:rPr>
        <w:t>光影氛围协调；使用专业调色，保证画面质量清晰、色彩准确，无压缩</w:t>
      </w:r>
      <w:r>
        <w:rPr>
          <w:rFonts w:hint="eastAsia" w:ascii="宋体" w:hAnsi="宋体" w:cs="宋体"/>
          <w:kern w:val="0"/>
          <w:sz w:val="24"/>
          <w:lang w:eastAsia="zh-CN"/>
        </w:rPr>
        <w:t>。</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再加工短视频（不含直接转发视频）：每周发布不少于</w:t>
      </w:r>
      <w:r>
        <w:rPr>
          <w:rFonts w:hint="eastAsia" w:ascii="宋体" w:hAnsi="宋体" w:cs="宋体"/>
          <w:kern w:val="0"/>
          <w:sz w:val="24"/>
          <w:lang w:val="en-US" w:eastAsia="zh-CN"/>
        </w:rPr>
        <w:t>15</w:t>
      </w:r>
      <w:r>
        <w:rPr>
          <w:rFonts w:hint="eastAsia" w:ascii="宋体" w:hAnsi="宋体" w:eastAsia="宋体" w:cs="宋体"/>
          <w:kern w:val="0"/>
          <w:sz w:val="24"/>
        </w:rPr>
        <w:t>条，对现有公共视频、执法记录仪视频等素材进行提炼、整合、剪辑。时长在一分钟之内，要求声音和画面同步，画面衔接处无明显缺陷</w:t>
      </w:r>
      <w:r>
        <w:rPr>
          <w:rFonts w:hint="eastAsia" w:ascii="宋体" w:hAnsi="宋体" w:cs="宋体"/>
          <w:kern w:val="0"/>
          <w:sz w:val="24"/>
          <w:lang w:eastAsia="zh-CN"/>
        </w:rPr>
        <w:t>，</w:t>
      </w:r>
      <w:r>
        <w:rPr>
          <w:rFonts w:hint="eastAsia" w:ascii="宋体" w:hAnsi="宋体" w:cs="宋体"/>
          <w:kern w:val="0"/>
          <w:sz w:val="24"/>
          <w:lang w:val="en-US" w:eastAsia="zh-CN"/>
        </w:rPr>
        <w:t>新媒体平台可通用</w:t>
      </w:r>
      <w:r>
        <w:rPr>
          <w:rFonts w:hint="eastAsia" w:ascii="宋体" w:hAnsi="宋体" w:eastAsia="宋体" w:cs="宋体"/>
          <w:kern w:val="0"/>
          <w:sz w:val="24"/>
        </w:rPr>
        <w:t>。</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其他招标方指令制作的视频：制作标准参照以上要求执行，根据具体情况做适度调整。每个月原创主题视频上限为3条，每周再加工短视频上限为25条。</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3.更新数量</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微信公众号：每日发布不少于3次，包含至少1篇原创文章，每篇文章均包含文字、图片、视频等素材内容。每周发布不少于5次，另根据交通出行特点、恶劣天气以及工作需要随时发布。</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微博：平均每日发布博文不少于10条（不含转发）。</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今日头条：平均每日发布稿件不少于10条（不含转发）。</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抖音、快手、视频号：平均每日发布短视频稿件均不少于</w:t>
      </w:r>
      <w:r>
        <w:rPr>
          <w:rFonts w:hint="eastAsia" w:ascii="宋体" w:hAnsi="宋体" w:cs="宋体"/>
          <w:kern w:val="0"/>
          <w:sz w:val="24"/>
          <w:lang w:val="en-US" w:eastAsia="zh-CN"/>
        </w:rPr>
        <w:t>3</w:t>
      </w:r>
      <w:r>
        <w:rPr>
          <w:rFonts w:hint="eastAsia" w:ascii="宋体" w:hAnsi="宋体" w:eastAsia="宋体" w:cs="宋体"/>
          <w:kern w:val="0"/>
          <w:sz w:val="24"/>
        </w:rPr>
        <w:t>条（不含转发）。</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（二）账号运营管理</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1.账号运营维护</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开展账号管理，包括网友评论回复、热点信息监控、在特殊活动节点需要按照计划在线协助进行官方引导，以及账号粉丝运营管理等。</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2.数据分析和策划推广</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出具运营月报、运营年报分析（均含舆情分析内容），其中月报、年报需提供每月详细数据监测结果与分析，并提交至招标方邮箱或微信。根据“浙江交警”不同平台账号制定不同推广策略，确保账号在平台内的影响力。</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3.运营时间</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正常工作日和有重要内容需要发布的法定节假日或双休日，具体以招标方通知为准。</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4.技术服务要求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1）严格落实《浙江省基层政务新媒体规范化建设指南》《厅</w:t>
      </w:r>
      <w:r>
        <w:rPr>
          <w:rFonts w:hint="eastAsia" w:ascii="宋体" w:hAnsi="宋体" w:cs="宋体"/>
          <w:kern w:val="0"/>
          <w:sz w:val="24"/>
          <w:lang w:val="en-US" w:eastAsia="zh-CN"/>
        </w:rPr>
        <w:t>交管局</w:t>
      </w:r>
      <w:r>
        <w:rPr>
          <w:rFonts w:hint="eastAsia" w:ascii="宋体" w:hAnsi="宋体" w:eastAsia="宋体" w:cs="宋体"/>
          <w:kern w:val="0"/>
          <w:sz w:val="24"/>
        </w:rPr>
        <w:t>交通安全宣传对外信息发布审核工作规范》等相关规章制度，确保“浙江交警”新媒体矩阵所有账号按要求规范运营，不得出现全省政务新媒体考核评价指标规定的“一票否决”情况。</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2）冲榜目标：“中央政法委‘四个一百’优秀政法新媒体榜单”、浙江政法系统账号影响力榜单等。</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）每日向“公安部交通管理局”及国家级新媒体平台投稿并确保每月录用不少于30篇。</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cs="宋体"/>
          <w:kern w:val="0"/>
          <w:sz w:val="24"/>
          <w:lang w:val="en-US" w:eastAsia="zh-CN"/>
        </w:rPr>
        <w:t>4</w:t>
      </w:r>
      <w:r>
        <w:rPr>
          <w:rFonts w:hint="eastAsia" w:ascii="宋体" w:hAnsi="宋体" w:eastAsia="宋体" w:cs="宋体"/>
          <w:kern w:val="0"/>
          <w:sz w:val="24"/>
        </w:rPr>
        <w:t>）人员驻场要求：驻场服务人员须符合合同要求。在招标方单位工作期间，实行每日考勤制度，要求严格遵守招标方单位相关纪律规定，服从招标方日常管理，根据招标方指令积极开展工作，确因工作原因驻场人员要进行变更的，须经招标方同意后替换成符合合同要求的服务人员；服务单位应和招标方共同商议为其制定专门薪资发放办法，由招标方按照办法对其进行月考核，符合发放条件后由服务单位予以发放，不符合条件的不予发放。</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）项目执行过程中，服务单位应以招标方的实际要求为优先，确保招标方的合理指令顺畅落实。</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（三）平台功能维护</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1.协助做好舆情监测并</w:t>
      </w:r>
      <w:r>
        <w:rPr>
          <w:rFonts w:hint="eastAsia" w:ascii="宋体" w:hAnsi="宋体" w:cs="宋体"/>
          <w:kern w:val="0"/>
          <w:sz w:val="24"/>
          <w:lang w:val="en-US" w:eastAsia="zh-CN"/>
        </w:rPr>
        <w:t>进行危机处理</w:t>
      </w:r>
      <w:r>
        <w:rPr>
          <w:rFonts w:hint="eastAsia" w:ascii="宋体" w:hAnsi="宋体" w:eastAsia="宋体" w:cs="宋体"/>
          <w:kern w:val="0"/>
          <w:sz w:val="24"/>
        </w:rPr>
        <w:t>。新媒体信息发布后进行密集监控及维护，对平台出现相关负面信息第一时间汇报处理。</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cs="宋体"/>
          <w:kern w:val="0"/>
          <w:sz w:val="24"/>
          <w:lang w:val="en-US" w:eastAsia="zh-CN"/>
        </w:rPr>
        <w:t>2</w:t>
      </w:r>
      <w:r>
        <w:rPr>
          <w:rFonts w:hint="eastAsia" w:ascii="宋体" w:hAnsi="宋体" w:eastAsia="宋体" w:cs="宋体"/>
          <w:kern w:val="0"/>
          <w:sz w:val="24"/>
        </w:rPr>
        <w:t>.平台技术保障。提供平台技术支持、用户服务，承担各平台技术保障，确保服务期间稳定运营。</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（四）其他</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1.协助策划开展</w:t>
      </w:r>
      <w:r>
        <w:rPr>
          <w:rFonts w:hint="eastAsia" w:ascii="宋体" w:hAnsi="宋体" w:cs="宋体"/>
          <w:kern w:val="0"/>
          <w:sz w:val="24"/>
          <w:lang w:val="en-US" w:eastAsia="zh-CN"/>
        </w:rPr>
        <w:t>交通安全宣教</w:t>
      </w:r>
      <w:r>
        <w:rPr>
          <w:rFonts w:hint="eastAsia" w:ascii="宋体" w:hAnsi="宋体" w:eastAsia="宋体" w:cs="宋体"/>
          <w:kern w:val="0"/>
          <w:sz w:val="24"/>
        </w:rPr>
        <w:t>活动，服务单位应充分利用自身资源为招标方提供相应的服务：</w:t>
      </w:r>
    </w:p>
    <w:p>
      <w:pPr>
        <w:keepNext w:val="0"/>
        <w:keepLines w:val="0"/>
        <w:pageBreakBefore w:val="0"/>
        <w:tabs>
          <w:tab w:val="left" w:pos="0"/>
        </w:tabs>
        <w:kinsoku/>
        <w:wordWrap/>
        <w:overflowPunct/>
        <w:topLinePunct w:val="0"/>
        <w:bidi w:val="0"/>
        <w:spacing w:line="360" w:lineRule="auto"/>
        <w:ind w:firstLine="480"/>
        <w:textAlignment w:val="auto"/>
        <w:rPr>
          <w:rFonts w:hint="default" w:ascii="宋体" w:hAnsi="宋体" w:eastAsia="宋体" w:cs="宋体"/>
          <w:kern w:val="0"/>
          <w:sz w:val="24"/>
          <w:lang w:val="en-US"/>
        </w:rPr>
      </w:pPr>
      <w:r>
        <w:rPr>
          <w:rFonts w:hint="eastAsia" w:ascii="宋体" w:hAnsi="宋体" w:cs="宋体"/>
          <w:kern w:val="0"/>
          <w:sz w:val="24"/>
          <w:lang w:val="en-US" w:eastAsia="zh-CN"/>
        </w:rPr>
        <w:t>上级</w:t>
      </w:r>
      <w:r>
        <w:rPr>
          <w:rFonts w:hint="eastAsia" w:ascii="宋体" w:hAnsi="宋体" w:eastAsia="宋体" w:cs="宋体"/>
          <w:kern w:val="0"/>
          <w:sz w:val="24"/>
        </w:rPr>
        <w:t>要求的交通安全</w:t>
      </w:r>
      <w:r>
        <w:rPr>
          <w:rFonts w:hint="eastAsia" w:ascii="宋体" w:hAnsi="宋体" w:cs="宋体"/>
          <w:kern w:val="0"/>
          <w:sz w:val="24"/>
          <w:lang w:val="en-US" w:eastAsia="zh-CN"/>
        </w:rPr>
        <w:t>宣教</w:t>
      </w:r>
      <w:r>
        <w:rPr>
          <w:rFonts w:hint="eastAsia" w:ascii="宋体" w:hAnsi="宋体" w:eastAsia="宋体" w:cs="宋体"/>
          <w:kern w:val="0"/>
          <w:sz w:val="24"/>
        </w:rPr>
        <w:t>重点工作：如122全国交通安全日主题活动（主要为线上活动，按需增加线下活动）</w:t>
      </w:r>
      <w:r>
        <w:rPr>
          <w:rFonts w:hint="eastAsia" w:ascii="宋体" w:hAnsi="宋体" w:cs="宋体"/>
          <w:kern w:val="0"/>
          <w:sz w:val="24"/>
          <w:lang w:eastAsia="zh-CN"/>
        </w:rPr>
        <w:t>；</w:t>
      </w:r>
      <w:r>
        <w:rPr>
          <w:rFonts w:hint="eastAsia" w:ascii="宋体" w:hAnsi="宋体" w:eastAsia="宋体" w:cs="宋体"/>
          <w:kern w:val="0"/>
          <w:sz w:val="24"/>
        </w:rPr>
        <w:t>美丽乡村行活动（按照每季度宣传主题制作专题活动海报组图、推广小视频、公众号banner</w:t>
      </w:r>
      <w:r>
        <w:rPr>
          <w:rFonts w:hint="eastAsia" w:ascii="宋体" w:hAnsi="宋体" w:cs="宋体"/>
          <w:kern w:val="0"/>
          <w:sz w:val="24"/>
          <w:lang w:val="en-US" w:eastAsia="zh-CN"/>
        </w:rPr>
        <w:t>等</w:t>
      </w:r>
      <w:r>
        <w:rPr>
          <w:rFonts w:hint="eastAsia" w:ascii="宋体" w:hAnsi="宋体" w:eastAsia="宋体" w:cs="宋体"/>
          <w:kern w:val="0"/>
          <w:sz w:val="24"/>
        </w:rPr>
        <w:t>）</w:t>
      </w:r>
      <w:r>
        <w:rPr>
          <w:rFonts w:hint="eastAsia" w:ascii="宋体" w:hAnsi="宋体" w:cs="宋体"/>
          <w:kern w:val="0"/>
          <w:sz w:val="24"/>
          <w:lang w:eastAsia="zh-CN"/>
        </w:rPr>
        <w:t>。</w:t>
      </w:r>
    </w:p>
    <w:p>
      <w:pPr>
        <w:keepNext w:val="0"/>
        <w:keepLines w:val="0"/>
        <w:pageBreakBefore w:val="0"/>
        <w:tabs>
          <w:tab w:val="left" w:pos="0"/>
        </w:tabs>
        <w:kinsoku/>
        <w:wordWrap/>
        <w:overflowPunct/>
        <w:topLinePunct w:val="0"/>
        <w:bidi w:val="0"/>
        <w:spacing w:line="360" w:lineRule="auto"/>
        <w:ind w:firstLine="480"/>
        <w:textAlignment w:val="auto"/>
        <w:rPr>
          <w:rFonts w:hint="default" w:ascii="宋体" w:hAnsi="宋体" w:cs="宋体"/>
          <w:kern w:val="0"/>
          <w:sz w:val="24"/>
          <w:lang w:val="en-US" w:eastAsia="zh-CN"/>
        </w:rPr>
      </w:pPr>
      <w:r>
        <w:rPr>
          <w:rFonts w:hint="eastAsia" w:ascii="宋体" w:hAnsi="宋体" w:cs="宋体"/>
          <w:kern w:val="0"/>
          <w:sz w:val="24"/>
          <w:lang w:val="en-US" w:eastAsia="zh-CN"/>
        </w:rPr>
        <w:t>2.服务期间将具有留存价值的原始素材及播出稿及时整理存档。</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val="en-US" w:eastAsia="zh-CN"/>
        </w:rPr>
        <w:t>六</w:t>
      </w:r>
      <w:r>
        <w:rPr>
          <w:rFonts w:hint="eastAsia" w:ascii="宋体" w:hAnsi="宋体" w:eastAsia="宋体" w:cs="宋体"/>
          <w:b/>
          <w:bCs/>
          <w:kern w:val="0"/>
          <w:sz w:val="28"/>
          <w:szCs w:val="28"/>
          <w:highlight w:val="none"/>
        </w:rPr>
        <w:t>、项目验收要求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1.合同签订后，将以</w:t>
      </w:r>
      <w:r>
        <w:rPr>
          <w:rFonts w:hint="eastAsia" w:ascii="宋体" w:hAnsi="宋体" w:cs="宋体"/>
          <w:kern w:val="0"/>
          <w:sz w:val="24"/>
          <w:lang w:val="en-US" w:eastAsia="zh-CN"/>
        </w:rPr>
        <w:t>六个月</w:t>
      </w:r>
      <w:r>
        <w:rPr>
          <w:rFonts w:hint="eastAsia" w:ascii="宋体" w:hAnsi="宋体" w:eastAsia="宋体" w:cs="宋体"/>
          <w:kern w:val="0"/>
          <w:sz w:val="24"/>
        </w:rPr>
        <w:t>为单位，根据工作项目对投标方进行考核；每</w:t>
      </w:r>
      <w:r>
        <w:rPr>
          <w:rFonts w:hint="eastAsia" w:ascii="宋体" w:hAnsi="宋体" w:cs="宋体"/>
          <w:kern w:val="0"/>
          <w:sz w:val="24"/>
          <w:lang w:val="en-US" w:eastAsia="zh-CN"/>
        </w:rPr>
        <w:t>六个月</w:t>
      </w:r>
      <w:r>
        <w:rPr>
          <w:rFonts w:hint="eastAsia" w:ascii="宋体" w:hAnsi="宋体" w:eastAsia="宋体" w:cs="宋体"/>
          <w:kern w:val="0"/>
          <w:sz w:val="24"/>
        </w:rPr>
        <w:t>，由浙江省公安厅交管局根据招标文件要求和合同约定进行验收。</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2.验收由招标方负责实施；</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验收依据：</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合同、招标文件、投标文件；</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投标方提供的技术规格、经招标方认可的合同有效检验文件；</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投标方投标文件中提供的经招标方认可的验收标准（符合中国有关的国家、地方、行业标准）和检测办法及相应检测手段。</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.验收合格的条件：</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所供服务符合产品标准和合同的要求；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在进行测试和验收过程中发现的问题已被解决并得到招标方的认可；</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合同中规定的所有服务和材料均已交付；</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所供服务已通过使用单位组织的验收；</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所有相关的技术文件及资料均已提交并得到接受。</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b/>
          <w:bCs/>
          <w:kern w:val="0"/>
          <w:sz w:val="28"/>
          <w:szCs w:val="28"/>
          <w:lang w:val="en-US" w:eastAsia="zh-CN"/>
        </w:rPr>
        <w:t>七</w:t>
      </w:r>
      <w:r>
        <w:rPr>
          <w:rFonts w:hint="eastAsia" w:ascii="宋体" w:hAnsi="宋体" w:eastAsia="宋体" w:cs="宋体"/>
          <w:b/>
          <w:bCs/>
          <w:kern w:val="0"/>
          <w:sz w:val="28"/>
          <w:szCs w:val="28"/>
        </w:rPr>
        <w:t>、付款方式</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2024年不支付项目费用。项目经费纳入2025、2026年预算申报，在2025年至2026年期间每六个月一付，均待每期项目完成并验收合格后，甲方收到乙方开具的正式发票后7个工作日内支付合同金额。</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八、违约责任</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项目服务期内，如发现服务单位存在驻场服务人员不符合合同要求、未经招标方同意进行人员变更等相关违约问题，招标方将根据合同约定事项，责令服务单位整改，如服务单位逾期不整改或拒绝整改的，招标方有权提前解除合同并停止支付费用。</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九、其他要求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（一）保密要求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没有经过招标方书面同意，服务单位不得将招标方提供的有关合同或任何合同条文、规格、计划、内容、资料等保密信息提供给无关的任何其他人；招标方提供或服务单位定制的“浙江交警”宣传素材仅限于“浙江交警”新媒体工作使用，没有经过浙江省公安厅交管局书面同意，服务单位不得将前述“浙江交警”宣传素材擅自挪作他用。</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（二）知识产权</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1.本项目知识产权归浙江省公安厅交管局所有。</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2.服务单位提供服务过程中不得因己方原因侵犯任何第三方的合法知识产权。因服务单位违反此约定而导致招标方遭受任何舆情、索赔和诉讼的，由服务单位负责处理并承担一切责任。</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3.招标方有权利用服务单位提交的成果进行后续改进，由此产生的具有实质性或创造性特征的新的技术成果</w:t>
      </w:r>
      <w:r>
        <w:rPr>
          <w:rFonts w:hint="eastAsia" w:ascii="宋体" w:hAnsi="宋体" w:cs="宋体"/>
          <w:kern w:val="0"/>
          <w:sz w:val="24"/>
          <w:lang w:val="en-US" w:eastAsia="zh-CN"/>
        </w:rPr>
        <w:t>及其</w:t>
      </w:r>
      <w:r>
        <w:rPr>
          <w:rFonts w:hint="eastAsia" w:ascii="宋体" w:hAnsi="宋体" w:eastAsia="宋体" w:cs="宋体"/>
          <w:kern w:val="0"/>
          <w:sz w:val="24"/>
        </w:rPr>
        <w:t>权利归属全部归招标方所有。</w:t>
      </w:r>
    </w:p>
    <w:p>
      <w:pPr>
        <w:keepNext w:val="0"/>
        <w:keepLines w:val="0"/>
        <w:pageBreakBefore w:val="0"/>
        <w:tabs>
          <w:tab w:val="left" w:pos="0"/>
        </w:tabs>
        <w:kinsoku/>
        <w:wordWrap/>
        <w:overflowPunct/>
        <w:topLinePunct w:val="0"/>
        <w:bidi w:val="0"/>
        <w:spacing w:line="360" w:lineRule="auto"/>
        <w:ind w:firstLine="480"/>
        <w:jc w:val="center"/>
        <w:textAlignment w:val="auto"/>
        <w:rPr>
          <w:rFonts w:ascii="宋体" w:hAnsi="宋体" w:cs="宋体"/>
          <w:b/>
          <w:sz w:val="36"/>
          <w:szCs w:val="36"/>
        </w:rPr>
      </w:pPr>
      <w:r>
        <w:rPr>
          <w:rFonts w:hint="eastAsia" w:ascii="宋体" w:hAnsi="宋体" w:cs="宋体"/>
          <w:b/>
          <w:sz w:val="24"/>
        </w:rPr>
        <w:br w:type="page"/>
      </w:r>
      <w:bookmarkStart w:id="66" w:name="_Toc10602"/>
      <w:bookmarkStart w:id="67" w:name="_Toc7990"/>
      <w:bookmarkStart w:id="68" w:name="_Toc26117"/>
      <w:r>
        <w:rPr>
          <w:rFonts w:hint="eastAsia" w:ascii="宋体" w:hAnsi="宋体" w:cs="宋体"/>
          <w:b/>
          <w:sz w:val="36"/>
          <w:szCs w:val="36"/>
        </w:rPr>
        <w:t xml:space="preserve">第四部分  </w:t>
      </w:r>
      <w:bookmarkStart w:id="69" w:name="_Toc184313295"/>
      <w:bookmarkEnd w:id="69"/>
      <w:bookmarkStart w:id="70" w:name="_Toc184310340"/>
      <w:bookmarkEnd w:id="70"/>
      <w:bookmarkStart w:id="71" w:name="_Toc184314464"/>
      <w:bookmarkEnd w:id="71"/>
      <w:bookmarkStart w:id="72" w:name="_Toc184312134"/>
      <w:bookmarkEnd w:id="72"/>
      <w:bookmarkStart w:id="73" w:name="_Toc184314466"/>
      <w:bookmarkEnd w:id="73"/>
      <w:bookmarkStart w:id="74" w:name="_Toc184310297"/>
      <w:bookmarkEnd w:id="74"/>
      <w:bookmarkStart w:id="75" w:name="_Toc184314439"/>
      <w:bookmarkEnd w:id="75"/>
      <w:bookmarkStart w:id="76" w:name="_Toc184312130"/>
      <w:bookmarkEnd w:id="76"/>
      <w:bookmarkStart w:id="77" w:name="_Toc184310285"/>
      <w:bookmarkEnd w:id="77"/>
      <w:bookmarkStart w:id="78" w:name="_Toc184312111"/>
      <w:bookmarkEnd w:id="78"/>
      <w:bookmarkStart w:id="79" w:name="_Toc184313250"/>
      <w:bookmarkEnd w:id="79"/>
      <w:bookmarkStart w:id="80" w:name="_Toc184313255"/>
      <w:bookmarkEnd w:id="80"/>
      <w:bookmarkStart w:id="81" w:name="_Toc184314416"/>
      <w:bookmarkEnd w:id="81"/>
      <w:bookmarkStart w:id="82" w:name="_Toc184308045"/>
      <w:bookmarkEnd w:id="82"/>
      <w:bookmarkStart w:id="83" w:name="_Toc184312127"/>
      <w:bookmarkEnd w:id="83"/>
      <w:bookmarkStart w:id="84" w:name="_Toc184313270"/>
      <w:bookmarkEnd w:id="84"/>
      <w:bookmarkStart w:id="85" w:name="_Toc184314436"/>
      <w:bookmarkEnd w:id="85"/>
      <w:bookmarkStart w:id="86" w:name="_Toc184313241"/>
      <w:bookmarkEnd w:id="86"/>
      <w:bookmarkStart w:id="87" w:name="_Toc184310320"/>
      <w:bookmarkEnd w:id="87"/>
      <w:bookmarkStart w:id="88" w:name="_Toc184313240"/>
      <w:bookmarkEnd w:id="88"/>
      <w:bookmarkStart w:id="89" w:name="_Toc184310310"/>
      <w:bookmarkEnd w:id="89"/>
      <w:bookmarkStart w:id="90" w:name="_Toc184314434"/>
      <w:bookmarkEnd w:id="90"/>
      <w:bookmarkStart w:id="91" w:name="_Toc184314413"/>
      <w:bookmarkEnd w:id="91"/>
      <w:bookmarkStart w:id="92" w:name="_Toc184308049"/>
      <w:bookmarkEnd w:id="92"/>
      <w:bookmarkStart w:id="93" w:name="_Toc184310280"/>
      <w:bookmarkEnd w:id="93"/>
      <w:bookmarkStart w:id="94" w:name="_Toc184308037"/>
      <w:bookmarkEnd w:id="94"/>
      <w:bookmarkStart w:id="95" w:name="_Toc184312103"/>
      <w:bookmarkEnd w:id="95"/>
      <w:bookmarkStart w:id="96" w:name="_Toc184314449"/>
      <w:bookmarkEnd w:id="96"/>
      <w:bookmarkStart w:id="97" w:name="_Toc184313310"/>
      <w:bookmarkEnd w:id="97"/>
      <w:bookmarkStart w:id="98" w:name="_Toc184313296"/>
      <w:bookmarkEnd w:id="98"/>
      <w:bookmarkStart w:id="99" w:name="_Toc184314468"/>
      <w:bookmarkEnd w:id="99"/>
      <w:bookmarkStart w:id="100" w:name="_Toc184312084"/>
      <w:bookmarkEnd w:id="100"/>
      <w:bookmarkStart w:id="101" w:name="_Toc184312086"/>
      <w:bookmarkEnd w:id="101"/>
      <w:bookmarkStart w:id="102" w:name="_Toc184312122"/>
      <w:bookmarkEnd w:id="102"/>
      <w:bookmarkStart w:id="103" w:name="_Toc184308080"/>
      <w:bookmarkEnd w:id="103"/>
      <w:bookmarkStart w:id="104" w:name="_Toc184308057"/>
      <w:bookmarkEnd w:id="104"/>
      <w:bookmarkStart w:id="105" w:name="_Toc184314473"/>
      <w:bookmarkEnd w:id="105"/>
      <w:bookmarkStart w:id="106" w:name="_Toc184312067"/>
      <w:bookmarkEnd w:id="106"/>
      <w:bookmarkStart w:id="107" w:name="_Toc184308046"/>
      <w:bookmarkEnd w:id="107"/>
      <w:bookmarkStart w:id="108" w:name="_Toc184310317"/>
      <w:bookmarkEnd w:id="108"/>
      <w:bookmarkStart w:id="109" w:name="_Toc184308076"/>
      <w:bookmarkEnd w:id="109"/>
      <w:bookmarkStart w:id="110" w:name="_Toc184313304"/>
      <w:bookmarkEnd w:id="110"/>
      <w:bookmarkStart w:id="111" w:name="_Toc184308106"/>
      <w:bookmarkEnd w:id="111"/>
      <w:bookmarkStart w:id="112" w:name="_Toc184310342"/>
      <w:bookmarkEnd w:id="112"/>
      <w:bookmarkStart w:id="113" w:name="_Toc184314431"/>
      <w:bookmarkEnd w:id="113"/>
      <w:bookmarkStart w:id="114" w:name="_Toc184313261"/>
      <w:bookmarkEnd w:id="114"/>
      <w:bookmarkStart w:id="115" w:name="_Toc184312132"/>
      <w:bookmarkEnd w:id="115"/>
      <w:bookmarkStart w:id="116" w:name="_Toc184314462"/>
      <w:bookmarkEnd w:id="116"/>
      <w:bookmarkStart w:id="117" w:name="_Toc184314426"/>
      <w:bookmarkEnd w:id="117"/>
      <w:bookmarkStart w:id="118" w:name="_Toc184313273"/>
      <w:bookmarkEnd w:id="118"/>
      <w:bookmarkStart w:id="119" w:name="_Toc184313305"/>
      <w:bookmarkEnd w:id="119"/>
      <w:bookmarkStart w:id="120" w:name="_Toc184308102"/>
      <w:bookmarkEnd w:id="120"/>
      <w:bookmarkStart w:id="121" w:name="_Toc184310344"/>
      <w:bookmarkEnd w:id="121"/>
      <w:bookmarkStart w:id="122" w:name="_Toc184313238"/>
      <w:bookmarkEnd w:id="122"/>
      <w:bookmarkStart w:id="123" w:name="_Toc184312117"/>
      <w:bookmarkEnd w:id="123"/>
      <w:bookmarkStart w:id="124" w:name="_Toc184314475"/>
      <w:bookmarkEnd w:id="124"/>
      <w:bookmarkStart w:id="125" w:name="_Toc184313259"/>
      <w:bookmarkEnd w:id="125"/>
      <w:bookmarkStart w:id="126" w:name="_Toc184314447"/>
      <w:bookmarkEnd w:id="126"/>
      <w:bookmarkStart w:id="127" w:name="_Toc184310277"/>
      <w:bookmarkEnd w:id="127"/>
      <w:bookmarkStart w:id="128" w:name="_Toc184313272"/>
      <w:bookmarkEnd w:id="128"/>
      <w:bookmarkStart w:id="129" w:name="_Toc184312129"/>
      <w:bookmarkEnd w:id="129"/>
      <w:bookmarkStart w:id="130" w:name="_Toc184312101"/>
      <w:bookmarkEnd w:id="130"/>
      <w:bookmarkStart w:id="131" w:name="_Toc184308089"/>
      <w:bookmarkEnd w:id="131"/>
      <w:bookmarkStart w:id="132" w:name="_Toc184312119"/>
      <w:bookmarkEnd w:id="132"/>
      <w:bookmarkStart w:id="133" w:name="_Toc184314446"/>
      <w:bookmarkEnd w:id="133"/>
      <w:bookmarkStart w:id="134" w:name="_Toc184310301"/>
      <w:bookmarkEnd w:id="134"/>
      <w:bookmarkStart w:id="135" w:name="_Toc184310327"/>
      <w:bookmarkEnd w:id="135"/>
      <w:bookmarkStart w:id="136" w:name="_Toc184313297"/>
      <w:bookmarkEnd w:id="136"/>
      <w:bookmarkStart w:id="137" w:name="_Toc184312116"/>
      <w:bookmarkEnd w:id="137"/>
      <w:bookmarkStart w:id="138" w:name="_Toc184312073"/>
      <w:bookmarkEnd w:id="138"/>
      <w:bookmarkStart w:id="139" w:name="_Toc184313293"/>
      <w:bookmarkEnd w:id="139"/>
      <w:bookmarkStart w:id="140" w:name="_Toc184310294"/>
      <w:bookmarkEnd w:id="140"/>
      <w:bookmarkStart w:id="141" w:name="_Toc184314458"/>
      <w:bookmarkEnd w:id="141"/>
      <w:bookmarkStart w:id="142" w:name="_Toc184310323"/>
      <w:bookmarkEnd w:id="142"/>
      <w:bookmarkStart w:id="143" w:name="_Toc184308061"/>
      <w:bookmarkEnd w:id="143"/>
      <w:bookmarkStart w:id="144" w:name="_Toc184314419"/>
      <w:bookmarkEnd w:id="144"/>
      <w:bookmarkStart w:id="145" w:name="_Toc184310291"/>
      <w:bookmarkEnd w:id="145"/>
      <w:bookmarkStart w:id="146" w:name="_Toc184313275"/>
      <w:bookmarkEnd w:id="146"/>
      <w:bookmarkStart w:id="147" w:name="_Toc184308108"/>
      <w:bookmarkEnd w:id="147"/>
      <w:bookmarkStart w:id="148" w:name="_Toc184313278"/>
      <w:bookmarkEnd w:id="148"/>
      <w:bookmarkStart w:id="149" w:name="_Toc184312133"/>
      <w:bookmarkEnd w:id="149"/>
      <w:bookmarkStart w:id="150" w:name="_Toc184314420"/>
      <w:bookmarkEnd w:id="150"/>
      <w:bookmarkStart w:id="151" w:name="_Toc184308050"/>
      <w:bookmarkEnd w:id="151"/>
      <w:bookmarkStart w:id="152" w:name="_Toc184308063"/>
      <w:bookmarkEnd w:id="152"/>
      <w:bookmarkStart w:id="153" w:name="_Toc184314481"/>
      <w:bookmarkEnd w:id="153"/>
      <w:bookmarkStart w:id="154" w:name="_Toc184313298"/>
      <w:bookmarkEnd w:id="154"/>
      <w:bookmarkStart w:id="155" w:name="_Toc184308047"/>
      <w:bookmarkEnd w:id="155"/>
      <w:bookmarkStart w:id="156" w:name="_Toc184310298"/>
      <w:bookmarkEnd w:id="156"/>
      <w:bookmarkStart w:id="157" w:name="_Toc184312123"/>
      <w:bookmarkEnd w:id="157"/>
      <w:bookmarkStart w:id="158" w:name="_Toc184313266"/>
      <w:bookmarkEnd w:id="158"/>
      <w:bookmarkStart w:id="159" w:name="_Toc184312131"/>
      <w:bookmarkEnd w:id="159"/>
      <w:bookmarkStart w:id="160" w:name="_Toc184310281"/>
      <w:bookmarkEnd w:id="160"/>
      <w:bookmarkStart w:id="161" w:name="_Toc184312068"/>
      <w:bookmarkEnd w:id="161"/>
      <w:bookmarkStart w:id="162" w:name="_Toc184310305"/>
      <w:bookmarkEnd w:id="162"/>
      <w:bookmarkStart w:id="163" w:name="_Toc184308038"/>
      <w:bookmarkEnd w:id="163"/>
      <w:bookmarkStart w:id="164" w:name="_Toc184314415"/>
      <w:bookmarkEnd w:id="164"/>
      <w:bookmarkStart w:id="165" w:name="_Toc184313246"/>
      <w:bookmarkEnd w:id="165"/>
      <w:bookmarkStart w:id="166" w:name="_Toc184308055"/>
      <w:bookmarkEnd w:id="166"/>
      <w:bookmarkStart w:id="167" w:name="_Toc184313294"/>
      <w:bookmarkEnd w:id="167"/>
      <w:bookmarkStart w:id="168" w:name="_Toc184313283"/>
      <w:bookmarkEnd w:id="168"/>
      <w:bookmarkStart w:id="169" w:name="_Toc184310321"/>
      <w:bookmarkEnd w:id="169"/>
      <w:bookmarkStart w:id="170" w:name="_Toc184313269"/>
      <w:bookmarkEnd w:id="170"/>
      <w:bookmarkStart w:id="171" w:name="_Toc184314414"/>
      <w:bookmarkEnd w:id="171"/>
      <w:bookmarkStart w:id="172" w:name="_Toc184310273"/>
      <w:bookmarkEnd w:id="172"/>
      <w:bookmarkStart w:id="173" w:name="_Toc184312075"/>
      <w:bookmarkEnd w:id="173"/>
      <w:bookmarkStart w:id="174" w:name="_Toc184313280"/>
      <w:bookmarkEnd w:id="174"/>
      <w:bookmarkStart w:id="175" w:name="_Toc184310303"/>
      <w:bookmarkEnd w:id="175"/>
      <w:bookmarkStart w:id="176" w:name="_Toc184313282"/>
      <w:bookmarkEnd w:id="176"/>
      <w:bookmarkStart w:id="177" w:name="_Toc184314476"/>
      <w:bookmarkEnd w:id="177"/>
      <w:bookmarkStart w:id="178" w:name="_Toc184308100"/>
      <w:bookmarkEnd w:id="178"/>
      <w:bookmarkStart w:id="179" w:name="_Toc184308107"/>
      <w:bookmarkEnd w:id="179"/>
      <w:bookmarkStart w:id="180" w:name="_Toc184308098"/>
      <w:bookmarkEnd w:id="180"/>
      <w:bookmarkStart w:id="181" w:name="_Toc184312093"/>
      <w:bookmarkEnd w:id="181"/>
      <w:bookmarkStart w:id="182" w:name="_Toc184313277"/>
      <w:bookmarkEnd w:id="182"/>
      <w:bookmarkStart w:id="183" w:name="_Toc184314433"/>
      <w:bookmarkEnd w:id="183"/>
      <w:bookmarkStart w:id="184" w:name="_Toc184310284"/>
      <w:bookmarkEnd w:id="184"/>
      <w:bookmarkStart w:id="185" w:name="_Toc184310309"/>
      <w:bookmarkEnd w:id="185"/>
      <w:bookmarkStart w:id="186" w:name="_Toc184310334"/>
      <w:bookmarkEnd w:id="186"/>
      <w:bookmarkStart w:id="187" w:name="_Toc184308103"/>
      <w:bookmarkEnd w:id="187"/>
      <w:bookmarkStart w:id="188" w:name="_Toc184308056"/>
      <w:bookmarkEnd w:id="188"/>
      <w:bookmarkStart w:id="189" w:name="_Toc184308096"/>
      <w:bookmarkEnd w:id="189"/>
      <w:bookmarkStart w:id="190" w:name="_Toc184313291"/>
      <w:bookmarkEnd w:id="190"/>
      <w:bookmarkStart w:id="191" w:name="_Toc184312072"/>
      <w:bookmarkEnd w:id="191"/>
      <w:bookmarkStart w:id="192" w:name="_Toc184313256"/>
      <w:bookmarkEnd w:id="192"/>
      <w:bookmarkStart w:id="193" w:name="_Toc184310322"/>
      <w:bookmarkEnd w:id="193"/>
      <w:bookmarkStart w:id="194" w:name="_Toc184308104"/>
      <w:bookmarkEnd w:id="194"/>
      <w:bookmarkStart w:id="195" w:name="_Toc184313307"/>
      <w:bookmarkEnd w:id="195"/>
      <w:bookmarkStart w:id="196" w:name="_Toc184310336"/>
      <w:bookmarkEnd w:id="196"/>
      <w:bookmarkStart w:id="197" w:name="_Toc184312074"/>
      <w:bookmarkEnd w:id="197"/>
      <w:bookmarkStart w:id="198" w:name="_Toc184313265"/>
      <w:bookmarkEnd w:id="198"/>
      <w:bookmarkStart w:id="199" w:name="_Toc184313245"/>
      <w:bookmarkEnd w:id="199"/>
      <w:bookmarkStart w:id="200" w:name="_Toc184310318"/>
      <w:bookmarkEnd w:id="200"/>
      <w:bookmarkStart w:id="201" w:name="_Toc184312102"/>
      <w:bookmarkEnd w:id="201"/>
      <w:bookmarkStart w:id="202" w:name="_Toc184312088"/>
      <w:bookmarkEnd w:id="202"/>
      <w:bookmarkStart w:id="203" w:name="_Toc184314418"/>
      <w:bookmarkEnd w:id="203"/>
      <w:bookmarkStart w:id="204" w:name="_Toc184310331"/>
      <w:bookmarkEnd w:id="204"/>
      <w:bookmarkStart w:id="205" w:name="_Toc184314456"/>
      <w:bookmarkEnd w:id="205"/>
      <w:bookmarkStart w:id="206" w:name="_Toc184308078"/>
      <w:bookmarkEnd w:id="206"/>
      <w:bookmarkStart w:id="207" w:name="_Toc184314482"/>
      <w:bookmarkEnd w:id="207"/>
      <w:bookmarkStart w:id="208" w:name="_Toc184312094"/>
      <w:bookmarkEnd w:id="208"/>
      <w:bookmarkStart w:id="209" w:name="_Toc184308048"/>
      <w:bookmarkEnd w:id="209"/>
      <w:bookmarkStart w:id="210" w:name="_Toc184308036"/>
      <w:bookmarkEnd w:id="210"/>
      <w:bookmarkStart w:id="211" w:name="_Toc184312121"/>
      <w:bookmarkEnd w:id="211"/>
      <w:bookmarkStart w:id="212" w:name="_Toc184314421"/>
      <w:bookmarkEnd w:id="212"/>
      <w:bookmarkStart w:id="213" w:name="_Toc184313243"/>
      <w:bookmarkEnd w:id="213"/>
      <w:bookmarkStart w:id="214" w:name="_Toc184314444"/>
      <w:bookmarkEnd w:id="214"/>
      <w:bookmarkStart w:id="215" w:name="_Toc184312070"/>
      <w:bookmarkEnd w:id="215"/>
      <w:bookmarkStart w:id="216" w:name="_Toc184313251"/>
      <w:bookmarkEnd w:id="216"/>
      <w:bookmarkStart w:id="217" w:name="_Toc184314417"/>
      <w:bookmarkEnd w:id="217"/>
      <w:bookmarkStart w:id="218" w:name="_Toc184312098"/>
      <w:bookmarkEnd w:id="218"/>
      <w:bookmarkStart w:id="219" w:name="_Toc184312104"/>
      <w:bookmarkEnd w:id="219"/>
      <w:bookmarkStart w:id="220" w:name="_Toc184314463"/>
      <w:bookmarkEnd w:id="220"/>
      <w:bookmarkStart w:id="221" w:name="_Toc184313242"/>
      <w:bookmarkEnd w:id="221"/>
      <w:bookmarkStart w:id="222" w:name="_Toc184308085"/>
      <w:bookmarkEnd w:id="222"/>
      <w:bookmarkStart w:id="223" w:name="_Toc184314465"/>
      <w:bookmarkEnd w:id="223"/>
      <w:bookmarkStart w:id="224" w:name="_Toc184310272"/>
      <w:bookmarkEnd w:id="224"/>
      <w:bookmarkStart w:id="225" w:name="_Toc184313264"/>
      <w:bookmarkEnd w:id="225"/>
      <w:bookmarkStart w:id="226" w:name="_Toc184314428"/>
      <w:bookmarkEnd w:id="226"/>
      <w:bookmarkStart w:id="227" w:name="_Toc184308064"/>
      <w:bookmarkEnd w:id="227"/>
      <w:bookmarkStart w:id="228" w:name="_Toc184314467"/>
      <w:bookmarkEnd w:id="228"/>
      <w:bookmarkStart w:id="229" w:name="_Toc184312095"/>
      <w:bookmarkEnd w:id="229"/>
      <w:bookmarkStart w:id="230" w:name="_Toc184310326"/>
      <w:bookmarkEnd w:id="230"/>
      <w:bookmarkStart w:id="231" w:name="_Toc184308072"/>
      <w:bookmarkEnd w:id="231"/>
      <w:bookmarkStart w:id="232" w:name="_Toc184310290"/>
      <w:bookmarkEnd w:id="232"/>
      <w:bookmarkStart w:id="233" w:name="_Toc184312085"/>
      <w:bookmarkEnd w:id="233"/>
      <w:bookmarkStart w:id="234" w:name="_Toc184312087"/>
      <w:bookmarkEnd w:id="234"/>
      <w:bookmarkStart w:id="235" w:name="_Toc184313268"/>
      <w:bookmarkEnd w:id="235"/>
      <w:bookmarkStart w:id="236" w:name="_Toc184312106"/>
      <w:bookmarkEnd w:id="236"/>
      <w:bookmarkStart w:id="237" w:name="_Toc184310296"/>
      <w:bookmarkEnd w:id="237"/>
      <w:bookmarkStart w:id="238" w:name="_Toc184308041"/>
      <w:bookmarkEnd w:id="238"/>
      <w:bookmarkStart w:id="239" w:name="_Toc184314478"/>
      <w:bookmarkEnd w:id="239"/>
      <w:bookmarkStart w:id="240" w:name="_Toc184310287"/>
      <w:bookmarkEnd w:id="240"/>
      <w:bookmarkStart w:id="241" w:name="_Toc184310288"/>
      <w:bookmarkEnd w:id="241"/>
      <w:bookmarkStart w:id="242" w:name="_Toc184310299"/>
      <w:bookmarkEnd w:id="242"/>
      <w:bookmarkStart w:id="243" w:name="_Toc184308062"/>
      <w:bookmarkEnd w:id="243"/>
      <w:bookmarkStart w:id="244" w:name="_Toc184308068"/>
      <w:bookmarkEnd w:id="244"/>
      <w:bookmarkStart w:id="245" w:name="_Toc184312107"/>
      <w:bookmarkEnd w:id="245"/>
      <w:bookmarkStart w:id="246" w:name="_Toc184312114"/>
      <w:bookmarkEnd w:id="246"/>
      <w:bookmarkStart w:id="247" w:name="_Toc184310282"/>
      <w:bookmarkEnd w:id="247"/>
      <w:bookmarkStart w:id="248" w:name="_Toc184310314"/>
      <w:bookmarkEnd w:id="248"/>
      <w:bookmarkStart w:id="249" w:name="_Toc184308093"/>
      <w:bookmarkEnd w:id="249"/>
      <w:bookmarkStart w:id="250" w:name="_Toc184312115"/>
      <w:bookmarkEnd w:id="250"/>
      <w:bookmarkStart w:id="251" w:name="_Toc184313262"/>
      <w:bookmarkEnd w:id="251"/>
      <w:bookmarkStart w:id="252" w:name="_Toc184310302"/>
      <w:bookmarkEnd w:id="252"/>
      <w:bookmarkStart w:id="253" w:name="_Toc184314454"/>
      <w:bookmarkEnd w:id="253"/>
      <w:bookmarkStart w:id="254" w:name="_Toc184312096"/>
      <w:bookmarkEnd w:id="254"/>
      <w:bookmarkStart w:id="255" w:name="_Toc184312112"/>
      <w:bookmarkEnd w:id="255"/>
      <w:bookmarkStart w:id="256" w:name="_Toc184312100"/>
      <w:bookmarkEnd w:id="256"/>
      <w:bookmarkStart w:id="257" w:name="_Toc184310304"/>
      <w:bookmarkEnd w:id="257"/>
      <w:bookmarkStart w:id="258" w:name="_Toc184310283"/>
      <w:bookmarkEnd w:id="258"/>
      <w:bookmarkStart w:id="259" w:name="_Toc184308039"/>
      <w:bookmarkEnd w:id="259"/>
      <w:bookmarkStart w:id="260" w:name="_Toc184308077"/>
      <w:bookmarkEnd w:id="260"/>
      <w:bookmarkStart w:id="261" w:name="_Toc184310316"/>
      <w:bookmarkEnd w:id="261"/>
      <w:bookmarkStart w:id="262" w:name="_Toc184313300"/>
      <w:bookmarkEnd w:id="262"/>
      <w:bookmarkStart w:id="263" w:name="_Toc184313276"/>
      <w:bookmarkEnd w:id="263"/>
      <w:bookmarkStart w:id="264" w:name="_Toc184308101"/>
      <w:bookmarkEnd w:id="264"/>
      <w:bookmarkStart w:id="265" w:name="_Toc184310275"/>
      <w:bookmarkEnd w:id="265"/>
      <w:bookmarkStart w:id="266" w:name="_Toc184313290"/>
      <w:bookmarkEnd w:id="266"/>
      <w:bookmarkStart w:id="267" w:name="_Toc184314457"/>
      <w:bookmarkEnd w:id="267"/>
      <w:bookmarkStart w:id="268" w:name="_Toc184308088"/>
      <w:bookmarkEnd w:id="268"/>
      <w:bookmarkStart w:id="269" w:name="_Toc184312124"/>
      <w:bookmarkEnd w:id="269"/>
      <w:bookmarkStart w:id="270" w:name="_Toc184308054"/>
      <w:bookmarkEnd w:id="270"/>
      <w:bookmarkStart w:id="271" w:name="_Toc184308094"/>
      <w:bookmarkEnd w:id="271"/>
      <w:bookmarkStart w:id="272" w:name="_Toc184308051"/>
      <w:bookmarkEnd w:id="272"/>
      <w:bookmarkStart w:id="273" w:name="_Toc184314438"/>
      <w:bookmarkEnd w:id="273"/>
      <w:bookmarkStart w:id="274" w:name="_Toc184308042"/>
      <w:bookmarkEnd w:id="274"/>
      <w:bookmarkStart w:id="275" w:name="_Toc184313306"/>
      <w:bookmarkEnd w:id="275"/>
      <w:bookmarkStart w:id="276" w:name="_Toc184308086"/>
      <w:bookmarkEnd w:id="276"/>
      <w:bookmarkStart w:id="277" w:name="_Toc184313239"/>
      <w:bookmarkEnd w:id="277"/>
      <w:bookmarkStart w:id="278" w:name="_Toc184312138"/>
      <w:bookmarkEnd w:id="278"/>
      <w:bookmarkStart w:id="279" w:name="_Toc184312126"/>
      <w:bookmarkEnd w:id="279"/>
      <w:bookmarkStart w:id="280" w:name="_Toc184308052"/>
      <w:bookmarkEnd w:id="280"/>
      <w:bookmarkStart w:id="281" w:name="_Toc184313284"/>
      <w:bookmarkEnd w:id="281"/>
      <w:bookmarkStart w:id="282" w:name="_Toc184314443"/>
      <w:bookmarkEnd w:id="282"/>
      <w:bookmarkStart w:id="283" w:name="_Toc184314435"/>
      <w:bookmarkEnd w:id="283"/>
      <w:bookmarkStart w:id="284" w:name="_Toc184313285"/>
      <w:bookmarkEnd w:id="284"/>
      <w:bookmarkStart w:id="285" w:name="_Toc184310286"/>
      <w:bookmarkEnd w:id="285"/>
      <w:bookmarkStart w:id="286" w:name="_Toc184314461"/>
      <w:bookmarkEnd w:id="286"/>
      <w:bookmarkStart w:id="287" w:name="_Toc184310295"/>
      <w:bookmarkEnd w:id="287"/>
      <w:bookmarkStart w:id="288" w:name="_Toc184314437"/>
      <w:bookmarkEnd w:id="288"/>
      <w:bookmarkStart w:id="289" w:name="_Toc184310313"/>
      <w:bookmarkEnd w:id="289"/>
      <w:bookmarkStart w:id="290" w:name="_Toc184314424"/>
      <w:bookmarkEnd w:id="290"/>
      <w:bookmarkStart w:id="291" w:name="_Toc184312110"/>
      <w:bookmarkEnd w:id="291"/>
      <w:bookmarkStart w:id="292" w:name="_Toc184310315"/>
      <w:bookmarkEnd w:id="292"/>
      <w:bookmarkStart w:id="293" w:name="_Toc184312136"/>
      <w:bookmarkEnd w:id="293"/>
      <w:bookmarkStart w:id="294" w:name="_Toc184310307"/>
      <w:bookmarkEnd w:id="294"/>
      <w:bookmarkStart w:id="295" w:name="_Toc184314441"/>
      <w:bookmarkEnd w:id="295"/>
      <w:bookmarkStart w:id="296" w:name="_Toc184310328"/>
      <w:bookmarkEnd w:id="296"/>
      <w:bookmarkStart w:id="297" w:name="_Toc184310319"/>
      <w:bookmarkEnd w:id="297"/>
      <w:bookmarkStart w:id="298" w:name="_Toc184310278"/>
      <w:bookmarkEnd w:id="298"/>
      <w:bookmarkStart w:id="299" w:name="_Toc184314429"/>
      <w:bookmarkEnd w:id="299"/>
      <w:bookmarkStart w:id="300" w:name="_Toc184314472"/>
      <w:bookmarkEnd w:id="300"/>
      <w:bookmarkStart w:id="301" w:name="_Toc184312081"/>
      <w:bookmarkEnd w:id="301"/>
      <w:bookmarkStart w:id="302" w:name="_Toc184308053"/>
      <w:bookmarkEnd w:id="302"/>
      <w:bookmarkStart w:id="303" w:name="_Toc184308060"/>
      <w:bookmarkEnd w:id="303"/>
      <w:bookmarkStart w:id="304" w:name="_Toc184312078"/>
      <w:bookmarkEnd w:id="304"/>
      <w:bookmarkStart w:id="305" w:name="_Toc184314477"/>
      <w:bookmarkEnd w:id="305"/>
      <w:bookmarkStart w:id="306" w:name="_Toc184312089"/>
      <w:bookmarkEnd w:id="306"/>
      <w:bookmarkStart w:id="307" w:name="_Toc184310306"/>
      <w:bookmarkEnd w:id="307"/>
      <w:bookmarkStart w:id="308" w:name="_Toc184312083"/>
      <w:bookmarkEnd w:id="308"/>
      <w:bookmarkStart w:id="309" w:name="_Toc184312079"/>
      <w:bookmarkEnd w:id="309"/>
      <w:bookmarkStart w:id="310" w:name="_Toc184312125"/>
      <w:bookmarkEnd w:id="310"/>
      <w:bookmarkStart w:id="311" w:name="_Toc184312097"/>
      <w:bookmarkEnd w:id="311"/>
      <w:bookmarkStart w:id="312" w:name="_Toc184312090"/>
      <w:bookmarkEnd w:id="312"/>
      <w:bookmarkStart w:id="313" w:name="_Toc184313289"/>
      <w:bookmarkEnd w:id="313"/>
      <w:bookmarkStart w:id="314" w:name="_Toc184312071"/>
      <w:bookmarkEnd w:id="314"/>
      <w:bookmarkStart w:id="315" w:name="_Toc184313254"/>
      <w:bookmarkEnd w:id="315"/>
      <w:bookmarkStart w:id="316" w:name="_Toc184310311"/>
      <w:bookmarkEnd w:id="316"/>
      <w:bookmarkStart w:id="317" w:name="_Toc184308105"/>
      <w:bookmarkEnd w:id="317"/>
      <w:bookmarkStart w:id="318" w:name="_Toc184308090"/>
      <w:bookmarkEnd w:id="318"/>
      <w:bookmarkStart w:id="319" w:name="_Toc184313286"/>
      <w:bookmarkEnd w:id="319"/>
      <w:bookmarkStart w:id="320" w:name="_Toc184314474"/>
      <w:bookmarkEnd w:id="320"/>
      <w:bookmarkStart w:id="321" w:name="_Toc184312120"/>
      <w:bookmarkEnd w:id="321"/>
      <w:bookmarkStart w:id="322" w:name="_Toc184313288"/>
      <w:bookmarkEnd w:id="322"/>
      <w:bookmarkStart w:id="323" w:name="_Toc184308083"/>
      <w:bookmarkEnd w:id="323"/>
      <w:bookmarkStart w:id="324" w:name="_Toc184313303"/>
      <w:bookmarkEnd w:id="324"/>
      <w:bookmarkStart w:id="325" w:name="_Toc184314471"/>
      <w:bookmarkEnd w:id="325"/>
      <w:bookmarkStart w:id="326" w:name="_Toc184308095"/>
      <w:bookmarkEnd w:id="326"/>
      <w:bookmarkStart w:id="327" w:name="_Toc184310276"/>
      <w:bookmarkEnd w:id="327"/>
      <w:bookmarkStart w:id="328" w:name="_Toc184308087"/>
      <w:bookmarkEnd w:id="328"/>
      <w:bookmarkStart w:id="329" w:name="_Toc184308059"/>
      <w:bookmarkEnd w:id="329"/>
      <w:bookmarkStart w:id="330" w:name="_Toc184310343"/>
      <w:bookmarkEnd w:id="330"/>
      <w:bookmarkStart w:id="331" w:name="_Toc184312077"/>
      <w:bookmarkEnd w:id="331"/>
      <w:bookmarkStart w:id="332" w:name="_Toc184314450"/>
      <w:bookmarkEnd w:id="332"/>
      <w:bookmarkStart w:id="333" w:name="_Toc184312113"/>
      <w:bookmarkEnd w:id="333"/>
      <w:bookmarkStart w:id="334" w:name="_Toc184314451"/>
      <w:bookmarkEnd w:id="334"/>
      <w:bookmarkStart w:id="335" w:name="_Toc184314460"/>
      <w:bookmarkEnd w:id="335"/>
      <w:bookmarkStart w:id="336" w:name="_Toc184312139"/>
      <w:bookmarkEnd w:id="336"/>
      <w:bookmarkStart w:id="337" w:name="_Toc184314445"/>
      <w:bookmarkEnd w:id="337"/>
      <w:bookmarkStart w:id="338" w:name="_Toc184312109"/>
      <w:bookmarkEnd w:id="338"/>
      <w:bookmarkStart w:id="339" w:name="_Toc184308044"/>
      <w:bookmarkEnd w:id="339"/>
      <w:bookmarkStart w:id="340" w:name="_Toc184313292"/>
      <w:bookmarkEnd w:id="340"/>
      <w:bookmarkStart w:id="341" w:name="_Toc184308067"/>
      <w:bookmarkEnd w:id="341"/>
      <w:bookmarkStart w:id="342" w:name="_Toc184310279"/>
      <w:bookmarkEnd w:id="342"/>
      <w:bookmarkStart w:id="343" w:name="_Toc184310337"/>
      <w:bookmarkEnd w:id="343"/>
      <w:bookmarkStart w:id="344" w:name="_Toc184314432"/>
      <w:bookmarkEnd w:id="344"/>
      <w:bookmarkStart w:id="345" w:name="_Toc184314425"/>
      <w:bookmarkEnd w:id="345"/>
      <w:bookmarkStart w:id="346" w:name="_Toc184314452"/>
      <w:bookmarkEnd w:id="346"/>
      <w:bookmarkStart w:id="347" w:name="_Toc184308070"/>
      <w:bookmarkEnd w:id="347"/>
      <w:bookmarkStart w:id="348" w:name="_Toc184314448"/>
      <w:bookmarkEnd w:id="348"/>
      <w:bookmarkStart w:id="349" w:name="_Toc184310274"/>
      <w:bookmarkEnd w:id="349"/>
      <w:bookmarkStart w:id="350" w:name="_Toc184314410"/>
      <w:bookmarkEnd w:id="350"/>
      <w:bookmarkStart w:id="351" w:name="_Toc184310339"/>
      <w:bookmarkEnd w:id="351"/>
      <w:bookmarkStart w:id="352" w:name="_Toc184312069"/>
      <w:bookmarkEnd w:id="352"/>
      <w:bookmarkStart w:id="353" w:name="_Toc184312108"/>
      <w:bookmarkEnd w:id="353"/>
      <w:bookmarkStart w:id="354" w:name="_Toc184313253"/>
      <w:bookmarkEnd w:id="354"/>
      <w:bookmarkStart w:id="355" w:name="_Toc184308043"/>
      <w:bookmarkEnd w:id="355"/>
      <w:bookmarkStart w:id="356" w:name="_Toc184314412"/>
      <w:bookmarkEnd w:id="356"/>
      <w:bookmarkStart w:id="357" w:name="_Toc184314453"/>
      <w:bookmarkEnd w:id="357"/>
      <w:bookmarkStart w:id="358" w:name="_Toc184308081"/>
      <w:bookmarkEnd w:id="358"/>
      <w:bookmarkStart w:id="359" w:name="_Toc184312080"/>
      <w:bookmarkEnd w:id="359"/>
      <w:bookmarkStart w:id="360" w:name="_Toc184308071"/>
      <w:bookmarkEnd w:id="360"/>
      <w:bookmarkStart w:id="361" w:name="_Toc184310333"/>
      <w:bookmarkEnd w:id="361"/>
      <w:bookmarkStart w:id="362" w:name="_Toc184310312"/>
      <w:bookmarkEnd w:id="362"/>
      <w:bookmarkStart w:id="363" w:name="_Toc184313308"/>
      <w:bookmarkEnd w:id="363"/>
      <w:bookmarkStart w:id="364" w:name="_Toc184310289"/>
      <w:bookmarkEnd w:id="364"/>
      <w:bookmarkStart w:id="365" w:name="_Toc184314430"/>
      <w:bookmarkEnd w:id="365"/>
      <w:bookmarkStart w:id="366" w:name="_Toc184310335"/>
      <w:bookmarkEnd w:id="366"/>
      <w:bookmarkStart w:id="367" w:name="_Toc184313244"/>
      <w:bookmarkEnd w:id="367"/>
      <w:bookmarkStart w:id="368" w:name="_Toc184312137"/>
      <w:bookmarkEnd w:id="368"/>
      <w:bookmarkStart w:id="369" w:name="_Toc184310292"/>
      <w:bookmarkEnd w:id="369"/>
      <w:bookmarkStart w:id="370" w:name="_Toc184313299"/>
      <w:bookmarkEnd w:id="370"/>
      <w:bookmarkStart w:id="371" w:name="_Toc184310308"/>
      <w:bookmarkEnd w:id="371"/>
      <w:bookmarkStart w:id="372" w:name="_Toc184310332"/>
      <w:bookmarkEnd w:id="372"/>
      <w:bookmarkStart w:id="373" w:name="_Toc184312091"/>
      <w:bookmarkEnd w:id="373"/>
      <w:bookmarkStart w:id="374" w:name="_Toc184314442"/>
      <w:bookmarkEnd w:id="374"/>
      <w:bookmarkStart w:id="375" w:name="_Toc184312082"/>
      <w:bookmarkEnd w:id="375"/>
      <w:bookmarkStart w:id="376" w:name="_Toc184314422"/>
      <w:bookmarkEnd w:id="376"/>
      <w:bookmarkStart w:id="377" w:name="_Toc184312105"/>
      <w:bookmarkEnd w:id="377"/>
      <w:bookmarkStart w:id="378" w:name="_Toc184313252"/>
      <w:bookmarkEnd w:id="378"/>
      <w:bookmarkStart w:id="379" w:name="_Toc184313287"/>
      <w:bookmarkEnd w:id="379"/>
      <w:bookmarkStart w:id="380" w:name="_Toc184310324"/>
      <w:bookmarkEnd w:id="380"/>
      <w:bookmarkStart w:id="381" w:name="_Toc184308075"/>
      <w:bookmarkEnd w:id="381"/>
      <w:bookmarkStart w:id="382" w:name="_Toc184308058"/>
      <w:bookmarkEnd w:id="382"/>
      <w:bookmarkStart w:id="383" w:name="_Toc184313274"/>
      <w:bookmarkEnd w:id="383"/>
      <w:bookmarkStart w:id="384" w:name="_Toc184314423"/>
      <w:bookmarkEnd w:id="384"/>
      <w:bookmarkStart w:id="385" w:name="_Toc184308099"/>
      <w:bookmarkEnd w:id="385"/>
      <w:bookmarkStart w:id="386" w:name="_Toc184308069"/>
      <w:bookmarkEnd w:id="386"/>
      <w:bookmarkStart w:id="387" w:name="_Toc184308065"/>
      <w:bookmarkEnd w:id="387"/>
      <w:bookmarkStart w:id="388" w:name="_Toc184313267"/>
      <w:bookmarkEnd w:id="388"/>
      <w:bookmarkStart w:id="389" w:name="_Toc184312092"/>
      <w:bookmarkEnd w:id="389"/>
      <w:bookmarkStart w:id="390" w:name="_Toc184308084"/>
      <w:bookmarkEnd w:id="390"/>
      <w:bookmarkStart w:id="391" w:name="_Toc184310338"/>
      <w:bookmarkEnd w:id="391"/>
      <w:bookmarkStart w:id="392" w:name="_Toc184310330"/>
      <w:bookmarkEnd w:id="392"/>
      <w:bookmarkStart w:id="393" w:name="_Toc184313257"/>
      <w:bookmarkEnd w:id="393"/>
      <w:bookmarkStart w:id="394" w:name="_Toc184312135"/>
      <w:bookmarkEnd w:id="394"/>
      <w:bookmarkStart w:id="395" w:name="_Toc184310329"/>
      <w:bookmarkEnd w:id="395"/>
      <w:bookmarkStart w:id="396" w:name="_Toc184308040"/>
      <w:bookmarkEnd w:id="396"/>
      <w:bookmarkStart w:id="397" w:name="_Toc184308097"/>
      <w:bookmarkEnd w:id="397"/>
      <w:bookmarkStart w:id="398" w:name="_Toc184313249"/>
      <w:bookmarkEnd w:id="398"/>
      <w:bookmarkStart w:id="399" w:name="_Toc184310293"/>
      <w:bookmarkEnd w:id="399"/>
      <w:bookmarkStart w:id="400" w:name="_Toc184314427"/>
      <w:bookmarkEnd w:id="400"/>
      <w:bookmarkStart w:id="401" w:name="_Toc184313301"/>
      <w:bookmarkEnd w:id="401"/>
      <w:bookmarkStart w:id="402" w:name="_Toc184313281"/>
      <w:bookmarkEnd w:id="402"/>
      <w:bookmarkStart w:id="403" w:name="_Toc184313271"/>
      <w:bookmarkEnd w:id="403"/>
      <w:bookmarkStart w:id="404" w:name="_Toc184312099"/>
      <w:bookmarkEnd w:id="404"/>
      <w:bookmarkStart w:id="405" w:name="_Toc184314470"/>
      <w:bookmarkEnd w:id="405"/>
      <w:bookmarkStart w:id="406" w:name="_Toc184308082"/>
      <w:bookmarkEnd w:id="406"/>
      <w:bookmarkStart w:id="407" w:name="_Toc184314455"/>
      <w:bookmarkEnd w:id="407"/>
      <w:bookmarkStart w:id="408" w:name="_Toc184313279"/>
      <w:bookmarkEnd w:id="408"/>
      <w:bookmarkStart w:id="409" w:name="_Toc184308092"/>
      <w:bookmarkEnd w:id="409"/>
      <w:bookmarkStart w:id="410" w:name="_Toc184308073"/>
      <w:bookmarkEnd w:id="410"/>
      <w:bookmarkStart w:id="411" w:name="_Toc184313302"/>
      <w:bookmarkEnd w:id="411"/>
      <w:bookmarkStart w:id="412" w:name="_Toc184314440"/>
      <w:bookmarkEnd w:id="412"/>
      <w:bookmarkStart w:id="413" w:name="_Toc184314479"/>
      <w:bookmarkEnd w:id="413"/>
      <w:bookmarkStart w:id="414" w:name="_Toc184308079"/>
      <w:bookmarkEnd w:id="414"/>
      <w:bookmarkStart w:id="415" w:name="_Toc184313248"/>
      <w:bookmarkEnd w:id="415"/>
      <w:bookmarkStart w:id="416" w:name="_Toc184310300"/>
      <w:bookmarkEnd w:id="416"/>
      <w:bookmarkStart w:id="417" w:name="_Toc184308074"/>
      <w:bookmarkEnd w:id="417"/>
      <w:bookmarkStart w:id="418" w:name="_Toc184313258"/>
      <w:bookmarkEnd w:id="418"/>
      <w:bookmarkStart w:id="419" w:name="_Toc184313309"/>
      <w:bookmarkEnd w:id="419"/>
      <w:bookmarkStart w:id="420" w:name="_Toc184314459"/>
      <w:bookmarkEnd w:id="420"/>
      <w:bookmarkStart w:id="421" w:name="_Toc184312076"/>
      <w:bookmarkEnd w:id="421"/>
      <w:bookmarkStart w:id="422" w:name="_Toc184312118"/>
      <w:bookmarkEnd w:id="422"/>
      <w:bookmarkStart w:id="423" w:name="_Toc184310325"/>
      <w:bookmarkEnd w:id="423"/>
      <w:bookmarkStart w:id="424" w:name="_Toc184308091"/>
      <w:bookmarkEnd w:id="424"/>
      <w:bookmarkStart w:id="425" w:name="_Toc184313260"/>
      <w:bookmarkEnd w:id="425"/>
      <w:bookmarkStart w:id="426" w:name="_Toc184308066"/>
      <w:bookmarkEnd w:id="426"/>
      <w:bookmarkStart w:id="427" w:name="_Toc184314469"/>
      <w:bookmarkEnd w:id="427"/>
      <w:bookmarkStart w:id="428" w:name="_Toc184313247"/>
      <w:bookmarkEnd w:id="428"/>
      <w:bookmarkStart w:id="429" w:name="_Toc184310341"/>
      <w:bookmarkEnd w:id="429"/>
      <w:bookmarkStart w:id="430" w:name="_Toc184314480"/>
      <w:bookmarkEnd w:id="430"/>
      <w:bookmarkStart w:id="431" w:name="_Toc184314411"/>
      <w:bookmarkEnd w:id="431"/>
      <w:bookmarkStart w:id="432" w:name="_Toc184312128"/>
      <w:bookmarkEnd w:id="432"/>
      <w:bookmarkStart w:id="433" w:name="_Toc184313263"/>
      <w:bookmarkEnd w:id="433"/>
      <w:r>
        <w:rPr>
          <w:rFonts w:hint="eastAsia" w:ascii="宋体" w:hAnsi="宋体" w:cs="宋体"/>
          <w:b/>
          <w:sz w:val="36"/>
          <w:szCs w:val="36"/>
        </w:rPr>
        <w:t>评标办法</w:t>
      </w:r>
      <w:bookmarkEnd w:id="66"/>
      <w:bookmarkEnd w:id="67"/>
      <w:bookmarkEnd w:id="68"/>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1"/>
        <w:rPr>
          <w:rFonts w:hint="eastAsia" w:ascii="宋体" w:hAnsi="宋体" w:cs="宋体"/>
          <w:b/>
          <w:sz w:val="32"/>
          <w:szCs w:val="20"/>
        </w:rPr>
      </w:pPr>
      <w:bookmarkStart w:id="434" w:name="_Toc22277"/>
      <w:bookmarkStart w:id="435" w:name="_Toc31905"/>
      <w:bookmarkStart w:id="436" w:name="_Toc8483"/>
      <w:r>
        <w:rPr>
          <w:rFonts w:hint="eastAsia" w:ascii="宋体" w:hAnsi="宋体" w:cs="宋体"/>
          <w:b/>
          <w:sz w:val="32"/>
          <w:szCs w:val="20"/>
        </w:rPr>
        <w:t>一、评标方法</w:t>
      </w:r>
      <w:bookmarkEnd w:id="434"/>
      <w:bookmarkEnd w:id="435"/>
      <w:bookmarkEnd w:id="436"/>
    </w:p>
    <w:p>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w:t>
      </w:r>
      <w:r>
        <w:rPr>
          <w:rFonts w:hint="eastAsia" w:ascii="宋体" w:hAnsi="宋体" w:cs="宋体"/>
          <w:kern w:val="0"/>
          <w:sz w:val="24"/>
          <w:highlight w:val="none"/>
        </w:rPr>
        <w:t>法。本项目推荐1名中标候选人。</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576"/>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noWrap w:val="0"/>
            <w:vAlign w:val="center"/>
          </w:tcPr>
          <w:p>
            <w:pPr>
              <w:adjustRightInd w:val="0"/>
              <w:snapToGrid w:val="0"/>
              <w:spacing w:line="288" w:lineRule="auto"/>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339" w:type="pct"/>
            <w:noWrap w:val="0"/>
            <w:vAlign w:val="center"/>
          </w:tcPr>
          <w:p>
            <w:pPr>
              <w:adjustRightInd w:val="0"/>
              <w:snapToGrid w:val="0"/>
              <w:spacing w:line="288" w:lineRule="auto"/>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3738" w:type="pct"/>
            <w:noWrap w:val="0"/>
            <w:vAlign w:val="center"/>
          </w:tcPr>
          <w:p>
            <w:pPr>
              <w:adjustRightInd w:val="0"/>
              <w:snapToGrid w:val="0"/>
              <w:spacing w:line="288" w:lineRule="auto"/>
              <w:jc w:val="center"/>
              <w:rPr>
                <w:rFonts w:hint="eastAsia" w:ascii="宋体" w:hAnsi="宋体" w:eastAsia="宋体" w:cs="宋体"/>
                <w:b/>
                <w:bCs/>
                <w:sz w:val="24"/>
                <w:szCs w:val="24"/>
              </w:rPr>
            </w:pPr>
            <w:r>
              <w:rPr>
                <w:rFonts w:hint="eastAsia" w:ascii="宋体" w:hAnsi="宋体" w:eastAsia="宋体" w:cs="宋体"/>
                <w:b/>
                <w:bCs/>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noWrap w:val="0"/>
            <w:vAlign w:val="center"/>
          </w:tcPr>
          <w:p>
            <w:pPr>
              <w:adjustRightInd w:val="0"/>
              <w:snapToGrid w:val="0"/>
              <w:spacing w:line="288" w:lineRule="auto"/>
              <w:jc w:val="left"/>
              <w:rPr>
                <w:rFonts w:hint="eastAsia" w:ascii="宋体" w:hAnsi="宋体" w:eastAsia="宋体" w:cs="宋体"/>
                <w:b/>
                <w:bCs/>
                <w:sz w:val="24"/>
                <w:szCs w:val="24"/>
              </w:rPr>
            </w:pPr>
            <w:r>
              <w:rPr>
                <w:rFonts w:hint="eastAsia" w:ascii="宋体" w:hAnsi="宋体" w:eastAsia="宋体" w:cs="宋体"/>
                <w:b/>
                <w:bCs/>
                <w:sz w:val="24"/>
                <w:szCs w:val="24"/>
              </w:rPr>
              <w:t>价格分（</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宋体" w:hAnsi="宋体" w:eastAsia="宋体" w:cs="宋体"/>
                <w:b/>
                <w:bCs/>
                <w:sz w:val="24"/>
                <w:szCs w:val="24"/>
              </w:rPr>
            </w:pPr>
            <w:r>
              <w:rPr>
                <w:rFonts w:hint="eastAsia" w:ascii="宋体" w:hAnsi="宋体" w:eastAsia="宋体" w:cs="宋体"/>
                <w:b/>
                <w:bCs/>
                <w:sz w:val="24"/>
                <w:szCs w:val="24"/>
              </w:rPr>
              <w:t>投标报价</w:t>
            </w:r>
          </w:p>
        </w:tc>
        <w:tc>
          <w:tcPr>
            <w:tcW w:w="3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0</w:t>
            </w:r>
          </w:p>
        </w:tc>
        <w:tc>
          <w:tcPr>
            <w:tcW w:w="37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价格分采用低价优先法计算，即满足招标文件要求且投标价格最低的投标报价为评标基准价，其他投标人的价格分按照下列公式计算：</w:t>
            </w:r>
          </w:p>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价格分=（评标基准价/投标报价）×</w:t>
            </w:r>
            <w:r>
              <w:rPr>
                <w:rFonts w:hint="eastAsia" w:ascii="宋体" w:hAnsi="宋体" w:eastAsia="宋体" w:cs="宋体"/>
                <w:sz w:val="24"/>
                <w:szCs w:val="24"/>
                <w:lang w:val="en-US" w:eastAsia="zh-CN"/>
              </w:rPr>
              <w:t>2</w:t>
            </w:r>
            <w:r>
              <w:rPr>
                <w:rFonts w:hint="eastAsia" w:ascii="宋体" w:hAnsi="宋体" w:eastAsia="宋体" w:cs="宋体"/>
                <w:sz w:val="24"/>
                <w:szCs w:val="24"/>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noWrap w:val="0"/>
            <w:vAlign w:val="center"/>
          </w:tcPr>
          <w:p>
            <w:pPr>
              <w:adjustRightInd w:val="0"/>
              <w:snapToGrid w:val="0"/>
              <w:spacing w:line="288" w:lineRule="auto"/>
              <w:jc w:val="left"/>
              <w:rPr>
                <w:rFonts w:hint="eastAsia" w:ascii="宋体" w:hAnsi="宋体" w:eastAsia="宋体" w:cs="宋体"/>
                <w:b/>
                <w:bCs/>
                <w:sz w:val="24"/>
                <w:szCs w:val="24"/>
              </w:rPr>
            </w:pPr>
            <w:r>
              <w:rPr>
                <w:rFonts w:hint="eastAsia" w:ascii="宋体" w:hAnsi="宋体" w:eastAsia="宋体" w:cs="宋体"/>
                <w:b/>
                <w:bCs/>
                <w:sz w:val="24"/>
                <w:szCs w:val="24"/>
              </w:rPr>
              <w:t>商务分（</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noWrap w:val="0"/>
            <w:vAlign w:val="center"/>
          </w:tcPr>
          <w:p>
            <w:pPr>
              <w:adjustRightInd w:val="0"/>
              <w:snapToGrid w:val="0"/>
              <w:spacing w:line="288" w:lineRule="auto"/>
              <w:jc w:val="center"/>
              <w:rPr>
                <w:rFonts w:hint="eastAsia" w:ascii="宋体" w:hAnsi="宋体" w:eastAsia="宋体" w:cs="宋体"/>
                <w:b/>
                <w:bCs/>
                <w:sz w:val="24"/>
                <w:szCs w:val="24"/>
              </w:rPr>
            </w:pPr>
            <w:r>
              <w:rPr>
                <w:rFonts w:hint="eastAsia" w:ascii="宋体" w:hAnsi="宋体" w:eastAsia="宋体" w:cs="宋体"/>
                <w:b/>
                <w:bCs/>
                <w:sz w:val="24"/>
                <w:szCs w:val="24"/>
              </w:rPr>
              <w:t>业绩</w:t>
            </w:r>
          </w:p>
        </w:tc>
        <w:tc>
          <w:tcPr>
            <w:tcW w:w="339" w:type="pct"/>
            <w:noWrap w:val="0"/>
            <w:vAlign w:val="center"/>
          </w:tcPr>
          <w:p>
            <w:pPr>
              <w:adjustRightInd w:val="0"/>
              <w:snapToGrid w:val="0"/>
              <w:spacing w:line="288"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p>
        </w:tc>
        <w:tc>
          <w:tcPr>
            <w:tcW w:w="3738" w:type="pct"/>
            <w:noWrap w:val="0"/>
            <w:vAlign w:val="center"/>
          </w:tcPr>
          <w:p>
            <w:pPr>
              <w:adjustRightInd w:val="0"/>
              <w:snapToGrid w:val="0"/>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客观分</w:t>
            </w:r>
            <w:r>
              <w:rPr>
                <w:rFonts w:hint="eastAsia" w:ascii="宋体" w:hAnsi="宋体" w:eastAsia="宋体" w:cs="宋体"/>
                <w:sz w:val="24"/>
                <w:szCs w:val="24"/>
                <w:lang w:eastAsia="zh-CN"/>
              </w:rPr>
              <w:t>】</w:t>
            </w:r>
          </w:p>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投标人自20</w:t>
            </w: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年1月1日以来</w:t>
            </w:r>
            <w:r>
              <w:rPr>
                <w:rFonts w:hint="eastAsia" w:ascii="宋体" w:hAnsi="宋体" w:eastAsia="宋体" w:cs="宋体"/>
                <w:b/>
                <w:bCs/>
                <w:sz w:val="24"/>
                <w:szCs w:val="24"/>
              </w:rPr>
              <w:t>（以合同签订时间为准）</w:t>
            </w:r>
            <w:r>
              <w:rPr>
                <w:rFonts w:hint="eastAsia" w:ascii="宋体" w:hAnsi="宋体" w:eastAsia="宋体" w:cs="宋体"/>
                <w:sz w:val="24"/>
                <w:szCs w:val="24"/>
              </w:rPr>
              <w:t>同类合同业绩</w:t>
            </w:r>
            <w:r>
              <w:rPr>
                <w:rFonts w:hint="eastAsia" w:ascii="宋体" w:hAnsi="宋体" w:eastAsia="宋体" w:cs="宋体"/>
                <w:b/>
                <w:bCs/>
                <w:sz w:val="24"/>
                <w:szCs w:val="24"/>
              </w:rPr>
              <w:t>（以提供的合同扫描件为准）</w:t>
            </w:r>
            <w:r>
              <w:rPr>
                <w:rFonts w:hint="eastAsia" w:ascii="宋体" w:hAnsi="宋体" w:eastAsia="宋体" w:cs="宋体"/>
                <w:sz w:val="24"/>
                <w:szCs w:val="24"/>
                <w:lang w:eastAsia="zh-CN"/>
              </w:rPr>
              <w:t>，</w:t>
            </w:r>
            <w:r>
              <w:rPr>
                <w:rFonts w:hint="eastAsia" w:ascii="宋体" w:hAnsi="宋体" w:eastAsia="宋体" w:cs="宋体"/>
                <w:sz w:val="24"/>
                <w:szCs w:val="24"/>
              </w:rPr>
              <w:t>每提供1份合同业绩得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noWrap w:val="0"/>
            <w:vAlign w:val="center"/>
          </w:tcPr>
          <w:p>
            <w:pPr>
              <w:adjustRightInd w:val="0"/>
              <w:snapToGrid w:val="0"/>
              <w:spacing w:line="288" w:lineRule="auto"/>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企业荣誉</w:t>
            </w:r>
          </w:p>
        </w:tc>
        <w:tc>
          <w:tcPr>
            <w:tcW w:w="339" w:type="pct"/>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3738" w:type="pct"/>
            <w:noWrap w:val="0"/>
            <w:vAlign w:val="center"/>
          </w:tcPr>
          <w:p>
            <w:pPr>
              <w:adjustRightInd w:val="0"/>
              <w:snapToGrid w:val="0"/>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客观分</w:t>
            </w:r>
            <w:r>
              <w:rPr>
                <w:rFonts w:hint="eastAsia" w:ascii="宋体" w:hAnsi="宋体" w:eastAsia="宋体" w:cs="宋体"/>
                <w:sz w:val="24"/>
                <w:szCs w:val="24"/>
                <w:lang w:eastAsia="zh-CN"/>
              </w:rPr>
              <w:t>】</w:t>
            </w:r>
          </w:p>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本项目主创团队</w:t>
            </w:r>
            <w:r>
              <w:rPr>
                <w:rFonts w:hint="eastAsia" w:ascii="宋体" w:hAnsi="宋体" w:cs="宋体"/>
                <w:sz w:val="24"/>
                <w:szCs w:val="24"/>
                <w:lang w:val="en-US" w:eastAsia="zh-CN"/>
              </w:rPr>
              <w:t>代运营项目</w:t>
            </w:r>
            <w:r>
              <w:rPr>
                <w:rFonts w:hint="eastAsia" w:ascii="宋体" w:hAnsi="宋体" w:eastAsia="宋体" w:cs="宋体"/>
                <w:sz w:val="24"/>
                <w:szCs w:val="24"/>
              </w:rPr>
              <w:t>曾经获得过</w:t>
            </w:r>
            <w:r>
              <w:rPr>
                <w:rFonts w:hint="eastAsia" w:ascii="宋体" w:hAnsi="宋体" w:cs="宋体"/>
                <w:color w:val="auto"/>
                <w:kern w:val="0"/>
                <w:sz w:val="24"/>
                <w:szCs w:val="24"/>
                <w:highlight w:val="none"/>
                <w:lang w:val="en-US" w:eastAsia="zh-CN" w:bidi="ar-SA"/>
              </w:rPr>
              <w:t>政府部门颁发的政务新媒体相关奖项，</w:t>
            </w:r>
            <w:r>
              <w:rPr>
                <w:rFonts w:hint="eastAsia" w:ascii="宋体" w:hAnsi="宋体" w:cs="宋体"/>
                <w:sz w:val="24"/>
                <w:szCs w:val="24"/>
                <w:lang w:val="en-US" w:eastAsia="zh-CN"/>
              </w:rPr>
              <w:t>省级每个得0.5分，</w:t>
            </w:r>
            <w:r>
              <w:rPr>
                <w:rFonts w:hint="eastAsia" w:ascii="宋体" w:hAnsi="宋体" w:cs="宋体"/>
                <w:color w:val="auto"/>
                <w:kern w:val="0"/>
                <w:sz w:val="24"/>
                <w:szCs w:val="24"/>
                <w:highlight w:val="none"/>
                <w:lang w:val="en-US" w:eastAsia="zh-CN" w:bidi="ar-SA"/>
              </w:rPr>
              <w:t>国家级每个得1分。</w:t>
            </w:r>
            <w:r>
              <w:rPr>
                <w:rFonts w:hint="eastAsia" w:ascii="宋体" w:hAnsi="宋体" w:cs="宋体"/>
                <w:sz w:val="24"/>
                <w:szCs w:val="24"/>
                <w:lang w:val="en-US" w:eastAsia="zh-CN"/>
              </w:rPr>
              <w:t>本项</w:t>
            </w:r>
            <w:r>
              <w:rPr>
                <w:rFonts w:hint="eastAsia" w:ascii="宋体" w:hAnsi="宋体" w:eastAsia="宋体" w:cs="宋体"/>
                <w:sz w:val="24"/>
                <w:szCs w:val="24"/>
              </w:rPr>
              <w:t>最高得3分</w:t>
            </w:r>
            <w:r>
              <w:rPr>
                <w:rFonts w:hint="eastAsia" w:ascii="宋体" w:hAnsi="宋体" w:eastAsia="宋体" w:cs="宋体"/>
                <w:b/>
                <w:bCs/>
                <w:sz w:val="24"/>
                <w:szCs w:val="24"/>
              </w:rPr>
              <w:t>（投标文件中提供奖项扫描件</w:t>
            </w:r>
            <w:r>
              <w:rPr>
                <w:rFonts w:hint="eastAsia" w:ascii="宋体" w:hAnsi="宋体" w:cs="宋体"/>
                <w:b/>
                <w:bCs/>
                <w:sz w:val="24"/>
                <w:szCs w:val="24"/>
                <w:lang w:val="en-US" w:eastAsia="zh-CN"/>
              </w:rPr>
              <w:t>加盖公章</w:t>
            </w:r>
            <w:r>
              <w:rPr>
                <w:rFonts w:hint="eastAsia" w:ascii="宋体" w:hAnsi="宋体" w:eastAsia="宋体" w:cs="宋体"/>
                <w:b/>
                <w:bCs/>
                <w:sz w:val="24"/>
                <w:szCs w:val="24"/>
              </w:rPr>
              <w:t>，不提供或不符合要求不得分）。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noWrap w:val="0"/>
            <w:vAlign w:val="center"/>
          </w:tcPr>
          <w:p>
            <w:pPr>
              <w:adjustRightInd w:val="0"/>
              <w:snapToGrid w:val="0"/>
              <w:spacing w:line="288" w:lineRule="auto"/>
              <w:rPr>
                <w:rFonts w:hint="eastAsia" w:ascii="宋体" w:hAnsi="宋体" w:eastAsia="宋体" w:cs="宋体"/>
                <w:sz w:val="24"/>
                <w:szCs w:val="24"/>
              </w:rPr>
            </w:pPr>
            <w:r>
              <w:rPr>
                <w:rFonts w:hint="eastAsia" w:ascii="宋体" w:hAnsi="宋体" w:eastAsia="宋体" w:cs="宋体"/>
                <w:b/>
                <w:bCs/>
                <w:sz w:val="24"/>
                <w:szCs w:val="24"/>
              </w:rPr>
              <w:t>技术分（</w:t>
            </w:r>
            <w:r>
              <w:rPr>
                <w:rFonts w:hint="eastAsia" w:ascii="宋体" w:hAnsi="宋体" w:eastAsia="宋体" w:cs="宋体"/>
                <w:b/>
                <w:bCs/>
                <w:sz w:val="24"/>
                <w:szCs w:val="24"/>
                <w:lang w:val="en-US" w:eastAsia="zh-CN"/>
              </w:rPr>
              <w:t>75</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服务团队人员配置</w:t>
            </w:r>
          </w:p>
        </w:tc>
        <w:tc>
          <w:tcPr>
            <w:tcW w:w="339" w:type="pct"/>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3738" w:type="pct"/>
            <w:noWrap w:val="0"/>
            <w:vAlign w:val="center"/>
          </w:tcPr>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【主观分】</w:t>
            </w:r>
          </w:p>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美工人员经验、资历、相关证书、工作权责情况。</w:t>
            </w:r>
          </w:p>
          <w:p>
            <w:pPr>
              <w:pStyle w:val="2"/>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p>
        </w:tc>
        <w:tc>
          <w:tcPr>
            <w:tcW w:w="339" w:type="pct"/>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3738" w:type="pct"/>
            <w:noWrap w:val="0"/>
            <w:vAlign w:val="center"/>
          </w:tcPr>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【主观分】</w:t>
            </w:r>
          </w:p>
          <w:p>
            <w:pPr>
              <w:adjustRightInd w:val="0"/>
              <w:snapToGrid w:val="0"/>
              <w:spacing w:line="288"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视频剪辑</w:t>
            </w:r>
            <w:r>
              <w:rPr>
                <w:rFonts w:hint="eastAsia" w:ascii="宋体" w:hAnsi="宋体" w:eastAsia="宋体" w:cs="宋体"/>
                <w:sz w:val="24"/>
                <w:szCs w:val="24"/>
              </w:rPr>
              <w:t>人员经验、资历、相关证书、工作权责情况</w:t>
            </w:r>
            <w:r>
              <w:rPr>
                <w:rFonts w:hint="eastAsia" w:ascii="宋体" w:hAnsi="宋体" w:eastAsia="宋体" w:cs="宋体"/>
                <w:sz w:val="24"/>
                <w:szCs w:val="24"/>
                <w:lang w:eastAsia="zh-CN"/>
              </w:rPr>
              <w:t>。</w:t>
            </w:r>
          </w:p>
          <w:p>
            <w:pPr>
              <w:adjustRightInd w:val="0"/>
              <w:snapToGrid w:val="0"/>
              <w:spacing w:line="288" w:lineRule="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p>
        </w:tc>
        <w:tc>
          <w:tcPr>
            <w:tcW w:w="339" w:type="pct"/>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3738" w:type="pct"/>
            <w:noWrap w:val="0"/>
            <w:vAlign w:val="center"/>
          </w:tcPr>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【主观分】</w:t>
            </w:r>
          </w:p>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lang w:val="en-US" w:eastAsia="zh-CN"/>
              </w:rPr>
              <w:t>文字策划人员</w:t>
            </w:r>
            <w:r>
              <w:rPr>
                <w:rFonts w:hint="eastAsia" w:ascii="宋体" w:hAnsi="宋体" w:eastAsia="宋体" w:cs="宋体"/>
                <w:sz w:val="24"/>
                <w:szCs w:val="24"/>
              </w:rPr>
              <w:t>经验、资历、相关证书、工作权责情况。</w:t>
            </w:r>
          </w:p>
          <w:p>
            <w:pPr>
              <w:adjustRightInd w:val="0"/>
              <w:snapToGrid w:val="0"/>
              <w:spacing w:line="288" w:lineRule="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p>
        </w:tc>
        <w:tc>
          <w:tcPr>
            <w:tcW w:w="339" w:type="pct"/>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3738" w:type="pct"/>
            <w:noWrap w:val="0"/>
            <w:vAlign w:val="center"/>
          </w:tcPr>
          <w:p>
            <w:pPr>
              <w:adjustRightInd w:val="0"/>
              <w:snapToGrid w:val="0"/>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客观分</w:t>
            </w:r>
            <w:r>
              <w:rPr>
                <w:rFonts w:hint="eastAsia" w:ascii="宋体" w:hAnsi="宋体" w:eastAsia="宋体" w:cs="宋体"/>
                <w:sz w:val="24"/>
                <w:szCs w:val="24"/>
                <w:lang w:eastAsia="zh-CN"/>
              </w:rPr>
              <w:t>】</w:t>
            </w:r>
          </w:p>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lang w:val="en-US" w:eastAsia="zh-CN"/>
              </w:rPr>
              <w:t>视频剪辑人员、文字策划人员、美工人员中持新闻记者证的每个得1分，最高得3分</w:t>
            </w:r>
            <w:r>
              <w:rPr>
                <w:rFonts w:hint="eastAsia" w:ascii="宋体" w:hAnsi="宋体" w:eastAsia="宋体" w:cs="宋体"/>
                <w:sz w:val="24"/>
                <w:szCs w:val="24"/>
              </w:rPr>
              <w:t>（以提供的</w:t>
            </w:r>
            <w:r>
              <w:rPr>
                <w:rFonts w:hint="eastAsia" w:ascii="宋体" w:hAnsi="宋体" w:eastAsia="宋体" w:cs="宋体"/>
                <w:sz w:val="24"/>
                <w:szCs w:val="24"/>
                <w:lang w:val="en-US" w:eastAsia="zh-CN"/>
              </w:rPr>
              <w:t>证书</w:t>
            </w:r>
            <w:r>
              <w:rPr>
                <w:rFonts w:hint="eastAsia" w:ascii="宋体" w:hAnsi="宋体" w:eastAsia="宋体" w:cs="宋体"/>
                <w:sz w:val="24"/>
                <w:szCs w:val="24"/>
              </w:rPr>
              <w:t>扫描件为准）</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noWrap w:val="0"/>
            <w:vAlign w:val="center"/>
          </w:tcPr>
          <w:p>
            <w:pPr>
              <w:adjustRightInd w:val="0"/>
              <w:snapToGrid w:val="0"/>
              <w:spacing w:line="288"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服务方案</w:t>
            </w:r>
          </w:p>
          <w:p>
            <w:pPr>
              <w:adjustRightInd w:val="0"/>
              <w:snapToGrid w:val="0"/>
              <w:spacing w:line="288" w:lineRule="auto"/>
              <w:jc w:val="center"/>
              <w:rPr>
                <w:rFonts w:hint="eastAsia" w:ascii="宋体" w:hAnsi="宋体" w:eastAsia="宋体" w:cs="宋体"/>
                <w:b/>
                <w:bCs/>
                <w:kern w:val="2"/>
                <w:sz w:val="24"/>
                <w:szCs w:val="24"/>
                <w:lang w:val="en-US" w:eastAsia="zh-CN" w:bidi="ar-SA"/>
              </w:rPr>
            </w:pPr>
          </w:p>
        </w:tc>
        <w:tc>
          <w:tcPr>
            <w:tcW w:w="339" w:type="pct"/>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3738" w:type="pct"/>
            <w:noWrap w:val="0"/>
            <w:vAlign w:val="center"/>
          </w:tcPr>
          <w:p>
            <w:pPr>
              <w:adjustRightInd w:val="0"/>
              <w:snapToGrid w:val="0"/>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主观分</w:t>
            </w:r>
            <w:r>
              <w:rPr>
                <w:rFonts w:hint="eastAsia" w:ascii="宋体" w:hAnsi="宋体" w:eastAsia="宋体" w:cs="宋体"/>
                <w:sz w:val="24"/>
                <w:szCs w:val="24"/>
                <w:lang w:eastAsia="zh-CN"/>
              </w:rPr>
              <w:t>】</w:t>
            </w:r>
          </w:p>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投标人对本项目背景、现状的理解和分析是否到位，对新媒体运行的熟悉程度，提供的服务方案是否满足采购人要求，</w:t>
            </w:r>
            <w:r>
              <w:rPr>
                <w:rFonts w:hint="eastAsia" w:ascii="宋体" w:hAnsi="宋体" w:eastAsia="宋体" w:cs="宋体"/>
                <w:sz w:val="24"/>
                <w:szCs w:val="24"/>
                <w:highlight w:val="none"/>
              </w:rPr>
              <w:t>相关联程序或功能</w:t>
            </w:r>
            <w:r>
              <w:rPr>
                <w:rFonts w:hint="eastAsia" w:ascii="宋体" w:hAnsi="宋体" w:eastAsia="宋体" w:cs="宋体"/>
                <w:sz w:val="24"/>
                <w:szCs w:val="24"/>
                <w:highlight w:val="none"/>
                <w:lang w:eastAsia="zh-CN"/>
              </w:rPr>
              <w:t>是否具有相关</w:t>
            </w:r>
            <w:r>
              <w:rPr>
                <w:rFonts w:hint="eastAsia" w:ascii="宋体" w:hAnsi="宋体" w:eastAsia="宋体" w:cs="宋体"/>
                <w:sz w:val="24"/>
                <w:szCs w:val="24"/>
                <w:highlight w:val="none"/>
              </w:rPr>
              <w:t>知识产权</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eastAsia="zh-CN"/>
              </w:rPr>
              <w:t>内容是否齐全。【</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922" w:type="pct"/>
            <w:vMerge w:val="continue"/>
            <w:noWrap w:val="0"/>
            <w:vAlign w:val="center"/>
          </w:tcPr>
          <w:p>
            <w:pPr>
              <w:adjustRightInd w:val="0"/>
              <w:snapToGrid w:val="0"/>
              <w:spacing w:line="288" w:lineRule="auto"/>
              <w:jc w:val="center"/>
              <w:rPr>
                <w:rFonts w:hint="eastAsia" w:ascii="宋体" w:hAnsi="宋体" w:eastAsia="宋体" w:cs="宋体"/>
                <w:b/>
                <w:bCs/>
                <w:sz w:val="24"/>
                <w:szCs w:val="24"/>
                <w:highlight w:val="none"/>
              </w:rPr>
            </w:pPr>
          </w:p>
        </w:tc>
        <w:tc>
          <w:tcPr>
            <w:tcW w:w="339" w:type="pct"/>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3738" w:type="pct"/>
            <w:noWrap w:val="0"/>
            <w:vAlign w:val="center"/>
          </w:tcPr>
          <w:p>
            <w:pPr>
              <w:adjustRightInd w:val="0"/>
              <w:snapToGrid w:val="0"/>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主观分</w:t>
            </w:r>
            <w:r>
              <w:rPr>
                <w:rFonts w:hint="eastAsia" w:ascii="宋体" w:hAnsi="宋体" w:eastAsia="宋体" w:cs="宋体"/>
                <w:sz w:val="24"/>
                <w:szCs w:val="24"/>
                <w:lang w:eastAsia="zh-CN"/>
              </w:rPr>
              <w:t>】</w:t>
            </w:r>
          </w:p>
          <w:p>
            <w:pPr>
              <w:adjustRightInd w:val="0"/>
              <w:snapToGrid w:val="0"/>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投标人对本项目组织实施方案的科学性、合理性、规范性和可操作性，包括采编审签流程、平台运行维护、信息故障处理、活动开展和策划等内容的思路和亮点特色等。</w:t>
            </w:r>
          </w:p>
          <w:p>
            <w:pPr>
              <w:pStyle w:val="2"/>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22" w:type="pct"/>
            <w:vMerge w:val="continue"/>
            <w:noWrap w:val="0"/>
            <w:vAlign w:val="center"/>
          </w:tcPr>
          <w:p>
            <w:pPr>
              <w:adjustRightInd w:val="0"/>
              <w:snapToGrid w:val="0"/>
              <w:spacing w:line="288" w:lineRule="auto"/>
              <w:jc w:val="center"/>
              <w:rPr>
                <w:rFonts w:hint="eastAsia" w:ascii="宋体" w:hAnsi="宋体" w:eastAsia="宋体" w:cs="宋体"/>
                <w:b/>
                <w:bCs/>
                <w:sz w:val="24"/>
                <w:szCs w:val="24"/>
                <w:highlight w:val="none"/>
              </w:rPr>
            </w:pPr>
          </w:p>
        </w:tc>
        <w:tc>
          <w:tcPr>
            <w:tcW w:w="339" w:type="pct"/>
            <w:noWrap w:val="0"/>
            <w:vAlign w:val="center"/>
          </w:tcPr>
          <w:p>
            <w:pPr>
              <w:adjustRightInd w:val="0"/>
              <w:snapToGrid w:val="0"/>
              <w:spacing w:line="288" w:lineRule="auto"/>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5</w:t>
            </w:r>
          </w:p>
        </w:tc>
        <w:tc>
          <w:tcPr>
            <w:tcW w:w="3738" w:type="pct"/>
            <w:noWrap w:val="0"/>
            <w:vAlign w:val="center"/>
          </w:tcPr>
          <w:p>
            <w:pPr>
              <w:adjustRightInd w:val="0"/>
              <w:snapToGrid w:val="0"/>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主观分</w:t>
            </w:r>
            <w:r>
              <w:rPr>
                <w:rFonts w:hint="eastAsia" w:ascii="宋体" w:hAnsi="宋体" w:eastAsia="宋体" w:cs="宋体"/>
                <w:sz w:val="24"/>
                <w:szCs w:val="24"/>
                <w:lang w:eastAsia="zh-CN"/>
              </w:rPr>
              <w:t>】</w:t>
            </w:r>
          </w:p>
          <w:p>
            <w:pPr>
              <w:pStyle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针对本项目科学合理地安排工作时间进度、工作程序和步骤的情况</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922" w:type="pct"/>
            <w:vMerge w:val="continue"/>
            <w:noWrap w:val="0"/>
            <w:vAlign w:val="center"/>
          </w:tcPr>
          <w:p>
            <w:pPr>
              <w:adjustRightInd w:val="0"/>
              <w:snapToGrid w:val="0"/>
              <w:spacing w:line="288" w:lineRule="auto"/>
              <w:jc w:val="center"/>
              <w:rPr>
                <w:rFonts w:hint="eastAsia" w:ascii="宋体" w:hAnsi="宋体" w:eastAsia="宋体" w:cs="宋体"/>
                <w:b/>
                <w:bCs/>
                <w:sz w:val="24"/>
                <w:szCs w:val="24"/>
                <w:highlight w:val="none"/>
              </w:rPr>
            </w:pPr>
          </w:p>
        </w:tc>
        <w:tc>
          <w:tcPr>
            <w:tcW w:w="339" w:type="pct"/>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3738" w:type="pct"/>
            <w:noWrap w:val="0"/>
            <w:vAlign w:val="center"/>
          </w:tcPr>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客</w:t>
            </w:r>
            <w:r>
              <w:rPr>
                <w:rFonts w:hint="eastAsia" w:ascii="宋体" w:hAnsi="宋体" w:eastAsia="宋体" w:cs="宋体"/>
                <w:sz w:val="24"/>
                <w:szCs w:val="24"/>
                <w:lang w:eastAsia="zh-CN"/>
              </w:rPr>
              <w:t>观分】</w:t>
            </w:r>
          </w:p>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根据投标人对主创团队提供的5个不同主题的新闻报道、5个不同创意方向的原创视频及各自传播效果截图等综合水平情况，在中央级主流媒体上报道的每提供一个得1分，最高得5分。</w:t>
            </w:r>
          </w:p>
          <w:p>
            <w:pPr>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noWrap w:val="0"/>
            <w:vAlign w:val="center"/>
          </w:tcPr>
          <w:p>
            <w:pPr>
              <w:adjustRightInd w:val="0"/>
              <w:snapToGrid w:val="0"/>
              <w:spacing w:line="288" w:lineRule="auto"/>
              <w:jc w:val="center"/>
              <w:rPr>
                <w:rFonts w:hint="eastAsia" w:ascii="宋体" w:hAnsi="宋体" w:eastAsia="宋体" w:cs="宋体"/>
                <w:b/>
                <w:bCs/>
                <w:kern w:val="2"/>
                <w:sz w:val="24"/>
                <w:szCs w:val="24"/>
                <w:lang w:val="en-US" w:eastAsia="zh-CN" w:bidi="ar-SA"/>
              </w:rPr>
            </w:pPr>
          </w:p>
        </w:tc>
        <w:tc>
          <w:tcPr>
            <w:tcW w:w="339" w:type="pct"/>
            <w:noWrap w:val="0"/>
            <w:vAlign w:val="center"/>
          </w:tcPr>
          <w:p>
            <w:pPr>
              <w:adjustRightInd w:val="0"/>
              <w:snapToGrid w:val="0"/>
              <w:spacing w:line="288"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5</w:t>
            </w:r>
          </w:p>
        </w:tc>
        <w:tc>
          <w:tcPr>
            <w:tcW w:w="3738" w:type="pct"/>
            <w:noWrap w:val="0"/>
            <w:vAlign w:val="center"/>
          </w:tcPr>
          <w:p>
            <w:pPr>
              <w:adjustRightInd w:val="0"/>
              <w:snapToGrid w:val="0"/>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主观分</w:t>
            </w:r>
            <w:r>
              <w:rPr>
                <w:rFonts w:hint="eastAsia" w:ascii="宋体" w:hAnsi="宋体" w:eastAsia="宋体" w:cs="宋体"/>
                <w:sz w:val="24"/>
                <w:szCs w:val="24"/>
                <w:lang w:eastAsia="zh-CN"/>
              </w:rPr>
              <w:t>】</w:t>
            </w:r>
          </w:p>
          <w:p>
            <w:pPr>
              <w:adjustRightInd w:val="0"/>
              <w:snapToGrid w:val="0"/>
              <w:spacing w:line="288"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对本项目实施的重点、难点分析及对应措施情况</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22" w:type="pct"/>
            <w:vMerge w:val="continue"/>
            <w:tcBorders>
              <w:bottom w:val="single" w:color="auto" w:sz="4" w:space="0"/>
            </w:tcBorders>
            <w:noWrap w:val="0"/>
            <w:vAlign w:val="center"/>
          </w:tcPr>
          <w:p>
            <w:pPr>
              <w:adjustRightInd w:val="0"/>
              <w:snapToGrid w:val="0"/>
              <w:spacing w:line="288" w:lineRule="auto"/>
              <w:jc w:val="center"/>
              <w:rPr>
                <w:rFonts w:hint="eastAsia" w:ascii="宋体" w:hAnsi="宋体" w:eastAsia="宋体" w:cs="宋体"/>
                <w:b/>
                <w:bCs/>
                <w:sz w:val="24"/>
                <w:szCs w:val="24"/>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5</w:t>
            </w:r>
          </w:p>
        </w:tc>
        <w:tc>
          <w:tcPr>
            <w:tcW w:w="37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主观分</w:t>
            </w:r>
            <w:r>
              <w:rPr>
                <w:rFonts w:hint="eastAsia" w:ascii="宋体" w:hAnsi="宋体" w:eastAsia="宋体" w:cs="宋体"/>
                <w:sz w:val="24"/>
                <w:szCs w:val="24"/>
                <w:lang w:eastAsia="zh-CN"/>
              </w:rPr>
              <w:t>】</w:t>
            </w:r>
          </w:p>
          <w:p>
            <w:pPr>
              <w:adjustRightInd w:val="0"/>
              <w:snapToGrid w:val="0"/>
              <w:spacing w:line="288"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“浙江交警”新媒体（微信公众号、微博、头条号、抖音、快手、微信视频号）等新媒体账号运维服务方案的可行性、合理性。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22" w:type="pct"/>
            <w:vMerge w:val="restart"/>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投入设备</w:t>
            </w:r>
          </w:p>
        </w:tc>
        <w:tc>
          <w:tcPr>
            <w:tcW w:w="3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p>
        </w:tc>
        <w:tc>
          <w:tcPr>
            <w:tcW w:w="37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【主观分】</w:t>
            </w:r>
          </w:p>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对采购需求</w:t>
            </w:r>
            <w:r>
              <w:rPr>
                <w:rFonts w:hint="eastAsia" w:ascii="宋体" w:hAnsi="宋体" w:eastAsia="宋体" w:cs="宋体"/>
                <w:sz w:val="24"/>
                <w:szCs w:val="24"/>
                <w:lang w:val="en-US" w:eastAsia="zh-CN"/>
              </w:rPr>
              <w:t>中投入的设备</w:t>
            </w:r>
            <w:r>
              <w:rPr>
                <w:rFonts w:hint="eastAsia" w:ascii="宋体" w:hAnsi="宋体" w:eastAsia="宋体" w:cs="宋体"/>
                <w:sz w:val="24"/>
                <w:szCs w:val="24"/>
              </w:rPr>
              <w:t>(包含针对本项目的设备配备置等)及技术情况</w:t>
            </w:r>
            <w:r>
              <w:rPr>
                <w:rFonts w:hint="eastAsia" w:ascii="宋体" w:hAnsi="宋体" w:eastAsia="宋体" w:cs="宋体"/>
                <w:sz w:val="24"/>
                <w:szCs w:val="24"/>
                <w:lang w:eastAsia="zh-CN"/>
              </w:rPr>
              <w:t>。</w:t>
            </w:r>
            <w:r>
              <w:rPr>
                <w:rFonts w:hint="eastAsia" w:ascii="宋体" w:hAnsi="宋体" w:eastAsia="宋体" w:cs="宋体"/>
                <w:sz w:val="24"/>
                <w:szCs w:val="24"/>
              </w:rPr>
              <w:t>根据其设备数量、设备的先进性、针对性、设备的配置是否合理、高效等进行打分(提供设备实物照片及</w:t>
            </w:r>
            <w:r>
              <w:rPr>
                <w:rFonts w:hint="eastAsia" w:ascii="宋体" w:hAnsi="宋体" w:eastAsia="宋体" w:cs="宋体"/>
                <w:sz w:val="24"/>
                <w:szCs w:val="24"/>
                <w:lang w:val="en-US" w:eastAsia="zh-CN"/>
              </w:rPr>
              <w:t>配置</w:t>
            </w:r>
            <w:r>
              <w:rPr>
                <w:rFonts w:hint="eastAsia" w:ascii="宋体" w:hAnsi="宋体" w:eastAsia="宋体" w:cs="宋体"/>
                <w:sz w:val="24"/>
                <w:szCs w:val="24"/>
              </w:rPr>
              <w:t>证明复印件，不提供不得分。)</w:t>
            </w:r>
          </w:p>
          <w:p>
            <w:pPr>
              <w:pStyle w:val="2"/>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22" w:type="pct"/>
            <w:vMerge w:val="continue"/>
            <w:tcBorders>
              <w:bottom w:val="single" w:color="auto" w:sz="4" w:space="0"/>
            </w:tcBorders>
            <w:noWrap w:val="0"/>
            <w:vAlign w:val="center"/>
          </w:tcPr>
          <w:p>
            <w:pPr>
              <w:adjustRightInd w:val="0"/>
              <w:snapToGrid w:val="0"/>
              <w:spacing w:line="288" w:lineRule="auto"/>
              <w:jc w:val="center"/>
              <w:rPr>
                <w:rFonts w:hint="eastAsia" w:ascii="宋体" w:hAnsi="宋体" w:eastAsia="宋体" w:cs="宋体"/>
                <w:b/>
                <w:bCs/>
                <w:sz w:val="24"/>
                <w:szCs w:val="24"/>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p>
        </w:tc>
        <w:tc>
          <w:tcPr>
            <w:tcW w:w="37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客观</w:t>
            </w:r>
            <w:r>
              <w:rPr>
                <w:rFonts w:hint="eastAsia" w:ascii="宋体" w:hAnsi="宋体" w:eastAsia="宋体" w:cs="宋体"/>
                <w:sz w:val="24"/>
                <w:szCs w:val="24"/>
                <w:highlight w:val="none"/>
              </w:rPr>
              <w:t>分】</w:t>
            </w:r>
          </w:p>
          <w:p>
            <w:pPr>
              <w:adjustRightInd w:val="0"/>
              <w:snapToGrid w:val="0"/>
              <w:spacing w:line="288"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投标人拥有相关融媒体系统软件</w:t>
            </w:r>
            <w:r>
              <w:rPr>
                <w:rFonts w:hint="eastAsia" w:ascii="宋体" w:hAnsi="宋体" w:eastAsia="宋体" w:cs="宋体"/>
                <w:b/>
                <w:bCs/>
                <w:sz w:val="24"/>
                <w:szCs w:val="24"/>
                <w:highlight w:val="none"/>
                <w:lang w:val="en-US" w:eastAsia="zh-CN"/>
              </w:rPr>
              <w:t>（如：媒资管理、舆情监测分析、新闻传播力评估等）</w:t>
            </w:r>
            <w:r>
              <w:rPr>
                <w:rFonts w:hint="eastAsia" w:ascii="宋体" w:hAnsi="宋体" w:eastAsia="宋体" w:cs="宋体"/>
                <w:sz w:val="24"/>
                <w:szCs w:val="24"/>
                <w:highlight w:val="none"/>
                <w:lang w:val="en-US" w:eastAsia="zh-CN"/>
              </w:rPr>
              <w:t>，并承诺在本项目运维期间提供使用的综合情况。</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p>
            <w:pPr>
              <w:adjustRightInd w:val="0"/>
              <w:snapToGrid w:val="0"/>
              <w:spacing w:line="288"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lang w:val="en-US" w:eastAsia="zh-CN"/>
              </w:rPr>
              <w:t>注：承诺函格式自拟，不提供不得分。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left w:val="single" w:color="auto" w:sz="4" w:space="0"/>
              <w:right w:val="single" w:color="auto" w:sz="4" w:space="0"/>
            </w:tcBorders>
            <w:noWrap w:val="0"/>
            <w:vAlign w:val="center"/>
          </w:tcPr>
          <w:p>
            <w:pPr>
              <w:adjustRightInd w:val="0"/>
              <w:snapToGrid w:val="0"/>
              <w:spacing w:line="288" w:lineRule="auto"/>
              <w:jc w:val="center"/>
              <w:rPr>
                <w:rFonts w:hint="eastAsia" w:ascii="宋体" w:hAnsi="宋体" w:eastAsia="宋体" w:cs="宋体"/>
                <w:b/>
                <w:bCs/>
                <w:sz w:val="24"/>
                <w:szCs w:val="24"/>
              </w:rPr>
            </w:pPr>
            <w:r>
              <w:rPr>
                <w:rFonts w:hint="eastAsia" w:ascii="宋体" w:hAnsi="宋体" w:eastAsia="宋体" w:cs="宋体"/>
                <w:b/>
                <w:bCs/>
                <w:sz w:val="24"/>
                <w:szCs w:val="24"/>
                <w:highlight w:val="none"/>
              </w:rPr>
              <w:t>应急措施</w:t>
            </w:r>
          </w:p>
        </w:tc>
        <w:tc>
          <w:tcPr>
            <w:tcW w:w="3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p>
        </w:tc>
        <w:tc>
          <w:tcPr>
            <w:tcW w:w="37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投标人针对本项目可能发生的紧急情况提出的应急预案的合理性、可实施性。</w:t>
            </w:r>
          </w:p>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tcBorders>
              <w:left w:val="single" w:color="auto" w:sz="4" w:space="0"/>
              <w:right w:val="single" w:color="auto" w:sz="4" w:space="0"/>
            </w:tcBorders>
            <w:noWrap w:val="0"/>
            <w:vAlign w:val="center"/>
          </w:tcPr>
          <w:p>
            <w:pPr>
              <w:adjustRightInd w:val="0"/>
              <w:snapToGrid w:val="0"/>
              <w:spacing w:line="288"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服务质量保障</w:t>
            </w:r>
          </w:p>
        </w:tc>
        <w:tc>
          <w:tcPr>
            <w:tcW w:w="3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5</w:t>
            </w:r>
          </w:p>
        </w:tc>
        <w:tc>
          <w:tcPr>
            <w:tcW w:w="37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pPr>
              <w:adjustRightInd w:val="0"/>
              <w:snapToGrid w:val="0"/>
              <w:spacing w:line="288" w:lineRule="auto"/>
              <w:rPr>
                <w:rFonts w:hint="eastAsia" w:ascii="宋体" w:hAnsi="宋体" w:eastAsia="宋体" w:cs="宋体"/>
                <w:sz w:val="24"/>
                <w:szCs w:val="24"/>
              </w:rPr>
            </w:pPr>
            <w:r>
              <w:rPr>
                <w:rFonts w:hint="eastAsia" w:ascii="宋体" w:hAnsi="宋体" w:eastAsia="宋体" w:cs="宋体"/>
                <w:sz w:val="24"/>
                <w:szCs w:val="24"/>
              </w:rPr>
              <w:t>运维服务质量保障措施的合理性、可行性情况。</w:t>
            </w:r>
          </w:p>
          <w:p>
            <w:pPr>
              <w:adjustRightInd w:val="0"/>
              <w:snapToGrid w:val="0"/>
              <w:spacing w:line="288" w:lineRule="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left w:val="single" w:color="auto" w:sz="4" w:space="0"/>
              <w:right w:val="single" w:color="auto" w:sz="4" w:space="0"/>
            </w:tcBorders>
            <w:noWrap w:val="0"/>
            <w:vAlign w:val="center"/>
          </w:tcPr>
          <w:p>
            <w:pPr>
              <w:adjustRightInd w:val="0"/>
              <w:snapToGrid w:val="0"/>
              <w:spacing w:line="288" w:lineRule="auto"/>
              <w:jc w:val="center"/>
              <w:rPr>
                <w:rFonts w:hint="eastAsia" w:ascii="宋体" w:hAnsi="宋体" w:eastAsia="宋体" w:cs="宋体"/>
                <w:b/>
                <w:bCs/>
                <w:sz w:val="24"/>
                <w:szCs w:val="24"/>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37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pPr>
              <w:adjustRightInd w:val="0"/>
              <w:snapToGrid w:val="0"/>
              <w:spacing w:line="288"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运维服务</w:t>
            </w:r>
            <w:r>
              <w:rPr>
                <w:rFonts w:hint="eastAsia" w:ascii="宋体" w:hAnsi="宋体" w:eastAsia="宋体" w:cs="宋体"/>
                <w:sz w:val="24"/>
                <w:szCs w:val="24"/>
                <w:highlight w:val="none"/>
                <w:lang w:val="en-US" w:eastAsia="zh-CN"/>
              </w:rPr>
              <w:t>团队对本次项目</w:t>
            </w:r>
            <w:r>
              <w:rPr>
                <w:rFonts w:hint="eastAsia" w:ascii="宋体" w:hAnsi="宋体" w:eastAsia="宋体" w:cs="宋体"/>
                <w:sz w:val="24"/>
                <w:szCs w:val="24"/>
                <w:highlight w:val="none"/>
                <w:lang w:val="zh-CN"/>
              </w:rPr>
              <w:t>各项资源</w:t>
            </w:r>
            <w:r>
              <w:rPr>
                <w:rFonts w:hint="eastAsia" w:ascii="宋体" w:hAnsi="宋体" w:eastAsia="宋体" w:cs="宋体"/>
                <w:sz w:val="24"/>
                <w:szCs w:val="24"/>
                <w:highlight w:val="none"/>
                <w:lang w:val="en-US" w:eastAsia="zh-CN"/>
              </w:rPr>
              <w:t>调动的</w:t>
            </w:r>
            <w:r>
              <w:rPr>
                <w:rFonts w:hint="eastAsia" w:ascii="宋体" w:hAnsi="宋体" w:eastAsia="宋体" w:cs="宋体"/>
                <w:sz w:val="24"/>
                <w:szCs w:val="24"/>
                <w:highlight w:val="none"/>
                <w:lang w:val="zh-CN"/>
              </w:rPr>
              <w:t>能力。</w:t>
            </w:r>
          </w:p>
          <w:p>
            <w:pPr>
              <w:adjustRightInd w:val="0"/>
              <w:snapToGrid w:val="0"/>
              <w:spacing w:line="288" w:lineRule="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服务承诺</w:t>
            </w:r>
          </w:p>
        </w:tc>
        <w:tc>
          <w:tcPr>
            <w:tcW w:w="3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37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投标人针对本项目提出的实质性优惠条件和承诺情况；对后续服务等方面的优惠承诺，以及对本次项目的优势说明其他特色服务和响应措施等情况。</w:t>
            </w:r>
          </w:p>
          <w:p>
            <w:pPr>
              <w:adjustRightInd w:val="0"/>
              <w:snapToGrid w:val="0"/>
              <w:spacing w:line="288"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r>
    </w:tbl>
    <w:p>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1"/>
        <w:rPr>
          <w:rFonts w:hint="eastAsia" w:ascii="宋体" w:hAnsi="宋体" w:cs="宋体"/>
          <w:b/>
          <w:sz w:val="32"/>
          <w:szCs w:val="20"/>
        </w:rPr>
      </w:pPr>
      <w:bookmarkStart w:id="437" w:name="_Toc5919"/>
      <w:bookmarkStart w:id="438" w:name="_Toc184"/>
      <w:bookmarkStart w:id="439" w:name="_Toc13403"/>
      <w:r>
        <w:rPr>
          <w:rFonts w:hint="eastAsia" w:ascii="宋体" w:hAnsi="宋体" w:cs="宋体"/>
          <w:b/>
          <w:sz w:val="32"/>
          <w:szCs w:val="20"/>
        </w:rPr>
        <w:t>二、评标标准</w:t>
      </w:r>
      <w:bookmarkEnd w:id="437"/>
      <w:bookmarkEnd w:id="438"/>
      <w:bookmarkEnd w:id="439"/>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1"/>
        <w:rPr>
          <w:rFonts w:hint="eastAsia" w:ascii="宋体" w:hAnsi="宋体" w:cs="宋体"/>
          <w:b/>
          <w:sz w:val="32"/>
          <w:szCs w:val="20"/>
        </w:rPr>
      </w:pPr>
      <w:bookmarkStart w:id="440" w:name="_Toc23705"/>
      <w:bookmarkStart w:id="441" w:name="_Toc987"/>
      <w:bookmarkStart w:id="442" w:name="_Toc32309"/>
      <w:r>
        <w:rPr>
          <w:rFonts w:hint="eastAsia" w:ascii="宋体" w:hAnsi="宋体" w:cs="宋体"/>
          <w:b/>
          <w:sz w:val="32"/>
          <w:szCs w:val="20"/>
        </w:rPr>
        <w:t>三、评标程序</w:t>
      </w:r>
      <w:bookmarkEnd w:id="440"/>
      <w:bookmarkEnd w:id="441"/>
      <w:bookmarkEnd w:id="442"/>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bCs/>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w:t>
      </w:r>
      <w:r>
        <w:rPr>
          <w:rFonts w:hint="eastAsia" w:ascii="宋体" w:hAnsi="宋体" w:cs="宋体"/>
          <w:b/>
          <w:bCs/>
          <w:kern w:val="0"/>
          <w:sz w:val="24"/>
        </w:rPr>
        <w:t>不满足招标文件的实质性要求的，投标无效。</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kern w:val="0"/>
          <w:sz w:val="24"/>
        </w:rPr>
      </w:pPr>
      <w:r>
        <w:rPr>
          <w:rFonts w:hint="eastAsia" w:ascii="宋体" w:hAnsi="宋体" w:cs="宋体"/>
          <w:b/>
          <w:kern w:val="0"/>
          <w:sz w:val="24"/>
        </w:rPr>
        <w:t>3.4报价评审。</w:t>
      </w:r>
    </w:p>
    <w:p>
      <w:pPr>
        <w:pStyle w:val="131"/>
        <w:keepNext w:val="0"/>
        <w:keepLines w:val="0"/>
        <w:pageBreakBefore w:val="0"/>
        <w:widowControl w:val="0"/>
        <w:kinsoku/>
        <w:wordWrap/>
        <w:overflowPunct/>
        <w:topLinePunct w:val="0"/>
        <w:autoSpaceDE/>
        <w:autoSpaceDN/>
        <w:bidi w:val="0"/>
        <w:spacing w:before="0"/>
        <w:ind w:firstLine="508" w:firstLineChars="212"/>
        <w:textAlignment w:val="auto"/>
        <w:rPr>
          <w:rFonts w:ascii="宋体" w:hAnsi="宋体" w:cs="宋体"/>
          <w:kern w:val="0"/>
        </w:rPr>
      </w:pPr>
      <w:r>
        <w:rPr>
          <w:rFonts w:hint="eastAsia" w:ascii="宋体" w:hAnsi="宋体" w:cs="宋体"/>
          <w:kern w:val="0"/>
        </w:rPr>
        <w:t>3.4.1投标文件报价出现前后不一致的，按照下列规定修正：</w:t>
      </w:r>
    </w:p>
    <w:p>
      <w:pPr>
        <w:pStyle w:val="131"/>
        <w:keepNext w:val="0"/>
        <w:keepLines w:val="0"/>
        <w:pageBreakBefore w:val="0"/>
        <w:widowControl w:val="0"/>
        <w:kinsoku/>
        <w:wordWrap/>
        <w:overflowPunct/>
        <w:topLinePunct w:val="0"/>
        <w:autoSpaceDE/>
        <w:autoSpaceDN/>
        <w:bidi w:val="0"/>
        <w:spacing w:before="0"/>
        <w:ind w:firstLine="480"/>
        <w:textAlignment w:val="auto"/>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keepNext w:val="0"/>
        <w:keepLines w:val="0"/>
        <w:pageBreakBefore w:val="0"/>
        <w:widowControl w:val="0"/>
        <w:kinsoku/>
        <w:wordWrap/>
        <w:overflowPunct/>
        <w:topLinePunct w:val="0"/>
        <w:autoSpaceDE/>
        <w:autoSpaceDN/>
        <w:bidi w:val="0"/>
        <w:spacing w:before="0"/>
        <w:ind w:firstLine="480"/>
        <w:textAlignment w:val="auto"/>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keepNext w:val="0"/>
        <w:keepLines w:val="0"/>
        <w:pageBreakBefore w:val="0"/>
        <w:widowControl w:val="0"/>
        <w:kinsoku/>
        <w:wordWrap/>
        <w:overflowPunct/>
        <w:topLinePunct w:val="0"/>
        <w:autoSpaceDE/>
        <w:autoSpaceDN/>
        <w:bidi w:val="0"/>
        <w:spacing w:before="0"/>
        <w:ind w:firstLine="480"/>
        <w:textAlignment w:val="auto"/>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keepNext w:val="0"/>
        <w:keepLines w:val="0"/>
        <w:pageBreakBefore w:val="0"/>
        <w:widowControl w:val="0"/>
        <w:kinsoku/>
        <w:wordWrap/>
        <w:overflowPunct/>
        <w:topLinePunct w:val="0"/>
        <w:autoSpaceDE/>
        <w:autoSpaceDN/>
        <w:bidi w:val="0"/>
        <w:spacing w:before="0"/>
        <w:ind w:firstLine="480"/>
        <w:textAlignment w:val="auto"/>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keepNext w:val="0"/>
        <w:keepLines w:val="0"/>
        <w:pageBreakBefore w:val="0"/>
        <w:widowControl w:val="0"/>
        <w:kinsoku/>
        <w:wordWrap/>
        <w:overflowPunct/>
        <w:topLinePunct w:val="0"/>
        <w:autoSpaceDE/>
        <w:autoSpaceDN/>
        <w:bidi w:val="0"/>
        <w:spacing w:before="0"/>
        <w:ind w:firstLine="480"/>
        <w:textAlignment w:val="auto"/>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3.4.2投标文件出现不是唯一的、有选择性投标报价的，投标无效。</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keepNext w:val="0"/>
        <w:keepLines w:val="0"/>
        <w:pageBreakBefore w:val="0"/>
        <w:widowControl w:val="0"/>
        <w:kinsoku/>
        <w:wordWrap/>
        <w:overflowPunct/>
        <w:topLinePunct w:val="0"/>
        <w:autoSpaceDE/>
        <w:autoSpaceDN/>
        <w:bidi w:val="0"/>
        <w:spacing w:before="0"/>
        <w:ind w:firstLine="480"/>
        <w:textAlignment w:val="auto"/>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keepNext w:val="0"/>
        <w:keepLines w:val="0"/>
        <w:pageBreakBefore w:val="0"/>
        <w:widowControl w:val="0"/>
        <w:kinsoku/>
        <w:wordWrap/>
        <w:overflowPunct/>
        <w:topLinePunct w:val="0"/>
        <w:autoSpaceDE/>
        <w:autoSpaceDN/>
        <w:bidi w:val="0"/>
        <w:spacing w:before="0"/>
        <w:ind w:firstLine="480"/>
        <w:textAlignment w:val="auto"/>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center"/>
        <w:textAlignment w:val="auto"/>
        <w:outlineLvl w:val="1"/>
        <w:rPr>
          <w:rFonts w:hint="eastAsia" w:ascii="宋体" w:hAnsi="宋体" w:cs="宋体"/>
          <w:b/>
          <w:sz w:val="32"/>
          <w:szCs w:val="20"/>
        </w:rPr>
      </w:pPr>
      <w:bookmarkStart w:id="443" w:name="_Toc24735"/>
      <w:bookmarkStart w:id="444" w:name="_Toc17066"/>
      <w:bookmarkStart w:id="445" w:name="_Toc8504"/>
      <w:r>
        <w:rPr>
          <w:rFonts w:hint="eastAsia" w:ascii="宋体" w:hAnsi="宋体" w:cs="宋体"/>
          <w:b/>
          <w:sz w:val="32"/>
          <w:szCs w:val="20"/>
        </w:rPr>
        <w:t>四、评标中的其他事项</w:t>
      </w:r>
      <w:bookmarkEnd w:id="443"/>
      <w:bookmarkEnd w:id="444"/>
      <w:bookmarkEnd w:id="445"/>
    </w:p>
    <w:p>
      <w:pPr>
        <w:pStyle w:val="131"/>
        <w:keepNext w:val="0"/>
        <w:keepLines w:val="0"/>
        <w:pageBreakBefore w:val="0"/>
        <w:widowControl w:val="0"/>
        <w:kinsoku/>
        <w:wordWrap/>
        <w:overflowPunct/>
        <w:topLinePunct w:val="0"/>
        <w:autoSpaceDE/>
        <w:autoSpaceDN/>
        <w:bidi w:val="0"/>
        <w:spacing w:before="0"/>
        <w:ind w:firstLine="472" w:firstLineChars="196"/>
        <w:textAlignment w:val="auto"/>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keepNext w:val="0"/>
        <w:keepLines w:val="0"/>
        <w:pageBreakBefore w:val="0"/>
        <w:widowControl w:val="0"/>
        <w:kinsoku/>
        <w:wordWrap/>
        <w:overflowPunct/>
        <w:topLinePunct w:val="0"/>
        <w:autoSpaceDE/>
        <w:autoSpaceDN/>
        <w:bidi w:val="0"/>
        <w:spacing w:line="360" w:lineRule="auto"/>
        <w:ind w:left="954"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4.2.2投标文件未按照招标文件要求签署、盖章的；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4.2.4投标文件含有采购人不能接受的附加条件的；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keepNext w:val="0"/>
        <w:keepLines w:val="0"/>
        <w:pageBreakBefore w:val="0"/>
        <w:widowControl w:val="0"/>
        <w:kinsoku/>
        <w:wordWrap/>
        <w:overflowPunct/>
        <w:topLinePunct w:val="0"/>
        <w:autoSpaceDE/>
        <w:autoSpaceDN/>
        <w:bidi w:val="0"/>
        <w:snapToGrid w:val="0"/>
        <w:spacing w:line="360" w:lineRule="auto"/>
        <w:ind w:firstLine="120" w:firstLineChars="50"/>
        <w:jc w:val="left"/>
        <w:textAlignment w:val="auto"/>
        <w:rPr>
          <w:rFonts w:ascii="宋体" w:hAnsi="宋体" w:cs="宋体"/>
          <w:kern w:val="0"/>
          <w:sz w:val="24"/>
        </w:rPr>
      </w:pPr>
      <w:r>
        <w:rPr>
          <w:rFonts w:hint="eastAsia" w:ascii="宋体" w:hAnsi="宋体" w:cs="宋体"/>
          <w:kern w:val="0"/>
          <w:sz w:val="24"/>
        </w:rPr>
        <w:t xml:space="preserve">   4.2.6投标文件出现不是唯一的、有选择性投标报价的;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4.2.7投标报价超过招标文件中规定的预算金额或者最高限价的;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4.2.9投标人对根据修正原则修正后的报价不确认的；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4.2.10投标人提供虚假材料投标的；</w:t>
      </w:r>
    </w:p>
    <w:p>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kern w:val="0"/>
          <w:sz w:val="24"/>
          <w:lang w:val="en-US"/>
        </w:rPr>
      </w:pPr>
      <w:r>
        <w:rPr>
          <w:rFonts w:hint="eastAsia" w:ascii="宋体" w:hAnsi="宋体" w:cs="宋体"/>
          <w:kern w:val="0"/>
          <w:sz w:val="24"/>
          <w:lang w:val="en-US"/>
        </w:rPr>
        <w:t>4.2.13 投标文件不满足招标文件的其它实质性要求的；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4.2.14法律、法规、规章（适用本</w:t>
      </w:r>
      <w:r>
        <w:rPr>
          <w:rFonts w:hint="eastAsia" w:ascii="宋体" w:hAnsi="宋体" w:cs="宋体"/>
          <w:kern w:val="0"/>
          <w:sz w:val="24"/>
          <w:lang w:val="en-US" w:eastAsia="zh-CN"/>
        </w:rPr>
        <w:t>省</w:t>
      </w:r>
      <w:r>
        <w:rPr>
          <w:rFonts w:hint="eastAsia" w:ascii="宋体" w:hAnsi="宋体" w:cs="宋体"/>
          <w:kern w:val="0"/>
          <w:sz w:val="24"/>
        </w:rPr>
        <w:t>的）及省级以上规范性文件（适用本</w:t>
      </w:r>
      <w:r>
        <w:rPr>
          <w:rFonts w:hint="eastAsia" w:ascii="宋体" w:hAnsi="宋体" w:cs="宋体"/>
          <w:kern w:val="0"/>
          <w:sz w:val="24"/>
          <w:lang w:val="en-US" w:eastAsia="zh-CN"/>
        </w:rPr>
        <w:t>省</w:t>
      </w:r>
      <w:r>
        <w:rPr>
          <w:rFonts w:hint="eastAsia" w:ascii="宋体" w:hAnsi="宋体" w:cs="宋体"/>
          <w:kern w:val="0"/>
          <w:sz w:val="24"/>
        </w:rPr>
        <w:t>的）规定的其他无效情形。</w:t>
      </w:r>
    </w:p>
    <w:p>
      <w:pPr>
        <w:pStyle w:val="24"/>
        <w:keepNext w:val="0"/>
        <w:keepLines w:val="0"/>
        <w:pageBreakBefore w:val="0"/>
        <w:widowControl w:val="0"/>
        <w:kinsoku/>
        <w:wordWrap/>
        <w:overflowPunct/>
        <w:topLinePunct w:val="0"/>
        <w:autoSpaceDE/>
        <w:autoSpaceDN/>
        <w:bidi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rPr>
      </w:pPr>
      <w:r>
        <w:rPr>
          <w:rFonts w:hint="eastAsia" w:cs="宋体"/>
        </w:rPr>
        <w:t>5.1符合专业条件的供应商或者对招标文件作实质响应的供应商不足3家的；</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rPr>
      </w:pPr>
      <w:r>
        <w:rPr>
          <w:rFonts w:hint="eastAsia" w:cs="宋体"/>
        </w:rPr>
        <w:t>5.2出现影响采购公正的违法、违规行为的；</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rPr>
      </w:pPr>
      <w:r>
        <w:rPr>
          <w:rFonts w:hint="eastAsia" w:cs="宋体"/>
        </w:rPr>
        <w:t>5.3投标人的报价均超过了采购预算，采购人不能支付的；</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rPr>
      </w:pPr>
      <w:r>
        <w:rPr>
          <w:rFonts w:hint="eastAsia" w:cs="宋体"/>
        </w:rPr>
        <w:t>5.4因重大变故，采购任务取消的。</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4"/>
        <w:keepNext w:val="0"/>
        <w:keepLines w:val="0"/>
        <w:pageBreakBefore w:val="0"/>
        <w:widowControl w:val="0"/>
        <w:kinsoku/>
        <w:wordWrap/>
        <w:overflowPunct/>
        <w:topLinePunct w:val="0"/>
        <w:autoSpaceDE/>
        <w:autoSpaceDN/>
        <w:bidi w:val="0"/>
        <w:snapToGrid w:val="0"/>
        <w:spacing w:line="360" w:lineRule="auto"/>
        <w:ind w:firstLine="590" w:firstLineChars="245"/>
        <w:textAlignment w:val="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4"/>
        <w:keepNext w:val="0"/>
        <w:keepLines w:val="0"/>
        <w:pageBreakBefore w:val="0"/>
        <w:widowControl w:val="0"/>
        <w:kinsoku/>
        <w:wordWrap/>
        <w:overflowPunct/>
        <w:topLinePunct w:val="0"/>
        <w:autoSpaceDE/>
        <w:autoSpaceDN/>
        <w:bidi w:val="0"/>
        <w:snapToGrid w:val="0"/>
        <w:spacing w:line="360" w:lineRule="auto"/>
        <w:ind w:firstLine="482"/>
        <w:textAlignment w:val="auto"/>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rPr>
      </w:pPr>
      <w:r>
        <w:rPr>
          <w:rFonts w:hint="eastAsia" w:cs="宋体"/>
        </w:rPr>
        <w:t>7.1未确定中标供应商的，终止本次政府采购活动，重新开展政府采购活动。</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rPr>
      </w:pPr>
      <w:r>
        <w:rPr>
          <w:rFonts w:hint="eastAsia" w:cs="宋体"/>
        </w:rPr>
        <w:t>7.4政府采购合同已经履行，给采购人、供应商造成损失的，由责任人承担赔偿责任。</w:t>
      </w:r>
    </w:p>
    <w:p>
      <w:pPr>
        <w:pStyle w:val="24"/>
        <w:keepNext w:val="0"/>
        <w:keepLines w:val="0"/>
        <w:pageBreakBefore w:val="0"/>
        <w:widowControl w:val="0"/>
        <w:kinsoku/>
        <w:wordWrap/>
        <w:overflowPunct/>
        <w:topLinePunct w:val="0"/>
        <w:autoSpaceDE/>
        <w:autoSpaceDN/>
        <w:bidi w:val="0"/>
        <w:snapToGrid w:val="0"/>
        <w:spacing w:line="360" w:lineRule="auto"/>
        <w:textAlignment w:val="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65"/>
    <w:p>
      <w:pPr>
        <w:widowControl/>
        <w:adjustRightInd/>
        <w:jc w:val="center"/>
        <w:outlineLvl w:val="0"/>
        <w:rPr>
          <w:rFonts w:hint="eastAsia" w:ascii="宋体" w:hAnsi="宋体" w:cs="宋体"/>
          <w:b/>
          <w:sz w:val="36"/>
          <w:szCs w:val="36"/>
        </w:rPr>
      </w:pPr>
      <w:bookmarkStart w:id="446" w:name="第五部分"/>
      <w:bookmarkStart w:id="447" w:name="_Toc86217003"/>
      <w:r>
        <w:rPr>
          <w:rFonts w:ascii="宋体" w:hAnsi="宋体" w:cs="宋体"/>
          <w:b/>
          <w:sz w:val="36"/>
          <w:szCs w:val="36"/>
        </w:rPr>
        <w:br w:type="page"/>
      </w:r>
      <w:bookmarkStart w:id="448" w:name="_Toc31629"/>
      <w:bookmarkStart w:id="449" w:name="_Toc4805"/>
      <w:bookmarkStart w:id="450" w:name="_Toc14081"/>
      <w:r>
        <w:rPr>
          <w:rFonts w:hint="eastAsia" w:ascii="宋体" w:hAnsi="宋体" w:eastAsia="宋体" w:cs="宋体"/>
          <w:b/>
          <w:sz w:val="36"/>
          <w:szCs w:val="36"/>
        </w:rPr>
        <w:t>第五部分 拟签订的合同文本</w:t>
      </w:r>
      <w:bookmarkEnd w:id="448"/>
      <w:bookmarkEnd w:id="449"/>
      <w:bookmarkEnd w:id="450"/>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w:t>
      </w:r>
    </w:p>
    <w:p>
      <w:pPr>
        <w:spacing w:line="480" w:lineRule="auto"/>
        <w:jc w:val="center"/>
        <w:rPr>
          <w:rFonts w:ascii="宋体" w:hAnsi="宋体" w:cs="宋体"/>
          <w:b/>
          <w:sz w:val="36"/>
          <w:szCs w:val="36"/>
        </w:rPr>
      </w:pPr>
      <w:r>
        <w:rPr>
          <w:rFonts w:hint="eastAsia" w:ascii="宋体" w:hAnsi="宋体" w:cs="宋体"/>
          <w:b/>
          <w:sz w:val="36"/>
          <w:szCs w:val="36"/>
        </w:rPr>
        <w:t>（服务类）</w:t>
      </w:r>
    </w:p>
    <w:p>
      <w:pPr>
        <w:spacing w:before="120" w:line="22" w:lineRule="atLeast"/>
        <w:rPr>
          <w:rFonts w:ascii="宋体" w:hAnsi="宋体" w:cs="宋体"/>
          <w:sz w:val="24"/>
        </w:rPr>
      </w:pPr>
    </w:p>
    <w:p>
      <w:pPr>
        <w:bidi w:val="0"/>
      </w:pPr>
    </w:p>
    <w:p>
      <w:pPr>
        <w:spacing w:before="120" w:line="22" w:lineRule="atLeast"/>
        <w:ind w:left="960"/>
        <w:rPr>
          <w:rFonts w:hint="eastAsia" w:ascii="宋体" w:hAnsi="宋体" w:eastAsia="宋体" w:cs="宋体"/>
          <w:sz w:val="24"/>
          <w:u w:val="single"/>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浙江省公安厅“浙江交警”新媒体运维项目（第三次重新招标）</w:t>
      </w:r>
    </w:p>
    <w:p>
      <w:pPr>
        <w:pStyle w:val="600"/>
        <w:spacing w:before="120" w:line="22" w:lineRule="atLeast"/>
        <w:rPr>
          <w:rFonts w:ascii="宋体" w:hAnsi="宋体" w:eastAsia="宋体" w:cs="宋体"/>
          <w:szCs w:val="24"/>
        </w:rPr>
      </w:pPr>
    </w:p>
    <w:p>
      <w:pPr>
        <w:pStyle w:val="600"/>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4" w:type="first"/>
          <w:footerReference r:id="rId6" w:type="first"/>
          <w:headerReference r:id="rId3" w:type="default"/>
          <w:footerReference r:id="rId5" w:type="default"/>
          <w:pgSz w:w="11907" w:h="16840"/>
          <w:pgMar w:top="1474" w:right="1814" w:bottom="1474" w:left="1814" w:header="851" w:footer="851" w:gutter="0"/>
          <w:cols w:space="720" w:num="1"/>
        </w:sectPr>
      </w:pP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rPr>
        <w:t>项目名称：</w:t>
      </w:r>
      <w:r>
        <w:rPr>
          <w:rFonts w:hint="eastAsia" w:ascii="宋体" w:hAnsi="宋体" w:cs="宋体"/>
          <w:b/>
          <w:bCs/>
          <w:spacing w:val="-6"/>
          <w:sz w:val="24"/>
          <w:szCs w:val="24"/>
          <w:lang w:eastAsia="zh-CN"/>
        </w:rPr>
        <w:t>浙江省公安厅“浙江交警”新媒体运维项目（第三次重新招标）</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rPr>
        <w:t>项目编号：</w:t>
      </w:r>
      <w:r>
        <w:rPr>
          <w:rFonts w:hint="eastAsia" w:ascii="宋体" w:hAnsi="宋体" w:cs="宋体"/>
          <w:b/>
          <w:bCs/>
          <w:spacing w:val="-6"/>
          <w:sz w:val="24"/>
          <w:szCs w:val="24"/>
          <w:lang w:eastAsia="zh-CN"/>
        </w:rPr>
        <w:t>HCZX-ZC-[2024]0588-2</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spacing w:val="-6"/>
          <w:sz w:val="24"/>
          <w:szCs w:val="24"/>
        </w:rPr>
      </w:pPr>
      <w:r>
        <w:rPr>
          <w:rFonts w:hint="eastAsia" w:ascii="宋体" w:hAnsi="宋体" w:eastAsia="宋体" w:cs="宋体"/>
          <w:b/>
          <w:bCs/>
          <w:spacing w:val="-6"/>
          <w:sz w:val="24"/>
          <w:szCs w:val="24"/>
        </w:rPr>
        <w:t>采购计划书：临[2024]30296号</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spacing w:val="-6"/>
          <w:sz w:val="24"/>
          <w:szCs w:val="24"/>
        </w:rPr>
      </w:pPr>
      <w:r>
        <w:rPr>
          <w:rFonts w:hint="eastAsia" w:ascii="宋体" w:hAnsi="宋体" w:eastAsia="宋体" w:cs="宋体"/>
          <w:b/>
          <w:bCs/>
          <w:spacing w:val="-6"/>
          <w:sz w:val="24"/>
          <w:szCs w:val="24"/>
        </w:rPr>
        <w:t>甲方（</w:t>
      </w:r>
      <w:r>
        <w:rPr>
          <w:rFonts w:hint="eastAsia" w:ascii="宋体" w:hAnsi="宋体" w:eastAsia="宋体" w:cs="宋体"/>
          <w:b/>
          <w:bCs/>
          <w:spacing w:val="-6"/>
          <w:sz w:val="24"/>
          <w:szCs w:val="24"/>
          <w:lang w:val="en-US" w:eastAsia="zh-CN"/>
        </w:rPr>
        <w:t>委托人</w:t>
      </w:r>
      <w:r>
        <w:rPr>
          <w:rFonts w:hint="eastAsia" w:ascii="宋体" w:hAnsi="宋体" w:eastAsia="宋体" w:cs="宋体"/>
          <w:b/>
          <w:bCs/>
          <w:spacing w:val="-6"/>
          <w:sz w:val="24"/>
          <w:szCs w:val="24"/>
        </w:rPr>
        <w:t>）：</w:t>
      </w:r>
      <w:r>
        <w:rPr>
          <w:rFonts w:hint="eastAsia" w:ascii="宋体" w:hAnsi="宋体" w:eastAsia="宋体" w:cs="宋体"/>
          <w:b/>
          <w:spacing w:val="-6"/>
          <w:sz w:val="24"/>
          <w:szCs w:val="24"/>
        </w:rPr>
        <w:t>浙江省公安厅</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spacing w:val="-6"/>
          <w:sz w:val="24"/>
          <w:szCs w:val="24"/>
        </w:rPr>
      </w:pPr>
      <w:r>
        <w:rPr>
          <w:rFonts w:hint="eastAsia" w:ascii="宋体" w:hAnsi="宋体" w:eastAsia="宋体" w:cs="宋体"/>
          <w:b/>
          <w:bCs/>
          <w:spacing w:val="-6"/>
          <w:sz w:val="24"/>
          <w:szCs w:val="24"/>
        </w:rPr>
        <w:t>乙方（</w:t>
      </w:r>
      <w:r>
        <w:rPr>
          <w:rFonts w:hint="eastAsia" w:ascii="宋体" w:hAnsi="宋体" w:eastAsia="宋体" w:cs="宋体"/>
          <w:b/>
          <w:bCs/>
          <w:spacing w:val="-6"/>
          <w:sz w:val="24"/>
          <w:szCs w:val="24"/>
          <w:lang w:val="en-US" w:eastAsia="zh-CN"/>
        </w:rPr>
        <w:t>受托方</w:t>
      </w:r>
      <w:r>
        <w:rPr>
          <w:rFonts w:hint="eastAsia" w:ascii="宋体" w:hAnsi="宋体" w:eastAsia="宋体" w:cs="宋体"/>
          <w:b/>
          <w:bCs/>
          <w:spacing w:val="-6"/>
          <w:sz w:val="24"/>
          <w:szCs w:val="24"/>
        </w:rPr>
        <w:t>）：</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宋体" w:hAnsi="宋体" w:eastAsia="宋体" w:cs="宋体"/>
          <w:b/>
          <w:bCs/>
          <w:spacing w:val="-6"/>
          <w:sz w:val="24"/>
          <w:szCs w:val="24"/>
          <w:lang w:val="en-US" w:eastAsia="zh-CN"/>
        </w:rPr>
      </w:pPr>
      <w:r>
        <w:rPr>
          <w:rFonts w:hint="eastAsia" w:ascii="宋体" w:hAnsi="宋体" w:eastAsia="宋体" w:cs="宋体"/>
          <w:b/>
          <w:bCs/>
          <w:spacing w:val="-6"/>
          <w:sz w:val="24"/>
          <w:szCs w:val="24"/>
        </w:rPr>
        <w:t>采购代理机构：</w:t>
      </w:r>
      <w:r>
        <w:rPr>
          <w:rFonts w:hint="eastAsia" w:ascii="宋体" w:hAnsi="宋体" w:eastAsia="宋体" w:cs="宋体"/>
          <w:b/>
          <w:bCs/>
          <w:spacing w:val="-6"/>
          <w:sz w:val="24"/>
          <w:szCs w:val="24"/>
          <w:lang w:val="en-US" w:eastAsia="zh-CN"/>
        </w:rPr>
        <w:t>华诚工程咨询集团有限公司</w:t>
      </w:r>
    </w:p>
    <w:p>
      <w:pPr>
        <w:pStyle w:val="2"/>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根据《中华人民共和国政府采购法》等法律法规规定，</w:t>
      </w:r>
      <w:r>
        <w:rPr>
          <w:rFonts w:hint="eastAsia" w:ascii="宋体" w:hAnsi="宋体" w:eastAsia="宋体" w:cs="宋体"/>
          <w:spacing w:val="-6"/>
          <w:sz w:val="24"/>
          <w:szCs w:val="24"/>
          <w:lang w:eastAsia="zh-CN"/>
        </w:rPr>
        <w:t>华诚工程咨询集团有限公司</w:t>
      </w:r>
      <w:r>
        <w:rPr>
          <w:rFonts w:hint="eastAsia" w:ascii="宋体" w:hAnsi="宋体" w:eastAsia="宋体" w:cs="宋体"/>
          <w:spacing w:val="-6"/>
          <w:sz w:val="24"/>
          <w:szCs w:val="24"/>
        </w:rPr>
        <w:t>受</w:t>
      </w:r>
      <w:r>
        <w:rPr>
          <w:rFonts w:hint="eastAsia" w:ascii="宋体" w:hAnsi="宋体" w:eastAsia="宋体" w:cs="宋体"/>
          <w:spacing w:val="-6"/>
          <w:sz w:val="24"/>
          <w:szCs w:val="24"/>
          <w:u w:val="single"/>
        </w:rPr>
        <w:t xml:space="preserve"> 浙江省公安厅 </w:t>
      </w:r>
      <w:r>
        <w:rPr>
          <w:rFonts w:hint="eastAsia" w:ascii="宋体" w:hAnsi="宋体" w:eastAsia="宋体" w:cs="宋体"/>
          <w:spacing w:val="-6"/>
          <w:sz w:val="24"/>
          <w:szCs w:val="24"/>
        </w:rPr>
        <w:t>委托，经</w:t>
      </w:r>
      <w:r>
        <w:rPr>
          <w:rFonts w:hint="eastAsia" w:ascii="宋体" w:hAnsi="宋体" w:eastAsia="宋体" w:cs="宋体"/>
          <w:spacing w:val="-6"/>
          <w:sz w:val="24"/>
          <w:szCs w:val="24"/>
          <w:u w:val="single"/>
        </w:rPr>
        <w:t xml:space="preserve"> 公开招标 </w:t>
      </w:r>
      <w:r>
        <w:rPr>
          <w:rFonts w:hint="eastAsia" w:ascii="宋体" w:hAnsi="宋体" w:eastAsia="宋体" w:cs="宋体"/>
          <w:spacing w:val="-6"/>
          <w:sz w:val="24"/>
          <w:szCs w:val="24"/>
        </w:rPr>
        <w:t>，确定</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为</w:t>
      </w:r>
      <w:r>
        <w:rPr>
          <w:rFonts w:hint="eastAsia" w:ascii="宋体" w:hAnsi="宋体" w:eastAsia="宋体" w:cs="宋体"/>
          <w:spacing w:val="-6"/>
          <w:sz w:val="24"/>
          <w:szCs w:val="24"/>
          <w:u w:val="single"/>
        </w:rPr>
        <w:t xml:space="preserve"> </w:t>
      </w:r>
      <w:r>
        <w:rPr>
          <w:rFonts w:hint="eastAsia" w:ascii="宋体" w:hAnsi="宋体" w:cs="宋体"/>
          <w:spacing w:val="-6"/>
          <w:sz w:val="24"/>
          <w:szCs w:val="24"/>
          <w:u w:val="single"/>
          <w:lang w:eastAsia="zh-CN"/>
        </w:rPr>
        <w:t>浙江省公安厅“浙江交警”新媒体运维项目（第三次重新招标）</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项目编号</w:t>
      </w:r>
      <w:r>
        <w:rPr>
          <w:rFonts w:hint="eastAsia" w:ascii="宋体" w:hAnsi="宋体" w:eastAsia="宋体" w:cs="宋体"/>
          <w:spacing w:val="-6"/>
          <w:sz w:val="24"/>
          <w:szCs w:val="24"/>
          <w:u w:val="single"/>
        </w:rPr>
        <w:t>（</w:t>
      </w:r>
      <w:r>
        <w:rPr>
          <w:rFonts w:hint="eastAsia" w:ascii="宋体" w:hAnsi="宋体" w:cs="宋体"/>
          <w:spacing w:val="-6"/>
          <w:sz w:val="24"/>
          <w:szCs w:val="24"/>
          <w:u w:val="single"/>
          <w:lang w:eastAsia="zh-CN"/>
        </w:rPr>
        <w:t>HCZX-ZC-[2024]0588-2</w:t>
      </w:r>
      <w:r>
        <w:rPr>
          <w:rFonts w:hint="eastAsia" w:ascii="宋体" w:hAnsi="宋体" w:eastAsia="宋体" w:cs="宋体"/>
          <w:spacing w:val="-6"/>
          <w:sz w:val="24"/>
          <w:szCs w:val="24"/>
          <w:u w:val="single"/>
        </w:rPr>
        <w:t>）</w:t>
      </w:r>
      <w:r>
        <w:rPr>
          <w:rFonts w:hint="eastAsia" w:ascii="宋体" w:hAnsi="宋体" w:eastAsia="宋体" w:cs="宋体"/>
          <w:spacing w:val="-6"/>
          <w:sz w:val="24"/>
          <w:szCs w:val="24"/>
        </w:rPr>
        <w:t>的中标人。根据《中华人民共和国民法典》规定，签署本合同。</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第一条：采购内容及合同价格</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180"/>
        <w:gridCol w:w="1180"/>
        <w:gridCol w:w="1180"/>
        <w:gridCol w:w="1180"/>
        <w:gridCol w:w="118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0" w:type="auto"/>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0" w:type="auto"/>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0" w:type="auto"/>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0" w:type="auto"/>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0" w:type="auto"/>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0" w:type="auto"/>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0" w:type="auto"/>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0" w:type="auto"/>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pacing w:line="360" w:lineRule="auto"/>
              <w:jc w:val="center"/>
              <w:rPr>
                <w:rFonts w:ascii="宋体" w:hAnsi="宋体" w:cs="宋体"/>
                <w:color w:val="auto"/>
                <w:sz w:val="24"/>
              </w:rPr>
            </w:pPr>
          </w:p>
        </w:tc>
        <w:tc>
          <w:tcPr>
            <w:tcW w:w="0" w:type="auto"/>
          </w:tcPr>
          <w:p>
            <w:pPr>
              <w:spacing w:line="360" w:lineRule="auto"/>
              <w:jc w:val="center"/>
              <w:rPr>
                <w:rFonts w:ascii="宋体" w:hAnsi="宋体" w:cs="宋体"/>
                <w:color w:val="auto"/>
                <w:sz w:val="24"/>
              </w:rPr>
            </w:pPr>
          </w:p>
        </w:tc>
        <w:tc>
          <w:tcPr>
            <w:tcW w:w="0" w:type="auto"/>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0" w:type="auto"/>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pacing w:line="360" w:lineRule="auto"/>
              <w:jc w:val="center"/>
              <w:rPr>
                <w:rFonts w:ascii="宋体" w:hAnsi="宋体" w:cs="宋体"/>
                <w:color w:val="auto"/>
                <w:sz w:val="24"/>
              </w:rPr>
            </w:pPr>
          </w:p>
        </w:tc>
        <w:tc>
          <w:tcPr>
            <w:tcW w:w="0" w:type="auto"/>
          </w:tcPr>
          <w:p>
            <w:pPr>
              <w:spacing w:line="360" w:lineRule="auto"/>
              <w:jc w:val="center"/>
              <w:rPr>
                <w:rFonts w:ascii="宋体" w:hAnsi="宋体" w:cs="宋体"/>
                <w:color w:val="auto"/>
                <w:sz w:val="24"/>
              </w:rPr>
            </w:pPr>
          </w:p>
        </w:tc>
        <w:tc>
          <w:tcPr>
            <w:tcW w:w="0" w:type="auto"/>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pacing w:line="360" w:lineRule="auto"/>
              <w:jc w:val="center"/>
              <w:rPr>
                <w:rFonts w:ascii="宋体" w:hAnsi="宋体" w:cs="宋体"/>
                <w:color w:val="auto"/>
                <w:sz w:val="24"/>
              </w:rPr>
            </w:pPr>
          </w:p>
        </w:tc>
        <w:tc>
          <w:tcPr>
            <w:tcW w:w="0" w:type="auto"/>
          </w:tcPr>
          <w:p>
            <w:pPr>
              <w:spacing w:line="360" w:lineRule="auto"/>
              <w:jc w:val="center"/>
              <w:rPr>
                <w:rFonts w:ascii="宋体" w:hAnsi="宋体" w:cs="宋体"/>
                <w:color w:val="auto"/>
                <w:sz w:val="24"/>
              </w:rPr>
            </w:pPr>
          </w:p>
        </w:tc>
        <w:tc>
          <w:tcPr>
            <w:tcW w:w="0" w:type="auto"/>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pacing w:line="360" w:lineRule="auto"/>
              <w:jc w:val="center"/>
              <w:rPr>
                <w:rFonts w:ascii="宋体" w:hAnsi="宋体" w:cs="宋体"/>
                <w:color w:val="auto"/>
                <w:sz w:val="24"/>
              </w:rPr>
            </w:pPr>
          </w:p>
        </w:tc>
        <w:tc>
          <w:tcPr>
            <w:tcW w:w="0" w:type="auto"/>
          </w:tcPr>
          <w:p>
            <w:pPr>
              <w:spacing w:line="360" w:lineRule="auto"/>
              <w:jc w:val="center"/>
              <w:rPr>
                <w:rFonts w:ascii="宋体" w:hAnsi="宋体" w:cs="宋体"/>
                <w:color w:val="auto"/>
                <w:sz w:val="24"/>
              </w:rPr>
            </w:pPr>
          </w:p>
        </w:tc>
        <w:tc>
          <w:tcPr>
            <w:tcW w:w="0" w:type="auto"/>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napToGrid w:val="0"/>
              <w:spacing w:line="360" w:lineRule="auto"/>
              <w:jc w:val="center"/>
              <w:rPr>
                <w:rFonts w:ascii="宋体" w:hAnsi="宋体" w:cs="宋体"/>
                <w:color w:val="auto"/>
                <w:sz w:val="24"/>
              </w:rPr>
            </w:pPr>
          </w:p>
        </w:tc>
        <w:tc>
          <w:tcPr>
            <w:tcW w:w="0" w:type="auto"/>
            <w:vAlign w:val="center"/>
          </w:tcPr>
          <w:p>
            <w:pPr>
              <w:spacing w:line="360" w:lineRule="auto"/>
              <w:jc w:val="center"/>
              <w:rPr>
                <w:rFonts w:ascii="宋体" w:hAnsi="宋体" w:cs="宋体"/>
                <w:color w:val="auto"/>
                <w:sz w:val="24"/>
              </w:rPr>
            </w:pPr>
          </w:p>
        </w:tc>
        <w:tc>
          <w:tcPr>
            <w:tcW w:w="0" w:type="auto"/>
          </w:tcPr>
          <w:p>
            <w:pPr>
              <w:spacing w:line="360" w:lineRule="auto"/>
              <w:jc w:val="center"/>
              <w:rPr>
                <w:rFonts w:ascii="宋体" w:hAnsi="宋体" w:cs="宋体"/>
                <w:color w:val="auto"/>
                <w:sz w:val="24"/>
              </w:rPr>
            </w:pPr>
          </w:p>
        </w:tc>
        <w:tc>
          <w:tcPr>
            <w:tcW w:w="0" w:type="auto"/>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lang w:val="en-US" w:eastAsia="zh-CN"/>
              </w:rPr>
              <w:t>总价</w:t>
            </w:r>
            <w:r>
              <w:rPr>
                <w:rFonts w:hint="eastAsia" w:ascii="宋体" w:hAnsi="宋体" w:cs="宋体"/>
                <w:b/>
                <w:color w:val="auto"/>
                <w:sz w:val="24"/>
              </w:rPr>
              <w:t>（小写）</w:t>
            </w:r>
          </w:p>
        </w:tc>
        <w:tc>
          <w:tcPr>
            <w:tcW w:w="0" w:type="auto"/>
            <w:gridSpan w:val="4"/>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lang w:val="en-US" w:eastAsia="zh-CN"/>
              </w:rPr>
              <w:t>总价（</w:t>
            </w:r>
            <w:r>
              <w:rPr>
                <w:rFonts w:hint="eastAsia" w:ascii="宋体" w:hAnsi="宋体" w:cs="宋体"/>
                <w:b/>
                <w:color w:val="auto"/>
                <w:sz w:val="24"/>
              </w:rPr>
              <w:t>大写）</w:t>
            </w:r>
          </w:p>
        </w:tc>
        <w:tc>
          <w:tcPr>
            <w:tcW w:w="0" w:type="auto"/>
            <w:gridSpan w:val="4"/>
          </w:tcPr>
          <w:p>
            <w:pPr>
              <w:spacing w:line="360" w:lineRule="auto"/>
              <w:jc w:val="center"/>
              <w:rPr>
                <w:rFonts w:ascii="宋体" w:hAnsi="宋体" w:cs="宋体"/>
                <w:color w:val="auto"/>
                <w:sz w:val="24"/>
              </w:rPr>
            </w:pPr>
          </w:p>
        </w:tc>
      </w:tr>
    </w:tbl>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sz w:val="24"/>
          <w:szCs w:val="24"/>
        </w:rPr>
      </w:pP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第二条：履约保证金和付款方式</w:t>
      </w: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kern w:val="0"/>
          <w:sz w:val="24"/>
          <w:szCs w:val="24"/>
          <w:highlight w:val="none"/>
          <w:lang w:val="zh-CN"/>
        </w:rPr>
      </w:pPr>
      <w:r>
        <w:rPr>
          <w:rFonts w:hint="eastAsia" w:ascii="宋体" w:hAnsi="宋体" w:eastAsia="宋体" w:cs="宋体"/>
          <w:spacing w:val="-6"/>
          <w:kern w:val="0"/>
          <w:sz w:val="24"/>
          <w:szCs w:val="24"/>
          <w:lang w:val="en-US" w:eastAsia="zh-CN"/>
        </w:rPr>
        <w:t>1.履约保证金：</w:t>
      </w:r>
      <w:r>
        <w:rPr>
          <w:rFonts w:hint="eastAsia" w:ascii="宋体" w:hAnsi="宋体" w:eastAsia="宋体" w:cs="宋体"/>
          <w:spacing w:val="-6"/>
          <w:kern w:val="0"/>
          <w:sz w:val="24"/>
          <w:szCs w:val="24"/>
          <w:highlight w:val="none"/>
        </w:rPr>
        <w:t>合同签订</w:t>
      </w:r>
      <w:r>
        <w:rPr>
          <w:rFonts w:hint="eastAsia" w:ascii="宋体" w:hAnsi="宋体" w:eastAsia="宋体" w:cs="宋体"/>
          <w:spacing w:val="-6"/>
          <w:kern w:val="0"/>
          <w:sz w:val="24"/>
          <w:szCs w:val="24"/>
          <w:highlight w:val="none"/>
          <w:lang w:eastAsia="zh-CN"/>
        </w:rPr>
        <w:t>后</w:t>
      </w:r>
      <w:r>
        <w:rPr>
          <w:rFonts w:hint="eastAsia" w:ascii="宋体" w:hAnsi="宋体" w:eastAsia="宋体" w:cs="宋体"/>
          <w:spacing w:val="-6"/>
          <w:kern w:val="0"/>
          <w:sz w:val="24"/>
          <w:szCs w:val="24"/>
          <w:highlight w:val="none"/>
        </w:rPr>
        <w:t>项目</w:t>
      </w:r>
      <w:r>
        <w:rPr>
          <w:rFonts w:hint="eastAsia" w:ascii="宋体" w:hAnsi="宋体" w:eastAsia="宋体" w:cs="宋体"/>
          <w:spacing w:val="-6"/>
          <w:kern w:val="0"/>
          <w:sz w:val="24"/>
          <w:szCs w:val="24"/>
          <w:highlight w:val="none"/>
          <w:lang w:val="en-US" w:eastAsia="zh-CN"/>
        </w:rPr>
        <w:t>投标方</w:t>
      </w:r>
      <w:r>
        <w:rPr>
          <w:rFonts w:hint="eastAsia" w:ascii="宋体" w:hAnsi="宋体" w:eastAsia="宋体" w:cs="宋体"/>
          <w:spacing w:val="-6"/>
          <w:kern w:val="0"/>
          <w:sz w:val="24"/>
          <w:szCs w:val="24"/>
          <w:highlight w:val="none"/>
        </w:rPr>
        <w:t>支付合同总价的</w:t>
      </w:r>
      <w:r>
        <w:rPr>
          <w:rFonts w:hint="eastAsia" w:ascii="宋体" w:hAnsi="宋体" w:eastAsia="宋体" w:cs="宋体"/>
          <w:spacing w:val="-6"/>
          <w:kern w:val="0"/>
          <w:sz w:val="24"/>
          <w:szCs w:val="24"/>
          <w:highlight w:val="none"/>
          <w:lang w:val="en-US" w:eastAsia="zh-CN"/>
        </w:rPr>
        <w:t>1</w:t>
      </w:r>
      <w:r>
        <w:rPr>
          <w:rFonts w:hint="eastAsia" w:ascii="宋体" w:hAnsi="宋体" w:eastAsia="宋体" w:cs="宋体"/>
          <w:spacing w:val="-6"/>
          <w:kern w:val="0"/>
          <w:sz w:val="24"/>
          <w:szCs w:val="24"/>
          <w:highlight w:val="none"/>
        </w:rPr>
        <w:t>%作为履约保证金，服务期</w:t>
      </w:r>
      <w:r>
        <w:rPr>
          <w:rFonts w:hint="eastAsia" w:ascii="宋体" w:hAnsi="宋体" w:eastAsia="宋体" w:cs="宋体"/>
          <w:spacing w:val="-6"/>
          <w:kern w:val="0"/>
          <w:sz w:val="24"/>
          <w:szCs w:val="24"/>
          <w:highlight w:val="none"/>
          <w:lang w:val="zh-CN"/>
        </w:rPr>
        <w:t>内</w:t>
      </w:r>
      <w:r>
        <w:rPr>
          <w:rFonts w:hint="eastAsia" w:ascii="宋体" w:hAnsi="宋体" w:eastAsia="宋体" w:cs="宋体"/>
          <w:spacing w:val="-6"/>
          <w:kern w:val="0"/>
          <w:sz w:val="24"/>
          <w:szCs w:val="24"/>
          <w:highlight w:val="none"/>
        </w:rPr>
        <w:t>项目服务单位</w:t>
      </w:r>
      <w:r>
        <w:rPr>
          <w:rFonts w:hint="eastAsia" w:ascii="宋体" w:hAnsi="宋体" w:eastAsia="宋体" w:cs="宋体"/>
          <w:spacing w:val="-6"/>
          <w:kern w:val="0"/>
          <w:sz w:val="24"/>
          <w:szCs w:val="24"/>
          <w:highlight w:val="none"/>
          <w:lang w:val="zh-CN"/>
        </w:rPr>
        <w:t>无任何违约责任和服务问题，服务期满之后按照</w:t>
      </w:r>
      <w:r>
        <w:rPr>
          <w:rFonts w:hint="eastAsia" w:ascii="宋体" w:hAnsi="宋体" w:cs="宋体"/>
          <w:spacing w:val="-6"/>
          <w:kern w:val="0"/>
          <w:sz w:val="24"/>
          <w:szCs w:val="24"/>
          <w:highlight w:val="none"/>
          <w:lang w:val="en-US" w:eastAsia="zh-CN"/>
        </w:rPr>
        <w:t>甲</w:t>
      </w:r>
      <w:r>
        <w:rPr>
          <w:rFonts w:hint="eastAsia" w:ascii="宋体" w:hAnsi="宋体" w:eastAsia="宋体" w:cs="宋体"/>
          <w:spacing w:val="-6"/>
          <w:kern w:val="0"/>
          <w:sz w:val="24"/>
          <w:szCs w:val="24"/>
          <w:highlight w:val="none"/>
          <w:lang w:val="zh-CN"/>
        </w:rPr>
        <w:t>方规定的流程验收合格后10个工作日内无息退还</w:t>
      </w:r>
      <w:r>
        <w:rPr>
          <w:rFonts w:hint="eastAsia" w:ascii="宋体" w:hAnsi="宋体" w:eastAsia="宋体" w:cs="宋体"/>
          <w:spacing w:val="-6"/>
          <w:kern w:val="0"/>
          <w:sz w:val="24"/>
          <w:szCs w:val="24"/>
          <w:highlight w:val="none"/>
        </w:rPr>
        <w:t>履约</w:t>
      </w:r>
      <w:r>
        <w:rPr>
          <w:rFonts w:hint="eastAsia" w:ascii="宋体" w:hAnsi="宋体" w:eastAsia="宋体" w:cs="宋体"/>
          <w:spacing w:val="-6"/>
          <w:kern w:val="0"/>
          <w:sz w:val="24"/>
          <w:szCs w:val="24"/>
          <w:highlight w:val="none"/>
          <w:lang w:val="zh-CN"/>
        </w:rPr>
        <w:t>保证金。</w:t>
      </w:r>
    </w:p>
    <w:p>
      <w:pPr>
        <w:pStyle w:val="2"/>
        <w:keepNext w:val="0"/>
        <w:keepLines w:val="0"/>
        <w:pageBreakBefore w:val="0"/>
        <w:widowControl w:val="0"/>
        <w:kinsoku/>
        <w:wordWrap/>
        <w:overflowPunct/>
        <w:topLinePunct w:val="0"/>
        <w:bidi w:val="0"/>
        <w:adjustRightInd w:val="0"/>
        <w:spacing w:line="360" w:lineRule="auto"/>
        <w:ind w:firstLine="456" w:firstLineChars="200"/>
        <w:textAlignment w:val="auto"/>
        <w:rPr>
          <w:rFonts w:hint="eastAsia" w:ascii="宋体" w:hAnsi="宋体" w:eastAsia="宋体" w:cs="宋体"/>
          <w:spacing w:val="-6"/>
          <w:kern w:val="0"/>
          <w:sz w:val="24"/>
          <w:szCs w:val="24"/>
          <w:highlight w:val="none"/>
          <w:lang w:val="en-US" w:eastAsia="zh-CN" w:bidi="ar-SA"/>
        </w:rPr>
      </w:pPr>
      <w:r>
        <w:rPr>
          <w:rFonts w:hint="eastAsia" w:ascii="宋体" w:hAnsi="宋体" w:eastAsia="宋体" w:cs="宋体"/>
          <w:spacing w:val="-6"/>
          <w:kern w:val="0"/>
          <w:sz w:val="24"/>
          <w:szCs w:val="24"/>
          <w:highlight w:val="none"/>
          <w:lang w:val="en-US" w:eastAsia="zh-CN" w:bidi="ar-SA"/>
        </w:rPr>
        <w:t>2.付款方式：2024年不支付项目费用。项目经费纳入2025、2026年预算申报，在2025年至2026年期间每六个月一付，均待每期项目完成并验收合格后，甲方收到乙方开具的正式发票后7个工作日内支付合同金额。</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第三条：</w:t>
      </w:r>
      <w:r>
        <w:rPr>
          <w:rFonts w:hint="eastAsia" w:ascii="宋体" w:hAnsi="宋体" w:eastAsia="宋体" w:cs="宋体"/>
          <w:b/>
          <w:spacing w:val="-6"/>
          <w:sz w:val="24"/>
          <w:szCs w:val="24"/>
          <w:highlight w:val="none"/>
          <w:lang w:val="en-US" w:eastAsia="zh-CN"/>
        </w:rPr>
        <w:t>服务</w:t>
      </w:r>
      <w:r>
        <w:rPr>
          <w:rFonts w:hint="eastAsia" w:ascii="宋体" w:hAnsi="宋体" w:eastAsia="宋体" w:cs="宋体"/>
          <w:b/>
          <w:spacing w:val="-6"/>
          <w:sz w:val="24"/>
          <w:szCs w:val="24"/>
          <w:highlight w:val="none"/>
        </w:rPr>
        <w:t>时间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自项目合同签订之日起贰年。</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spacing w:val="-6"/>
          <w:sz w:val="24"/>
          <w:szCs w:val="24"/>
          <w:lang w:eastAsia="zh-CN"/>
        </w:rPr>
      </w:pPr>
      <w:r>
        <w:rPr>
          <w:rFonts w:hint="eastAsia" w:ascii="宋体" w:hAnsi="宋体" w:eastAsia="宋体" w:cs="宋体"/>
          <w:b/>
          <w:spacing w:val="-6"/>
          <w:sz w:val="24"/>
          <w:szCs w:val="24"/>
        </w:rPr>
        <w:t>第四条：服务</w:t>
      </w:r>
      <w:r>
        <w:rPr>
          <w:rFonts w:hint="eastAsia" w:ascii="宋体" w:hAnsi="宋体" w:eastAsia="宋体" w:cs="宋体"/>
          <w:b/>
          <w:spacing w:val="-6"/>
          <w:sz w:val="24"/>
          <w:szCs w:val="24"/>
          <w:lang w:val="en-US" w:eastAsia="zh-CN"/>
        </w:rPr>
        <w:t>范围、要求、</w:t>
      </w:r>
      <w:r>
        <w:rPr>
          <w:rFonts w:hint="eastAsia" w:ascii="宋体" w:hAnsi="宋体" w:eastAsia="宋体" w:cs="宋体"/>
          <w:b/>
          <w:spacing w:val="-6"/>
          <w:sz w:val="24"/>
          <w:szCs w:val="24"/>
        </w:rPr>
        <w:t>标准、期限、</w:t>
      </w:r>
      <w:r>
        <w:rPr>
          <w:rFonts w:hint="eastAsia" w:ascii="宋体" w:hAnsi="宋体" w:eastAsia="宋体" w:cs="宋体"/>
          <w:b/>
          <w:spacing w:val="-6"/>
          <w:sz w:val="24"/>
          <w:szCs w:val="24"/>
          <w:lang w:val="en-US" w:eastAsia="zh-CN"/>
        </w:rPr>
        <w:t>人员</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（一）公司与团队要求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1.本项目主创团队承诺在服务期间，安排3名新媒体小编驻场（1名美工、1名视频剪辑人员、1名文字策划），驻场地点：浙江省公安厅交通管理局，杭州市上城区运河东路518号；</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2.团队主创人员及驻场小编具有2年以上代运营服务工作经验；</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（二）服务能力要求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1.</w:t>
      </w:r>
      <w:r>
        <w:rPr>
          <w:rFonts w:hint="eastAsia" w:ascii="宋体" w:hAnsi="宋体" w:cs="宋体"/>
          <w:b w:val="0"/>
          <w:bCs w:val="0"/>
          <w:kern w:val="0"/>
          <w:sz w:val="24"/>
          <w:lang w:val="en-US" w:eastAsia="zh-CN"/>
        </w:rPr>
        <w:t>乙方</w:t>
      </w:r>
      <w:r>
        <w:rPr>
          <w:rFonts w:hint="eastAsia" w:ascii="宋体" w:hAnsi="宋体" w:eastAsia="宋体" w:cs="宋体"/>
          <w:b w:val="0"/>
          <w:bCs w:val="0"/>
          <w:kern w:val="0"/>
          <w:sz w:val="24"/>
        </w:rPr>
        <w:t>具有专业的运营团队，包括文案、策划、设计、美工、剪辑和新闻采编人员，具备微信小程序开发能力，并拥有相关联程序或功能的知识产权；</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2.本项目主创团队近2年内执行过不少于3家政务新媒体或头部企业（企业人数为1万以上）蓝V账号代运营项目（需提供有效代运营合同扫描件及账号登陆截图，涉及机密信息可隐去）；</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3.本项目主创团队擅长内容制作，需提供5个不同主题的新闻报道、5个不同创意方向的原创视频及各自传播效果截图。</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（三）规格技术展示要求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1.</w:t>
      </w:r>
      <w:r>
        <w:rPr>
          <w:rFonts w:hint="eastAsia" w:ascii="宋体" w:hAnsi="宋体" w:cs="宋体"/>
          <w:b w:val="0"/>
          <w:bCs w:val="0"/>
          <w:kern w:val="0"/>
          <w:sz w:val="24"/>
          <w:lang w:val="en-US" w:eastAsia="zh-CN"/>
        </w:rPr>
        <w:t>乙方</w:t>
      </w:r>
      <w:r>
        <w:rPr>
          <w:rFonts w:hint="eastAsia" w:ascii="宋体" w:hAnsi="宋体" w:eastAsia="宋体" w:cs="宋体"/>
          <w:b w:val="0"/>
          <w:bCs w:val="0"/>
          <w:kern w:val="0"/>
          <w:sz w:val="24"/>
        </w:rPr>
        <w:t>基本实力展示：包括公司资质、人员架构、相关优秀案例等；</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2.</w:t>
      </w:r>
      <w:r>
        <w:rPr>
          <w:rFonts w:hint="eastAsia" w:ascii="宋体" w:hAnsi="宋体" w:cs="宋体"/>
          <w:b w:val="0"/>
          <w:bCs w:val="0"/>
          <w:kern w:val="0"/>
          <w:sz w:val="24"/>
          <w:lang w:val="en-US" w:eastAsia="zh-CN"/>
        </w:rPr>
        <w:t>乙方</w:t>
      </w:r>
      <w:r>
        <w:rPr>
          <w:rFonts w:hint="eastAsia" w:ascii="宋体" w:hAnsi="宋体" w:eastAsia="宋体" w:cs="宋体"/>
          <w:b w:val="0"/>
          <w:bCs w:val="0"/>
          <w:kern w:val="0"/>
          <w:sz w:val="24"/>
        </w:rPr>
        <w:t>专业能力展示：投标人有较强的行业洞见力、用户洞察、创意策划力、技术执行力，能够围绕内容需求提交高质量的创意提案。</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w:t>
      </w:r>
      <w:r>
        <w:rPr>
          <w:rFonts w:hint="eastAsia" w:ascii="宋体" w:hAnsi="宋体" w:eastAsia="宋体" w:cs="宋体"/>
          <w:b/>
          <w:bCs/>
          <w:kern w:val="0"/>
          <w:sz w:val="24"/>
          <w:lang w:val="en-US" w:eastAsia="zh-CN"/>
        </w:rPr>
        <w:t>四</w:t>
      </w:r>
      <w:r>
        <w:rPr>
          <w:rFonts w:hint="eastAsia" w:ascii="宋体" w:hAnsi="宋体" w:eastAsia="宋体" w:cs="宋体"/>
          <w:b/>
          <w:bCs/>
          <w:kern w:val="0"/>
          <w:sz w:val="24"/>
        </w:rPr>
        <w:t>）运维范围及具体要求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乙方具体负责“浙江交警”新媒体（微信公众号、微博、头条号、抖音、快手、微信视频号）账号日常运维，包括选题策划、素材收集、文章撰写、视频拍摄剪辑、图文设计、推广传播、数据分析、平台技术支持等工作，同时协助做好舆情监控及危机处理，提供“浙江交警”IP全周期服务策略。</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1.图文内容创作</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专稿：根据甲方实际工作需求，对重大事件、人物等进行报道。每个月专稿上限为2条。</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日常原创内容：包括文案设计、图片设计、内容排版等，每篇图文定制平面设计，活动界面美化等。</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根据需要进行动画设计、宣传海报等设计制作。</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其他甲方指令创作的图文内容。</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2.视频制作</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原创主题视频：结合上级单位发布的每月度宣传主题，开展音视频宣教片、专题片、微电影等策划、摄制、制作，含选题策划、采编、拍摄、整理、剪辑整个流程。平均每月发布不少于1条，视频时长3分钟以内，全平台可通用。要求画质分辨率不低于1080*1920；影片配音上语速稳定、吐字清晰，与画面风格和人物表现形式相吻合；镜头画面上要求画面构图和光影氛围协调；使用专业调色，保证画面质量清晰、色彩准确，无压缩。</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再加工短视频（不含直接转发视频）：每周发布不少于15条，对现有公共视频、执法记录仪视频等素材进行提炼、整合、剪辑。时长在一分钟之内，要求声音和画面同步，画面衔接处无明显缺陷，新媒体平台可通用。</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其他甲方指令制作的视频：制作标准参照以上要求执行，根据具体情况做适度调整。每个月原创主题视频上限为3条，每周再加工短视频上限为25条。</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3.更新数量</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微信公众号：每日发布不少于3次，包含至少1篇原创文章，每篇文章均包含文字、图片、视频等素材内容。每周发布不少于5次，另根据交通出行特点、恶劣天气以及工作需要随时发布。</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微博：平均每日发布博文不少于10条（不含转发）。</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今日头条：平均每日发布稿件不少于10条（不含转发）。</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cs="宋体"/>
          <w:kern w:val="0"/>
          <w:sz w:val="24"/>
          <w:lang w:val="en-US" w:eastAsia="zh-CN"/>
        </w:rPr>
      </w:pPr>
      <w:r>
        <w:rPr>
          <w:rFonts w:hint="eastAsia" w:ascii="宋体" w:hAnsi="宋体" w:cs="宋体"/>
          <w:kern w:val="0"/>
          <w:sz w:val="24"/>
          <w:lang w:val="en-US" w:eastAsia="zh-CN"/>
        </w:rPr>
        <w:t>抖音、快手、视频号：平均每日发布短视频稿件均不少于3条（不含转发）。</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w:t>
      </w:r>
      <w:r>
        <w:rPr>
          <w:rFonts w:hint="eastAsia" w:ascii="宋体" w:hAnsi="宋体" w:eastAsia="宋体" w:cs="宋体"/>
          <w:b/>
          <w:bCs/>
          <w:kern w:val="0"/>
          <w:sz w:val="24"/>
          <w:lang w:val="en-US" w:eastAsia="zh-CN"/>
        </w:rPr>
        <w:t>五</w:t>
      </w:r>
      <w:r>
        <w:rPr>
          <w:rFonts w:hint="eastAsia" w:ascii="宋体" w:hAnsi="宋体" w:eastAsia="宋体" w:cs="宋体"/>
          <w:b/>
          <w:bCs/>
          <w:kern w:val="0"/>
          <w:sz w:val="24"/>
        </w:rPr>
        <w:t>）账号运营管理</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1.账号运营维护</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开展账号管理，包括网友评论回复、热点信息监控、在特殊活动节点需要按照计划在线协助进行官方引导，以及账号粉丝运营管理等。</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2.数据分析和策划推广</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出具运营月报、运营年报分析（均含舆情分析内容），其中月报、年报需提供每月详细数据监测结果与分析，并提交至</w:t>
      </w:r>
      <w:r>
        <w:rPr>
          <w:rFonts w:hint="eastAsia" w:ascii="宋体" w:hAnsi="宋体" w:cs="宋体"/>
          <w:kern w:val="0"/>
          <w:sz w:val="24"/>
          <w:lang w:val="en-US" w:eastAsia="zh-CN"/>
        </w:rPr>
        <w:t>甲方</w:t>
      </w:r>
      <w:r>
        <w:rPr>
          <w:rFonts w:hint="eastAsia" w:ascii="宋体" w:hAnsi="宋体" w:eastAsia="宋体" w:cs="宋体"/>
          <w:kern w:val="0"/>
          <w:sz w:val="24"/>
        </w:rPr>
        <w:t>邮箱或微信。根据“浙江交警”不同平台账号制定不同推广策略，确保账号在平台内的影响力。</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3.运营时间</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正常工作日和有重要内容需要发布的法定节假日或双休日，具体以</w:t>
      </w:r>
      <w:r>
        <w:rPr>
          <w:rFonts w:hint="eastAsia" w:ascii="宋体" w:hAnsi="宋体" w:cs="宋体"/>
          <w:kern w:val="0"/>
          <w:sz w:val="24"/>
          <w:lang w:val="en-US" w:eastAsia="zh-CN"/>
        </w:rPr>
        <w:t>甲方</w:t>
      </w:r>
      <w:r>
        <w:rPr>
          <w:rFonts w:hint="eastAsia" w:ascii="宋体" w:hAnsi="宋体" w:eastAsia="宋体" w:cs="宋体"/>
          <w:kern w:val="0"/>
          <w:sz w:val="24"/>
        </w:rPr>
        <w:t>通知为准。</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4.技术服务要求</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严格落实《浙江省基层政务新媒体规范化建设指南》《厅交管局交通安全宣传对外信息发布审核工作规范》等相关规章制度，确保“浙江交警”新媒体矩阵所有账号按要求规范运营，不得出现全省政务新媒体考核评价指标规定的“一票否决”情况。</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2）冲榜目标：“中央政法委‘四个一百’优秀政法新媒体榜单”、浙江政法系统账号影响力榜单等。</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3）每日向“公安部交通管理局”及国家级新媒体平台投稿并确保每月录用不少于30篇。</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4）人员驻场要求：驻场服务人员须符合合同要求。在</w:t>
      </w:r>
      <w:r>
        <w:rPr>
          <w:rFonts w:hint="eastAsia" w:ascii="宋体" w:hAnsi="宋体" w:cs="宋体"/>
          <w:kern w:val="0"/>
          <w:sz w:val="24"/>
          <w:lang w:val="en-US" w:eastAsia="zh-CN"/>
        </w:rPr>
        <w:t>甲方</w:t>
      </w:r>
      <w:r>
        <w:rPr>
          <w:rFonts w:hint="eastAsia" w:ascii="宋体" w:hAnsi="宋体" w:eastAsia="宋体" w:cs="宋体"/>
          <w:kern w:val="0"/>
          <w:sz w:val="24"/>
        </w:rPr>
        <w:t>单位工作期间，实行每日考勤制度，要求严格遵守</w:t>
      </w:r>
      <w:r>
        <w:rPr>
          <w:rFonts w:hint="eastAsia" w:ascii="宋体" w:hAnsi="宋体" w:cs="宋体"/>
          <w:kern w:val="0"/>
          <w:sz w:val="24"/>
          <w:lang w:val="en-US" w:eastAsia="zh-CN"/>
        </w:rPr>
        <w:t>甲方</w:t>
      </w:r>
      <w:r>
        <w:rPr>
          <w:rFonts w:hint="eastAsia" w:ascii="宋体" w:hAnsi="宋体" w:eastAsia="宋体" w:cs="宋体"/>
          <w:kern w:val="0"/>
          <w:sz w:val="24"/>
        </w:rPr>
        <w:t>单位相关纪律规定，服从</w:t>
      </w:r>
      <w:r>
        <w:rPr>
          <w:rFonts w:hint="eastAsia" w:ascii="宋体" w:hAnsi="宋体" w:cs="宋体"/>
          <w:kern w:val="0"/>
          <w:sz w:val="24"/>
          <w:lang w:val="en-US" w:eastAsia="zh-CN"/>
        </w:rPr>
        <w:t>甲方</w:t>
      </w:r>
      <w:r>
        <w:rPr>
          <w:rFonts w:hint="eastAsia" w:ascii="宋体" w:hAnsi="宋体" w:eastAsia="宋体" w:cs="宋体"/>
          <w:kern w:val="0"/>
          <w:sz w:val="24"/>
        </w:rPr>
        <w:t>日常管理，根据</w:t>
      </w:r>
      <w:r>
        <w:rPr>
          <w:rFonts w:hint="eastAsia" w:ascii="宋体" w:hAnsi="宋体" w:cs="宋体"/>
          <w:kern w:val="0"/>
          <w:sz w:val="24"/>
          <w:lang w:val="en-US" w:eastAsia="zh-CN"/>
        </w:rPr>
        <w:t>甲方</w:t>
      </w:r>
      <w:r>
        <w:rPr>
          <w:rFonts w:hint="eastAsia" w:ascii="宋体" w:hAnsi="宋体" w:eastAsia="宋体" w:cs="宋体"/>
          <w:kern w:val="0"/>
          <w:sz w:val="24"/>
        </w:rPr>
        <w:t>指令积极开展工作，确因工作原因驻场人员要进行变更的，须经</w:t>
      </w:r>
      <w:r>
        <w:rPr>
          <w:rFonts w:hint="eastAsia" w:ascii="宋体" w:hAnsi="宋体" w:cs="宋体"/>
          <w:kern w:val="0"/>
          <w:sz w:val="24"/>
          <w:lang w:val="en-US" w:eastAsia="zh-CN"/>
        </w:rPr>
        <w:t>甲方</w:t>
      </w:r>
      <w:r>
        <w:rPr>
          <w:rFonts w:hint="eastAsia" w:ascii="宋体" w:hAnsi="宋体" w:eastAsia="宋体" w:cs="宋体"/>
          <w:kern w:val="0"/>
          <w:sz w:val="24"/>
        </w:rPr>
        <w:t>同意后替换成符合合同要求的服务人员；服务单位应和</w:t>
      </w:r>
      <w:r>
        <w:rPr>
          <w:rFonts w:hint="eastAsia" w:ascii="宋体" w:hAnsi="宋体" w:cs="宋体"/>
          <w:kern w:val="0"/>
          <w:sz w:val="24"/>
          <w:lang w:val="en-US" w:eastAsia="zh-CN"/>
        </w:rPr>
        <w:t>甲方</w:t>
      </w:r>
      <w:r>
        <w:rPr>
          <w:rFonts w:hint="eastAsia" w:ascii="宋体" w:hAnsi="宋体" w:eastAsia="宋体" w:cs="宋体"/>
          <w:kern w:val="0"/>
          <w:sz w:val="24"/>
        </w:rPr>
        <w:t>共同商议为其制定专门薪资发放办法，由</w:t>
      </w:r>
      <w:r>
        <w:rPr>
          <w:rFonts w:hint="eastAsia" w:ascii="宋体" w:hAnsi="宋体" w:cs="宋体"/>
          <w:kern w:val="0"/>
          <w:sz w:val="24"/>
          <w:lang w:val="en-US" w:eastAsia="zh-CN"/>
        </w:rPr>
        <w:t>甲方</w:t>
      </w:r>
      <w:r>
        <w:rPr>
          <w:rFonts w:hint="eastAsia" w:ascii="宋体" w:hAnsi="宋体" w:eastAsia="宋体" w:cs="宋体"/>
          <w:kern w:val="0"/>
          <w:sz w:val="24"/>
        </w:rPr>
        <w:t>按照办法对其进行月考核，符合发放条件后由服务单位予以发放，不符合条件的不予发放。</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5）项目执行过程中，服务单位应以</w:t>
      </w:r>
      <w:r>
        <w:rPr>
          <w:rFonts w:hint="eastAsia" w:ascii="宋体" w:hAnsi="宋体" w:cs="宋体"/>
          <w:kern w:val="0"/>
          <w:sz w:val="24"/>
          <w:lang w:val="en-US" w:eastAsia="zh-CN"/>
        </w:rPr>
        <w:t>甲方</w:t>
      </w:r>
      <w:r>
        <w:rPr>
          <w:rFonts w:hint="eastAsia" w:ascii="宋体" w:hAnsi="宋体" w:eastAsia="宋体" w:cs="宋体"/>
          <w:kern w:val="0"/>
          <w:sz w:val="24"/>
        </w:rPr>
        <w:t>的实际要求为优先，确保</w:t>
      </w:r>
      <w:r>
        <w:rPr>
          <w:rFonts w:hint="eastAsia" w:ascii="宋体" w:hAnsi="宋体" w:cs="宋体"/>
          <w:kern w:val="0"/>
          <w:sz w:val="24"/>
          <w:lang w:val="en-US" w:eastAsia="zh-CN"/>
        </w:rPr>
        <w:t>甲方</w:t>
      </w:r>
      <w:r>
        <w:rPr>
          <w:rFonts w:hint="eastAsia" w:ascii="宋体" w:hAnsi="宋体" w:eastAsia="宋体" w:cs="宋体"/>
          <w:kern w:val="0"/>
          <w:sz w:val="24"/>
        </w:rPr>
        <w:t>的合理指令顺畅落实。</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w:t>
      </w:r>
      <w:r>
        <w:rPr>
          <w:rFonts w:hint="eastAsia" w:ascii="宋体" w:hAnsi="宋体" w:eastAsia="宋体" w:cs="宋体"/>
          <w:b/>
          <w:bCs/>
          <w:kern w:val="0"/>
          <w:sz w:val="24"/>
          <w:lang w:val="en-US" w:eastAsia="zh-CN"/>
        </w:rPr>
        <w:t>六</w:t>
      </w:r>
      <w:r>
        <w:rPr>
          <w:rFonts w:hint="eastAsia" w:ascii="宋体" w:hAnsi="宋体" w:eastAsia="宋体" w:cs="宋体"/>
          <w:b/>
          <w:bCs/>
          <w:kern w:val="0"/>
          <w:sz w:val="24"/>
        </w:rPr>
        <w:t>）平台功能维护</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1.协助做好舆情监测并进行危机处理。新媒体信息发布后进行密集监控及维护，对平台出现相关负面信息第一时间汇报处理。</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2.平台技术保障。提供平台技术支持、用户服务，承担各平台技术保障，确保服务期间稳定运营。</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b/>
          <w:bCs/>
          <w:kern w:val="0"/>
          <w:sz w:val="24"/>
        </w:rPr>
      </w:pPr>
      <w:r>
        <w:rPr>
          <w:rFonts w:hint="eastAsia" w:ascii="宋体" w:hAnsi="宋体" w:eastAsia="宋体" w:cs="宋体"/>
          <w:b/>
          <w:bCs/>
          <w:kern w:val="0"/>
          <w:sz w:val="24"/>
        </w:rPr>
        <w:t>（</w:t>
      </w:r>
      <w:r>
        <w:rPr>
          <w:rFonts w:hint="eastAsia" w:ascii="宋体" w:hAnsi="宋体" w:eastAsia="宋体" w:cs="宋体"/>
          <w:b/>
          <w:bCs/>
          <w:kern w:val="0"/>
          <w:sz w:val="24"/>
          <w:lang w:val="en-US" w:eastAsia="zh-CN"/>
        </w:rPr>
        <w:t>七</w:t>
      </w:r>
      <w:r>
        <w:rPr>
          <w:rFonts w:hint="eastAsia" w:ascii="宋体" w:hAnsi="宋体" w:eastAsia="宋体" w:cs="宋体"/>
          <w:b/>
          <w:bCs/>
          <w:kern w:val="0"/>
          <w:sz w:val="24"/>
        </w:rPr>
        <w:t>）其他</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1.协助策划开展交通安全宣教活动，服务单位应充分利用自身资源为</w:t>
      </w:r>
      <w:r>
        <w:rPr>
          <w:rFonts w:hint="eastAsia" w:ascii="宋体" w:hAnsi="宋体" w:cs="宋体"/>
          <w:kern w:val="0"/>
          <w:sz w:val="24"/>
          <w:lang w:val="en-US" w:eastAsia="zh-CN"/>
        </w:rPr>
        <w:t>甲方</w:t>
      </w:r>
      <w:r>
        <w:rPr>
          <w:rFonts w:hint="eastAsia" w:ascii="宋体" w:hAnsi="宋体" w:eastAsia="宋体" w:cs="宋体"/>
          <w:kern w:val="0"/>
          <w:sz w:val="24"/>
        </w:rPr>
        <w:t>提供相应的服务：</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上级要求的交通安全宣教重点工作：如122全国交通安全日主题活动（主要为线上活动，按需增加线下活动）；美丽乡村行活动（按照每季度宣传主题制作专题活动海报组图、推广小视频、公众号banner等）。</w:t>
      </w:r>
    </w:p>
    <w:p>
      <w:pPr>
        <w:keepNext w:val="0"/>
        <w:keepLines w:val="0"/>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服务期间将具有留存价值的原始素材及播出稿及时整理存档。</w:t>
      </w:r>
    </w:p>
    <w:p>
      <w:pPr>
        <w:keepNext w:val="0"/>
        <w:keepLines w:val="0"/>
        <w:pageBreakBefore w:val="0"/>
        <w:widowControl w:val="0"/>
        <w:numPr>
          <w:ilvl w:val="0"/>
          <w:numId w:val="0"/>
        </w:numPr>
        <w:kinsoku/>
        <w:wordWrap/>
        <w:overflowPunct/>
        <w:topLinePunct w:val="0"/>
        <w:bidi w:val="0"/>
        <w:adjustRightInd w:val="0"/>
        <w:snapToGrid w:val="0"/>
        <w:spacing w:line="360" w:lineRule="auto"/>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第五条：其他要求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（一）保密要求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没有经过</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书面同意，</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不得将</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提供的有关合同或任何合同条文、规格、计划、内容、资料等保密信息提供给无关的任何其他人；</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提供或服务单位定制的“浙江交警”宣传素材仅限于“浙江交警”新媒体工作使用，没有经过浙江省公安厅交管局书面同意，</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不得将前述“浙江交警”宣传素材擅自挪作他用。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（二）知识产权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1.本项目知识产权归浙江省公安厅交管局所有。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提供服务过程中不得因己方原因侵犯任何第三方的合法知识产权。因</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违反此约定而导致</w:t>
      </w:r>
      <w:r>
        <w:rPr>
          <w:rFonts w:hint="eastAsia" w:ascii="宋体" w:hAnsi="宋体" w:cs="宋体"/>
          <w:kern w:val="0"/>
          <w:sz w:val="24"/>
          <w:lang w:val="en-US" w:eastAsia="zh-CN"/>
        </w:rPr>
        <w:t>甲方</w:t>
      </w:r>
      <w:r>
        <w:rPr>
          <w:rFonts w:hint="eastAsia" w:ascii="宋体" w:hAnsi="宋体" w:eastAsia="宋体" w:cs="宋体"/>
          <w:sz w:val="24"/>
          <w:szCs w:val="24"/>
          <w:highlight w:val="none"/>
          <w:lang w:val="en-US" w:eastAsia="zh-CN"/>
        </w:rPr>
        <w:t>遭受任何舆情、索赔和诉讼的，由</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负责处理并承担一切责任。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kern w:val="0"/>
          <w:sz w:val="24"/>
          <w:lang w:val="en-US" w:eastAsia="zh-CN"/>
        </w:rPr>
        <w:t>甲方</w:t>
      </w:r>
      <w:r>
        <w:rPr>
          <w:rFonts w:hint="eastAsia" w:ascii="宋体" w:hAnsi="宋体" w:eastAsia="宋体" w:cs="宋体"/>
          <w:sz w:val="24"/>
          <w:szCs w:val="24"/>
          <w:highlight w:val="none"/>
          <w:lang w:val="en-US" w:eastAsia="zh-CN"/>
        </w:rPr>
        <w:t>有权利用</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提交的成果进行后续改进，由此产生的具有实质性或创造性特征的新的技术成果极其权利归属全部归</w:t>
      </w:r>
      <w:r>
        <w:rPr>
          <w:rFonts w:hint="eastAsia" w:ascii="宋体" w:hAnsi="宋体" w:cs="宋体"/>
          <w:kern w:val="0"/>
          <w:sz w:val="24"/>
          <w:lang w:val="en-US" w:eastAsia="zh-CN"/>
        </w:rPr>
        <w:t>甲方</w:t>
      </w:r>
      <w:r>
        <w:rPr>
          <w:rFonts w:hint="eastAsia" w:ascii="宋体" w:hAnsi="宋体" w:eastAsia="宋体" w:cs="宋体"/>
          <w:sz w:val="24"/>
          <w:szCs w:val="24"/>
          <w:highlight w:val="none"/>
          <w:lang w:val="en-US" w:eastAsia="zh-CN"/>
        </w:rPr>
        <w:t>所有。</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第六条：验收标准</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1.合同签订后，将以六个月为单位，根据工作项目对投标方进行考核；每六个月，由浙江省公安厅交管局根据招标文件要求和合同约定进行验收。</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2.验收由</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负责实施；</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3.验收依据：</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合同、招标文件、投标文件；</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提供的技术规格、经</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认可的合同有效检验文件；</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投标文件中提供的经</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认可的验收标准（符合中国有关的国家、地方、行业标准）和检测办法及相应检测手段。</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5.验收合格的条件：</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所供服务符合产品标准和合同的要求；</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在进行测试和验收过程中发现的问题已被解决并得到</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的认可；</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合同中规定的所有服务和材料均已交付；</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所供服务已通过使用单位组织的验收；</w:t>
      </w:r>
    </w:p>
    <w:p>
      <w:pPr>
        <w:keepNext w:val="0"/>
        <w:keepLines w:val="0"/>
        <w:pageBreakBefore w:val="0"/>
        <w:widowControl w:val="0"/>
        <w:kinsoku/>
        <w:wordWrap/>
        <w:overflowPunct/>
        <w:topLinePunct w:val="0"/>
        <w:autoSpaceDE/>
        <w:autoSpaceDN/>
        <w:bidi w:val="0"/>
        <w:adjustRightInd w:val="0"/>
        <w:snapToGrid w:val="0"/>
        <w:spacing w:line="360" w:lineRule="auto"/>
        <w:ind w:right="-514" w:rightChars="-245"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所有相关的技术文件及资料均已提交并得到接受。</w:t>
      </w:r>
    </w:p>
    <w:p>
      <w:pPr>
        <w:keepNext w:val="0"/>
        <w:keepLines w:val="0"/>
        <w:pageBreakBefore w:val="0"/>
        <w:widowControl w:val="0"/>
        <w:kinsoku/>
        <w:wordWrap/>
        <w:overflowPunct/>
        <w:topLinePunct w:val="0"/>
        <w:bidi w:val="0"/>
        <w:adjustRightInd w:val="0"/>
        <w:snapToGrid w:val="0"/>
        <w:spacing w:line="360" w:lineRule="auto"/>
        <w:ind w:right="-514" w:rightChars="-245"/>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第七条：违约责任</w:t>
      </w: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1.乙方逾期履行合同的，自逾期之日起，向甲方每日偿付合同总价0.5%的滞纳金。</w:t>
      </w: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2.甲方逾期支付货款的，自逾期之日起，向乙方每日偿付未付价款0.5%的滞纳金。</w:t>
      </w:r>
    </w:p>
    <w:p>
      <w:pPr>
        <w:keepNext w:val="0"/>
        <w:keepLines w:val="0"/>
        <w:pageBreakBefore w:val="0"/>
        <w:widowControl w:val="0"/>
        <w:kinsoku/>
        <w:wordWrap/>
        <w:overflowPunct/>
        <w:topLinePunct w:val="0"/>
        <w:bidi w:val="0"/>
        <w:adjustRightInd w:val="0"/>
        <w:snapToGrid w:val="0"/>
        <w:spacing w:line="360" w:lineRule="auto"/>
        <w:ind w:right="23" w:rightChars="11"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z w:val="24"/>
          <w:szCs w:val="24"/>
        </w:rPr>
      </w:pPr>
      <w:r>
        <w:rPr>
          <w:rFonts w:hint="eastAsia" w:ascii="宋体" w:hAnsi="宋体" w:eastAsia="宋体" w:cs="宋体"/>
          <w:spacing w:val="-6"/>
          <w:sz w:val="24"/>
          <w:szCs w:val="24"/>
          <w:lang w:val="en-US" w:eastAsia="zh-CN"/>
        </w:rPr>
        <w:t>5.项目服务期内，如发现</w:t>
      </w:r>
      <w:r>
        <w:rPr>
          <w:rFonts w:hint="eastAsia" w:ascii="宋体" w:hAnsi="宋体" w:cs="宋体"/>
          <w:sz w:val="24"/>
          <w:szCs w:val="24"/>
          <w:highlight w:val="none"/>
          <w:lang w:val="en-US" w:eastAsia="zh-CN"/>
        </w:rPr>
        <w:t>乙方</w:t>
      </w:r>
      <w:r>
        <w:rPr>
          <w:rFonts w:hint="eastAsia" w:ascii="宋体" w:hAnsi="宋体" w:eastAsia="宋体" w:cs="宋体"/>
          <w:spacing w:val="-6"/>
          <w:sz w:val="24"/>
          <w:szCs w:val="24"/>
          <w:lang w:val="en-US" w:eastAsia="zh-CN"/>
        </w:rPr>
        <w:t>存在违约问题，</w:t>
      </w:r>
      <w:r>
        <w:rPr>
          <w:rFonts w:hint="eastAsia" w:ascii="宋体" w:hAnsi="宋体" w:cs="宋体"/>
          <w:kern w:val="0"/>
          <w:sz w:val="24"/>
          <w:lang w:val="en-US" w:eastAsia="zh-CN"/>
        </w:rPr>
        <w:t>甲方</w:t>
      </w:r>
      <w:r>
        <w:rPr>
          <w:rFonts w:hint="eastAsia" w:ascii="宋体" w:hAnsi="宋体" w:eastAsia="宋体" w:cs="宋体"/>
          <w:spacing w:val="-6"/>
          <w:sz w:val="24"/>
          <w:szCs w:val="24"/>
          <w:lang w:val="en-US" w:eastAsia="zh-CN"/>
        </w:rPr>
        <w:t>将根据合同约定事项，责令</w:t>
      </w:r>
      <w:r>
        <w:rPr>
          <w:rFonts w:hint="eastAsia" w:ascii="宋体" w:hAnsi="宋体" w:cs="宋体"/>
          <w:sz w:val="24"/>
          <w:szCs w:val="24"/>
          <w:highlight w:val="none"/>
          <w:lang w:val="en-US" w:eastAsia="zh-CN"/>
        </w:rPr>
        <w:t>乙方</w:t>
      </w:r>
      <w:r>
        <w:rPr>
          <w:rFonts w:hint="eastAsia" w:ascii="宋体" w:hAnsi="宋体" w:eastAsia="宋体" w:cs="宋体"/>
          <w:spacing w:val="-6"/>
          <w:sz w:val="24"/>
          <w:szCs w:val="24"/>
          <w:lang w:val="en-US" w:eastAsia="zh-CN"/>
        </w:rPr>
        <w:t>整改，如</w:t>
      </w:r>
      <w:r>
        <w:rPr>
          <w:rFonts w:hint="eastAsia" w:ascii="宋体" w:hAnsi="宋体" w:cs="宋体"/>
          <w:sz w:val="24"/>
          <w:szCs w:val="24"/>
          <w:highlight w:val="none"/>
          <w:lang w:val="en-US" w:eastAsia="zh-CN"/>
        </w:rPr>
        <w:t>乙方</w:t>
      </w:r>
      <w:r>
        <w:rPr>
          <w:rFonts w:hint="eastAsia" w:ascii="宋体" w:hAnsi="宋体" w:eastAsia="宋体" w:cs="宋体"/>
          <w:spacing w:val="-6"/>
          <w:sz w:val="24"/>
          <w:szCs w:val="24"/>
          <w:lang w:val="en-US" w:eastAsia="zh-CN"/>
        </w:rPr>
        <w:t>逾期不整改或拒绝整改的，</w:t>
      </w:r>
      <w:r>
        <w:rPr>
          <w:rFonts w:hint="eastAsia" w:ascii="宋体" w:hAnsi="宋体" w:cs="宋体"/>
          <w:spacing w:val="-6"/>
          <w:sz w:val="24"/>
          <w:szCs w:val="24"/>
          <w:lang w:val="en-US" w:eastAsia="zh-CN"/>
        </w:rPr>
        <w:t>甲方</w:t>
      </w:r>
      <w:r>
        <w:rPr>
          <w:rFonts w:hint="eastAsia" w:ascii="宋体" w:hAnsi="宋体" w:eastAsia="宋体" w:cs="宋体"/>
          <w:spacing w:val="-6"/>
          <w:sz w:val="24"/>
          <w:szCs w:val="24"/>
          <w:lang w:val="en-US" w:eastAsia="zh-CN"/>
        </w:rPr>
        <w:t>有权提前解除合同并停止支付费用。</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第八条：不可抗力事件处理</w:t>
      </w: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2.不可抗力事件发生后，应立即通知对方，并寄送有关权威机构出具的证明。</w:t>
      </w: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3.不可抗力事件延续120天以上，双方应通过友好协商，确定是否继续履行合同。</w:t>
      </w:r>
    </w:p>
    <w:p>
      <w:pPr>
        <w:keepNext w:val="0"/>
        <w:keepLines w:val="0"/>
        <w:pageBreakBefore w:val="0"/>
        <w:widowControl w:val="0"/>
        <w:kinsoku/>
        <w:wordWrap/>
        <w:overflowPunct/>
        <w:topLinePunct w:val="0"/>
        <w:bidi w:val="0"/>
        <w:adjustRightInd w:val="0"/>
        <w:snapToGrid w:val="0"/>
        <w:spacing w:line="360" w:lineRule="auto"/>
        <w:ind w:right="-514" w:rightChars="-245"/>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第九条：争议解决</w:t>
      </w:r>
    </w:p>
    <w:p>
      <w:pPr>
        <w:keepNext w:val="0"/>
        <w:keepLines w:val="0"/>
        <w:pageBreakBefore w:val="0"/>
        <w:widowControl w:val="0"/>
        <w:kinsoku/>
        <w:wordWrap/>
        <w:overflowPunct/>
        <w:topLinePunct w:val="0"/>
        <w:bidi w:val="0"/>
        <w:adjustRightInd w:val="0"/>
        <w:snapToGrid w:val="0"/>
        <w:spacing w:line="360" w:lineRule="auto"/>
        <w:ind w:right="23" w:rightChars="11"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因本合同发生纠纷，甲乙双方应当及时协商，协商不成时，任何一方可向甲方所在地人民法院起诉。</w:t>
      </w:r>
    </w:p>
    <w:p>
      <w:pPr>
        <w:keepNext w:val="0"/>
        <w:keepLines w:val="0"/>
        <w:pageBreakBefore w:val="0"/>
        <w:widowControl w:val="0"/>
        <w:kinsoku/>
        <w:wordWrap/>
        <w:overflowPunct/>
        <w:topLinePunct w:val="0"/>
        <w:bidi w:val="0"/>
        <w:adjustRightInd w:val="0"/>
        <w:snapToGrid w:val="0"/>
        <w:spacing w:line="360" w:lineRule="auto"/>
        <w:ind w:right="-514" w:rightChars="-245"/>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第十条：合同生效</w:t>
      </w: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1.合同经甲、乙双方法定代表人或授权代表签名并加盖单位公章后生效。</w:t>
      </w: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2.本合同附件、招标文件、投标文件、询标澄清、中标通知书均为合同的组成部分，与本合同具有同等法律效力。</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第十一条：合同份数</w:t>
      </w:r>
    </w:p>
    <w:p>
      <w:pPr>
        <w:keepNext w:val="0"/>
        <w:keepLines w:val="0"/>
        <w:pageBreakBefore w:val="0"/>
        <w:widowControl w:val="0"/>
        <w:kinsoku/>
        <w:wordWrap/>
        <w:overflowPunct/>
        <w:topLinePunct w:val="0"/>
        <w:bidi w:val="0"/>
        <w:adjustRightInd w:val="0"/>
        <w:snapToGrid w:val="0"/>
        <w:spacing w:line="360" w:lineRule="auto"/>
        <w:ind w:firstLine="456"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本合同一式五份，甲方执三份，乙方执一份，采购代理机构执一份。</w:t>
      </w:r>
    </w:p>
    <w:p>
      <w:pPr>
        <w:rPr>
          <w:rFonts w:ascii="宋体" w:hAnsi="宋体"/>
          <w:b/>
        </w:rPr>
      </w:pPr>
      <w:r>
        <w:rPr>
          <w:rFonts w:ascii="宋体" w:hAnsi="宋体"/>
          <w:b/>
        </w:rPr>
        <w:br w:type="page"/>
      </w:r>
    </w:p>
    <w:tbl>
      <w:tblPr>
        <w:tblStyle w:val="63"/>
        <w:tblpPr w:leftFromText="180" w:rightFromText="180" w:vertAnchor="page" w:horzAnchor="page" w:tblpX="1870" w:tblpY="1415"/>
        <w:tblW w:w="909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773"/>
        <w:gridCol w:w="2094"/>
        <w:gridCol w:w="1764"/>
        <w:gridCol w:w="839"/>
        <w:gridCol w:w="1599"/>
        <w:gridCol w:w="20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773" w:type="dxa"/>
            <w:vMerge w:val="restart"/>
            <w:textDirection w:val="tbRlV"/>
            <w:vAlign w:val="center"/>
          </w:tcPr>
          <w:p>
            <w:pPr>
              <w:spacing w:line="480" w:lineRule="exact"/>
              <w:jc w:val="center"/>
              <w:rPr>
                <w:rFonts w:hint="eastAsia" w:ascii="宋体" w:hAnsi="宋体" w:eastAsia="宋体" w:cs="宋体"/>
                <w:spacing w:val="90"/>
                <w:sz w:val="24"/>
                <w:szCs w:val="24"/>
              </w:rPr>
            </w:pPr>
            <w:bookmarkStart w:id="451" w:name="_Toc32222"/>
            <w:bookmarkStart w:id="452" w:name="_Toc17005"/>
            <w:bookmarkStart w:id="453" w:name="_Toc3401"/>
            <w:r>
              <w:rPr>
                <w:rFonts w:hint="eastAsia" w:ascii="宋体" w:hAnsi="宋体" w:eastAsia="宋体" w:cs="宋体"/>
                <w:spacing w:val="90"/>
                <w:sz w:val="24"/>
                <w:szCs w:val="24"/>
              </w:rPr>
              <w:t>委托人（甲方）</w:t>
            </w:r>
          </w:p>
        </w:tc>
        <w:tc>
          <w:tcPr>
            <w:tcW w:w="2094"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名称（或姓名）</w:t>
            </w:r>
          </w:p>
        </w:tc>
        <w:tc>
          <w:tcPr>
            <w:tcW w:w="4202" w:type="dxa"/>
            <w:gridSpan w:val="3"/>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（签章）</w:t>
            </w:r>
          </w:p>
        </w:tc>
        <w:tc>
          <w:tcPr>
            <w:tcW w:w="2029" w:type="dxa"/>
            <w:vMerge w:val="restart"/>
          </w:tcPr>
          <w:p>
            <w:pPr>
              <w:spacing w:line="480" w:lineRule="exact"/>
              <w:rPr>
                <w:rFonts w:hint="eastAsia" w:ascii="宋体" w:hAnsi="宋体" w:eastAsia="宋体" w:cs="宋体"/>
                <w:spacing w:val="-8"/>
                <w:sz w:val="24"/>
                <w:szCs w:val="24"/>
              </w:rPr>
            </w:pPr>
            <w:r>
              <w:rPr>
                <w:rFonts w:hint="eastAsia" w:ascii="宋体" w:hAnsi="宋体" w:eastAsia="宋体" w:cs="宋体"/>
                <w:spacing w:val="-8"/>
                <w:sz w:val="24"/>
                <w:szCs w:val="24"/>
              </w:rPr>
              <w:t>技术合同专用章</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或</w:t>
            </w:r>
          </w:p>
          <w:p>
            <w:pPr>
              <w:spacing w:line="480" w:lineRule="exact"/>
              <w:jc w:val="center"/>
              <w:rPr>
                <w:rFonts w:hint="eastAsia" w:ascii="宋体" w:hAnsi="宋体" w:eastAsia="宋体" w:cs="宋体"/>
                <w:spacing w:val="10"/>
                <w:sz w:val="24"/>
                <w:szCs w:val="24"/>
              </w:rPr>
            </w:pPr>
            <w:r>
              <w:rPr>
                <w:rFonts w:hint="eastAsia" w:ascii="宋体" w:hAnsi="宋体" w:eastAsia="宋体" w:cs="宋体"/>
                <w:spacing w:val="10"/>
                <w:sz w:val="24"/>
                <w:szCs w:val="24"/>
              </w:rPr>
              <w:t>单位公章</w:t>
            </w:r>
          </w:p>
          <w:p>
            <w:pPr>
              <w:spacing w:line="480" w:lineRule="exact"/>
              <w:jc w:val="center"/>
              <w:rPr>
                <w:rFonts w:hint="eastAsia" w:ascii="宋体" w:hAnsi="宋体" w:eastAsia="宋体" w:cs="宋体"/>
                <w:spacing w:val="10"/>
                <w:sz w:val="24"/>
                <w:szCs w:val="24"/>
              </w:rPr>
            </w:pPr>
          </w:p>
          <w:p>
            <w:pPr>
              <w:spacing w:line="480" w:lineRule="exact"/>
              <w:jc w:val="center"/>
              <w:rPr>
                <w:rFonts w:hint="eastAsia" w:ascii="宋体" w:hAnsi="宋体" w:eastAsia="宋体" w:cs="宋体"/>
                <w:spacing w:val="10"/>
                <w:sz w:val="24"/>
                <w:szCs w:val="24"/>
              </w:rPr>
            </w:pPr>
          </w:p>
          <w:p>
            <w:pPr>
              <w:spacing w:line="480" w:lineRule="exact"/>
              <w:jc w:val="center"/>
              <w:rPr>
                <w:rFonts w:hint="eastAsia" w:ascii="宋体" w:hAnsi="宋体" w:eastAsia="宋体" w:cs="宋体"/>
                <w:spacing w:val="10"/>
                <w:sz w:val="24"/>
                <w:szCs w:val="24"/>
              </w:rPr>
            </w:pPr>
          </w:p>
          <w:p>
            <w:pPr>
              <w:spacing w:line="480" w:lineRule="exact"/>
              <w:jc w:val="center"/>
              <w:rPr>
                <w:rFonts w:hint="eastAsia" w:ascii="宋体" w:hAnsi="宋体" w:eastAsia="宋体" w:cs="宋体"/>
                <w:spacing w:val="10"/>
                <w:sz w:val="24"/>
                <w:szCs w:val="24"/>
              </w:rPr>
            </w:pPr>
          </w:p>
          <w:p>
            <w:pPr>
              <w:spacing w:line="480" w:lineRule="exact"/>
              <w:ind w:firstLine="570" w:firstLineChars="250"/>
              <w:rPr>
                <w:rFonts w:hint="eastAsia" w:ascii="宋体" w:hAnsi="宋体" w:eastAsia="宋体" w:cs="宋体"/>
                <w:spacing w:val="-6"/>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法定代表人或受委托人</w:t>
            </w:r>
          </w:p>
        </w:tc>
        <w:tc>
          <w:tcPr>
            <w:tcW w:w="4202" w:type="dxa"/>
            <w:gridSpan w:val="3"/>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（签章）</w:t>
            </w:r>
          </w:p>
        </w:tc>
        <w:tc>
          <w:tcPr>
            <w:tcW w:w="2029" w:type="dxa"/>
            <w:vMerge w:val="continue"/>
          </w:tcPr>
          <w:p>
            <w:pPr>
              <w:spacing w:line="480" w:lineRule="exact"/>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42"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联系（经办人）</w:t>
            </w:r>
          </w:p>
        </w:tc>
        <w:tc>
          <w:tcPr>
            <w:tcW w:w="4202" w:type="dxa"/>
            <w:gridSpan w:val="3"/>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（签章）</w:t>
            </w:r>
          </w:p>
        </w:tc>
        <w:tc>
          <w:tcPr>
            <w:tcW w:w="2029" w:type="dxa"/>
            <w:vMerge w:val="continue"/>
          </w:tcPr>
          <w:p>
            <w:pPr>
              <w:spacing w:line="480" w:lineRule="exact"/>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pacing w:val="34"/>
                <w:sz w:val="24"/>
                <w:szCs w:val="24"/>
              </w:rPr>
            </w:pPr>
            <w:r>
              <w:rPr>
                <w:rFonts w:hint="eastAsia" w:ascii="宋体" w:hAnsi="宋体" w:eastAsia="宋体" w:cs="宋体"/>
                <w:spacing w:val="34"/>
                <w:sz w:val="24"/>
                <w:szCs w:val="24"/>
              </w:rPr>
              <w:t>住所</w:t>
            </w:r>
          </w:p>
          <w:p>
            <w:pPr>
              <w:spacing w:line="480" w:lineRule="exact"/>
              <w:jc w:val="center"/>
              <w:rPr>
                <w:rFonts w:hint="eastAsia" w:ascii="宋体" w:hAnsi="宋体" w:eastAsia="宋体" w:cs="宋体"/>
                <w:spacing w:val="16"/>
                <w:sz w:val="24"/>
                <w:szCs w:val="24"/>
              </w:rPr>
            </w:pPr>
            <w:r>
              <w:rPr>
                <w:rFonts w:hint="eastAsia" w:ascii="宋体" w:hAnsi="宋体" w:eastAsia="宋体" w:cs="宋体"/>
                <w:spacing w:val="16"/>
                <w:sz w:val="24"/>
                <w:szCs w:val="24"/>
              </w:rPr>
              <w:t>（通讯地址）</w:t>
            </w:r>
          </w:p>
        </w:tc>
        <w:tc>
          <w:tcPr>
            <w:tcW w:w="1764" w:type="dxa"/>
          </w:tcPr>
          <w:p>
            <w:pPr>
              <w:spacing w:line="480" w:lineRule="exact"/>
              <w:rPr>
                <w:rFonts w:hint="eastAsia" w:ascii="宋体" w:hAnsi="宋体" w:eastAsia="宋体" w:cs="宋体"/>
                <w:sz w:val="24"/>
                <w:szCs w:val="24"/>
              </w:rPr>
            </w:pPr>
          </w:p>
        </w:tc>
        <w:tc>
          <w:tcPr>
            <w:tcW w:w="839" w:type="dxa"/>
            <w:vAlign w:val="center"/>
          </w:tcPr>
          <w:p>
            <w:pPr>
              <w:spacing w:line="480" w:lineRule="exact"/>
              <w:jc w:val="center"/>
              <w:rPr>
                <w:rFonts w:hint="eastAsia" w:ascii="宋体" w:hAnsi="宋体" w:eastAsia="宋体" w:cs="宋体"/>
                <w:spacing w:val="8"/>
                <w:sz w:val="24"/>
                <w:szCs w:val="24"/>
              </w:rPr>
            </w:pPr>
            <w:r>
              <w:rPr>
                <w:rFonts w:hint="eastAsia" w:ascii="宋体" w:hAnsi="宋体" w:eastAsia="宋体" w:cs="宋体"/>
                <w:spacing w:val="8"/>
                <w:sz w:val="24"/>
                <w:szCs w:val="24"/>
              </w:rPr>
              <w:t>邮政编码</w:t>
            </w:r>
          </w:p>
        </w:tc>
        <w:tc>
          <w:tcPr>
            <w:tcW w:w="1599" w:type="dxa"/>
          </w:tcPr>
          <w:p>
            <w:pPr>
              <w:spacing w:line="480" w:lineRule="exact"/>
              <w:rPr>
                <w:rFonts w:hint="eastAsia" w:ascii="宋体" w:hAnsi="宋体" w:eastAsia="宋体" w:cs="宋体"/>
                <w:sz w:val="24"/>
                <w:szCs w:val="24"/>
              </w:rPr>
            </w:pPr>
          </w:p>
        </w:tc>
        <w:tc>
          <w:tcPr>
            <w:tcW w:w="2029" w:type="dxa"/>
            <w:vMerge w:val="continue"/>
          </w:tcPr>
          <w:p>
            <w:pPr>
              <w:spacing w:line="480" w:lineRule="exact"/>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44"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pacing w:val="28"/>
                <w:sz w:val="24"/>
                <w:szCs w:val="24"/>
              </w:rPr>
            </w:pPr>
            <w:r>
              <w:rPr>
                <w:rFonts w:hint="eastAsia" w:ascii="宋体" w:hAnsi="宋体" w:eastAsia="宋体" w:cs="宋体"/>
                <w:spacing w:val="28"/>
                <w:sz w:val="24"/>
                <w:szCs w:val="24"/>
              </w:rPr>
              <w:t>电话</w:t>
            </w:r>
          </w:p>
        </w:tc>
        <w:tc>
          <w:tcPr>
            <w:tcW w:w="1764" w:type="dxa"/>
          </w:tcPr>
          <w:p>
            <w:pPr>
              <w:spacing w:line="480" w:lineRule="exact"/>
              <w:rPr>
                <w:rFonts w:hint="eastAsia" w:ascii="宋体" w:hAnsi="宋体" w:eastAsia="宋体" w:cs="宋体"/>
                <w:sz w:val="24"/>
                <w:szCs w:val="24"/>
              </w:rPr>
            </w:pPr>
          </w:p>
        </w:tc>
        <w:tc>
          <w:tcPr>
            <w:tcW w:w="839"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1599" w:type="dxa"/>
          </w:tcPr>
          <w:p>
            <w:pPr>
              <w:spacing w:line="480" w:lineRule="exact"/>
              <w:rPr>
                <w:rFonts w:hint="eastAsia" w:ascii="宋体" w:hAnsi="宋体" w:eastAsia="宋体" w:cs="宋体"/>
                <w:sz w:val="24"/>
                <w:szCs w:val="24"/>
              </w:rPr>
            </w:pPr>
          </w:p>
        </w:tc>
        <w:tc>
          <w:tcPr>
            <w:tcW w:w="2029" w:type="dxa"/>
            <w:vMerge w:val="continue"/>
          </w:tcPr>
          <w:p>
            <w:pPr>
              <w:spacing w:line="480" w:lineRule="exact"/>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83" w:hRule="atLeast"/>
          <w:jc w:val="center"/>
        </w:trPr>
        <w:tc>
          <w:tcPr>
            <w:tcW w:w="773" w:type="dxa"/>
            <w:vMerge w:val="restart"/>
            <w:textDirection w:val="tbRlV"/>
            <w:vAlign w:val="center"/>
          </w:tcPr>
          <w:p>
            <w:pPr>
              <w:spacing w:line="480" w:lineRule="exact"/>
              <w:jc w:val="center"/>
              <w:rPr>
                <w:rFonts w:hint="eastAsia" w:ascii="宋体" w:hAnsi="宋体" w:eastAsia="宋体" w:cs="宋体"/>
                <w:spacing w:val="42"/>
                <w:sz w:val="24"/>
                <w:szCs w:val="24"/>
              </w:rPr>
            </w:pPr>
            <w:r>
              <w:rPr>
                <w:rFonts w:hint="eastAsia" w:ascii="宋体" w:hAnsi="宋体" w:eastAsia="宋体" w:cs="宋体"/>
                <w:spacing w:val="42"/>
                <w:sz w:val="24"/>
                <w:szCs w:val="24"/>
              </w:rPr>
              <w:t>受托人（乙方）</w:t>
            </w:r>
          </w:p>
        </w:tc>
        <w:tc>
          <w:tcPr>
            <w:tcW w:w="2094"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名称（或姓名）</w:t>
            </w:r>
          </w:p>
        </w:tc>
        <w:tc>
          <w:tcPr>
            <w:tcW w:w="4202" w:type="dxa"/>
            <w:gridSpan w:val="3"/>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（签章）</w:t>
            </w:r>
          </w:p>
        </w:tc>
        <w:tc>
          <w:tcPr>
            <w:tcW w:w="2029" w:type="dxa"/>
            <w:vMerge w:val="restart"/>
          </w:tcPr>
          <w:p>
            <w:pPr>
              <w:spacing w:line="480" w:lineRule="exact"/>
              <w:rPr>
                <w:rFonts w:hint="eastAsia" w:ascii="宋体" w:hAnsi="宋体" w:eastAsia="宋体" w:cs="宋体"/>
                <w:spacing w:val="-8"/>
                <w:sz w:val="24"/>
                <w:szCs w:val="24"/>
              </w:rPr>
            </w:pPr>
            <w:r>
              <w:rPr>
                <w:rFonts w:hint="eastAsia" w:ascii="宋体" w:hAnsi="宋体" w:eastAsia="宋体" w:cs="宋体"/>
                <w:spacing w:val="-8"/>
                <w:sz w:val="24"/>
                <w:szCs w:val="24"/>
              </w:rPr>
              <w:t>技术合同专用章</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或</w:t>
            </w:r>
          </w:p>
          <w:p>
            <w:pPr>
              <w:spacing w:line="480" w:lineRule="exact"/>
              <w:jc w:val="center"/>
              <w:rPr>
                <w:rFonts w:hint="eastAsia" w:ascii="宋体" w:hAnsi="宋体" w:eastAsia="宋体" w:cs="宋体"/>
                <w:spacing w:val="10"/>
                <w:sz w:val="24"/>
                <w:szCs w:val="24"/>
              </w:rPr>
            </w:pPr>
            <w:r>
              <w:rPr>
                <w:rFonts w:hint="eastAsia" w:ascii="宋体" w:hAnsi="宋体" w:eastAsia="宋体" w:cs="宋体"/>
                <w:spacing w:val="10"/>
                <w:sz w:val="24"/>
                <w:szCs w:val="24"/>
              </w:rPr>
              <w:t>单位公章</w:t>
            </w: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p>
          <w:p>
            <w:pPr>
              <w:spacing w:line="480" w:lineRule="exact"/>
              <w:ind w:firstLine="600" w:firstLineChars="250"/>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法定代表人或受委托人</w:t>
            </w:r>
          </w:p>
        </w:tc>
        <w:tc>
          <w:tcPr>
            <w:tcW w:w="4202" w:type="dxa"/>
            <w:gridSpan w:val="3"/>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（签章）</w:t>
            </w:r>
          </w:p>
        </w:tc>
        <w:tc>
          <w:tcPr>
            <w:tcW w:w="2029" w:type="dxa"/>
            <w:vMerge w:val="continue"/>
          </w:tcPr>
          <w:p>
            <w:pPr>
              <w:spacing w:line="480" w:lineRule="exact"/>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83"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联系（经办人）</w:t>
            </w:r>
          </w:p>
        </w:tc>
        <w:tc>
          <w:tcPr>
            <w:tcW w:w="4202" w:type="dxa"/>
            <w:gridSpan w:val="3"/>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（签章）</w:t>
            </w:r>
          </w:p>
        </w:tc>
        <w:tc>
          <w:tcPr>
            <w:tcW w:w="2029" w:type="dxa"/>
            <w:vMerge w:val="continue"/>
          </w:tcPr>
          <w:p>
            <w:pPr>
              <w:spacing w:line="480" w:lineRule="exact"/>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pacing w:val="34"/>
                <w:sz w:val="24"/>
                <w:szCs w:val="24"/>
              </w:rPr>
            </w:pPr>
            <w:r>
              <w:rPr>
                <w:rFonts w:hint="eastAsia" w:ascii="宋体" w:hAnsi="宋体" w:eastAsia="宋体" w:cs="宋体"/>
                <w:spacing w:val="34"/>
                <w:sz w:val="24"/>
                <w:szCs w:val="24"/>
              </w:rPr>
              <w:t>住所</w:t>
            </w:r>
          </w:p>
          <w:p>
            <w:pPr>
              <w:spacing w:line="480" w:lineRule="exact"/>
              <w:jc w:val="center"/>
              <w:rPr>
                <w:rFonts w:hint="eastAsia" w:ascii="宋体" w:hAnsi="宋体" w:eastAsia="宋体" w:cs="宋体"/>
                <w:sz w:val="24"/>
                <w:szCs w:val="24"/>
              </w:rPr>
            </w:pPr>
            <w:r>
              <w:rPr>
                <w:rFonts w:hint="eastAsia" w:ascii="宋体" w:hAnsi="宋体" w:eastAsia="宋体" w:cs="宋体"/>
                <w:spacing w:val="16"/>
                <w:sz w:val="24"/>
                <w:szCs w:val="24"/>
              </w:rPr>
              <w:t>（通讯地址）</w:t>
            </w:r>
          </w:p>
        </w:tc>
        <w:tc>
          <w:tcPr>
            <w:tcW w:w="1764" w:type="dxa"/>
          </w:tcPr>
          <w:p>
            <w:pPr>
              <w:spacing w:line="480" w:lineRule="exact"/>
              <w:rPr>
                <w:rFonts w:hint="eastAsia" w:ascii="宋体" w:hAnsi="宋体" w:eastAsia="宋体" w:cs="宋体"/>
                <w:sz w:val="24"/>
                <w:szCs w:val="24"/>
              </w:rPr>
            </w:pPr>
          </w:p>
        </w:tc>
        <w:tc>
          <w:tcPr>
            <w:tcW w:w="839"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pacing w:val="8"/>
                <w:sz w:val="24"/>
                <w:szCs w:val="24"/>
              </w:rPr>
              <w:t>邮政编码</w:t>
            </w:r>
          </w:p>
        </w:tc>
        <w:tc>
          <w:tcPr>
            <w:tcW w:w="1599" w:type="dxa"/>
          </w:tcPr>
          <w:p>
            <w:pPr>
              <w:spacing w:line="480" w:lineRule="exact"/>
              <w:rPr>
                <w:rFonts w:hint="eastAsia" w:ascii="宋体" w:hAnsi="宋体" w:eastAsia="宋体" w:cs="宋体"/>
                <w:sz w:val="24"/>
                <w:szCs w:val="24"/>
              </w:rPr>
            </w:pPr>
          </w:p>
        </w:tc>
        <w:tc>
          <w:tcPr>
            <w:tcW w:w="2029" w:type="dxa"/>
            <w:vMerge w:val="continue"/>
          </w:tcPr>
          <w:p>
            <w:pPr>
              <w:spacing w:line="480" w:lineRule="exact"/>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83"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pacing w:val="42"/>
                <w:sz w:val="24"/>
                <w:szCs w:val="24"/>
              </w:rPr>
            </w:pPr>
            <w:r>
              <w:rPr>
                <w:rFonts w:hint="eastAsia" w:ascii="宋体" w:hAnsi="宋体" w:eastAsia="宋体" w:cs="宋体"/>
                <w:spacing w:val="42"/>
                <w:sz w:val="24"/>
                <w:szCs w:val="24"/>
              </w:rPr>
              <w:t>电话</w:t>
            </w:r>
          </w:p>
        </w:tc>
        <w:tc>
          <w:tcPr>
            <w:tcW w:w="1764" w:type="dxa"/>
          </w:tcPr>
          <w:p>
            <w:pPr>
              <w:spacing w:line="480" w:lineRule="exact"/>
              <w:rPr>
                <w:rFonts w:hint="eastAsia" w:ascii="宋体" w:hAnsi="宋体" w:eastAsia="宋体" w:cs="宋体"/>
                <w:sz w:val="24"/>
                <w:szCs w:val="24"/>
              </w:rPr>
            </w:pPr>
          </w:p>
        </w:tc>
        <w:tc>
          <w:tcPr>
            <w:tcW w:w="839"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1599" w:type="dxa"/>
          </w:tcPr>
          <w:p>
            <w:pPr>
              <w:spacing w:line="480" w:lineRule="exact"/>
              <w:rPr>
                <w:rFonts w:hint="eastAsia" w:ascii="宋体" w:hAnsi="宋体" w:eastAsia="宋体" w:cs="宋体"/>
                <w:sz w:val="24"/>
                <w:szCs w:val="24"/>
              </w:rPr>
            </w:pPr>
          </w:p>
        </w:tc>
        <w:tc>
          <w:tcPr>
            <w:tcW w:w="2029" w:type="dxa"/>
            <w:vMerge w:val="continue"/>
          </w:tcPr>
          <w:p>
            <w:pPr>
              <w:spacing w:line="480" w:lineRule="exact"/>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4202" w:type="dxa"/>
            <w:gridSpan w:val="3"/>
          </w:tcPr>
          <w:p>
            <w:pPr>
              <w:spacing w:line="480" w:lineRule="exact"/>
              <w:rPr>
                <w:rFonts w:hint="eastAsia" w:ascii="宋体" w:hAnsi="宋体" w:eastAsia="宋体" w:cs="宋体"/>
                <w:sz w:val="24"/>
                <w:szCs w:val="24"/>
              </w:rPr>
            </w:pPr>
          </w:p>
        </w:tc>
        <w:tc>
          <w:tcPr>
            <w:tcW w:w="2029" w:type="dxa"/>
            <w:vMerge w:val="continue"/>
          </w:tcPr>
          <w:p>
            <w:pPr>
              <w:spacing w:line="480" w:lineRule="exact"/>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60"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pacing w:val="38"/>
                <w:sz w:val="24"/>
                <w:szCs w:val="24"/>
              </w:rPr>
              <w:t>帐号</w:t>
            </w:r>
          </w:p>
        </w:tc>
        <w:tc>
          <w:tcPr>
            <w:tcW w:w="4202" w:type="dxa"/>
            <w:gridSpan w:val="3"/>
          </w:tcPr>
          <w:p>
            <w:pPr>
              <w:spacing w:line="480" w:lineRule="exact"/>
              <w:rPr>
                <w:rFonts w:hint="eastAsia" w:ascii="宋体" w:hAnsi="宋体" w:eastAsia="宋体" w:cs="宋体"/>
                <w:sz w:val="24"/>
                <w:szCs w:val="24"/>
              </w:rPr>
            </w:pPr>
          </w:p>
        </w:tc>
        <w:tc>
          <w:tcPr>
            <w:tcW w:w="2029" w:type="dxa"/>
            <w:vMerge w:val="continue"/>
          </w:tcPr>
          <w:p>
            <w:pPr>
              <w:spacing w:line="480" w:lineRule="exact"/>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773" w:type="dxa"/>
            <w:vMerge w:val="restart"/>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鉴</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证</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方</w:t>
            </w:r>
          </w:p>
        </w:tc>
        <w:tc>
          <w:tcPr>
            <w:tcW w:w="2094" w:type="dxa"/>
            <w:vAlign w:val="center"/>
          </w:tcPr>
          <w:p>
            <w:pPr>
              <w:spacing w:line="480" w:lineRule="exact"/>
              <w:jc w:val="center"/>
              <w:rPr>
                <w:rFonts w:hint="eastAsia" w:ascii="宋体" w:hAnsi="宋体" w:eastAsia="宋体" w:cs="宋体"/>
                <w:spacing w:val="38"/>
                <w:sz w:val="24"/>
                <w:szCs w:val="24"/>
              </w:rPr>
            </w:pPr>
            <w:r>
              <w:rPr>
                <w:rFonts w:hint="eastAsia" w:ascii="宋体" w:hAnsi="宋体" w:eastAsia="宋体" w:cs="宋体"/>
                <w:sz w:val="24"/>
                <w:szCs w:val="24"/>
              </w:rPr>
              <w:t>名称（或姓名）</w:t>
            </w:r>
          </w:p>
        </w:tc>
        <w:tc>
          <w:tcPr>
            <w:tcW w:w="4202" w:type="dxa"/>
            <w:gridSpan w:val="3"/>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（签章）</w:t>
            </w:r>
          </w:p>
        </w:tc>
        <w:tc>
          <w:tcPr>
            <w:tcW w:w="2029" w:type="dxa"/>
            <w:vMerge w:val="restart"/>
          </w:tcPr>
          <w:p>
            <w:pPr>
              <w:spacing w:line="480" w:lineRule="exact"/>
              <w:rPr>
                <w:rFonts w:hint="eastAsia" w:ascii="宋体" w:hAnsi="宋体" w:eastAsia="宋体" w:cs="宋体"/>
                <w:spacing w:val="-8"/>
                <w:sz w:val="24"/>
                <w:szCs w:val="24"/>
              </w:rPr>
            </w:pPr>
            <w:r>
              <w:rPr>
                <w:rFonts w:hint="eastAsia" w:ascii="宋体" w:hAnsi="宋体" w:eastAsia="宋体" w:cs="宋体"/>
                <w:spacing w:val="-8"/>
                <w:sz w:val="24"/>
                <w:szCs w:val="24"/>
              </w:rPr>
              <w:t>技术合同专用章</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或</w:t>
            </w:r>
          </w:p>
          <w:p>
            <w:pPr>
              <w:spacing w:line="480" w:lineRule="exact"/>
              <w:jc w:val="center"/>
              <w:rPr>
                <w:rFonts w:hint="eastAsia" w:ascii="宋体" w:hAnsi="宋体" w:eastAsia="宋体" w:cs="宋体"/>
                <w:spacing w:val="10"/>
                <w:sz w:val="24"/>
                <w:szCs w:val="24"/>
              </w:rPr>
            </w:pPr>
            <w:r>
              <w:rPr>
                <w:rFonts w:hint="eastAsia" w:ascii="宋体" w:hAnsi="宋体" w:eastAsia="宋体" w:cs="宋体"/>
                <w:spacing w:val="10"/>
                <w:sz w:val="24"/>
                <w:szCs w:val="24"/>
              </w:rPr>
              <w:t>单位公章</w:t>
            </w:r>
          </w:p>
          <w:p>
            <w:pPr>
              <w:spacing w:line="480" w:lineRule="exact"/>
              <w:jc w:val="center"/>
              <w:rPr>
                <w:rFonts w:hint="eastAsia" w:ascii="宋体" w:hAnsi="宋体" w:eastAsia="宋体" w:cs="宋体"/>
                <w:spacing w:val="-6"/>
                <w:sz w:val="24"/>
                <w:szCs w:val="24"/>
              </w:rPr>
            </w:pPr>
          </w:p>
          <w:p>
            <w:pPr>
              <w:spacing w:line="480" w:lineRule="exact"/>
              <w:jc w:val="center"/>
              <w:rPr>
                <w:rFonts w:hint="eastAsia" w:ascii="宋体" w:hAnsi="宋体" w:eastAsia="宋体" w:cs="宋体"/>
                <w:spacing w:val="1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1"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pacing w:val="38"/>
                <w:sz w:val="24"/>
                <w:szCs w:val="24"/>
              </w:rPr>
            </w:pPr>
            <w:r>
              <w:rPr>
                <w:rFonts w:hint="eastAsia" w:ascii="宋体" w:hAnsi="宋体" w:eastAsia="宋体" w:cs="宋体"/>
                <w:sz w:val="24"/>
                <w:szCs w:val="24"/>
              </w:rPr>
              <w:t>项目负责人</w:t>
            </w:r>
          </w:p>
        </w:tc>
        <w:tc>
          <w:tcPr>
            <w:tcW w:w="4202" w:type="dxa"/>
            <w:gridSpan w:val="3"/>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（签章）</w:t>
            </w:r>
          </w:p>
        </w:tc>
        <w:tc>
          <w:tcPr>
            <w:tcW w:w="2029" w:type="dxa"/>
            <w:vMerge w:val="continue"/>
          </w:tcPr>
          <w:p>
            <w:pPr>
              <w:spacing w:line="480" w:lineRule="exact"/>
              <w:rPr>
                <w:rFonts w:hint="eastAsia"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89" w:hRule="atLeast"/>
          <w:jc w:val="center"/>
        </w:trPr>
        <w:tc>
          <w:tcPr>
            <w:tcW w:w="773" w:type="dxa"/>
            <w:vMerge w:val="continue"/>
          </w:tcPr>
          <w:p>
            <w:pPr>
              <w:spacing w:line="480" w:lineRule="exact"/>
              <w:rPr>
                <w:rFonts w:hint="eastAsia" w:ascii="宋体" w:hAnsi="宋体" w:eastAsia="宋体" w:cs="宋体"/>
                <w:sz w:val="24"/>
                <w:szCs w:val="24"/>
              </w:rPr>
            </w:pPr>
          </w:p>
        </w:tc>
        <w:tc>
          <w:tcPr>
            <w:tcW w:w="2094" w:type="dxa"/>
            <w:vAlign w:val="center"/>
          </w:tcPr>
          <w:p>
            <w:pPr>
              <w:spacing w:line="480" w:lineRule="exact"/>
              <w:jc w:val="center"/>
              <w:rPr>
                <w:rFonts w:hint="eastAsia" w:ascii="宋体" w:hAnsi="宋体" w:eastAsia="宋体" w:cs="宋体"/>
                <w:spacing w:val="38"/>
                <w:sz w:val="24"/>
                <w:szCs w:val="24"/>
              </w:rPr>
            </w:pPr>
            <w:r>
              <w:rPr>
                <w:rFonts w:hint="eastAsia" w:ascii="宋体" w:hAnsi="宋体" w:eastAsia="宋体" w:cs="宋体"/>
                <w:spacing w:val="38"/>
                <w:sz w:val="24"/>
                <w:szCs w:val="24"/>
              </w:rPr>
              <w:t>电话</w:t>
            </w:r>
          </w:p>
        </w:tc>
        <w:tc>
          <w:tcPr>
            <w:tcW w:w="1764" w:type="dxa"/>
            <w:vAlign w:val="center"/>
          </w:tcPr>
          <w:p>
            <w:pPr>
              <w:spacing w:line="480" w:lineRule="exact"/>
              <w:jc w:val="center"/>
              <w:rPr>
                <w:rFonts w:hint="eastAsia" w:ascii="宋体" w:hAnsi="宋体" w:eastAsia="宋体" w:cs="宋体"/>
                <w:sz w:val="24"/>
                <w:szCs w:val="24"/>
              </w:rPr>
            </w:pPr>
          </w:p>
        </w:tc>
        <w:tc>
          <w:tcPr>
            <w:tcW w:w="839"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1599" w:type="dxa"/>
          </w:tcPr>
          <w:p>
            <w:pPr>
              <w:spacing w:line="480" w:lineRule="exact"/>
              <w:rPr>
                <w:rFonts w:hint="eastAsia" w:ascii="宋体" w:hAnsi="宋体" w:eastAsia="宋体" w:cs="宋体"/>
                <w:sz w:val="24"/>
                <w:szCs w:val="24"/>
              </w:rPr>
            </w:pPr>
          </w:p>
        </w:tc>
        <w:tc>
          <w:tcPr>
            <w:tcW w:w="2029" w:type="dxa"/>
            <w:vMerge w:val="continue"/>
          </w:tcPr>
          <w:p>
            <w:pPr>
              <w:spacing w:line="480" w:lineRule="exact"/>
              <w:rPr>
                <w:rFonts w:hint="eastAsia" w:ascii="宋体" w:hAnsi="宋体" w:eastAsia="宋体" w:cs="宋体"/>
                <w:sz w:val="24"/>
                <w:szCs w:val="24"/>
              </w:rPr>
            </w:pPr>
          </w:p>
        </w:tc>
      </w:tr>
    </w:tbl>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第六部分</w:t>
      </w:r>
      <w:bookmarkEnd w:id="446"/>
      <w:r>
        <w:rPr>
          <w:rFonts w:hint="eastAsia" w:ascii="宋体" w:hAnsi="宋体" w:eastAsia="宋体" w:cs="宋体"/>
          <w:b/>
          <w:sz w:val="36"/>
          <w:szCs w:val="36"/>
        </w:rPr>
        <w:t xml:space="preserve"> </w:t>
      </w:r>
      <w:bookmarkEnd w:id="447"/>
      <w:r>
        <w:rPr>
          <w:rFonts w:hint="eastAsia" w:ascii="宋体" w:hAnsi="宋体" w:eastAsia="宋体" w:cs="宋体"/>
          <w:b/>
          <w:sz w:val="36"/>
          <w:szCs w:val="36"/>
        </w:rPr>
        <w:t>应提交的有关格式范例</w:t>
      </w:r>
      <w:bookmarkEnd w:id="451"/>
      <w:bookmarkEnd w:id="452"/>
      <w:bookmarkEnd w:id="453"/>
    </w:p>
    <w:p>
      <w:pPr>
        <w:bidi w:val="0"/>
        <w:rPr>
          <w:rFonts w:hint="eastAsia"/>
        </w:rPr>
      </w:pPr>
    </w:p>
    <w:p>
      <w:pPr>
        <w:bidi w:val="0"/>
        <w:rPr>
          <w:rFonts w:hint="eastAsia"/>
        </w:rPr>
      </w:pPr>
    </w:p>
    <w:p>
      <w:pPr>
        <w:spacing w:line="360" w:lineRule="auto"/>
        <w:jc w:val="center"/>
        <w:outlineLvl w:val="1"/>
        <w:rPr>
          <w:rFonts w:ascii="宋体" w:hAnsi="宋体" w:cs="宋体"/>
          <w:b/>
          <w:kern w:val="0"/>
          <w:sz w:val="36"/>
          <w:szCs w:val="36"/>
        </w:rPr>
      </w:pPr>
      <w:bookmarkStart w:id="454" w:name="_Toc27635"/>
      <w:bookmarkStart w:id="455" w:name="_Toc4772"/>
      <w:bookmarkStart w:id="456" w:name="_Toc28844"/>
      <w:r>
        <w:rPr>
          <w:rFonts w:hint="eastAsia" w:ascii="宋体" w:hAnsi="宋体" w:cs="宋体"/>
          <w:b/>
          <w:kern w:val="0"/>
          <w:sz w:val="36"/>
          <w:szCs w:val="36"/>
        </w:rPr>
        <w:t>资格文件部分</w:t>
      </w:r>
      <w:bookmarkEnd w:id="454"/>
      <w:bookmarkEnd w:id="455"/>
      <w:bookmarkEnd w:id="456"/>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bidi w:val="0"/>
      </w:pPr>
    </w:p>
    <w:p>
      <w:pPr>
        <w:numPr>
          <w:ilvl w:val="0"/>
          <w:numId w:val="2"/>
        </w:numPr>
        <w:snapToGrid w:val="0"/>
        <w:spacing w:line="360" w:lineRule="auto"/>
        <w:rPr>
          <w:rFonts w:hint="eastAsia" w:ascii="宋体" w:hAnsi="宋体" w:cs="宋体"/>
          <w:sz w:val="24"/>
          <w:lang w:val="en-US" w:eastAsia="zh-CN"/>
        </w:rPr>
      </w:pPr>
      <w:r>
        <w:rPr>
          <w:rFonts w:hint="eastAsia" w:ascii="宋体" w:hAnsi="宋体" w:cs="宋体"/>
          <w:sz w:val="24"/>
          <w:lang w:val="en-US" w:eastAsia="zh-CN"/>
        </w:rPr>
        <w:t>营业执照（或事业法人登记证或其他工商等登记证明材料）复印件</w:t>
      </w:r>
    </w:p>
    <w:p>
      <w:pPr>
        <w:numPr>
          <w:ilvl w:val="0"/>
          <w:numId w:val="0"/>
        </w:numPr>
        <w:snapToGrid w:val="0"/>
        <w:spacing w:line="360" w:lineRule="auto"/>
        <w:rPr>
          <w:rFonts w:hint="eastAsia" w:ascii="宋体" w:hAnsi="宋体" w:cs="宋体"/>
          <w:sz w:val="24"/>
        </w:rPr>
      </w:pPr>
      <w:r>
        <w:rPr>
          <w:rFonts w:hint="eastAsia" w:ascii="宋体" w:hAnsi="宋体" w:cs="宋体"/>
          <w:sz w:val="24"/>
          <w:lang w:val="en-US" w:eastAsia="zh-CN"/>
        </w:rPr>
        <w:t>（供应商为自然人的，提供自然人的身份证明）</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符合参加政府采购活动应当具备的一般条件的承诺函……………（页码）</w:t>
      </w:r>
    </w:p>
    <w:p>
      <w:pPr>
        <w:snapToGrid w:val="0"/>
        <w:spacing w:line="360" w:lineRule="auto"/>
        <w:rPr>
          <w:rFonts w:hint="eastAsia"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）联合协议</w:t>
      </w:r>
      <w:r>
        <w:rPr>
          <w:rFonts w:hint="eastAsia" w:ascii="宋体" w:hAnsi="宋体" w:cs="宋体"/>
          <w:sz w:val="24"/>
        </w:rPr>
        <w:t>（如为联合体投标的，须提供）…………………………（页码）</w:t>
      </w:r>
    </w:p>
    <w:p>
      <w:pPr>
        <w:snapToGrid w:val="0"/>
        <w:spacing w:line="360" w:lineRule="auto"/>
        <w:rPr>
          <w:rFonts w:hint="eastAsia"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4</w:t>
      </w:r>
      <w:r>
        <w:rPr>
          <w:rFonts w:hint="eastAsia" w:ascii="宋体" w:hAnsi="宋体" w:cs="宋体"/>
          <w:snapToGrid w:val="0"/>
          <w:kern w:val="28"/>
          <w:sz w:val="24"/>
          <w:szCs w:val="20"/>
        </w:rPr>
        <w:t>）</w:t>
      </w:r>
      <w:r>
        <w:rPr>
          <w:rFonts w:hint="eastAsia" w:ascii="宋体" w:hAnsi="宋体" w:cs="宋体"/>
          <w:sz w:val="24"/>
        </w:rPr>
        <w:t>分包意向协议（需明确分包的金额比重、中小企业声明函中需体现分包</w:t>
      </w:r>
    </w:p>
    <w:p>
      <w:pPr>
        <w:snapToGrid w:val="0"/>
        <w:spacing w:line="360" w:lineRule="auto"/>
        <w:rPr>
          <w:rFonts w:ascii="宋体" w:hAnsi="宋体" w:cs="宋体"/>
          <w:sz w:val="24"/>
        </w:rPr>
      </w:pPr>
      <w:r>
        <w:rPr>
          <w:rFonts w:hint="eastAsia" w:ascii="宋体" w:hAnsi="宋体" w:cs="宋体"/>
          <w:sz w:val="24"/>
        </w:rPr>
        <w:t>商的信息）（如有）………………………………………………………</w:t>
      </w:r>
      <w:r>
        <w:rPr>
          <w:rFonts w:hint="eastAsia" w:ascii="宋体" w:hAnsi="宋体" w:cs="宋体"/>
          <w:sz w:val="24"/>
          <w:lang w:val="en-US" w:eastAsia="zh-CN"/>
        </w:rPr>
        <w:t xml:space="preserve"> </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）符合特定资格条件的相关证明材料…………………………………（页码）</w:t>
      </w:r>
    </w:p>
    <w:p>
      <w:pPr>
        <w:snapToGrid w:val="0"/>
        <w:spacing w:line="360" w:lineRule="auto"/>
        <w:ind w:right="480"/>
        <w:jc w:val="center"/>
        <w:outlineLvl w:val="2"/>
        <w:rPr>
          <w:rFonts w:hint="eastAsia" w:ascii="宋体" w:hAnsi="宋体" w:cs="宋体"/>
          <w:b/>
          <w:color w:val="auto"/>
          <w:kern w:val="0"/>
          <w:sz w:val="32"/>
          <w:szCs w:val="32"/>
        </w:rPr>
      </w:pPr>
      <w:r>
        <w:rPr>
          <w:rFonts w:hint="eastAsia" w:ascii="宋体" w:hAnsi="宋体" w:cs="宋体"/>
          <w:kern w:val="0"/>
          <w:sz w:val="24"/>
        </w:rPr>
        <w:br w:type="page"/>
      </w:r>
      <w:bookmarkStart w:id="457" w:name="_Toc12286"/>
      <w:r>
        <w:rPr>
          <w:rFonts w:hint="eastAsia" w:ascii="宋体" w:hAnsi="宋体" w:cs="宋体"/>
          <w:b/>
          <w:color w:val="auto"/>
          <w:kern w:val="0"/>
          <w:sz w:val="32"/>
          <w:szCs w:val="32"/>
        </w:rPr>
        <w:t>一、营业执照（或事业法人登记证或其他工商等登记证明材料）复印件（供应商为自然人的，提供自然人的身份证明）</w:t>
      </w:r>
      <w:bookmarkEnd w:id="457"/>
    </w:p>
    <w:p>
      <w:pPr>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br w:type="page"/>
      </w:r>
    </w:p>
    <w:p>
      <w:pPr>
        <w:snapToGrid w:val="0"/>
        <w:spacing w:line="360" w:lineRule="auto"/>
        <w:ind w:right="480"/>
        <w:jc w:val="center"/>
        <w:outlineLvl w:val="2"/>
        <w:rPr>
          <w:rFonts w:hint="eastAsia" w:ascii="宋体" w:hAnsi="宋体" w:eastAsia="宋体" w:cs="宋体"/>
          <w:b/>
          <w:color w:val="auto"/>
          <w:kern w:val="0"/>
          <w:sz w:val="32"/>
          <w:szCs w:val="32"/>
        </w:rPr>
      </w:pPr>
      <w:bookmarkStart w:id="458" w:name="_Toc15775"/>
      <w:r>
        <w:rPr>
          <w:rFonts w:hint="eastAsia" w:ascii="宋体" w:hAnsi="宋体" w:eastAsia="宋体" w:cs="宋体"/>
          <w:b/>
          <w:color w:val="auto"/>
          <w:kern w:val="0"/>
          <w:sz w:val="32"/>
          <w:szCs w:val="32"/>
          <w:lang w:val="en-US" w:eastAsia="zh-CN"/>
        </w:rPr>
        <w:t>二、</w:t>
      </w:r>
      <w:r>
        <w:rPr>
          <w:rFonts w:hint="eastAsia" w:ascii="宋体" w:hAnsi="宋体" w:eastAsia="宋体" w:cs="宋体"/>
          <w:b/>
          <w:color w:val="auto"/>
          <w:kern w:val="0"/>
          <w:sz w:val="32"/>
          <w:szCs w:val="32"/>
        </w:rPr>
        <w:t>符合参加政府采购活动应当具备的一般条件的承诺函</w:t>
      </w:r>
      <w:bookmarkEnd w:id="458"/>
    </w:p>
    <w:p>
      <w:pPr>
        <w:snapToGrid w:val="0"/>
        <w:spacing w:line="360" w:lineRule="auto"/>
        <w:rPr>
          <w:rFonts w:ascii="宋体" w:hAnsi="宋体" w:cs="宋体"/>
          <w:color w:val="auto"/>
          <w:sz w:val="24"/>
        </w:rPr>
      </w:pPr>
      <w:r>
        <w:rPr>
          <w:rFonts w:hint="eastAsia" w:ascii="宋体" w:hAnsi="宋体" w:cs="宋体"/>
          <w:color w:val="auto"/>
          <w:sz w:val="24"/>
          <w:lang w:eastAsia="zh-CN"/>
        </w:rPr>
        <w:t>浙江省公安厅</w:t>
      </w:r>
      <w:r>
        <w:rPr>
          <w:rFonts w:hint="eastAsia" w:ascii="宋体" w:hAnsi="宋体" w:cs="宋体"/>
          <w:color w:val="auto"/>
          <w:sz w:val="24"/>
        </w:rPr>
        <w:t>、</w:t>
      </w:r>
      <w:r>
        <w:rPr>
          <w:rFonts w:hint="eastAsia" w:ascii="宋体" w:hAnsi="宋体" w:cs="宋体"/>
          <w:color w:val="auto"/>
          <w:sz w:val="24"/>
          <w:lang w:eastAsia="zh-CN"/>
        </w:rPr>
        <w:t>华诚工程咨询集团有限公司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浙江省公安厅“浙江交警”新媒体运维项目（第三次重新招标）</w:t>
      </w:r>
      <w:r>
        <w:rPr>
          <w:rFonts w:hint="eastAsia" w:ascii="宋体" w:hAnsi="宋体" w:cs="宋体"/>
          <w:color w:val="auto"/>
          <w:sz w:val="24"/>
        </w:rPr>
        <w:t>【招标编号：</w:t>
      </w:r>
      <w:r>
        <w:rPr>
          <w:rFonts w:hint="eastAsia" w:ascii="宋体" w:hAnsi="宋体" w:cs="宋体"/>
          <w:color w:val="auto"/>
          <w:sz w:val="24"/>
          <w:lang w:eastAsia="zh-CN"/>
        </w:rPr>
        <w:t>HCZX-ZC-[2024]0588-2</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outlineLvl w:val="2"/>
        <w:rPr>
          <w:rFonts w:ascii="宋体" w:hAnsi="宋体" w:cs="宋体"/>
          <w:b/>
          <w:color w:val="auto"/>
          <w:kern w:val="0"/>
          <w:sz w:val="32"/>
          <w:szCs w:val="32"/>
        </w:rPr>
      </w:pPr>
      <w:bookmarkStart w:id="459" w:name="_Toc29855"/>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、联合协议（如果有）</w:t>
      </w:r>
      <w:bookmarkEnd w:id="459"/>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pPr>
        <w:snapToGrid w:val="0"/>
        <w:spacing w:line="360" w:lineRule="auto"/>
        <w:ind w:right="480"/>
        <w:jc w:val="center"/>
        <w:outlineLvl w:val="2"/>
        <w:rPr>
          <w:rFonts w:hint="eastAsia" w:ascii="宋体" w:hAnsi="宋体" w:cs="宋体"/>
          <w:b/>
          <w:color w:val="auto"/>
          <w:kern w:val="0"/>
          <w:sz w:val="32"/>
          <w:szCs w:val="32"/>
        </w:rPr>
      </w:pPr>
      <w:bookmarkStart w:id="460" w:name="_Toc15658"/>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、分包意向协议（需明确分包的金额比重、中小企业声明函中需体现分包商的信息）（如有）</w:t>
      </w:r>
      <w:bookmarkEnd w:id="460"/>
    </w:p>
    <w:p>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pPr>
        <w:snapToGrid w:val="0"/>
        <w:spacing w:line="360" w:lineRule="auto"/>
        <w:ind w:right="480"/>
        <w:jc w:val="center"/>
        <w:outlineLvl w:val="2"/>
        <w:rPr>
          <w:rFonts w:ascii="宋体" w:hAnsi="宋体" w:cs="宋体"/>
          <w:b/>
          <w:color w:val="auto"/>
          <w:kern w:val="0"/>
          <w:sz w:val="32"/>
          <w:szCs w:val="32"/>
        </w:rPr>
      </w:pPr>
      <w:bookmarkStart w:id="461" w:name="_Toc13141"/>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落实政府采购政策需满足的资格要求</w:t>
      </w:r>
      <w:bookmarkEnd w:id="461"/>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pPr>
        <w:widowControl/>
        <w:spacing w:line="360" w:lineRule="auto"/>
        <w:ind w:left="150"/>
        <w:jc w:val="center"/>
        <w:outlineLvl w:val="2"/>
        <w:rPr>
          <w:rFonts w:ascii="宋体" w:hAnsi="宋体" w:cs="宋体"/>
          <w:b/>
          <w:color w:val="auto"/>
          <w:kern w:val="0"/>
          <w:sz w:val="32"/>
          <w:szCs w:val="32"/>
        </w:rPr>
      </w:pPr>
      <w:bookmarkStart w:id="462" w:name="_Toc22556"/>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、本项目的特定资格要求</w:t>
      </w:r>
      <w:bookmarkEnd w:id="462"/>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jc w:val="center"/>
        <w:outlineLvl w:val="1"/>
        <w:rPr>
          <w:rFonts w:hint="eastAsia" w:ascii="宋体" w:hAnsi="宋体" w:eastAsia="宋体" w:cs="宋体"/>
          <w:b/>
          <w:color w:val="auto"/>
          <w:kern w:val="0"/>
          <w:sz w:val="36"/>
          <w:szCs w:val="36"/>
        </w:rPr>
      </w:pPr>
      <w:bookmarkStart w:id="463" w:name="_Toc31046"/>
      <w:bookmarkStart w:id="464" w:name="_Toc25072"/>
      <w:bookmarkStart w:id="465" w:name="_Toc12259"/>
      <w:r>
        <w:rPr>
          <w:rFonts w:hint="eastAsia" w:ascii="宋体" w:hAnsi="宋体" w:eastAsia="宋体" w:cs="宋体"/>
          <w:b/>
          <w:color w:val="auto"/>
          <w:kern w:val="0"/>
          <w:sz w:val="36"/>
          <w:szCs w:val="36"/>
        </w:rPr>
        <w:t>商务技术文件部分</w:t>
      </w:r>
      <w:bookmarkEnd w:id="463"/>
      <w:bookmarkEnd w:id="464"/>
      <w:bookmarkEnd w:id="465"/>
    </w:p>
    <w:p>
      <w:pPr>
        <w:bidi w:val="0"/>
        <w:rPr>
          <w:color w:val="auto"/>
        </w:rPr>
      </w:pPr>
    </w:p>
    <w:p>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）公司介绍、资信及同类项目经验（需提供合同复印件并加盖公章）</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2"/>
        <w:rPr>
          <w:rFonts w:ascii="宋体" w:hAnsi="宋体" w:cs="宋体"/>
          <w:b/>
          <w:color w:val="auto"/>
          <w:sz w:val="32"/>
          <w:szCs w:val="32"/>
        </w:rPr>
      </w:pPr>
      <w:bookmarkStart w:id="466" w:name="_Toc614"/>
      <w:r>
        <w:rPr>
          <w:rFonts w:hint="eastAsia" w:ascii="宋体" w:hAnsi="宋体" w:cs="宋体"/>
          <w:b/>
          <w:color w:val="auto"/>
          <w:kern w:val="0"/>
          <w:sz w:val="32"/>
          <w:szCs w:val="32"/>
        </w:rPr>
        <w:t>一、投标</w:t>
      </w:r>
      <w:r>
        <w:rPr>
          <w:rFonts w:hint="eastAsia" w:ascii="宋体" w:hAnsi="宋体" w:cs="宋体"/>
          <w:b/>
          <w:color w:val="auto"/>
          <w:sz w:val="32"/>
          <w:szCs w:val="32"/>
        </w:rPr>
        <w:t>函</w:t>
      </w:r>
      <w:bookmarkEnd w:id="466"/>
    </w:p>
    <w:p>
      <w:pPr>
        <w:snapToGrid w:val="0"/>
        <w:spacing w:line="360" w:lineRule="auto"/>
        <w:rPr>
          <w:rFonts w:ascii="宋体" w:hAnsi="宋体" w:cs="宋体"/>
          <w:color w:val="auto"/>
          <w:sz w:val="24"/>
        </w:rPr>
      </w:pPr>
      <w:r>
        <w:rPr>
          <w:rFonts w:hint="eastAsia" w:ascii="宋体" w:hAnsi="宋体" w:cs="宋体"/>
          <w:color w:val="auto"/>
          <w:sz w:val="24"/>
          <w:lang w:eastAsia="zh-CN"/>
        </w:rPr>
        <w:t>浙江省公安厅</w:t>
      </w:r>
      <w:r>
        <w:rPr>
          <w:rFonts w:hint="eastAsia" w:ascii="宋体" w:hAnsi="宋体" w:cs="宋体"/>
          <w:color w:val="auto"/>
          <w:sz w:val="24"/>
        </w:rPr>
        <w:t>、</w:t>
      </w:r>
      <w:r>
        <w:rPr>
          <w:rFonts w:hint="eastAsia" w:ascii="宋体" w:hAnsi="宋体" w:cs="宋体"/>
          <w:color w:val="auto"/>
          <w:sz w:val="24"/>
          <w:lang w:eastAsia="zh-CN"/>
        </w:rPr>
        <w:t>华诚工程咨询集团有限公司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浙江省公安厅“浙江交警”新媒体运维项目（第三次重新招标）</w:t>
      </w:r>
      <w:r>
        <w:rPr>
          <w:rFonts w:hint="eastAsia" w:ascii="宋体" w:hAnsi="宋体" w:cs="宋体"/>
          <w:color w:val="auto"/>
          <w:sz w:val="24"/>
        </w:rPr>
        <w:t>【招标编号：</w:t>
      </w:r>
      <w:r>
        <w:rPr>
          <w:rFonts w:hint="eastAsia" w:ascii="宋体" w:hAnsi="宋体" w:cs="宋体"/>
          <w:color w:val="auto"/>
          <w:sz w:val="24"/>
          <w:lang w:eastAsia="zh-CN"/>
        </w:rPr>
        <w:t>HCZX-ZC-[2024]0588-2</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67" w:name="_Hlk101257010"/>
      <w:r>
        <w:rPr>
          <w:rFonts w:hint="eastAsia" w:ascii="宋体" w:hAnsi="宋体" w:cs="宋体"/>
          <w:color w:val="auto"/>
          <w:sz w:val="24"/>
        </w:rPr>
        <w:t>（如果有)</w:t>
      </w:r>
      <w:bookmarkEnd w:id="467"/>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pStyle w:val="80"/>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pPr>
        <w:snapToGrid w:val="0"/>
        <w:spacing w:line="360" w:lineRule="auto"/>
        <w:jc w:val="center"/>
        <w:outlineLvl w:val="2"/>
        <w:rPr>
          <w:rFonts w:hint="eastAsia" w:ascii="宋体" w:hAnsi="宋体" w:eastAsia="宋体" w:cs="宋体"/>
          <w:b/>
          <w:color w:val="auto"/>
          <w:kern w:val="0"/>
          <w:sz w:val="32"/>
          <w:szCs w:val="32"/>
          <w:lang w:val="zh-CN"/>
        </w:rPr>
      </w:pPr>
      <w:bookmarkStart w:id="468" w:name="_Toc14533"/>
      <w:r>
        <w:rPr>
          <w:rFonts w:hint="eastAsia" w:ascii="宋体" w:hAnsi="宋体" w:eastAsia="宋体" w:cs="宋体"/>
          <w:b/>
          <w:color w:val="auto"/>
          <w:kern w:val="0"/>
          <w:sz w:val="32"/>
          <w:szCs w:val="32"/>
          <w:lang w:val="zh-CN"/>
        </w:rPr>
        <w:t>二、授权委托书或法定代表人（单位负责人、自然人本人）身份证明</w:t>
      </w:r>
      <w:bookmarkEnd w:id="468"/>
    </w:p>
    <w:p>
      <w:pPr>
        <w:snapToGrid w:val="0"/>
        <w:spacing w:line="360" w:lineRule="auto"/>
        <w:jc w:val="center"/>
        <w:rPr>
          <w:rFonts w:ascii="宋体" w:hAnsi="宋体" w:cs="宋体"/>
          <w:color w:val="auto"/>
        </w:rPr>
      </w:pPr>
      <w:r>
        <w:rPr>
          <w:rFonts w:hint="eastAsia" w:ascii="宋体" w:hAnsi="宋体" w:cs="宋体"/>
          <w:b/>
          <w:color w:val="auto"/>
          <w:kern w:val="0"/>
          <w:sz w:val="32"/>
          <w:szCs w:val="32"/>
          <w:lang w:val="zh-CN"/>
        </w:rPr>
        <w:t>授权委托书（适用于非联合体投标）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浙江省公安厅</w:t>
      </w:r>
      <w:r>
        <w:rPr>
          <w:rFonts w:hint="eastAsia" w:ascii="宋体" w:hAnsi="宋体" w:cs="宋体"/>
          <w:color w:val="auto"/>
          <w:sz w:val="24"/>
        </w:rPr>
        <w:t>、</w:t>
      </w:r>
      <w:r>
        <w:rPr>
          <w:rFonts w:hint="eastAsia" w:ascii="宋体" w:hAnsi="宋体" w:cs="宋体"/>
          <w:color w:val="auto"/>
          <w:sz w:val="24"/>
          <w:lang w:eastAsia="zh-CN"/>
        </w:rPr>
        <w:t>华诚工程咨询集团有限公司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浙江省公安厅“浙江交警”新媒体运维项目（第三次重新招标）</w:t>
      </w:r>
      <w:r>
        <w:rPr>
          <w:rFonts w:hint="eastAsia" w:ascii="宋体" w:hAnsi="宋体" w:cs="宋体"/>
          <w:color w:val="auto"/>
          <w:sz w:val="24"/>
        </w:rPr>
        <w:t>【招标编号：</w:t>
      </w:r>
      <w:r>
        <w:rPr>
          <w:rFonts w:hint="eastAsia" w:ascii="宋体" w:hAnsi="宋体" w:cs="宋体"/>
          <w:color w:val="auto"/>
          <w:sz w:val="24"/>
          <w:lang w:eastAsia="zh-CN"/>
        </w:rPr>
        <w:t>HCZX-ZC-[2024]0588-2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浙江省公安厅</w:t>
      </w:r>
      <w:r>
        <w:rPr>
          <w:rFonts w:hint="eastAsia" w:ascii="宋体" w:hAnsi="宋体" w:cs="宋体"/>
          <w:color w:val="auto"/>
          <w:sz w:val="24"/>
        </w:rPr>
        <w:t>、</w:t>
      </w:r>
      <w:r>
        <w:rPr>
          <w:rFonts w:hint="eastAsia" w:ascii="宋体" w:hAnsi="宋体" w:cs="宋体"/>
          <w:color w:val="auto"/>
          <w:sz w:val="24"/>
          <w:lang w:eastAsia="zh-CN"/>
        </w:rPr>
        <w:t>华诚工程咨询集团有限公司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浙江省公安厅“浙江交警”新媒体运维项目（第三次重新招标）</w:t>
      </w:r>
      <w:r>
        <w:rPr>
          <w:rFonts w:hint="eastAsia" w:ascii="宋体" w:hAnsi="宋体" w:cs="宋体"/>
          <w:color w:val="auto"/>
          <w:sz w:val="24"/>
        </w:rPr>
        <w:t>【招标编号：</w:t>
      </w:r>
      <w:r>
        <w:rPr>
          <w:rFonts w:hint="eastAsia" w:ascii="宋体" w:hAnsi="宋体" w:cs="宋体"/>
          <w:color w:val="auto"/>
          <w:sz w:val="24"/>
          <w:lang w:eastAsia="zh-CN"/>
        </w:rPr>
        <w:t>HCZX-ZC-[2024]0588-2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rPr>
            </w:pPr>
            <w:r>
              <w:rPr>
                <w:rFonts w:hint="eastAsia" w:hAnsi="宋体" w:cs="宋体"/>
                <w:bCs/>
                <w:color w:val="auto"/>
                <w:sz w:val="24"/>
              </w:rPr>
              <w:t>正面：                                 反面：</w:t>
            </w:r>
          </w:p>
          <w:p>
            <w:pPr>
              <w:pStyle w:val="149"/>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footerReference r:id="rId8" w:type="firs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2"/>
        <w:rPr>
          <w:rFonts w:hint="eastAsia" w:ascii="宋体" w:hAnsi="宋体" w:eastAsia="宋体" w:cs="宋体"/>
          <w:b/>
          <w:color w:val="auto"/>
          <w:kern w:val="0"/>
          <w:sz w:val="32"/>
          <w:szCs w:val="32"/>
        </w:rPr>
      </w:pPr>
      <w:bookmarkStart w:id="469" w:name="_Toc6563"/>
      <w:r>
        <w:rPr>
          <w:rFonts w:hint="eastAsia" w:ascii="宋体" w:hAnsi="宋体" w:eastAsia="宋体" w:cs="宋体"/>
          <w:b/>
          <w:color w:val="auto"/>
          <w:kern w:val="0"/>
          <w:sz w:val="32"/>
          <w:szCs w:val="32"/>
        </w:rPr>
        <w:t>三、公司介绍、资信及同类项目经验（需提供合同复印件并加盖公章）</w:t>
      </w:r>
      <w:bookmarkEnd w:id="469"/>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outlineLvl w:val="2"/>
        <w:rPr>
          <w:rFonts w:hint="eastAsia" w:ascii="宋体" w:hAnsi="宋体" w:eastAsia="宋体" w:cs="宋体"/>
          <w:b/>
          <w:color w:val="auto"/>
          <w:kern w:val="0"/>
          <w:sz w:val="32"/>
          <w:szCs w:val="32"/>
        </w:rPr>
      </w:pPr>
      <w:bookmarkStart w:id="470" w:name="_Toc526"/>
      <w:r>
        <w:rPr>
          <w:rFonts w:hint="eastAsia" w:ascii="宋体" w:hAnsi="宋体" w:eastAsia="宋体" w:cs="宋体"/>
          <w:b/>
          <w:color w:val="auto"/>
          <w:kern w:val="0"/>
          <w:sz w:val="32"/>
          <w:szCs w:val="32"/>
        </w:rPr>
        <w:t>四、符合性审查资料</w:t>
      </w:r>
      <w:bookmarkEnd w:id="470"/>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outlineLvl w:val="2"/>
        <w:rPr>
          <w:rFonts w:hint="eastAsia" w:ascii="宋体" w:hAnsi="宋体" w:eastAsia="宋体" w:cs="宋体"/>
          <w:b/>
          <w:color w:val="auto"/>
          <w:kern w:val="0"/>
          <w:sz w:val="32"/>
          <w:szCs w:val="32"/>
        </w:rPr>
      </w:pPr>
      <w:bookmarkStart w:id="471" w:name="_Toc8942"/>
      <w:r>
        <w:rPr>
          <w:rFonts w:hint="eastAsia" w:ascii="宋体" w:hAnsi="宋体" w:eastAsia="宋体" w:cs="宋体"/>
          <w:b/>
          <w:color w:val="auto"/>
          <w:kern w:val="0"/>
          <w:sz w:val="32"/>
          <w:szCs w:val="32"/>
        </w:rPr>
        <w:t>五、评标标准相应的商务技术资料</w:t>
      </w:r>
      <w:bookmarkEnd w:id="471"/>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outlineLvl w:val="2"/>
        <w:rPr>
          <w:rFonts w:hint="eastAsia" w:ascii="宋体" w:hAnsi="宋体" w:eastAsia="宋体" w:cs="宋体"/>
          <w:b/>
          <w:color w:val="auto"/>
          <w:kern w:val="0"/>
          <w:sz w:val="32"/>
          <w:szCs w:val="32"/>
        </w:rPr>
      </w:pPr>
      <w:bookmarkStart w:id="472" w:name="_Toc91"/>
      <w:r>
        <w:rPr>
          <w:rFonts w:hint="eastAsia" w:ascii="宋体" w:hAnsi="宋体" w:eastAsia="宋体" w:cs="宋体"/>
          <w:b/>
          <w:color w:val="auto"/>
          <w:kern w:val="0"/>
          <w:sz w:val="32"/>
          <w:szCs w:val="32"/>
        </w:rPr>
        <w:t>六、投标标的清单</w:t>
      </w:r>
      <w:bookmarkEnd w:id="472"/>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outlineLvl w:val="2"/>
        <w:rPr>
          <w:rFonts w:hint="eastAsia" w:ascii="宋体" w:hAnsi="宋体" w:eastAsia="宋体" w:cs="宋体"/>
          <w:b/>
          <w:color w:val="auto"/>
          <w:kern w:val="0"/>
          <w:sz w:val="32"/>
          <w:szCs w:val="32"/>
        </w:rPr>
      </w:pPr>
      <w:bookmarkStart w:id="473" w:name="_Toc31898"/>
      <w:r>
        <w:rPr>
          <w:rFonts w:hint="eastAsia" w:ascii="宋体" w:hAnsi="宋体" w:eastAsia="宋体" w:cs="宋体"/>
          <w:b/>
          <w:color w:val="auto"/>
          <w:kern w:val="0"/>
          <w:sz w:val="32"/>
          <w:szCs w:val="32"/>
        </w:rPr>
        <w:t>七、商务技术偏离表</w:t>
      </w:r>
      <w:bookmarkEnd w:id="473"/>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snapToGrid w:val="0"/>
        <w:spacing w:line="360" w:lineRule="auto"/>
        <w:jc w:val="center"/>
        <w:outlineLvl w:val="2"/>
        <w:rPr>
          <w:rFonts w:hint="eastAsia" w:ascii="宋体" w:hAnsi="宋体" w:eastAsia="宋体" w:cs="宋体"/>
          <w:b/>
          <w:color w:val="auto"/>
          <w:kern w:val="0"/>
          <w:sz w:val="32"/>
          <w:szCs w:val="32"/>
        </w:rPr>
      </w:pPr>
      <w:bookmarkStart w:id="474" w:name="_Toc3126"/>
      <w:r>
        <w:rPr>
          <w:rFonts w:hint="eastAsia" w:ascii="宋体" w:hAnsi="宋体" w:eastAsia="宋体" w:cs="宋体"/>
          <w:b/>
          <w:color w:val="auto"/>
          <w:kern w:val="0"/>
          <w:sz w:val="32"/>
          <w:szCs w:val="32"/>
        </w:rPr>
        <w:t>八、</w:t>
      </w:r>
      <w:r>
        <w:rPr>
          <w:rFonts w:hint="eastAsia" w:ascii="宋体" w:hAnsi="宋体" w:eastAsia="宋体" w:cs="宋体"/>
          <w:b/>
          <w:color w:val="auto"/>
          <w:kern w:val="0"/>
          <w:sz w:val="32"/>
          <w:szCs w:val="32"/>
          <w:lang w:val="zh-CN"/>
        </w:rPr>
        <w:t>政府采购供应商廉洁自律承诺书</w:t>
      </w:r>
      <w:bookmarkEnd w:id="474"/>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浙江省公安厅</w:t>
      </w:r>
      <w:r>
        <w:rPr>
          <w:rFonts w:hint="eastAsia" w:ascii="宋体" w:hAnsi="宋体" w:cs="宋体"/>
          <w:color w:val="auto"/>
          <w:sz w:val="24"/>
        </w:rPr>
        <w:t>、</w:t>
      </w:r>
      <w:r>
        <w:rPr>
          <w:rFonts w:hint="eastAsia" w:ascii="宋体" w:hAnsi="宋体" w:cs="宋体"/>
          <w:color w:val="auto"/>
          <w:sz w:val="24"/>
          <w:lang w:eastAsia="zh-CN"/>
        </w:rPr>
        <w:t>华诚工程咨询集团有限公司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footerReference r:id="rId10" w:type="first"/>
          <w:footerReference r:id="rId9"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rPr>
      </w:pPr>
      <w:bookmarkStart w:id="475" w:name="_Toc22915"/>
      <w:bookmarkStart w:id="476" w:name="_Toc19532"/>
      <w:bookmarkStart w:id="477" w:name="_Toc19079"/>
      <w:r>
        <w:rPr>
          <w:rFonts w:hint="eastAsia" w:ascii="宋体" w:hAnsi="宋体" w:cs="宋体"/>
          <w:b/>
          <w:color w:val="auto"/>
          <w:kern w:val="0"/>
          <w:sz w:val="36"/>
          <w:szCs w:val="36"/>
        </w:rPr>
        <w:t>报价文件部分</w:t>
      </w:r>
      <w:bookmarkEnd w:id="475"/>
      <w:bookmarkEnd w:id="476"/>
      <w:bookmarkEnd w:id="477"/>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bidi w:val="0"/>
        <w:rPr>
          <w:color w:val="auto"/>
        </w:rPr>
      </w:pPr>
    </w:p>
    <w:p>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报价情况说明（如果有）</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w:t>
      </w:r>
      <w:r>
        <w:rPr>
          <w:rFonts w:hint="eastAsia" w:ascii="宋体" w:hAnsi="宋体" w:cs="宋体"/>
          <w:color w:val="auto"/>
          <w:sz w:val="24"/>
          <w:lang w:val="en-US" w:eastAsia="zh-CN"/>
        </w:rPr>
        <w:t>如果有</w:t>
      </w:r>
      <w:r>
        <w:rPr>
          <w:rFonts w:hint="eastAsia" w:ascii="宋体" w:hAnsi="宋体" w:cs="宋体"/>
          <w:color w:val="auto"/>
          <w:sz w:val="24"/>
          <w:lang w:eastAsia="zh-CN"/>
        </w:rPr>
        <w:t>）</w:t>
      </w:r>
      <w:r>
        <w:rPr>
          <w:rFonts w:hint="eastAsia" w:ascii="宋体" w:hAnsi="宋体" w:cs="宋体"/>
          <w:color w:val="auto"/>
          <w:sz w:val="24"/>
        </w:rPr>
        <w:t>…………………………………………………（页码）</w:t>
      </w:r>
    </w:p>
    <w:p>
      <w:pPr>
        <w:pStyle w:val="80"/>
        <w:rPr>
          <w:rFonts w:hint="eastAsia"/>
          <w:color w:val="auto"/>
        </w:rPr>
      </w:pPr>
    </w:p>
    <w:p>
      <w:pPr>
        <w:pStyle w:val="80"/>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13" w:type="first"/>
          <w:headerReference r:id="rId11" w:type="default"/>
          <w:footerReference r:id="rId12"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3"/>
        <w:rPr>
          <w:rFonts w:ascii="宋体" w:hAnsi="宋体" w:eastAsia="宋体" w:cs="宋体"/>
          <w:color w:val="auto"/>
          <w:kern w:val="2"/>
          <w:sz w:val="32"/>
          <w:szCs w:val="32"/>
        </w:rPr>
      </w:pPr>
      <w:bookmarkStart w:id="478" w:name="_Toc21402"/>
      <w:bookmarkStart w:id="479" w:name="_Toc6549"/>
      <w:bookmarkStart w:id="480" w:name="_Toc16686"/>
      <w:r>
        <w:rPr>
          <w:rFonts w:hint="eastAsia" w:ascii="宋体" w:hAnsi="宋体" w:eastAsia="宋体" w:cs="宋体"/>
          <w:color w:val="auto"/>
          <w:kern w:val="2"/>
          <w:sz w:val="32"/>
          <w:szCs w:val="32"/>
        </w:rPr>
        <w:t>一、开标一览表（报价表）</w:t>
      </w:r>
      <w:bookmarkEnd w:id="478"/>
      <w:bookmarkEnd w:id="479"/>
      <w:bookmarkEnd w:id="480"/>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浙江省公安厅</w:t>
      </w:r>
      <w:r>
        <w:rPr>
          <w:rFonts w:hint="eastAsia" w:ascii="宋体" w:hAnsi="宋体" w:cs="宋体"/>
          <w:color w:val="auto"/>
          <w:sz w:val="24"/>
        </w:rPr>
        <w:t>、</w:t>
      </w:r>
      <w:r>
        <w:rPr>
          <w:rFonts w:hint="eastAsia" w:ascii="宋体" w:hAnsi="宋体" w:cs="宋体"/>
          <w:color w:val="auto"/>
          <w:sz w:val="24"/>
          <w:lang w:eastAsia="zh-CN"/>
        </w:rPr>
        <w:t>华诚工程咨询集团有限公司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浙江省公安厅“浙江交警”新媒体运维项目（第三次重新招标）</w:t>
      </w:r>
      <w:r>
        <w:rPr>
          <w:rFonts w:hint="eastAsia" w:ascii="宋体" w:hAnsi="宋体" w:cs="宋体"/>
          <w:color w:val="auto"/>
          <w:kern w:val="0"/>
          <w:sz w:val="24"/>
          <w:lang w:val="zh-CN"/>
        </w:rPr>
        <w:t>【招标编号：</w:t>
      </w:r>
      <w:r>
        <w:rPr>
          <w:rFonts w:hint="eastAsia" w:ascii="宋体" w:hAnsi="宋体" w:cs="宋体"/>
          <w:color w:val="auto"/>
          <w:sz w:val="24"/>
          <w:lang w:eastAsia="zh-CN"/>
        </w:rPr>
        <w:t>HCZX-ZC-[2024]0588-2</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5" w:type="first"/>
          <w:headerReference r:id="rId14" w:type="default"/>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3"/>
        <w:rPr>
          <w:rFonts w:hint="eastAsia" w:ascii="宋体" w:hAnsi="宋体" w:eastAsia="宋体" w:cs="宋体"/>
          <w:i/>
          <w:iCs/>
          <w:color w:val="auto"/>
          <w:kern w:val="2"/>
          <w:sz w:val="32"/>
          <w:szCs w:val="32"/>
          <w:lang w:val="en-US" w:eastAsia="zh-CN"/>
        </w:rPr>
      </w:pPr>
      <w:bookmarkStart w:id="481" w:name="_Toc15191"/>
      <w:bookmarkStart w:id="482" w:name="_Toc15006"/>
      <w:bookmarkStart w:id="483" w:name="_Toc23068"/>
      <w:r>
        <w:rPr>
          <w:rFonts w:hint="eastAsia" w:ascii="宋体" w:hAnsi="宋体" w:eastAsia="宋体" w:cs="宋体"/>
          <w:color w:val="auto"/>
          <w:kern w:val="2"/>
          <w:sz w:val="32"/>
          <w:szCs w:val="32"/>
          <w:lang w:val="en-US" w:eastAsia="zh-CN"/>
        </w:rPr>
        <w:t>二、报价情况说明（如果有）</w:t>
      </w:r>
      <w:bookmarkEnd w:id="481"/>
      <w:bookmarkEnd w:id="482"/>
      <w:bookmarkEnd w:id="483"/>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color w:val="auto"/>
          <w:sz w:val="24"/>
          <w:szCs w:val="32"/>
          <w:lang w:val="en-US" w:eastAsia="zh-CN"/>
        </w:rPr>
      </w:pPr>
      <w:r>
        <w:rPr>
          <w:rFonts w:hint="eastAsia"/>
          <w:color w:val="auto"/>
          <w:sz w:val="24"/>
          <w:szCs w:val="32"/>
          <w:lang w:val="en-US"/>
        </w:rPr>
        <w:t>（如供应商报价低于项目预算50%的，应当提交本文档，详细阐述不影响产品质量或者诚信履约的具体原因</w:t>
      </w:r>
      <w:r>
        <w:rPr>
          <w:rFonts w:hint="eastAsia"/>
          <w:color w:val="auto"/>
          <w:sz w:val="24"/>
          <w:szCs w:val="32"/>
          <w:lang w:val="en-US" w:eastAsia="zh-CN"/>
        </w:rPr>
        <w:t>。</w:t>
      </w:r>
      <w:r>
        <w:rPr>
          <w:rFonts w:hint="eastAsia"/>
          <w:color w:val="auto"/>
          <w:sz w:val="24"/>
          <w:szCs w:val="32"/>
          <w:lang w:val="en-US"/>
        </w:rPr>
        <w:t>）</w:t>
      </w:r>
    </w:p>
    <w:p>
      <w:pPr>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br w:type="page"/>
      </w:r>
    </w:p>
    <w:p>
      <w:pPr>
        <w:pStyle w:val="694"/>
        <w:keepNext w:val="0"/>
        <w:pageBreakBefore w:val="0"/>
        <w:tabs>
          <w:tab w:val="clear" w:pos="720"/>
        </w:tabs>
        <w:snapToGrid w:val="0"/>
        <w:spacing w:before="120" w:after="120"/>
        <w:ind w:firstLine="643"/>
        <w:outlineLvl w:val="3"/>
        <w:rPr>
          <w:rFonts w:ascii="宋体" w:hAnsi="宋体" w:eastAsia="宋体" w:cs="宋体"/>
          <w:color w:val="auto"/>
          <w:sz w:val="32"/>
          <w:szCs w:val="32"/>
        </w:rPr>
      </w:pPr>
      <w:bookmarkStart w:id="484" w:name="_Toc9308"/>
      <w:bookmarkStart w:id="485" w:name="_Toc21677"/>
      <w:bookmarkStart w:id="486" w:name="_Toc27743"/>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bookmarkEnd w:id="484"/>
      <w:bookmarkEnd w:id="485"/>
      <w:bookmarkEnd w:id="486"/>
    </w:p>
    <w:p>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4"/>
        <w:keepNext w:val="0"/>
        <w:keepLines w:val="0"/>
        <w:pageBreakBefore/>
        <w:widowControl/>
        <w:spacing w:before="100" w:beforeAutospacing="1" w:after="100" w:afterAutospacing="1" w:line="360" w:lineRule="auto"/>
        <w:ind w:left="1290" w:firstLine="2249" w:firstLineChars="700"/>
        <w:rPr>
          <w:rFonts w:ascii="宋体" w:hAnsi="宋体" w:cs="宋体"/>
          <w:color w:val="auto"/>
        </w:rPr>
      </w:pPr>
      <w:bookmarkStart w:id="487" w:name="_Toc25404"/>
      <w:bookmarkStart w:id="488" w:name="_Toc14875"/>
      <w:bookmarkStart w:id="489" w:name="_Toc31996"/>
      <w:r>
        <w:rPr>
          <w:rFonts w:hint="eastAsia" w:ascii="宋体" w:hAnsi="宋体" w:cs="宋体"/>
          <w:color w:val="auto"/>
        </w:rPr>
        <w:t>附件</w:t>
      </w:r>
      <w:bookmarkEnd w:id="487"/>
      <w:bookmarkEnd w:id="488"/>
      <w:bookmarkEnd w:id="489"/>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2"/>
        <w:rPr>
          <w:rFonts w:ascii="宋体" w:hAnsi="宋体" w:cs="宋体"/>
          <w:b/>
          <w:color w:val="auto"/>
          <w:spacing w:val="6"/>
          <w:sz w:val="32"/>
          <w:szCs w:val="32"/>
        </w:rPr>
      </w:pPr>
      <w:bookmarkStart w:id="490" w:name="_Toc14882"/>
      <w:r>
        <w:rPr>
          <w:rFonts w:hint="eastAsia" w:ascii="宋体" w:hAnsi="宋体" w:cs="宋体"/>
          <w:b/>
          <w:color w:val="auto"/>
          <w:spacing w:val="6"/>
          <w:sz w:val="32"/>
          <w:szCs w:val="32"/>
        </w:rPr>
        <w:t>附件1：残疾人福利性单位声明函</w:t>
      </w:r>
      <w:bookmarkEnd w:id="490"/>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color w:val="auto"/>
          <w:spacing w:val="6"/>
          <w:sz w:val="32"/>
          <w:szCs w:val="32"/>
        </w:rPr>
      </w:pPr>
      <w:bookmarkStart w:id="491" w:name="OLE_LINK14"/>
      <w:bookmarkStart w:id="492" w:name="OLE_LINK13"/>
      <w:r>
        <w:rPr>
          <w:rFonts w:hint="eastAsia" w:ascii="宋体" w:hAnsi="宋体" w:cs="宋体"/>
          <w:b/>
          <w:color w:val="auto"/>
          <w:spacing w:val="6"/>
          <w:sz w:val="32"/>
          <w:szCs w:val="32"/>
        </w:rPr>
        <w:t>残疾人福利性单位声明函</w:t>
      </w:r>
    </w:p>
    <w:bookmarkEnd w:id="491"/>
    <w:bookmarkEnd w:id="492"/>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浙江省公安厅“浙江交警”新媒体运维项目（第三次重新招标）</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pPr>
        <w:spacing w:line="360" w:lineRule="auto"/>
        <w:jc w:val="left"/>
        <w:outlineLvl w:val="2"/>
        <w:rPr>
          <w:rFonts w:ascii="宋体" w:hAnsi="宋体" w:cs="宋体"/>
          <w:b/>
          <w:color w:val="auto"/>
          <w:spacing w:val="6"/>
          <w:sz w:val="32"/>
          <w:szCs w:val="32"/>
        </w:rPr>
      </w:pPr>
      <w:bookmarkStart w:id="493" w:name="_Toc30122"/>
      <w:r>
        <w:rPr>
          <w:rFonts w:hint="eastAsia" w:ascii="宋体" w:hAnsi="宋体" w:cs="宋体"/>
          <w:b/>
          <w:color w:val="auto"/>
          <w:spacing w:val="6"/>
          <w:sz w:val="32"/>
          <w:szCs w:val="32"/>
        </w:rPr>
        <w:t>附件2：质疑函范本及制作说明</w:t>
      </w:r>
      <w:bookmarkEnd w:id="493"/>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outlineLvl w:val="2"/>
        <w:rPr>
          <w:rFonts w:ascii="宋体" w:hAnsi="宋体" w:cs="宋体"/>
          <w:b/>
          <w:color w:val="auto"/>
          <w:spacing w:val="6"/>
          <w:sz w:val="32"/>
          <w:szCs w:val="32"/>
        </w:rPr>
      </w:pPr>
      <w:bookmarkStart w:id="494" w:name="_Toc27223"/>
      <w:r>
        <w:rPr>
          <w:rFonts w:hint="eastAsia" w:ascii="宋体" w:hAnsi="宋体" w:cs="宋体"/>
          <w:b/>
          <w:color w:val="auto"/>
          <w:spacing w:val="6"/>
          <w:sz w:val="32"/>
          <w:szCs w:val="32"/>
        </w:rPr>
        <w:t>附件3：投诉书范本及制作说明</w:t>
      </w:r>
      <w:bookmarkEnd w:id="494"/>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pPr>
        <w:autoSpaceDE w:val="0"/>
        <w:autoSpaceDN w:val="0"/>
        <w:jc w:val="left"/>
        <w:outlineLvl w:val="2"/>
        <w:rPr>
          <w:rFonts w:ascii="宋体" w:hAnsi="宋体" w:cs="宋体"/>
          <w:b/>
          <w:bCs/>
          <w:color w:val="auto"/>
          <w:sz w:val="32"/>
          <w:szCs w:val="32"/>
        </w:rPr>
      </w:pPr>
      <w:bookmarkStart w:id="495" w:name="_Toc7858"/>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bookmarkEnd w:id="495"/>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浙江省公安厅</w:t>
      </w:r>
      <w:r>
        <w:rPr>
          <w:rFonts w:hint="eastAsia" w:ascii="宋体" w:hAnsi="宋体" w:cs="宋体"/>
          <w:color w:val="auto"/>
          <w:sz w:val="24"/>
          <w:u w:val="single"/>
        </w:rPr>
        <w:t>、</w:t>
      </w:r>
      <w:r>
        <w:rPr>
          <w:rFonts w:hint="eastAsia" w:ascii="宋体" w:hAnsi="宋体" w:cs="宋体"/>
          <w:color w:val="auto"/>
          <w:sz w:val="24"/>
          <w:u w:val="single"/>
          <w:lang w:eastAsia="zh-CN"/>
        </w:rPr>
        <w:t>华诚工程咨询集团有限公司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浙江省公安厅“浙江交警”新媒体运维项目（第三次重新招标）</w:t>
      </w:r>
      <w:r>
        <w:rPr>
          <w:rFonts w:hint="eastAsia" w:ascii="宋体" w:hAnsi="宋体" w:cs="宋体"/>
          <w:color w:val="auto"/>
          <w:sz w:val="24"/>
        </w:rPr>
        <w:t>【招标编号：</w:t>
      </w:r>
      <w:r>
        <w:rPr>
          <w:rFonts w:hint="eastAsia" w:ascii="宋体" w:hAnsi="宋体" w:cs="宋体"/>
          <w:color w:val="auto"/>
          <w:sz w:val="24"/>
          <w:lang w:eastAsia="zh-CN"/>
        </w:rPr>
        <w:t>HCZX-ZC-[2024]0588-2</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rPr>
          <w:rFonts w:hint="eastAsia" w:ascii="宋体" w:hAnsi="宋体" w:cs="宋体"/>
          <w:b/>
          <w:color w:val="auto"/>
          <w:spacing w:val="6"/>
          <w:sz w:val="32"/>
          <w:szCs w:val="32"/>
        </w:rPr>
      </w:pPr>
      <w:bookmarkStart w:id="496" w:name="_Toc29162"/>
      <w:r>
        <w:rPr>
          <w:rFonts w:hint="eastAsia" w:ascii="宋体" w:hAnsi="宋体" w:cs="宋体"/>
          <w:b/>
          <w:color w:val="auto"/>
          <w:spacing w:val="6"/>
          <w:sz w:val="32"/>
          <w:szCs w:val="32"/>
        </w:rPr>
        <w:br w:type="page"/>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2"/>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bookmarkEnd w:id="496"/>
    </w:p>
    <w:p>
      <w:pPr>
        <w:keepNext w:val="0"/>
        <w:keepLines w:val="0"/>
        <w:pageBreakBefore w:val="0"/>
        <w:widowControl/>
        <w:kinsoku/>
        <w:wordWrap/>
        <w:overflowPunct/>
        <w:topLinePunct w:val="0"/>
        <w:bidi w:val="0"/>
        <w:adjustRightInd w:val="0"/>
        <w:spacing w:line="360" w:lineRule="auto"/>
        <w:ind w:firstLine="482" w:firstLineChars="200"/>
        <w:jc w:val="left"/>
        <w:textAlignment w:val="auto"/>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浙江省公安厅“浙江交警”新媒体运维项目（第三次重新招标）</w:t>
      </w:r>
      <w:r>
        <w:rPr>
          <w:rFonts w:hint="eastAsia" w:ascii="宋体" w:hAnsi="宋体" w:cs="宋体"/>
          <w:color w:val="auto"/>
          <w:sz w:val="24"/>
        </w:rPr>
        <w:t>【招标编号：</w:t>
      </w:r>
      <w:r>
        <w:rPr>
          <w:rFonts w:hint="eastAsia" w:ascii="宋体" w:hAnsi="宋体" w:cs="宋体"/>
          <w:color w:val="auto"/>
          <w:sz w:val="24"/>
          <w:lang w:eastAsia="zh-CN"/>
        </w:rPr>
        <w:t>HCZX-ZC-[2024]0588-2</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97"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97"/>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98"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98"/>
      <w:r>
        <w:rPr>
          <w:rFonts w:hint="eastAsia" w:ascii="宋体" w:hAnsi="宋体" w:cs="宋体"/>
          <w:b/>
          <w:color w:val="auto"/>
          <w:kern w:val="0"/>
          <w:sz w:val="24"/>
          <w:lang w:val="zh-CN"/>
        </w:rPr>
        <w:t>）</w:t>
      </w:r>
    </w:p>
    <w:p>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b/>
          <w:bCs/>
          <w:color w:val="auto"/>
          <w:kern w:val="0"/>
          <w:sz w:val="24"/>
          <w:lang w:val="zh-CN"/>
        </w:rPr>
      </w:pPr>
      <w:r>
        <w:rPr>
          <w:rFonts w:hint="eastAsia" w:ascii="宋体" w:hAnsi="宋体" w:cs="宋体"/>
          <w:color w:val="auto"/>
          <w:sz w:val="24"/>
        </w:rPr>
        <w:t>2、</w:t>
      </w:r>
      <w:bookmarkStart w:id="49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99"/>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keepNext w:val="0"/>
        <w:keepLines w:val="0"/>
        <w:pageBreakBefore w:val="0"/>
        <w:kinsoku/>
        <w:wordWrap/>
        <w:overflowPunct/>
        <w:topLinePunct w:val="0"/>
        <w:bidi w:val="0"/>
        <w:adjustRightInd w:val="0"/>
        <w:snapToGrid w:val="0"/>
        <w:spacing w:line="360" w:lineRule="auto"/>
        <w:ind w:firstLine="5040" w:firstLineChars="2100"/>
        <w:textAlignment w:val="auto"/>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keepNext w:val="0"/>
        <w:keepLines w:val="0"/>
        <w:pageBreakBefore w:val="0"/>
        <w:kinsoku/>
        <w:wordWrap/>
        <w:overflowPunct/>
        <w:topLinePunct w:val="0"/>
        <w:bidi w:val="0"/>
        <w:adjustRightInd w:val="0"/>
        <w:snapToGrid w:val="0"/>
        <w:spacing w:line="360" w:lineRule="auto"/>
        <w:ind w:firstLine="5040" w:firstLineChars="2100"/>
        <w:textAlignment w:val="auto"/>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keepNext w:val="0"/>
        <w:keepLines w:val="0"/>
        <w:pageBreakBefore w:val="0"/>
        <w:kinsoku/>
        <w:wordWrap/>
        <w:overflowPunct/>
        <w:topLinePunct w:val="0"/>
        <w:bidi w:val="0"/>
        <w:adjustRightInd w:val="0"/>
        <w:snapToGrid w:val="0"/>
        <w:spacing w:line="360" w:lineRule="auto"/>
        <w:ind w:right="960"/>
        <w:jc w:val="center"/>
        <w:textAlignment w:val="auto"/>
        <w:rPr>
          <w:rFonts w:ascii="宋体" w:hAnsi="宋体" w:cs="宋体"/>
          <w:color w:val="auto"/>
          <w:kern w:val="0"/>
          <w:sz w:val="24"/>
          <w:lang w:val="zh-CN"/>
        </w:rPr>
      </w:pPr>
      <w:r>
        <w:rPr>
          <w:rFonts w:hint="eastAsia" w:ascii="宋体" w:hAnsi="宋体" w:cs="宋体"/>
          <w:color w:val="auto"/>
          <w:kern w:val="0"/>
          <w:sz w:val="24"/>
          <w:lang w:val="zh-CN"/>
        </w:rPr>
        <w:t xml:space="preserve">                   ……</w:t>
      </w:r>
    </w:p>
    <w:p>
      <w:pPr>
        <w:keepNext w:val="0"/>
        <w:keepLines w:val="0"/>
        <w:pageBreakBefore w:val="0"/>
        <w:kinsoku/>
        <w:wordWrap/>
        <w:overflowPunct/>
        <w:topLinePunct w:val="0"/>
        <w:bidi w:val="0"/>
        <w:adjustRightInd w:val="0"/>
        <w:snapToGrid w:val="0"/>
        <w:spacing w:line="360" w:lineRule="auto"/>
        <w:jc w:val="right"/>
        <w:textAlignment w:val="auto"/>
        <w:rPr>
          <w:rFonts w:ascii="宋体" w:hAnsi="宋体" w:cs="宋体"/>
          <w:color w:val="auto"/>
          <w:kern w:val="0"/>
          <w:sz w:val="24"/>
          <w:lang w:val="zh-CN"/>
        </w:rPr>
      </w:pPr>
      <w:r>
        <w:rPr>
          <w:rFonts w:hint="eastAsia" w:ascii="宋体" w:hAnsi="宋体" w:cs="宋体"/>
          <w:color w:val="auto"/>
          <w:kern w:val="0"/>
          <w:sz w:val="24"/>
          <w:lang w:val="zh-CN"/>
        </w:rPr>
        <w:t>日期：  年  月   日</w:t>
      </w:r>
    </w:p>
    <w:p>
      <w:pPr>
        <w:keepNext w:val="0"/>
        <w:keepLines w:val="0"/>
        <w:pageBreakBefore w:val="0"/>
        <w:kinsoku/>
        <w:wordWrap/>
        <w:overflowPunct/>
        <w:topLinePunct w:val="0"/>
        <w:bidi w:val="0"/>
        <w:adjustRightInd w:val="0"/>
        <w:spacing w:line="360" w:lineRule="auto"/>
        <w:ind w:right="420"/>
        <w:textAlignment w:val="auto"/>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outlineLvl w:val="2"/>
        <w:rPr>
          <w:rFonts w:ascii="宋体" w:hAnsi="宋体" w:cs="宋体"/>
          <w:b/>
          <w:color w:val="auto"/>
          <w:kern w:val="0"/>
          <w:sz w:val="32"/>
          <w:szCs w:val="32"/>
        </w:rPr>
      </w:pPr>
      <w:bookmarkStart w:id="500" w:name="_Toc28957"/>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bookmarkEnd w:id="500"/>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浙江省公安厅“浙江交警”新媒体运维项目（第三次重新招标）</w:t>
      </w:r>
      <w:r>
        <w:rPr>
          <w:rFonts w:hint="eastAsia" w:ascii="宋体" w:hAnsi="宋体" w:cs="宋体"/>
          <w:color w:val="auto"/>
          <w:sz w:val="24"/>
        </w:rPr>
        <w:t>【招标编号：</w:t>
      </w:r>
      <w:r>
        <w:rPr>
          <w:rFonts w:hint="eastAsia" w:ascii="宋体" w:hAnsi="宋体" w:cs="宋体"/>
          <w:color w:val="auto"/>
          <w:sz w:val="24"/>
          <w:lang w:eastAsia="zh-CN"/>
        </w:rPr>
        <w:t>HCZX-ZC-[2024]0588-2</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keepNext w:val="0"/>
        <w:keepLines w:val="0"/>
        <w:pageBreakBefore w:val="0"/>
        <w:widowControl w:val="0"/>
        <w:kinsoku/>
        <w:wordWrap/>
        <w:overflowPunct/>
        <w:topLinePunct w:val="0"/>
        <w:autoSpaceDE/>
        <w:autoSpaceDN/>
        <w:bidi w:val="0"/>
        <w:adjustRightInd w:val="0"/>
        <w:snapToGrid/>
        <w:ind w:firstLine="482" w:firstLineChars="200"/>
        <w:textAlignment w:val="auto"/>
        <w:rPr>
          <w:b/>
          <w:bCs/>
          <w:color w:val="auto"/>
          <w:sz w:val="24"/>
          <w:szCs w:val="32"/>
        </w:rPr>
      </w:pPr>
      <w:r>
        <w:rPr>
          <w:rFonts w:hint="eastAsia"/>
          <w:b/>
          <w:bCs/>
          <w:color w:val="auto"/>
          <w:sz w:val="24"/>
          <w:szCs w:val="32"/>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2"/>
        <w:rPr>
          <w:rFonts w:ascii="宋体" w:hAnsi="宋体" w:cs="宋体"/>
          <w:b/>
          <w:color w:val="auto"/>
          <w:sz w:val="36"/>
          <w:szCs w:val="20"/>
        </w:rPr>
      </w:pPr>
      <w:bookmarkStart w:id="501" w:name="_Toc27615"/>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bookmarkEnd w:id="501"/>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浙江省公安厅</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浙江省公安厅“浙江交警”新媒体运维项目（第三次重新招标）</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宋体" w:hAnsi="宋体" w:cs="宋体"/>
          <w:color w:val="auto"/>
        </w:rPr>
      </w:pPr>
    </w:p>
    <w:p>
      <w:pPr>
        <w:spacing w:line="360" w:lineRule="auto"/>
        <w:rPr>
          <w:rFonts w:ascii="宋体" w:hAnsi="宋体" w:cs="宋体"/>
          <w:bCs/>
          <w:color w:val="auto"/>
          <w:sz w:val="24"/>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pPr>
    </w:p>
    <w:p>
      <w:pPr>
        <w:pStyle w:val="24"/>
        <w:spacing w:line="240" w:lineRule="auto"/>
        <w:jc w:val="center"/>
        <w:rPr>
          <w:rFonts w:hint="eastAsia" w:eastAsia="宋体"/>
          <w:lang w:eastAsia="zh-CN"/>
        </w:rPr>
        <w:sectPr>
          <w:headerReference r:id="rId21" w:type="first"/>
          <w:pgSz w:w="16838" w:h="11906" w:orient="landscape"/>
          <w:pgMar w:top="1418" w:right="1276" w:bottom="1418" w:left="1247" w:header="851" w:footer="992" w:gutter="0"/>
          <w:cols w:space="720" w:num="1"/>
          <w:titlePg/>
          <w:docGrid w:linePitch="312" w:charSpace="0"/>
        </w:sectPr>
      </w:pPr>
      <w:r>
        <w:rPr>
          <w:rFonts w:hint="eastAsia" w:eastAsia="宋体"/>
          <w:lang w:eastAsia="zh-CN"/>
        </w:rPr>
        <w:drawing>
          <wp:inline distT="0" distB="0" distL="114300" distR="114300">
            <wp:extent cx="8812530" cy="5356860"/>
            <wp:effectExtent l="0" t="0" r="1270" b="2540"/>
            <wp:docPr id="1" name="图片 1" descr="1148a36277e3312fd617935f8070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48a36277e3312fd617935f8070a01"/>
                    <pic:cNvPicPr>
                      <a:picLocks noChangeAspect="1"/>
                    </pic:cNvPicPr>
                  </pic:nvPicPr>
                  <pic:blipFill>
                    <a:blip r:embed="rId24"/>
                    <a:stretch>
                      <a:fillRect/>
                    </a:stretch>
                  </pic:blipFill>
                  <pic:spPr>
                    <a:xfrm>
                      <a:off x="0" y="0"/>
                      <a:ext cx="8812530" cy="5356860"/>
                    </a:xfrm>
                    <a:prstGeom prst="rect">
                      <a:avLst/>
                    </a:prstGeom>
                  </pic:spPr>
                </pic:pic>
              </a:graphicData>
            </a:graphic>
          </wp:inline>
        </w:drawing>
      </w:r>
    </w:p>
    <w:p>
      <w:pPr>
        <w:autoSpaceDE w:val="0"/>
        <w:autoSpaceDN w:val="0"/>
        <w:jc w:val="center"/>
        <w:outlineLvl w:val="2"/>
        <w:rPr>
          <w:rFonts w:hint="eastAsia" w:ascii="宋体" w:hAnsi="宋体" w:cs="宋体"/>
          <w:b/>
          <w:sz w:val="32"/>
          <w:szCs w:val="32"/>
        </w:rPr>
      </w:pPr>
      <w:r>
        <w:rPr>
          <w:rFonts w:hint="eastAsia" w:ascii="宋体" w:hAnsi="宋体" w:cs="宋体"/>
          <w:b/>
          <w:sz w:val="32"/>
          <w:szCs w:val="32"/>
          <w:lang w:val="en-US" w:eastAsia="zh-CN"/>
        </w:rPr>
        <w:t xml:space="preserve">附件8 </w:t>
      </w:r>
      <w:r>
        <w:rPr>
          <w:rFonts w:hint="eastAsia" w:ascii="宋体" w:hAnsi="宋体" w:cs="宋体"/>
          <w:b/>
          <w:sz w:val="32"/>
          <w:szCs w:val="32"/>
        </w:rPr>
        <w:t>政府采购活动现场确认声明书</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inorEastAsia" w:hAnsiTheme="minorEastAsia" w:eastAsiaTheme="minorEastAsia" w:cstheme="minorEastAsia"/>
          <w:sz w:val="24"/>
          <w:szCs w:val="24"/>
        </w:rPr>
      </w:pPr>
      <w:r>
        <w:rPr>
          <w:rFonts w:hint="eastAsia" w:ascii="宋体" w:hAnsi="宋体" w:cs="宋体" w:eastAsiaTheme="minorEastAsia"/>
          <w:b/>
          <w:sz w:val="24"/>
          <w:szCs w:val="24"/>
          <w:lang w:val="en-US" w:eastAsia="zh-CN"/>
        </w:rPr>
        <w:t>华诚工程咨询集团有限公司</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本人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（授权代表姓名），经由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（法定代表人姓名）合法授权参加 </w:t>
      </w:r>
      <w:r>
        <w:rPr>
          <w:rFonts w:hint="eastAsia" w:asciiTheme="minorEastAsia" w:hAnsiTheme="minorEastAsia" w:eastAsiaTheme="minorEastAsia" w:cstheme="minorEastAsia"/>
          <w:sz w:val="24"/>
          <w:szCs w:val="24"/>
          <w:u w:val="single"/>
          <w:lang w:val="en-US" w:eastAsia="zh-CN"/>
        </w:rPr>
        <w:t>浙江省公安厅“浙江交警”新媒体运维项目（第三次重新招标）</w:t>
      </w:r>
      <w:r>
        <w:rPr>
          <w:rFonts w:hint="eastAsia" w:asciiTheme="minorEastAsia" w:hAnsiTheme="minorEastAsia" w:eastAsiaTheme="minorEastAsia" w:cstheme="minorEastAsia"/>
          <w:sz w:val="24"/>
          <w:szCs w:val="24"/>
        </w:rPr>
        <w:t xml:space="preserve"> （编号： </w:t>
      </w:r>
      <w:r>
        <w:rPr>
          <w:rFonts w:hint="eastAsia" w:asciiTheme="minorEastAsia" w:hAnsiTheme="minorEastAsia" w:eastAsiaTheme="minorEastAsia" w:cstheme="minorEastAsia"/>
          <w:sz w:val="24"/>
          <w:szCs w:val="24"/>
          <w:u w:val="single"/>
          <w:lang w:eastAsia="zh-CN"/>
        </w:rPr>
        <w:t>HCZX-ZC-[2024]0588-2</w:t>
      </w:r>
      <w:r>
        <w:rPr>
          <w:rFonts w:hint="eastAsia" w:asciiTheme="minorEastAsia" w:hAnsiTheme="minorEastAsia" w:eastAsiaTheme="minorEastAsia" w:cstheme="minorEastAsia"/>
          <w:sz w:val="24"/>
          <w:szCs w:val="24"/>
        </w:rPr>
        <w:t>） 政府采购活动．经与本单位法人代表（负责人）联系确认，现就有关公平竞争事项郑重声明如下:</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本单位与采购人之间口不存在利害关系口存在下列利害关系:</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A．投资关系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B．行政隶属关系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C．业务指导关系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 口与其他所有供应商之间均不存在利害关系口与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（供应商名称）之间存在下列利害关系: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A．法定代表人或负责人或实际控制人是同一人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B．法定代表人或负责人或实际控制人是夫妻关系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C.法定代表人或负责人或实际控制人是直系血亲关系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E．法定代表人或负责人或实际控制人存在近姻亲关系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H.存在分级代理或代销关系、同一生产制造商关系、管理关系、重要业务（占主营业务收入 50 ％ 以上）或重要财务往来关系（如融资）等其他实质性控制关系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三、现己清楚知道并严格遵守政府采购法律法规和现场纪律。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四、我发现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供应商之间存在或可能存在上述第二条第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项利害关系。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供应商代表签名：</w:t>
      </w:r>
    </w:p>
    <w:p>
      <w:pPr>
        <w:bidi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特别说明：《政府采购活动现场确认声明书》</w:t>
      </w:r>
      <w:r>
        <w:rPr>
          <w:rFonts w:hint="eastAsia" w:asciiTheme="minorEastAsia" w:hAnsiTheme="minorEastAsia" w:eastAsiaTheme="minorEastAsia" w:cstheme="minorEastAsia"/>
          <w:b/>
          <w:bCs/>
          <w:sz w:val="24"/>
          <w:szCs w:val="24"/>
          <w:lang w:val="en-US" w:eastAsia="zh-CN"/>
        </w:rPr>
        <w:t>应</w:t>
      </w:r>
      <w:r>
        <w:rPr>
          <w:rFonts w:hint="eastAsia" w:asciiTheme="minorEastAsia" w:hAnsiTheme="minorEastAsia" w:eastAsiaTheme="minorEastAsia" w:cstheme="minorEastAsia"/>
          <w:b/>
          <w:bCs/>
          <w:sz w:val="24"/>
          <w:szCs w:val="24"/>
        </w:rPr>
        <w:t>在</w:t>
      </w:r>
      <w:r>
        <w:rPr>
          <w:rFonts w:hint="eastAsia" w:asciiTheme="minorEastAsia" w:hAnsiTheme="minorEastAsia" w:eastAsiaTheme="minorEastAsia" w:cstheme="minorEastAsia"/>
          <w:b/>
          <w:bCs/>
          <w:sz w:val="24"/>
          <w:szCs w:val="24"/>
          <w:lang w:val="en-US" w:eastAsia="zh-CN"/>
        </w:rPr>
        <w:t>开标</w:t>
      </w:r>
      <w:r>
        <w:rPr>
          <w:rFonts w:hint="eastAsia" w:asciiTheme="minorEastAsia" w:hAnsiTheme="minorEastAsia" w:eastAsiaTheme="minorEastAsia" w:cstheme="minorEastAsia"/>
          <w:b/>
          <w:bCs/>
          <w:sz w:val="24"/>
          <w:szCs w:val="24"/>
        </w:rPr>
        <w:t>后30分钟内在线提交或发送至</w:t>
      </w:r>
      <w:r>
        <w:rPr>
          <w:rFonts w:hint="eastAsia" w:asciiTheme="minorEastAsia" w:hAnsiTheme="minorEastAsia" w:eastAsiaTheme="minorEastAsia" w:cstheme="minorEastAsia"/>
          <w:b/>
          <w:bCs/>
          <w:sz w:val="24"/>
          <w:szCs w:val="24"/>
          <w:lang w:val="en-US" w:eastAsia="zh-CN"/>
        </w:rPr>
        <w:t>1743342018</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qq</w:t>
      </w:r>
      <w:r>
        <w:rPr>
          <w:rFonts w:hint="eastAsia" w:asciiTheme="minorEastAsia" w:hAnsiTheme="minorEastAsia" w:eastAsiaTheme="minorEastAsia" w:cstheme="minorEastAsia"/>
          <w:b/>
          <w:bCs/>
          <w:sz w:val="24"/>
          <w:szCs w:val="24"/>
        </w:rPr>
        <w:t>.com</w:t>
      </w:r>
    </w:p>
    <w:sectPr>
      <w:headerReference r:id="rId22" w:type="firs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2" w:name="_Toc91899912"/>
    <w:bookmarkStart w:id="503" w:name="_Toc131845147"/>
    <w:bookmarkStart w:id="504" w:name="_Toc36110187"/>
    <w:bookmarkStart w:id="505" w:name="_Toc164085800"/>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rPr>
        <w:rFonts w:hint="eastAsia"/>
        <w:lang w:eastAsia="zh-CN"/>
      </w:rPr>
      <w:t>浙江省公安厅“浙江交警”新媒体运维项目（第三次重新招标）</w:t>
    </w:r>
    <w:r>
      <w:rPr>
        <w:lang w:val="zh-CN"/>
      </w:rPr>
      <w:t></w:t>
    </w:r>
    <w:r>
      <w:rPr>
        <w:rFonts w:hint="eastAsia"/>
        <w:lang w:val="en-US" w:eastAsia="zh-CN"/>
      </w:rPr>
      <w:t xml:space="preserve">                     </w:t>
    </w:r>
    <w:r>
      <w:tab/>
    </w:r>
    <w:r>
      <w:rPr>
        <w:lang w:val="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rPr>
        <w:rFonts w:hint="eastAsia"/>
        <w:lang w:eastAsia="zh-CN"/>
      </w:rPr>
      <w:t>浙江省公安厅“浙江交警”新媒体运维项目（第三次重新招标）</w:t>
    </w:r>
    <w:r>
      <w:rPr>
        <w:lang w:val="zh-CN"/>
      </w:rPr>
      <w:t></w:t>
    </w:r>
    <w:r>
      <w:rPr>
        <w:rFonts w:hint="eastAsia"/>
        <w:lang w:val="en-US" w:eastAsia="zh-CN"/>
      </w:rPr>
      <w:t xml:space="preserve">                                        </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rPr>
        <w:rFonts w:hint="eastAsia"/>
        <w:lang w:eastAsia="zh-CN"/>
      </w:rPr>
      <w:t>浙江省公安厅“浙江交警”新媒体运维项目（第三次重新招标）</w:t>
    </w:r>
    <w:r>
      <w:rPr>
        <w:lang w:val="zh-CN"/>
      </w:rPr>
      <w:t></w:t>
    </w:r>
    <w:r>
      <w:rPr>
        <w:rFonts w:hint="eastAsia"/>
        <w:lang w:val="en-US" w:eastAsia="zh-CN"/>
      </w:rPr>
      <w:t xml:space="preserve">                                                                                         </w:t>
    </w:r>
    <w:r>
      <w:tab/>
    </w:r>
    <w:r>
      <w:rPr>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rPr>
        <w:rFonts w:hint="eastAsia"/>
        <w:lang w:eastAsia="zh-CN"/>
      </w:rPr>
      <w:t>浙江省公安厅“浙江交警”新媒体运维项目（第三次重新招标）</w:t>
    </w:r>
    <w:r>
      <w:rPr>
        <w:lang w:val="zh-CN"/>
      </w:rPr>
      <w:t></w:t>
    </w:r>
    <w:r>
      <w:rPr>
        <w:rFonts w:hint="eastAsia"/>
        <w:lang w:val="en-US" w:eastAsia="zh-CN"/>
      </w:rPr>
      <w:t xml:space="preserve">                                                                                            </w:t>
    </w:r>
    <w:r>
      <w:tab/>
    </w:r>
    <w:r>
      <w:rPr>
        <w:lang w:val="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rFonts w:hint="eastAsia"/>
        <w:lang w:eastAsia="zh-CN"/>
      </w:rPr>
      <w:t>浙江省公安厅“浙江交警”新媒体运维项目（第三次重新招标）</w:t>
    </w:r>
    <w:r>
      <w:rPr>
        <w:lang w:val="zh-CN"/>
      </w:rPr>
      <w:t></w:t>
    </w:r>
    <w:r>
      <w:rPr>
        <w:rFonts w:hint="eastAsia"/>
        <w:lang w:val="en-US" w:eastAsia="zh-CN"/>
      </w:rPr>
      <w:t xml:space="preserve">                                     </w:t>
    </w:r>
    <w:r>
      <w:tab/>
    </w:r>
    <w:r>
      <w:rPr>
        <w:lang w:val="zh-CN"/>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rPr>
        <w:rFonts w:hint="eastAsia"/>
        <w:lang w:eastAsia="zh-CN"/>
      </w:rPr>
      <w:t>浙江省公安厅“浙江交警”新媒体运维项目（第三次重新招标）</w:t>
    </w:r>
    <w:r>
      <w:rPr>
        <w:lang w:val="zh-CN"/>
      </w:rPr>
      <w:t></w:t>
    </w:r>
    <w:r>
      <w:rPr>
        <w:rFonts w:hint="eastAsia"/>
        <w:lang w:val="en-US" w:eastAsia="zh-CN"/>
      </w:rPr>
      <w:t xml:space="preserve">                                   </w:t>
    </w:r>
    <w:r>
      <w:tab/>
    </w:r>
    <w:r>
      <w:rPr>
        <w:lang w:val="zh-CN"/>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rPr>
        <w:rFonts w:hint="eastAsia"/>
        <w:lang w:eastAsia="zh-CN"/>
      </w:rPr>
      <w:t>浙江省公安厅“浙江交警”新媒体运维项目（第三次重新招标）</w:t>
    </w:r>
    <w:r>
      <w:rPr>
        <w:lang w:val="zh-CN"/>
      </w:rPr>
      <w:t></w:t>
    </w:r>
    <w:r>
      <w:rPr>
        <w:rFonts w:hint="eastAsia"/>
        <w:lang w:val="en-US" w:eastAsia="zh-CN"/>
      </w:rPr>
      <w:t xml:space="preserve">                                                                                           </w:t>
    </w:r>
    <w:r>
      <w:tab/>
    </w:r>
    <w:r>
      <w:rPr>
        <w:lang w:val="zh-CN"/>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val="0"/>
        <w:i/>
        <w:sz w:val="18"/>
        <w:u w:val="single"/>
        <w:lang w:val="en-US"/>
      </w:rPr>
    </w:pPr>
    <w:r>
      <w:rPr>
        <w:rFonts w:hint="eastAsia"/>
        <w:lang w:eastAsia="zh-CN"/>
      </w:rPr>
      <w:t>浙江省公安厅“浙江交警”新媒体运维项目（第三次重新招标）</w:t>
    </w:r>
    <w:r>
      <w:rPr>
        <w:lang w:val="zh-CN"/>
      </w:rPr>
      <w:t></w:t>
    </w:r>
    <w:r>
      <w:rPr>
        <w:rFonts w:hint="eastAsia"/>
        <w:lang w:val="en-US" w:eastAsia="zh-CN"/>
      </w:rPr>
      <w:t xml:space="preserve">                      </w:t>
    </w:r>
    <w:r>
      <w:tab/>
    </w:r>
    <w:r>
      <w:rPr>
        <w:lang w:val="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9DE6D"/>
    <w:multiLevelType w:val="singleLevel"/>
    <w:tmpl w:val="B3A9DE6D"/>
    <w:lvl w:ilvl="0" w:tentative="0">
      <w:start w:val="1"/>
      <w:numFmt w:val="decimal"/>
      <w:suff w:val="nothing"/>
      <w:lvlText w:val="（%1）"/>
      <w:lvlJc w:val="left"/>
    </w:lvl>
  </w:abstractNum>
  <w:abstractNum w:abstractNumId="1">
    <w:nsid w:val="38C9C42D"/>
    <w:multiLevelType w:val="singleLevel"/>
    <w:tmpl w:val="38C9C42D"/>
    <w:lvl w:ilvl="0" w:tentative="0">
      <w:start w:val="1"/>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7ED7BCA"/>
    <w:multiLevelType w:val="singleLevel"/>
    <w:tmpl w:val="57ED7BCA"/>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 w:name="KSO_WPS_MARK_KEY" w:val="0f9563c5-7856-4283-88f5-bc7b6d74fd8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0753F"/>
    <w:rsid w:val="01D55165"/>
    <w:rsid w:val="01DF6BF8"/>
    <w:rsid w:val="01EC2C57"/>
    <w:rsid w:val="01FF3BC3"/>
    <w:rsid w:val="025F0711"/>
    <w:rsid w:val="026B2E25"/>
    <w:rsid w:val="02824D4D"/>
    <w:rsid w:val="02DC4B10"/>
    <w:rsid w:val="02DD76CE"/>
    <w:rsid w:val="02E269E3"/>
    <w:rsid w:val="02F36323"/>
    <w:rsid w:val="02F5619C"/>
    <w:rsid w:val="0326446A"/>
    <w:rsid w:val="032D5555"/>
    <w:rsid w:val="03594A75"/>
    <w:rsid w:val="0361265C"/>
    <w:rsid w:val="036634D2"/>
    <w:rsid w:val="03DD35E4"/>
    <w:rsid w:val="04076900"/>
    <w:rsid w:val="041A5A3B"/>
    <w:rsid w:val="042311BA"/>
    <w:rsid w:val="042B157A"/>
    <w:rsid w:val="043969DD"/>
    <w:rsid w:val="048B26BE"/>
    <w:rsid w:val="048F763B"/>
    <w:rsid w:val="049F330E"/>
    <w:rsid w:val="04AA775C"/>
    <w:rsid w:val="04AF1889"/>
    <w:rsid w:val="04F66F48"/>
    <w:rsid w:val="051554AC"/>
    <w:rsid w:val="051E778C"/>
    <w:rsid w:val="05251E14"/>
    <w:rsid w:val="058C7E64"/>
    <w:rsid w:val="0591506F"/>
    <w:rsid w:val="05A16594"/>
    <w:rsid w:val="05A7762D"/>
    <w:rsid w:val="060E5941"/>
    <w:rsid w:val="06110FAF"/>
    <w:rsid w:val="06342AEE"/>
    <w:rsid w:val="063D0766"/>
    <w:rsid w:val="06493CA7"/>
    <w:rsid w:val="065A6178"/>
    <w:rsid w:val="066D4682"/>
    <w:rsid w:val="066F1CF3"/>
    <w:rsid w:val="06862B05"/>
    <w:rsid w:val="068B1EC9"/>
    <w:rsid w:val="06930BB8"/>
    <w:rsid w:val="07245D42"/>
    <w:rsid w:val="07264C62"/>
    <w:rsid w:val="07320597"/>
    <w:rsid w:val="074A3719"/>
    <w:rsid w:val="076B1CFB"/>
    <w:rsid w:val="0779354C"/>
    <w:rsid w:val="07B13BB2"/>
    <w:rsid w:val="08061376"/>
    <w:rsid w:val="08452D77"/>
    <w:rsid w:val="086401F8"/>
    <w:rsid w:val="08751CAA"/>
    <w:rsid w:val="087E4C40"/>
    <w:rsid w:val="08A871D0"/>
    <w:rsid w:val="08D66AD6"/>
    <w:rsid w:val="08DA33A3"/>
    <w:rsid w:val="08E80F13"/>
    <w:rsid w:val="090012BA"/>
    <w:rsid w:val="090240F4"/>
    <w:rsid w:val="091066B6"/>
    <w:rsid w:val="092403B3"/>
    <w:rsid w:val="09335624"/>
    <w:rsid w:val="0944690F"/>
    <w:rsid w:val="09535675"/>
    <w:rsid w:val="095F057D"/>
    <w:rsid w:val="09642282"/>
    <w:rsid w:val="09694018"/>
    <w:rsid w:val="09733572"/>
    <w:rsid w:val="09772C16"/>
    <w:rsid w:val="098353B5"/>
    <w:rsid w:val="09A339CE"/>
    <w:rsid w:val="09A92330"/>
    <w:rsid w:val="09B06B87"/>
    <w:rsid w:val="09C13146"/>
    <w:rsid w:val="09E04166"/>
    <w:rsid w:val="0A1C0718"/>
    <w:rsid w:val="0A3333CC"/>
    <w:rsid w:val="0A3E7710"/>
    <w:rsid w:val="0A4E70E3"/>
    <w:rsid w:val="0A5B7E63"/>
    <w:rsid w:val="0AA374A5"/>
    <w:rsid w:val="0AAB7649"/>
    <w:rsid w:val="0ABC5606"/>
    <w:rsid w:val="0B30404E"/>
    <w:rsid w:val="0B4C6C14"/>
    <w:rsid w:val="0B547599"/>
    <w:rsid w:val="0B631A88"/>
    <w:rsid w:val="0B683D45"/>
    <w:rsid w:val="0B723658"/>
    <w:rsid w:val="0B7F3F11"/>
    <w:rsid w:val="0B884417"/>
    <w:rsid w:val="0BE1258C"/>
    <w:rsid w:val="0BEA40E5"/>
    <w:rsid w:val="0BF6188C"/>
    <w:rsid w:val="0BF73C91"/>
    <w:rsid w:val="0BFF5852"/>
    <w:rsid w:val="0C170175"/>
    <w:rsid w:val="0C571A41"/>
    <w:rsid w:val="0C5C1171"/>
    <w:rsid w:val="0C5E1CBC"/>
    <w:rsid w:val="0C615B50"/>
    <w:rsid w:val="0C654F6B"/>
    <w:rsid w:val="0C8445DA"/>
    <w:rsid w:val="0C87121B"/>
    <w:rsid w:val="0C9D7DC6"/>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B3568"/>
    <w:rsid w:val="0EF94D4B"/>
    <w:rsid w:val="0F4958DC"/>
    <w:rsid w:val="0F515DF7"/>
    <w:rsid w:val="0F596BA8"/>
    <w:rsid w:val="0F6248D2"/>
    <w:rsid w:val="0F693536"/>
    <w:rsid w:val="0F7B0511"/>
    <w:rsid w:val="0F7B76D9"/>
    <w:rsid w:val="0F816ACD"/>
    <w:rsid w:val="0F9832DB"/>
    <w:rsid w:val="0FBF3FD2"/>
    <w:rsid w:val="0FBF7FF3"/>
    <w:rsid w:val="10593038"/>
    <w:rsid w:val="10646583"/>
    <w:rsid w:val="107D4B15"/>
    <w:rsid w:val="108A3C80"/>
    <w:rsid w:val="108B0D18"/>
    <w:rsid w:val="10C26171"/>
    <w:rsid w:val="10F33360"/>
    <w:rsid w:val="10FC16EA"/>
    <w:rsid w:val="110F1D40"/>
    <w:rsid w:val="111D2986"/>
    <w:rsid w:val="11266F33"/>
    <w:rsid w:val="116A12DF"/>
    <w:rsid w:val="118963A1"/>
    <w:rsid w:val="11B57E6D"/>
    <w:rsid w:val="11C14BAA"/>
    <w:rsid w:val="11C6522A"/>
    <w:rsid w:val="11E104CC"/>
    <w:rsid w:val="11E20309"/>
    <w:rsid w:val="12255233"/>
    <w:rsid w:val="12374CB3"/>
    <w:rsid w:val="12411FD6"/>
    <w:rsid w:val="12530213"/>
    <w:rsid w:val="127723A9"/>
    <w:rsid w:val="127B3CF8"/>
    <w:rsid w:val="12862074"/>
    <w:rsid w:val="12883966"/>
    <w:rsid w:val="129E45B4"/>
    <w:rsid w:val="12C16BBD"/>
    <w:rsid w:val="12D81596"/>
    <w:rsid w:val="13072A44"/>
    <w:rsid w:val="13286CF2"/>
    <w:rsid w:val="135F4BE2"/>
    <w:rsid w:val="139B1A0A"/>
    <w:rsid w:val="139D25C7"/>
    <w:rsid w:val="13BF3CE4"/>
    <w:rsid w:val="141008D8"/>
    <w:rsid w:val="14125FE6"/>
    <w:rsid w:val="146D271E"/>
    <w:rsid w:val="14982588"/>
    <w:rsid w:val="149A5AD9"/>
    <w:rsid w:val="14A7619D"/>
    <w:rsid w:val="14C163B8"/>
    <w:rsid w:val="14F30EF1"/>
    <w:rsid w:val="150536C3"/>
    <w:rsid w:val="150C1963"/>
    <w:rsid w:val="151447A0"/>
    <w:rsid w:val="154A6454"/>
    <w:rsid w:val="15762120"/>
    <w:rsid w:val="15BB209F"/>
    <w:rsid w:val="15D30715"/>
    <w:rsid w:val="164E77A5"/>
    <w:rsid w:val="16A8729C"/>
    <w:rsid w:val="16B33777"/>
    <w:rsid w:val="16BC70A7"/>
    <w:rsid w:val="16C6339E"/>
    <w:rsid w:val="172F2D79"/>
    <w:rsid w:val="17557BEF"/>
    <w:rsid w:val="17A95D26"/>
    <w:rsid w:val="17D349C1"/>
    <w:rsid w:val="1830729E"/>
    <w:rsid w:val="1870062C"/>
    <w:rsid w:val="18817102"/>
    <w:rsid w:val="18830A15"/>
    <w:rsid w:val="18852B28"/>
    <w:rsid w:val="188B5321"/>
    <w:rsid w:val="194C3D9C"/>
    <w:rsid w:val="19932372"/>
    <w:rsid w:val="19941EAC"/>
    <w:rsid w:val="19A20DD5"/>
    <w:rsid w:val="19AE03F1"/>
    <w:rsid w:val="19C610FF"/>
    <w:rsid w:val="19DD25E4"/>
    <w:rsid w:val="1A071A03"/>
    <w:rsid w:val="1A1F16AE"/>
    <w:rsid w:val="1A3B5C77"/>
    <w:rsid w:val="1A6E148E"/>
    <w:rsid w:val="1A984BAD"/>
    <w:rsid w:val="1AB8220E"/>
    <w:rsid w:val="1AE4166C"/>
    <w:rsid w:val="1AF06CFB"/>
    <w:rsid w:val="1AF11B8D"/>
    <w:rsid w:val="1AFF658A"/>
    <w:rsid w:val="1B11359C"/>
    <w:rsid w:val="1B2A271F"/>
    <w:rsid w:val="1B530544"/>
    <w:rsid w:val="1B713184"/>
    <w:rsid w:val="1BA209CF"/>
    <w:rsid w:val="1BB4777D"/>
    <w:rsid w:val="1BBB4BA7"/>
    <w:rsid w:val="1BD75AB8"/>
    <w:rsid w:val="1C00146E"/>
    <w:rsid w:val="1C0459C2"/>
    <w:rsid w:val="1C1B3B4A"/>
    <w:rsid w:val="1C214EBA"/>
    <w:rsid w:val="1C3E6316"/>
    <w:rsid w:val="1C88086E"/>
    <w:rsid w:val="1CC23D13"/>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D0594"/>
    <w:rsid w:val="1EA703CC"/>
    <w:rsid w:val="1EB12291"/>
    <w:rsid w:val="1EB7330C"/>
    <w:rsid w:val="1F0A0FF3"/>
    <w:rsid w:val="1F38601E"/>
    <w:rsid w:val="1F5771FF"/>
    <w:rsid w:val="1FC0477E"/>
    <w:rsid w:val="1FD52DD5"/>
    <w:rsid w:val="1FE868A9"/>
    <w:rsid w:val="20034907"/>
    <w:rsid w:val="20173E4B"/>
    <w:rsid w:val="20257E58"/>
    <w:rsid w:val="204E48BC"/>
    <w:rsid w:val="2060114C"/>
    <w:rsid w:val="208921B3"/>
    <w:rsid w:val="20973DEB"/>
    <w:rsid w:val="20B26522"/>
    <w:rsid w:val="20B44310"/>
    <w:rsid w:val="211116EB"/>
    <w:rsid w:val="21274A8D"/>
    <w:rsid w:val="216133FC"/>
    <w:rsid w:val="21AB72E8"/>
    <w:rsid w:val="21D56769"/>
    <w:rsid w:val="21D813E9"/>
    <w:rsid w:val="21E52EF3"/>
    <w:rsid w:val="21F91F85"/>
    <w:rsid w:val="21FB5D7B"/>
    <w:rsid w:val="22015E94"/>
    <w:rsid w:val="22097CEF"/>
    <w:rsid w:val="220B1C3D"/>
    <w:rsid w:val="221D1D20"/>
    <w:rsid w:val="22334A87"/>
    <w:rsid w:val="226D06CE"/>
    <w:rsid w:val="22BE6801"/>
    <w:rsid w:val="233500BF"/>
    <w:rsid w:val="23377FF7"/>
    <w:rsid w:val="236433BE"/>
    <w:rsid w:val="236B425F"/>
    <w:rsid w:val="23836192"/>
    <w:rsid w:val="23901F29"/>
    <w:rsid w:val="239C0061"/>
    <w:rsid w:val="23B908A4"/>
    <w:rsid w:val="23D26F32"/>
    <w:rsid w:val="23D8250C"/>
    <w:rsid w:val="23DD1433"/>
    <w:rsid w:val="23E34C9B"/>
    <w:rsid w:val="23E95BEF"/>
    <w:rsid w:val="23FD0064"/>
    <w:rsid w:val="245375B0"/>
    <w:rsid w:val="24642C0A"/>
    <w:rsid w:val="24B22173"/>
    <w:rsid w:val="24B95AD9"/>
    <w:rsid w:val="24BE24DA"/>
    <w:rsid w:val="24CA5E5B"/>
    <w:rsid w:val="24CF5825"/>
    <w:rsid w:val="24D663E6"/>
    <w:rsid w:val="24D77F2B"/>
    <w:rsid w:val="25056E93"/>
    <w:rsid w:val="253D0B91"/>
    <w:rsid w:val="258B00E2"/>
    <w:rsid w:val="258E3309"/>
    <w:rsid w:val="25A917A6"/>
    <w:rsid w:val="25BE27CC"/>
    <w:rsid w:val="25F74A5C"/>
    <w:rsid w:val="2628662C"/>
    <w:rsid w:val="262D45DE"/>
    <w:rsid w:val="26871DC8"/>
    <w:rsid w:val="26A53EF9"/>
    <w:rsid w:val="26A94201"/>
    <w:rsid w:val="26AC274F"/>
    <w:rsid w:val="27044A29"/>
    <w:rsid w:val="271D34C8"/>
    <w:rsid w:val="276142BF"/>
    <w:rsid w:val="27737030"/>
    <w:rsid w:val="27783712"/>
    <w:rsid w:val="27907362"/>
    <w:rsid w:val="27926F67"/>
    <w:rsid w:val="28333E1D"/>
    <w:rsid w:val="28454BD6"/>
    <w:rsid w:val="28455253"/>
    <w:rsid w:val="28551971"/>
    <w:rsid w:val="285B1C53"/>
    <w:rsid w:val="289F7086"/>
    <w:rsid w:val="28C32028"/>
    <w:rsid w:val="28CC490F"/>
    <w:rsid w:val="28DE40AA"/>
    <w:rsid w:val="29345E77"/>
    <w:rsid w:val="294C65AD"/>
    <w:rsid w:val="29806583"/>
    <w:rsid w:val="298B3C4C"/>
    <w:rsid w:val="29A01DAF"/>
    <w:rsid w:val="29F26D24"/>
    <w:rsid w:val="2A15033F"/>
    <w:rsid w:val="2A1662C1"/>
    <w:rsid w:val="2A1C7367"/>
    <w:rsid w:val="2A2815FA"/>
    <w:rsid w:val="2A6D6092"/>
    <w:rsid w:val="2A7D76B4"/>
    <w:rsid w:val="2AA50EFC"/>
    <w:rsid w:val="2AEB28DD"/>
    <w:rsid w:val="2B1054AA"/>
    <w:rsid w:val="2B437463"/>
    <w:rsid w:val="2B4635A9"/>
    <w:rsid w:val="2B5C5333"/>
    <w:rsid w:val="2B7807EE"/>
    <w:rsid w:val="2BA50BF7"/>
    <w:rsid w:val="2BBF00EC"/>
    <w:rsid w:val="2BC37CFD"/>
    <w:rsid w:val="2BD5237F"/>
    <w:rsid w:val="2BE536CE"/>
    <w:rsid w:val="2BE758D9"/>
    <w:rsid w:val="2C09049E"/>
    <w:rsid w:val="2C0A653C"/>
    <w:rsid w:val="2C191F85"/>
    <w:rsid w:val="2CE82D6F"/>
    <w:rsid w:val="2CEF46B1"/>
    <w:rsid w:val="2D343236"/>
    <w:rsid w:val="2DD15014"/>
    <w:rsid w:val="2DF72DE4"/>
    <w:rsid w:val="2E0220AF"/>
    <w:rsid w:val="2E405690"/>
    <w:rsid w:val="2E4B082A"/>
    <w:rsid w:val="2E5D4E86"/>
    <w:rsid w:val="2E5D790B"/>
    <w:rsid w:val="2E917667"/>
    <w:rsid w:val="2E9A3C18"/>
    <w:rsid w:val="2EBB0FEE"/>
    <w:rsid w:val="2EC63002"/>
    <w:rsid w:val="2F0A6B38"/>
    <w:rsid w:val="2F946CCB"/>
    <w:rsid w:val="2FD25781"/>
    <w:rsid w:val="2FDC745C"/>
    <w:rsid w:val="2FFD7934"/>
    <w:rsid w:val="306E55FB"/>
    <w:rsid w:val="30733ACD"/>
    <w:rsid w:val="308C3862"/>
    <w:rsid w:val="309379D8"/>
    <w:rsid w:val="30A270F7"/>
    <w:rsid w:val="30DF1478"/>
    <w:rsid w:val="30EC586F"/>
    <w:rsid w:val="310402C4"/>
    <w:rsid w:val="314550B7"/>
    <w:rsid w:val="314B20D2"/>
    <w:rsid w:val="319C6071"/>
    <w:rsid w:val="31AC537E"/>
    <w:rsid w:val="31AE54EC"/>
    <w:rsid w:val="31E3679B"/>
    <w:rsid w:val="31E5644E"/>
    <w:rsid w:val="31E732FD"/>
    <w:rsid w:val="32517576"/>
    <w:rsid w:val="32BE5C2C"/>
    <w:rsid w:val="32BF1307"/>
    <w:rsid w:val="32CB34CA"/>
    <w:rsid w:val="32FB6478"/>
    <w:rsid w:val="331704BD"/>
    <w:rsid w:val="33263B3F"/>
    <w:rsid w:val="335F3C12"/>
    <w:rsid w:val="336963EB"/>
    <w:rsid w:val="33816EEB"/>
    <w:rsid w:val="33EB55CD"/>
    <w:rsid w:val="33EC4C02"/>
    <w:rsid w:val="340D2360"/>
    <w:rsid w:val="3410665D"/>
    <w:rsid w:val="34211214"/>
    <w:rsid w:val="342E63AB"/>
    <w:rsid w:val="345E0AA5"/>
    <w:rsid w:val="34950E68"/>
    <w:rsid w:val="34986E94"/>
    <w:rsid w:val="34AF62C9"/>
    <w:rsid w:val="34CB4388"/>
    <w:rsid w:val="34FA6E12"/>
    <w:rsid w:val="34FD36E3"/>
    <w:rsid w:val="35284ED7"/>
    <w:rsid w:val="354D7158"/>
    <w:rsid w:val="358D5588"/>
    <w:rsid w:val="363A3B40"/>
    <w:rsid w:val="365302AE"/>
    <w:rsid w:val="36607A0A"/>
    <w:rsid w:val="366E227C"/>
    <w:rsid w:val="366F2E0D"/>
    <w:rsid w:val="367B6A5C"/>
    <w:rsid w:val="36A74ADA"/>
    <w:rsid w:val="36AD60D5"/>
    <w:rsid w:val="36B224F9"/>
    <w:rsid w:val="36EC0CC9"/>
    <w:rsid w:val="373830F8"/>
    <w:rsid w:val="373F410B"/>
    <w:rsid w:val="37EE7094"/>
    <w:rsid w:val="38296C89"/>
    <w:rsid w:val="383002EB"/>
    <w:rsid w:val="383D1A69"/>
    <w:rsid w:val="38586797"/>
    <w:rsid w:val="38BC0149"/>
    <w:rsid w:val="38D87D1C"/>
    <w:rsid w:val="38F117B0"/>
    <w:rsid w:val="39007C46"/>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803D8"/>
    <w:rsid w:val="3CCE23CB"/>
    <w:rsid w:val="3CD17D17"/>
    <w:rsid w:val="3CDE57E3"/>
    <w:rsid w:val="3CEC3958"/>
    <w:rsid w:val="3D35287B"/>
    <w:rsid w:val="3D3C7F39"/>
    <w:rsid w:val="3D440F09"/>
    <w:rsid w:val="3D4504A0"/>
    <w:rsid w:val="3D8734BB"/>
    <w:rsid w:val="3D9646D4"/>
    <w:rsid w:val="3D9A11D4"/>
    <w:rsid w:val="3DA16D89"/>
    <w:rsid w:val="3DA364BE"/>
    <w:rsid w:val="3DE041CB"/>
    <w:rsid w:val="3E0D48F6"/>
    <w:rsid w:val="3E1868B4"/>
    <w:rsid w:val="3E377251"/>
    <w:rsid w:val="3E42664B"/>
    <w:rsid w:val="3E5527E2"/>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13A48"/>
    <w:rsid w:val="3FC47119"/>
    <w:rsid w:val="400B75FC"/>
    <w:rsid w:val="4019356B"/>
    <w:rsid w:val="404B3C49"/>
    <w:rsid w:val="40592157"/>
    <w:rsid w:val="406E1CAE"/>
    <w:rsid w:val="4096190E"/>
    <w:rsid w:val="40A0133A"/>
    <w:rsid w:val="40C31A53"/>
    <w:rsid w:val="40FF545D"/>
    <w:rsid w:val="410067C8"/>
    <w:rsid w:val="41270465"/>
    <w:rsid w:val="41635215"/>
    <w:rsid w:val="41865C99"/>
    <w:rsid w:val="418F0D2A"/>
    <w:rsid w:val="41A90E7A"/>
    <w:rsid w:val="41D01505"/>
    <w:rsid w:val="42474939"/>
    <w:rsid w:val="424C3C57"/>
    <w:rsid w:val="42613FF3"/>
    <w:rsid w:val="42660D96"/>
    <w:rsid w:val="428667D2"/>
    <w:rsid w:val="42975177"/>
    <w:rsid w:val="42CD1CE0"/>
    <w:rsid w:val="42E1381E"/>
    <w:rsid w:val="42ED6459"/>
    <w:rsid w:val="42FE58DD"/>
    <w:rsid w:val="43174B3D"/>
    <w:rsid w:val="432A1A64"/>
    <w:rsid w:val="433A68C2"/>
    <w:rsid w:val="43421586"/>
    <w:rsid w:val="434B790E"/>
    <w:rsid w:val="4360274F"/>
    <w:rsid w:val="43977AB6"/>
    <w:rsid w:val="43A3342B"/>
    <w:rsid w:val="43AE09CA"/>
    <w:rsid w:val="43C77C27"/>
    <w:rsid w:val="43DE09EE"/>
    <w:rsid w:val="44002FAD"/>
    <w:rsid w:val="446C0A5C"/>
    <w:rsid w:val="448C3E19"/>
    <w:rsid w:val="449101DD"/>
    <w:rsid w:val="44DE1391"/>
    <w:rsid w:val="451B225C"/>
    <w:rsid w:val="452410C9"/>
    <w:rsid w:val="45317DFB"/>
    <w:rsid w:val="454D4212"/>
    <w:rsid w:val="45633A36"/>
    <w:rsid w:val="456D3CE4"/>
    <w:rsid w:val="4579042C"/>
    <w:rsid w:val="457F0571"/>
    <w:rsid w:val="45851176"/>
    <w:rsid w:val="45C63B94"/>
    <w:rsid w:val="45D73ADC"/>
    <w:rsid w:val="45FE550D"/>
    <w:rsid w:val="460E7DA5"/>
    <w:rsid w:val="461712AB"/>
    <w:rsid w:val="46422483"/>
    <w:rsid w:val="4659254A"/>
    <w:rsid w:val="465B0637"/>
    <w:rsid w:val="465E3F0D"/>
    <w:rsid w:val="466A16E6"/>
    <w:rsid w:val="467B6B5D"/>
    <w:rsid w:val="46893F2B"/>
    <w:rsid w:val="46C4686E"/>
    <w:rsid w:val="47190850"/>
    <w:rsid w:val="474151BE"/>
    <w:rsid w:val="477B778F"/>
    <w:rsid w:val="478203EC"/>
    <w:rsid w:val="47B025FA"/>
    <w:rsid w:val="4809698F"/>
    <w:rsid w:val="4811697D"/>
    <w:rsid w:val="487A3E25"/>
    <w:rsid w:val="48866527"/>
    <w:rsid w:val="488B5503"/>
    <w:rsid w:val="48937E21"/>
    <w:rsid w:val="489A0361"/>
    <w:rsid w:val="48B94FF3"/>
    <w:rsid w:val="48BE2FC1"/>
    <w:rsid w:val="48E37AAB"/>
    <w:rsid w:val="48FD4B4C"/>
    <w:rsid w:val="490A68E0"/>
    <w:rsid w:val="491055FE"/>
    <w:rsid w:val="495F5B3E"/>
    <w:rsid w:val="496F77D7"/>
    <w:rsid w:val="497654FD"/>
    <w:rsid w:val="49B64211"/>
    <w:rsid w:val="49E56AF9"/>
    <w:rsid w:val="49F11610"/>
    <w:rsid w:val="49F6167F"/>
    <w:rsid w:val="4A064FA0"/>
    <w:rsid w:val="4A16615C"/>
    <w:rsid w:val="4A4424D7"/>
    <w:rsid w:val="4AB82D0F"/>
    <w:rsid w:val="4AEB7664"/>
    <w:rsid w:val="4AFD7C19"/>
    <w:rsid w:val="4B0567D1"/>
    <w:rsid w:val="4B101F6A"/>
    <w:rsid w:val="4B236AAE"/>
    <w:rsid w:val="4B65492A"/>
    <w:rsid w:val="4B707271"/>
    <w:rsid w:val="4B775B45"/>
    <w:rsid w:val="4B9739F7"/>
    <w:rsid w:val="4BEE2503"/>
    <w:rsid w:val="4C1E06B7"/>
    <w:rsid w:val="4C245A30"/>
    <w:rsid w:val="4C895AD5"/>
    <w:rsid w:val="4CB6685F"/>
    <w:rsid w:val="4CC367FE"/>
    <w:rsid w:val="4D077F3C"/>
    <w:rsid w:val="4D123355"/>
    <w:rsid w:val="4D2A3B31"/>
    <w:rsid w:val="4D312C52"/>
    <w:rsid w:val="4D551E18"/>
    <w:rsid w:val="4D905305"/>
    <w:rsid w:val="4D964A72"/>
    <w:rsid w:val="4D9C1254"/>
    <w:rsid w:val="4DA33D00"/>
    <w:rsid w:val="4DC82688"/>
    <w:rsid w:val="4E364716"/>
    <w:rsid w:val="4E793892"/>
    <w:rsid w:val="4E800872"/>
    <w:rsid w:val="4EC569ED"/>
    <w:rsid w:val="4ED50EA1"/>
    <w:rsid w:val="4EEC050C"/>
    <w:rsid w:val="4F104EC3"/>
    <w:rsid w:val="4F47354A"/>
    <w:rsid w:val="4F6D4A83"/>
    <w:rsid w:val="4F770445"/>
    <w:rsid w:val="4F911C54"/>
    <w:rsid w:val="4FE625E0"/>
    <w:rsid w:val="4FF6001B"/>
    <w:rsid w:val="5021480F"/>
    <w:rsid w:val="50962ECB"/>
    <w:rsid w:val="50A42E38"/>
    <w:rsid w:val="50A4577F"/>
    <w:rsid w:val="50B25016"/>
    <w:rsid w:val="50B73D1F"/>
    <w:rsid w:val="50BD5BC9"/>
    <w:rsid w:val="50C11EEE"/>
    <w:rsid w:val="50E97CFC"/>
    <w:rsid w:val="50FA4028"/>
    <w:rsid w:val="510D65B7"/>
    <w:rsid w:val="511157AB"/>
    <w:rsid w:val="5142540C"/>
    <w:rsid w:val="518832C8"/>
    <w:rsid w:val="519D3C50"/>
    <w:rsid w:val="51A0432A"/>
    <w:rsid w:val="51A86090"/>
    <w:rsid w:val="51B7396D"/>
    <w:rsid w:val="51CB750E"/>
    <w:rsid w:val="522E4CC3"/>
    <w:rsid w:val="5244713B"/>
    <w:rsid w:val="52615633"/>
    <w:rsid w:val="526F4DE4"/>
    <w:rsid w:val="5280166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239F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E272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46B6C"/>
    <w:rsid w:val="58405511"/>
    <w:rsid w:val="58917D2F"/>
    <w:rsid w:val="5894085C"/>
    <w:rsid w:val="58AE4F0C"/>
    <w:rsid w:val="58B85899"/>
    <w:rsid w:val="58E363A9"/>
    <w:rsid w:val="58E40225"/>
    <w:rsid w:val="595E1678"/>
    <w:rsid w:val="596D5BD4"/>
    <w:rsid w:val="597E3DD8"/>
    <w:rsid w:val="59F80043"/>
    <w:rsid w:val="5A09252F"/>
    <w:rsid w:val="5A0B2778"/>
    <w:rsid w:val="5A0D4680"/>
    <w:rsid w:val="5A2A7C7B"/>
    <w:rsid w:val="5A3E2560"/>
    <w:rsid w:val="5A5D3B6E"/>
    <w:rsid w:val="5A637A76"/>
    <w:rsid w:val="5A6D33BA"/>
    <w:rsid w:val="5A792B1F"/>
    <w:rsid w:val="5A874767"/>
    <w:rsid w:val="5AA52B38"/>
    <w:rsid w:val="5AA85BE2"/>
    <w:rsid w:val="5AAD6F28"/>
    <w:rsid w:val="5AAE70AA"/>
    <w:rsid w:val="5AD63A24"/>
    <w:rsid w:val="5B2E1A1D"/>
    <w:rsid w:val="5B843A1C"/>
    <w:rsid w:val="5B873E3F"/>
    <w:rsid w:val="5BF914FD"/>
    <w:rsid w:val="5C02690E"/>
    <w:rsid w:val="5C196DA7"/>
    <w:rsid w:val="5C1D4862"/>
    <w:rsid w:val="5C2A048C"/>
    <w:rsid w:val="5C80234E"/>
    <w:rsid w:val="5C8A680C"/>
    <w:rsid w:val="5C9771B3"/>
    <w:rsid w:val="5CF86927"/>
    <w:rsid w:val="5D0C4701"/>
    <w:rsid w:val="5D0D455B"/>
    <w:rsid w:val="5D0F0395"/>
    <w:rsid w:val="5D221076"/>
    <w:rsid w:val="5D397964"/>
    <w:rsid w:val="5D5A391C"/>
    <w:rsid w:val="5D5F10C0"/>
    <w:rsid w:val="5D891B7B"/>
    <w:rsid w:val="5DAD38EE"/>
    <w:rsid w:val="5DE0757A"/>
    <w:rsid w:val="5E006862"/>
    <w:rsid w:val="5E0207B9"/>
    <w:rsid w:val="5E053485"/>
    <w:rsid w:val="5E1834A1"/>
    <w:rsid w:val="5E1E4546"/>
    <w:rsid w:val="5E261785"/>
    <w:rsid w:val="5E4A7017"/>
    <w:rsid w:val="5E4A70E9"/>
    <w:rsid w:val="5E552BBA"/>
    <w:rsid w:val="5E611C10"/>
    <w:rsid w:val="5E7A0F3F"/>
    <w:rsid w:val="5E9D190F"/>
    <w:rsid w:val="5EC92704"/>
    <w:rsid w:val="5EFC7377"/>
    <w:rsid w:val="5F06174D"/>
    <w:rsid w:val="5F3A3602"/>
    <w:rsid w:val="5F45733B"/>
    <w:rsid w:val="5F6277C6"/>
    <w:rsid w:val="5F6D0B1D"/>
    <w:rsid w:val="5F8D0B82"/>
    <w:rsid w:val="5FCC5339"/>
    <w:rsid w:val="5FE34A5B"/>
    <w:rsid w:val="5FFE1E36"/>
    <w:rsid w:val="60232584"/>
    <w:rsid w:val="60367925"/>
    <w:rsid w:val="607330CE"/>
    <w:rsid w:val="60825176"/>
    <w:rsid w:val="609F2AC4"/>
    <w:rsid w:val="60B62CA5"/>
    <w:rsid w:val="60FA2EE8"/>
    <w:rsid w:val="60FC0DF8"/>
    <w:rsid w:val="61054A27"/>
    <w:rsid w:val="610A52BC"/>
    <w:rsid w:val="611D2366"/>
    <w:rsid w:val="61421856"/>
    <w:rsid w:val="615227C4"/>
    <w:rsid w:val="61654E3F"/>
    <w:rsid w:val="616E1341"/>
    <w:rsid w:val="6182292A"/>
    <w:rsid w:val="619F7F92"/>
    <w:rsid w:val="61F94C26"/>
    <w:rsid w:val="62000E56"/>
    <w:rsid w:val="624F3E49"/>
    <w:rsid w:val="62632286"/>
    <w:rsid w:val="62885958"/>
    <w:rsid w:val="62886432"/>
    <w:rsid w:val="62F40B65"/>
    <w:rsid w:val="62FC2CFE"/>
    <w:rsid w:val="63024505"/>
    <w:rsid w:val="632B3D87"/>
    <w:rsid w:val="635600A5"/>
    <w:rsid w:val="635B1DB5"/>
    <w:rsid w:val="63711FED"/>
    <w:rsid w:val="63880DDC"/>
    <w:rsid w:val="638D750D"/>
    <w:rsid w:val="63AC6CC0"/>
    <w:rsid w:val="64055776"/>
    <w:rsid w:val="64240056"/>
    <w:rsid w:val="643E143A"/>
    <w:rsid w:val="64491666"/>
    <w:rsid w:val="645B2050"/>
    <w:rsid w:val="6471039B"/>
    <w:rsid w:val="648B6EEF"/>
    <w:rsid w:val="64C158BF"/>
    <w:rsid w:val="64CE2EAA"/>
    <w:rsid w:val="64E75692"/>
    <w:rsid w:val="653C3090"/>
    <w:rsid w:val="65854376"/>
    <w:rsid w:val="658767BE"/>
    <w:rsid w:val="65892531"/>
    <w:rsid w:val="658B7902"/>
    <w:rsid w:val="65EF7EE7"/>
    <w:rsid w:val="66195831"/>
    <w:rsid w:val="662E75B1"/>
    <w:rsid w:val="66342C2E"/>
    <w:rsid w:val="663E784C"/>
    <w:rsid w:val="666708BD"/>
    <w:rsid w:val="668B6A45"/>
    <w:rsid w:val="67011F07"/>
    <w:rsid w:val="67050051"/>
    <w:rsid w:val="672F3F24"/>
    <w:rsid w:val="673E055F"/>
    <w:rsid w:val="67551CE3"/>
    <w:rsid w:val="67A22552"/>
    <w:rsid w:val="67B22DCC"/>
    <w:rsid w:val="67BE71AA"/>
    <w:rsid w:val="67D90273"/>
    <w:rsid w:val="67DE5875"/>
    <w:rsid w:val="67E55852"/>
    <w:rsid w:val="67EB1AB4"/>
    <w:rsid w:val="67FA1285"/>
    <w:rsid w:val="68551F4F"/>
    <w:rsid w:val="687C10C9"/>
    <w:rsid w:val="68837FD6"/>
    <w:rsid w:val="68840C16"/>
    <w:rsid w:val="68872541"/>
    <w:rsid w:val="68876EFB"/>
    <w:rsid w:val="68884654"/>
    <w:rsid w:val="689F444F"/>
    <w:rsid w:val="68B96DBB"/>
    <w:rsid w:val="68CA2805"/>
    <w:rsid w:val="68E937A3"/>
    <w:rsid w:val="691664E5"/>
    <w:rsid w:val="693E15D3"/>
    <w:rsid w:val="694A61EF"/>
    <w:rsid w:val="69627681"/>
    <w:rsid w:val="6977531D"/>
    <w:rsid w:val="69C15553"/>
    <w:rsid w:val="69CC2BFF"/>
    <w:rsid w:val="69FA22BA"/>
    <w:rsid w:val="69FD55B8"/>
    <w:rsid w:val="6A0B1C62"/>
    <w:rsid w:val="6A2406C8"/>
    <w:rsid w:val="6A773014"/>
    <w:rsid w:val="6AB73D58"/>
    <w:rsid w:val="6ADE0BD1"/>
    <w:rsid w:val="6AE96859"/>
    <w:rsid w:val="6B147746"/>
    <w:rsid w:val="6B24787C"/>
    <w:rsid w:val="6B4D0219"/>
    <w:rsid w:val="6B573233"/>
    <w:rsid w:val="6B5B6274"/>
    <w:rsid w:val="6B6712DB"/>
    <w:rsid w:val="6B935D53"/>
    <w:rsid w:val="6B9B3B42"/>
    <w:rsid w:val="6C092392"/>
    <w:rsid w:val="6C196F71"/>
    <w:rsid w:val="6C1F566D"/>
    <w:rsid w:val="6C226FCB"/>
    <w:rsid w:val="6C31226F"/>
    <w:rsid w:val="6C375151"/>
    <w:rsid w:val="6C552F0B"/>
    <w:rsid w:val="6C8C66C8"/>
    <w:rsid w:val="6C8C67B7"/>
    <w:rsid w:val="6C9D744C"/>
    <w:rsid w:val="6CE03E05"/>
    <w:rsid w:val="6D050F54"/>
    <w:rsid w:val="6D167928"/>
    <w:rsid w:val="6D26299B"/>
    <w:rsid w:val="6D45564C"/>
    <w:rsid w:val="6D4772EC"/>
    <w:rsid w:val="6D633D24"/>
    <w:rsid w:val="6D9078AF"/>
    <w:rsid w:val="6DAA3FEF"/>
    <w:rsid w:val="6DB434B2"/>
    <w:rsid w:val="6DC0172B"/>
    <w:rsid w:val="6DCB690C"/>
    <w:rsid w:val="6DD41A5B"/>
    <w:rsid w:val="6DF43C2E"/>
    <w:rsid w:val="6DF51CA3"/>
    <w:rsid w:val="6E1772FF"/>
    <w:rsid w:val="6E511DCE"/>
    <w:rsid w:val="6E8335BD"/>
    <w:rsid w:val="6E8E12EF"/>
    <w:rsid w:val="6E972936"/>
    <w:rsid w:val="6EA965EB"/>
    <w:rsid w:val="6ED446C5"/>
    <w:rsid w:val="6EE3336E"/>
    <w:rsid w:val="6F2A7D94"/>
    <w:rsid w:val="6F4F27B2"/>
    <w:rsid w:val="6F5B1156"/>
    <w:rsid w:val="6F8331F1"/>
    <w:rsid w:val="6F9B59F7"/>
    <w:rsid w:val="6FAE1A09"/>
    <w:rsid w:val="6FD75BF8"/>
    <w:rsid w:val="6FF11C52"/>
    <w:rsid w:val="70074E3A"/>
    <w:rsid w:val="704B4683"/>
    <w:rsid w:val="70763D6E"/>
    <w:rsid w:val="707723D0"/>
    <w:rsid w:val="70F5661B"/>
    <w:rsid w:val="712F59EC"/>
    <w:rsid w:val="71360107"/>
    <w:rsid w:val="713B688E"/>
    <w:rsid w:val="71476F9F"/>
    <w:rsid w:val="71CC00E9"/>
    <w:rsid w:val="71D43752"/>
    <w:rsid w:val="71E01DE7"/>
    <w:rsid w:val="71F1796A"/>
    <w:rsid w:val="72154626"/>
    <w:rsid w:val="72262B5D"/>
    <w:rsid w:val="72283FF7"/>
    <w:rsid w:val="722E7212"/>
    <w:rsid w:val="723A0474"/>
    <w:rsid w:val="72402885"/>
    <w:rsid w:val="725923E4"/>
    <w:rsid w:val="72864BF7"/>
    <w:rsid w:val="729023FC"/>
    <w:rsid w:val="73081940"/>
    <w:rsid w:val="73C0646E"/>
    <w:rsid w:val="73C117A4"/>
    <w:rsid w:val="742222F5"/>
    <w:rsid w:val="74476126"/>
    <w:rsid w:val="74542618"/>
    <w:rsid w:val="74706664"/>
    <w:rsid w:val="747F3682"/>
    <w:rsid w:val="749C4185"/>
    <w:rsid w:val="74E74CF4"/>
    <w:rsid w:val="75067759"/>
    <w:rsid w:val="752E6DCD"/>
    <w:rsid w:val="7551380D"/>
    <w:rsid w:val="75600BE5"/>
    <w:rsid w:val="7564475C"/>
    <w:rsid w:val="7583797F"/>
    <w:rsid w:val="75D20F1D"/>
    <w:rsid w:val="75DA2C18"/>
    <w:rsid w:val="75F54412"/>
    <w:rsid w:val="76037E52"/>
    <w:rsid w:val="761D08E0"/>
    <w:rsid w:val="76432944"/>
    <w:rsid w:val="765D347C"/>
    <w:rsid w:val="76826699"/>
    <w:rsid w:val="76C87133"/>
    <w:rsid w:val="76CD08D5"/>
    <w:rsid w:val="76DB4B92"/>
    <w:rsid w:val="76FD013A"/>
    <w:rsid w:val="77052AA4"/>
    <w:rsid w:val="77091498"/>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25532"/>
    <w:rsid w:val="798518A4"/>
    <w:rsid w:val="79982FA7"/>
    <w:rsid w:val="79A97383"/>
    <w:rsid w:val="79BC32FD"/>
    <w:rsid w:val="79C36276"/>
    <w:rsid w:val="79C43D9C"/>
    <w:rsid w:val="79E27E8B"/>
    <w:rsid w:val="79EB670F"/>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BEE3352"/>
    <w:rsid w:val="7C0A0FE4"/>
    <w:rsid w:val="7C254906"/>
    <w:rsid w:val="7C590818"/>
    <w:rsid w:val="7C7C10F6"/>
    <w:rsid w:val="7C853BEA"/>
    <w:rsid w:val="7C881368"/>
    <w:rsid w:val="7CE27788"/>
    <w:rsid w:val="7D0C32F1"/>
    <w:rsid w:val="7D0F408D"/>
    <w:rsid w:val="7D491C6C"/>
    <w:rsid w:val="7D5429C0"/>
    <w:rsid w:val="7D6E6D43"/>
    <w:rsid w:val="7D997739"/>
    <w:rsid w:val="7DB57A34"/>
    <w:rsid w:val="7DE60973"/>
    <w:rsid w:val="7DEF0916"/>
    <w:rsid w:val="7E1E5218"/>
    <w:rsid w:val="7E847815"/>
    <w:rsid w:val="7E9A4E1F"/>
    <w:rsid w:val="7EA7723A"/>
    <w:rsid w:val="7EF56FBB"/>
    <w:rsid w:val="7F0768EB"/>
    <w:rsid w:val="7F143BEC"/>
    <w:rsid w:val="7F715AF2"/>
    <w:rsid w:val="7F8518D8"/>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266"/>
    <w:qFormat/>
    <w:uiPriority w:val="0"/>
    <w:pPr>
      <w:spacing w:line="480" w:lineRule="exact"/>
      <w:ind w:firstLine="480" w:firstLineChars="200"/>
    </w:pPr>
    <w:rPr>
      <w:rFonts w:ascii="宋体" w:hAnsi="宋体"/>
      <w:sz w:val="24"/>
    </w:rPr>
  </w:style>
  <w:style w:type="paragraph" w:customStyle="1" w:styleId="25">
    <w:name w:val="正文文本首行缩进 21"/>
    <w:basedOn w:val="24"/>
    <w:qFormat/>
    <w:uiPriority w:val="99"/>
    <w:pPr>
      <w:spacing w:line="200" w:lineRule="atLeast"/>
      <w:ind w:firstLine="420"/>
    </w:pPr>
    <w:rPr>
      <w:rFonts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
    <w:next w:val="1"/>
    <w:link w:val="322"/>
    <w:qFormat/>
    <w:uiPriority w:val="0"/>
    <w:pPr>
      <w:ind w:firstLine="420"/>
    </w:pPr>
    <w:rPr>
      <w:rFonts w:hAnsi="Calibri" w:cs="Times New Roman"/>
      <w:snapToGrid/>
      <w:szCs w:val="20"/>
    </w:rPr>
  </w:style>
  <w:style w:type="paragraph" w:styleId="62">
    <w:name w:val="Body Text First Indent 2"/>
    <w:basedOn w:val="24"/>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华诚咨询</Company>
  <Pages>86</Pages>
  <Words>38983</Words>
  <Characters>41263</Characters>
  <Lines>281</Lines>
  <Paragraphs>79</Paragraphs>
  <TotalTime>34</TotalTime>
  <ScaleCrop>false</ScaleCrop>
  <LinksUpToDate>false</LinksUpToDate>
  <CharactersWithSpaces>45386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黄广华</dc:creator>
  <cp:lastModifiedBy>JYang、Z</cp:lastModifiedBy>
  <cp:lastPrinted>2021-12-27T11:06:00Z</cp:lastPrinted>
  <dcterms:modified xsi:type="dcterms:W3CDTF">2024-08-07T03:32:32Z</dcterms:modified>
  <dc:title>浙江省公安厅“浙江交警”新媒体运维项目</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B82BD58DD83D48108F5BCCDE120E462C</vt:lpwstr>
  </property>
</Properties>
</file>