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4DB9A">
      <w:pPr>
        <w:spacing w:before="120"/>
        <w:jc w:val="center"/>
        <w:rPr>
          <w:rFonts w:hint="eastAsia" w:ascii="仿宋" w:hAnsi="仿宋" w:eastAsia="仿宋" w:cs="仿宋"/>
          <w:color w:val="auto"/>
          <w:highlight w:val="none"/>
        </w:rPr>
      </w:pPr>
      <w:r>
        <w:rPr>
          <w:rFonts w:hint="eastAsia" w:ascii="仿宋" w:hAnsi="仿宋" w:eastAsia="仿宋" w:cs="仿宋"/>
          <w:b/>
          <w:color w:val="auto"/>
          <w:spacing w:val="-6"/>
          <w:sz w:val="52"/>
          <w:szCs w:val="52"/>
          <w:highlight w:val="none"/>
          <w:lang w:val="en-US" w:eastAsia="zh-CN"/>
        </w:rPr>
        <w:t xml:space="preserve">                                                                                                                                                                                                                                                                                                                                                                                                                                                                                                                                                                                                                                                                                                                                                                                                                                                                                                                                                                                                                                                                                                                                                                                                                                                                                                                                                                                                                                                                                                                                                                                                                                                                                                                                                                                                                        </w:t>
      </w:r>
      <w:r>
        <w:rPr>
          <w:rFonts w:hint="eastAsia" w:ascii="仿宋" w:hAnsi="仿宋" w:eastAsia="仿宋" w:cs="仿宋"/>
          <w:b/>
          <w:color w:val="auto"/>
          <w:spacing w:val="-6"/>
          <w:sz w:val="52"/>
          <w:szCs w:val="52"/>
          <w:highlight w:val="none"/>
          <w:lang w:eastAsia="zh-CN"/>
        </w:rPr>
        <w:t>杭州市富阳区综合行政执法局有害垃圾分拣处置服务采购项目</w:t>
      </w:r>
    </w:p>
    <w:p w14:paraId="5E7483DF">
      <w:pPr>
        <w:spacing w:before="120"/>
        <w:jc w:val="center"/>
        <w:rPr>
          <w:rFonts w:hint="eastAsia" w:ascii="仿宋" w:hAnsi="仿宋" w:eastAsia="仿宋" w:cs="仿宋"/>
          <w:b/>
          <w:color w:val="auto"/>
          <w:spacing w:val="-6"/>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HCCGFY2024-028</w:t>
      </w:r>
    </w:p>
    <w:p w14:paraId="2F85175C">
      <w:pPr>
        <w:pStyle w:val="88"/>
        <w:ind w:left="0" w:leftChars="0" w:firstLine="0" w:firstLineChars="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（电子招投标）</w:t>
      </w:r>
    </w:p>
    <w:p w14:paraId="68219DBB">
      <w:pPr>
        <w:pStyle w:val="37"/>
        <w:spacing w:before="124" w:after="124"/>
        <w:rPr>
          <w:rFonts w:hint="eastAsia" w:ascii="仿宋" w:hAnsi="仿宋" w:eastAsia="仿宋" w:cs="仿宋"/>
          <w:b/>
          <w:color w:val="auto"/>
          <w:spacing w:val="40"/>
          <w:szCs w:val="21"/>
          <w:highlight w:val="none"/>
        </w:rPr>
      </w:pPr>
    </w:p>
    <w:p w14:paraId="0A932247">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公</w:t>
      </w:r>
    </w:p>
    <w:p w14:paraId="02A32888">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开</w:t>
      </w:r>
    </w:p>
    <w:p w14:paraId="4E3DB7AD">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招</w:t>
      </w:r>
    </w:p>
    <w:p w14:paraId="4D5056AE">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标</w:t>
      </w:r>
    </w:p>
    <w:p w14:paraId="6AB3C638">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文</w:t>
      </w:r>
    </w:p>
    <w:p w14:paraId="1E14012F">
      <w:pPr>
        <w:spacing w:before="120" w:after="100" w:afterAutospacing="1" w:line="800" w:lineRule="exact"/>
        <w:ind w:right="-108"/>
        <w:jc w:val="center"/>
        <w:rPr>
          <w:rFonts w:hint="eastAsia" w:ascii="仿宋" w:hAnsi="仿宋" w:eastAsia="仿宋" w:cs="仿宋"/>
          <w:b/>
          <w:color w:val="auto"/>
          <w:spacing w:val="40"/>
          <w:sz w:val="84"/>
          <w:szCs w:val="84"/>
          <w:highlight w:val="none"/>
        </w:rPr>
      </w:pPr>
      <w:r>
        <w:rPr>
          <w:rFonts w:hint="eastAsia" w:ascii="仿宋" w:hAnsi="仿宋" w:eastAsia="仿宋" w:cs="仿宋"/>
          <w:b/>
          <w:color w:val="auto"/>
          <w:spacing w:val="40"/>
          <w:sz w:val="84"/>
          <w:szCs w:val="84"/>
          <w:highlight w:val="none"/>
        </w:rPr>
        <w:t>件</w:t>
      </w:r>
    </w:p>
    <w:p w14:paraId="0D4823F3">
      <w:pPr>
        <w:pStyle w:val="48"/>
        <w:spacing w:before="156" w:after="156"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杭州市富阳区综合行政执法局</w:t>
      </w:r>
      <w:r>
        <w:rPr>
          <w:rFonts w:hint="eastAsia" w:ascii="仿宋" w:hAnsi="仿宋" w:eastAsia="仿宋" w:cs="仿宋"/>
          <w:color w:val="auto"/>
          <w:sz w:val="32"/>
          <w:szCs w:val="32"/>
          <w:highlight w:val="none"/>
        </w:rPr>
        <w:t>(盖章)</w:t>
      </w:r>
    </w:p>
    <w:p w14:paraId="7C4D0378">
      <w:pPr>
        <w:spacing w:line="500" w:lineRule="exact"/>
        <w:ind w:right="105"/>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华诚工程咨询集团有限公司</w:t>
      </w:r>
      <w:r>
        <w:rPr>
          <w:rFonts w:hint="eastAsia" w:ascii="仿宋" w:hAnsi="仿宋" w:eastAsia="仿宋" w:cs="仿宋"/>
          <w:color w:val="auto"/>
          <w:sz w:val="32"/>
          <w:szCs w:val="32"/>
          <w:highlight w:val="none"/>
        </w:rPr>
        <w:t>(盖章)</w:t>
      </w:r>
    </w:p>
    <w:p w14:paraId="09B63EFA">
      <w:pPr>
        <w:spacing w:before="120"/>
        <w:rPr>
          <w:rFonts w:hint="eastAsia" w:ascii="仿宋" w:hAnsi="仿宋" w:eastAsia="仿宋" w:cs="仿宋"/>
          <w:color w:val="auto"/>
          <w:sz w:val="30"/>
          <w:szCs w:val="30"/>
          <w:highlight w:val="none"/>
        </w:rPr>
      </w:pPr>
    </w:p>
    <w:p w14:paraId="6C435CF5">
      <w:pPr>
        <w:pStyle w:val="48"/>
        <w:spacing w:before="156" w:after="156" w:line="360" w:lineRule="auto"/>
        <w:ind w:left="1900" w:hanging="640"/>
        <w:rPr>
          <w:rFonts w:hint="eastAsia" w:ascii="仿宋" w:hAnsi="仿宋" w:eastAsia="仿宋" w:cs="仿宋"/>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NumType w:fmt="decimal" w:start="1"/>
          <w:cols w:space="720" w:num="1"/>
          <w:docGrid w:type="lines" w:linePitch="312" w:charSpace="0"/>
        </w:sectPr>
      </w:pPr>
    </w:p>
    <w:p w14:paraId="6038125A">
      <w:pPr>
        <w:pStyle w:val="49"/>
        <w:rPr>
          <w:rFonts w:hint="eastAsia" w:ascii="仿宋" w:hAnsi="仿宋" w:eastAsia="仿宋" w:cs="仿宋"/>
          <w:color w:val="auto"/>
          <w:highlight w:val="none"/>
        </w:rPr>
      </w:pPr>
    </w:p>
    <w:p w14:paraId="7A92EF77">
      <w:pPr>
        <w:pStyle w:val="48"/>
        <w:spacing w:before="156" w:after="156" w:line="360" w:lineRule="auto"/>
        <w:ind w:left="1900" w:hanging="640"/>
        <w:rPr>
          <w:rFonts w:hint="eastAsia" w:ascii="仿宋" w:hAnsi="仿宋" w:eastAsia="仿宋" w:cs="仿宋"/>
          <w:color w:val="auto"/>
          <w:sz w:val="32"/>
          <w:szCs w:val="32"/>
          <w:highlight w:val="none"/>
        </w:rPr>
      </w:pPr>
    </w:p>
    <w:p w14:paraId="2EF9FC33">
      <w:pPr>
        <w:pStyle w:val="48"/>
        <w:spacing w:before="156" w:after="156" w:line="360" w:lineRule="auto"/>
        <w:ind w:left="2143" w:hanging="883"/>
        <w:jc w:val="center"/>
        <w:rPr>
          <w:rFonts w:hint="eastAsia" w:ascii="仿宋" w:hAnsi="仿宋" w:eastAsia="仿宋" w:cs="仿宋"/>
          <w:b/>
          <w:color w:val="auto"/>
          <w:sz w:val="44"/>
          <w:szCs w:val="44"/>
          <w:highlight w:val="none"/>
        </w:rPr>
      </w:pPr>
    </w:p>
    <w:p w14:paraId="665E22CE">
      <w:pPr>
        <w:pStyle w:val="48"/>
        <w:spacing w:before="156" w:after="156" w:line="360" w:lineRule="auto"/>
        <w:ind w:left="885" w:hanging="885"/>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11BFB86A">
      <w:pPr>
        <w:pStyle w:val="48"/>
        <w:spacing w:before="156" w:after="156" w:line="360" w:lineRule="auto"/>
        <w:ind w:left="1900" w:hanging="640"/>
        <w:jc w:val="center"/>
        <w:rPr>
          <w:rFonts w:hint="eastAsia" w:ascii="仿宋" w:hAnsi="仿宋" w:eastAsia="仿宋" w:cs="仿宋"/>
          <w:color w:val="auto"/>
          <w:sz w:val="32"/>
          <w:szCs w:val="32"/>
          <w:highlight w:val="none"/>
        </w:rPr>
      </w:pPr>
    </w:p>
    <w:p w14:paraId="32E97FBE">
      <w:pPr>
        <w:spacing w:before="120" w:line="480" w:lineRule="exact"/>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第一章    招标公告……………………………………… 3</w:t>
      </w:r>
    </w:p>
    <w:p w14:paraId="1CAAACA4">
      <w:pPr>
        <w:spacing w:before="120" w:line="480" w:lineRule="exact"/>
        <w:ind w:firstLine="300" w:firstLineChars="1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第二章    投标人须知…………………………………… </w:t>
      </w:r>
      <w:r>
        <w:rPr>
          <w:rFonts w:hint="eastAsia" w:ascii="仿宋" w:hAnsi="仿宋" w:eastAsia="仿宋" w:cs="仿宋"/>
          <w:color w:val="auto"/>
          <w:sz w:val="30"/>
          <w:szCs w:val="30"/>
          <w:highlight w:val="none"/>
          <w:lang w:val="en-US" w:eastAsia="zh-CN"/>
        </w:rPr>
        <w:t>8</w:t>
      </w:r>
    </w:p>
    <w:p w14:paraId="2A5EE963">
      <w:pPr>
        <w:spacing w:before="120" w:line="480" w:lineRule="exact"/>
        <w:ind w:firstLine="30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第三章    评标办法及评分标准………………………… </w:t>
      </w:r>
      <w:r>
        <w:rPr>
          <w:rFonts w:hint="eastAsia" w:ascii="仿宋" w:hAnsi="仿宋" w:eastAsia="仿宋" w:cs="仿宋"/>
          <w:color w:val="auto"/>
          <w:sz w:val="30"/>
          <w:szCs w:val="30"/>
          <w:highlight w:val="none"/>
          <w:lang w:val="en-US" w:eastAsia="zh-CN"/>
        </w:rPr>
        <w:t>39</w:t>
      </w:r>
    </w:p>
    <w:p w14:paraId="2F9A00A0">
      <w:pPr>
        <w:spacing w:before="120" w:line="480" w:lineRule="exact"/>
        <w:ind w:firstLine="30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第四章    采购需求……………………………………… </w:t>
      </w:r>
      <w:r>
        <w:rPr>
          <w:rFonts w:hint="eastAsia" w:ascii="仿宋" w:hAnsi="仿宋" w:eastAsia="仿宋" w:cs="仿宋"/>
          <w:color w:val="auto"/>
          <w:sz w:val="30"/>
          <w:szCs w:val="30"/>
          <w:highlight w:val="none"/>
          <w:lang w:val="en-US" w:eastAsia="zh-CN"/>
        </w:rPr>
        <w:t>44</w:t>
      </w:r>
    </w:p>
    <w:p w14:paraId="04B5CA00">
      <w:pPr>
        <w:spacing w:before="120" w:line="480" w:lineRule="exact"/>
        <w:ind w:firstLine="30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第五章    杭州市富阳区政府采购合同主要条款……… </w:t>
      </w:r>
      <w:r>
        <w:rPr>
          <w:rFonts w:hint="eastAsia" w:ascii="仿宋" w:hAnsi="仿宋" w:eastAsia="仿宋" w:cs="仿宋"/>
          <w:color w:val="auto"/>
          <w:sz w:val="30"/>
          <w:szCs w:val="30"/>
          <w:highlight w:val="none"/>
          <w:lang w:val="en-US" w:eastAsia="zh-CN"/>
        </w:rPr>
        <w:t>52</w:t>
      </w:r>
    </w:p>
    <w:p w14:paraId="60C196AF">
      <w:pPr>
        <w:spacing w:before="120" w:line="480" w:lineRule="exact"/>
        <w:ind w:firstLine="300" w:firstLineChars="1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第六章    投标文件格式附件…………………………… </w:t>
      </w:r>
      <w:r>
        <w:rPr>
          <w:rFonts w:hint="eastAsia" w:ascii="仿宋" w:hAnsi="仿宋" w:eastAsia="仿宋" w:cs="仿宋"/>
          <w:color w:val="auto"/>
          <w:sz w:val="30"/>
          <w:szCs w:val="30"/>
          <w:highlight w:val="none"/>
          <w:lang w:val="en-US" w:eastAsia="zh-CN"/>
        </w:rPr>
        <w:t>60</w:t>
      </w:r>
    </w:p>
    <w:p w14:paraId="0D8970D9">
      <w:pPr>
        <w:rPr>
          <w:rFonts w:hint="eastAsia" w:ascii="仿宋" w:hAnsi="仿宋" w:eastAsia="仿宋" w:cs="仿宋"/>
          <w:color w:val="auto"/>
          <w:highlight w:val="none"/>
        </w:rPr>
      </w:pPr>
    </w:p>
    <w:p w14:paraId="323FF1B7">
      <w:pPr>
        <w:pStyle w:val="7"/>
        <w:pageBreakBefore w:val="0"/>
        <w:kinsoku/>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sz w:val="32"/>
          <w:szCs w:val="32"/>
          <w:highlight w:val="none"/>
        </w:rPr>
        <w:br w:type="page"/>
      </w:r>
      <w:bookmarkStart w:id="0" w:name="_Toc1382136464"/>
      <w:r>
        <w:rPr>
          <w:rFonts w:hint="eastAsia" w:ascii="仿宋" w:hAnsi="仿宋" w:eastAsia="仿宋" w:cs="仿宋"/>
          <w:color w:val="auto"/>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5F68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661909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14:paraId="129DBA6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杭州市富阳区综合行政执法局有害垃圾分拣处置服务采购项目</w:t>
            </w:r>
            <w:r>
              <w:rPr>
                <w:rFonts w:hint="eastAsia" w:ascii="仿宋" w:hAnsi="仿宋" w:eastAsia="仿宋" w:cs="仿宋"/>
                <w:color w:val="auto"/>
                <w:highlight w:val="none"/>
              </w:rPr>
              <w:t>的潜在投标人应在政采云平台（https://www.zcygov.cn/）获取（下载）招标文件，并于</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cs="仿宋"/>
                <w:color w:val="auto"/>
                <w:highlight w:val="none"/>
                <w:u w:val="single"/>
                <w:lang w:val="en-US" w:eastAsia="zh-CN"/>
              </w:rPr>
              <w:t>0</w:t>
            </w:r>
            <w:r>
              <w:rPr>
                <w:rFonts w:hint="eastAsia" w:ascii="仿宋" w:hAnsi="仿宋" w:eastAsia="仿宋" w:cs="仿宋"/>
                <w:color w:val="auto"/>
                <w:highlight w:val="none"/>
                <w:u w:val="single"/>
                <w:lang w:val="en-US" w:eastAsia="zh-CN"/>
              </w:rPr>
              <w:t>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14:paraId="4383C7C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p>
    <w:p w14:paraId="045E008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一、项目基本情况   </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rPr>
        <w:t xml:space="preserve">                                    </w:t>
      </w:r>
    </w:p>
    <w:p w14:paraId="2C4429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项目编号：HCCGFY2024-02</w:t>
      </w:r>
      <w:r>
        <w:rPr>
          <w:rFonts w:hint="eastAsia" w:cs="仿宋"/>
          <w:color w:val="auto"/>
          <w:highlight w:val="none"/>
          <w:lang w:val="en-US" w:eastAsia="zh-CN"/>
        </w:rPr>
        <w:t>8</w:t>
      </w:r>
    </w:p>
    <w:p w14:paraId="7FC0B5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杭州市富阳区综合行政执法局有害垃圾分拣处置服务采购项目</w:t>
      </w:r>
    </w:p>
    <w:p w14:paraId="7D01842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采购方式：公开招标</w:t>
      </w:r>
    </w:p>
    <w:p w14:paraId="3DF232D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1319248</w:t>
      </w:r>
      <w:r>
        <w:rPr>
          <w:rFonts w:hint="eastAsia" w:ascii="仿宋" w:hAnsi="仿宋" w:eastAsia="仿宋" w:cs="仿宋"/>
          <w:color w:val="auto"/>
          <w:highlight w:val="none"/>
        </w:rPr>
        <w:t>  </w:t>
      </w:r>
    </w:p>
    <w:p w14:paraId="1FF596D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1319248</w:t>
      </w:r>
    </w:p>
    <w:p w14:paraId="581DB6C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采购需求：富阳区废旧电池、荧光灯管、废油漆、废胶片等有害垃圾的分拣处置等工作。</w:t>
      </w:r>
    </w:p>
    <w:p w14:paraId="1019A2F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p>
    <w:p w14:paraId="7354C0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标项名称:杭州市富阳区综合行政执法局有害垃圾分拣处置服务采购项目  </w:t>
      </w:r>
    </w:p>
    <w:p w14:paraId="51D508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数量:  </w:t>
      </w:r>
      <w:r>
        <w:rPr>
          <w:rFonts w:hint="eastAsia" w:ascii="仿宋" w:hAnsi="仿宋" w:eastAsia="仿宋" w:cs="仿宋"/>
          <w:color w:val="auto"/>
          <w:highlight w:val="none"/>
          <w:lang w:val="en-US" w:eastAsia="zh-CN"/>
        </w:rPr>
        <w:t>1</w:t>
      </w:r>
    </w:p>
    <w:p w14:paraId="7DDB0B5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1319248</w:t>
      </w:r>
      <w:r>
        <w:rPr>
          <w:rFonts w:hint="eastAsia" w:ascii="仿宋" w:hAnsi="仿宋" w:eastAsia="仿宋" w:cs="仿宋"/>
          <w:color w:val="auto"/>
          <w:highlight w:val="none"/>
        </w:rPr>
        <w:t> </w:t>
      </w:r>
    </w:p>
    <w:p w14:paraId="1A578EF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简要规格描述或项目基本概况介绍、用途：富阳区废旧电池、荧光灯管、废油漆、废胶片等有害垃圾的分拣处置等工作。</w:t>
      </w:r>
    </w:p>
    <w:p w14:paraId="2BA9246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备注： </w:t>
      </w:r>
    </w:p>
    <w:p w14:paraId="2CE507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合同履约期限：自合同签订之日起一年。</w:t>
      </w:r>
    </w:p>
    <w:p w14:paraId="1075D87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二、申请人的资格要求：</w:t>
      </w:r>
    </w:p>
    <w:p w14:paraId="586DFD1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3656746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r>
        <w:rPr>
          <w:rFonts w:hint="eastAsia" w:ascii="仿宋" w:hAnsi="仿宋" w:eastAsia="仿宋" w:cs="仿宋"/>
          <w:snapToGrid w:val="0"/>
          <w:color w:val="auto"/>
          <w:kern w:val="28"/>
          <w:sz w:val="24"/>
          <w:szCs w:val="20"/>
          <w:highlight w:val="none"/>
        </w:rPr>
        <w:t xml:space="preserve"> ；</w:t>
      </w:r>
    </w:p>
    <w:p w14:paraId="788033D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落实政府采购政策需满足的资格要求：</w:t>
      </w:r>
    </w:p>
    <w:p w14:paraId="5903DF55">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7E26887B">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42DF5CD1">
      <w:pPr>
        <w:keepNext w:val="0"/>
        <w:keepLines w:val="0"/>
        <w:pageBreakBefore w:val="0"/>
        <w:widowControl w:val="0"/>
        <w:kinsoku/>
        <w:wordWrap/>
        <w:overflowPunct/>
        <w:topLinePunct w:val="0"/>
        <w:autoSpaceDE/>
        <w:autoSpaceDN/>
        <w:bidi w:val="0"/>
        <w:adjustRightInd/>
        <w:snapToGrid/>
        <w:spacing w:before="156"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4AEDA525">
      <w:pPr>
        <w:keepNext w:val="0"/>
        <w:keepLines w:val="0"/>
        <w:pageBreakBefore w:val="0"/>
        <w:widowControl w:val="0"/>
        <w:kinsoku/>
        <w:wordWrap/>
        <w:overflowPunct/>
        <w:topLinePunct w:val="0"/>
        <w:autoSpaceDE/>
        <w:autoSpaceDN/>
        <w:bidi w:val="0"/>
        <w:adjustRightInd/>
        <w:snapToGrid/>
        <w:spacing w:before="156"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7D887007">
      <w:pPr>
        <w:keepNext w:val="0"/>
        <w:keepLines w:val="0"/>
        <w:pageBreakBefore w:val="0"/>
        <w:widowControl w:val="0"/>
        <w:kinsoku/>
        <w:wordWrap/>
        <w:overflowPunct/>
        <w:topLinePunct w:val="0"/>
        <w:autoSpaceDE/>
        <w:autoSpaceDN/>
        <w:bidi w:val="0"/>
        <w:adjustRightInd/>
        <w:snapToGrid/>
        <w:spacing w:before="156"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64BBEDC8">
      <w:pPr>
        <w:keepNext w:val="0"/>
        <w:keepLines w:val="0"/>
        <w:pageBreakBefore w:val="0"/>
        <w:widowControl w:val="0"/>
        <w:kinsoku/>
        <w:wordWrap/>
        <w:overflowPunct/>
        <w:topLinePunct w:val="0"/>
        <w:autoSpaceDE/>
        <w:autoSpaceDN/>
        <w:bidi w:val="0"/>
        <w:adjustRightInd/>
        <w:snapToGrid/>
        <w:spacing w:before="156"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1C099DBD">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%;如果供应商本身提供所有标的均由中小企业制造、承建或承接，视同符合了资格条件，无需再与其他中小企业组成联合体参加政府采购活动，无需提供联合协议；</w:t>
      </w:r>
    </w:p>
    <w:p w14:paraId="7A11343C">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;如果供应商本身提供所有标的均由中小企业制造、承建或承接，视同符合了资格条件，无需再向中小企业分包，无需提供分包意向协议；</w:t>
      </w:r>
    </w:p>
    <w:p w14:paraId="3F3379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.本项目的特定资格要求：无 </w:t>
      </w:r>
    </w:p>
    <w:p w14:paraId="5D47498A">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1E49B2A1">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12BA2C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14:paraId="63940DF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ascii="仿宋" w:hAnsi="仿宋" w:eastAsia="仿宋" w:cs="仿宋"/>
          <w:color w:val="auto"/>
          <w:highlight w:val="none"/>
          <w:u w:val="single"/>
          <w:lang w:val="en-US" w:eastAsia="zh-CN"/>
        </w:rPr>
        <w:t>2024年</w:t>
      </w:r>
      <w:r>
        <w:rPr>
          <w:rFonts w:hint="eastAsia" w:cs="仿宋"/>
          <w:color w:val="auto"/>
          <w:highlight w:val="none"/>
          <w:u w:val="single"/>
          <w:lang w:val="en-US" w:eastAsia="zh-CN"/>
        </w:rPr>
        <w:t>10</w:t>
      </w:r>
      <w:r>
        <w:rPr>
          <w:rFonts w:hint="eastAsia" w:ascii="仿宋" w:hAnsi="仿宋" w:eastAsia="仿宋" w:cs="仿宋"/>
          <w:color w:val="auto"/>
          <w:highlight w:val="none"/>
          <w:u w:val="single"/>
          <w:lang w:val="en-US" w:eastAsia="zh-CN"/>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lang w:val="en-US" w:eastAsia="zh-CN"/>
        </w:rPr>
        <w:t>日</w:t>
      </w:r>
      <w:r>
        <w:rPr>
          <w:rFonts w:hint="eastAsia" w:ascii="仿宋" w:hAnsi="仿宋" w:eastAsia="仿宋" w:cs="仿宋"/>
          <w:color w:val="auto"/>
          <w:highlight w:val="none"/>
        </w:rPr>
        <w:t> ，每天上午00:00至12:00 ，下午12:00至23:59（北京时间，线上获取法定节假日均可，线下获取文件法定节假日除外）</w:t>
      </w:r>
    </w:p>
    <w:p w14:paraId="5C956DA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地点（网址）：政采云平台（https://www.zcygov.cn/） </w:t>
      </w:r>
    </w:p>
    <w:p w14:paraId="608368C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270797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售价（元）：0 </w:t>
      </w:r>
    </w:p>
    <w:p w14:paraId="3C68698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5.供应商获取招标文件时须提交的文件资料：无；</w:t>
      </w:r>
    </w:p>
    <w:p w14:paraId="5E71D6E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53DC6FA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4E3B974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2024年</w:t>
      </w:r>
      <w:r>
        <w:rPr>
          <w:rFonts w:hint="eastAsia"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日9:</w:t>
      </w:r>
      <w:r>
        <w:rPr>
          <w:rFonts w:hint="eastAsia" w:cs="仿宋"/>
          <w:color w:val="auto"/>
          <w:highlight w:val="none"/>
          <w:u w:val="single"/>
          <w:lang w:val="en-US" w:eastAsia="zh-CN"/>
        </w:rPr>
        <w:t>0</w:t>
      </w:r>
      <w:r>
        <w:rPr>
          <w:rFonts w:hint="eastAsia" w:ascii="仿宋" w:hAnsi="仿宋" w:eastAsia="仿宋" w:cs="仿宋"/>
          <w:color w:val="auto"/>
          <w:highlight w:val="none"/>
          <w:u w:val="single"/>
        </w:rPr>
        <w:t>0（</w:t>
      </w:r>
      <w:r>
        <w:rPr>
          <w:rFonts w:hint="eastAsia" w:ascii="仿宋" w:hAnsi="仿宋" w:eastAsia="仿宋" w:cs="仿宋"/>
          <w:color w:val="auto"/>
          <w:highlight w:val="none"/>
        </w:rPr>
        <w:t>北京时间）</w:t>
      </w:r>
    </w:p>
    <w:p w14:paraId="76E126B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0640368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开标时间：</w:t>
      </w:r>
      <w:r>
        <w:rPr>
          <w:rFonts w:hint="eastAsia" w:ascii="仿宋" w:hAnsi="仿宋" w:eastAsia="仿宋" w:cs="仿宋"/>
          <w:color w:val="auto"/>
          <w:highlight w:val="none"/>
          <w:u w:val="single"/>
          <w:lang w:val="en-US" w:eastAsia="zh-CN"/>
        </w:rPr>
        <w:t>2024年</w:t>
      </w:r>
      <w:r>
        <w:rPr>
          <w:rFonts w:hint="eastAsia" w:cs="仿宋"/>
          <w:color w:val="auto"/>
          <w:highlight w:val="none"/>
          <w:u w:val="single"/>
          <w:lang w:val="en-US" w:eastAsia="zh-CN"/>
        </w:rPr>
        <w:t>10</w:t>
      </w:r>
      <w:r>
        <w:rPr>
          <w:rFonts w:hint="eastAsia" w:ascii="仿宋" w:hAnsi="仿宋" w:eastAsia="仿宋" w:cs="仿宋"/>
          <w:color w:val="auto"/>
          <w:highlight w:val="none"/>
          <w:u w:val="single"/>
          <w:lang w:val="en-US" w:eastAsia="zh-CN"/>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lang w:val="en-US" w:eastAsia="zh-CN"/>
        </w:rPr>
        <w:t>日9:</w:t>
      </w:r>
      <w:r>
        <w:rPr>
          <w:rFonts w:hint="eastAsia" w:cs="仿宋"/>
          <w:color w:val="auto"/>
          <w:highlight w:val="none"/>
          <w:u w:val="single"/>
          <w:lang w:val="en-US" w:eastAsia="zh-CN"/>
        </w:rPr>
        <w:t>0</w:t>
      </w:r>
      <w:r>
        <w:rPr>
          <w:rFonts w:hint="eastAsia" w:ascii="仿宋" w:hAnsi="仿宋" w:eastAsia="仿宋" w:cs="仿宋"/>
          <w:color w:val="auto"/>
          <w:highlight w:val="none"/>
          <w:u w:val="single"/>
          <w:lang w:val="en-US" w:eastAsia="zh-CN"/>
        </w:rPr>
        <w:t>0</w:t>
      </w:r>
      <w:r>
        <w:rPr>
          <w:rFonts w:hint="eastAsia" w:ascii="仿宋" w:hAnsi="仿宋" w:eastAsia="仿宋" w:cs="仿宋"/>
          <w:color w:val="auto"/>
          <w:highlight w:val="none"/>
          <w:u w:val="single"/>
        </w:rPr>
        <w:t>（北京时间）</w:t>
      </w:r>
    </w:p>
    <w:p w14:paraId="3BBD3B3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开标地点（网址）：</w:t>
      </w:r>
      <w:r>
        <w:rPr>
          <w:rFonts w:hint="eastAsia" w:ascii="仿宋" w:hAnsi="仿宋" w:eastAsia="仿宋" w:cs="仿宋"/>
          <w:color w:val="auto"/>
          <w:highlight w:val="none"/>
          <w:u w:val="single"/>
          <w:lang w:val="en-US" w:eastAsia="zh-CN"/>
        </w:rPr>
        <w:t>杭州市富阳区富春街道恩波大道677号金富春大厦3楼评标室</w:t>
      </w:r>
      <w:r>
        <w:rPr>
          <w:rFonts w:hint="eastAsia" w:ascii="仿宋" w:hAnsi="仿宋" w:eastAsia="仿宋" w:cs="仿宋"/>
          <w:color w:val="auto"/>
          <w:highlight w:val="none"/>
        </w:rPr>
        <w:t>，政采云平台（https://www.zcygov.cn/）。  </w:t>
      </w:r>
    </w:p>
    <w:p w14:paraId="296E2B5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4A313C9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14:paraId="74717E9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https://zfcg.czt.zj.gov.cn/site/detail?parentId=600007&amp;articleId=78z2sWlxsek5jNuKOqt8vQ%3D%3D</w:t>
      </w:r>
    </w:p>
    <w:p w14:paraId="5E6DA59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六、公告期限</w:t>
      </w:r>
      <w:r>
        <w:rPr>
          <w:rFonts w:hint="eastAsia" w:ascii="仿宋" w:hAnsi="仿宋" w:eastAsia="仿宋" w:cs="仿宋"/>
          <w:b/>
          <w:bCs/>
          <w:color w:val="auto"/>
          <w:highlight w:val="none"/>
        </w:rPr>
        <w:t> </w:t>
      </w:r>
    </w:p>
    <w:p w14:paraId="37D2326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自本公告发布之日起5个工作日。</w:t>
      </w:r>
    </w:p>
    <w:p w14:paraId="4922487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5236E83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七、其他补充事宜</w:t>
      </w:r>
    </w:p>
    <w:p w14:paraId="146EBDD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highlight w:val="none"/>
          <w:lang w:eastAsia="zh-CN"/>
        </w:rPr>
        <w:t>、</w:t>
      </w:r>
      <w:r>
        <w:rPr>
          <w:rFonts w:hint="eastAsia" w:ascii="仿宋" w:hAnsi="仿宋" w:eastAsia="仿宋" w:cs="仿宋"/>
          <w:color w:val="auto"/>
          <w:szCs w:val="24"/>
          <w:highlight w:val="none"/>
        </w:rPr>
        <w:t>《浙江省财政厅关于进一步加大政府采购支持中小企业力度助力扎实稳住经济的通知》（浙财采监（2022）8号）</w:t>
      </w:r>
      <w:r>
        <w:rPr>
          <w:rFonts w:hint="eastAsia" w:ascii="仿宋" w:hAnsi="仿宋" w:eastAsia="仿宋" w:cs="仿宋"/>
          <w:color w:val="auto"/>
          <w:highlight w:val="none"/>
        </w:rPr>
        <w:t>已分别于2022年1月29日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2022年2月1日</w:t>
      </w:r>
      <w:r>
        <w:rPr>
          <w:rFonts w:hint="eastAsia" w:ascii="仿宋" w:hAnsi="仿宋" w:eastAsia="仿宋" w:cs="仿宋"/>
          <w:color w:val="auto"/>
          <w:highlight w:val="none"/>
          <w:lang w:eastAsia="zh-CN"/>
        </w:rPr>
        <w:t>、</w:t>
      </w:r>
      <w:r>
        <w:rPr>
          <w:rFonts w:hint="eastAsia" w:ascii="仿宋" w:hAnsi="仿宋" w:eastAsia="仿宋" w:cs="仿宋"/>
          <w:color w:val="auto"/>
          <w:szCs w:val="24"/>
          <w:highlight w:val="none"/>
        </w:rPr>
        <w:t>2022年7月1日</w:t>
      </w:r>
      <w:r>
        <w:rPr>
          <w:rFonts w:hint="eastAsia" w:ascii="仿宋" w:hAnsi="仿宋" w:eastAsia="仿宋" w:cs="仿宋"/>
          <w:color w:val="auto"/>
          <w:highlight w:val="none"/>
        </w:rPr>
        <w:t>开始实施，此前有关规定与上述文件内容不一致的，按上述文件要求执行。</w:t>
      </w:r>
    </w:p>
    <w:p w14:paraId="5CAEE4E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BC382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3BADC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.其他事项：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落实政府采购政策：包括保护环境、节约能源、促进中小企业发展等。详见招标文件投标人须知。</w:t>
      </w:r>
    </w:p>
    <w:p w14:paraId="2BC8856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（2）</w:t>
      </w:r>
      <w:r>
        <w:rPr>
          <w:rFonts w:hint="eastAsia" w:ascii="仿宋" w:hAnsi="仿宋" w:eastAsia="仿宋" w:cs="仿宋"/>
          <w:color w:val="auto"/>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21B34BC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（3）获取招标文件的提示</w:t>
      </w:r>
    </w:p>
    <w:p w14:paraId="4EDA56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eastAsia="仿宋" w:cs="仿宋"/>
          <w:color w:val="auto"/>
          <w:kern w:val="2"/>
          <w:sz w:val="24"/>
          <w:szCs w:val="24"/>
          <w:highlight w:val="none"/>
          <w:u w:val="none"/>
          <w:lang w:val="en-US" w:eastAsia="zh-CN" w:bidi="ar-SA"/>
        </w:rPr>
        <w:t>②采购人、招标人依托政采云平台完成本项目的电子交易活动，平台不接受未按上述方式获取招标文件的供应商进行投标活动；</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3CF3257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602CA3A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八、对本次采购提出询问、质疑、投诉，请按以下方式联系</w:t>
      </w:r>
      <w:r>
        <w:rPr>
          <w:rFonts w:hint="eastAsia" w:cs="仿宋"/>
          <w:b/>
          <w:bCs/>
          <w:color w:val="auto"/>
          <w:highlight w:val="none"/>
          <w:lang w:val="en-US" w:eastAsia="zh-CN"/>
        </w:rPr>
        <w:t xml:space="preserve"> </w:t>
      </w:r>
    </w:p>
    <w:p w14:paraId="5104C51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1.采购人信息</w:t>
      </w:r>
    </w:p>
    <w:p w14:paraId="4743ED9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名    称：杭州市富阳区综合行政执法局</w:t>
      </w:r>
    </w:p>
    <w:p w14:paraId="293AA53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地    址：杭州市富阳区富春街道西堤北路55号</w:t>
      </w:r>
    </w:p>
    <w:p w14:paraId="5AD007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传    真：  </w:t>
      </w:r>
      <w:r>
        <w:rPr>
          <w:rFonts w:hint="eastAsia" w:cs="仿宋"/>
          <w:color w:val="auto"/>
          <w:highlight w:val="none"/>
          <w:lang w:val="en-US" w:eastAsia="zh-CN"/>
        </w:rPr>
        <w:t>/</w:t>
      </w:r>
    </w:p>
    <w:p w14:paraId="14BA1A1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项目联系人（询问）： 叶润龙</w:t>
      </w:r>
    </w:p>
    <w:p w14:paraId="1D1AF25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项目联系方式（询问）：15268800553</w:t>
      </w:r>
    </w:p>
    <w:p w14:paraId="5985714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质疑联系人：张永华     </w:t>
      </w:r>
    </w:p>
    <w:p w14:paraId="66BBB38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质疑联系方式：</w:t>
      </w:r>
      <w:r>
        <w:rPr>
          <w:rFonts w:hint="eastAsia" w:ascii="仿宋" w:hAnsi="仿宋" w:eastAsia="仿宋" w:cs="仿宋"/>
          <w:color w:val="auto"/>
          <w:highlight w:val="none"/>
          <w:lang w:val="en-US" w:eastAsia="zh-CN"/>
        </w:rPr>
        <w:t>13968176761</w:t>
      </w:r>
    </w:p>
    <w:p w14:paraId="4B443D8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0C89BA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2.采购代理机构信息            </w:t>
      </w:r>
    </w:p>
    <w:p w14:paraId="064ACD5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名    称：华诚工程咨询集团有限公司             </w:t>
      </w:r>
    </w:p>
    <w:p w14:paraId="38C0E12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ascii="仿宋" w:hAnsi="仿宋" w:eastAsia="仿宋" w:cs="仿宋"/>
          <w:color w:val="auto"/>
          <w:highlight w:val="none"/>
          <w:lang w:eastAsia="zh-CN"/>
        </w:rPr>
        <w:t>杭州市富阳区富春街道恩波大道677号金富春大厦3楼</w:t>
      </w:r>
      <w:r>
        <w:rPr>
          <w:rFonts w:hint="eastAsia" w:ascii="仿宋" w:hAnsi="仿宋" w:eastAsia="仿宋" w:cs="仿宋"/>
          <w:color w:val="auto"/>
          <w:highlight w:val="none"/>
        </w:rPr>
        <w:t>             </w:t>
      </w:r>
    </w:p>
    <w:p w14:paraId="7DD37CD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邮</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箱</w:t>
      </w:r>
      <w:r>
        <w:rPr>
          <w:rFonts w:hint="eastAsia" w:ascii="仿宋" w:hAnsi="仿宋" w:eastAsia="仿宋" w:cs="仿宋"/>
          <w:color w:val="auto"/>
          <w:highlight w:val="none"/>
        </w:rPr>
        <w:t>：hczxfy123@126.com           </w:t>
      </w:r>
    </w:p>
    <w:p w14:paraId="4889F84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cs="仿宋"/>
          <w:color w:val="auto"/>
          <w:highlight w:val="none"/>
          <w:lang w:val="en-US" w:eastAsia="zh-CN"/>
        </w:rPr>
        <w:t>李辰皓</w:t>
      </w:r>
      <w:r>
        <w:rPr>
          <w:rFonts w:hint="eastAsia" w:ascii="仿宋" w:hAnsi="仿宋" w:eastAsia="仿宋" w:cs="仿宋"/>
          <w:color w:val="auto"/>
          <w:highlight w:val="none"/>
        </w:rPr>
        <w:t>              </w:t>
      </w:r>
    </w:p>
    <w:p w14:paraId="7C0B522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w:t>
      </w:r>
      <w:r>
        <w:rPr>
          <w:rFonts w:hint="eastAsia" w:cs="仿宋"/>
          <w:color w:val="auto"/>
          <w:highlight w:val="none"/>
          <w:lang w:val="en-US" w:eastAsia="zh-CN"/>
        </w:rPr>
        <w:t>18268825742</w:t>
      </w:r>
    </w:p>
    <w:p w14:paraId="650F975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质疑联系人：</w:t>
      </w:r>
      <w:r>
        <w:rPr>
          <w:rFonts w:hint="eastAsia" w:ascii="仿宋" w:hAnsi="仿宋" w:eastAsia="仿宋" w:cs="仿宋"/>
          <w:color w:val="auto"/>
          <w:highlight w:val="none"/>
          <w:lang w:eastAsia="zh-CN"/>
        </w:rPr>
        <w:t>徐银华</w:t>
      </w:r>
      <w:r>
        <w:rPr>
          <w:rFonts w:hint="eastAsia" w:ascii="仿宋" w:hAnsi="仿宋" w:eastAsia="仿宋" w:cs="仿宋"/>
          <w:color w:val="auto"/>
          <w:highlight w:val="none"/>
        </w:rPr>
        <w:t>            </w:t>
      </w:r>
    </w:p>
    <w:p w14:paraId="2010709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质疑联系方式：</w:t>
      </w:r>
      <w:r>
        <w:rPr>
          <w:rFonts w:hint="eastAsia" w:ascii="仿宋" w:hAnsi="仿宋" w:eastAsia="仿宋" w:cs="仿宋"/>
          <w:color w:val="auto"/>
          <w:highlight w:val="none"/>
          <w:lang w:val="en-US" w:eastAsia="zh-CN"/>
        </w:rPr>
        <w:t>0571-61772168</w:t>
      </w:r>
      <w:r>
        <w:rPr>
          <w:rFonts w:hint="eastAsia" w:ascii="仿宋" w:hAnsi="仿宋" w:eastAsia="仿宋" w:cs="仿宋"/>
          <w:color w:val="auto"/>
          <w:highlight w:val="none"/>
        </w:rPr>
        <w:t>　　　　　　     </w:t>
      </w:r>
    </w:p>
    <w:p w14:paraId="32201F4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5477E48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 3.同级政府采购监督管理部门信息</w:t>
      </w:r>
    </w:p>
    <w:p w14:paraId="2EF93F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名 称：杭州市富阳区财政局政府采购监督管理科/浙江省政府采购行政裁决服务中心（杭州）</w:t>
      </w:r>
    </w:p>
    <w:p w14:paraId="0D29885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地 址：杭州市上城区四季青街道新业路市民之家G03办公室 </w:t>
      </w:r>
    </w:p>
    <w:p w14:paraId="23D6666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邮 箱：cjzxhz@163.com</w:t>
      </w:r>
    </w:p>
    <w:p w14:paraId="3211A6C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联系人 ：沈女士/朱女士</w:t>
      </w:r>
    </w:p>
    <w:p w14:paraId="4D05888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监督投诉电话：0571-89527637/0571-85252453</w:t>
      </w:r>
    </w:p>
    <w:p w14:paraId="1039DB2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p>
    <w:p w14:paraId="505A95E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rPr>
        <w:t>4.浙江省本级、杭州市本级、拱墅区、富阳区政府采购项目投诉材料可寄送：浙江省政府采购行政裁决服务中心（杭州），地址：杭州市上城区四季青街道新业路市民之家G03办公室，收件人：朱女士，电话：0571-85252453</w:t>
      </w:r>
    </w:p>
    <w:p w14:paraId="32DD71C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color w:val="auto"/>
          <w:highlight w:val="none"/>
          <w:lang w:val="en-US" w:eastAsia="zh-CN"/>
        </w:rPr>
      </w:pPr>
    </w:p>
    <w:p w14:paraId="65FC2DB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若对项目采购电子交易系统操作有疑问，可登录政采云（https://www.zcygov.cn/），点击右侧咨询小采，获取采小蜜智能服务管家帮助，或拨打政采云服务热线95763获取热线服务帮助。     </w:t>
      </w:r>
      <w:r>
        <w:rPr>
          <w:rFonts w:hint="eastAsia" w:ascii="仿宋" w:hAnsi="仿宋" w:eastAsia="仿宋" w:cs="仿宋"/>
          <w:color w:val="auto"/>
          <w:highlight w:val="none"/>
          <w:lang w:val="en-US" w:eastAsia="zh-CN"/>
        </w:rPr>
        <w:t xml:space="preserve">  </w:t>
      </w:r>
    </w:p>
    <w:p w14:paraId="17A2A6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14:paraId="3456607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right"/>
        <w:textAlignment w:val="auto"/>
        <w:rPr>
          <w:rFonts w:hint="eastAsia" w:ascii="仿宋" w:hAnsi="仿宋" w:eastAsia="仿宋" w:cs="仿宋"/>
          <w:color w:val="auto"/>
          <w:highlight w:val="none"/>
          <w:lang w:eastAsia="zh-CN"/>
        </w:rPr>
      </w:pPr>
    </w:p>
    <w:p w14:paraId="424EB3A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right"/>
        <w:textAlignment w:val="auto"/>
        <w:rPr>
          <w:rFonts w:hint="eastAsia" w:ascii="仿宋" w:hAnsi="仿宋" w:eastAsia="仿宋" w:cs="仿宋"/>
          <w:color w:val="auto"/>
          <w:highlight w:val="none"/>
          <w:lang w:eastAsia="zh-CN"/>
        </w:rPr>
      </w:pPr>
    </w:p>
    <w:p w14:paraId="5AA77CC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righ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杭州市富阳区综合行政执法局</w:t>
      </w:r>
    </w:p>
    <w:p w14:paraId="4F0BA005">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righ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华诚工程咨询集团有限公司</w:t>
      </w:r>
    </w:p>
    <w:p w14:paraId="2E7842D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9</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19</w:t>
      </w:r>
      <w:r>
        <w:rPr>
          <w:rFonts w:hint="eastAsia" w:ascii="仿宋" w:hAnsi="仿宋" w:eastAsia="仿宋" w:cs="仿宋"/>
          <w:color w:val="auto"/>
          <w:highlight w:val="none"/>
          <w:u w:val="single"/>
        </w:rPr>
        <w:t>日</w:t>
      </w:r>
    </w:p>
    <w:p w14:paraId="1A26EB25">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AD89849">
      <w:pPr>
        <w:pStyle w:val="7"/>
        <w:pageBreakBefore w:val="0"/>
        <w:kinsoku/>
        <w:bidi w:val="0"/>
        <w:spacing w:beforeAutospacing="0" w:afterAutospacing="0" w:line="440" w:lineRule="exact"/>
        <w:rPr>
          <w:rFonts w:hint="eastAsia" w:ascii="仿宋" w:hAnsi="仿宋" w:eastAsia="仿宋" w:cs="仿宋"/>
          <w:color w:val="auto"/>
          <w:highlight w:val="none"/>
        </w:rPr>
      </w:pPr>
      <w:bookmarkStart w:id="1" w:name="_Toc236940849"/>
      <w:r>
        <w:rPr>
          <w:rFonts w:hint="eastAsia" w:ascii="仿宋" w:hAnsi="仿宋" w:eastAsia="仿宋" w:cs="仿宋"/>
          <w:color w:val="auto"/>
          <w:highlight w:val="none"/>
        </w:rPr>
        <w:t>第二章  投标人须知</w:t>
      </w:r>
      <w:bookmarkEnd w:id="1"/>
    </w:p>
    <w:p w14:paraId="20939905">
      <w:pPr>
        <w:pStyle w:val="8"/>
        <w:pageBreakBefore w:val="0"/>
        <w:kinsoku/>
        <w:overflowPunct/>
        <w:bidi w:val="0"/>
        <w:spacing w:before="0" w:beforeAutospacing="0" w:after="0" w:afterAutospacing="0" w:line="440" w:lineRule="exact"/>
        <w:ind w:left="578" w:hanging="578"/>
        <w:rPr>
          <w:rFonts w:hint="eastAsia" w:ascii="仿宋" w:hAnsi="仿宋" w:eastAsia="仿宋" w:cs="仿宋"/>
          <w:color w:val="auto"/>
          <w:highlight w:val="none"/>
        </w:rPr>
      </w:pPr>
      <w:r>
        <w:rPr>
          <w:rFonts w:hint="eastAsia" w:ascii="仿宋" w:hAnsi="仿宋" w:eastAsia="仿宋" w:cs="仿宋"/>
          <w:color w:val="auto"/>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3ED14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27FA5D">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46CA0D60">
            <w:pPr>
              <w:pageBreakBefore w:val="0"/>
              <w:kinsoku/>
              <w:wordWrap w:val="0"/>
              <w:overflowPunct/>
              <w:topLinePunct/>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内容说明及要求</w:t>
            </w:r>
          </w:p>
        </w:tc>
      </w:tr>
      <w:tr w14:paraId="405D4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D069645">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4A8E4770">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4AA77738">
            <w:pPr>
              <w:pageBreakBefore w:val="0"/>
              <w:kinsoku/>
              <w:wordWrap w:val="0"/>
              <w:overflowPunct/>
              <w:topLinePunct/>
              <w:bidi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杭州市富阳区综合行政执法局有害垃圾分拣处置服务采购项目</w:t>
            </w:r>
          </w:p>
        </w:tc>
      </w:tr>
      <w:tr w14:paraId="5E40C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7624AF">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75406CB9">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4B76722C">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5F32E06E">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（2）本项目预算价为</w:t>
            </w:r>
            <w:r>
              <w:rPr>
                <w:rFonts w:hint="eastAsia" w:ascii="仿宋" w:hAnsi="仿宋" w:eastAsia="仿宋" w:cs="仿宋"/>
                <w:color w:val="auto"/>
                <w:highlight w:val="none"/>
                <w:u w:val="single"/>
                <w:lang w:val="en-US" w:eastAsia="zh-CN"/>
              </w:rPr>
              <w:t xml:space="preserve"> 1319248 </w:t>
            </w:r>
            <w:r>
              <w:rPr>
                <w:rFonts w:hint="eastAsia" w:ascii="仿宋" w:hAnsi="仿宋" w:eastAsia="仿宋" w:cs="仿宋"/>
                <w:color w:val="auto"/>
                <w:highlight w:val="none"/>
              </w:rPr>
              <w:t>元，最高限价为</w:t>
            </w:r>
            <w:r>
              <w:rPr>
                <w:rFonts w:hint="eastAsia" w:ascii="仿宋" w:hAnsi="仿宋" w:eastAsia="仿宋" w:cs="仿宋"/>
                <w:color w:val="auto"/>
                <w:highlight w:val="none"/>
                <w:u w:val="single"/>
                <w:lang w:val="en-US" w:eastAsia="zh-CN"/>
              </w:rPr>
              <w:t xml:space="preserve"> 1319248</w:t>
            </w:r>
            <w:r>
              <w:rPr>
                <w:rFonts w:hint="eastAsia" w:ascii="仿宋" w:hAnsi="仿宋" w:eastAsia="仿宋" w:cs="仿宋"/>
                <w:color w:val="auto"/>
                <w:highlight w:val="none"/>
              </w:rPr>
              <w:t xml:space="preserve">元 </w:t>
            </w:r>
            <w:r>
              <w:rPr>
                <w:rFonts w:hint="eastAsia" w:ascii="仿宋" w:hAnsi="仿宋" w:eastAsia="仿宋" w:cs="仿宋"/>
                <w:color w:val="auto"/>
                <w:highlight w:val="none"/>
                <w:lang w:eastAsia="zh-CN"/>
              </w:rPr>
              <w:t>，超过最高限价的投标无效。</w:t>
            </w:r>
          </w:p>
          <w:p w14:paraId="26D73A30">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（3）采购方式：公开招标</w:t>
            </w:r>
          </w:p>
        </w:tc>
      </w:tr>
      <w:tr w14:paraId="6DB6F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5E9EF1">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72735AA8">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20E7A93E">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7EC0E2DE">
            <w:pPr>
              <w:pStyle w:val="107"/>
              <w:pageBreakBefore w:val="0"/>
              <w:kinsoku/>
              <w:wordWrap w:val="0"/>
              <w:overflowPunct/>
              <w:topLinePunct/>
              <w:bidi w:val="0"/>
              <w:spacing w:before="0" w:beforeAutospacing="0" w:after="0" w:afterAutospacing="0" w:line="440" w:lineRule="exact"/>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764E8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387D3F3">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2302C60E">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6FFD9B9C">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（1）开标时间：</w:t>
            </w:r>
            <w:r>
              <w:rPr>
                <w:rFonts w:hint="eastAsia" w:ascii="仿宋" w:hAnsi="仿宋" w:eastAsia="仿宋" w:cs="仿宋"/>
                <w:color w:val="auto"/>
                <w:highlight w:val="none"/>
                <w:u w:val="single"/>
                <w:lang w:val="en-US" w:eastAsia="zh-CN"/>
              </w:rPr>
              <w:t>2024</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11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1CF5E083">
            <w:pPr>
              <w:pStyle w:val="107"/>
              <w:pageBreakBefore w:val="0"/>
              <w:kinsoku/>
              <w:wordWrap w:val="0"/>
              <w:overflowPunct/>
              <w:topLinePunct/>
              <w:bidi w:val="0"/>
              <w:spacing w:before="0" w:beforeAutospacing="0" w:after="0" w:afterAutospacing="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w:t>
            </w:r>
            <w:r>
              <w:rPr>
                <w:rFonts w:hint="eastAsia" w:ascii="仿宋" w:hAnsi="仿宋" w:cs="仿宋"/>
                <w:color w:val="auto"/>
                <w:szCs w:val="24"/>
                <w:highlight w:val="none"/>
                <w:lang w:eastAsia="zh-CN"/>
              </w:rPr>
              <w:t>：</w:t>
            </w:r>
            <w:r>
              <w:rPr>
                <w:rFonts w:hint="eastAsia" w:ascii="仿宋" w:hAnsi="仿宋" w:eastAsia="仿宋" w:cs="仿宋"/>
                <w:color w:val="auto"/>
                <w:sz w:val="24"/>
                <w:szCs w:val="24"/>
                <w:highlight w:val="none"/>
                <w:lang w:val="en-US" w:eastAsia="zh-CN"/>
              </w:rPr>
              <w:t>杭州市富阳区富春街道恩波大道677号金富春大厦3楼评标室</w:t>
            </w:r>
            <w:r>
              <w:rPr>
                <w:rFonts w:hint="eastAsia" w:ascii="仿宋" w:hAnsi="仿宋" w:eastAsia="仿宋" w:cs="仿宋"/>
                <w:color w:val="auto"/>
                <w:szCs w:val="24"/>
                <w:highlight w:val="none"/>
              </w:rPr>
              <w:t>。政采云平台(https://w</w:t>
            </w:r>
            <w:bookmarkStart w:id="7" w:name="_GoBack"/>
            <w:bookmarkEnd w:id="7"/>
            <w:r>
              <w:rPr>
                <w:rFonts w:hint="eastAsia" w:ascii="仿宋" w:hAnsi="仿宋" w:eastAsia="仿宋" w:cs="仿宋"/>
                <w:color w:val="auto"/>
                <w:szCs w:val="24"/>
                <w:highlight w:val="none"/>
              </w:rPr>
              <w:t>ww.zcygov.cn/)。</w:t>
            </w:r>
          </w:p>
        </w:tc>
      </w:tr>
      <w:tr w14:paraId="42125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718FFA6">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43EF62D6">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221A0BFB">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5BC4DE50">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kern w:val="3"/>
                <w:szCs w:val="24"/>
                <w:highlight w:val="none"/>
              </w:rPr>
            </w:pPr>
            <w:r>
              <w:rPr>
                <w:rFonts w:hint="eastAsia" w:ascii="仿宋" w:hAnsi="仿宋" w:eastAsia="仿宋" w:cs="仿宋"/>
                <w:color w:val="auto"/>
                <w:highlight w:val="none"/>
              </w:rPr>
              <w:t>（2）</w:t>
            </w:r>
            <w:r>
              <w:rPr>
                <w:rFonts w:hint="eastAsia" w:ascii="仿宋" w:hAnsi="仿宋" w:eastAsia="仿宋" w:cs="仿宋"/>
                <w:color w:val="auto"/>
                <w:kern w:val="3"/>
                <w:szCs w:val="24"/>
                <w:highlight w:val="none"/>
              </w:rPr>
              <w:t>本项目不接受选择性报价。</w:t>
            </w:r>
          </w:p>
          <w:p w14:paraId="07A1876D">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w:t>
            </w:r>
            <w:r>
              <w:rPr>
                <w:rFonts w:hint="eastAsia" w:ascii="仿宋" w:hAnsi="仿宋" w:eastAsia="仿宋" w:cs="仿宋"/>
                <w:color w:val="auto"/>
                <w:szCs w:val="24"/>
                <w:highlight w:val="none"/>
              </w:rPr>
              <w:t>开标一览表（报价表）是报价的唯一载体。</w:t>
            </w:r>
          </w:p>
          <w:p w14:paraId="5274884E">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有关本项目实施所需的所有费用（含税费）均计入报价。</w:t>
            </w:r>
          </w:p>
          <w:p w14:paraId="4C20FA13">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招标文件未列明，而投标人认为必需的费用也需计入报价</w:t>
            </w:r>
            <w:r>
              <w:rPr>
                <w:rFonts w:hint="eastAsia" w:ascii="仿宋" w:hAnsi="仿宋" w:eastAsia="仿宋" w:cs="仿宋"/>
                <w:color w:val="auto"/>
                <w:szCs w:val="24"/>
                <w:highlight w:val="none"/>
                <w:lang w:eastAsia="zh-CN"/>
              </w:rPr>
              <w:t>。</w:t>
            </w:r>
          </w:p>
          <w:p w14:paraId="2A9C7F15">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不论投标结果如何，投标人均应自行承担所有与投标有关的全部费用。</w:t>
            </w:r>
          </w:p>
        </w:tc>
      </w:tr>
      <w:tr w14:paraId="366F2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744A37">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67CF5D81">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66D3CFC3">
            <w:pPr>
              <w:pageBreakBefore w:val="0"/>
              <w:numPr>
                <w:ilvl w:val="0"/>
                <w:numId w:val="0"/>
              </w:numPr>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本项目不允许转包</w:t>
            </w:r>
          </w:p>
          <w:p w14:paraId="27031225">
            <w:pPr>
              <w:pageBreakBefore w:val="0"/>
              <w:kinsoku/>
              <w:wordWrap w:val="0"/>
              <w:overflowPunct/>
              <w:topLinePunct/>
              <w:bidi w:val="0"/>
              <w:snapToGrid w:val="0"/>
              <w:spacing w:beforeAutospacing="0" w:afterAutospacing="0" w:line="440" w:lineRule="exact"/>
              <w:ind w:left="480" w:hanging="480" w:hangingChars="200"/>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sym w:font="Wingdings 2" w:char="00A3"/>
            </w:r>
            <w:r>
              <w:rPr>
                <w:rFonts w:hint="eastAsia" w:ascii="仿宋" w:hAnsi="仿宋" w:eastAsia="仿宋" w:cs="仿宋"/>
                <w:color w:val="auto"/>
                <w:highlight w:val="none"/>
                <w:lang w:val="en-US" w:eastAsia="zh-CN"/>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B</w:t>
            </w:r>
            <w:r>
              <w:rPr>
                <w:rFonts w:hint="eastAsia" w:ascii="仿宋" w:hAnsi="仿宋" w:eastAsia="仿宋" w:cs="仿宋"/>
                <w:color w:val="auto"/>
                <w:sz w:val="24"/>
                <w:highlight w:val="none"/>
              </w:rPr>
              <w:t>不同意分包。</w:t>
            </w:r>
          </w:p>
          <w:p w14:paraId="530803C9">
            <w:pPr>
              <w:pStyle w:val="107"/>
              <w:pageBreakBefore w:val="0"/>
              <w:kinsoku/>
              <w:wordWrap w:val="0"/>
              <w:overflowPunct/>
              <w:topLinePunct/>
              <w:bidi w:val="0"/>
              <w:spacing w:before="0" w:beforeAutospacing="0" w:after="0" w:afterAutospacing="0" w:line="440" w:lineRule="exact"/>
              <w:ind w:left="0"/>
              <w:rPr>
                <w:rFonts w:hint="eastAsia" w:ascii="仿宋" w:hAnsi="仿宋" w:eastAsia="仿宋" w:cs="仿宋"/>
                <w:color w:val="auto"/>
                <w:szCs w:val="24"/>
                <w:highlight w:val="none"/>
                <w:lang w:val="en-US" w:eastAsia="zh-CN"/>
              </w:rPr>
            </w:pPr>
            <w:r>
              <w:rPr>
                <w:rFonts w:hint="eastAsia" w:ascii="仿宋" w:hAnsi="仿宋" w:eastAsia="仿宋" w:cs="仿宋"/>
                <w:color w:val="auto"/>
                <w:sz w:val="24"/>
                <w:highlight w:val="none"/>
              </w:rPr>
              <w:t>注：不得限制大中型企业向小微企业合理分包。</w:t>
            </w:r>
          </w:p>
        </w:tc>
      </w:tr>
      <w:tr w14:paraId="46FF8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6AD186">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10C8838A">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609F2768">
            <w:pPr>
              <w:pageBreakBefore w:val="0"/>
              <w:numPr>
                <w:ilvl w:val="0"/>
                <w:numId w:val="0"/>
              </w:numPr>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kern w:val="3"/>
                <w:sz w:val="24"/>
                <w:szCs w:val="24"/>
                <w:highlight w:val="none"/>
                <w:lang w:val="en-US" w:eastAsia="zh-CN" w:bidi="ar-SA"/>
              </w:rPr>
              <w:t>（1）</w:t>
            </w:r>
            <w:r>
              <w:rPr>
                <w:rFonts w:hint="eastAsia" w:ascii="仿宋" w:hAnsi="仿宋" w:eastAsia="仿宋" w:cs="仿宋"/>
                <w:color w:val="auto"/>
                <w:highlight w:val="none"/>
              </w:rPr>
              <w:t>开标前答疑会：不组织</w:t>
            </w:r>
          </w:p>
          <w:p w14:paraId="7123CFF1">
            <w:pPr>
              <w:pageBreakBefore w:val="0"/>
              <w:numPr>
                <w:ilvl w:val="0"/>
                <w:numId w:val="0"/>
              </w:numPr>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kern w:val="3"/>
                <w:sz w:val="24"/>
                <w:szCs w:val="24"/>
                <w:highlight w:val="none"/>
                <w:lang w:val="en-US" w:eastAsia="zh-CN" w:bidi="ar-SA"/>
              </w:rPr>
              <w:t>（2）</w:t>
            </w:r>
            <w:r>
              <w:rPr>
                <w:rFonts w:hint="eastAsia" w:ascii="仿宋" w:hAnsi="仿宋" w:eastAsia="仿宋" w:cs="仿宋"/>
                <w:color w:val="auto"/>
                <w:highlight w:val="none"/>
              </w:rPr>
              <w:t>现场踏勘：不统一组织，如需现场踏勘，请潜在投标人自行联系采购人进行踏勘。</w:t>
            </w:r>
          </w:p>
          <w:p w14:paraId="04D361F3">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采购人联系方式：联系人：叶润龙 联系电话：15268800553</w:t>
            </w:r>
          </w:p>
        </w:tc>
      </w:tr>
      <w:tr w14:paraId="3B823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01B6705">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384660FE">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700022BC">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综合评分法。具体详见</w:t>
            </w:r>
            <w:r>
              <w:rPr>
                <w:rFonts w:hint="eastAsia" w:ascii="仿宋" w:hAnsi="仿宋" w:eastAsia="仿宋" w:cs="仿宋"/>
                <w:color w:val="auto"/>
                <w:highlight w:val="none"/>
              </w:rPr>
              <w:t>招标文件第三章评标办法及评分标准。</w:t>
            </w:r>
          </w:p>
        </w:tc>
      </w:tr>
      <w:tr w14:paraId="5CDD7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8FD7CD7">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7836A266">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000CEF07">
            <w:pPr>
              <w:pageBreakBefore w:val="0"/>
              <w:kinsoku/>
              <w:overflowPunct/>
              <w:bidi w:val="0"/>
              <w:spacing w:line="44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A</w:t>
            </w:r>
            <w:r>
              <w:rPr>
                <w:rFonts w:hint="eastAsia" w:ascii="仿宋" w:hAnsi="仿宋" w:eastAsia="仿宋" w:cs="仿宋"/>
                <w:color w:val="auto"/>
                <w:sz w:val="24"/>
                <w:highlight w:val="none"/>
              </w:rPr>
              <w:t>不要求提供。</w:t>
            </w:r>
          </w:p>
        </w:tc>
      </w:tr>
      <w:tr w14:paraId="0671B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805D0D3">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685C849B">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55222FC3">
            <w:pPr>
              <w:pStyle w:val="2"/>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A不要求演示</w:t>
            </w:r>
          </w:p>
        </w:tc>
      </w:tr>
      <w:tr w14:paraId="11555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75A59E1">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2C4C4DCD">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6E8D91F6">
            <w:pPr>
              <w:pageBreakBefore w:val="0"/>
              <w:kinsoku/>
              <w:wordWrap w:val="0"/>
              <w:overflowPunct/>
              <w:topLinePunct/>
              <w:bidi w:val="0"/>
              <w:snapToGrid w:val="0"/>
              <w:spacing w:beforeAutospacing="0" w:afterAutospacing="0" w:line="440" w:lineRule="exact"/>
              <w:rPr>
                <w:rFonts w:hint="eastAsia" w:ascii="仿宋" w:hAnsi="仿宋" w:eastAsia="仿宋" w:cs="仿宋"/>
                <w:b/>
                <w:bCs/>
                <w:color w:val="auto"/>
                <w:highlight w:val="none"/>
                <w:lang w:eastAsia="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highlight w:val="none"/>
                <w:lang w:val="en-US" w:eastAsia="zh-CN"/>
              </w:rPr>
              <w:t>货物类，</w:t>
            </w:r>
            <w:r>
              <w:rPr>
                <w:rFonts w:hint="eastAsia" w:ascii="仿宋" w:hAnsi="仿宋" w:eastAsia="仿宋" w:cs="仿宋"/>
                <w:b w:val="0"/>
                <w:bCs/>
                <w:color w:val="auto"/>
                <w:kern w:val="2"/>
                <w:sz w:val="24"/>
                <w:szCs w:val="24"/>
                <w:highlight w:val="none"/>
                <w:lang w:val="en-US" w:eastAsia="zh-CN" w:bidi="ar-SA"/>
              </w:rPr>
              <w:t>单一产品或核心产品为：</w:t>
            </w:r>
            <w:r>
              <w:rPr>
                <w:rFonts w:hint="eastAsia" w:ascii="仿宋" w:hAnsi="仿宋" w:eastAsia="仿宋" w:cs="仿宋"/>
                <w:b/>
                <w:bCs/>
                <w:color w:val="auto"/>
                <w:kern w:val="2"/>
                <w:sz w:val="24"/>
                <w:szCs w:val="24"/>
                <w:highlight w:val="none"/>
                <w:u w:val="single"/>
                <w:lang w:val="en-US" w:eastAsia="zh-CN" w:bidi="ar-SA"/>
              </w:rPr>
              <w:t xml:space="preserve">           </w:t>
            </w:r>
            <w:r>
              <w:rPr>
                <w:rFonts w:hint="eastAsia" w:ascii="仿宋" w:hAnsi="仿宋" w:eastAsia="仿宋" w:cs="仿宋"/>
                <w:color w:val="auto"/>
                <w:sz w:val="24"/>
                <w:highlight w:val="none"/>
              </w:rPr>
              <w:t>。</w:t>
            </w:r>
          </w:p>
          <w:p w14:paraId="142C4DA3">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类</w:t>
            </w:r>
          </w:p>
        </w:tc>
      </w:tr>
      <w:tr w14:paraId="0F37E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12AF6FE">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55E8D75B">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74E3BE6">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本项目专门面向中小</w:t>
            </w:r>
            <w:r>
              <w:rPr>
                <w:rFonts w:hint="eastAsia" w:ascii="仿宋" w:hAnsi="仿宋" w:eastAsia="仿宋" w:cs="仿宋"/>
                <w:b/>
                <w:bCs/>
                <w:color w:val="auto"/>
                <w:highlight w:val="none"/>
                <w:lang w:eastAsia="zh-CN"/>
              </w:rPr>
              <w:t>微</w:t>
            </w:r>
            <w:r>
              <w:rPr>
                <w:rFonts w:hint="eastAsia" w:ascii="仿宋" w:hAnsi="仿宋" w:eastAsia="仿宋" w:cs="仿宋"/>
                <w:b/>
                <w:bCs/>
                <w:color w:val="auto"/>
                <w:highlight w:val="none"/>
              </w:rPr>
              <w:t>企业采购</w:t>
            </w:r>
            <w:r>
              <w:rPr>
                <w:rFonts w:hint="eastAsia" w:ascii="仿宋" w:hAnsi="仿宋" w:eastAsia="仿宋" w:cs="仿宋"/>
                <w:color w:val="auto"/>
                <w:highlight w:val="none"/>
              </w:rPr>
              <w:t>。</w:t>
            </w:r>
          </w:p>
        </w:tc>
      </w:tr>
      <w:tr w14:paraId="15CBC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A9837DE">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23567CA6">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718A375D">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288F6502">
            <w:pPr>
              <w:pageBreakBefore w:val="0"/>
              <w:kinsoku/>
              <w:overflowPunct/>
              <w:bidi w:val="0"/>
              <w:snapToGrid w:val="0"/>
              <w:spacing w:line="440" w:lineRule="exact"/>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highlight w:val="none"/>
              </w:rPr>
              <w:t>（1）采购标的：</w:t>
            </w:r>
            <w:r>
              <w:rPr>
                <w:rFonts w:hint="eastAsia" w:ascii="仿宋" w:hAnsi="仿宋" w:eastAsia="仿宋" w:cs="仿宋"/>
                <w:b/>
                <w:bCs/>
                <w:color w:val="auto"/>
                <w:highlight w:val="none"/>
                <w:u w:val="single"/>
              </w:rPr>
              <w:t>有害垃圾分拣处置服务</w:t>
            </w:r>
          </w:p>
          <w:p w14:paraId="2B69CAA7">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u w:val="single"/>
                <w:lang w:val="en-US" w:eastAsia="zh-CN"/>
              </w:rPr>
            </w:pPr>
            <w:r>
              <w:rPr>
                <w:rFonts w:hint="eastAsia" w:ascii="仿宋" w:hAnsi="仿宋" w:eastAsia="仿宋" w:cs="仿宋"/>
                <w:b/>
                <w:bCs/>
                <w:color w:val="auto"/>
                <w:highlight w:val="none"/>
              </w:rPr>
              <w:t>（2）所属行业：</w:t>
            </w:r>
            <w:r>
              <w:rPr>
                <w:rFonts w:hint="eastAsia" w:ascii="仿宋" w:hAnsi="仿宋" w:eastAsia="仿宋" w:cs="仿宋"/>
                <w:b/>
                <w:bCs/>
                <w:color w:val="auto"/>
                <w:highlight w:val="none"/>
                <w:u w:val="single"/>
                <w:lang w:eastAsia="zh-CN"/>
              </w:rPr>
              <w:t>其他未列明行业</w:t>
            </w:r>
          </w:p>
        </w:tc>
      </w:tr>
      <w:tr w14:paraId="261BE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5D134BC">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38E92373">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5FE1162A">
            <w:pPr>
              <w:pageBreakBefore w:val="0"/>
              <w:widowControl/>
              <w:numPr>
                <w:ilvl w:val="0"/>
                <w:numId w:val="1"/>
              </w:numPr>
              <w:kinsoku/>
              <w:wordWrap w:val="0"/>
              <w:overflowPunct/>
              <w:topLinePunct/>
              <w:bidi w:val="0"/>
              <w:spacing w:beforeAutospacing="0" w:afterAutospacing="0"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根据财库〔2020〕46号</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财库〔202</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19</w:t>
            </w:r>
            <w:r>
              <w:rPr>
                <w:rFonts w:hint="eastAsia" w:ascii="仿宋" w:hAnsi="仿宋" w:eastAsia="仿宋" w:cs="仿宋"/>
                <w:b/>
                <w:bCs/>
                <w:color w:val="auto"/>
                <w:highlight w:val="none"/>
              </w:rPr>
              <w:t>号的相关规定</w:t>
            </w:r>
            <w:r>
              <w:rPr>
                <w:rFonts w:hint="eastAsia" w:ascii="仿宋" w:hAnsi="仿宋" w:eastAsia="仿宋" w:cs="仿宋"/>
                <w:b/>
                <w:bCs/>
                <w:color w:val="auto"/>
                <w:highlight w:val="none"/>
                <w:lang w:eastAsia="zh-CN"/>
              </w:rPr>
              <w:t>：</w:t>
            </w:r>
          </w:p>
          <w:p w14:paraId="692DC4DB">
            <w:pPr>
              <w:pStyle w:val="1024"/>
              <w:pageBreakBefore w:val="0"/>
              <w:widowControl/>
              <w:kinsoku/>
              <w:wordWrap w:val="0"/>
              <w:overflowPunct/>
              <w:topLinePunct/>
              <w:bidi w:val="0"/>
              <w:spacing w:beforeAutospacing="0" w:afterAutospacing="0" w:line="440" w:lineRule="exact"/>
              <w:ind w:firstLine="480"/>
              <w:jc w:val="left"/>
              <w:rPr>
                <w:rFonts w:hint="eastAsia" w:ascii="仿宋" w:hAnsi="仿宋" w:eastAsia="仿宋" w:cs="仿宋"/>
                <w:color w:val="auto"/>
                <w:highlight w:val="none"/>
                <w:lang w:val="zh-CN"/>
              </w:rPr>
            </w:pPr>
            <w:r>
              <w:rPr>
                <w:rFonts w:hint="eastAsia" w:ascii="仿宋" w:hAnsi="仿宋" w:eastAsia="仿宋" w:cs="仿宋"/>
                <w:color w:val="auto"/>
                <w:sz w:val="24"/>
                <w:highlight w:val="none"/>
                <w:u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10-20</w:t>
            </w:r>
            <w:r>
              <w:rPr>
                <w:rFonts w:hint="eastAsia" w:ascii="仿宋" w:hAnsi="仿宋" w:eastAsia="仿宋" w:cs="仿宋"/>
                <w:b/>
                <w:bCs/>
                <w:color w:val="auto"/>
                <w:kern w:val="2"/>
                <w:highlight w:val="none"/>
              </w:rPr>
              <w:t>%的扣除，用扣除后的价格参与评审。</w:t>
            </w:r>
            <w:r>
              <w:rPr>
                <w:rFonts w:hint="eastAsia" w:ascii="仿宋" w:hAnsi="仿宋" w:eastAsia="仿宋" w:cs="仿宋"/>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仿宋" w:hAnsi="仿宋" w:eastAsia="仿宋" w:cs="仿宋"/>
                <w:color w:val="auto"/>
                <w:sz w:val="24"/>
                <w:highlight w:val="none"/>
                <w:lang w:eastAsia="zh-CN"/>
              </w:rPr>
              <w:t>予</w:t>
            </w: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7A7785C">
            <w:pPr>
              <w:keepNext/>
              <w:keepLines/>
              <w:pageBreakBefore w:val="0"/>
              <w:kinsoku/>
              <w:wordWrap w:val="0"/>
              <w:overflowPunct/>
              <w:topLinePunct/>
              <w:bidi w:val="0"/>
              <w:spacing w:beforeAutospacing="0" w:afterAutospacing="0" w:line="440" w:lineRule="exact"/>
              <w:ind w:firstLine="470" w:firstLineChars="196"/>
              <w:rPr>
                <w:rFonts w:hint="eastAsia" w:ascii="仿宋" w:hAnsi="仿宋" w:eastAsia="仿宋" w:cs="仿宋"/>
                <w:b/>
                <w:bCs/>
                <w:color w:val="auto"/>
                <w:kern w:val="2"/>
                <w:highlight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6272010B">
            <w:pPr>
              <w:pStyle w:val="1024"/>
              <w:pageBreakBefore w:val="0"/>
              <w:widowControl/>
              <w:kinsoku/>
              <w:wordWrap w:val="0"/>
              <w:overflowPunct/>
              <w:topLinePunct/>
              <w:bidi w:val="0"/>
              <w:spacing w:beforeAutospacing="0" w:afterAutospacing="0" w:line="440" w:lineRule="exact"/>
              <w:ind w:firstLine="480"/>
              <w:jc w:val="left"/>
              <w:rPr>
                <w:rFonts w:hint="eastAsia" w:ascii="仿宋" w:hAnsi="仿宋" w:eastAsia="仿宋" w:cs="仿宋"/>
                <w:color w:val="auto"/>
                <w:highlight w:val="none"/>
                <w:lang w:val="zh-CN"/>
              </w:rPr>
            </w:pPr>
          </w:p>
          <w:p w14:paraId="37841350">
            <w:pPr>
              <w:pStyle w:val="1024"/>
              <w:pageBreakBefore w:val="0"/>
              <w:widowControl/>
              <w:kinsoku/>
              <w:wordWrap w:val="0"/>
              <w:overflowPunct/>
              <w:topLinePunct/>
              <w:bidi w:val="0"/>
              <w:spacing w:beforeAutospacing="0" w:afterAutospacing="0" w:line="440" w:lineRule="exact"/>
              <w:ind w:firstLine="48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EF91223">
            <w:pPr>
              <w:pStyle w:val="1024"/>
              <w:pageBreakBefore w:val="0"/>
              <w:widowControl/>
              <w:kinsoku/>
              <w:wordWrap w:val="0"/>
              <w:overflowPunct/>
              <w:topLinePunct/>
              <w:bidi w:val="0"/>
              <w:spacing w:beforeAutospacing="0" w:afterAutospacing="0" w:line="440" w:lineRule="exact"/>
              <w:ind w:firstLine="48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5E4B4210">
            <w:pPr>
              <w:pStyle w:val="11"/>
              <w:pageBreakBefore w:val="0"/>
              <w:kinsoku/>
              <w:wordWrap w:val="0"/>
              <w:overflowPunct/>
              <w:topLinePunct/>
              <w:bidi w:val="0"/>
              <w:spacing w:before="0" w:beforeAutospacing="0" w:after="0" w:afterAutospacing="0" w:line="440" w:lineRule="exact"/>
              <w:ind w:left="1122" w:leftChars="147" w:hanging="769" w:hangingChars="319"/>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6588AD43">
            <w:pPr>
              <w:pageBreakBefore w:val="0"/>
              <w:widowControl/>
              <w:kinsoku/>
              <w:wordWrap w:val="0"/>
              <w:overflowPunct/>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3D047170">
            <w:pPr>
              <w:pageBreakBefore w:val="0"/>
              <w:widowControl/>
              <w:kinsoku/>
              <w:wordWrap w:val="0"/>
              <w:overflowPunct/>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0CEA0B93">
            <w:pPr>
              <w:pageBreakBefore w:val="0"/>
              <w:widowControl/>
              <w:kinsoku/>
              <w:wordWrap w:val="0"/>
              <w:overflowPunct/>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7EB196F6">
            <w:pPr>
              <w:pageBreakBefore w:val="0"/>
              <w:widowControl/>
              <w:kinsoku/>
              <w:wordWrap w:val="0"/>
              <w:overflowPunct/>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A6D8DDC">
            <w:pPr>
              <w:pageBreakBefore w:val="0"/>
              <w:widowControl/>
              <w:kinsoku/>
              <w:wordWrap w:val="0"/>
              <w:overflowPunct/>
              <w:topLinePunct/>
              <w:bidi w:val="0"/>
              <w:spacing w:beforeAutospacing="0" w:afterAutospacing="0" w:line="440" w:lineRule="exact"/>
              <w:ind w:firstLine="482" w:firstLineChars="200"/>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符合上述条件的，请填写中小企业声明函。</w:t>
            </w:r>
          </w:p>
          <w:p w14:paraId="505FF4B8">
            <w:pPr>
              <w:pageBreakBefore w:val="0"/>
              <w:kinsoku/>
              <w:wordWrap w:val="0"/>
              <w:overflowPunct/>
              <w:topLinePunct/>
              <w:autoSpaceDE w:val="0"/>
              <w:autoSpaceDN w:val="0"/>
              <w:bidi w:val="0"/>
              <w:snapToGrid w:val="0"/>
              <w:spacing w:beforeAutospacing="0" w:afterAutospacing="0" w:line="440" w:lineRule="exact"/>
              <w:textAlignment w:val="bottom"/>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2、符合《关于促进残疾人就业政府采购政策的通知》（财库〔2017〕141号）规定的条件并提供《残疾人福利性单位声明函》(格式见附件)的残疾人福利性单位视同小型、微型企业；</w:t>
            </w:r>
          </w:p>
          <w:p w14:paraId="38D556B4">
            <w:pPr>
              <w:pageBreakBefore w:val="0"/>
              <w:widowControl/>
              <w:kinsoku/>
              <w:wordWrap w:val="0"/>
              <w:overflowPunct/>
              <w:topLinePunct/>
              <w:bidi w:val="0"/>
              <w:spacing w:beforeAutospacing="0" w:afterAutospacing="0"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CBD477D">
            <w:pPr>
              <w:pageBreakBefore w:val="0"/>
              <w:kinsoku/>
              <w:wordWrap w:val="0"/>
              <w:overflowPunct/>
              <w:topLinePunct/>
              <w:bidi w:val="0"/>
              <w:spacing w:beforeAutospacing="0" w:afterAutospacing="0"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注：1.中标供应商为</w:t>
            </w:r>
            <w:r>
              <w:rPr>
                <w:rFonts w:hint="eastAsia" w:ascii="仿宋" w:hAnsi="仿宋" w:eastAsia="仿宋" w:cs="仿宋"/>
                <w:b/>
                <w:bCs/>
                <w:color w:val="auto"/>
                <w:highlight w:val="none"/>
                <w:lang w:eastAsia="zh-CN"/>
              </w:rPr>
              <w:t>中</w:t>
            </w:r>
            <w:r>
              <w:rPr>
                <w:rFonts w:hint="eastAsia" w:ascii="仿宋" w:hAnsi="仿宋" w:eastAsia="仿宋" w:cs="仿宋"/>
                <w:b/>
                <w:bCs/>
                <w:color w:val="auto"/>
                <w:highlight w:val="none"/>
              </w:rPr>
              <w:t>小微企业、监狱企业、残疾人福利性单位的，其《中小企业声明函》、监狱企业证明文件、《残疾人福利性单位声明函》随中标结果同时公告，接受社会监督。</w:t>
            </w:r>
          </w:p>
          <w:p w14:paraId="6D29F8D5">
            <w:pPr>
              <w:pageBreakBefore w:val="0"/>
              <w:kinsoku/>
              <w:wordWrap w:val="0"/>
              <w:overflowPunct/>
              <w:topLinePunct/>
              <w:bidi w:val="0"/>
              <w:snapToGrid w:val="0"/>
              <w:spacing w:beforeAutospacing="0" w:afterAutospacing="0"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2.供应商提供的《中小企业声明函》、监狱企业证明文件、《残疾人福利性单位声明函》与事实不符的，依照《中华人民共和国政府采购法》等国家有关规定追究相应责任。</w:t>
            </w:r>
          </w:p>
        </w:tc>
      </w:tr>
      <w:tr w14:paraId="0BF1F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CF5B8D">
            <w:pPr>
              <w:pageBreakBefore w:val="0"/>
              <w:kinsoku/>
              <w:wordWrap w:val="0"/>
              <w:overflowPunct/>
              <w:topLinePunct/>
              <w:bidi w:val="0"/>
              <w:spacing w:beforeAutospacing="0" w:afterAutospacing="0" w:line="440" w:lineRule="exact"/>
              <w:jc w:val="center"/>
              <w:rPr>
                <w:rFonts w:hint="eastAsia" w:ascii="仿宋" w:hAnsi="仿宋" w:eastAsia="仿宋" w:cs="仿宋"/>
                <w:color w:val="auto"/>
                <w:highlight w:val="none"/>
                <w:lang w:eastAsia="zh-CN"/>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720C8E4">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节</w:t>
            </w:r>
            <w:r>
              <w:rPr>
                <w:rFonts w:hint="eastAsia" w:ascii="仿宋" w:hAnsi="仿宋" w:eastAsia="仿宋" w:cs="仿宋"/>
                <w:b/>
                <w:bCs/>
                <w:color w:val="auto"/>
                <w:highlight w:val="none"/>
              </w:rPr>
              <w:t>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62363C05">
            <w:pPr>
              <w:pageBreakBefore w:val="0"/>
              <w:kinsoku/>
              <w:wordWrap w:val="0"/>
              <w:overflowPunct/>
              <w:topLinePunct/>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2807731">
            <w:pPr>
              <w:pageBreakBefore w:val="0"/>
              <w:kinsoku/>
              <w:wordWrap w:val="0"/>
              <w:overflowPunct/>
              <w:topLinePunct/>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5E3F648A">
            <w:pPr>
              <w:pStyle w:val="11"/>
              <w:pageBreakBefore w:val="0"/>
              <w:kinsoku/>
              <w:wordWrap w:val="0"/>
              <w:overflowPunct/>
              <w:topLinePunct/>
              <w:bidi w:val="0"/>
              <w:spacing w:before="0" w:beforeAutospacing="0" w:after="0" w:afterAutospacing="0" w:line="440" w:lineRule="exact"/>
              <w:jc w:val="left"/>
              <w:rPr>
                <w:rFonts w:hint="eastAsia" w:ascii="仿宋" w:hAnsi="仿宋" w:eastAsia="仿宋" w:cs="仿宋"/>
                <w:color w:val="auto"/>
                <w:sz w:val="24"/>
                <w:szCs w:val="24"/>
                <w:highlight w:val="none"/>
                <w:shd w:val="clear" w:color="auto" w:fill="FFFFFF"/>
              </w:rPr>
            </w:pPr>
          </w:p>
          <w:p w14:paraId="31EF1668">
            <w:pPr>
              <w:pStyle w:val="11"/>
              <w:pageBreakBefore w:val="0"/>
              <w:kinsoku/>
              <w:wordWrap w:val="0"/>
              <w:overflowPunct/>
              <w:topLinePunct/>
              <w:bidi w:val="0"/>
              <w:spacing w:before="0" w:beforeAutospacing="0" w:after="0" w:afterAutospacing="0" w:line="440" w:lineRule="exact"/>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环境标志产品政府采购品目清单：详见</w:t>
            </w:r>
          </w:p>
          <w:p w14:paraId="1056291B">
            <w:pPr>
              <w:pageBreakBefore w:val="0"/>
              <w:kinsoku/>
              <w:wordWrap w:val="0"/>
              <w:overflowPunct/>
              <w:topLinePunct/>
              <w:bidi w:val="0"/>
              <w:spacing w:beforeAutospacing="0" w:afterAutospacing="0"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"https://zfcg.czt.zj.gov.cn/aboveProvinceFile/2019-03-29/12913.html?utm=web-government-front.4aa179da.0.0.657e88a09bfb11eb9aaf03ad2249e870" </w:instrText>
            </w:r>
            <w:r>
              <w:rPr>
                <w:rFonts w:hint="eastAsia" w:ascii="仿宋" w:hAnsi="仿宋" w:eastAsia="仿宋" w:cs="仿宋"/>
                <w:color w:val="auto"/>
                <w:highlight w:val="none"/>
              </w:rPr>
              <w:fldChar w:fldCharType="separate"/>
            </w:r>
            <w:r>
              <w:rPr>
                <w:rStyle w:val="102"/>
                <w:rFonts w:hint="eastAsia" w:ascii="仿宋" w:hAnsi="仿宋" w:eastAsia="仿宋" w:cs="仿宋"/>
                <w:color w:val="auto"/>
                <w:highlight w:val="none"/>
              </w:rPr>
              <w:t>https://zfcg.czt.zj.gov.cn/aboveProvinceFile/2019-03-29/12913.html?utm=web-government-front.4aa179da.0.0.657e88a09bfb11eb9aaf03ad2249e870</w:t>
            </w:r>
            <w:r>
              <w:rPr>
                <w:rStyle w:val="102"/>
                <w:rFonts w:hint="eastAsia" w:ascii="仿宋" w:hAnsi="仿宋" w:eastAsia="仿宋" w:cs="仿宋"/>
                <w:color w:val="auto"/>
                <w:highlight w:val="none"/>
              </w:rPr>
              <w:fldChar w:fldCharType="end"/>
            </w:r>
          </w:p>
          <w:p w14:paraId="6B0006E4">
            <w:pPr>
              <w:pStyle w:val="11"/>
              <w:pageBreakBefore w:val="0"/>
              <w:kinsoku/>
              <w:wordWrap w:val="0"/>
              <w:overflowPunct/>
              <w:topLinePunct/>
              <w:bidi w:val="0"/>
              <w:spacing w:before="0" w:beforeAutospacing="0" w:after="0" w:afterAutospacing="0" w:line="440" w:lineRule="exact"/>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节能产品政府采购品目清单：详见</w:t>
            </w:r>
          </w:p>
          <w:p w14:paraId="4F396EC1">
            <w:pPr>
              <w:pStyle w:val="11"/>
              <w:pageBreakBefore w:val="0"/>
              <w:kinsoku/>
              <w:wordWrap w:val="0"/>
              <w:overflowPunct/>
              <w:topLinePunct/>
              <w:bidi w:val="0"/>
              <w:spacing w:before="0" w:beforeAutospacing="0" w:after="0" w:afterAutospacing="0" w:line="440" w:lineRule="exact"/>
              <w:ind w:left="1009" w:hanging="1009"/>
              <w:jc w:val="left"/>
              <w:rPr>
                <w:rStyle w:val="102"/>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ascii="仿宋" w:hAnsi="仿宋" w:eastAsia="仿宋" w:cs="仿宋"/>
                <w:b w:val="0"/>
                <w:bCs w:val="0"/>
                <w:color w:val="auto"/>
                <w:sz w:val="24"/>
                <w:szCs w:val="24"/>
                <w:highlight w:val="none"/>
              </w:rPr>
              <w:fldChar w:fldCharType="separate"/>
            </w:r>
            <w:r>
              <w:rPr>
                <w:rStyle w:val="102"/>
                <w:rFonts w:hint="eastAsia" w:ascii="仿宋" w:hAnsi="仿宋" w:eastAsia="仿宋" w:cs="仿宋"/>
                <w:b w:val="0"/>
                <w:bCs w:val="0"/>
                <w:color w:val="auto"/>
                <w:sz w:val="24"/>
                <w:szCs w:val="24"/>
                <w:highlight w:val="none"/>
              </w:rPr>
              <w:t>https://zfcg.czt.zj.gov.cn/aboveProvinceFile/2019-04-02</w:t>
            </w:r>
          </w:p>
          <w:p w14:paraId="5B7C31D9">
            <w:pPr>
              <w:pStyle w:val="11"/>
              <w:pageBreakBefore w:val="0"/>
              <w:kinsoku/>
              <w:wordWrap w:val="0"/>
              <w:overflowPunct/>
              <w:topLinePunct/>
              <w:bidi w:val="0"/>
              <w:spacing w:before="0" w:beforeAutospacing="0" w:after="0" w:afterAutospacing="0" w:line="440" w:lineRule="exact"/>
              <w:ind w:left="1009" w:hanging="1009"/>
              <w:jc w:val="left"/>
              <w:rPr>
                <w:rStyle w:val="102"/>
                <w:rFonts w:hint="eastAsia" w:ascii="仿宋" w:hAnsi="仿宋" w:eastAsia="仿宋" w:cs="仿宋"/>
                <w:b w:val="0"/>
                <w:bCs w:val="0"/>
                <w:color w:val="auto"/>
                <w:sz w:val="24"/>
                <w:szCs w:val="24"/>
                <w:highlight w:val="none"/>
              </w:rPr>
            </w:pPr>
            <w:r>
              <w:rPr>
                <w:rStyle w:val="102"/>
                <w:rFonts w:hint="eastAsia" w:ascii="仿宋" w:hAnsi="仿宋" w:eastAsia="仿宋" w:cs="仿宋"/>
                <w:b w:val="0"/>
                <w:bCs w:val="0"/>
                <w:color w:val="auto"/>
                <w:sz w:val="24"/>
                <w:szCs w:val="24"/>
                <w:highlight w:val="none"/>
              </w:rPr>
              <w:t>/12912.html?utm=web-government-front.4aa179da.0.0.657e8</w:t>
            </w:r>
          </w:p>
          <w:p w14:paraId="6906E5E4">
            <w:pPr>
              <w:pStyle w:val="11"/>
              <w:pageBreakBefore w:val="0"/>
              <w:kinsoku/>
              <w:wordWrap w:val="0"/>
              <w:overflowPunct/>
              <w:topLinePunct/>
              <w:bidi w:val="0"/>
              <w:spacing w:before="0" w:beforeAutospacing="0" w:after="0" w:afterAutospacing="0" w:line="440" w:lineRule="exact"/>
              <w:ind w:left="1009" w:hanging="1009"/>
              <w:jc w:val="left"/>
              <w:rPr>
                <w:rFonts w:hint="eastAsia" w:ascii="仿宋" w:hAnsi="仿宋" w:eastAsia="仿宋" w:cs="仿宋"/>
                <w:color w:val="auto"/>
                <w:sz w:val="24"/>
                <w:szCs w:val="24"/>
                <w:highlight w:val="none"/>
              </w:rPr>
            </w:pPr>
            <w:r>
              <w:rPr>
                <w:rStyle w:val="102"/>
                <w:rFonts w:hint="eastAsia" w:ascii="仿宋" w:hAnsi="仿宋" w:eastAsia="仿宋" w:cs="仿宋"/>
                <w:b w:val="0"/>
                <w:bCs w:val="0"/>
                <w:color w:val="auto"/>
                <w:sz w:val="24"/>
                <w:szCs w:val="24"/>
                <w:highlight w:val="none"/>
              </w:rPr>
              <w:t>8a09bfb11eb9aaf03ad2249e870</w:t>
            </w:r>
            <w:r>
              <w:rPr>
                <w:rFonts w:hint="eastAsia" w:ascii="仿宋" w:hAnsi="仿宋" w:eastAsia="仿宋" w:cs="仿宋"/>
                <w:b w:val="0"/>
                <w:bCs w:val="0"/>
                <w:color w:val="auto"/>
                <w:sz w:val="24"/>
                <w:szCs w:val="24"/>
                <w:highlight w:val="none"/>
              </w:rPr>
              <w:fldChar w:fldCharType="end"/>
            </w:r>
          </w:p>
        </w:tc>
      </w:tr>
      <w:tr w14:paraId="67EDD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E10CA3">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2038232D">
            <w:pPr>
              <w:keepNext w:val="0"/>
              <w:keepLines w:val="0"/>
              <w:pageBreakBefore w:val="0"/>
              <w:widowControl w:val="0"/>
              <w:kinsoku/>
              <w:wordWrap/>
              <w:overflowPunct/>
              <w:topLinePunct w:val="0"/>
              <w:autoSpaceDE/>
              <w:autoSpaceDN/>
              <w:bidi w:val="0"/>
              <w:snapToGrid/>
              <w:spacing w:beforeLines="0" w:line="440" w:lineRule="exact"/>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b/>
                <w:color w:val="auto"/>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15BC4E3B">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（1）修缮、装修类项目采购建材的，采购人应将绿色建筑和绿色建材性能、指标等作为实质性条件纳入招标文件和合同。</w:t>
            </w:r>
          </w:p>
          <w:p w14:paraId="104DF2D9">
            <w:pPr>
              <w:pStyle w:val="107"/>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4F041E6">
            <w:pPr>
              <w:pageBreakBefore w:val="0"/>
              <w:kinsoku/>
              <w:overflowPunct/>
              <w:bidi w:val="0"/>
              <w:spacing w:line="440" w:lineRule="exact"/>
              <w:rPr>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623C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490C4B">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2D2BECCB">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
                <w:bCs/>
                <w:color w:val="auto"/>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46D7D437">
            <w:pPr>
              <w:pStyle w:val="107"/>
              <w:keepNext w:val="0"/>
              <w:keepLines w:val="0"/>
              <w:pageBreakBefore w:val="0"/>
              <w:widowControl w:val="0"/>
              <w:kinsoku/>
              <w:wordWrap/>
              <w:overflowPunct/>
              <w:topLinePunct w:val="0"/>
              <w:autoSpaceDE/>
              <w:bidi w:val="0"/>
              <w:adjustRightInd/>
              <w:snapToGrid/>
              <w:spacing w:beforeLines="0" w:line="440" w:lineRule="exact"/>
              <w:ind w:left="0" w:leftChars="0" w:firstLine="0"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（1）采购人优先采购被认定为首台套产品和“制造精品”的自主创新产品。</w:t>
            </w:r>
          </w:p>
          <w:p w14:paraId="0D8AA4E3">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4C75D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4E2F8DB">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43C6705">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ED35B2C">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2"/>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tc>
      </w:tr>
      <w:tr w14:paraId="7945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38629F">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5A739EF">
            <w:pPr>
              <w:keepNext w:val="0"/>
              <w:keepLines w:val="0"/>
              <w:pageBreakBefore w:val="0"/>
              <w:widowControl w:val="0"/>
              <w:kinsoku/>
              <w:wordWrap/>
              <w:overflowPunct/>
              <w:topLinePunct w:val="0"/>
              <w:autoSpaceDE/>
              <w:autoSpaceDN/>
              <w:bidi w:val="0"/>
              <w:snapToGrid/>
              <w:spacing w:beforeLines="0" w:line="440" w:lineRule="exact"/>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71EDE3BA">
            <w:pPr>
              <w:keepNext w:val="0"/>
              <w:keepLines w:val="0"/>
              <w:pageBreakBefore w:val="0"/>
              <w:widowControl w:val="0"/>
              <w:kinsoku/>
              <w:wordWrap/>
              <w:overflowPunct/>
              <w:topLinePunct w:val="0"/>
              <w:autoSpaceDE/>
              <w:bidi w:val="0"/>
              <w:adjustRightInd/>
              <w:snapToGrid/>
              <w:spacing w:beforeLines="0" w:line="440" w:lineRule="exact"/>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0B61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8A5C396">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58ACAEF5">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3E4CF955">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评标结束后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个工作日内发布</w:t>
            </w:r>
            <w:r>
              <w:rPr>
                <w:rFonts w:hint="eastAsia" w:ascii="仿宋" w:hAnsi="仿宋" w:eastAsia="仿宋" w:cs="仿宋"/>
                <w:color w:val="auto"/>
                <w:highlight w:val="none"/>
                <w:lang w:val="en-US" w:eastAsia="zh-CN"/>
              </w:rPr>
              <w:t>中标、成交</w:t>
            </w:r>
            <w:r>
              <w:rPr>
                <w:rFonts w:hint="eastAsia" w:ascii="仿宋" w:hAnsi="仿宋" w:eastAsia="仿宋" w:cs="仿宋"/>
                <w:color w:val="auto"/>
                <w:highlight w:val="none"/>
              </w:rPr>
              <w:t>结果，公示于浙江政府采购网(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Style w:val="102"/>
                <w:rFonts w:hint="eastAsia" w:ascii="仿宋" w:hAnsi="仿宋" w:eastAsia="仿宋" w:cs="仿宋"/>
                <w:color w:val="auto"/>
                <w:highlight w:val="none"/>
              </w:rPr>
              <w:t>http://www.zjzfcg.gov.cn</w:t>
            </w:r>
            <w:r>
              <w:rPr>
                <w:rStyle w:val="102"/>
                <w:rFonts w:hint="eastAsia" w:ascii="仿宋" w:hAnsi="仿宋" w:eastAsia="仿宋" w:cs="仿宋"/>
                <w:color w:val="auto"/>
                <w:highlight w:val="none"/>
              </w:rPr>
              <w:fldChar w:fldCharType="end"/>
            </w:r>
            <w:r>
              <w:rPr>
                <w:rFonts w:hint="eastAsia" w:ascii="仿宋" w:hAnsi="仿宋" w:eastAsia="仿宋" w:cs="仿宋"/>
                <w:color w:val="auto"/>
                <w:highlight w:val="none"/>
              </w:rPr>
              <w:t>)。</w:t>
            </w:r>
          </w:p>
        </w:tc>
      </w:tr>
      <w:tr w14:paraId="0BB9C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E5942C">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71AB5E41">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69A81C6C">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中标通知书发出</w:t>
            </w:r>
            <w:r>
              <w:rPr>
                <w:rFonts w:hint="eastAsia" w:ascii="仿宋" w:hAnsi="仿宋" w:eastAsia="仿宋" w:cs="仿宋"/>
                <w:color w:val="auto"/>
                <w:highlight w:val="none"/>
                <w:lang w:val="en-US" w:eastAsia="zh-CN"/>
              </w:rPr>
              <w:t>之日起</w:t>
            </w:r>
            <w:r>
              <w:rPr>
                <w:rFonts w:hint="eastAsia" w:ascii="仿宋" w:hAnsi="仿宋" w:eastAsia="仿宋" w:cs="仿宋"/>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4DE94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04C64B">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0E835AE5">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30B0B4D2">
            <w:pPr>
              <w:pageBreakBefore w:val="0"/>
              <w:kinsoku/>
              <w:overflowPunct/>
              <w:bidi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highlight w:val="none"/>
                <w:lang w:val="en-US" w:eastAsia="zh-CN"/>
              </w:rPr>
              <w:sym w:font="Wingdings 2" w:char="0052"/>
            </w:r>
            <w:r>
              <w:rPr>
                <w:rFonts w:hint="eastAsia" w:ascii="仿宋" w:hAnsi="仿宋" w:eastAsia="仿宋" w:cs="仿宋"/>
                <w:color w:val="auto"/>
                <w:highlight w:val="none"/>
                <w:lang w:val="en-US" w:eastAsia="zh-CN"/>
              </w:rPr>
              <w:t xml:space="preserve"> B</w:t>
            </w:r>
            <w:r>
              <w:rPr>
                <w:rFonts w:hint="eastAsia" w:ascii="仿宋" w:hAnsi="仿宋" w:eastAsia="仿宋" w:cs="仿宋"/>
                <w:color w:val="auto"/>
                <w:kern w:val="0"/>
                <w:sz w:val="24"/>
                <w:highlight w:val="none"/>
                <w:lang w:val="en-US" w:eastAsia="zh-CN"/>
              </w:rPr>
              <w:t>本项目需收取履约保证金</w:t>
            </w:r>
            <w:r>
              <w:rPr>
                <w:rFonts w:hint="eastAsia" w:ascii="仿宋" w:hAnsi="仿宋" w:eastAsia="仿宋" w:cs="仿宋"/>
                <w:color w:val="auto"/>
                <w:kern w:val="0"/>
                <w:sz w:val="24"/>
                <w:highlight w:val="none"/>
              </w:rPr>
              <w:t>，</w:t>
            </w:r>
          </w:p>
          <w:p w14:paraId="31B4127E">
            <w:pPr>
              <w:pageBreakBefore w:val="0"/>
              <w:kinsoku/>
              <w:wordWrap w:val="0"/>
              <w:overflowPunct/>
              <w:topLinePunct/>
              <w:bidi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14:paraId="0E2DFCCE">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14:paraId="6616D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D18313F">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62832A61">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6D4A01AE">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本项目不需要交纳投标保证金。</w:t>
            </w:r>
          </w:p>
        </w:tc>
      </w:tr>
      <w:tr w14:paraId="5E761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E98E320">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71A33663">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EF11FFF">
            <w:pPr>
              <w:pageBreakBefore w:val="0"/>
              <w:kinsoku/>
              <w:wordWrap w:val="0"/>
              <w:overflowPunct/>
              <w:topLinePunct/>
              <w:bidi w:val="0"/>
              <w:spacing w:beforeAutospacing="0" w:afterAutospacing="0"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37C01D96">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▲投标人的投标文件中承诺的投标有效期不足招标文件中载明的投标有效期的，投标无效。</w:t>
            </w:r>
          </w:p>
          <w:p w14:paraId="752F6987">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eastAsia="仿宋" w:cs="仿宋"/>
                <w:color w:val="auto"/>
                <w:szCs w:val="24"/>
                <w:highlight w:val="none"/>
                <w:lang w:eastAsia="zh-CN"/>
              </w:rPr>
              <w:t>投标人的</w:t>
            </w:r>
            <w:r>
              <w:rPr>
                <w:rFonts w:hint="eastAsia" w:ascii="仿宋" w:hAnsi="仿宋" w:eastAsia="仿宋" w:cs="仿宋"/>
                <w:color w:val="auto"/>
                <w:szCs w:val="24"/>
                <w:highlight w:val="none"/>
              </w:rPr>
              <w:t>投标文件不可撤销</w:t>
            </w:r>
            <w:r>
              <w:rPr>
                <w:rFonts w:hint="eastAsia" w:ascii="仿宋" w:hAnsi="仿宋" w:eastAsia="仿宋" w:cs="仿宋"/>
                <w:color w:val="auto"/>
                <w:szCs w:val="24"/>
                <w:highlight w:val="none"/>
                <w:lang w:eastAsia="zh-CN"/>
              </w:rPr>
              <w:t>。</w:t>
            </w:r>
          </w:p>
        </w:tc>
      </w:tr>
      <w:tr w14:paraId="28821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50D400">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2</w:t>
            </w:r>
            <w:r>
              <w:rPr>
                <w:rFonts w:hint="eastAsia" w:ascii="仿宋" w:hAnsi="仿宋" w:eastAsia="仿宋" w:cs="仿宋"/>
                <w:b/>
                <w:bCs/>
                <w:color w:val="auto"/>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218DBB03">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3EC1705A">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本项目实行电子投标。电子投标文件，按政采云平台项目采购-电子招投标操作指南及本招标文件要求递交。投标文件均由资格文件、商务及技术文件、报价文件组成。</w:t>
            </w:r>
          </w:p>
          <w:p w14:paraId="4F03A95C">
            <w:pPr>
              <w:pageBreakBefore w:val="0"/>
              <w:kinsoku/>
              <w:wordWrap w:val="0"/>
              <w:overflowPunct/>
              <w:topLinePunct/>
              <w:bidi w:val="0"/>
              <w:snapToGrid w:val="0"/>
              <w:spacing w:beforeAutospacing="0" w:afterAutospacing="0"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▲投标人须按时自行解密，规定时间内解密失败的，投标无效。</w:t>
            </w:r>
          </w:p>
          <w:p w14:paraId="2E42DB3B">
            <w:pPr>
              <w:pageBreakBefore w:val="0"/>
              <w:kinsoku/>
              <w:wordWrap w:val="0"/>
              <w:overflowPunct/>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color w:val="auto"/>
                <w:highlight w:val="none"/>
              </w:rPr>
              <w:t>未传输递交电子投标文件的，投标无效。</w:t>
            </w:r>
          </w:p>
          <w:p w14:paraId="2D31048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005325A6">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6392503A">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3A1DC74C">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CDF047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1286895">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11E2409E">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eastAsia" w:ascii="仿宋" w:hAnsi="仿宋" w:eastAsia="仿宋" w:cs="仿宋"/>
                <w:color w:val="auto"/>
                <w:sz w:val="24"/>
                <w:szCs w:val="24"/>
                <w:highlight w:val="none"/>
                <w:lang w:val="en-US" w:eastAsia="zh-CN"/>
              </w:rPr>
              <w:t>政采云电子交易客户端：h</w:t>
            </w:r>
            <w:r>
              <w:rPr>
                <w:rFonts w:hint="eastAsia" w:ascii="仿宋" w:hAnsi="仿宋" w:eastAsia="仿宋" w:cs="仿宋"/>
                <w:color w:val="auto"/>
                <w:sz w:val="24"/>
                <w:szCs w:val="24"/>
                <w:highlight w:val="none"/>
                <w:lang w:eastAsia="zh-CN"/>
              </w:rPr>
              <w:t>ttp://zfcg.czt.zj.gov.cn/bidClientTemplate/2019-05-27/12946.html</w:t>
            </w:r>
          </w:p>
          <w:p w14:paraId="57D5773A">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36AD69A8">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475C1CBB">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2458C097">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409BD1D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1B04F18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737C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7C1118">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20E8DB99">
            <w:pPr>
              <w:pStyle w:val="9"/>
              <w:pageBreakBefore w:val="0"/>
              <w:widowControl w:val="0"/>
              <w:tabs>
                <w:tab w:val="left" w:pos="-945"/>
                <w:tab w:val="left" w:pos="0"/>
                <w:tab w:val="clear" w:pos="720"/>
              </w:tabs>
              <w:kinsoku/>
              <w:wordWrap/>
              <w:overflowPunct/>
              <w:topLinePunct w:val="0"/>
              <w:bidi w:val="0"/>
              <w:snapToGrid/>
              <w:spacing w:line="440" w:lineRule="exact"/>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5D97F73B">
            <w:pPr>
              <w:pStyle w:val="9"/>
              <w:pageBreakBefore w:val="0"/>
              <w:widowControl w:val="0"/>
              <w:tabs>
                <w:tab w:val="left" w:pos="-945"/>
                <w:tab w:val="left" w:pos="0"/>
                <w:tab w:val="clear" w:pos="720"/>
              </w:tabs>
              <w:kinsoku/>
              <w:wordWrap/>
              <w:overflowPunct/>
              <w:topLinePunct w:val="0"/>
              <w:bidi w:val="0"/>
              <w:snapToGrid/>
              <w:spacing w:line="440" w:lineRule="exact"/>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63DC9C3B">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color w:val="auto"/>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3685A81B">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（1）投标人在电子交易平台传输递交投标文件后，还可以在投标截止时间前现场提交或者以邮政快递方式递交备份投标文件1份，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2C3D14BC">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06BE3752">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（3）现场提交备份投标文件的，投标人应于投标截止时间前在招标公告中载明的开标地点将备份投标文件提交给采购代理机构，采购代理机构将拒绝接受逾期送达的备份投标文件。</w:t>
            </w:r>
          </w:p>
          <w:p w14:paraId="13ED3792">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2DF18584">
            <w:pPr>
              <w:pStyle w:val="54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color w:val="auto"/>
                <w:highlight w:val="none"/>
              </w:rPr>
              <w:t>▲</w:t>
            </w:r>
            <w:r>
              <w:rPr>
                <w:rFonts w:hint="eastAsia" w:ascii="仿宋" w:hAnsi="仿宋" w:eastAsia="仿宋" w:cs="仿宋"/>
                <w:b/>
                <w:bCs w:val="0"/>
                <w:i w:val="0"/>
                <w:iCs w:val="0"/>
                <w:color w:val="auto"/>
                <w:sz w:val="24"/>
                <w:szCs w:val="24"/>
                <w:highlight w:val="none"/>
                <w:u w:val="none"/>
                <w:shd w:val="clear" w:color="auto" w:fill="auto"/>
                <w:lang w:val="en-US" w:eastAsia="zh-CN"/>
              </w:rPr>
              <w:t>（5）投标人仅提交备份投标文件，没有在电子交易平台传输递交投标文件的，投标无效。</w:t>
            </w:r>
          </w:p>
          <w:p w14:paraId="03A480B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b/>
                <w:bCs/>
                <w:i w:val="0"/>
                <w:iCs w:val="0"/>
                <w:color w:val="auto"/>
                <w:sz w:val="24"/>
                <w:szCs w:val="24"/>
                <w:highlight w:val="none"/>
                <w:shd w:val="clear" w:color="auto" w:fill="auto"/>
                <w:lang w:val="en-US" w:eastAsia="zh-CN"/>
              </w:rPr>
              <w:t>（6）投标文件未按时解密，投标人提供了备份投标文件的，以备份投标文件作为依据，否则视为投标文件撤回。投标文件已按时解密的，备份投标文件自动失效。</w:t>
            </w:r>
          </w:p>
        </w:tc>
      </w:tr>
      <w:tr w14:paraId="7D6A7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0737A0F">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5416DE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674129E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（1）不得明示或暗示供应商提供赠品、回扣、采购预算中本身不包含的其他商品或服务；</w:t>
            </w:r>
          </w:p>
          <w:p w14:paraId="4AA7E25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（2）供应商承诺提供赠品、回扣、采购预算中本身不包含的其他商品或服务，视作无效承诺；不得因无效承诺对供应商实行差别待遇或者歧视待遇；</w:t>
            </w:r>
          </w:p>
          <w:p w14:paraId="086C835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（3）合同总价不为零，《开标一览表（报价表）》中部分产品、服务单价为零的，视作已包含在总价中；</w:t>
            </w:r>
          </w:p>
          <w:p w14:paraId="1CE65DE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（4）不得将供应商提供赠品、回扣、采购预算中本身不包含的其他商品或服务作为中标（成交）条件或者合同签订条件；</w:t>
            </w:r>
          </w:p>
          <w:p w14:paraId="6EE01A9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（5）合同签订后，不得接受供应商无效承诺的赠品、回扣、采购预算中本身不包含的其他商品或服务；</w:t>
            </w:r>
          </w:p>
          <w:p w14:paraId="2591B77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（6）合同签订后，不得向供应商索要赠品、回扣、采购预算中本身不包含的其他商品或服务；</w:t>
            </w:r>
          </w:p>
          <w:p w14:paraId="6BD597D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highlight w:val="none"/>
              </w:rPr>
              <w:t>（7）履约验收环节，不得因供应商提供赠品、回扣、采购预算中本身不包含的其他商品或服务减免供应商违约责任。</w:t>
            </w:r>
          </w:p>
        </w:tc>
      </w:tr>
      <w:tr w14:paraId="7D926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F3BF3B">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59B885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bCs/>
                <w:color w:val="auto"/>
                <w:highlight w:val="none"/>
                <w:lang w:val="en-US" w:eastAsia="zh-CN"/>
              </w:rPr>
              <w:t>联合体相关</w:t>
            </w:r>
            <w:r>
              <w:rPr>
                <w:rFonts w:hint="eastAsia" w:ascii="仿宋" w:hAnsi="仿宋" w:eastAsia="仿宋" w:cs="仿宋"/>
                <w:b/>
                <w:bCs/>
                <w:color w:val="auto"/>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14:paraId="4FDC42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5A7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63982C">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29AA28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2EC45FF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highlight w:val="none"/>
              </w:rPr>
              <w:t>供应商在政府采购活动中违反政府采购相关规定给采购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机构造成损失的，采购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机构可按照采购文件约定要求供应商承担赔偿责任</w:t>
            </w:r>
            <w:r>
              <w:rPr>
                <w:rFonts w:hint="eastAsia" w:ascii="仿宋" w:hAnsi="仿宋" w:eastAsia="仿宋" w:cs="仿宋"/>
                <w:snapToGrid w:val="0"/>
                <w:color w:val="auto"/>
                <w:kern w:val="28"/>
                <w:highlight w:val="none"/>
                <w:lang w:eastAsia="zh-CN"/>
              </w:rPr>
              <w:t>。</w:t>
            </w:r>
          </w:p>
        </w:tc>
      </w:tr>
      <w:tr w14:paraId="263B7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32" w:type="dxa"/>
            <w:vMerge w:val="restart"/>
            <w:tcBorders>
              <w:top w:val="single" w:color="auto" w:sz="4" w:space="0"/>
              <w:left w:val="single" w:color="auto" w:sz="4" w:space="0"/>
              <w:right w:val="single" w:color="auto" w:sz="4" w:space="0"/>
            </w:tcBorders>
            <w:vAlign w:val="center"/>
          </w:tcPr>
          <w:p w14:paraId="7342D2AF">
            <w:pPr>
              <w:pageBreakBefore w:val="0"/>
              <w:kinsoku/>
              <w:overflowPunct/>
              <w:bidi w:val="0"/>
              <w:spacing w:line="440" w:lineRule="exact"/>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6AF33FB5">
            <w:pPr>
              <w:pageBreakBefore w:val="0"/>
              <w:kinsoku/>
              <w:overflowPunct/>
              <w:bidi w:val="0"/>
              <w:spacing w:line="440" w:lineRule="exact"/>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764C4264">
            <w:pPr>
              <w:pageBreakBefore w:val="0"/>
              <w:kinsoku/>
              <w:overflowPunct/>
              <w:bidi w:val="0"/>
              <w:spacing w:line="440" w:lineRule="exact"/>
              <w:ind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snapToGrid w:val="0"/>
                <w:color w:val="auto"/>
                <w:kern w:val="28"/>
                <w:highlight w:val="none"/>
              </w:rPr>
              <w:t>评审因素对应的要求视为采购需求的一部分。</w:t>
            </w:r>
          </w:p>
        </w:tc>
      </w:tr>
      <w:tr w14:paraId="25331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32" w:type="dxa"/>
            <w:vMerge w:val="continue"/>
            <w:tcBorders>
              <w:left w:val="single" w:color="auto" w:sz="4" w:space="0"/>
              <w:bottom w:val="single" w:color="auto" w:sz="4" w:space="0"/>
              <w:right w:val="single" w:color="auto" w:sz="4" w:space="0"/>
            </w:tcBorders>
            <w:vAlign w:val="center"/>
          </w:tcPr>
          <w:p w14:paraId="17370AA7">
            <w:pPr>
              <w:pageBreakBefore w:val="0"/>
              <w:kinsoku/>
              <w:overflowPunct/>
              <w:bidi w:val="0"/>
              <w:spacing w:line="440" w:lineRule="exact"/>
              <w:ind w:firstLine="0" w:firstLineChars="0"/>
              <w:jc w:val="center"/>
              <w:rPr>
                <w:rFonts w:hint="eastAsia" w:ascii="仿宋" w:hAnsi="仿宋" w:eastAsia="仿宋" w:cs="仿宋"/>
                <w:b w:val="0"/>
                <w:bCs/>
                <w:color w:val="auto"/>
                <w:szCs w:val="24"/>
                <w:highlight w:val="none"/>
                <w:lang w:val="en-US" w:eastAsia="zh-CN"/>
              </w:rPr>
            </w:pPr>
          </w:p>
        </w:tc>
        <w:tc>
          <w:tcPr>
            <w:tcW w:w="1640" w:type="dxa"/>
            <w:vMerge w:val="continue"/>
            <w:tcBorders>
              <w:left w:val="single" w:color="auto" w:sz="4" w:space="0"/>
              <w:right w:val="single" w:color="auto" w:sz="4" w:space="0"/>
            </w:tcBorders>
            <w:vAlign w:val="center"/>
          </w:tcPr>
          <w:p w14:paraId="4C187022">
            <w:pPr>
              <w:pageBreakBefore w:val="0"/>
              <w:kinsoku/>
              <w:overflowPunct/>
              <w:bidi w:val="0"/>
              <w:spacing w:line="440" w:lineRule="exact"/>
              <w:ind w:firstLine="0" w:firstLineChars="0"/>
              <w:jc w:val="center"/>
              <w:rPr>
                <w:rFonts w:hint="eastAsia" w:ascii="仿宋" w:hAnsi="仿宋" w:eastAsia="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3C1687DE">
            <w:pPr>
              <w:pageBreakBefore w:val="0"/>
              <w:kinsoku/>
              <w:overflowPunct/>
              <w:bidi w:val="0"/>
              <w:spacing w:line="440" w:lineRule="exact"/>
              <w:ind w:firstLine="0" w:firstLineChars="0"/>
              <w:jc w:val="both"/>
              <w:rPr>
                <w:rFonts w:hint="eastAsia" w:ascii="仿宋" w:hAnsi="仿宋" w:eastAsia="仿宋" w:cs="仿宋"/>
                <w:snapToGrid w:val="0"/>
                <w:color w:val="auto"/>
                <w:kern w:val="28"/>
                <w:highlight w:val="none"/>
                <w:lang w:val="en-US" w:eastAsia="zh-CN"/>
              </w:rPr>
            </w:pPr>
            <w:r>
              <w:rPr>
                <w:rFonts w:hint="eastAsia" w:ascii="仿宋" w:hAnsi="仿宋" w:eastAsia="仿宋" w:cs="仿宋"/>
                <w:snapToGrid w:val="0"/>
                <w:color w:val="auto"/>
                <w:kern w:val="28"/>
                <w:highlight w:val="none"/>
                <w:lang w:val="en-US" w:eastAsia="zh-CN"/>
              </w:rPr>
              <w:t>本项目评审报告推荐的中标候选人数量</w:t>
            </w:r>
            <w:r>
              <w:rPr>
                <w:rFonts w:hint="eastAsia" w:ascii="仿宋" w:hAnsi="仿宋" w:eastAsia="仿宋" w:cs="仿宋"/>
                <w:snapToGrid w:val="0"/>
                <w:color w:val="auto"/>
                <w:kern w:val="28"/>
                <w:highlight w:val="none"/>
                <w:u w:val="single"/>
                <w:lang w:val="en-US" w:eastAsia="zh-CN"/>
              </w:rPr>
              <w:t xml:space="preserve"> 1 </w:t>
            </w:r>
            <w:r>
              <w:rPr>
                <w:rFonts w:hint="eastAsia" w:ascii="仿宋" w:hAnsi="仿宋" w:eastAsia="仿宋" w:cs="仿宋"/>
                <w:snapToGrid w:val="0"/>
                <w:color w:val="auto"/>
                <w:kern w:val="28"/>
                <w:highlight w:val="none"/>
                <w:lang w:val="en-US" w:eastAsia="zh-CN"/>
              </w:rPr>
              <w:t>。</w:t>
            </w:r>
          </w:p>
        </w:tc>
      </w:tr>
      <w:tr w14:paraId="7B66B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9A56B29">
            <w:pPr>
              <w:pageBreakBefore w:val="0"/>
              <w:kinsoku/>
              <w:wordWrap w:val="0"/>
              <w:overflowPunct/>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14:paraId="7025CFFD">
            <w:pPr>
              <w:pageBreakBefore w:val="0"/>
              <w:kinsoku/>
              <w:wordWrap w:val="0"/>
              <w:overflowPunct/>
              <w:topLinePunct/>
              <w:bidi w:val="0"/>
              <w:snapToGrid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2AC636A0">
            <w:pPr>
              <w:pageBreakBefore w:val="0"/>
              <w:kinsoku/>
              <w:overflowPunct/>
              <w:bidi w:val="0"/>
              <w:spacing w:beforeAutospacing="0" w:afterAutospacing="0" w:line="44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eastAsia="zh-CN"/>
              </w:rPr>
              <w:t>本项目采购代理费由中标人支付，收费以下表为准计取，计费基数为本项目</w:t>
            </w:r>
            <w:r>
              <w:rPr>
                <w:rFonts w:hint="eastAsia" w:ascii="仿宋" w:hAnsi="仿宋" w:eastAsia="仿宋" w:cs="仿宋"/>
                <w:color w:val="auto"/>
                <w:highlight w:val="none"/>
                <w:u w:val="single"/>
                <w:lang w:val="en-US" w:eastAsia="zh-CN"/>
              </w:rPr>
              <w:t>预算</w:t>
            </w:r>
            <w:r>
              <w:rPr>
                <w:rFonts w:hint="eastAsia" w:ascii="仿宋" w:hAnsi="仿宋" w:eastAsia="仿宋" w:cs="仿宋"/>
                <w:color w:val="auto"/>
                <w:highlight w:val="none"/>
                <w:u w:val="none"/>
                <w:lang w:val="en-US" w:eastAsia="zh-CN"/>
              </w:rPr>
              <w:t>价，</w:t>
            </w:r>
            <w:r>
              <w:rPr>
                <w:rFonts w:hint="eastAsia" w:ascii="仿宋" w:hAnsi="仿宋" w:eastAsia="仿宋" w:cs="仿宋"/>
                <w:color w:val="auto"/>
                <w:highlight w:val="none"/>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6A4A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7CD35421">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服务类型、费率</w:t>
                  </w:r>
                </w:p>
                <w:p w14:paraId="307A7409">
                  <w:pPr>
                    <w:pageBreakBefore w:val="0"/>
                    <w:kinsoku/>
                    <w:overflowPunct/>
                    <w:topLinePunct/>
                    <w:bidi w:val="0"/>
                    <w:adjustRightInd w:val="0"/>
                    <w:spacing w:line="440" w:lineRule="exact"/>
                    <w:jc w:val="center"/>
                    <w:rPr>
                      <w:rFonts w:hint="eastAsia" w:ascii="仿宋" w:hAnsi="仿宋" w:eastAsia="仿宋" w:cs="仿宋"/>
                      <w:b/>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6350" r="0" b="635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color w:val="auto"/>
                      <w:szCs w:val="21"/>
                      <w:highlight w:val="none"/>
                    </w:rPr>
                    <w:t>金额（万元）</w:t>
                  </w:r>
                </w:p>
              </w:tc>
              <w:tc>
                <w:tcPr>
                  <w:tcW w:w="1424" w:type="dxa"/>
                  <w:vAlign w:val="center"/>
                </w:tcPr>
                <w:p w14:paraId="18DACE37">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货物</w:t>
                  </w:r>
                </w:p>
              </w:tc>
              <w:tc>
                <w:tcPr>
                  <w:tcW w:w="1280" w:type="dxa"/>
                  <w:vAlign w:val="center"/>
                </w:tcPr>
                <w:p w14:paraId="79599E0E">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w:t>
                  </w:r>
                </w:p>
              </w:tc>
              <w:tc>
                <w:tcPr>
                  <w:tcW w:w="1458" w:type="dxa"/>
                  <w:vAlign w:val="center"/>
                </w:tcPr>
                <w:p w14:paraId="228482EE">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工程</w:t>
                  </w:r>
                </w:p>
              </w:tc>
            </w:tr>
            <w:tr w14:paraId="6E68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757E9F0">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100以下</w:t>
                  </w:r>
                </w:p>
              </w:tc>
              <w:tc>
                <w:tcPr>
                  <w:tcW w:w="1424" w:type="dxa"/>
                  <w:vAlign w:val="center"/>
                </w:tcPr>
                <w:p w14:paraId="4DA5A4A9">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1.5%</w:t>
                  </w:r>
                </w:p>
              </w:tc>
              <w:tc>
                <w:tcPr>
                  <w:tcW w:w="1280" w:type="dxa"/>
                  <w:vAlign w:val="center"/>
                </w:tcPr>
                <w:p w14:paraId="17EE84CF">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1.5%</w:t>
                  </w:r>
                </w:p>
              </w:tc>
              <w:tc>
                <w:tcPr>
                  <w:tcW w:w="1458" w:type="dxa"/>
                  <w:vAlign w:val="center"/>
                </w:tcPr>
                <w:p w14:paraId="44B2D13A">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w:t>
                  </w:r>
                </w:p>
              </w:tc>
            </w:tr>
            <w:tr w14:paraId="7470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C62283F">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100万元-500万元</w:t>
                  </w:r>
                </w:p>
              </w:tc>
              <w:tc>
                <w:tcPr>
                  <w:tcW w:w="1424" w:type="dxa"/>
                  <w:vAlign w:val="center"/>
                </w:tcPr>
                <w:p w14:paraId="2D4D9728">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w:t>
                  </w:r>
                </w:p>
              </w:tc>
              <w:tc>
                <w:tcPr>
                  <w:tcW w:w="1280" w:type="dxa"/>
                  <w:vAlign w:val="center"/>
                </w:tcPr>
                <w:p w14:paraId="4915C37D">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0.8%</w:t>
                  </w:r>
                </w:p>
              </w:tc>
              <w:tc>
                <w:tcPr>
                  <w:tcW w:w="1458" w:type="dxa"/>
                  <w:vAlign w:val="center"/>
                </w:tcPr>
                <w:p w14:paraId="5D946431">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0.7%</w:t>
                  </w:r>
                </w:p>
              </w:tc>
            </w:tr>
            <w:tr w14:paraId="46A5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63CA20D">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500万元-1000万元</w:t>
                  </w:r>
                </w:p>
              </w:tc>
              <w:tc>
                <w:tcPr>
                  <w:tcW w:w="1424" w:type="dxa"/>
                  <w:vAlign w:val="center"/>
                </w:tcPr>
                <w:p w14:paraId="52BB92F1">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0.8%</w:t>
                  </w:r>
                </w:p>
              </w:tc>
              <w:tc>
                <w:tcPr>
                  <w:tcW w:w="1280" w:type="dxa"/>
                  <w:vAlign w:val="center"/>
                </w:tcPr>
                <w:p w14:paraId="603E1EC9">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0.45%</w:t>
                  </w:r>
                </w:p>
              </w:tc>
              <w:tc>
                <w:tcPr>
                  <w:tcW w:w="1458" w:type="dxa"/>
                  <w:vAlign w:val="center"/>
                </w:tcPr>
                <w:p w14:paraId="0D48B63A">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0.55%</w:t>
                  </w:r>
                </w:p>
              </w:tc>
            </w:tr>
            <w:tr w14:paraId="332D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32457F39">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1000万元-5000万元</w:t>
                  </w:r>
                </w:p>
              </w:tc>
              <w:tc>
                <w:tcPr>
                  <w:tcW w:w="1424" w:type="dxa"/>
                  <w:vAlign w:val="center"/>
                </w:tcPr>
                <w:p w14:paraId="1C19D5C2">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0.5%</w:t>
                  </w:r>
                </w:p>
              </w:tc>
              <w:tc>
                <w:tcPr>
                  <w:tcW w:w="1280" w:type="dxa"/>
                  <w:vAlign w:val="center"/>
                </w:tcPr>
                <w:p w14:paraId="6832655A">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0.25%</w:t>
                  </w:r>
                </w:p>
              </w:tc>
              <w:tc>
                <w:tcPr>
                  <w:tcW w:w="1458" w:type="dxa"/>
                  <w:vAlign w:val="center"/>
                </w:tcPr>
                <w:p w14:paraId="672A2C23">
                  <w:pPr>
                    <w:pStyle w:val="934"/>
                    <w:pageBreakBefore w:val="0"/>
                    <w:kinsoku/>
                    <w:overflowPunct/>
                    <w:topLinePunct/>
                    <w:bidi w:val="0"/>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0.35%</w:t>
                  </w:r>
                </w:p>
              </w:tc>
            </w:tr>
          </w:tbl>
          <w:p w14:paraId="69798B22">
            <w:pPr>
              <w:pStyle w:val="48"/>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b w:val="0"/>
                <w:bCs w:val="0"/>
                <w:color w:val="auto"/>
                <w:highlight w:val="none"/>
              </w:rPr>
              <w:t>招标代理服务收</w:t>
            </w:r>
            <w:r>
              <w:rPr>
                <w:rFonts w:hint="eastAsia" w:ascii="仿宋" w:hAnsi="仿宋" w:eastAsia="仿宋" w:cs="仿宋"/>
                <w:color w:val="auto"/>
                <w:highlight w:val="none"/>
              </w:rPr>
              <w:t>费按差额定率累进法计算。</w:t>
            </w:r>
          </w:p>
          <w:p w14:paraId="1BCEB1BC">
            <w:pPr>
              <w:pStyle w:val="4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汇款信息：</w:t>
            </w:r>
          </w:p>
          <w:p w14:paraId="39B2C9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单位全称</w:t>
            </w:r>
            <w:r>
              <w:rPr>
                <w:rFonts w:hint="eastAsia" w:ascii="仿宋" w:hAnsi="仿宋" w:eastAsia="仿宋" w:cs="仿宋"/>
                <w:color w:val="auto"/>
                <w:highlight w:val="none"/>
                <w:lang w:eastAsia="zh-CN"/>
              </w:rPr>
              <w:t>：华诚工程咨询集团有限公司富阳分公司</w:t>
            </w:r>
          </w:p>
          <w:p w14:paraId="76D823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开户行及账号</w:t>
            </w:r>
            <w:r>
              <w:rPr>
                <w:rFonts w:hint="eastAsia" w:ascii="仿宋" w:hAnsi="仿宋" w:eastAsia="仿宋" w:cs="仿宋"/>
                <w:color w:val="auto"/>
                <w:highlight w:val="none"/>
                <w:lang w:eastAsia="zh-CN"/>
              </w:rPr>
              <w:t>：杭州银行富阳支行 8733 8100 246325</w:t>
            </w:r>
          </w:p>
        </w:tc>
      </w:tr>
    </w:tbl>
    <w:p w14:paraId="17C6B0B3">
      <w:pPr>
        <w:pStyle w:val="8"/>
        <w:keepNext w:val="0"/>
        <w:keepLines w:val="0"/>
        <w:pageBreakBefore w:val="0"/>
        <w:kinsoku/>
        <w:wordWrap w:val="0"/>
        <w:overflowPunct/>
        <w:topLinePunct/>
        <w:autoSpaceDE/>
        <w:autoSpaceDN/>
        <w:bidi w:val="0"/>
        <w:adjustRightInd/>
        <w:spacing w:before="0" w:beforeAutospacing="0" w:after="0" w:afterAutospacing="0" w:line="440" w:lineRule="exact"/>
        <w:ind w:left="0" w:firstLine="0"/>
        <w:jc w:val="both"/>
        <w:textAlignment w:val="auto"/>
        <w:rPr>
          <w:rFonts w:hint="eastAsia" w:ascii="仿宋" w:hAnsi="仿宋" w:eastAsia="仿宋" w:cs="仿宋"/>
          <w:color w:val="auto"/>
          <w:highlight w:val="none"/>
        </w:rPr>
      </w:pPr>
      <w:r>
        <w:rPr>
          <w:rFonts w:hint="eastAsia" w:ascii="仿宋" w:hAnsi="仿宋" w:eastAsia="仿宋" w:cs="仿宋"/>
          <w:color w:val="auto"/>
          <w:sz w:val="30"/>
          <w:szCs w:val="30"/>
          <w:highlight w:val="none"/>
        </w:rPr>
        <w:br w:type="page"/>
      </w:r>
      <w:r>
        <w:rPr>
          <w:rFonts w:hint="eastAsia" w:ascii="仿宋" w:hAnsi="仿宋" w:eastAsia="仿宋" w:cs="仿宋"/>
          <w:color w:val="auto"/>
          <w:sz w:val="30"/>
          <w:szCs w:val="30"/>
          <w:highlight w:val="none"/>
          <w:lang w:val="en-US" w:eastAsia="zh-CN"/>
        </w:rPr>
        <w:t xml:space="preserve">  </w:t>
      </w:r>
      <w:r>
        <w:rPr>
          <w:rStyle w:val="249"/>
          <w:rFonts w:hint="eastAsia" w:ascii="仿宋" w:hAnsi="仿宋" w:eastAsia="仿宋" w:cs="仿宋"/>
          <w:b/>
          <w:bCs/>
          <w:color w:val="auto"/>
          <w:highlight w:val="none"/>
        </w:rPr>
        <w:t>一、总则</w:t>
      </w:r>
    </w:p>
    <w:p w14:paraId="2EC2DBA6">
      <w:pPr>
        <w:pageBreakBefore w:val="0"/>
        <w:kinsoku/>
        <w:wordWrap w:val="0"/>
        <w:overflowPunct/>
        <w:topLinePunct/>
        <w:autoSpaceDE/>
        <w:autoSpaceDN/>
        <w:bidi w:val="0"/>
        <w:adjustRightInd/>
        <w:spacing w:beforeAutospacing="0" w:afterAutospacing="0" w:line="440" w:lineRule="exact"/>
        <w:ind w:firstLine="482" w:firstLineChars="200"/>
        <w:jc w:val="both"/>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（一）适用范围</w:t>
      </w:r>
    </w:p>
    <w:p w14:paraId="7914E0F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仅适用于本次招标文件中采购项目的招标、投标、评标、定标、验收、合同履约、付款等行为（法律、法规另有规定的，从其规定）。</w:t>
      </w:r>
    </w:p>
    <w:p w14:paraId="2418C43D">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（二）定义</w:t>
      </w:r>
    </w:p>
    <w:p w14:paraId="120614B2">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1.“采购人”系指按政府采购有关规定，</w:t>
      </w:r>
      <w:r>
        <w:rPr>
          <w:rFonts w:hint="eastAsia" w:ascii="仿宋" w:hAnsi="仿宋" w:eastAsia="仿宋" w:cs="仿宋"/>
          <w:color w:val="auto"/>
          <w:highlight w:val="none"/>
          <w:lang w:eastAsia="zh-CN"/>
        </w:rPr>
        <w:t>委托</w:t>
      </w:r>
      <w:r>
        <w:rPr>
          <w:rFonts w:hint="eastAsia" w:ascii="仿宋" w:hAnsi="仿宋" w:eastAsia="仿宋" w:cs="仿宋"/>
          <w:color w:val="auto"/>
          <w:highlight w:val="none"/>
        </w:rPr>
        <w:t>本次</w:t>
      </w:r>
      <w:r>
        <w:rPr>
          <w:rFonts w:hint="eastAsia" w:ascii="仿宋" w:hAnsi="仿宋" w:eastAsia="仿宋" w:cs="仿宋"/>
          <w:color w:val="auto"/>
          <w:highlight w:val="none"/>
          <w:lang w:eastAsia="zh-CN"/>
        </w:rPr>
        <w:t>项目</w:t>
      </w:r>
      <w:r>
        <w:rPr>
          <w:rFonts w:hint="eastAsia" w:ascii="仿宋" w:hAnsi="仿宋" w:eastAsia="仿宋" w:cs="仿宋"/>
          <w:color w:val="auto"/>
          <w:highlight w:val="none"/>
        </w:rPr>
        <w:t>招标的</w:t>
      </w:r>
      <w:r>
        <w:rPr>
          <w:rFonts w:hint="eastAsia" w:ascii="仿宋" w:hAnsi="仿宋" w:eastAsia="仿宋" w:cs="仿宋"/>
          <w:color w:val="auto"/>
          <w:highlight w:val="none"/>
          <w:lang w:eastAsia="zh-CN"/>
        </w:rPr>
        <w:t>杭州市富阳区综合行政执法局</w:t>
      </w:r>
      <w:r>
        <w:rPr>
          <w:rFonts w:hint="eastAsia" w:ascii="仿宋" w:hAnsi="仿宋" w:eastAsia="仿宋" w:cs="仿宋"/>
          <w:color w:val="auto"/>
          <w:highlight w:val="none"/>
        </w:rPr>
        <w:t>。</w:t>
      </w:r>
    </w:p>
    <w:p w14:paraId="23D66457">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“采购代理机构”系指</w:t>
      </w:r>
      <w:r>
        <w:rPr>
          <w:rFonts w:hint="eastAsia" w:ascii="仿宋" w:hAnsi="仿宋" w:eastAsia="仿宋" w:cs="仿宋"/>
          <w:color w:val="auto"/>
          <w:highlight w:val="none"/>
          <w:lang w:eastAsia="zh-CN"/>
        </w:rPr>
        <w:t>华诚工程咨询集团有限公司</w:t>
      </w:r>
      <w:r>
        <w:rPr>
          <w:rFonts w:hint="eastAsia" w:ascii="仿宋" w:hAnsi="仿宋" w:eastAsia="仿宋" w:cs="仿宋"/>
          <w:color w:val="auto"/>
          <w:highlight w:val="none"/>
        </w:rPr>
        <w:t>。</w:t>
      </w:r>
    </w:p>
    <w:p w14:paraId="4E172B5C">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.“投标人”系指</w:t>
      </w:r>
      <w:r>
        <w:rPr>
          <w:rFonts w:hint="eastAsia" w:ascii="仿宋" w:hAnsi="仿宋" w:eastAsia="仿宋" w:cs="仿宋"/>
          <w:color w:val="auto"/>
          <w:sz w:val="24"/>
          <w:highlight w:val="none"/>
        </w:rPr>
        <w:t>响应招标、参加投标竞争的法人、其他组织或者自然人。</w:t>
      </w:r>
    </w:p>
    <w:p w14:paraId="3AFA11A7">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46FDA946">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.“产品”系指供方按招标文件规定，须向采购人提供的一切货物、材料、设备、保险、税金</w:t>
      </w:r>
      <w:r>
        <w:rPr>
          <w:rFonts w:hint="eastAsia" w:ascii="仿宋" w:hAnsi="仿宋" w:eastAsia="仿宋" w:cs="仿宋"/>
          <w:color w:val="auto"/>
          <w:highlight w:val="none"/>
          <w:lang w:eastAsia="zh-CN"/>
        </w:rPr>
        <w:t>、</w:t>
      </w:r>
      <w:r>
        <w:rPr>
          <w:rFonts w:hint="eastAsia" w:ascii="仿宋" w:hAnsi="仿宋" w:eastAsia="仿宋" w:cs="仿宋"/>
          <w:color w:val="auto"/>
          <w:sz w:val="24"/>
          <w:szCs w:val="24"/>
          <w:highlight w:val="none"/>
        </w:rPr>
        <w:t>备品备件、工具、手册及其它有关技术资料和材料。</w:t>
      </w:r>
    </w:p>
    <w:p w14:paraId="5CC1A46D">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.“服务”系指招标文件规定投标人须承担的</w:t>
      </w:r>
      <w:r>
        <w:rPr>
          <w:rFonts w:hint="eastAsia" w:ascii="仿宋" w:hAnsi="仿宋" w:eastAsia="仿宋" w:cs="仿宋"/>
          <w:color w:val="auto"/>
          <w:highlight w:val="none"/>
          <w:lang w:eastAsia="zh-CN"/>
        </w:rPr>
        <w:t>本项</w:t>
      </w:r>
      <w:r>
        <w:rPr>
          <w:rFonts w:hint="eastAsia" w:ascii="仿宋" w:hAnsi="仿宋" w:eastAsia="仿宋" w:cs="仿宋"/>
          <w:color w:val="auto"/>
          <w:highlight w:val="none"/>
          <w:lang w:val="en-US" w:eastAsia="zh-CN"/>
        </w:rPr>
        <w:t>目产品的</w:t>
      </w:r>
      <w:r>
        <w:rPr>
          <w:rFonts w:hint="eastAsia" w:ascii="仿宋" w:hAnsi="仿宋" w:eastAsia="仿宋" w:cs="仿宋"/>
          <w:color w:val="auto"/>
          <w:highlight w:val="none"/>
        </w:rPr>
        <w:t>安装、调试、技术协助、校准、培训、技术指导以及其他类似的义务。</w:t>
      </w:r>
    </w:p>
    <w:p w14:paraId="2AD75465">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.“项目”系指投标人按招标文件规定向采购人提供的产品和服务</w:t>
      </w:r>
      <w:r>
        <w:rPr>
          <w:rFonts w:hint="eastAsia" w:ascii="仿宋" w:hAnsi="仿宋" w:eastAsia="仿宋" w:cs="仿宋"/>
          <w:color w:val="auto"/>
          <w:highlight w:val="none"/>
          <w:lang w:eastAsia="zh-CN"/>
        </w:rPr>
        <w:t>。</w:t>
      </w:r>
    </w:p>
    <w:p w14:paraId="1A3412B7">
      <w:pPr>
        <w:pageBreakBefore w:val="0"/>
        <w:numPr>
          <w:ilvl w:val="0"/>
          <w:numId w:val="0"/>
        </w:numPr>
        <w:tabs>
          <w:tab w:val="left" w:pos="0"/>
        </w:tabs>
        <w:kinsoku/>
        <w:overflowPunct/>
        <w:autoSpaceDE/>
        <w:autoSpaceDN/>
        <w:bidi w:val="0"/>
        <w:adjustRightInd/>
        <w:spacing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34F3F9F3">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9.“电子交易平台”是指本项目政府采购活动所依托的政府采购云平台（https://www.zcygov.cn/）。</w:t>
      </w:r>
    </w:p>
    <w:p w14:paraId="5AB7A71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sz w:val="24"/>
          <w:highlight w:val="none"/>
          <w:lang w:val="en-US" w:eastAsia="zh-CN"/>
        </w:rPr>
        <w:t>10.“▲” 系指实质性要求条款，“★”系产品采购项目中重要技术参数；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7D8AA6CE">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（三）</w:t>
      </w:r>
      <w:r>
        <w:rPr>
          <w:rFonts w:hint="eastAsia" w:ascii="仿宋" w:hAnsi="仿宋" w:eastAsia="仿宋" w:cs="仿宋"/>
          <w:b/>
          <w:bCs/>
          <w:color w:val="auto"/>
          <w:highlight w:val="none"/>
          <w:lang w:eastAsia="zh-CN"/>
        </w:rPr>
        <w:t>投标委托</w:t>
      </w:r>
    </w:p>
    <w:p w14:paraId="0B0FA90A">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投标人可由法定代表人或其委托人进行投标，投标时须提供有效证明文件。</w:t>
      </w:r>
    </w:p>
    <w:p w14:paraId="2573C970">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投标委托若存在现场演示环节，授权代表须携带有效身份证件。如授权代表不是法定代表人（负责人）（下同），须有法定代表人出具的授权委托书（格式见附件）。</w:t>
      </w:r>
    </w:p>
    <w:p w14:paraId="5295AFFF">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（四）投标费用</w:t>
      </w:r>
    </w:p>
    <w:p w14:paraId="0781F221">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无论投标过程和结果如何，投标人均应自行承担所有与投标有关的全部费用。</w:t>
      </w:r>
    </w:p>
    <w:p w14:paraId="62482078">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（五）特别说明</w:t>
      </w:r>
    </w:p>
    <w:p w14:paraId="7AEE65E1">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1.投标人应仔细阅读招标文件的所有内容，按照招标文件的要求提交投标文件，并对所提供的全部资料的真实性承担法律责任。</w:t>
      </w:r>
    </w:p>
    <w:p w14:paraId="7BB7EE2F">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2.价格是评标的重要因素之一，但最低报价不是中标的唯一依据。</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不得进行影响产品质量或者诚信履约的恶意报价。</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在项目评审前准备好报价核算、报价明细、报价说明等材料，以备</w:t>
      </w:r>
      <w:r>
        <w:rPr>
          <w:rFonts w:hint="eastAsia" w:ascii="仿宋" w:hAnsi="仿宋" w:eastAsia="仿宋" w:cs="仿宋"/>
          <w:color w:val="auto"/>
          <w:szCs w:val="24"/>
          <w:highlight w:val="none"/>
          <w:lang w:eastAsia="zh-CN"/>
        </w:rPr>
        <w:t>评标委员会</w:t>
      </w:r>
      <w:r>
        <w:rPr>
          <w:rFonts w:hint="eastAsia" w:ascii="仿宋" w:hAnsi="仿宋" w:eastAsia="仿宋" w:cs="仿宋"/>
          <w:color w:val="auto"/>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报价低于项目预算50%的，应当在报价文件中详细阐述不影响产品质量或者诚信履约的具体原因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投标人</w:t>
      </w:r>
      <w:r>
        <w:rPr>
          <w:rFonts w:hint="eastAsia" w:ascii="仿宋" w:hAnsi="仿宋" w:eastAsia="仿宋" w:cs="仿宋"/>
          <w:color w:val="auto"/>
          <w:szCs w:val="24"/>
          <w:highlight w:val="none"/>
          <w:lang w:eastAsia="zh-CN"/>
        </w:rPr>
        <w:t>未提供相应材料的</w:t>
      </w:r>
      <w:r>
        <w:rPr>
          <w:rFonts w:hint="eastAsia" w:ascii="仿宋" w:hAnsi="仿宋" w:eastAsia="仿宋" w:cs="仿宋"/>
          <w:color w:val="auto"/>
          <w:szCs w:val="24"/>
          <w:highlight w:val="none"/>
        </w:rPr>
        <w:t>，评标委员会应当将其作为无效投标处理。</w:t>
      </w:r>
    </w:p>
    <w:p w14:paraId="6B0AFFB6">
      <w:pPr>
        <w:pStyle w:val="8"/>
        <w:keepNext w:val="0"/>
        <w:keepLines w:val="0"/>
        <w:pageBreakBefore w:val="0"/>
        <w:kinsoku/>
        <w:overflow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二、招标文件</w:t>
      </w:r>
    </w:p>
    <w:p w14:paraId="3647CA46">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（一）招标文件的澄清</w:t>
      </w:r>
    </w:p>
    <w:p w14:paraId="2725A617">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18CF26B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 采购代理机构将视情况确定是否有必要在开标前对招标文件进行澄清，如有必要，将通过政采云平台</w:t>
      </w:r>
      <w:r>
        <w:rPr>
          <w:rFonts w:hint="eastAsia" w:ascii="仿宋" w:hAnsi="仿宋" w:eastAsia="仿宋" w:cs="仿宋"/>
          <w:color w:val="auto"/>
          <w:highlight w:val="none"/>
          <w:lang w:eastAsia="zh-CN"/>
        </w:rPr>
        <w:t>以公告形式</w:t>
      </w:r>
      <w:r>
        <w:rPr>
          <w:rFonts w:hint="eastAsia" w:ascii="仿宋" w:hAnsi="仿宋" w:eastAsia="仿宋" w:cs="仿宋"/>
          <w:color w:val="auto"/>
          <w:sz w:val="24"/>
          <w:szCs w:val="24"/>
          <w:highlight w:val="none"/>
          <w:lang w:eastAsia="zh-CN"/>
        </w:rPr>
        <w:t>予以澄清。</w:t>
      </w:r>
    </w:p>
    <w:p w14:paraId="26065827">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（二）招标文件的修改</w:t>
      </w:r>
    </w:p>
    <w:p w14:paraId="4513349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2BC4832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2.招标文件澄清、答复、修改、补充的内容为招标文件的组成部分。当招标文件与招标文件的答复、澄清、修改、补充通知就同一内容的表述不一致时，以最后发出的公告为准。</w:t>
      </w:r>
    </w:p>
    <w:p w14:paraId="6C437CA7">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30EA696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 更正公告的内容将作为招标文件的组成部分，对所有投标人均具有约束力。</w:t>
      </w:r>
    </w:p>
    <w:p w14:paraId="6D6F643B">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▲投标文件未按招标文件的最终澄清、修改的内容进行编制的，</w:t>
      </w:r>
      <w:r>
        <w:rPr>
          <w:rFonts w:hint="eastAsia" w:ascii="仿宋" w:hAnsi="仿宋" w:eastAsia="仿宋" w:cs="仿宋"/>
          <w:b/>
          <w:bCs/>
          <w:color w:val="auto"/>
          <w:highlight w:val="none"/>
          <w:lang w:eastAsia="zh-CN"/>
        </w:rPr>
        <w:t>又不符合实质性要求的，</w:t>
      </w:r>
      <w:r>
        <w:rPr>
          <w:rFonts w:hint="eastAsia" w:ascii="仿宋" w:hAnsi="仿宋" w:eastAsia="仿宋" w:cs="仿宋"/>
          <w:b/>
          <w:bCs/>
          <w:color w:val="auto"/>
          <w:highlight w:val="none"/>
        </w:rPr>
        <w:t>投标无效。</w:t>
      </w:r>
    </w:p>
    <w:p w14:paraId="3D7ABD05">
      <w:pPr>
        <w:pStyle w:val="8"/>
        <w:keepNext w:val="0"/>
        <w:keepLines w:val="0"/>
        <w:pageBreakBefore w:val="0"/>
        <w:kinsoku/>
        <w:overflowPunct/>
        <w:topLine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三、投标文件</w:t>
      </w:r>
    </w:p>
    <w:p w14:paraId="2F71B721">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7DB6F111">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color w:val="auto"/>
          <w:highlight w:val="none"/>
        </w:rPr>
        <w:t>投标人未按规定加密的投标文件，电子交易平台将拒收并提示。</w:t>
      </w:r>
    </w:p>
    <w:p w14:paraId="6409A29C">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使用“政采云电子交易客户端”需要提前申领CA数字证书，申领流程请自行前往“浙江政府采购网-下载专区-电子交易客户端-CA驱动和申领流程”进行查阅。</w:t>
      </w:r>
    </w:p>
    <w:p w14:paraId="23AECE05">
      <w:pPr>
        <w:pStyle w:val="9"/>
        <w:keepNext w:val="0"/>
        <w:keepLines w:val="0"/>
        <w:pageBreakBefore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（一）投标文件的语言及计量</w:t>
      </w:r>
    </w:p>
    <w:p w14:paraId="10E119F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6CF908A6">
      <w:pPr>
        <w:pageBreakBefore w:val="0"/>
        <w:kinsoku/>
        <w:wordWrap w:val="0"/>
        <w:overflowPunct/>
        <w:topLinePunct/>
        <w:autoSpaceDE/>
        <w:autoSpaceDN/>
        <w:bidi w:val="0"/>
        <w:adjustRightInd/>
        <w:spacing w:beforeAutospacing="0" w:afterAutospacing="0" w:line="440" w:lineRule="exact"/>
        <w:ind w:left="480" w:left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2.投标文件中如附有外文资料，须逐一对应翻译成中文汉语并附在相关外文资料后面。</w:t>
      </w:r>
      <w:r>
        <w:rPr>
          <w:rFonts w:hint="eastAsia" w:ascii="仿宋" w:hAnsi="仿宋" w:eastAsia="仿宋" w:cs="仿宋"/>
          <w:b/>
          <w:bCs/>
          <w:color w:val="auto"/>
          <w:highlight w:val="none"/>
        </w:rPr>
        <w:t>▲不提供准确翻译资料的，投标无效。</w:t>
      </w:r>
    </w:p>
    <w:p w14:paraId="3031141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3.投标计量单位，招标文件已有明确规定的，使用招标文件规定的计量单位；招标文件没有规定的，应采用中华人民共和国法定计量单位（货币单位：人民币元）。</w:t>
      </w:r>
    </w:p>
    <w:p w14:paraId="412CBF1C">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（二）投标文件的组成</w:t>
      </w:r>
    </w:p>
    <w:p w14:paraId="25BD0153">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3E24AF8E">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1.资格文件</w:t>
      </w:r>
    </w:p>
    <w:p w14:paraId="1B42044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color w:val="auto"/>
          <w:highlight w:val="none"/>
          <w:lang w:eastAsia="zh-CN"/>
        </w:rPr>
        <w:t>（可不提供）</w:t>
      </w:r>
    </w:p>
    <w:p w14:paraId="075FFFA2">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符合参加政府采购活动应当具备的一般条件的承诺函（格式见附件）</w:t>
      </w:r>
      <w:r>
        <w:rPr>
          <w:rFonts w:hint="eastAsia" w:ascii="仿宋" w:hAnsi="仿宋" w:eastAsia="仿宋" w:cs="仿宋"/>
          <w:color w:val="auto"/>
          <w:highlight w:val="none"/>
          <w:lang w:eastAsia="zh-CN"/>
        </w:rPr>
        <w:t>；</w:t>
      </w:r>
    </w:p>
    <w:p w14:paraId="0CF933B7">
      <w:pPr>
        <w:pageBreakBefore w:val="0"/>
        <w:kinsoku/>
        <w:overflowPunct/>
        <w:autoSpaceDE/>
        <w:autoSpaceDN/>
        <w:bidi w:val="0"/>
        <w:adjustRightInd/>
        <w:spacing w:beforeAutospacing="0" w:afterAutospacing="0" w:line="440" w:lineRule="exact"/>
        <w:ind w:firstLine="360" w:firstLineChars="15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highlight w:val="none"/>
          <w:lang w:eastAsia="zh-CN"/>
        </w:rPr>
        <w:t>（如果有）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本项目属于专门面向中小企业采购的项目,</w:t>
      </w:r>
      <w:r>
        <w:rPr>
          <w:rFonts w:hint="eastAsia" w:ascii="仿宋" w:hAnsi="仿宋" w:eastAsia="仿宋" w:cs="仿宋"/>
          <w:color w:val="auto"/>
          <w:sz w:val="24"/>
          <w:szCs w:val="24"/>
          <w:highlight w:val="none"/>
          <w:lang w:val="en-US" w:eastAsia="zh-CN"/>
        </w:rPr>
        <w:t>服务承接商</w:t>
      </w:r>
      <w:r>
        <w:rPr>
          <w:rFonts w:hint="eastAsia" w:ascii="仿宋" w:hAnsi="仿宋" w:eastAsia="仿宋" w:cs="仿宋"/>
          <w:color w:val="auto"/>
          <w:sz w:val="24"/>
          <w:szCs w:val="24"/>
          <w:highlight w:val="none"/>
          <w:lang w:eastAsia="zh-CN"/>
        </w:rPr>
        <w:t>全部</w:t>
      </w:r>
      <w:r>
        <w:rPr>
          <w:rFonts w:hint="eastAsia" w:ascii="仿宋" w:hAnsi="仿宋" w:eastAsia="仿宋" w:cs="仿宋"/>
          <w:color w:val="auto"/>
          <w:sz w:val="24"/>
          <w:szCs w:val="24"/>
          <w:highlight w:val="none"/>
        </w:rPr>
        <w:t>为中、小、微型企业或者监狱企业或者残疾人福利性单位。</w:t>
      </w:r>
      <w:r>
        <w:rPr>
          <w:rFonts w:hint="eastAsia" w:ascii="仿宋" w:hAnsi="仿宋" w:eastAsia="仿宋" w:cs="仿宋"/>
          <w:color w:val="auto"/>
          <w:sz w:val="24"/>
          <w:szCs w:val="24"/>
          <w:highlight w:val="none"/>
          <w:lang w:eastAsia="zh-CN"/>
        </w:rPr>
        <w:t>提供符合要求的中小企业声明函</w:t>
      </w:r>
      <w:r>
        <w:rPr>
          <w:rFonts w:hint="eastAsia" w:ascii="仿宋" w:hAnsi="仿宋" w:eastAsia="仿宋" w:cs="仿宋"/>
          <w:color w:val="auto"/>
          <w:sz w:val="24"/>
          <w:szCs w:val="24"/>
          <w:highlight w:val="none"/>
        </w:rPr>
        <w:t>（格式见附件）</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残疾人福利性单位</w:t>
      </w:r>
      <w:r>
        <w:rPr>
          <w:rFonts w:hint="eastAsia" w:ascii="仿宋" w:hAnsi="仿宋" w:eastAsia="仿宋" w:cs="仿宋"/>
          <w:color w:val="auto"/>
          <w:sz w:val="24"/>
          <w:szCs w:val="24"/>
          <w:highlight w:val="none"/>
          <w:lang w:eastAsia="zh-CN"/>
        </w:rPr>
        <w:t>声明函（格式见附件）或者</w:t>
      </w:r>
      <w:r>
        <w:rPr>
          <w:rFonts w:hint="eastAsia" w:ascii="仿宋" w:hAnsi="仿宋" w:eastAsia="仿宋" w:cs="仿宋"/>
          <w:color w:val="auto"/>
          <w:sz w:val="24"/>
          <w:szCs w:val="24"/>
          <w:highlight w:val="none"/>
        </w:rPr>
        <w:t>监狱企业</w:t>
      </w:r>
      <w:r>
        <w:rPr>
          <w:rFonts w:hint="eastAsia" w:ascii="仿宋" w:hAnsi="仿宋" w:eastAsia="仿宋" w:cs="仿宋"/>
          <w:color w:val="auto"/>
          <w:sz w:val="24"/>
          <w:szCs w:val="24"/>
          <w:highlight w:val="none"/>
          <w:lang w:eastAsia="zh-CN"/>
        </w:rPr>
        <w:t>证明文件；</w:t>
      </w:r>
    </w:p>
    <w:p w14:paraId="6A86246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4</w:t>
      </w:r>
      <w:r>
        <w:rPr>
          <w:rFonts w:hint="eastAsia" w:ascii="仿宋" w:hAnsi="仿宋" w:eastAsia="仿宋" w:cs="仿宋"/>
          <w:color w:val="auto"/>
          <w:highlight w:val="none"/>
        </w:rPr>
        <w:t>）符合特定资格条件（如果项目要求）的有关证明材料（复印件）。</w:t>
      </w:r>
    </w:p>
    <w:p w14:paraId="58C31DB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13C4F2F6">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2、商务技术文件</w:t>
      </w:r>
    </w:p>
    <w:p w14:paraId="6512B044">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提供有效的</w:t>
      </w:r>
      <w:r>
        <w:rPr>
          <w:rFonts w:hint="eastAsia" w:ascii="仿宋" w:hAnsi="仿宋" w:eastAsia="仿宋" w:cs="仿宋"/>
          <w:color w:val="auto"/>
          <w:highlight w:val="none"/>
        </w:rPr>
        <w:t>法定代表人授权委托书（格式见附件）；</w:t>
      </w:r>
    </w:p>
    <w:p w14:paraId="652A2421">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（如法定代表人直接参加投标并对相应文件签字的，只需提供其身份证复印件正反面）</w:t>
      </w:r>
    </w:p>
    <w:p w14:paraId="25FB864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sz w:val="24"/>
          <w:highlight w:val="none"/>
        </w:rPr>
        <w:t>▲投标文件中法定代表人授权委托书所载内容与本项目内容有异的，投标无效</w:t>
      </w:r>
      <w:r>
        <w:rPr>
          <w:rFonts w:hint="eastAsia" w:ascii="仿宋" w:hAnsi="仿宋" w:eastAsia="仿宋" w:cs="仿宋"/>
          <w:color w:val="auto"/>
          <w:sz w:val="24"/>
          <w:highlight w:val="none"/>
          <w:lang w:eastAsia="zh-CN"/>
        </w:rPr>
        <w:t>。</w:t>
      </w:r>
    </w:p>
    <w:p w14:paraId="7F6B1ED2">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cs="仿宋"/>
          <w:bCs/>
          <w:color w:val="auto"/>
          <w:highlight w:val="none"/>
          <w:lang w:val="en-US" w:eastAsia="zh-CN"/>
        </w:rPr>
        <w:t>2</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投标响应函</w:t>
      </w:r>
      <w:r>
        <w:rPr>
          <w:rFonts w:hint="eastAsia" w:ascii="仿宋" w:hAnsi="仿宋" w:eastAsia="仿宋" w:cs="仿宋"/>
          <w:color w:val="auto"/>
          <w:highlight w:val="none"/>
        </w:rPr>
        <w:t>（格式见附件）；</w:t>
      </w:r>
    </w:p>
    <w:p w14:paraId="5DDF6A76">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cs="仿宋"/>
          <w:bCs/>
          <w:color w:val="auto"/>
          <w:highlight w:val="none"/>
          <w:lang w:val="en-US" w:eastAsia="zh-CN"/>
        </w:rPr>
        <w:t>3</w:t>
      </w:r>
      <w:r>
        <w:rPr>
          <w:rFonts w:hint="eastAsia" w:ascii="仿宋" w:hAnsi="仿宋" w:eastAsia="仿宋" w:cs="仿宋"/>
          <w:bCs/>
          <w:color w:val="auto"/>
          <w:highlight w:val="none"/>
        </w:rPr>
        <w:t>）</w:t>
      </w:r>
      <w:r>
        <w:rPr>
          <w:rFonts w:hint="eastAsia" w:ascii="仿宋" w:hAnsi="仿宋" w:eastAsia="仿宋" w:cs="仿宋"/>
          <w:color w:val="auto"/>
          <w:highlight w:val="none"/>
        </w:rPr>
        <w:t>政府采购供应商廉洁自律承诺书 （格式见附件）；</w:t>
      </w:r>
    </w:p>
    <w:p w14:paraId="5C48A751">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cs="仿宋"/>
          <w:bCs/>
          <w:color w:val="auto"/>
          <w:highlight w:val="none"/>
          <w:lang w:val="en-US" w:eastAsia="zh-CN"/>
        </w:rPr>
        <w:t>4</w:t>
      </w:r>
      <w:r>
        <w:rPr>
          <w:rFonts w:hint="eastAsia" w:ascii="仿宋" w:hAnsi="仿宋" w:eastAsia="仿宋" w:cs="仿宋"/>
          <w:bCs/>
          <w:color w:val="auto"/>
          <w:highlight w:val="none"/>
        </w:rPr>
        <w:t>）廉政承诺书</w:t>
      </w:r>
      <w:r>
        <w:rPr>
          <w:rFonts w:hint="eastAsia" w:ascii="仿宋" w:hAnsi="仿宋" w:eastAsia="仿宋" w:cs="仿宋"/>
          <w:color w:val="auto"/>
          <w:highlight w:val="none"/>
        </w:rPr>
        <w:t>（格式见附件）；</w:t>
      </w:r>
    </w:p>
    <w:p w14:paraId="786BA414">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cs="仿宋"/>
          <w:bCs/>
          <w:color w:val="auto"/>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color w:val="auto"/>
          <w:highlight w:val="none"/>
        </w:rPr>
        <w:t>投标人情况介绍(格式见附件)；</w:t>
      </w:r>
    </w:p>
    <w:p w14:paraId="78478EBA">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cs="仿宋"/>
          <w:bCs/>
          <w:color w:val="auto"/>
          <w:highlight w:val="none"/>
          <w:lang w:val="en-US" w:eastAsia="zh-CN"/>
        </w:rPr>
        <w:t>6</w:t>
      </w:r>
      <w:r>
        <w:rPr>
          <w:rFonts w:hint="eastAsia" w:ascii="仿宋" w:hAnsi="仿宋" w:eastAsia="仿宋" w:cs="仿宋"/>
          <w:bCs/>
          <w:color w:val="auto"/>
          <w:highlight w:val="none"/>
        </w:rPr>
        <w:t>）投标人认为有必要提供的其他资信文件或说明。</w:t>
      </w:r>
    </w:p>
    <w:p w14:paraId="1956D811">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i/>
          <w:iCs/>
          <w:color w:val="auto"/>
          <w:highlight w:val="none"/>
          <w:lang w:eastAsia="zh-CN"/>
        </w:rPr>
      </w:pPr>
      <w:r>
        <w:rPr>
          <w:rFonts w:hint="eastAsia" w:ascii="仿宋" w:hAnsi="仿宋" w:eastAsia="仿宋" w:cs="仿宋"/>
          <w:b/>
          <w:bCs/>
          <w:i/>
          <w:iCs/>
          <w:color w:val="auto"/>
          <w:highlight w:val="none"/>
          <w:lang w:eastAsia="zh-CN"/>
        </w:rPr>
        <w:t>（以下内容按项目评标内容提供）</w:t>
      </w:r>
    </w:p>
    <w:p w14:paraId="743E470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7</w:t>
      </w:r>
      <w:r>
        <w:rPr>
          <w:rFonts w:hint="eastAsia" w:ascii="仿宋" w:hAnsi="仿宋" w:eastAsia="仿宋" w:cs="仿宋"/>
          <w:color w:val="auto"/>
          <w:highlight w:val="none"/>
        </w:rPr>
        <w:t>）关于本项目的详细组织实施方案；</w:t>
      </w:r>
    </w:p>
    <w:p w14:paraId="1D579292">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8</w:t>
      </w:r>
      <w:r>
        <w:rPr>
          <w:rFonts w:hint="eastAsia" w:ascii="仿宋" w:hAnsi="仿宋" w:eastAsia="仿宋" w:cs="仿宋"/>
          <w:color w:val="auto"/>
          <w:highlight w:val="none"/>
        </w:rPr>
        <w:t>）</w:t>
      </w:r>
      <w:r>
        <w:rPr>
          <w:rFonts w:hint="eastAsia" w:ascii="仿宋" w:hAnsi="仿宋" w:eastAsia="仿宋" w:cs="仿宋"/>
          <w:bCs/>
          <w:color w:val="auto"/>
          <w:sz w:val="24"/>
          <w:szCs w:val="24"/>
          <w:highlight w:val="none"/>
        </w:rPr>
        <w:t>节能环保等的资质证书或文件（若有）；</w:t>
      </w:r>
    </w:p>
    <w:p w14:paraId="5AEBCBE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cs="仿宋"/>
          <w:color w:val="auto"/>
          <w:highlight w:val="none"/>
          <w:lang w:val="en-US" w:eastAsia="zh-CN"/>
        </w:rPr>
        <w:t>9</w:t>
      </w:r>
      <w:r>
        <w:rPr>
          <w:rFonts w:hint="eastAsia" w:ascii="仿宋" w:hAnsi="仿宋" w:eastAsia="仿宋" w:cs="仿宋"/>
          <w:color w:val="auto"/>
          <w:highlight w:val="none"/>
        </w:rPr>
        <w:t>）商务技术偏离表(格式见附件)；</w:t>
      </w:r>
    </w:p>
    <w:p w14:paraId="29988649">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0</w:t>
      </w:r>
      <w:r>
        <w:rPr>
          <w:rFonts w:hint="eastAsia" w:ascii="仿宋" w:hAnsi="仿宋" w:eastAsia="仿宋" w:cs="仿宋"/>
          <w:color w:val="auto"/>
          <w:highlight w:val="none"/>
        </w:rPr>
        <w:t>）投标人同类项目实施业绩一览表(格式见附件)；</w:t>
      </w:r>
    </w:p>
    <w:p w14:paraId="3132531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1</w:t>
      </w:r>
      <w:r>
        <w:rPr>
          <w:rFonts w:hint="eastAsia" w:ascii="仿宋" w:hAnsi="仿宋" w:eastAsia="仿宋" w:cs="仿宋"/>
          <w:color w:val="auto"/>
          <w:highlight w:val="none"/>
        </w:rPr>
        <w:t>）项目实施人员（主要从业人员及其技术资格）一览表(格式见附件)；</w:t>
      </w:r>
    </w:p>
    <w:p w14:paraId="502723F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2</w:t>
      </w:r>
      <w:r>
        <w:rPr>
          <w:rFonts w:hint="eastAsia" w:ascii="仿宋" w:hAnsi="仿宋" w:eastAsia="仿宋" w:cs="仿宋"/>
          <w:color w:val="auto"/>
          <w:highlight w:val="none"/>
        </w:rPr>
        <w:t>）设备投入一览表（若有）(格式见附件)；</w:t>
      </w:r>
    </w:p>
    <w:p w14:paraId="1E5C2FA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3</w:t>
      </w:r>
      <w:r>
        <w:rPr>
          <w:rFonts w:hint="eastAsia" w:ascii="仿宋" w:hAnsi="仿宋" w:eastAsia="仿宋" w:cs="仿宋"/>
          <w:color w:val="auto"/>
          <w:highlight w:val="none"/>
        </w:rPr>
        <w:t>）投标人承诺给予采购人的各种优惠条件及特殊承诺，包括售后服务、备品备件、专用耗材等方面的优惠；</w:t>
      </w:r>
    </w:p>
    <w:p w14:paraId="2A04A19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4</w:t>
      </w:r>
      <w:r>
        <w:rPr>
          <w:rFonts w:hint="eastAsia" w:ascii="仿宋" w:hAnsi="仿宋" w:eastAsia="仿宋" w:cs="仿宋"/>
          <w:color w:val="auto"/>
          <w:highlight w:val="none"/>
        </w:rPr>
        <w:t>）技术培训、运维保障、售后服务、验收方案的内容和措施；</w:t>
      </w:r>
    </w:p>
    <w:p w14:paraId="16F356B1">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5</w:t>
      </w:r>
      <w:r>
        <w:rPr>
          <w:rFonts w:hint="eastAsia" w:ascii="仿宋" w:hAnsi="仿宋" w:eastAsia="仿宋" w:cs="仿宋"/>
          <w:color w:val="auto"/>
          <w:highlight w:val="none"/>
        </w:rPr>
        <w:t>）投标人认为有必要提供的其他文件和说明（格式自拟）。</w:t>
      </w:r>
    </w:p>
    <w:p w14:paraId="3F11C910">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3.报价文件：</w:t>
      </w:r>
    </w:p>
    <w:p w14:paraId="48109204">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color w:val="auto"/>
          <w:highlight w:val="none"/>
          <w:lang w:val="en-US" w:eastAsia="zh-CN"/>
        </w:rPr>
        <w:t>开标</w:t>
      </w:r>
      <w:r>
        <w:rPr>
          <w:rFonts w:hint="eastAsia" w:ascii="仿宋" w:hAnsi="仿宋" w:eastAsia="仿宋" w:cs="仿宋"/>
          <w:color w:val="auto"/>
          <w:highlight w:val="none"/>
        </w:rPr>
        <w:t>一览表（格式见附件）；</w:t>
      </w:r>
    </w:p>
    <w:p w14:paraId="57244F73">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）报价明细表（格式见附件）；</w:t>
      </w:r>
    </w:p>
    <w:p w14:paraId="7B4369F9">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）投标人针对报价需要说明的其他文件和资料（格式自拟）。</w:t>
      </w:r>
    </w:p>
    <w:p w14:paraId="5C215197">
      <w:pPr>
        <w:pStyle w:val="9"/>
        <w:keepNext w:val="0"/>
        <w:keepLines w:val="0"/>
        <w:pageBreakBefore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（三）投标文件的编制、签署</w:t>
      </w:r>
    </w:p>
    <w:p w14:paraId="05A1436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组成投标文件的各项资料均应遵守本条：</w:t>
      </w:r>
    </w:p>
    <w:p w14:paraId="5D1358F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1.投标文件的</w:t>
      </w:r>
      <w:r>
        <w:rPr>
          <w:rFonts w:hint="eastAsia" w:ascii="仿宋" w:hAnsi="仿宋" w:eastAsia="仿宋" w:cs="仿宋"/>
          <w:color w:val="auto"/>
          <w:highlight w:val="none"/>
          <w:lang w:eastAsia="zh-CN"/>
        </w:rPr>
        <w:t>编制</w:t>
      </w:r>
      <w:r>
        <w:rPr>
          <w:rFonts w:hint="eastAsia" w:ascii="仿宋" w:hAnsi="仿宋" w:eastAsia="仿宋" w:cs="仿宋"/>
          <w:color w:val="auto"/>
          <w:highlight w:val="none"/>
        </w:rPr>
        <w:t>：</w:t>
      </w:r>
    </w:p>
    <w:p w14:paraId="1F41EFF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2"/>
          <w:highlight w:val="none"/>
          <w:lang w:val="zh-CN"/>
        </w:rPr>
        <w:t>各投标人</w:t>
      </w:r>
      <w:r>
        <w:rPr>
          <w:rFonts w:hint="eastAsia" w:ascii="仿宋" w:hAnsi="仿宋" w:eastAsia="仿宋" w:cs="仿宋"/>
          <w:color w:val="auto"/>
          <w:kern w:val="0"/>
          <w:sz w:val="24"/>
          <w:szCs w:val="22"/>
          <w:highlight w:val="none"/>
          <w:lang w:val="en-US" w:eastAsia="zh-CN"/>
        </w:rPr>
        <w:t>应</w:t>
      </w:r>
      <w:r>
        <w:rPr>
          <w:rFonts w:hint="eastAsia" w:ascii="仿宋" w:hAnsi="仿宋" w:eastAsia="仿宋" w:cs="仿宋"/>
          <w:color w:val="auto"/>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color w:val="auto"/>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color w:val="auto"/>
          <w:kern w:val="0"/>
          <w:sz w:val="24"/>
          <w:szCs w:val="22"/>
          <w:highlight w:val="none"/>
        </w:rPr>
        <w:t>▲投标文件未按规定的格式编制，</w:t>
      </w:r>
      <w:r>
        <w:rPr>
          <w:rFonts w:hint="eastAsia" w:ascii="仿宋" w:hAnsi="仿宋" w:eastAsia="仿宋" w:cs="仿宋"/>
          <w:b/>
          <w:bCs/>
          <w:color w:val="auto"/>
          <w:kern w:val="0"/>
          <w:sz w:val="24"/>
          <w:szCs w:val="22"/>
          <w:highlight w:val="none"/>
          <w:lang w:val="en-US" w:eastAsia="zh-CN"/>
        </w:rPr>
        <w:t>导致影响评标的，</w:t>
      </w:r>
      <w:r>
        <w:rPr>
          <w:rFonts w:hint="eastAsia" w:ascii="仿宋" w:hAnsi="仿宋" w:eastAsia="仿宋" w:cs="仿宋"/>
          <w:b/>
          <w:bCs/>
          <w:color w:val="auto"/>
          <w:kern w:val="0"/>
          <w:sz w:val="24"/>
          <w:szCs w:val="22"/>
          <w:highlight w:val="none"/>
        </w:rPr>
        <w:t>投标无效；</w:t>
      </w:r>
    </w:p>
    <w:p w14:paraId="34709FB7">
      <w:pPr>
        <w:pageBreakBefore w:val="0"/>
        <w:widowControl/>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lang w:val="en-US" w:eastAsia="zh-CN"/>
        </w:rPr>
        <w:t>2.</w:t>
      </w:r>
      <w:r>
        <w:rPr>
          <w:rFonts w:hint="eastAsia" w:ascii="仿宋" w:hAnsi="仿宋" w:eastAsia="仿宋" w:cs="仿宋"/>
          <w:color w:val="auto"/>
          <w:kern w:val="0"/>
          <w:sz w:val="24"/>
          <w:szCs w:val="22"/>
          <w:highlight w:val="none"/>
        </w:rPr>
        <w:t>投标文件的签署、盖章：</w:t>
      </w:r>
    </w:p>
    <w:p w14:paraId="1654023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eastAsia="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2AE1E586">
      <w:pPr>
        <w:pageBreakBefore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7B783398">
      <w:pPr>
        <w:pageBreakBefore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12E0C3BB">
      <w:pPr>
        <w:pageBreakBefore w:val="0"/>
        <w:kinsoku/>
        <w:overflow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71C25E5A">
      <w:pPr>
        <w:pageBreakBefore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71897FAB">
      <w:pPr>
        <w:pStyle w:val="9"/>
        <w:keepNext w:val="0"/>
        <w:keepLines w:val="0"/>
        <w:pageBreakBefore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（四）投标报价</w:t>
      </w:r>
      <w:r>
        <w:rPr>
          <w:rFonts w:hint="eastAsia" w:ascii="仿宋" w:hAnsi="仿宋" w:eastAsia="仿宋" w:cs="仿宋"/>
          <w:color w:val="auto"/>
          <w:sz w:val="24"/>
          <w:szCs w:val="24"/>
          <w:highlight w:val="none"/>
          <w:lang w:val="en-US" w:eastAsia="zh-CN"/>
        </w:rPr>
        <w:t xml:space="preserve">                                          </w:t>
      </w:r>
    </w:p>
    <w:p w14:paraId="750752C5">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1.所有投标报价均以人民币元为计算单位。投标报价应是唯一的，采购人将拒绝有选择的报价，投标报价应按招标文件中相关附表格式填报。</w:t>
      </w:r>
    </w:p>
    <w:p w14:paraId="26459D54">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2.投标价格应该已经扣除所有同业折扣以及现金折扣。投标报价应包括所需缴纳的所有税费、项目实施所需的一切费用。</w:t>
      </w:r>
    </w:p>
    <w:p w14:paraId="393C2B4B">
      <w:pPr>
        <w:pageBreakBefore w:val="0"/>
        <w:kinsoku/>
        <w:overflow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E85B407">
      <w:pPr>
        <w:pStyle w:val="9"/>
        <w:pageBreakBefore w:val="0"/>
        <w:kinsoku/>
        <w:overflowPunct/>
        <w:autoSpaceDE/>
        <w:autoSpaceDN/>
        <w:bidi w:val="0"/>
        <w:adjustRightInd/>
        <w:spacing w:line="440" w:lineRule="exact"/>
        <w:ind w:firstLine="482"/>
        <w:textAlignment w:val="auto"/>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Cs w:val="24"/>
          <w:highlight w:val="none"/>
        </w:rPr>
        <w:t>投标文件的递交</w:t>
      </w:r>
    </w:p>
    <w:p w14:paraId="50AEE36A">
      <w:pPr>
        <w:pageBreakBefore w:val="0"/>
        <w:numPr>
          <w:ilvl w:val="0"/>
          <w:numId w:val="0"/>
        </w:numPr>
        <w:tabs>
          <w:tab w:val="left" w:pos="0"/>
        </w:tabs>
        <w:kinsoku/>
        <w:overflowPunct/>
        <w:autoSpaceDE/>
        <w:autoSpaceDN/>
        <w:bidi w:val="0"/>
        <w:adjustRightInd/>
        <w:spacing w:line="440" w:lineRule="exact"/>
        <w:ind w:left="480" w:left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投标文件的递交、补充、修改和撤回</w:t>
      </w:r>
    </w:p>
    <w:p w14:paraId="26EC2651">
      <w:pPr>
        <w:pageBreakBefore w:val="0"/>
        <w:tabs>
          <w:tab w:val="left" w:pos="0"/>
        </w:tabs>
        <w:kinsoku/>
        <w:overflowPunct/>
        <w:autoSpaceDE/>
        <w:autoSpaceDN/>
        <w:bidi w:val="0"/>
        <w:adjustRightInd/>
        <w:spacing w:line="440" w:lineRule="exact"/>
        <w:ind w:firstLine="482"/>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2CD2227E">
      <w:pPr>
        <w:pageBreakBefore w:val="0"/>
        <w:numPr>
          <w:ilvl w:val="0"/>
          <w:numId w:val="0"/>
        </w:numPr>
        <w:tabs>
          <w:tab w:val="left" w:pos="0"/>
        </w:tabs>
        <w:kinsoku/>
        <w:overflowPunct/>
        <w:autoSpaceDE/>
        <w:autoSpaceDN/>
        <w:bidi w:val="0"/>
        <w:adjustRightInd/>
        <w:spacing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9282C22">
      <w:pPr>
        <w:pStyle w:val="477"/>
        <w:pageBreakBefore w:val="0"/>
        <w:kinsoku/>
        <w:overflowPunct/>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3.投标截止时间和有效时间</w:t>
      </w:r>
    </w:p>
    <w:p w14:paraId="06705045">
      <w:pPr>
        <w:pStyle w:val="477"/>
        <w:pageBreakBefore w:val="0"/>
        <w:kinsoku/>
        <w:wordWrap w:val="0"/>
        <w:overflowPunct/>
        <w:topLinePunct/>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投标截止时间见前附表</w:t>
      </w:r>
      <w:r>
        <w:rPr>
          <w:rFonts w:hint="eastAsia" w:ascii="仿宋" w:hAnsi="仿宋" w:eastAsia="仿宋" w:cs="仿宋"/>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63BB069E">
      <w:pPr>
        <w:pStyle w:val="477"/>
        <w:pageBreakBefore w:val="0"/>
        <w:kinsoku/>
        <w:wordWrap w:val="0"/>
        <w:overflowPunct/>
        <w:topLinePunct/>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（2）投标截止时间后，投标人登录政采云平台，用“项目采购-开标评标”功能对电子投标文件进行在线解密。</w:t>
      </w:r>
      <w:r>
        <w:rPr>
          <w:rFonts w:hint="eastAsia" w:ascii="仿宋" w:hAnsi="仿宋" w:eastAsia="仿宋" w:cs="仿宋"/>
          <w:b/>
          <w:bCs/>
          <w:color w:val="auto"/>
          <w:highlight w:val="none"/>
        </w:rPr>
        <w:t>在线解密电子投标文件时间为开标时间起30分钟内。</w:t>
      </w:r>
    </w:p>
    <w:p w14:paraId="7192EF34">
      <w:pPr>
        <w:pStyle w:val="477"/>
        <w:pageBreakBefore w:val="0"/>
        <w:kinsoku/>
        <w:wordWrap w:val="0"/>
        <w:overflowPunct/>
        <w:topLinePunct/>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
          <w:bCs/>
          <w:color w:val="auto"/>
          <w:highlight w:val="none"/>
        </w:rPr>
        <w:t>投标有效期为从提交投标文件的截止之日起90天。</w:t>
      </w:r>
      <w:r>
        <w:rPr>
          <w:rFonts w:hint="eastAsia" w:ascii="仿宋" w:hAnsi="仿宋" w:eastAsia="仿宋" w:cs="仿宋"/>
          <w:b/>
          <w:bCs w:val="0"/>
          <w:color w:val="auto"/>
          <w:highlight w:val="none"/>
        </w:rPr>
        <w:t>▲投标人的投标文件中承诺的投标有效期少于招标文件中载明的投标有效期的，投标无效。</w:t>
      </w:r>
      <w:r>
        <w:rPr>
          <w:rFonts w:hint="eastAsia" w:ascii="仿宋" w:hAnsi="仿宋" w:eastAsia="仿宋" w:cs="仿宋"/>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4D8810F0">
      <w:pPr>
        <w:pStyle w:val="8"/>
        <w:keepNext w:val="0"/>
        <w:keepLines w:val="0"/>
        <w:pageBreakBefore w:val="0"/>
        <w:kinsoku/>
        <w:overflowPunct/>
        <w:autoSpaceDE/>
        <w:autoSpaceDN/>
        <w:bidi w:val="0"/>
        <w:adjustRightInd/>
        <w:spacing w:before="0" w:beforeAutospacing="0" w:after="0" w:afterAutospacing="0" w:line="440" w:lineRule="exact"/>
        <w:ind w:left="0" w:firstLine="480" w:firstLineChars="200"/>
        <w:jc w:val="both"/>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638059E1">
      <w:pPr>
        <w:pStyle w:val="8"/>
        <w:keepNext w:val="0"/>
        <w:keepLines w:val="0"/>
        <w:pageBreakBefore w:val="0"/>
        <w:kinsoku/>
        <w:overflow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四、开标</w:t>
      </w:r>
    </w:p>
    <w:p w14:paraId="2A71E261">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ascii="仿宋" w:hAnsi="仿宋" w:eastAsia="仿宋" w:cs="仿宋"/>
          <w:b w:val="0"/>
          <w:bCs/>
          <w:color w:val="auto"/>
          <w:highlight w:val="none"/>
          <w:lang w:eastAsia="zh-CN"/>
        </w:rPr>
        <w:t>，</w:t>
      </w:r>
      <w:r>
        <w:rPr>
          <w:rFonts w:hint="eastAsia" w:ascii="仿宋" w:hAnsi="仿宋" w:eastAsia="仿宋" w:cs="仿宋"/>
          <w:color w:val="auto"/>
          <w:highlight w:val="none"/>
        </w:rPr>
        <w:t>各投标人法定代表人（负责人）或其授权代表应准时参与在线电子投标，否则事后不得对采购相关人员、开标过程和开标结果提出异议。</w:t>
      </w:r>
    </w:p>
    <w:p w14:paraId="3F4F245E">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38341F37">
      <w:pPr>
        <w:pageBreakBefore w:val="0"/>
        <w:kinsoku/>
        <w:overflow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lang w:val="en-US" w:eastAsia="zh-CN"/>
        </w:rPr>
        <w:t>开标时，</w:t>
      </w:r>
      <w:r>
        <w:rPr>
          <w:rFonts w:hint="eastAsia" w:ascii="仿宋" w:hAnsi="仿宋" w:eastAsia="仿宋" w:cs="仿宋"/>
          <w:color w:val="auto"/>
          <w:highlight w:val="none"/>
        </w:rPr>
        <w:t>电子交易平台按开标时间自动提取所有投标文件，采购代理机构依托电子交易平台发起开始解密指令，</w:t>
      </w:r>
      <w:r>
        <w:rPr>
          <w:rFonts w:hint="eastAsia" w:ascii="仿宋" w:hAnsi="仿宋" w:eastAsia="仿宋" w:cs="仿宋"/>
          <w:color w:val="auto"/>
          <w:szCs w:val="24"/>
          <w:highlight w:val="none"/>
        </w:rPr>
        <w:t>投标人按照平台提示和招标文件的规定在30分钟内完成在线解密。</w:t>
      </w:r>
      <w:r>
        <w:rPr>
          <w:rFonts w:hint="eastAsia" w:ascii="仿宋" w:hAnsi="仿宋" w:eastAsia="仿宋" w:cs="仿宋"/>
          <w:b/>
          <w:bCs/>
          <w:color w:val="auto"/>
          <w:szCs w:val="24"/>
          <w:highlight w:val="none"/>
        </w:rPr>
        <w:t>所有投标人均应当准时在线参加，投标人不足3家的，不得开标。</w:t>
      </w:r>
    </w:p>
    <w:p w14:paraId="542FEFF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（三）</w:t>
      </w:r>
      <w:r>
        <w:rPr>
          <w:rFonts w:hint="eastAsia" w:ascii="仿宋" w:hAnsi="仿宋" w:eastAsia="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7C07AFD2">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特别说明：</w:t>
      </w:r>
    </w:p>
    <w:p w14:paraId="0007FAC7">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1、政采云公司如对电子化开标及评审程序有调整的，按调整后的程序操作。</w:t>
      </w:r>
    </w:p>
    <w:p w14:paraId="0FA50AF3">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2、目前政府采购全流程电子化交易，投标人须在规定时间内自行解密。</w:t>
      </w:r>
    </w:p>
    <w:p w14:paraId="3ACDED9A">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3、本项目原则上采用政采云电子招投标开标及评审程序，但有下情形之一的，按以下情况处理：</w:t>
      </w:r>
    </w:p>
    <w:p w14:paraId="2B26298F">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（1）若个别投标人在规定时间内无法解密或解密失败的，作无效投标处理。解密成功的投标人不足三家的，本项目重新组织采购活动。</w:t>
      </w:r>
    </w:p>
    <w:p w14:paraId="6264D59F">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（2）若因政采云平台原因无法读取或电子开评标无法正常进行，采购代理机构将情况上报行业监管部门同意后，重新组织采购活动。</w:t>
      </w:r>
    </w:p>
    <w:p w14:paraId="018A1DD4">
      <w:pPr>
        <w:pStyle w:val="8"/>
        <w:keepNext w:val="0"/>
        <w:keepLines w:val="0"/>
        <w:pageBreakBefore w:val="0"/>
        <w:kinsoku/>
        <w:overflowPunct/>
        <w:topLine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43914B5F">
      <w:pPr>
        <w:pStyle w:val="9"/>
        <w:keepNext w:val="0"/>
        <w:keepLines w:val="0"/>
        <w:pageBreakBefore w:val="0"/>
        <w:kinsoku/>
        <w:wordWrap w:val="0"/>
        <w:overflowPunct/>
        <w:topLinePunct/>
        <w:autoSpaceDE/>
        <w:autoSpaceDN/>
        <w:bidi w:val="0"/>
        <w:adjustRightInd/>
        <w:snapToGrid/>
        <w:spacing w:beforeAutospacing="0" w:afterAutospacing="0" w:line="44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37683224">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1.评标委员会的组成。</w:t>
      </w:r>
      <w:r>
        <w:rPr>
          <w:rFonts w:hint="eastAsia" w:ascii="仿宋" w:hAnsi="仿宋" w:eastAsia="仿宋" w:cs="仿宋"/>
          <w:color w:val="auto"/>
          <w:highlight w:val="none"/>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17E1D8AD">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2.评标委员会组成人员的回避。</w:t>
      </w:r>
      <w:r>
        <w:rPr>
          <w:rFonts w:hint="eastAsia" w:ascii="仿宋" w:hAnsi="仿宋" w:eastAsia="仿宋" w:cs="仿宋"/>
          <w:color w:val="auto"/>
          <w:highlight w:val="none"/>
        </w:rPr>
        <w:t>在政府采购活动中，评标委员会的组成人员与供应商有下列利害关系之一的，应当回避：</w:t>
      </w:r>
    </w:p>
    <w:p w14:paraId="70DA31F7">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（1）参加采购活动前3年内与供应商存在劳动关系；</w:t>
      </w:r>
    </w:p>
    <w:p w14:paraId="21FD96B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（2）参加采购活动前3年内担任供应商的董事、监事；</w:t>
      </w:r>
    </w:p>
    <w:p w14:paraId="59EFD9BC">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（3）参加采购活动前3年内是供应商的控股股东或者实际控制人；</w:t>
      </w:r>
    </w:p>
    <w:p w14:paraId="11BEE28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（4）与供应商的法定代表人或者负责人有夫妻、直系血亲、三代以内旁系血亲或者近姻亲关系；</w:t>
      </w:r>
    </w:p>
    <w:p w14:paraId="1046205A">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（5）与供应商有其他可能影响政府采购活动公平、公正进行的关系。</w:t>
      </w:r>
    </w:p>
    <w:p w14:paraId="1E3B7743">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3.评标委员会负责具体评标事务，并独立履行下列职责：</w:t>
      </w:r>
    </w:p>
    <w:p w14:paraId="195C532A">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（1）审查、评价投标文件是否符合招标文件的商务、技术等实质性要求；</w:t>
      </w:r>
    </w:p>
    <w:p w14:paraId="78F15F86">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（2）要求投标人对投标文件有关事项作出澄清或者说明；</w:t>
      </w:r>
    </w:p>
    <w:p w14:paraId="5255CFF0">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（3）对投标文件进行比较和评价；</w:t>
      </w:r>
    </w:p>
    <w:p w14:paraId="31DCC1D3">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（4）确定中标候选人名单，以及根据采购人委托直接确定中标人；</w:t>
      </w:r>
    </w:p>
    <w:p w14:paraId="250BEDD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（5）向采购人或者有关部门报告评标中发现的违法行为；</w:t>
      </w:r>
    </w:p>
    <w:p w14:paraId="6906437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（6）法律、法规、规章、招标文件等规定的其它事项。</w:t>
      </w:r>
    </w:p>
    <w:p w14:paraId="7926091F">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4.评标委员会及其成员不得有下列行为：</w:t>
      </w:r>
    </w:p>
    <w:p w14:paraId="2AD7FFB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（1）确定参与评标至评标结束前私自接触投标人；</w:t>
      </w:r>
    </w:p>
    <w:p w14:paraId="008CB8F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（2）接受投标人提出的与投标文件不一致的澄清或者说明，《政府采购货物和服务招标投标管理办法》（财政部令第87号）第五十一条规定的情形除外；</w:t>
      </w:r>
    </w:p>
    <w:p w14:paraId="0258AD36">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（3）违反评标纪律发表倾向性意见或者征询采购人的倾向性意见；</w:t>
      </w:r>
    </w:p>
    <w:p w14:paraId="6ED99474">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（4）对需要专业判断的主观评审因素协商评分；</w:t>
      </w:r>
    </w:p>
    <w:p w14:paraId="40277B3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（5）在评标过程中擅离职守，影响评标程序正常进行的；</w:t>
      </w:r>
    </w:p>
    <w:p w14:paraId="2F41539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（6）记录、复制或者带走任何评标资料；</w:t>
      </w:r>
    </w:p>
    <w:p w14:paraId="02853B1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（7）其他不遵守评标纪律的行为。评标委员会成员有（1）-（5）行为之一的，其评审意见无效，并不得获取评审劳务报酬和报销异地评审差旅费。</w:t>
      </w:r>
    </w:p>
    <w:p w14:paraId="7EF8454F">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（二）评标原则</w:t>
      </w:r>
    </w:p>
    <w:p w14:paraId="58A0456C">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1.评标委员会必须公平、公正、客观，不带任何倾向性和启发性；按照招标文件的要求和条件进行评标；客观、公正地对待所有投标人，对所有投标评审，均采用相同的程序和标准。</w:t>
      </w:r>
    </w:p>
    <w:p w14:paraId="1A549951">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EC29B78">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3472223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4.在开标、评标期间，任何单位和个人不得干扰、影响评标的正常进行，投标人不得向评标委员会成员询问评标情况，不得进行旨在影响评标结果的活动，否则将废除其投标资格。</w:t>
      </w:r>
    </w:p>
    <w:p w14:paraId="26D68F5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5、评标方法及评分标准等，详见招标文件“第三章  评标办法及评分标准”。</w:t>
      </w:r>
    </w:p>
    <w:p w14:paraId="264792C7">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（三）评标程序</w:t>
      </w:r>
    </w:p>
    <w:p w14:paraId="659D10E2">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本项目评标一般将按以下程序进行：投标文件初审、样品评审（若有）、投标文件的澄清、商务及技术文件的比较与评价、报价文件的比较与评审、推荐中标候选人和编写评标报告等。</w:t>
      </w:r>
    </w:p>
    <w:p w14:paraId="22AADE36">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1.投标文件初审</w:t>
      </w:r>
    </w:p>
    <w:p w14:paraId="36028C4C">
      <w:pPr>
        <w:pageBreakBefore w:val="0"/>
        <w:kinsoku/>
        <w:overflowPunct/>
        <w:autoSpaceDE/>
        <w:autoSpaceDN/>
        <w:bidi w:val="0"/>
        <w:adjustRightInd/>
        <w:spacing w:line="440" w:lineRule="exact"/>
        <w:ind w:firstLine="482"/>
        <w:textAlignment w:val="auto"/>
        <w:rPr>
          <w:rFonts w:hint="eastAsia" w:ascii="仿宋" w:hAnsi="仿宋" w:eastAsia="仿宋" w:cs="仿宋"/>
          <w:color w:val="auto"/>
          <w:highlight w:val="none"/>
        </w:rPr>
      </w:pPr>
      <w:r>
        <w:rPr>
          <w:rFonts w:hint="eastAsia" w:ascii="仿宋" w:hAnsi="仿宋" w:eastAsia="仿宋" w:cs="仿宋"/>
          <w:b/>
          <w:color w:val="auto"/>
          <w:highlight w:val="none"/>
        </w:rPr>
        <w:t>（1）资格性</w:t>
      </w:r>
      <w:r>
        <w:rPr>
          <w:rFonts w:hint="eastAsia" w:ascii="仿宋" w:hAnsi="仿宋" w:eastAsia="仿宋" w:cs="仿宋"/>
          <w:b/>
          <w:color w:val="auto"/>
          <w:highlight w:val="none"/>
          <w:lang w:eastAsia="zh-CN"/>
        </w:rPr>
        <w:t>审</w:t>
      </w:r>
      <w:r>
        <w:rPr>
          <w:rFonts w:hint="eastAsia" w:ascii="仿宋" w:hAnsi="仿宋" w:eastAsia="仿宋" w:cs="仿宋"/>
          <w:b/>
          <w:color w:val="auto"/>
          <w:highlight w:val="none"/>
        </w:rPr>
        <w:t>查</w:t>
      </w:r>
    </w:p>
    <w:p w14:paraId="0EF3E035">
      <w:pPr>
        <w:pageBreakBefore w:val="0"/>
        <w:kinsoku/>
        <w:overflowPunct/>
        <w:autoSpaceDE/>
        <w:autoSpaceDN/>
        <w:bidi w:val="0"/>
        <w:adjustRightInd/>
        <w:spacing w:line="440" w:lineRule="exact"/>
        <w:ind w:firstLine="482"/>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采购人代表</w:t>
      </w:r>
      <w:r>
        <w:rPr>
          <w:rFonts w:hint="eastAsia" w:ascii="仿宋" w:hAnsi="仿宋" w:eastAsia="仿宋" w:cs="仿宋"/>
          <w:b/>
          <w:bCs/>
          <w:color w:val="auto"/>
          <w:szCs w:val="24"/>
          <w:highlight w:val="none"/>
          <w:lang w:val="en-US" w:eastAsia="zh-CN"/>
        </w:rPr>
        <w:t>或代理机构</w:t>
      </w:r>
      <w:r>
        <w:rPr>
          <w:rFonts w:hint="eastAsia" w:ascii="仿宋" w:hAnsi="仿宋" w:eastAsia="仿宋" w:cs="仿宋"/>
          <w:b/>
          <w:bCs/>
          <w:color w:val="auto"/>
          <w:szCs w:val="24"/>
          <w:highlight w:val="none"/>
        </w:rPr>
        <w:t>应当依法对投标人的资格进行审查，</w:t>
      </w:r>
      <w:r>
        <w:rPr>
          <w:rFonts w:hint="eastAsia" w:ascii="仿宋" w:hAnsi="仿宋" w:eastAsia="仿宋" w:cs="仿宋"/>
          <w:color w:val="auto"/>
          <w:szCs w:val="24"/>
          <w:highlight w:val="none"/>
        </w:rPr>
        <w:t>依据法律法规和招标文件的规定，对投标人的基本资格条件、特定资格条件进行审查。</w:t>
      </w:r>
      <w:r>
        <w:rPr>
          <w:rFonts w:hint="eastAsia" w:ascii="仿宋" w:hAnsi="仿宋" w:eastAsia="仿宋" w:cs="仿宋"/>
          <w:b/>
          <w:bCs/>
          <w:color w:val="auto"/>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color w:val="auto"/>
          <w:szCs w:val="24"/>
          <w:highlight w:val="none"/>
        </w:rPr>
        <w:t>对未通过资格审查的投标人，采购人或采购代理机构告知其未通过的原因。合格投标人不足3家的，不再评标。</w:t>
      </w:r>
    </w:p>
    <w:p w14:paraId="22402FA5">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highlight w:val="none"/>
          <w:lang w:eastAsia="zh-CN"/>
        </w:rPr>
      </w:pPr>
      <w:r>
        <w:rPr>
          <w:rFonts w:hint="eastAsia" w:ascii="仿宋" w:hAnsi="仿宋" w:eastAsia="仿宋" w:cs="仿宋"/>
          <w:b/>
          <w:bCs/>
          <w:color w:val="auto"/>
          <w:szCs w:val="24"/>
          <w:highlight w:val="none"/>
        </w:rPr>
        <w:t>信用信息查询渠道及截止时间：</w:t>
      </w:r>
      <w:r>
        <w:rPr>
          <w:rFonts w:hint="eastAsia" w:ascii="仿宋" w:hAnsi="仿宋" w:eastAsia="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eastAsia="仿宋" w:cs="仿宋"/>
          <w:b/>
          <w:bCs/>
          <w:color w:val="auto"/>
          <w:szCs w:val="24"/>
          <w:highlight w:val="none"/>
        </w:rPr>
        <w:t>信用信息查询记录和证据留存的具体方式：</w:t>
      </w:r>
      <w:r>
        <w:rPr>
          <w:rFonts w:hint="eastAsia" w:ascii="仿宋" w:hAnsi="仿宋" w:eastAsia="仿宋" w:cs="仿宋"/>
          <w:color w:val="auto"/>
          <w:szCs w:val="24"/>
          <w:highlight w:val="none"/>
        </w:rPr>
        <w:t>现场查询的投标人的信用记录、查询结果经确认后将与采购文件一起存档。</w:t>
      </w:r>
      <w:r>
        <w:rPr>
          <w:rFonts w:hint="eastAsia" w:ascii="仿宋" w:hAnsi="仿宋" w:eastAsia="仿宋" w:cs="仿宋"/>
          <w:b/>
          <w:bCs/>
          <w:color w:val="auto"/>
          <w:szCs w:val="24"/>
          <w:highlight w:val="none"/>
        </w:rPr>
        <w:t>信用信息的使用规则：</w:t>
      </w:r>
      <w:r>
        <w:rPr>
          <w:rFonts w:hint="eastAsia" w:ascii="仿宋" w:hAnsi="仿宋" w:eastAsia="仿宋" w:cs="仿宋"/>
          <w:color w:val="auto"/>
          <w:szCs w:val="24"/>
          <w:highlight w:val="none"/>
        </w:rPr>
        <w:t>经查询列入失信被执行人名单、重大税收违法失信主体、政府采购严重违法失信行为记录名单的投标人将被拒绝参与政府采购活动</w:t>
      </w:r>
      <w:r>
        <w:rPr>
          <w:rFonts w:hint="eastAsia" w:ascii="仿宋" w:hAnsi="仿宋" w:eastAsia="仿宋" w:cs="仿宋"/>
          <w:b/>
          <w:bCs/>
          <w:color w:val="auto"/>
          <w:szCs w:val="24"/>
          <w:highlight w:val="none"/>
        </w:rPr>
        <w:t>。联合体信用信息查询：</w:t>
      </w:r>
      <w:r>
        <w:rPr>
          <w:rFonts w:hint="eastAsia" w:ascii="仿宋" w:hAnsi="仿宋" w:eastAsia="仿宋" w:cs="仿宋"/>
          <w:color w:val="auto"/>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AC63A4">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lang w:eastAsia="zh-CN"/>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ascii="仿宋" w:hAnsi="仿宋" w:eastAsia="仿宋" w:cs="仿宋"/>
          <w:b/>
          <w:color w:val="auto"/>
          <w:highlight w:val="none"/>
          <w:lang w:eastAsia="zh-CN"/>
        </w:rPr>
        <w:t>。</w:t>
      </w:r>
    </w:p>
    <w:p w14:paraId="01C40355">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资格不符合的，应组织相关投标人代表进行陈述、澄清或申辩。资格性</w:t>
      </w:r>
      <w:r>
        <w:rPr>
          <w:rFonts w:hint="eastAsia" w:ascii="仿宋" w:hAnsi="仿宋" w:eastAsia="仿宋" w:cs="仿宋"/>
          <w:b/>
          <w:color w:val="auto"/>
          <w:highlight w:val="none"/>
          <w:lang w:eastAsia="zh-CN"/>
        </w:rPr>
        <w:t>审</w:t>
      </w:r>
      <w:r>
        <w:rPr>
          <w:rFonts w:hint="eastAsia" w:ascii="仿宋" w:hAnsi="仿宋" w:eastAsia="仿宋" w:cs="仿宋"/>
          <w:b/>
          <w:color w:val="auto"/>
          <w:highlight w:val="none"/>
        </w:rPr>
        <w:t>查不合格的投标人则无须继续进行符合性</w:t>
      </w:r>
      <w:r>
        <w:rPr>
          <w:rFonts w:hint="eastAsia" w:ascii="仿宋" w:hAnsi="仿宋" w:eastAsia="仿宋" w:cs="仿宋"/>
          <w:b/>
          <w:color w:val="auto"/>
          <w:highlight w:val="none"/>
          <w:lang w:eastAsia="zh-CN"/>
        </w:rPr>
        <w:t>审</w:t>
      </w:r>
      <w:r>
        <w:rPr>
          <w:rFonts w:hint="eastAsia" w:ascii="仿宋" w:hAnsi="仿宋" w:eastAsia="仿宋" w:cs="仿宋"/>
          <w:b/>
          <w:color w:val="auto"/>
          <w:highlight w:val="none"/>
        </w:rPr>
        <w:t>查，并且投标文件初审结论不合格。</w:t>
      </w:r>
    </w:p>
    <w:p w14:paraId="6D7BC389">
      <w:pPr>
        <w:pageBreakBefore w:val="0"/>
        <w:numPr>
          <w:ilvl w:val="0"/>
          <w:numId w:val="0"/>
        </w:numPr>
        <w:kinsoku/>
        <w:wordWrap w:val="0"/>
        <w:overflowPunct/>
        <w:topLinePunct/>
        <w:autoSpaceDE/>
        <w:autoSpaceDN/>
        <w:bidi w:val="0"/>
        <w:adjustRightInd/>
        <w:spacing w:beforeAutospacing="0" w:afterAutospacing="0" w:line="440" w:lineRule="exact"/>
        <w:ind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符合性</w:t>
      </w:r>
      <w:r>
        <w:rPr>
          <w:rFonts w:hint="eastAsia" w:ascii="仿宋" w:hAnsi="仿宋" w:eastAsia="仿宋" w:cs="仿宋"/>
          <w:b/>
          <w:color w:val="auto"/>
          <w:highlight w:val="none"/>
          <w:lang w:eastAsia="zh-CN"/>
        </w:rPr>
        <w:t>审</w:t>
      </w:r>
      <w:r>
        <w:rPr>
          <w:rFonts w:hint="eastAsia" w:ascii="仿宋" w:hAnsi="仿宋" w:eastAsia="仿宋" w:cs="仿宋"/>
          <w:b/>
          <w:color w:val="auto"/>
          <w:highlight w:val="none"/>
        </w:rPr>
        <w:t>查</w:t>
      </w:r>
    </w:p>
    <w:p w14:paraId="7F6ABB71">
      <w:pPr>
        <w:pageBreakBefore w:val="0"/>
        <w:numPr>
          <w:ilvl w:val="0"/>
          <w:numId w:val="0"/>
        </w:numPr>
        <w:kinsoku/>
        <w:wordWrap w:val="0"/>
        <w:overflowPunct/>
        <w:topLinePunct/>
        <w:autoSpaceDE/>
        <w:autoSpaceDN/>
        <w:bidi w:val="0"/>
        <w:adjustRightInd/>
        <w:spacing w:beforeAutospacing="0" w:afterAutospacing="0" w:line="440" w:lineRule="exact"/>
        <w:ind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ascii="仿宋" w:hAnsi="仿宋" w:eastAsia="仿宋" w:cs="仿宋"/>
          <w:color w:val="auto"/>
          <w:highlight w:val="none"/>
          <w:lang w:eastAsia="zh-CN"/>
        </w:rPr>
        <w:t>审</w:t>
      </w:r>
      <w:r>
        <w:rPr>
          <w:rFonts w:hint="eastAsia" w:ascii="仿宋" w:hAnsi="仿宋" w:eastAsia="仿宋" w:cs="仿宋"/>
          <w:color w:val="auto"/>
          <w:highlight w:val="none"/>
        </w:rPr>
        <w:t>查不合格的投标人，投标文件初审结论不合格。</w:t>
      </w:r>
    </w:p>
    <w:p w14:paraId="0981B931">
      <w:pPr>
        <w:pageBreakBefore w:val="0"/>
        <w:numPr>
          <w:ilvl w:val="0"/>
          <w:numId w:val="0"/>
        </w:numPr>
        <w:tabs>
          <w:tab w:val="left" w:pos="0"/>
        </w:tabs>
        <w:kinsoku/>
        <w:overflowPunct/>
        <w:autoSpaceDE/>
        <w:autoSpaceDN/>
        <w:bidi w:val="0"/>
        <w:adjustRightInd/>
        <w:spacing w:line="440" w:lineRule="exact"/>
        <w:ind w:left="480" w:leftChars="0"/>
        <w:textAlignment w:val="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样品评审（若有）</w:t>
      </w:r>
    </w:p>
    <w:p w14:paraId="4FBEE9BA">
      <w:pPr>
        <w:pageBreakBefore w:val="0"/>
        <w:kinsoku/>
        <w:overflowPunct/>
        <w:autoSpaceDE/>
        <w:autoSpaceDN/>
        <w:bidi w:val="0"/>
        <w:adjustRightInd/>
        <w:spacing w:line="44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Cs w:val="24"/>
          <w:highlight w:val="none"/>
        </w:rPr>
        <w:t>投标文件初审结论合格的供应商进入后续评审程序。如项目有样品展示环节，评标委员会将根据评标办法进行</w:t>
      </w:r>
      <w:r>
        <w:rPr>
          <w:rFonts w:hint="eastAsia" w:ascii="仿宋" w:hAnsi="仿宋" w:eastAsia="仿宋" w:cs="仿宋"/>
          <w:color w:val="auto"/>
          <w:szCs w:val="24"/>
          <w:highlight w:val="none"/>
          <w:lang w:eastAsia="zh-CN"/>
        </w:rPr>
        <w:t>样品</w:t>
      </w:r>
      <w:r>
        <w:rPr>
          <w:rFonts w:hint="eastAsia" w:ascii="仿宋" w:hAnsi="仿宋" w:eastAsia="仿宋" w:cs="仿宋"/>
          <w:color w:val="auto"/>
          <w:szCs w:val="24"/>
          <w:highlight w:val="none"/>
        </w:rPr>
        <w:t>评审。</w:t>
      </w:r>
    </w:p>
    <w:p w14:paraId="6D7E3095">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color w:val="auto"/>
          <w:highlight w:val="none"/>
        </w:rPr>
      </w:pP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w:t>
      </w:r>
      <w:r>
        <w:rPr>
          <w:rFonts w:hint="eastAsia" w:ascii="仿宋" w:hAnsi="仿宋" w:eastAsia="仿宋" w:cs="仿宋"/>
          <w:b/>
          <w:color w:val="auto"/>
          <w:highlight w:val="none"/>
        </w:rPr>
        <w:t>投标文件的澄清</w:t>
      </w:r>
    </w:p>
    <w:p w14:paraId="160FB574">
      <w:pPr>
        <w:pageBreakBefore w:val="0"/>
        <w:kinsoku/>
        <w:wordWrap w:val="0"/>
        <w:overflowPunct/>
        <w:topLinePunct/>
        <w:autoSpaceDE/>
        <w:autoSpaceDN/>
        <w:bidi w:val="0"/>
        <w:adjustRightInd/>
        <w:spacing w:beforeAutospacing="0" w:afterAutospacing="0" w:line="440" w:lineRule="exact"/>
        <w:ind w:firstLine="470" w:firstLineChars="196"/>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759CBADC">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.商务及技术文件的比较与评价</w:t>
      </w:r>
    </w:p>
    <w:p w14:paraId="091DC53E">
      <w:pPr>
        <w:pageBreakBefore w:val="0"/>
        <w:kinsoku/>
        <w:overflowPunct/>
        <w:autoSpaceDE/>
        <w:autoSpaceDN/>
        <w:bidi w:val="0"/>
        <w:adjustRightInd/>
        <w:spacing w:line="44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737DC2F3">
      <w:pPr>
        <w:pStyle w:val="10"/>
        <w:keepNext w:val="0"/>
        <w:keepLines w:val="0"/>
        <w:pageBreakBefore w:val="0"/>
        <w:kinsoku/>
        <w:wordWrap w:val="0"/>
        <w:overflowPunct/>
        <w:topLinePunct/>
        <w:autoSpaceDE/>
        <w:autoSpaceDN/>
        <w:bidi w:val="0"/>
        <w:adjustRightInd/>
        <w:spacing w:beforeAutospacing="0" w:afterAutospacing="0" w:line="440" w:lineRule="exact"/>
        <w:ind w:left="0" w:firstLine="472" w:firstLineChars="196"/>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.报价文件的比较与评审</w:t>
      </w:r>
    </w:p>
    <w:p w14:paraId="64764B3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color w:val="auto"/>
          <w:highlight w:val="none"/>
        </w:rPr>
        <w:t>10分钟内</w:t>
      </w:r>
      <w:r>
        <w:rPr>
          <w:rFonts w:hint="eastAsia" w:ascii="仿宋" w:hAnsi="仿宋" w:eastAsia="仿宋" w:cs="仿宋"/>
          <w:color w:val="auto"/>
          <w:highlight w:val="none"/>
        </w:rPr>
        <w:t>进行在线核实的，视作无异议，不影响评标过程和结果。</w:t>
      </w:r>
    </w:p>
    <w:p w14:paraId="6F7323F2">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14:paraId="140654AE">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投标文件报价出现前后不一致的，按照下列规定修正：</w:t>
      </w:r>
    </w:p>
    <w:p w14:paraId="754E43F1">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（1）投标文件中</w:t>
      </w:r>
      <w:r>
        <w:rPr>
          <w:rFonts w:hint="eastAsia" w:ascii="仿宋" w:hAnsi="仿宋" w:eastAsia="仿宋" w:cs="仿宋"/>
          <w:color w:val="auto"/>
          <w:szCs w:val="24"/>
          <w:highlight w:val="none"/>
        </w:rPr>
        <w:t>开标一览表（报价表）</w:t>
      </w:r>
      <w:r>
        <w:rPr>
          <w:rFonts w:hint="eastAsia" w:ascii="仿宋" w:hAnsi="仿宋" w:eastAsia="仿宋" w:cs="仿宋"/>
          <w:color w:val="auto"/>
          <w:highlight w:val="none"/>
        </w:rPr>
        <w:t>内容与投标文件中相应内容不一致的，以</w:t>
      </w:r>
      <w:r>
        <w:rPr>
          <w:rFonts w:hint="eastAsia" w:ascii="仿宋" w:hAnsi="仿宋" w:eastAsia="仿宋" w:cs="仿宋"/>
          <w:color w:val="auto"/>
          <w:szCs w:val="24"/>
          <w:highlight w:val="none"/>
        </w:rPr>
        <w:t>开标一览表（报价表）</w:t>
      </w:r>
      <w:r>
        <w:rPr>
          <w:rFonts w:hint="eastAsia" w:ascii="仿宋" w:hAnsi="仿宋" w:eastAsia="仿宋" w:cs="仿宋"/>
          <w:color w:val="auto"/>
          <w:highlight w:val="none"/>
        </w:rPr>
        <w:t>为准；</w:t>
      </w:r>
    </w:p>
    <w:p w14:paraId="13D2EFC3">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14:paraId="7D6502E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w:t>
      </w:r>
      <w:r>
        <w:rPr>
          <w:rFonts w:hint="eastAsia" w:ascii="仿宋" w:hAnsi="仿宋" w:eastAsia="仿宋" w:cs="仿宋"/>
          <w:color w:val="auto"/>
          <w:szCs w:val="24"/>
          <w:highlight w:val="none"/>
        </w:rPr>
        <w:t>开标一览表（报价表）</w:t>
      </w:r>
      <w:r>
        <w:rPr>
          <w:rFonts w:hint="eastAsia" w:ascii="仿宋" w:hAnsi="仿宋" w:eastAsia="仿宋" w:cs="仿宋"/>
          <w:color w:val="auto"/>
          <w:highlight w:val="none"/>
        </w:rPr>
        <w:t>的总价为准，并修改单价；</w:t>
      </w:r>
    </w:p>
    <w:p w14:paraId="05E6AB6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14:paraId="55FA2A8D">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（5）政采云电子交易平台-开标记录模块的报价与投标响应文件中的报价不一致的，以投标响应文件中的报价为准。</w:t>
      </w:r>
    </w:p>
    <w:p w14:paraId="5A674D93">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color w:val="auto"/>
          <w:highlight w:val="none"/>
        </w:rPr>
        <w:t>▲投标人对根据修正原则修正后的报价不确认的，投标无效。</w:t>
      </w:r>
    </w:p>
    <w:p w14:paraId="32033A30">
      <w:pPr>
        <w:pageBreakBefore w:val="0"/>
        <w:kinsoku/>
        <w:wordWrap w:val="0"/>
        <w:overflowPunct/>
        <w:topLinePunct/>
        <w:autoSpaceDE/>
        <w:autoSpaceDN/>
        <w:bidi w:val="0"/>
        <w:adjustRightInd/>
        <w:spacing w:beforeAutospacing="0" w:afterAutospacing="0" w:line="440" w:lineRule="exact"/>
        <w:ind w:firstLine="472" w:firstLineChars="196"/>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.推荐中标候选人与编写评标报告</w:t>
      </w:r>
    </w:p>
    <w:p w14:paraId="24EDA36F">
      <w:pPr>
        <w:pageBreakBefore w:val="0"/>
        <w:kinsoku/>
        <w:overflowPunct/>
        <w:autoSpaceDE/>
        <w:autoSpaceDN/>
        <w:bidi w:val="0"/>
        <w:adjustRightInd/>
        <w:spacing w:line="44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078234">
      <w:pPr>
        <w:pageBreakBefore w:val="0"/>
        <w:kinsoku/>
        <w:overflowPunct/>
        <w:autoSpaceDE/>
        <w:autoSpaceDN/>
        <w:bidi w:val="0"/>
        <w:adjustRightIn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83640B">
      <w:pPr>
        <w:pageBreakBefore w:val="0"/>
        <w:kinsoku/>
        <w:overflowPunct/>
        <w:topLinePunct/>
        <w:autoSpaceDE/>
        <w:autoSpaceDN/>
        <w:bidi w:val="0"/>
        <w:adjustRightInd/>
        <w:spacing w:beforeAutospacing="0" w:afterAutospacing="0" w:line="440" w:lineRule="exact"/>
        <w:ind w:firstLine="643" w:firstLineChars="200"/>
        <w:jc w:val="both"/>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六、无效的投标</w:t>
      </w:r>
    </w:p>
    <w:p w14:paraId="03BA030F">
      <w:pPr>
        <w:pageBreakBefore w:val="0"/>
        <w:kinsoku/>
        <w:wordWrap w:val="0"/>
        <w:overflowPunct/>
        <w:topLinePunct/>
        <w:autoSpaceDE/>
        <w:autoSpaceDN/>
        <w:bidi w:val="0"/>
        <w:adjustRightInd/>
        <w:spacing w:beforeAutospacing="0" w:afterAutospacing="0" w:line="440" w:lineRule="exact"/>
        <w:ind w:firstLine="482" w:firstLineChars="200"/>
        <w:textAlignment w:val="auto"/>
        <w:outlineLvl w:val="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发生下列情况之一的投标文件被视为无效：</w:t>
      </w:r>
    </w:p>
    <w:p w14:paraId="409AB16E">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（一）未办理获取采购文件登记手续的；</w:t>
      </w:r>
    </w:p>
    <w:p w14:paraId="5AF72B3B">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w:t>
      </w:r>
      <w:r>
        <w:rPr>
          <w:rFonts w:hint="eastAsia" w:ascii="仿宋" w:hAnsi="仿宋" w:eastAsia="仿宋" w:cs="仿宋"/>
          <w:color w:val="auto"/>
          <w:kern w:val="0"/>
          <w:sz w:val="24"/>
          <w:highlight w:val="none"/>
        </w:rPr>
        <w:t>投标人仅提交备份投标文件，没有在电子交易平台传输递交投标文件的，投标无效</w:t>
      </w:r>
      <w:r>
        <w:rPr>
          <w:rFonts w:hint="eastAsia" w:ascii="仿宋" w:hAnsi="仿宋" w:eastAsia="仿宋" w:cs="仿宋"/>
          <w:color w:val="auto"/>
          <w:kern w:val="0"/>
          <w:highlight w:val="none"/>
        </w:rPr>
        <w:t>；</w:t>
      </w:r>
    </w:p>
    <w:p w14:paraId="32A866C8">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（三）</w:t>
      </w:r>
      <w:r>
        <w:rPr>
          <w:rFonts w:hint="eastAsia" w:ascii="仿宋" w:hAnsi="仿宋" w:eastAsia="仿宋" w:cs="仿宋"/>
          <w:color w:val="auto"/>
          <w:szCs w:val="24"/>
          <w:highlight w:val="none"/>
        </w:rPr>
        <w:t>投标截止时间前未传输递交电子投标文件的，在规定时间内无法解密或解密失败的。</w:t>
      </w:r>
    </w:p>
    <w:p w14:paraId="3066D386">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四</w:t>
      </w:r>
      <w:r>
        <w:rPr>
          <w:rFonts w:hint="eastAsia" w:ascii="仿宋" w:hAnsi="仿宋" w:eastAsia="仿宋" w:cs="仿宋"/>
          <w:color w:val="auto"/>
          <w:kern w:val="0"/>
          <w:highlight w:val="none"/>
        </w:rPr>
        <w:t>）投标文件组成漏项或未按规定的格式编制，内容不全或内容字迹模糊辨认不清影响评标的；</w:t>
      </w:r>
    </w:p>
    <w:p w14:paraId="40EA29DA">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五</w:t>
      </w:r>
      <w:r>
        <w:rPr>
          <w:rFonts w:hint="eastAsia" w:ascii="仿宋" w:hAnsi="仿宋" w:eastAsia="仿宋" w:cs="仿宋"/>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443E186E">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六</w:t>
      </w:r>
      <w:r>
        <w:rPr>
          <w:rFonts w:hint="eastAsia" w:ascii="仿宋" w:hAnsi="仿宋" w:eastAsia="仿宋" w:cs="仿宋"/>
          <w:color w:val="auto"/>
          <w:kern w:val="0"/>
          <w:highlight w:val="none"/>
        </w:rPr>
        <w:t>）根据《中华人民共和国政府采购法》第二十二条之规定经查询列入失信被执行人名单、</w:t>
      </w:r>
      <w:r>
        <w:rPr>
          <w:rFonts w:hint="eastAsia" w:ascii="仿宋" w:hAnsi="仿宋" w:eastAsia="仿宋" w:cs="仿宋"/>
          <w:color w:val="auto"/>
          <w:kern w:val="0"/>
          <w:highlight w:val="none"/>
          <w:lang w:eastAsia="zh-CN"/>
        </w:rPr>
        <w:t>重大税收违法失信主体</w:t>
      </w:r>
      <w:r>
        <w:rPr>
          <w:rFonts w:hint="eastAsia" w:ascii="仿宋" w:hAnsi="仿宋" w:eastAsia="仿宋" w:cs="仿宋"/>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E14DD06">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七</w:t>
      </w:r>
      <w:r>
        <w:rPr>
          <w:rFonts w:hint="eastAsia" w:ascii="仿宋" w:hAnsi="仿宋" w:eastAsia="仿宋" w:cs="仿宋"/>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483F52BF">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八</w:t>
      </w:r>
      <w:r>
        <w:rPr>
          <w:rFonts w:hint="eastAsia" w:ascii="仿宋" w:hAnsi="仿宋" w:eastAsia="仿宋" w:cs="仿宋"/>
          <w:color w:val="auto"/>
          <w:kern w:val="0"/>
          <w:highlight w:val="none"/>
        </w:rPr>
        <w:t>）</w:t>
      </w:r>
      <w:r>
        <w:rPr>
          <w:rFonts w:hint="eastAsia" w:ascii="仿宋" w:hAnsi="仿宋" w:eastAsia="仿宋" w:cs="仿宋"/>
          <w:color w:val="auto"/>
          <w:szCs w:val="24"/>
          <w:highlight w:val="none"/>
        </w:rPr>
        <w:t>投标文件未有效授权，投标函、开标一览表（报价表）、授权委托书等填写不完整或有涂改的，授权委托书所载内容与本项目内容有异的。</w:t>
      </w:r>
    </w:p>
    <w:p w14:paraId="5CE3EE4D">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九</w:t>
      </w:r>
      <w:r>
        <w:rPr>
          <w:rFonts w:hint="eastAsia" w:ascii="仿宋" w:hAnsi="仿宋" w:eastAsia="仿宋" w:cs="仿宋"/>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2D85121E">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十</w:t>
      </w:r>
      <w:r>
        <w:rPr>
          <w:rFonts w:hint="eastAsia" w:ascii="仿宋" w:hAnsi="仿宋" w:eastAsia="仿宋" w:cs="仿宋"/>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2D2CD4F">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十一</w:t>
      </w:r>
      <w:r>
        <w:rPr>
          <w:rFonts w:hint="eastAsia" w:ascii="仿宋" w:hAnsi="仿宋" w:eastAsia="仿宋" w:cs="仿宋"/>
          <w:color w:val="auto"/>
          <w:kern w:val="0"/>
          <w:highlight w:val="none"/>
        </w:rPr>
        <w:t>）</w:t>
      </w:r>
      <w:r>
        <w:rPr>
          <w:rFonts w:hint="eastAsia" w:ascii="仿宋" w:hAnsi="仿宋" w:eastAsia="仿宋" w:cs="仿宋"/>
          <w:color w:val="auto"/>
          <w:szCs w:val="24"/>
          <w:highlight w:val="none"/>
          <w:lang w:eastAsia="zh-CN"/>
        </w:rPr>
        <w:t>招标文件中要求提供样品，投标人</w:t>
      </w:r>
      <w:r>
        <w:rPr>
          <w:rFonts w:hint="eastAsia" w:ascii="仿宋" w:hAnsi="仿宋" w:eastAsia="仿宋" w:cs="仿宋"/>
          <w:color w:val="auto"/>
          <w:szCs w:val="24"/>
          <w:highlight w:val="none"/>
        </w:rPr>
        <w:t>未提供样品或提供样品不满足采购需求实质性条件的</w:t>
      </w:r>
      <w:r>
        <w:rPr>
          <w:rFonts w:hint="eastAsia" w:ascii="仿宋" w:hAnsi="仿宋" w:eastAsia="仿宋" w:cs="仿宋"/>
          <w:color w:val="auto"/>
          <w:szCs w:val="24"/>
          <w:highlight w:val="none"/>
          <w:lang w:eastAsia="zh-CN"/>
        </w:rPr>
        <w:t>。</w:t>
      </w:r>
    </w:p>
    <w:p w14:paraId="43AC5820">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lang w:eastAsia="zh-CN"/>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eastAsia="zh-CN"/>
        </w:rPr>
        <w:t>十</w:t>
      </w:r>
      <w:r>
        <w:rPr>
          <w:rFonts w:hint="eastAsia" w:ascii="仿宋" w:hAnsi="仿宋" w:eastAsia="仿宋" w:cs="仿宋"/>
          <w:color w:val="auto"/>
          <w:kern w:val="0"/>
          <w:szCs w:val="22"/>
          <w:highlight w:val="none"/>
          <w:lang w:val="en-US" w:eastAsia="zh-CN"/>
        </w:rPr>
        <w:t>二</w:t>
      </w:r>
      <w:r>
        <w:rPr>
          <w:rFonts w:hint="eastAsia" w:ascii="仿宋" w:hAnsi="仿宋" w:eastAsia="仿宋" w:cs="仿宋"/>
          <w:color w:val="auto"/>
          <w:kern w:val="0"/>
          <w:szCs w:val="22"/>
          <w:highlight w:val="none"/>
        </w:rPr>
        <w:t>）</w:t>
      </w:r>
      <w:r>
        <w:rPr>
          <w:rFonts w:hint="eastAsia" w:ascii="仿宋" w:hAnsi="仿宋" w:eastAsia="仿宋" w:cs="仿宋"/>
          <w:color w:val="auto"/>
          <w:kern w:val="0"/>
          <w:highlight w:val="none"/>
        </w:rPr>
        <w:t>投标文件未按招标文件的最新澄清、修改的内容进行编制</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又</w:t>
      </w:r>
      <w:r>
        <w:rPr>
          <w:rFonts w:hint="eastAsia" w:ascii="仿宋" w:hAnsi="仿宋" w:eastAsia="仿宋" w:cs="仿宋"/>
          <w:color w:val="auto"/>
          <w:kern w:val="0"/>
          <w:highlight w:val="none"/>
          <w:lang w:eastAsia="zh-CN"/>
        </w:rPr>
        <w:t>不符合实质性要求的；</w:t>
      </w:r>
    </w:p>
    <w:p w14:paraId="20347086">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三</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商务技术偏离表内容与实际不符的。</w:t>
      </w:r>
    </w:p>
    <w:p w14:paraId="719FC0E3">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四</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投标文件未按照招标文件要求签署、盖章的。</w:t>
      </w:r>
    </w:p>
    <w:p w14:paraId="09A147B1">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五</w:t>
      </w:r>
      <w:r>
        <w:rPr>
          <w:rFonts w:hint="eastAsia" w:ascii="仿宋" w:hAnsi="仿宋" w:eastAsia="仿宋" w:cs="仿宋"/>
          <w:color w:val="auto"/>
          <w:kern w:val="0"/>
          <w:szCs w:val="22"/>
          <w:highlight w:val="none"/>
        </w:rPr>
        <w:t>）资格文件、商务及技术文件中出现投标价格信息的，或不符合报价文件规定要求的；</w:t>
      </w:r>
    </w:p>
    <w:p w14:paraId="77DDD844">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六</w:t>
      </w:r>
      <w:r>
        <w:rPr>
          <w:rFonts w:hint="eastAsia" w:ascii="仿宋" w:hAnsi="仿宋" w:eastAsia="仿宋" w:cs="仿宋"/>
          <w:color w:val="auto"/>
          <w:kern w:val="0"/>
          <w:szCs w:val="22"/>
          <w:highlight w:val="none"/>
        </w:rPr>
        <w:t>）投标报价超过本项目采购预算价或最高限价的；</w:t>
      </w:r>
    </w:p>
    <w:p w14:paraId="79706ADA">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七</w:t>
      </w:r>
      <w:r>
        <w:rPr>
          <w:rFonts w:hint="eastAsia" w:ascii="仿宋" w:hAnsi="仿宋" w:eastAsia="仿宋" w:cs="仿宋"/>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
          <w:color w:val="auto"/>
          <w:kern w:val="0"/>
          <w:szCs w:val="22"/>
          <w:highlight w:val="none"/>
          <w:lang w:eastAsia="zh-CN"/>
        </w:rPr>
        <w:t>投标人</w:t>
      </w:r>
      <w:r>
        <w:rPr>
          <w:rFonts w:hint="eastAsia" w:ascii="仿宋" w:hAnsi="仿宋" w:eastAsia="仿宋" w:cs="仿宋"/>
          <w:color w:val="auto"/>
          <w:kern w:val="0"/>
          <w:szCs w:val="22"/>
          <w:highlight w:val="none"/>
        </w:rPr>
        <w:t>未能按要求提供书面说明或者提交相关证明材料，不能证明其报价合理性的;</w:t>
      </w:r>
    </w:p>
    <w:p w14:paraId="38483CDD">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报价低于项目预算50%的，应当在报价文件中详细阐述不影响产品质量或者诚信履约的具体原因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投标人</w:t>
      </w:r>
      <w:r>
        <w:rPr>
          <w:rFonts w:hint="eastAsia" w:ascii="仿宋" w:hAnsi="仿宋" w:eastAsia="仿宋" w:cs="仿宋"/>
          <w:color w:val="auto"/>
          <w:szCs w:val="24"/>
          <w:highlight w:val="none"/>
          <w:lang w:eastAsia="zh-CN"/>
        </w:rPr>
        <w:t>未提供相应材料的。</w:t>
      </w:r>
    </w:p>
    <w:p w14:paraId="6711B8D1">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九</w:t>
      </w:r>
      <w:r>
        <w:rPr>
          <w:rFonts w:hint="eastAsia" w:ascii="仿宋" w:hAnsi="仿宋" w:eastAsia="仿宋" w:cs="仿宋"/>
          <w:color w:val="auto"/>
          <w:kern w:val="0"/>
          <w:szCs w:val="22"/>
          <w:highlight w:val="none"/>
        </w:rPr>
        <w:t>）投标人对根据修正原则修正后的报价不确认的；</w:t>
      </w:r>
    </w:p>
    <w:p w14:paraId="24C8B2E0">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w:t>
      </w:r>
      <w:r>
        <w:rPr>
          <w:rFonts w:hint="eastAsia" w:ascii="仿宋" w:hAnsi="仿宋" w:eastAsia="仿宋" w:cs="仿宋"/>
          <w:color w:val="auto"/>
          <w:kern w:val="0"/>
          <w:szCs w:val="22"/>
          <w:highlight w:val="none"/>
        </w:rPr>
        <w:t>）商务及技术文件和报价文件中的投标产品或服务不一致的；</w:t>
      </w:r>
    </w:p>
    <w:p w14:paraId="0CD73D38">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二十一</w:t>
      </w:r>
      <w:r>
        <w:rPr>
          <w:rFonts w:hint="eastAsia" w:ascii="仿宋" w:hAnsi="仿宋" w:eastAsia="仿宋" w:cs="仿宋"/>
          <w:color w:val="auto"/>
          <w:kern w:val="0"/>
          <w:szCs w:val="22"/>
          <w:highlight w:val="none"/>
        </w:rPr>
        <w:t>）单位负责人为同一人或者存在直接控股、管理关系的不同供应商参加同一合同项下的政府采购活动的（均无效）；</w:t>
      </w:r>
    </w:p>
    <w:p w14:paraId="6661E7FB">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二十二</w:t>
      </w:r>
      <w:r>
        <w:rPr>
          <w:rFonts w:hint="eastAsia" w:ascii="仿宋" w:hAnsi="仿宋" w:eastAsia="仿宋" w:cs="仿宋"/>
          <w:color w:val="auto"/>
          <w:kern w:val="0"/>
          <w:szCs w:val="22"/>
          <w:highlight w:val="none"/>
        </w:rPr>
        <w:t>）为采购项目提供整体设计、规范编制或者项目管理、监理、检测等服务的供应商再参加该采购项目的；</w:t>
      </w:r>
    </w:p>
    <w:p w14:paraId="21B8DF13">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eastAsia="zh-CN"/>
        </w:rPr>
        <w:t>二十</w:t>
      </w:r>
      <w:r>
        <w:rPr>
          <w:rFonts w:hint="eastAsia" w:ascii="仿宋" w:hAnsi="仿宋" w:eastAsia="仿宋" w:cs="仿宋"/>
          <w:color w:val="auto"/>
          <w:kern w:val="0"/>
          <w:szCs w:val="22"/>
          <w:highlight w:val="none"/>
          <w:lang w:val="en-US" w:eastAsia="zh-CN"/>
        </w:rPr>
        <w:t>三</w:t>
      </w:r>
      <w:r>
        <w:rPr>
          <w:rFonts w:hint="eastAsia" w:ascii="仿宋" w:hAnsi="仿宋" w:eastAsia="仿宋" w:cs="仿宋"/>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71B1C06D">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四</w:t>
      </w:r>
      <w:r>
        <w:rPr>
          <w:rFonts w:hint="eastAsia" w:ascii="仿宋" w:hAnsi="仿宋" w:eastAsia="仿宋" w:cs="仿宋"/>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27DF4C41">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eastAsia="仿宋" w:cs="仿宋"/>
          <w:color w:val="auto"/>
          <w:szCs w:val="24"/>
          <w:highlight w:val="none"/>
        </w:rPr>
        <w:t>在原定投标有效期满之前，如果出现特殊情况，采购代理机构以书面形式通知投标人延长投标有效期，投标人拒绝延长投标有效期的。</w:t>
      </w:r>
    </w:p>
    <w:p w14:paraId="0CE4E0E2">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六</w:t>
      </w:r>
      <w:r>
        <w:rPr>
          <w:rFonts w:hint="eastAsia" w:ascii="仿宋" w:hAnsi="仿宋" w:eastAsia="仿宋" w:cs="仿宋"/>
          <w:color w:val="auto"/>
          <w:kern w:val="0"/>
          <w:szCs w:val="22"/>
          <w:highlight w:val="none"/>
        </w:rPr>
        <w:t>）投标人提供虚假材料投标的（包括但不限于以下情节）：</w:t>
      </w:r>
    </w:p>
    <w:p w14:paraId="3957E537">
      <w:pPr>
        <w:pStyle w:val="191"/>
        <w:pageBreakBefore w:val="0"/>
        <w:kinsoku/>
        <w:overflowPunct/>
        <w:autoSpaceDE/>
        <w:autoSpaceDN/>
        <w:bidi w:val="0"/>
        <w:adjustRightInd/>
        <w:spacing w:before="0" w:beforeAutospacing="0" w:afterAutospacing="0" w:line="440" w:lineRule="exact"/>
        <w:ind w:firstLine="480"/>
        <w:textAlignment w:val="auto"/>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1.使用伪造、变造的许可证件的；</w:t>
      </w:r>
    </w:p>
    <w:p w14:paraId="31900B95">
      <w:pPr>
        <w:pStyle w:val="191"/>
        <w:pageBreakBefore w:val="0"/>
        <w:kinsoku/>
        <w:overflowPunct/>
        <w:autoSpaceDE/>
        <w:autoSpaceDN/>
        <w:bidi w:val="0"/>
        <w:adjustRightInd/>
        <w:spacing w:before="0" w:beforeAutospacing="0" w:afterAutospacing="0" w:line="440" w:lineRule="exact"/>
        <w:ind w:firstLine="480"/>
        <w:textAlignment w:val="auto"/>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2.提供虚假的财务状况或者业绩的；</w:t>
      </w:r>
    </w:p>
    <w:p w14:paraId="4FDD9E6B">
      <w:pPr>
        <w:pStyle w:val="191"/>
        <w:pageBreakBefore w:val="0"/>
        <w:kinsoku/>
        <w:overflowPunct/>
        <w:autoSpaceDE/>
        <w:autoSpaceDN/>
        <w:bidi w:val="0"/>
        <w:adjustRightInd/>
        <w:spacing w:before="0" w:beforeAutospacing="0" w:afterAutospacing="0" w:line="440" w:lineRule="exact"/>
        <w:ind w:firstLine="480"/>
        <w:textAlignment w:val="auto"/>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3.提供虚假的项目负责人或者主要技术人员简历、劳动关系证明的；</w:t>
      </w:r>
    </w:p>
    <w:p w14:paraId="0B32808C">
      <w:pPr>
        <w:pStyle w:val="191"/>
        <w:pageBreakBefore w:val="0"/>
        <w:kinsoku/>
        <w:overflowPunct/>
        <w:autoSpaceDE/>
        <w:autoSpaceDN/>
        <w:bidi w:val="0"/>
        <w:adjustRightInd/>
        <w:spacing w:before="0" w:beforeAutospacing="0" w:afterAutospacing="0" w:line="440" w:lineRule="exact"/>
        <w:ind w:firstLine="480"/>
        <w:textAlignment w:val="auto"/>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4.提供虚假的信用状况的；</w:t>
      </w:r>
    </w:p>
    <w:p w14:paraId="47210128">
      <w:pPr>
        <w:pStyle w:val="191"/>
        <w:pageBreakBefore w:val="0"/>
        <w:kinsoku/>
        <w:overflowPunct/>
        <w:autoSpaceDE/>
        <w:autoSpaceDN/>
        <w:bidi w:val="0"/>
        <w:adjustRightInd/>
        <w:spacing w:before="0" w:beforeAutospacing="0" w:afterAutospacing="0" w:line="440" w:lineRule="exact"/>
        <w:ind w:firstLine="480"/>
        <w:textAlignment w:val="auto"/>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5.其他弄虚作假的行为的。</w:t>
      </w:r>
    </w:p>
    <w:p w14:paraId="349988A4">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七</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依照政府采购法第七十七条第一款的规定追究法律责任，其投标无效：</w:t>
      </w:r>
    </w:p>
    <w:p w14:paraId="282FD770">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供应商直接或者间接从采购人或者采购代理机构处获得其他供应商的相关情况并修改其投标文件或者响应文件的；</w:t>
      </w:r>
    </w:p>
    <w:p w14:paraId="43386E37">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供应商按照采购人或者采购代理机构的授意撤换、修改投标文件或者响应文件的；</w:t>
      </w:r>
    </w:p>
    <w:p w14:paraId="75ABEB59">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供应商之间协商报价、技术方案等投标文件或者响应文件的实质性内容的；</w:t>
      </w:r>
    </w:p>
    <w:p w14:paraId="14816FF4">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属于同一集团、协会、商会等组织成员的供应商按照该组织要求协同参加政府采购活动的；</w:t>
      </w:r>
    </w:p>
    <w:p w14:paraId="276BFDBD">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供应商之间事先约定由某一特定供应商中标、成交的；</w:t>
      </w:r>
    </w:p>
    <w:p w14:paraId="181828D4">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供应商之间商定部分供应商放弃参加政府采购活动或者放弃中标、成交的；</w:t>
      </w:r>
    </w:p>
    <w:p w14:paraId="212BB143">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供应商与采购人或者采购代理机构之间、供应商相互之间，为谋求特定供应商中标、成交或者排斥其他供应商的其他串通行为的。</w:t>
      </w:r>
    </w:p>
    <w:p w14:paraId="17060E0F">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有下列情形之一的，视为投标人串通投标，其投标无效：</w:t>
      </w:r>
    </w:p>
    <w:p w14:paraId="0D4B1291">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不同投标人的投标文件由同一单位或者个人编制（同一IP地址上传投标、响应文件）；</w:t>
      </w:r>
    </w:p>
    <w:p w14:paraId="6AFF6201">
      <w:pPr>
        <w:pageBreakBefore w:val="0"/>
        <w:numPr>
          <w:ilvl w:val="0"/>
          <w:numId w:val="0"/>
        </w:numPr>
        <w:tabs>
          <w:tab w:val="left" w:pos="0"/>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不同投标人委托同一单位或者个人办理投标事宜（供应商委派不在本单位缴纳社保的人员作为授权代表的，应当在投标（响应）文件中，说明具体原因、授权代表缴纳社保的单位，并附列该授权代表缴纳社保清单</w:t>
      </w:r>
      <w:r>
        <w:rPr>
          <w:rFonts w:hint="eastAsia" w:ascii="仿宋" w:hAnsi="仿宋" w:eastAsia="仿宋" w:cs="仿宋"/>
          <w:color w:val="auto"/>
          <w:szCs w:val="24"/>
          <w:highlight w:val="none"/>
          <w:lang w:eastAsia="zh-CN"/>
        </w:rPr>
        <w:t>，有前述情形但未在</w:t>
      </w:r>
      <w:r>
        <w:rPr>
          <w:rFonts w:hint="eastAsia" w:ascii="仿宋" w:hAnsi="仿宋" w:eastAsia="仿宋" w:cs="仿宋"/>
          <w:color w:val="auto"/>
          <w:szCs w:val="24"/>
          <w:highlight w:val="none"/>
        </w:rPr>
        <w:t>投标（响应）文件中</w:t>
      </w:r>
      <w:r>
        <w:rPr>
          <w:rFonts w:hint="eastAsia" w:ascii="仿宋" w:hAnsi="仿宋" w:eastAsia="仿宋" w:cs="仿宋"/>
          <w:color w:val="auto"/>
          <w:szCs w:val="24"/>
          <w:highlight w:val="none"/>
          <w:lang w:eastAsia="zh-CN"/>
        </w:rPr>
        <w:t>提供相应材料的</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383C240D">
      <w:pPr>
        <w:pageBreakBefore w:val="0"/>
        <w:numPr>
          <w:ilvl w:val="0"/>
          <w:numId w:val="0"/>
        </w:numPr>
        <w:tabs>
          <w:tab w:val="left" w:pos="0"/>
          <w:tab w:val="left" w:pos="303"/>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不同投标人的投标文件载明的项目管理成员或者联系人员为同一人的；</w:t>
      </w:r>
    </w:p>
    <w:p w14:paraId="5925C9E8">
      <w:pPr>
        <w:pageBreakBefore w:val="0"/>
        <w:numPr>
          <w:ilvl w:val="0"/>
          <w:numId w:val="0"/>
        </w:numPr>
        <w:tabs>
          <w:tab w:val="left" w:pos="0"/>
          <w:tab w:val="left" w:pos="303"/>
        </w:tabs>
        <w:kinsoku/>
        <w:overflowPunct/>
        <w:autoSpaceDE/>
        <w:autoSpaceDN/>
        <w:bidi w:val="0"/>
        <w:adjustRightInd/>
        <w:spacing w:line="440" w:lineRule="exact"/>
        <w:ind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不同投标人的投标文件异常一致或者投标报价呈规律性差异的；</w:t>
      </w:r>
    </w:p>
    <w:p w14:paraId="0C08D42E">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不同投标人的投标文件相互混装的。</w:t>
      </w:r>
    </w:p>
    <w:p w14:paraId="5D4861A4">
      <w:pPr>
        <w:pStyle w:val="191"/>
        <w:pageBreakBefore w:val="0"/>
        <w:kinsoku/>
        <w:wordWrap w:val="0"/>
        <w:overflowPunct/>
        <w:topLinePunct/>
        <w:autoSpaceDE/>
        <w:autoSpaceDN/>
        <w:bidi w:val="0"/>
        <w:adjustRightInd/>
        <w:spacing w:before="0" w:beforeAutospacing="0" w:afterAutospacing="0" w:line="440" w:lineRule="exact"/>
        <w:ind w:firstLine="480"/>
        <w:jc w:val="both"/>
        <w:textAlignment w:val="auto"/>
        <w:outlineLvl w:val="0"/>
        <w:rPr>
          <w:rFonts w:hint="eastAsia"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0C8BFA11">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三十</w:t>
      </w:r>
      <w:r>
        <w:rPr>
          <w:rFonts w:hint="eastAsia" w:ascii="仿宋" w:hAnsi="仿宋" w:eastAsia="仿宋" w:cs="仿宋"/>
          <w:color w:val="auto"/>
          <w:kern w:val="0"/>
          <w:highlight w:val="none"/>
        </w:rPr>
        <w:t>）出现影响采购公正的违法违规行为；</w:t>
      </w:r>
    </w:p>
    <w:p w14:paraId="62EA6D01">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三十一</w:t>
      </w:r>
      <w:r>
        <w:rPr>
          <w:rFonts w:hint="eastAsia" w:ascii="仿宋" w:hAnsi="仿宋" w:eastAsia="仿宋" w:cs="仿宋"/>
          <w:color w:val="auto"/>
          <w:kern w:val="0"/>
          <w:highlight w:val="none"/>
        </w:rPr>
        <w:t>）投标文件含有采购人不能接受的附加条件的；</w:t>
      </w:r>
    </w:p>
    <w:p w14:paraId="156C9EA9">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三十二</w:t>
      </w:r>
      <w:r>
        <w:rPr>
          <w:rFonts w:hint="eastAsia" w:ascii="仿宋" w:hAnsi="仿宋" w:eastAsia="仿宋" w:cs="仿宋"/>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561EB94C">
      <w:pPr>
        <w:pageBreakBefore w:val="0"/>
        <w:kinsoku/>
        <w:wordWrap w:val="0"/>
        <w:overflowPunct/>
        <w:topLinePunct/>
        <w:autoSpaceDE/>
        <w:autoSpaceDN/>
        <w:bidi w:val="0"/>
        <w:adjustRightInd/>
        <w:spacing w:beforeAutospacing="0" w:afterAutospacing="0" w:line="440" w:lineRule="exact"/>
        <w:ind w:firstLine="643" w:firstLineChars="2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七.电子交易活动的中止</w:t>
      </w:r>
    </w:p>
    <w:p w14:paraId="48C5DFF8">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B7FD558">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（一）电子交易平台发生故障而无法登录访问的； </w:t>
      </w:r>
    </w:p>
    <w:p w14:paraId="3840D90A">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（二）电子交易平台应用或数据库出现错误，不能进行正常操作的；</w:t>
      </w:r>
    </w:p>
    <w:p w14:paraId="68A826C7">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（三）电子交易平台发现严重安全漏洞，有潜在泄密危险的；</w:t>
      </w:r>
    </w:p>
    <w:p w14:paraId="775F9B23">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（四）病毒发作导致不能进行正常操作的； </w:t>
      </w:r>
    </w:p>
    <w:p w14:paraId="504D56D3">
      <w:pPr>
        <w:pageBreakBefore w:val="0"/>
        <w:kinsoku/>
        <w:wordWrap w:val="0"/>
        <w:overflowPunct/>
        <w:topLinePunct/>
        <w:autoSpaceDE/>
        <w:autoSpaceDN/>
        <w:bidi w:val="0"/>
        <w:adjustRightInd/>
        <w:spacing w:beforeAutospacing="0" w:afterAutospacing="0" w:line="440" w:lineRule="exact"/>
        <w:ind w:firstLine="480" w:firstLineChars="200"/>
        <w:textAlignment w:val="auto"/>
        <w:outlineLvl w:val="0"/>
        <w:rPr>
          <w:rFonts w:hint="eastAsia" w:ascii="仿宋" w:hAnsi="仿宋" w:eastAsia="仿宋" w:cs="仿宋"/>
          <w:color w:val="auto"/>
          <w:highlight w:val="none"/>
        </w:rPr>
      </w:pPr>
      <w:r>
        <w:rPr>
          <w:rFonts w:hint="eastAsia" w:ascii="仿宋" w:hAnsi="仿宋" w:eastAsia="仿宋" w:cs="仿宋"/>
          <w:color w:val="auto"/>
          <w:highlight w:val="none"/>
        </w:rPr>
        <w:t>（五）其他无法保证电子交易的公平、公正和安全的情况。</w:t>
      </w:r>
    </w:p>
    <w:p w14:paraId="6BB5F429">
      <w:pPr>
        <w:pStyle w:val="8"/>
        <w:keepNext w:val="0"/>
        <w:keepLines w:val="0"/>
        <w:pageBreakBefore w:val="0"/>
        <w:kinsoku/>
        <w:overflowPunct/>
        <w:topLinePunct/>
        <w:autoSpaceDE/>
        <w:autoSpaceDN/>
        <w:bidi w:val="0"/>
        <w:adjustRightInd/>
        <w:spacing w:before="0" w:beforeAutospacing="0" w:after="0" w:afterAutospacing="0" w:line="440" w:lineRule="exact"/>
        <w:ind w:left="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30CEF3C2">
      <w:pPr>
        <w:pStyle w:val="8"/>
        <w:keepNext w:val="0"/>
        <w:keepLines w:val="0"/>
        <w:pageBreakBefore w:val="0"/>
        <w:kinsoku/>
        <w:wordWrap w:val="0"/>
        <w:overflowPunct/>
        <w:topLinePunct/>
        <w:autoSpaceDE/>
        <w:autoSpaceDN/>
        <w:bidi w:val="0"/>
        <w:adjustRightInd/>
        <w:spacing w:before="0" w:beforeAutospacing="0" w:after="0" w:afterAutospacing="0" w:line="440" w:lineRule="exact"/>
        <w:ind w:left="0" w:firstLine="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w:t>
      </w:r>
    </w:p>
    <w:p w14:paraId="4620BFAB">
      <w:pPr>
        <w:pStyle w:val="8"/>
        <w:keepNext w:val="0"/>
        <w:keepLines w:val="0"/>
        <w:pageBreakBefore w:val="0"/>
        <w:kinsoku/>
        <w:wordWrap w:val="0"/>
        <w:overflowPunct/>
        <w:topLinePunct/>
        <w:autoSpaceDE/>
        <w:autoSpaceDN/>
        <w:bidi w:val="0"/>
        <w:adjustRightInd/>
        <w:spacing w:before="0" w:beforeAutospacing="0" w:after="0" w:afterAutospacing="0" w:line="440" w:lineRule="exact"/>
        <w:ind w:left="0" w:firstLine="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性的，应当重新采购。</w:t>
      </w:r>
    </w:p>
    <w:p w14:paraId="6E236649">
      <w:pPr>
        <w:pStyle w:val="8"/>
        <w:keepNext w:val="0"/>
        <w:keepLines w:val="0"/>
        <w:pageBreakBefore w:val="0"/>
        <w:kinsoku/>
        <w:overflowPunct/>
        <w:topLine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八、废标</w:t>
      </w:r>
    </w:p>
    <w:p w14:paraId="66571846">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在采购中，出现下列情形之一的，应予废标：</w:t>
      </w:r>
    </w:p>
    <w:p w14:paraId="219D292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（一）符合专业条件的供应商或者对采购文件作实质响应的供应商不足三家的；</w:t>
      </w:r>
    </w:p>
    <w:p w14:paraId="03D438BC">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（二）出现影响采购公正的违法、违规行为的；</w:t>
      </w:r>
    </w:p>
    <w:p w14:paraId="144ABBF0">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（三）投标人的报价均超过了采购预算，采购人不能支付的；</w:t>
      </w:r>
    </w:p>
    <w:p w14:paraId="45D9B9C2">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（四）因重大变故，采购任务取消的；</w:t>
      </w:r>
    </w:p>
    <w:p w14:paraId="1B320543">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84419CA">
      <w:pPr>
        <w:pStyle w:val="8"/>
        <w:keepNext w:val="0"/>
        <w:keepLines w:val="0"/>
        <w:pageBreakBefore w:val="0"/>
        <w:kinsoku/>
        <w:overflowPunct/>
        <w:topLine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九、重新组织采购</w:t>
      </w:r>
    </w:p>
    <w:p w14:paraId="084700F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17F42F74">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（二）重新开展采购。有政府采购法第七十一条、第七十二条规定的违法行为之一，影响或者可能影响中标、成交结果的，依照下列规定处理：</w:t>
      </w:r>
    </w:p>
    <w:p w14:paraId="1D307EC0">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1.未确定中标或者成交供应商的，终止本次政府采购活动，重新开展政府采购活动。</w:t>
      </w:r>
    </w:p>
    <w:p w14:paraId="73725E15">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F7E45E6">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3.政府采购合同已签订但尚未履行的，撤销合同，从合格的中标或者成交候选人中另行确定中标或者成交供应商；没有合格的中标或者成交候选人的，重新开展政府采购活动。</w:t>
      </w:r>
    </w:p>
    <w:p w14:paraId="286E713E">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4.政府采购合同已经履行，给采购人、供应商造成损失的，由责任人承担赔偿责任。</w:t>
      </w:r>
    </w:p>
    <w:p w14:paraId="578E7B7B">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highlight w:val="none"/>
        </w:rPr>
        <w:t>5.因质疑答复，改变原中标结果，重新开展政府采购活动</w:t>
      </w:r>
      <w:r>
        <w:rPr>
          <w:rFonts w:hint="eastAsia" w:ascii="仿宋" w:hAnsi="仿宋" w:eastAsia="仿宋" w:cs="仿宋"/>
          <w:color w:val="auto"/>
          <w:szCs w:val="24"/>
          <w:highlight w:val="none"/>
          <w:lang w:eastAsia="zh-CN"/>
        </w:rPr>
        <w:t>（通过质疑处理等方式依法改变评审结果的，采购人、采购代理机构应当将改变原因和依据进行公告）。</w:t>
      </w:r>
    </w:p>
    <w:p w14:paraId="0462FA26">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.政府采购当事人有其他违反政府采购法或者本条例规定的行为，经改正后仍然影响或者可能影响中标、成交结果或者依法被认定为中标、成交无效的，依照1-5条规定处理。</w:t>
      </w:r>
    </w:p>
    <w:p w14:paraId="51361C7C">
      <w:pPr>
        <w:pStyle w:val="8"/>
        <w:keepNext w:val="0"/>
        <w:keepLines w:val="0"/>
        <w:pageBreakBefore w:val="0"/>
        <w:kinsoku/>
        <w:overflowPunct/>
        <w:topLine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十、定标</w:t>
      </w:r>
    </w:p>
    <w:p w14:paraId="4F1B6B5C">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（一）本项目由评标委员会根据招标文件和有关规定推荐中标候选人，采购结果由采购人签字确认。</w:t>
      </w:r>
      <w:r>
        <w:rPr>
          <w:rFonts w:hint="eastAsia" w:ascii="仿宋" w:hAnsi="仿宋" w:eastAsia="仿宋" w:cs="仿宋"/>
          <w:b/>
          <w:bCs/>
          <w:color w:val="auto"/>
          <w:szCs w:val="24"/>
          <w:highlight w:val="none"/>
        </w:rPr>
        <w:t>采购人应当自收到评审报告之日起5个工作日内在评审报告推荐的中标或者成交候选人中按顺序确定中标、成交供应商。为提高政府采购效率，一般在收到评审报告当天确认采购结果。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eastAsia="仿宋" w:cs="仿宋"/>
          <w:b/>
          <w:bCs/>
          <w:color w:val="auto"/>
          <w:szCs w:val="24"/>
          <w:highlight w:val="none"/>
          <w:lang w:eastAsia="zh-CN"/>
        </w:rPr>
        <w:t>。</w:t>
      </w:r>
    </w:p>
    <w:p w14:paraId="4DC9E494">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rPr>
        <w:t>开标记录、资格审查情况、评审专家抽取规则、符合性审查情况、未中标情况说明、中标公告期限以及评审专家名单、评分汇总及明细</w:t>
      </w:r>
      <w:r>
        <w:rPr>
          <w:rFonts w:hint="eastAsia" w:ascii="仿宋" w:hAnsi="仿宋" w:eastAsia="仿宋" w:cs="仿宋"/>
          <w:color w:val="auto"/>
          <w:highlight w:val="none"/>
        </w:rPr>
        <w:t>。公告期限为1个工作日。</w:t>
      </w:r>
    </w:p>
    <w:p w14:paraId="65E05BCF">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（三）中标通知书发出后，若中标供应商放弃中标，应当承担相应的法律责任，中标通知书对采购人和中标供应商具有同等法律效力。</w:t>
      </w:r>
    </w:p>
    <w:p w14:paraId="79124606">
      <w:pPr>
        <w:pageBreakBefore w:val="0"/>
        <w:kinsoku/>
        <w:wordWrap w:val="0"/>
        <w:overflowPunct/>
        <w:topLinePunct/>
        <w:autoSpaceDE/>
        <w:autoSpaceDN/>
        <w:bidi w:val="0"/>
        <w:adjustRightInd/>
        <w:spacing w:beforeAutospacing="0" w:afterAutospacing="0" w:line="440" w:lineRule="exact"/>
        <w:ind w:firstLine="643" w:firstLineChars="200"/>
        <w:textAlignment w:val="auto"/>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275CFB03">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highlight w:val="none"/>
          <w:lang w:eastAsia="zh-CN"/>
        </w:rPr>
        <w:t>招标人</w:t>
      </w:r>
      <w:r>
        <w:rPr>
          <w:rFonts w:hint="eastAsia" w:ascii="仿宋" w:hAnsi="仿宋" w:eastAsia="仿宋" w:cs="仿宋"/>
          <w:color w:val="auto"/>
          <w:highlight w:val="none"/>
        </w:rPr>
        <w:t>工作人员、相关监督人员等与评审有关的人员应当予以保密。</w:t>
      </w:r>
    </w:p>
    <w:p w14:paraId="5B31DCBA">
      <w:pPr>
        <w:pageBreakBefore w:val="0"/>
        <w:kinsoku/>
        <w:wordWrap w:val="0"/>
        <w:overflowPunct/>
        <w:topLinePunct/>
        <w:autoSpaceDE/>
        <w:autoSpaceDN/>
        <w:bidi w:val="0"/>
        <w:adjustRightInd/>
        <w:spacing w:beforeAutospacing="0" w:afterAutospacing="0" w:line="44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录音录像。</w:t>
      </w:r>
      <w:r>
        <w:rPr>
          <w:rFonts w:hint="eastAsia" w:ascii="仿宋" w:hAnsi="仿宋" w:eastAsia="仿宋" w:cs="仿宋"/>
          <w:color w:val="auto"/>
          <w:highlight w:val="none"/>
          <w:lang w:eastAsia="zh-CN"/>
        </w:rPr>
        <w:t>招标人</w:t>
      </w:r>
      <w:r>
        <w:rPr>
          <w:rFonts w:hint="eastAsia" w:ascii="仿宋" w:hAnsi="仿宋" w:eastAsia="仿宋" w:cs="仿宋"/>
          <w:color w:val="auto"/>
          <w:highlight w:val="none"/>
        </w:rPr>
        <w:t>对评审工作现场进行全过程录音录像，</w:t>
      </w:r>
      <w:r>
        <w:rPr>
          <w:rFonts w:hint="eastAsia" w:ascii="仿宋" w:hAnsi="仿宋" w:eastAsia="仿宋" w:cs="仿宋"/>
          <w:b/>
          <w:bCs/>
          <w:color w:val="auto"/>
          <w:highlight w:val="none"/>
        </w:rPr>
        <w:t>录音录像资料作为采购项目文件随其他文件一并存档。</w:t>
      </w:r>
    </w:p>
    <w:p w14:paraId="1D40715C">
      <w:pPr>
        <w:pStyle w:val="8"/>
        <w:keepNext w:val="0"/>
        <w:keepLines w:val="0"/>
        <w:pageBreakBefore w:val="0"/>
        <w:kinsoku/>
        <w:overflowPunct/>
        <w:topLinePunct/>
        <w:autoSpaceDE/>
        <w:autoSpaceDN/>
        <w:bidi w:val="0"/>
        <w:adjustRightInd/>
        <w:spacing w:before="0" w:beforeAutospacing="0" w:after="0" w:afterAutospacing="0" w:line="440" w:lineRule="exact"/>
        <w:ind w:left="0" w:firstLine="643"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、合同签订及其他</w:t>
      </w:r>
    </w:p>
    <w:p w14:paraId="1CE91411">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（一）签订合同</w:t>
      </w:r>
    </w:p>
    <w:p w14:paraId="3E1E5F2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A14C35F">
      <w:pPr>
        <w:pageBreakBefore w:val="0"/>
        <w:numPr>
          <w:ilvl w:val="0"/>
          <w:numId w:val="0"/>
        </w:numPr>
        <w:tabs>
          <w:tab w:val="left" w:pos="0"/>
        </w:tabs>
        <w:kinsoku/>
        <w:overflowPunct/>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eastAsia="仿宋" w:cs="仿宋"/>
          <w:color w:val="auto"/>
          <w:szCs w:val="24"/>
          <w:highlight w:val="none"/>
        </w:rPr>
        <w:t>中标、成交供应商放弃中标、成交资格导致重新采购的，应当承担支付代理费和专家评审费等费用在内的赔偿责任。</w:t>
      </w:r>
    </w:p>
    <w:p w14:paraId="2163E059">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5487C72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724B946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756273B">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7CDC568B">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eastAsia="仿宋" w:cs="仿宋"/>
          <w:color w:val="auto"/>
          <w:szCs w:val="24"/>
          <w:highlight w:val="none"/>
          <w:lang w:eastAsia="zh-CN"/>
        </w:rPr>
        <w:t>、延迟付款是否支付利息，</w:t>
      </w:r>
      <w:r>
        <w:rPr>
          <w:rFonts w:hint="eastAsia" w:ascii="仿宋" w:hAnsi="仿宋" w:eastAsia="仿宋" w:cs="仿宋"/>
          <w:color w:val="auto"/>
          <w:sz w:val="24"/>
          <w:szCs w:val="24"/>
          <w:highlight w:val="none"/>
          <w:lang w:val="en-US" w:eastAsia="zh-CN"/>
        </w:rPr>
        <w:t>明确逾期支付资金的违约责任。</w:t>
      </w:r>
    </w:p>
    <w:p w14:paraId="3DDE90E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45DC80C0">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52BBA05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8E5B81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582BD31F">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ascii="仿宋" w:hAnsi="仿宋" w:eastAsia="仿宋"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14:paraId="0C2AB9D5">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152241F1">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（二）履约保证金</w:t>
      </w:r>
    </w:p>
    <w:p w14:paraId="475C1650">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eastAsia="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采购人不得拒收履约保函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采购人不得以供应商事先提交履约保证金作为签订合同的条件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并应在供应商履行完合同约定义务事项后及时退还</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延迟退还的，应当按照合同约定和法律规定承担相应的赔偿责任。</w:t>
      </w:r>
    </w:p>
    <w:p w14:paraId="54183EDF">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5A891410">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sz w:val="24"/>
          <w:szCs w:val="24"/>
          <w:highlight w:val="none"/>
          <w:lang w:val="en-US" w:eastAsia="zh-CN"/>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1724BCF9">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（三）款项的结算</w:t>
      </w:r>
    </w:p>
    <w:p w14:paraId="08558CE2">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7DED23CF">
      <w:pPr>
        <w:pageBreakBefore w:val="0"/>
        <w:numPr>
          <w:ilvl w:val="0"/>
          <w:numId w:val="0"/>
        </w:numPr>
        <w:tabs>
          <w:tab w:val="left" w:pos="0"/>
        </w:tabs>
        <w:kinsoku/>
        <w:overflowPunct/>
        <w:autoSpaceDE/>
        <w:autoSpaceDN/>
        <w:bidi w:val="0"/>
        <w:adjustRightInd/>
        <w:spacing w:line="440" w:lineRule="exact"/>
        <w:ind w:firstLine="480" w:firstLineChars="200"/>
        <w:textAlignment w:val="auto"/>
        <w:rPr>
          <w:rFonts w:hint="eastAsia" w:ascii="仿宋" w:hAnsi="仿宋" w:eastAsia="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eastAsia="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eastAsia="仿宋" w:cs="仿宋"/>
          <w:color w:val="auto"/>
          <w:szCs w:val="24"/>
          <w:highlight w:val="none"/>
          <w:u w:val="none"/>
        </w:rPr>
        <w:t>对供应商为大型企业</w:t>
      </w:r>
      <w:r>
        <w:rPr>
          <w:rFonts w:hint="eastAsia" w:ascii="仿宋" w:hAnsi="仿宋" w:eastAsia="仿宋"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eastAsia="仿宋" w:cs="仿宋"/>
          <w:color w:val="auto"/>
          <w:szCs w:val="24"/>
          <w:highlight w:val="none"/>
          <w:u w:val="none"/>
        </w:rPr>
        <w:t>在签订合同时，供应商明确</w:t>
      </w:r>
      <w:r>
        <w:rPr>
          <w:rFonts w:hint="eastAsia" w:ascii="仿宋" w:hAnsi="仿宋" w:eastAsia="仿宋" w:cs="仿宋"/>
          <w:color w:val="auto"/>
          <w:szCs w:val="24"/>
          <w:highlight w:val="none"/>
          <w:u w:val="none"/>
          <w:lang w:eastAsia="zh-CN"/>
        </w:rPr>
        <w:t>书面</w:t>
      </w:r>
      <w:r>
        <w:rPr>
          <w:rFonts w:hint="eastAsia" w:ascii="仿宋" w:hAnsi="仿宋" w:eastAsia="仿宋" w:cs="仿宋"/>
          <w:color w:val="auto"/>
          <w:szCs w:val="24"/>
          <w:highlight w:val="none"/>
          <w:u w:val="none"/>
        </w:rPr>
        <w:t>表示无需预付款或者主动要求降低预付款比例的，采购人可不适用前述规定。</w:t>
      </w:r>
      <w:r>
        <w:rPr>
          <w:rFonts w:hint="eastAsia" w:ascii="仿宋" w:hAnsi="仿宋" w:eastAsia="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eastAsia="仿宋" w:cs="仿宋"/>
          <w:b/>
          <w:bCs/>
          <w:color w:val="auto"/>
          <w:szCs w:val="24"/>
          <w:highlight w:val="none"/>
        </w:rPr>
        <w:t>政府采购预付款应在合同生效以及具备实施条件后7个工作日内支付。</w:t>
      </w:r>
    </w:p>
    <w:p w14:paraId="219321FE">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eastAsia="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27B6967B">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0835138B">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6BE55A4D">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（四）验收：由采购人组织，成立验收工作小组进行验收。</w:t>
      </w:r>
    </w:p>
    <w:p w14:paraId="352A7B66">
      <w:pPr>
        <w:pageBreakBefore w:val="0"/>
        <w:widowControl/>
        <w:kinsoku/>
        <w:overflowPunct/>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auto"/>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auto"/>
          <w:sz w:val="24"/>
          <w:szCs w:val="24"/>
          <w:highlight w:val="none"/>
          <w:lang w:val="en-US" w:eastAsia="zh-CN"/>
        </w:rPr>
        <w:t>对供应商履约情况进行验收。</w:t>
      </w:r>
    </w:p>
    <w:p w14:paraId="72D503B2">
      <w:pPr>
        <w:pageBreakBefore w:val="0"/>
        <w:widowControl/>
        <w:kinsoku/>
        <w:overflowPunct/>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auto"/>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auto"/>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6BD6B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3132B3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p>
    <w:p w14:paraId="504D4E04">
      <w:pPr>
        <w:pageBreakBefore w:val="0"/>
        <w:widowControl/>
        <w:kinsoku/>
        <w:overflowPunct/>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32"/>
          <w:highlight w:val="none"/>
          <w:lang w:val="en-US" w:eastAsia="zh-CN"/>
        </w:rPr>
        <w:t>5.采购合同的履行、违约责任和解决争议的方式等适用《中华人民共和国民法典》。供应商在履约过程中有政府采购法律法规规定的违法违规情形的，采购人应当及时报告本级财政部门。</w:t>
      </w:r>
    </w:p>
    <w:p w14:paraId="45CFEBCC">
      <w:pPr>
        <w:pageBreakBefore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（五）询问、质疑和投诉</w:t>
      </w:r>
    </w:p>
    <w:p w14:paraId="4EE0AB6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0A83B6B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eastAsia="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eastAsia="仿宋" w:cs="仿宋"/>
          <w:color w:val="auto"/>
          <w:szCs w:val="24"/>
          <w:highlight w:val="none"/>
        </w:rPr>
        <w:t>向采购人提出询问，采购人将在</w:t>
      </w:r>
      <w:r>
        <w:rPr>
          <w:rFonts w:hint="eastAsia" w:ascii="仿宋" w:hAnsi="仿宋" w:eastAsia="仿宋" w:cs="仿宋"/>
          <w:b/>
          <w:bCs/>
          <w:color w:val="auto"/>
          <w:szCs w:val="24"/>
          <w:highlight w:val="none"/>
        </w:rPr>
        <w:t>3个工作日内</w:t>
      </w:r>
      <w:r>
        <w:rPr>
          <w:rFonts w:hint="eastAsia" w:ascii="仿宋" w:hAnsi="仿宋" w:eastAsia="仿宋" w:cs="仿宋"/>
          <w:color w:val="auto"/>
          <w:szCs w:val="24"/>
          <w:highlight w:val="none"/>
        </w:rPr>
        <w:t>对此作出答复；供应商可以就采购</w:t>
      </w:r>
      <w:r>
        <w:rPr>
          <w:rFonts w:hint="eastAsia" w:ascii="仿宋" w:hAnsi="仿宋" w:eastAsia="仿宋" w:cs="仿宋"/>
          <w:color w:val="auto"/>
          <w:szCs w:val="24"/>
          <w:highlight w:val="none"/>
          <w:lang w:eastAsia="zh-CN"/>
        </w:rPr>
        <w:t>文件及过程</w:t>
      </w:r>
      <w:r>
        <w:rPr>
          <w:rFonts w:hint="eastAsia" w:ascii="仿宋" w:hAnsi="仿宋" w:eastAsia="仿宋" w:cs="仿宋"/>
          <w:color w:val="auto"/>
          <w:szCs w:val="24"/>
          <w:highlight w:val="none"/>
        </w:rPr>
        <w:t>中的其他事项向采购代理机构提出询问，采购代理机构将在</w:t>
      </w:r>
      <w:r>
        <w:rPr>
          <w:rFonts w:hint="eastAsia" w:ascii="仿宋" w:hAnsi="仿宋" w:eastAsia="仿宋" w:cs="仿宋"/>
          <w:b/>
          <w:bCs/>
          <w:color w:val="auto"/>
          <w:szCs w:val="24"/>
          <w:highlight w:val="none"/>
        </w:rPr>
        <w:t>3个工作日内</w:t>
      </w:r>
      <w:r>
        <w:rPr>
          <w:rFonts w:hint="eastAsia" w:ascii="仿宋" w:hAnsi="仿宋" w:eastAsia="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409E2BC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6A6E3BDC">
      <w:pPr>
        <w:pStyle w:val="1027"/>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质疑函范本详见附件</w:t>
      </w:r>
      <w:r>
        <w:rPr>
          <w:rFonts w:hint="eastAsia" w:ascii="仿宋" w:hAnsi="仿宋" w:eastAsia="仿宋" w:cs="仿宋"/>
          <w:b/>
          <w:bCs/>
          <w:color w:val="auto"/>
          <w:sz w:val="24"/>
          <w:szCs w:val="22"/>
          <w:highlight w:val="none"/>
          <w:u w:val="none"/>
          <w:lang w:val="en-US" w:eastAsia="zh-CN"/>
        </w:rPr>
        <w:t>2</w:t>
      </w:r>
      <w:r>
        <w:rPr>
          <w:rFonts w:hint="eastAsia" w:ascii="仿宋" w:hAnsi="仿宋" w:eastAsia="仿宋" w:cs="仿宋"/>
          <w:b/>
          <w:bCs/>
          <w:color w:val="auto"/>
          <w:sz w:val="24"/>
          <w:szCs w:val="22"/>
          <w:highlight w:val="none"/>
          <w:u w:val="none"/>
          <w:lang w:eastAsia="zh-CN"/>
        </w:rPr>
        <w:t>或到浙江政府采购网下载专区下载。</w:t>
      </w:r>
    </w:p>
    <w:p w14:paraId="64A1A35E">
      <w:pPr>
        <w:pStyle w:val="2"/>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对</w:t>
      </w:r>
      <w:r>
        <w:rPr>
          <w:rFonts w:hint="eastAsia" w:ascii="仿宋" w:hAnsi="仿宋" w:eastAsia="仿宋" w:cs="仿宋"/>
          <w:b/>
          <w:bCs/>
          <w:snapToGrid/>
          <w:color w:val="auto"/>
          <w:kern w:val="2"/>
          <w:sz w:val="24"/>
          <w:highlight w:val="none"/>
        </w:rPr>
        <w:t>采购文件</w:t>
      </w:r>
      <w:r>
        <w:rPr>
          <w:rFonts w:hint="eastAsia" w:ascii="仿宋" w:hAnsi="仿宋" w:eastAsia="仿宋" w:cs="仿宋"/>
          <w:snapToGrid/>
          <w:color w:val="auto"/>
          <w:kern w:val="2"/>
          <w:sz w:val="24"/>
          <w:highlight w:val="none"/>
        </w:rPr>
        <w:t>提出质疑的，质疑期限为</w:t>
      </w:r>
      <w:r>
        <w:rPr>
          <w:rFonts w:hint="eastAsia" w:ascii="仿宋" w:hAnsi="仿宋" w:eastAsia="仿宋" w:cs="仿宋"/>
          <w:snapToGrid/>
          <w:color w:val="auto"/>
          <w:kern w:val="2"/>
          <w:sz w:val="24"/>
          <w:highlight w:val="none"/>
          <w:lang w:eastAsia="zh-CN"/>
        </w:rPr>
        <w:t>供应商</w:t>
      </w:r>
      <w:r>
        <w:rPr>
          <w:rFonts w:hint="eastAsia" w:ascii="仿宋" w:hAnsi="仿宋" w:eastAsia="仿宋" w:cs="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snapToGrid/>
          <w:color w:val="auto"/>
          <w:kern w:val="2"/>
          <w:sz w:val="24"/>
          <w:highlight w:val="none"/>
          <w:lang w:eastAsia="zh-CN"/>
        </w:rPr>
        <w:t>采购代理机构</w:t>
      </w:r>
      <w:r>
        <w:rPr>
          <w:rFonts w:hint="eastAsia" w:ascii="仿宋" w:hAnsi="仿宋" w:eastAsia="仿宋" w:cs="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《政府采购委托合同》</w:t>
      </w:r>
      <w:r>
        <w:rPr>
          <w:rFonts w:hint="eastAsia" w:ascii="仿宋" w:hAnsi="仿宋" w:eastAsia="仿宋" w:cs="仿宋"/>
          <w:snapToGrid/>
          <w:color w:val="auto"/>
          <w:kern w:val="2"/>
          <w:sz w:val="24"/>
          <w:highlight w:val="none"/>
        </w:rPr>
        <w:t>的规定：</w:t>
      </w:r>
      <w:r>
        <w:rPr>
          <w:rFonts w:hint="eastAsia" w:ascii="仿宋" w:hAnsi="仿宋" w:eastAsia="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Cs w:val="24"/>
          <w:highlight w:val="none"/>
        </w:rPr>
        <w:t>提出的质疑，由采购人负责答复；对采购文件中其他内容提出的质疑，由采购代理机构负责答复。</w:t>
      </w:r>
    </w:p>
    <w:p w14:paraId="04480B6B">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b/>
          <w:bCs/>
          <w:color w:val="auto"/>
          <w:sz w:val="24"/>
          <w:highlight w:val="none"/>
        </w:rPr>
        <w:t>采购过程</w:t>
      </w:r>
      <w:r>
        <w:rPr>
          <w:rFonts w:hint="eastAsia" w:ascii="仿宋" w:hAnsi="仿宋" w:eastAsia="仿宋" w:cs="仿宋"/>
          <w:color w:val="auto"/>
          <w:sz w:val="24"/>
          <w:highlight w:val="none"/>
        </w:rPr>
        <w:t>提出质疑的，质疑期限为各采购程序环节结束之日起计算。对同一采购程序环节的质疑，供应商须一次性提出。</w:t>
      </w:r>
      <w:r>
        <w:rPr>
          <w:rFonts w:hint="eastAsia" w:ascii="仿宋" w:hAnsi="仿宋" w:eastAsia="仿宋" w:cs="仿宋"/>
          <w:color w:val="auto"/>
          <w:szCs w:val="24"/>
          <w:highlight w:val="none"/>
        </w:rPr>
        <w:t>对</w:t>
      </w:r>
      <w:r>
        <w:rPr>
          <w:rFonts w:hint="eastAsia" w:ascii="仿宋" w:hAnsi="仿宋" w:eastAsia="仿宋" w:cs="仿宋"/>
          <w:b/>
          <w:bCs/>
          <w:color w:val="auto"/>
          <w:szCs w:val="24"/>
          <w:highlight w:val="none"/>
        </w:rPr>
        <w:t>采购结果</w:t>
      </w:r>
      <w:r>
        <w:rPr>
          <w:rFonts w:hint="eastAsia" w:ascii="仿宋" w:hAnsi="仿宋" w:eastAsia="仿宋" w:cs="仿宋"/>
          <w:color w:val="auto"/>
          <w:szCs w:val="24"/>
          <w:highlight w:val="none"/>
        </w:rPr>
        <w:t>提出质疑的，质疑期限自采购结果公告期限届满之日起计算。</w:t>
      </w:r>
      <w:r>
        <w:rPr>
          <w:rFonts w:hint="eastAsia" w:ascii="仿宋" w:hAnsi="仿宋" w:eastAsia="仿宋" w:cs="仿宋"/>
          <w:color w:val="auto"/>
          <w:szCs w:val="24"/>
          <w:highlight w:val="none"/>
          <w:lang w:eastAsia="zh-CN"/>
        </w:rPr>
        <w:t>对</w:t>
      </w:r>
      <w:r>
        <w:rPr>
          <w:rFonts w:hint="eastAsia" w:ascii="仿宋" w:hAnsi="仿宋" w:eastAsia="仿宋" w:cs="仿宋"/>
          <w:b/>
          <w:bCs/>
          <w:color w:val="auto"/>
          <w:sz w:val="24"/>
          <w:szCs w:val="24"/>
          <w:highlight w:val="none"/>
          <w:lang w:eastAsia="zh-CN"/>
        </w:rPr>
        <w:t>采购过程、采购结果</w:t>
      </w:r>
      <w:r>
        <w:rPr>
          <w:rFonts w:hint="eastAsia" w:ascii="仿宋" w:hAnsi="仿宋" w:eastAsia="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eastAsia="仿宋" w:cs="仿宋"/>
          <w:color w:val="auto"/>
          <w:szCs w:val="24"/>
          <w:highlight w:val="none"/>
        </w:rPr>
        <w:t>提出的质疑，由采购人负责答复；</w:t>
      </w:r>
      <w:r>
        <w:rPr>
          <w:rFonts w:hint="eastAsia" w:ascii="仿宋" w:hAnsi="仿宋" w:eastAsia="仿宋" w:cs="仿宋"/>
          <w:color w:val="auto"/>
          <w:sz w:val="24"/>
          <w:highlight w:val="none"/>
        </w:rPr>
        <w:t>对采购过程中其它事项提出的质疑，由</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负责答复。</w:t>
      </w:r>
    </w:p>
    <w:p w14:paraId="5F14E9E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41CEC62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2E22C01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77563438">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09B8FBBC">
      <w:pPr>
        <w:pStyle w:val="10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仿宋"/>
          <w:snapToGrid w:val="0"/>
          <w:color w:val="auto"/>
          <w:kern w:val="2"/>
          <w:szCs w:val="21"/>
          <w:highlight w:val="none"/>
        </w:rPr>
        <w:t>事实依据</w:t>
      </w:r>
      <w:r>
        <w:rPr>
          <w:rFonts w:hint="eastAsia" w:ascii="仿宋" w:hAnsi="仿宋" w:eastAsia="仿宋" w:cs="仿宋"/>
          <w:snapToGrid w:val="0"/>
          <w:color w:val="auto"/>
          <w:kern w:val="2"/>
          <w:szCs w:val="21"/>
          <w:highlight w:val="none"/>
          <w:lang w:eastAsia="zh-CN"/>
        </w:rPr>
        <w:t>、</w:t>
      </w:r>
      <w:r>
        <w:rPr>
          <w:rFonts w:hint="eastAsia" w:ascii="仿宋" w:hAnsi="仿宋" w:eastAsia="仿宋" w:cs="仿宋"/>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1FA3E6D6">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0313FF1A">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0DCFB11F">
      <w:pPr>
        <w:pageBreakBefore w:val="0"/>
        <w:numPr>
          <w:ilvl w:val="0"/>
          <w:numId w:val="4"/>
        </w:numPr>
        <w:kinsoku/>
        <w:overflowPunct/>
        <w:autoSpaceDE/>
        <w:autoSpaceDN/>
        <w:bidi w:val="0"/>
        <w:adjustRightInd/>
        <w:spacing w:line="440" w:lineRule="exact"/>
        <w:ind w:firstLine="480"/>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Cs w:val="24"/>
          <w:highlight w:val="none"/>
        </w:rPr>
        <w:t>采购人或者采购代理机构应当在收到供应商的书面质疑后</w:t>
      </w:r>
      <w:r>
        <w:rPr>
          <w:rFonts w:hint="eastAsia" w:ascii="仿宋" w:hAnsi="仿宋" w:eastAsia="仿宋" w:cs="仿宋"/>
          <w:b/>
          <w:bCs/>
          <w:color w:val="auto"/>
          <w:szCs w:val="24"/>
          <w:highlight w:val="none"/>
        </w:rPr>
        <w:t>七个工作日内</w:t>
      </w:r>
      <w:r>
        <w:rPr>
          <w:rFonts w:hint="eastAsia" w:ascii="仿宋" w:hAnsi="仿宋" w:eastAsia="仿宋" w:cs="仿宋"/>
          <w:color w:val="auto"/>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auto"/>
          <w:szCs w:val="24"/>
          <w:highlight w:val="none"/>
        </w:rPr>
        <w:t>5个工作日</w:t>
      </w:r>
      <w:r>
        <w:rPr>
          <w:rFonts w:hint="eastAsia" w:ascii="仿宋" w:hAnsi="仿宋" w:eastAsia="仿宋" w:cs="仿宋"/>
          <w:color w:val="auto"/>
          <w:szCs w:val="24"/>
          <w:highlight w:val="none"/>
        </w:rPr>
        <w:t>内，在浙江政府采购网的“其他公告”栏目公开质疑答复，答复内容应当完整。质疑函作为附件上传。</w:t>
      </w:r>
    </w:p>
    <w:p w14:paraId="5B4F31E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30F0BB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6.质疑供应商对采购人、采购代理机构的答复不满意或者采购人、采购代理机构未在规定的时间内作出答复的，可以在答复期满后十五个工作日内向同级政府采购行政监督管理部门提出投诉。</w:t>
      </w:r>
    </w:p>
    <w:p w14:paraId="0D17B8D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7.供应商投诉的事项不得超出已质疑事项的范围，基于质疑答复内容提出的投诉事项除外。</w:t>
      </w:r>
    </w:p>
    <w:p w14:paraId="10CCB82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8.供应商投诉应当有明确的请求和必要的证明材料。</w:t>
      </w:r>
    </w:p>
    <w:p w14:paraId="73791AB6">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9.以联合体形式参加政府采购活动的，其投诉应当由组成联合体的所有供应商共同提出。</w:t>
      </w:r>
    </w:p>
    <w:p w14:paraId="73F7826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10.投诉书范本详见附件3或请到浙江政府采购网下载专区下载。</w:t>
      </w:r>
    </w:p>
    <w:p w14:paraId="3BB8CEB1">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11.</w:t>
      </w:r>
      <w:r>
        <w:rPr>
          <w:rFonts w:hint="eastAsia" w:ascii="仿宋" w:hAnsi="仿宋" w:eastAsia="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663EFD">
      <w:pPr>
        <w:pStyle w:val="7"/>
        <w:pageBreakBefore w:val="0"/>
        <w:kinsoku/>
        <w:bidi w:val="0"/>
        <w:spacing w:beforeAutospacing="0" w:afterAutospacing="0" w:line="440" w:lineRule="exact"/>
        <w:rPr>
          <w:rFonts w:hint="eastAsia" w:ascii="仿宋" w:hAnsi="仿宋" w:eastAsia="仿宋" w:cs="仿宋"/>
          <w:color w:val="auto"/>
          <w:highlight w:val="none"/>
        </w:rPr>
      </w:pPr>
    </w:p>
    <w:p w14:paraId="113DF196">
      <w:pPr>
        <w:pageBreakBefore w:val="0"/>
        <w:kinsoku/>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p>
    <w:bookmarkEnd w:id="2"/>
    <w:p w14:paraId="622C999D">
      <w:pPr>
        <w:pStyle w:val="7"/>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第三章  评标办法及评分标准</w:t>
      </w:r>
    </w:p>
    <w:p w14:paraId="4FD3FDF6">
      <w:pPr>
        <w:keepNext w:val="0"/>
        <w:keepLines w:val="0"/>
        <w:pageBreakBefore w:val="0"/>
        <w:widowControl w:val="0"/>
        <w:kinsoku/>
        <w:wordWrap/>
        <w:overflowPunct/>
        <w:topLinePunct/>
        <w:autoSpaceDE/>
        <w:autoSpaceDN/>
        <w:bidi w:val="0"/>
        <w:adjustRightInd/>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根据《中华人民共和国政府采购法》等有关法律法规，遵循“公开、公平、公正”的原则，结合本项目的实际需求，制定本办法。</w:t>
      </w:r>
    </w:p>
    <w:p w14:paraId="72F88AAE">
      <w:pPr>
        <w:keepNext w:val="0"/>
        <w:keepLines w:val="0"/>
        <w:pageBreakBefore w:val="0"/>
        <w:widowControl w:val="0"/>
        <w:kinsoku/>
        <w:wordWrap/>
        <w:overflowPunct/>
        <w:autoSpaceDE/>
        <w:autoSpaceDN/>
        <w:bidi w:val="0"/>
        <w:adjustRightInd/>
        <w:snapToGrid w:val="0"/>
        <w:spacing w:line="460" w:lineRule="exact"/>
        <w:ind w:firstLine="472" w:firstLineChars="196"/>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一、总则</w:t>
      </w:r>
    </w:p>
    <w:p w14:paraId="102D8F6D">
      <w:pPr>
        <w:keepNext w:val="0"/>
        <w:keepLines w:val="0"/>
        <w:pageBreakBefore w:val="0"/>
        <w:widowControl w:val="0"/>
        <w:kinsoku/>
        <w:wordWrap/>
        <w:overflowPunct/>
        <w:autoSpaceDE/>
        <w:autoSpaceDN/>
        <w:bidi w:val="0"/>
        <w:adjustRightInd/>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1.本次评标采用综合评分法，总分为100分。</w:t>
      </w:r>
    </w:p>
    <w:p w14:paraId="47966129">
      <w:pPr>
        <w:keepNext w:val="0"/>
        <w:keepLines w:val="0"/>
        <w:pageBreakBefore w:val="0"/>
        <w:widowControl w:val="0"/>
        <w:kinsoku/>
        <w:wordWrap/>
        <w:overflowPunct/>
        <w:autoSpaceDE/>
        <w:autoSpaceDN/>
        <w:bidi w:val="0"/>
        <w:adjustRightInd/>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2.各合格投标人综合得分的计算公式为：</w:t>
      </w:r>
    </w:p>
    <w:p w14:paraId="749EA4AF">
      <w:pPr>
        <w:keepNext w:val="0"/>
        <w:keepLines w:val="0"/>
        <w:pageBreakBefore w:val="0"/>
        <w:widowControl w:val="0"/>
        <w:kinsoku/>
        <w:wordWrap/>
        <w:overflowPunct/>
        <w:autoSpaceDE/>
        <w:autoSpaceDN/>
        <w:bidi w:val="0"/>
        <w:adjustRightInd/>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投标人评标</w:t>
      </w:r>
      <w:r>
        <w:rPr>
          <w:rFonts w:hint="eastAsia" w:ascii="仿宋" w:hAnsi="仿宋" w:eastAsia="仿宋" w:cs="仿宋"/>
          <w:bCs/>
          <w:color w:val="auto"/>
          <w:highlight w:val="none"/>
        </w:rPr>
        <w:t>综合得分=商务技术得分＋投标价格得分。</w:t>
      </w:r>
    </w:p>
    <w:p w14:paraId="5EBFB9D7">
      <w:pPr>
        <w:keepNext w:val="0"/>
        <w:keepLines w:val="0"/>
        <w:pageBreakBefore w:val="0"/>
        <w:widowControl w:val="0"/>
        <w:kinsoku/>
        <w:wordWrap/>
        <w:overflowPunct/>
        <w:autoSpaceDE/>
        <w:autoSpaceDN/>
        <w:bidi w:val="0"/>
        <w:adjustRightInd/>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3.合格投标人的评标得分为各项目汇总得分，中标候选资格按评标得分由高到低顺序排列，得分相同的，按投标报价由低到高顺序排列；得分且投标报价相同的并列，并形成评标意见。</w:t>
      </w:r>
    </w:p>
    <w:p w14:paraId="24ED6D16">
      <w:pPr>
        <w:keepNext w:val="0"/>
        <w:keepLines w:val="0"/>
        <w:pageBreakBefore w:val="0"/>
        <w:widowControl w:val="0"/>
        <w:kinsoku/>
        <w:wordWrap/>
        <w:overflowPunct/>
        <w:autoSpaceDE/>
        <w:autoSpaceDN/>
        <w:bidi w:val="0"/>
        <w:adjustRightInd/>
        <w:snapToGrid w:val="0"/>
        <w:spacing w:line="4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4.投标文件满足招标文件全部实质性要求，且按照评审综合得分最高的投标人为排名第一的中标候选人，次高分的投标人为候补中标人，依次类推。</w:t>
      </w:r>
    </w:p>
    <w:p w14:paraId="59397206">
      <w:pPr>
        <w:pStyle w:val="2"/>
        <w:keepNext w:val="0"/>
        <w:keepLines w:val="0"/>
        <w:pageBreakBefore w:val="0"/>
        <w:widowControl w:val="0"/>
        <w:kinsoku/>
        <w:wordWrap/>
        <w:overflowPunct/>
        <w:autoSpaceDE/>
        <w:autoSpaceDN/>
        <w:bidi w:val="0"/>
        <w:adjustRightInd/>
        <w:snapToGrid w:val="0"/>
        <w:spacing w:line="460" w:lineRule="exact"/>
        <w:ind w:firstLine="434" w:firstLineChars="181"/>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5.评分过程中采用四舍五入法，</w:t>
      </w:r>
      <w:r>
        <w:rPr>
          <w:rFonts w:hint="eastAsia" w:ascii="仿宋" w:hAnsi="仿宋" w:eastAsia="仿宋" w:cs="仿宋"/>
          <w:bCs/>
          <w:color w:val="auto"/>
          <w:szCs w:val="24"/>
          <w:highlight w:val="none"/>
        </w:rPr>
        <w:t>并保留小数2位。</w:t>
      </w:r>
    </w:p>
    <w:p w14:paraId="45CA83D0">
      <w:pPr>
        <w:keepNext w:val="0"/>
        <w:keepLines w:val="0"/>
        <w:pageBreakBefore w:val="0"/>
        <w:widowControl w:val="0"/>
        <w:kinsoku/>
        <w:wordWrap/>
        <w:overflowPunct/>
        <w:autoSpaceDE/>
        <w:autoSpaceDN/>
        <w:bidi w:val="0"/>
        <w:adjustRightInd/>
        <w:spacing w:line="460" w:lineRule="exact"/>
        <w:ind w:firstLine="472" w:firstLineChars="196"/>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二、评分内容及标准</w:t>
      </w:r>
    </w:p>
    <w:p w14:paraId="1975C1D3">
      <w:pPr>
        <w:keepNext w:val="0"/>
        <w:keepLines w:val="0"/>
        <w:pageBreakBefore w:val="0"/>
        <w:widowControl w:val="0"/>
        <w:kinsoku/>
        <w:wordWrap/>
        <w:overflowPunct/>
        <w:autoSpaceDE/>
        <w:autoSpaceDN/>
        <w:bidi w:val="0"/>
        <w:adjustRightInd/>
        <w:spacing w:line="46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（一）价格评分(10分)</w:t>
      </w:r>
    </w:p>
    <w:p w14:paraId="036F4E87">
      <w:pPr>
        <w:keepNext w:val="0"/>
        <w:keepLines w:val="0"/>
        <w:pageBreakBefore w:val="0"/>
        <w:widowControl w:val="0"/>
        <w:kinsoku/>
        <w:wordWrap/>
        <w:overflowPunct/>
        <w:autoSpaceDE/>
        <w:autoSpaceDN/>
        <w:bidi w:val="0"/>
        <w:adjustRightInd/>
        <w:spacing w:line="46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1.报价的合理性：</w:t>
      </w:r>
      <w:r>
        <w:rPr>
          <w:rFonts w:hint="eastAsia" w:ascii="仿宋" w:hAnsi="仿宋" w:eastAsia="仿宋" w:cs="仿宋"/>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3A3B8DF8">
      <w:pPr>
        <w:keepNext w:val="0"/>
        <w:keepLines w:val="0"/>
        <w:pageBreakBefore w:val="0"/>
        <w:widowControl w:val="0"/>
        <w:kinsoku/>
        <w:wordWrap/>
        <w:overflowPunct/>
        <w:autoSpaceDE/>
        <w:autoSpaceDN/>
        <w:bidi w:val="0"/>
        <w:adjustRightInd/>
        <w:spacing w:line="46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zh-CN"/>
        </w:rPr>
        <w:t>价格分的计算：</w:t>
      </w:r>
      <w:r>
        <w:rPr>
          <w:rFonts w:hint="eastAsia" w:ascii="仿宋" w:hAnsi="仿宋" w:eastAsia="仿宋" w:cs="仿宋"/>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10%×100；评标过程中，不得去掉报价中的最高报价和最低报价。</w:t>
      </w:r>
    </w:p>
    <w:p w14:paraId="0E803FCD">
      <w:pPr>
        <w:keepNext w:val="0"/>
        <w:keepLines w:val="0"/>
        <w:pageBreakBefore w:val="0"/>
        <w:widowControl w:val="0"/>
        <w:kinsoku/>
        <w:wordWrap/>
        <w:overflowPunct/>
        <w:autoSpaceDE/>
        <w:autoSpaceDN/>
        <w:bidi w:val="0"/>
        <w:adjustRightInd/>
        <w:spacing w:line="46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（二）商务及技术评分（90分）</w:t>
      </w:r>
    </w:p>
    <w:p w14:paraId="6AC8D9D3">
      <w:pPr>
        <w:keepNext w:val="0"/>
        <w:keepLines w:val="0"/>
        <w:pageBreakBefore w:val="0"/>
        <w:widowControl w:val="0"/>
        <w:kinsoku/>
        <w:wordWrap/>
        <w:overflowPunct/>
        <w:autoSpaceDE/>
        <w:autoSpaceDN/>
        <w:bidi w:val="0"/>
        <w:adjustRightInd/>
        <w:spacing w:line="46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1.商务及技术分的计算。</w:t>
      </w:r>
    </w:p>
    <w:p w14:paraId="3BB6ADD6">
      <w:pPr>
        <w:keepNext w:val="0"/>
        <w:keepLines w:val="0"/>
        <w:pageBreakBefore w:val="0"/>
        <w:widowControl w:val="0"/>
        <w:kinsoku/>
        <w:wordWrap/>
        <w:overflowPunct/>
        <w:autoSpaceDE/>
        <w:autoSpaceDN/>
        <w:bidi w:val="0"/>
        <w:adjustRightInd/>
        <w:spacing w:line="460" w:lineRule="exact"/>
        <w:ind w:firstLine="480" w:firstLineChars="200"/>
        <w:textAlignment w:val="auto"/>
        <w:rPr>
          <w:rStyle w:val="96"/>
          <w:rFonts w:hint="eastAsia" w:ascii="仿宋" w:hAnsi="仿宋" w:eastAsia="仿宋" w:cs="仿宋"/>
          <w:color w:val="auto"/>
          <w:sz w:val="22"/>
          <w:szCs w:val="22"/>
          <w:highlight w:val="none"/>
          <w:shd w:val="clear" w:color="auto" w:fill="FFFFFF"/>
        </w:rPr>
      </w:pPr>
      <w:r>
        <w:rPr>
          <w:rFonts w:hint="eastAsia" w:ascii="仿宋" w:hAnsi="仿宋" w:eastAsia="仿宋" w:cs="仿宋"/>
          <w:color w:val="auto"/>
          <w:highlight w:val="none"/>
        </w:rPr>
        <w:t>商务及技术评分按照评标委员会成员的独立评分结果汇总后的算术平均分计算，计算公式为：商务及技术评分＝评标委员会所有成员评分合计数/评标委员会组成人员数。</w:t>
      </w:r>
    </w:p>
    <w:p w14:paraId="7FB5D185">
      <w:pPr>
        <w:pageBreakBefore w:val="0"/>
        <w:kinsoku/>
        <w:bidi w:val="0"/>
        <w:adjustRightInd w:val="0"/>
        <w:snapToGrid w:val="0"/>
        <w:spacing w:line="440" w:lineRule="exact"/>
        <w:ind w:firstLine="482" w:firstLineChars="200"/>
        <w:jc w:val="left"/>
        <w:rPr>
          <w:rStyle w:val="96"/>
          <w:rFonts w:hint="eastAsia" w:ascii="仿宋" w:hAnsi="仿宋" w:eastAsia="仿宋" w:cs="仿宋"/>
          <w:color w:val="auto"/>
          <w:sz w:val="22"/>
          <w:szCs w:val="22"/>
          <w:highlight w:val="none"/>
          <w:shd w:val="clear" w:color="auto" w:fill="FFFFFF"/>
        </w:rPr>
      </w:pPr>
      <w:r>
        <w:rPr>
          <w:rFonts w:hint="eastAsia" w:ascii="仿宋" w:hAnsi="仿宋" w:eastAsia="仿宋" w:cs="仿宋"/>
          <w:b/>
          <w:color w:val="auto"/>
          <w:highlight w:val="none"/>
        </w:rPr>
        <w:t>评分细则</w:t>
      </w:r>
    </w:p>
    <w:tbl>
      <w:tblPr>
        <w:tblStyle w:val="90"/>
        <w:tblW w:w="11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38"/>
        <w:gridCol w:w="7085"/>
        <w:gridCol w:w="878"/>
        <w:gridCol w:w="878"/>
      </w:tblGrid>
      <w:tr w14:paraId="4C3A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77" w:type="dxa"/>
            <w:vAlign w:val="center"/>
          </w:tcPr>
          <w:p w14:paraId="6C23169B">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序号</w:t>
            </w:r>
          </w:p>
        </w:tc>
        <w:tc>
          <w:tcPr>
            <w:tcW w:w="1438" w:type="dxa"/>
            <w:vAlign w:val="center"/>
          </w:tcPr>
          <w:p w14:paraId="69EE5D4F">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评分项目</w:t>
            </w:r>
          </w:p>
        </w:tc>
        <w:tc>
          <w:tcPr>
            <w:tcW w:w="7085" w:type="dxa"/>
            <w:vAlign w:val="center"/>
          </w:tcPr>
          <w:p w14:paraId="7B96A34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评分内容</w:t>
            </w:r>
          </w:p>
        </w:tc>
        <w:tc>
          <w:tcPr>
            <w:tcW w:w="878" w:type="dxa"/>
            <w:vAlign w:val="center"/>
          </w:tcPr>
          <w:p w14:paraId="3481CC5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分值</w:t>
            </w:r>
          </w:p>
        </w:tc>
        <w:tc>
          <w:tcPr>
            <w:tcW w:w="878" w:type="dxa"/>
            <w:vAlign w:val="center"/>
          </w:tcPr>
          <w:p w14:paraId="55927D3C">
            <w:pPr>
              <w:pageBreakBefore w:val="0"/>
              <w:kinsoku/>
              <w:bidi w:val="0"/>
              <w:adjustRightInd w:val="0"/>
              <w:snapToGrid w:val="0"/>
              <w:spacing w:line="440" w:lineRule="exact"/>
              <w:jc w:val="center"/>
              <w:rPr>
                <w:rFonts w:hint="eastAsia" w:ascii="仿宋" w:hAnsi="仿宋" w:eastAsia="仿宋" w:cs="仿宋"/>
                <w:b/>
                <w:bCs/>
                <w:color w:val="auto"/>
                <w:highlight w:val="none"/>
                <w:lang w:val="en-US" w:eastAsia="zh-CN"/>
              </w:rPr>
            </w:pPr>
            <w:r>
              <w:rPr>
                <w:rFonts w:hint="eastAsia" w:cs="仿宋"/>
                <w:b/>
                <w:bCs/>
                <w:color w:val="auto"/>
                <w:highlight w:val="none"/>
                <w:lang w:val="en-US" w:eastAsia="zh-CN"/>
              </w:rPr>
              <w:t>打分方式</w:t>
            </w:r>
          </w:p>
        </w:tc>
      </w:tr>
      <w:tr w14:paraId="3CAF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jc w:val="center"/>
        </w:trPr>
        <w:tc>
          <w:tcPr>
            <w:tcW w:w="777" w:type="dxa"/>
            <w:vAlign w:val="center"/>
          </w:tcPr>
          <w:p w14:paraId="3BCB89AC">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38" w:type="dxa"/>
            <w:vAlign w:val="center"/>
          </w:tcPr>
          <w:p w14:paraId="020E3035">
            <w:pPr>
              <w:pageBreakBefore w:val="0"/>
              <w:widowControl/>
              <w:kinsoku/>
              <w:bidi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认证证书</w:t>
            </w:r>
          </w:p>
          <w:p w14:paraId="6A6E168D">
            <w:pPr>
              <w:pageBreakBefore w:val="0"/>
              <w:widowControl/>
              <w:kinsoku/>
              <w:bidi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（3分）</w:t>
            </w:r>
          </w:p>
        </w:tc>
        <w:tc>
          <w:tcPr>
            <w:tcW w:w="7085" w:type="dxa"/>
            <w:vAlign w:val="center"/>
          </w:tcPr>
          <w:p w14:paraId="74ED0E75">
            <w:pPr>
              <w:pStyle w:val="8"/>
              <w:pageBreakBefore w:val="0"/>
              <w:kinsoku/>
              <w:bidi w:val="0"/>
              <w:spacing w:before="0" w:after="0" w:line="440" w:lineRule="exact"/>
              <w:ind w:left="0" w:firstLine="0"/>
              <w:jc w:val="both"/>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投标人具有体系认证证书：</w:t>
            </w:r>
          </w:p>
          <w:p w14:paraId="0A6C17F3">
            <w:pPr>
              <w:pStyle w:val="8"/>
              <w:pageBreakBefore w:val="0"/>
              <w:kinsoku/>
              <w:bidi w:val="0"/>
              <w:spacing w:before="0" w:after="0" w:line="440" w:lineRule="exact"/>
              <w:ind w:left="0" w:firstLine="0"/>
              <w:jc w:val="both"/>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1.质量管理体系认证证书；</w:t>
            </w:r>
          </w:p>
          <w:p w14:paraId="55E62A26">
            <w:pPr>
              <w:pStyle w:val="8"/>
              <w:pageBreakBefore w:val="0"/>
              <w:kinsoku/>
              <w:bidi w:val="0"/>
              <w:spacing w:before="0" w:after="0" w:line="440" w:lineRule="exact"/>
              <w:ind w:left="0" w:firstLine="0"/>
              <w:jc w:val="both"/>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2.职业健康安全管理体系认证证书；</w:t>
            </w:r>
          </w:p>
          <w:p w14:paraId="04EA7022">
            <w:pPr>
              <w:pStyle w:val="8"/>
              <w:pageBreakBefore w:val="0"/>
              <w:kinsoku/>
              <w:bidi w:val="0"/>
              <w:spacing w:before="0" w:after="0" w:line="440" w:lineRule="exact"/>
              <w:ind w:left="0" w:firstLine="0"/>
              <w:jc w:val="both"/>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3.环境管理体系认证证书；</w:t>
            </w:r>
          </w:p>
          <w:p w14:paraId="6BE22B06">
            <w:pPr>
              <w:pStyle w:val="8"/>
              <w:pageBreakBefore w:val="0"/>
              <w:kinsoku/>
              <w:bidi w:val="0"/>
              <w:spacing w:before="0" w:after="0" w:line="440" w:lineRule="exact"/>
              <w:ind w:left="0" w:firstLine="0"/>
              <w:jc w:val="both"/>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每提供一个得1分，最高得3分。</w:t>
            </w:r>
          </w:p>
          <w:p w14:paraId="56186153">
            <w:pPr>
              <w:pStyle w:val="8"/>
              <w:pageBreakBefore w:val="0"/>
              <w:kinsoku/>
              <w:bidi w:val="0"/>
              <w:spacing w:before="0" w:after="0" w:line="440" w:lineRule="exact"/>
              <w:ind w:left="0" w:firstLine="0"/>
              <w:jc w:val="both"/>
              <w:outlineLvl w:val="1"/>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rPr>
              <w:t>注：提供证书扫描件及“全国认证认可监督管理委员会”官网查询截图，未按要求提供不予计分。</w:t>
            </w:r>
          </w:p>
        </w:tc>
        <w:tc>
          <w:tcPr>
            <w:tcW w:w="878" w:type="dxa"/>
            <w:vAlign w:val="center"/>
          </w:tcPr>
          <w:p w14:paraId="3783FB47">
            <w:pPr>
              <w:pageBreakBefore w:val="0"/>
              <w:widowControl/>
              <w:kinsoku/>
              <w:bidi w:val="0"/>
              <w:spacing w:line="440" w:lineRule="exact"/>
              <w:jc w:val="center"/>
              <w:rPr>
                <w:rFonts w:hint="eastAsia" w:ascii="仿宋" w:hAnsi="仿宋" w:eastAsia="仿宋" w:cs="仿宋"/>
                <w:color w:val="auto"/>
                <w:highlight w:val="none"/>
              </w:rPr>
            </w:pPr>
            <w:r>
              <w:rPr>
                <w:rFonts w:hint="eastAsia" w:ascii="仿宋" w:hAnsi="仿宋" w:eastAsia="仿宋" w:cs="仿宋"/>
                <w:color w:val="auto"/>
                <w:kern w:val="0"/>
                <w:highlight w:val="none"/>
              </w:rPr>
              <w:t>3</w:t>
            </w:r>
          </w:p>
        </w:tc>
        <w:tc>
          <w:tcPr>
            <w:tcW w:w="878" w:type="dxa"/>
            <w:vAlign w:val="center"/>
          </w:tcPr>
          <w:p w14:paraId="424B2AC9">
            <w:pPr>
              <w:pageBreakBefore w:val="0"/>
              <w:widowControl/>
              <w:kinsoku/>
              <w:bidi w:val="0"/>
              <w:spacing w:line="440" w:lineRule="exact"/>
              <w:jc w:val="center"/>
              <w:rPr>
                <w:rFonts w:hint="eastAsia" w:ascii="仿宋" w:hAnsi="仿宋" w:eastAsia="仿宋" w:cs="仿宋"/>
                <w:color w:val="auto"/>
                <w:kern w:val="0"/>
                <w:highlight w:val="none"/>
                <w:lang w:val="en-US" w:eastAsia="zh-CN"/>
              </w:rPr>
            </w:pPr>
            <w:r>
              <w:rPr>
                <w:rFonts w:hint="eastAsia" w:cs="仿宋"/>
                <w:color w:val="auto"/>
                <w:kern w:val="0"/>
                <w:highlight w:val="none"/>
                <w:lang w:val="en-US" w:eastAsia="zh-CN"/>
              </w:rPr>
              <w:t>客观分</w:t>
            </w:r>
          </w:p>
        </w:tc>
      </w:tr>
      <w:tr w14:paraId="78A5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77" w:type="dxa"/>
            <w:vAlign w:val="center"/>
          </w:tcPr>
          <w:p w14:paraId="7FB3356A">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38" w:type="dxa"/>
            <w:vAlign w:val="center"/>
          </w:tcPr>
          <w:p w14:paraId="1D40870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类似业绩</w:t>
            </w:r>
          </w:p>
          <w:p w14:paraId="3FBFFA05">
            <w:pPr>
              <w:pageBreakBefore w:val="0"/>
              <w:kinsoku/>
              <w:bidi w:val="0"/>
              <w:adjustRightInd w:val="0"/>
              <w:snapToGrid w:val="0"/>
              <w:spacing w:line="440" w:lineRule="exact"/>
              <w:jc w:val="center"/>
              <w:rPr>
                <w:rFonts w:hint="eastAsia" w:ascii="仿宋" w:hAnsi="仿宋" w:eastAsia="仿宋" w:cs="仿宋"/>
                <w:color w:val="auto"/>
                <w:szCs w:val="22"/>
                <w:highlight w:val="none"/>
              </w:rPr>
            </w:pPr>
            <w:r>
              <w:rPr>
                <w:rFonts w:hint="eastAsia" w:ascii="仿宋" w:hAnsi="仿宋" w:eastAsia="仿宋" w:cs="仿宋"/>
                <w:color w:val="auto"/>
                <w:highlight w:val="none"/>
              </w:rPr>
              <w:t>（1分）</w:t>
            </w:r>
          </w:p>
        </w:tc>
        <w:tc>
          <w:tcPr>
            <w:tcW w:w="7085" w:type="dxa"/>
            <w:vAlign w:val="center"/>
          </w:tcPr>
          <w:p w14:paraId="56371891">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投标人自20</w:t>
            </w:r>
            <w:r>
              <w:rPr>
                <w:rFonts w:hint="eastAsia" w:ascii="仿宋" w:hAnsi="仿宋" w:eastAsia="仿宋" w:cs="仿宋"/>
                <w:color w:val="auto"/>
                <w:highlight w:val="none"/>
                <w:lang w:val="en-US" w:eastAsia="zh-CN"/>
              </w:rPr>
              <w:t>21</w:t>
            </w:r>
            <w:r>
              <w:rPr>
                <w:rFonts w:hint="eastAsia" w:ascii="仿宋" w:hAnsi="仿宋" w:eastAsia="仿宋" w:cs="仿宋"/>
                <w:color w:val="auto"/>
                <w:highlight w:val="none"/>
              </w:rPr>
              <w:t>年1月1日（以合同签订日期为准），有承担过类似项目的，单个合同每个1分，最高得1分，（需提供合同复印件及业主评价加盖公章）（0-1分）。</w:t>
            </w:r>
          </w:p>
        </w:tc>
        <w:tc>
          <w:tcPr>
            <w:tcW w:w="878" w:type="dxa"/>
            <w:vAlign w:val="center"/>
          </w:tcPr>
          <w:p w14:paraId="1E581D18">
            <w:pPr>
              <w:pageBreakBefore w:val="0"/>
              <w:kinsoku/>
              <w:bidi w:val="0"/>
              <w:adjustRightInd w:val="0"/>
              <w:snapToGrid w:val="0"/>
              <w:spacing w:line="440" w:lineRule="exact"/>
              <w:jc w:val="center"/>
              <w:rPr>
                <w:rFonts w:hint="eastAsia" w:ascii="仿宋" w:hAnsi="仿宋" w:eastAsia="仿宋" w:cs="仿宋"/>
                <w:color w:val="auto"/>
                <w:kern w:val="0"/>
                <w:highlight w:val="none"/>
              </w:rPr>
            </w:pPr>
            <w:r>
              <w:rPr>
                <w:rFonts w:hint="eastAsia" w:ascii="仿宋" w:hAnsi="仿宋" w:eastAsia="仿宋" w:cs="仿宋"/>
                <w:color w:val="auto"/>
                <w:highlight w:val="none"/>
              </w:rPr>
              <w:t>1</w:t>
            </w:r>
          </w:p>
        </w:tc>
        <w:tc>
          <w:tcPr>
            <w:tcW w:w="878" w:type="dxa"/>
            <w:vAlign w:val="center"/>
          </w:tcPr>
          <w:p w14:paraId="3ADC39C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2C4D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14:paraId="4D43ECBC">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38" w:type="dxa"/>
            <w:vMerge w:val="restart"/>
            <w:vAlign w:val="center"/>
          </w:tcPr>
          <w:p w14:paraId="31DF384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场地设备保障（有害分拣存放场地已配置的需提供各类有害垃圾存放场地现场照片，计量设备提供购置发票及接入环保系统的相关证明材料</w:t>
            </w:r>
            <w:r>
              <w:rPr>
                <w:rFonts w:hint="eastAsia" w:cs="仿宋"/>
                <w:color w:val="auto"/>
                <w:highlight w:val="none"/>
                <w:lang w:val="en-US" w:eastAsia="zh-CN"/>
              </w:rPr>
              <w:t>或</w:t>
            </w:r>
            <w:r>
              <w:rPr>
                <w:rFonts w:hint="eastAsia" w:ascii="仿宋" w:hAnsi="仿宋" w:eastAsia="仿宋" w:cs="仿宋"/>
                <w:color w:val="auto"/>
                <w:highlight w:val="none"/>
              </w:rPr>
              <w:t>承诺中标后合同签订前配置的提供承诺书，格式自拟，不提供不得分）</w:t>
            </w:r>
          </w:p>
        </w:tc>
        <w:tc>
          <w:tcPr>
            <w:tcW w:w="7085" w:type="dxa"/>
            <w:vAlign w:val="center"/>
          </w:tcPr>
          <w:p w14:paraId="4319A085">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1、投标人在项目实施地建有</w:t>
            </w:r>
            <w:r>
              <w:rPr>
                <w:rFonts w:hint="eastAsia" w:ascii="仿宋" w:hAnsi="仿宋" w:eastAsia="仿宋" w:cs="仿宋"/>
                <w:color w:val="auto"/>
                <w:highlight w:val="none"/>
                <w:lang w:val="en-US" w:eastAsia="zh-CN"/>
              </w:rPr>
              <w:t>或承诺中标后配置，并通过</w:t>
            </w:r>
            <w:r>
              <w:rPr>
                <w:rFonts w:hint="eastAsia" w:ascii="仿宋" w:hAnsi="仿宋" w:eastAsia="仿宋" w:cs="仿宋"/>
                <w:color w:val="auto"/>
                <w:highlight w:val="none"/>
              </w:rPr>
              <w:t>环保验收标准的有害垃圾分拣、暂存场地，场地总面积不小于400平方米（含）的得4分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（0-4分）</w:t>
            </w:r>
          </w:p>
        </w:tc>
        <w:tc>
          <w:tcPr>
            <w:tcW w:w="878" w:type="dxa"/>
            <w:vAlign w:val="center"/>
          </w:tcPr>
          <w:p w14:paraId="1AA75BCE">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878" w:type="dxa"/>
            <w:vAlign w:val="center"/>
          </w:tcPr>
          <w:p w14:paraId="75F7DEEC">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7DA4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7" w:type="dxa"/>
            <w:vMerge w:val="continue"/>
            <w:vAlign w:val="center"/>
          </w:tcPr>
          <w:p w14:paraId="588CA1A5">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1D97480A">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4A219D6E">
            <w:pPr>
              <w:pageBreakBefore w:val="0"/>
              <w:kinsoku/>
              <w:bidi w:val="0"/>
              <w:spacing w:line="440" w:lineRule="exact"/>
              <w:rPr>
                <w:rFonts w:hint="default" w:ascii="仿宋" w:hAnsi="仿宋" w:eastAsia="仿宋" w:cs="仿宋"/>
                <w:color w:val="auto"/>
                <w:highlight w:val="none"/>
                <w:lang w:val="en-US" w:eastAsia="zh-CN"/>
              </w:rPr>
            </w:pPr>
            <w:r>
              <w:rPr>
                <w:rFonts w:hint="eastAsia" w:cs="仿宋"/>
                <w:color w:val="auto"/>
                <w:highlight w:val="none"/>
                <w:lang w:val="en-US" w:eastAsia="zh-CN"/>
              </w:rPr>
              <w:t>2.</w:t>
            </w:r>
            <w:r>
              <w:rPr>
                <w:rFonts w:hint="eastAsia" w:ascii="仿宋" w:hAnsi="仿宋" w:eastAsia="仿宋" w:cs="仿宋"/>
                <w:color w:val="auto"/>
                <w:highlight w:val="none"/>
              </w:rPr>
              <w:t>投标人在项目实施地建有</w:t>
            </w:r>
            <w:r>
              <w:rPr>
                <w:rFonts w:hint="eastAsia" w:ascii="仿宋" w:hAnsi="仿宋" w:eastAsia="仿宋" w:cs="仿宋"/>
                <w:color w:val="auto"/>
                <w:highlight w:val="none"/>
                <w:lang w:val="en-US" w:eastAsia="zh-CN"/>
              </w:rPr>
              <w:t>或承诺</w:t>
            </w:r>
            <w:r>
              <w:rPr>
                <w:rFonts w:hint="eastAsia" w:ascii="仿宋" w:hAnsi="仿宋" w:eastAsia="仿宋" w:cs="仿宋"/>
                <w:color w:val="auto"/>
                <w:highlight w:val="none"/>
              </w:rPr>
              <w:t>有害垃圾分拣</w:t>
            </w:r>
            <w:r>
              <w:rPr>
                <w:rFonts w:hint="eastAsia" w:cs="仿宋"/>
                <w:color w:val="auto"/>
                <w:highlight w:val="none"/>
                <w:lang w:val="en-US" w:eastAsia="zh-CN"/>
              </w:rPr>
              <w:t>场地为独立空间的得2分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w:t>
            </w:r>
            <w:r>
              <w:rPr>
                <w:rFonts w:hint="eastAsia" w:cs="仿宋"/>
                <w:color w:val="auto"/>
                <w:highlight w:val="none"/>
                <w:lang w:val="en-US" w:eastAsia="zh-CN"/>
              </w:rPr>
              <w:t>2</w:t>
            </w:r>
            <w:r>
              <w:rPr>
                <w:rFonts w:hint="eastAsia" w:ascii="仿宋" w:hAnsi="仿宋" w:eastAsia="仿宋" w:cs="仿宋"/>
                <w:color w:val="auto"/>
                <w:highlight w:val="none"/>
              </w:rPr>
              <w:t>分）</w:t>
            </w:r>
          </w:p>
        </w:tc>
        <w:tc>
          <w:tcPr>
            <w:tcW w:w="878" w:type="dxa"/>
            <w:vAlign w:val="center"/>
          </w:tcPr>
          <w:p w14:paraId="3DDD230D">
            <w:pPr>
              <w:pageBreakBefore w:val="0"/>
              <w:kinsoku/>
              <w:bidi w:val="0"/>
              <w:adjustRightInd w:val="0"/>
              <w:snapToGrid w:val="0"/>
              <w:spacing w:line="440" w:lineRule="exact"/>
              <w:jc w:val="center"/>
              <w:rPr>
                <w:rFonts w:hint="eastAsia" w:ascii="仿宋" w:hAnsi="仿宋" w:eastAsia="仿宋" w:cs="仿宋"/>
                <w:color w:val="auto"/>
                <w:highlight w:val="none"/>
                <w:lang w:val="en-US" w:eastAsia="zh-CN"/>
              </w:rPr>
            </w:pPr>
            <w:r>
              <w:rPr>
                <w:rFonts w:hint="eastAsia" w:cs="仿宋"/>
                <w:color w:val="auto"/>
                <w:highlight w:val="none"/>
                <w:lang w:val="en-US" w:eastAsia="zh-CN"/>
              </w:rPr>
              <w:t>2</w:t>
            </w:r>
          </w:p>
        </w:tc>
        <w:tc>
          <w:tcPr>
            <w:tcW w:w="878" w:type="dxa"/>
            <w:vAlign w:val="center"/>
          </w:tcPr>
          <w:p w14:paraId="560994B4">
            <w:pPr>
              <w:pageBreakBefore w:val="0"/>
              <w:kinsoku/>
              <w:bidi w:val="0"/>
              <w:adjustRightInd w:val="0"/>
              <w:snapToGrid w:val="0"/>
              <w:spacing w:line="440" w:lineRule="exact"/>
              <w:jc w:val="center"/>
              <w:rPr>
                <w:rFonts w:hint="eastAsia" w:cs="仿宋"/>
                <w:color w:val="auto"/>
                <w:highlight w:val="none"/>
                <w:lang w:val="en-US" w:eastAsia="zh-CN"/>
              </w:rPr>
            </w:pPr>
            <w:r>
              <w:rPr>
                <w:rFonts w:hint="eastAsia" w:cs="仿宋"/>
                <w:color w:val="auto"/>
                <w:kern w:val="0"/>
                <w:highlight w:val="none"/>
                <w:lang w:val="en-US" w:eastAsia="zh-CN"/>
              </w:rPr>
              <w:t>客观分</w:t>
            </w:r>
          </w:p>
        </w:tc>
      </w:tr>
      <w:tr w14:paraId="6AC0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77" w:type="dxa"/>
            <w:vMerge w:val="continue"/>
            <w:vAlign w:val="center"/>
          </w:tcPr>
          <w:p w14:paraId="230FC3A3">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084B419B">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646DCD03">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单独的废镍镉电池和废氧化汞电池存放场地并有明确标识的得3分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（0-3分）</w:t>
            </w:r>
          </w:p>
        </w:tc>
        <w:tc>
          <w:tcPr>
            <w:tcW w:w="878" w:type="dxa"/>
            <w:vAlign w:val="center"/>
          </w:tcPr>
          <w:p w14:paraId="4BBFE4EB">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2004E7BD">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2346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7" w:type="dxa"/>
            <w:vMerge w:val="continue"/>
            <w:vAlign w:val="center"/>
          </w:tcPr>
          <w:p w14:paraId="4DC3541C">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1A7DF2B6">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023291A7">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单独的废荧光灯管存放场地并有明确标识的得3分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（0-3分）</w:t>
            </w:r>
          </w:p>
        </w:tc>
        <w:tc>
          <w:tcPr>
            <w:tcW w:w="878" w:type="dxa"/>
            <w:vAlign w:val="center"/>
          </w:tcPr>
          <w:p w14:paraId="5C5277FB">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32C54E8B">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0E31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77" w:type="dxa"/>
            <w:vMerge w:val="continue"/>
            <w:vAlign w:val="center"/>
          </w:tcPr>
          <w:p w14:paraId="77ACF053">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18548DF2">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4D06972D">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5</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单独的废胶片及废相纸存放场地并有明确标识的得2分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（0-2分）</w:t>
            </w:r>
          </w:p>
        </w:tc>
        <w:tc>
          <w:tcPr>
            <w:tcW w:w="878" w:type="dxa"/>
            <w:vAlign w:val="center"/>
          </w:tcPr>
          <w:p w14:paraId="7CA09E7D">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78" w:type="dxa"/>
            <w:vAlign w:val="center"/>
          </w:tcPr>
          <w:p w14:paraId="2C516A11">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5BB2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77" w:type="dxa"/>
            <w:vMerge w:val="continue"/>
            <w:vAlign w:val="center"/>
          </w:tcPr>
          <w:p w14:paraId="139E9A0A">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106DCB92">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6E17B2D2">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6</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单独的废弃药物及其包装物存放场地并有明确标识的得2分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（0-2分）</w:t>
            </w:r>
          </w:p>
        </w:tc>
        <w:tc>
          <w:tcPr>
            <w:tcW w:w="878" w:type="dxa"/>
            <w:vAlign w:val="center"/>
          </w:tcPr>
          <w:p w14:paraId="2BEC6C0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78" w:type="dxa"/>
            <w:vAlign w:val="center"/>
          </w:tcPr>
          <w:p w14:paraId="4DCFFA7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3D39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77" w:type="dxa"/>
            <w:vMerge w:val="continue"/>
            <w:vAlign w:val="center"/>
          </w:tcPr>
          <w:p w14:paraId="382C7EC9">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2FE2C1EA">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091D6416">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7</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单独的废油漆和溶剂及其包装物存放场地并有明确标识的得3分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（0-3分）</w:t>
            </w:r>
          </w:p>
        </w:tc>
        <w:tc>
          <w:tcPr>
            <w:tcW w:w="878" w:type="dxa"/>
            <w:vAlign w:val="center"/>
          </w:tcPr>
          <w:p w14:paraId="24C4FD8A">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4895ED14">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0E51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77" w:type="dxa"/>
            <w:vMerge w:val="continue"/>
            <w:vAlign w:val="center"/>
          </w:tcPr>
          <w:p w14:paraId="76399868">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1206BE34">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72924CDA">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8</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单独的废矿物油及其包装物存放场地并有明确标识的得2分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（0-2分）</w:t>
            </w:r>
          </w:p>
        </w:tc>
        <w:tc>
          <w:tcPr>
            <w:tcW w:w="878" w:type="dxa"/>
            <w:vAlign w:val="center"/>
          </w:tcPr>
          <w:p w14:paraId="7D8502C0">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78" w:type="dxa"/>
            <w:vAlign w:val="center"/>
          </w:tcPr>
          <w:p w14:paraId="4A030E93">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3A47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7" w:type="dxa"/>
            <w:vMerge w:val="continue"/>
            <w:vAlign w:val="center"/>
          </w:tcPr>
          <w:p w14:paraId="6C40A265">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796484BE">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106A984C">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9</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单独的废含汞温度计、废含汞血压计存放场地并有明确标识的得2分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（0-2分）</w:t>
            </w:r>
          </w:p>
        </w:tc>
        <w:tc>
          <w:tcPr>
            <w:tcW w:w="878" w:type="dxa"/>
            <w:vAlign w:val="center"/>
          </w:tcPr>
          <w:p w14:paraId="07C2EC87">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78" w:type="dxa"/>
            <w:vAlign w:val="center"/>
          </w:tcPr>
          <w:p w14:paraId="18270F0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0E7A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77" w:type="dxa"/>
            <w:vMerge w:val="continue"/>
            <w:vAlign w:val="center"/>
          </w:tcPr>
          <w:p w14:paraId="096113D9">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4066B68C">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500DF6A0">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10</w:t>
            </w:r>
            <w:r>
              <w:rPr>
                <w:rFonts w:hint="eastAsia" w:ascii="仿宋" w:hAnsi="仿宋" w:eastAsia="仿宋" w:cs="仿宋"/>
                <w:color w:val="auto"/>
                <w:highlight w:val="none"/>
              </w:rPr>
              <w:t>、投标人在分拣、暂存场地建有</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单独的废杀虫剂、消毒剂及其包装物存放场地并有明确标识的得2分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（0-2分）</w:t>
            </w:r>
          </w:p>
        </w:tc>
        <w:tc>
          <w:tcPr>
            <w:tcW w:w="878" w:type="dxa"/>
            <w:vAlign w:val="center"/>
          </w:tcPr>
          <w:p w14:paraId="49FB34F4">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878" w:type="dxa"/>
            <w:vAlign w:val="center"/>
          </w:tcPr>
          <w:p w14:paraId="4582AB0F">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kern w:val="0"/>
                <w:highlight w:val="none"/>
                <w:lang w:val="en-US" w:eastAsia="zh-CN"/>
              </w:rPr>
              <w:t>客观分</w:t>
            </w:r>
          </w:p>
        </w:tc>
      </w:tr>
      <w:tr w14:paraId="2D58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77" w:type="dxa"/>
            <w:vMerge w:val="continue"/>
            <w:vAlign w:val="center"/>
          </w:tcPr>
          <w:p w14:paraId="7295E4F6">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40C65572">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1336DAC5">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cs="仿宋"/>
                <w:color w:val="auto"/>
                <w:highlight w:val="none"/>
                <w:lang w:val="en-US" w:eastAsia="zh-CN"/>
              </w:rPr>
              <w:t>1</w:t>
            </w:r>
            <w:r>
              <w:rPr>
                <w:rFonts w:hint="eastAsia" w:ascii="仿宋" w:hAnsi="仿宋" w:eastAsia="仿宋" w:cs="仿宋"/>
                <w:color w:val="auto"/>
                <w:highlight w:val="none"/>
              </w:rPr>
              <w:t>、投标人在分拣、暂存场地配置</w:t>
            </w:r>
            <w:r>
              <w:rPr>
                <w:rFonts w:hint="eastAsia" w:ascii="仿宋" w:hAnsi="仿宋" w:eastAsia="仿宋" w:cs="仿宋"/>
                <w:color w:val="auto"/>
                <w:highlight w:val="none"/>
                <w:lang w:val="en-US" w:eastAsia="zh-CN"/>
              </w:rPr>
              <w:t>或承诺中标后配置</w:t>
            </w:r>
            <w:r>
              <w:rPr>
                <w:rFonts w:hint="eastAsia" w:ascii="仿宋" w:hAnsi="仿宋" w:eastAsia="仿宋" w:cs="仿宋"/>
                <w:color w:val="auto"/>
                <w:highlight w:val="none"/>
              </w:rPr>
              <w:t>有害垃圾标准计量设备并接入环保系统的得3分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（0-</w:t>
            </w:r>
            <w:r>
              <w:rPr>
                <w:rFonts w:hint="eastAsia" w:cs="仿宋"/>
                <w:color w:val="auto"/>
                <w:highlight w:val="none"/>
                <w:lang w:val="en-US" w:eastAsia="zh-CN"/>
              </w:rPr>
              <w:t>3</w:t>
            </w:r>
            <w:r>
              <w:rPr>
                <w:rFonts w:hint="eastAsia" w:ascii="仿宋" w:hAnsi="仿宋" w:eastAsia="仿宋" w:cs="仿宋"/>
                <w:color w:val="auto"/>
                <w:highlight w:val="none"/>
              </w:rPr>
              <w:t>分）</w:t>
            </w:r>
          </w:p>
        </w:tc>
        <w:tc>
          <w:tcPr>
            <w:tcW w:w="878" w:type="dxa"/>
            <w:vAlign w:val="center"/>
          </w:tcPr>
          <w:p w14:paraId="745AB75C">
            <w:pPr>
              <w:pageBreakBefore w:val="0"/>
              <w:kinsoku/>
              <w:bidi w:val="0"/>
              <w:adjustRightInd w:val="0"/>
              <w:snapToGrid w:val="0"/>
              <w:spacing w:line="440" w:lineRule="exact"/>
              <w:jc w:val="center"/>
              <w:rPr>
                <w:rFonts w:hint="eastAsia" w:ascii="仿宋" w:hAnsi="仿宋" w:eastAsia="仿宋" w:cs="仿宋"/>
                <w:color w:val="auto"/>
                <w:highlight w:val="none"/>
                <w:lang w:eastAsia="zh-CN"/>
              </w:rPr>
            </w:pPr>
            <w:r>
              <w:rPr>
                <w:rFonts w:hint="eastAsia" w:cs="仿宋"/>
                <w:color w:val="auto"/>
                <w:highlight w:val="none"/>
                <w:lang w:val="en-US" w:eastAsia="zh-CN"/>
              </w:rPr>
              <w:t>3</w:t>
            </w:r>
          </w:p>
        </w:tc>
        <w:tc>
          <w:tcPr>
            <w:tcW w:w="878" w:type="dxa"/>
            <w:vAlign w:val="center"/>
          </w:tcPr>
          <w:p w14:paraId="047A07FD">
            <w:pPr>
              <w:pageBreakBefore w:val="0"/>
              <w:kinsoku/>
              <w:bidi w:val="0"/>
              <w:adjustRightInd w:val="0"/>
              <w:snapToGrid w:val="0"/>
              <w:spacing w:line="440" w:lineRule="exact"/>
              <w:jc w:val="center"/>
              <w:rPr>
                <w:rFonts w:hint="eastAsia" w:cs="仿宋"/>
                <w:color w:val="auto"/>
                <w:highlight w:val="none"/>
                <w:lang w:val="en-US" w:eastAsia="zh-CN"/>
              </w:rPr>
            </w:pPr>
            <w:r>
              <w:rPr>
                <w:rFonts w:hint="eastAsia" w:cs="仿宋"/>
                <w:color w:val="auto"/>
                <w:kern w:val="0"/>
                <w:highlight w:val="none"/>
                <w:lang w:val="en-US" w:eastAsia="zh-CN"/>
              </w:rPr>
              <w:t>客观分</w:t>
            </w:r>
          </w:p>
        </w:tc>
      </w:tr>
      <w:tr w14:paraId="2744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777" w:type="dxa"/>
            <w:vMerge w:val="restart"/>
            <w:vAlign w:val="center"/>
          </w:tcPr>
          <w:p w14:paraId="3CB13FBE">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38" w:type="dxa"/>
            <w:vMerge w:val="restart"/>
            <w:vAlign w:val="center"/>
          </w:tcPr>
          <w:p w14:paraId="01946D80">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kern w:val="0"/>
                <w:highlight w:val="none"/>
              </w:rPr>
              <w:t>投入人员保障</w:t>
            </w:r>
          </w:p>
        </w:tc>
        <w:tc>
          <w:tcPr>
            <w:tcW w:w="7085" w:type="dxa"/>
            <w:vAlign w:val="center"/>
          </w:tcPr>
          <w:p w14:paraId="5671185A">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①项目经理具有大专及以上学历的得1分，具有本科及以上学历的得2分，本项最高得2分；（0-2分）</w:t>
            </w:r>
          </w:p>
          <w:p w14:paraId="43FDE564">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注：提供学信网查询证明截图，大专提供学历证书、本科提供学历及学位证书复印件加盖单位公章，不提供不得分。</w:t>
            </w:r>
          </w:p>
          <w:p w14:paraId="0D8BC2C7">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 2 \* GB3 \* MERGEFORMAT </w:instrText>
            </w:r>
            <w:r>
              <w:rPr>
                <w:rFonts w:hint="eastAsia" w:ascii="仿宋" w:hAnsi="仿宋" w:eastAsia="仿宋" w:cs="仿宋"/>
                <w:color w:val="auto"/>
                <w:highlight w:val="none"/>
              </w:rPr>
              <w:fldChar w:fldCharType="separate"/>
            </w:r>
            <w:r>
              <w:rPr>
                <w:highlight w:val="none"/>
              </w:rPr>
              <w:t>②</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项目经理具有类似项目管理经验1年及以上的得1分，2年及以上的得2分。（0-2分）</w:t>
            </w:r>
          </w:p>
          <w:p w14:paraId="2AB24CC7">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注：类似工作经验提供类似项目实施企业工作历年社保缴纳证明并加盖单位公章，不提供不得分</w:t>
            </w:r>
          </w:p>
        </w:tc>
        <w:tc>
          <w:tcPr>
            <w:tcW w:w="878" w:type="dxa"/>
            <w:vAlign w:val="center"/>
          </w:tcPr>
          <w:p w14:paraId="035AAAB4">
            <w:pPr>
              <w:pageBreakBefore w:val="0"/>
              <w:kinsoku/>
              <w:bidi w:val="0"/>
              <w:adjustRightInd w:val="0"/>
              <w:snapToGrid w:val="0"/>
              <w:spacing w:line="440" w:lineRule="exact"/>
              <w:jc w:val="center"/>
              <w:rPr>
                <w:rFonts w:hint="eastAsia" w:ascii="仿宋" w:hAnsi="仿宋" w:eastAsia="仿宋" w:cs="仿宋"/>
                <w:color w:val="auto"/>
                <w:highlight w:val="none"/>
                <w:lang w:eastAsia="zh-CN"/>
              </w:rPr>
            </w:pPr>
            <w:r>
              <w:rPr>
                <w:rFonts w:hint="eastAsia" w:cs="仿宋"/>
                <w:color w:val="auto"/>
                <w:highlight w:val="none"/>
                <w:lang w:val="en-US" w:eastAsia="zh-CN"/>
              </w:rPr>
              <w:t>4</w:t>
            </w:r>
          </w:p>
        </w:tc>
        <w:tc>
          <w:tcPr>
            <w:tcW w:w="878" w:type="dxa"/>
            <w:vAlign w:val="center"/>
          </w:tcPr>
          <w:p w14:paraId="60FA86B7">
            <w:pPr>
              <w:pageBreakBefore w:val="0"/>
              <w:kinsoku/>
              <w:bidi w:val="0"/>
              <w:adjustRightInd w:val="0"/>
              <w:snapToGrid w:val="0"/>
              <w:spacing w:line="440" w:lineRule="exact"/>
              <w:jc w:val="center"/>
              <w:rPr>
                <w:rFonts w:hint="eastAsia" w:cs="仿宋"/>
                <w:color w:val="auto"/>
                <w:highlight w:val="none"/>
                <w:lang w:val="en-US" w:eastAsia="zh-CN"/>
              </w:rPr>
            </w:pPr>
            <w:r>
              <w:rPr>
                <w:rFonts w:hint="eastAsia" w:cs="仿宋"/>
                <w:color w:val="auto"/>
                <w:kern w:val="0"/>
                <w:highlight w:val="none"/>
                <w:lang w:val="en-US" w:eastAsia="zh-CN"/>
              </w:rPr>
              <w:t>客观分</w:t>
            </w:r>
          </w:p>
        </w:tc>
      </w:tr>
      <w:tr w14:paraId="0199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77" w:type="dxa"/>
            <w:vMerge w:val="continue"/>
            <w:vAlign w:val="center"/>
          </w:tcPr>
          <w:p w14:paraId="26025EE2">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35B3473B">
            <w:pPr>
              <w:pageBreakBefore w:val="0"/>
              <w:kinsoku/>
              <w:bidi w:val="0"/>
              <w:adjustRightInd w:val="0"/>
              <w:snapToGrid w:val="0"/>
              <w:spacing w:line="440" w:lineRule="exact"/>
              <w:jc w:val="center"/>
              <w:rPr>
                <w:rFonts w:hint="eastAsia" w:ascii="仿宋" w:hAnsi="仿宋" w:eastAsia="仿宋" w:cs="仿宋"/>
                <w:color w:val="auto"/>
                <w:kern w:val="0"/>
                <w:highlight w:val="none"/>
              </w:rPr>
            </w:pPr>
          </w:p>
        </w:tc>
        <w:tc>
          <w:tcPr>
            <w:tcW w:w="7085" w:type="dxa"/>
            <w:vAlign w:val="center"/>
          </w:tcPr>
          <w:p w14:paraId="7B7B2EC1">
            <w:pPr>
              <w:pageBreakBefore w:val="0"/>
              <w:kinsoku/>
              <w:bidi w:val="0"/>
              <w:spacing w:line="440" w:lineRule="exact"/>
              <w:rPr>
                <w:rFonts w:hint="eastAsia" w:ascii="仿宋" w:hAnsi="仿宋" w:eastAsia="仿宋" w:cs="仿宋"/>
                <w:color w:val="auto"/>
                <w:highlight w:val="none"/>
              </w:rPr>
            </w:pPr>
            <w:r>
              <w:rPr>
                <w:rFonts w:hint="eastAsia" w:cs="仿宋"/>
                <w:color w:val="auto"/>
                <w:highlight w:val="none"/>
                <w:lang w:val="en-US" w:eastAsia="zh-CN"/>
              </w:rPr>
              <w:t>投入本项目人员</w:t>
            </w:r>
            <w:r>
              <w:rPr>
                <w:rFonts w:hint="eastAsia" w:ascii="仿宋" w:hAnsi="仿宋" w:eastAsia="仿宋" w:cs="仿宋"/>
                <w:color w:val="auto"/>
                <w:highlight w:val="none"/>
              </w:rPr>
              <w:t>具有安全员证书的</w:t>
            </w:r>
            <w:r>
              <w:rPr>
                <w:rFonts w:hint="eastAsia" w:cs="仿宋"/>
                <w:color w:val="auto"/>
                <w:highlight w:val="none"/>
                <w:lang w:eastAsia="zh-CN"/>
              </w:rPr>
              <w:t>，</w:t>
            </w:r>
            <w:r>
              <w:rPr>
                <w:rFonts w:hint="eastAsia" w:ascii="仿宋" w:hAnsi="仿宋" w:eastAsia="仿宋" w:cs="仿宋"/>
                <w:color w:val="auto"/>
                <w:highlight w:val="none"/>
              </w:rPr>
              <w:t>每提供1名得1分，最高得</w:t>
            </w:r>
            <w:r>
              <w:rPr>
                <w:rFonts w:hint="eastAsia" w:cs="仿宋"/>
                <w:color w:val="auto"/>
                <w:highlight w:val="none"/>
                <w:lang w:val="en-US" w:eastAsia="zh-CN"/>
              </w:rPr>
              <w:t>1</w:t>
            </w:r>
            <w:r>
              <w:rPr>
                <w:rFonts w:hint="eastAsia" w:ascii="仿宋" w:hAnsi="仿宋" w:eastAsia="仿宋" w:cs="仿宋"/>
                <w:color w:val="auto"/>
                <w:highlight w:val="none"/>
              </w:rPr>
              <w:t>分。（0-</w:t>
            </w:r>
            <w:r>
              <w:rPr>
                <w:rFonts w:hint="eastAsia" w:cs="仿宋"/>
                <w:color w:val="auto"/>
                <w:highlight w:val="none"/>
                <w:lang w:val="en-US" w:eastAsia="zh-CN"/>
              </w:rPr>
              <w:t>1</w:t>
            </w:r>
            <w:r>
              <w:rPr>
                <w:rFonts w:hint="eastAsia" w:ascii="仿宋" w:hAnsi="仿宋" w:eastAsia="仿宋" w:cs="仿宋"/>
                <w:color w:val="auto"/>
                <w:highlight w:val="none"/>
              </w:rPr>
              <w:t>分）</w:t>
            </w:r>
          </w:p>
          <w:p w14:paraId="44199F8B">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cs="仿宋"/>
                <w:color w:val="auto"/>
                <w:highlight w:val="none"/>
                <w:lang w:val="en-US" w:eastAsia="zh-CN"/>
              </w:rPr>
              <w:t>提供证书及</w:t>
            </w:r>
            <w:r>
              <w:rPr>
                <w:rFonts w:hint="eastAsia" w:ascii="仿宋" w:hAnsi="仿宋" w:eastAsia="仿宋" w:cs="仿宋"/>
                <w:color w:val="auto"/>
                <w:highlight w:val="none"/>
              </w:rPr>
              <w:t>社保缴纳证明复印件并加盖单位公章，不提供不得分。</w:t>
            </w:r>
          </w:p>
        </w:tc>
        <w:tc>
          <w:tcPr>
            <w:tcW w:w="878" w:type="dxa"/>
            <w:vAlign w:val="center"/>
          </w:tcPr>
          <w:p w14:paraId="32FCD6FB">
            <w:pPr>
              <w:pageBreakBefore w:val="0"/>
              <w:kinsoku/>
              <w:bidi w:val="0"/>
              <w:adjustRightInd w:val="0"/>
              <w:snapToGrid w:val="0"/>
              <w:spacing w:line="440" w:lineRule="exact"/>
              <w:jc w:val="center"/>
              <w:rPr>
                <w:rFonts w:hint="eastAsia" w:ascii="仿宋" w:hAnsi="仿宋" w:eastAsia="仿宋" w:cs="仿宋"/>
                <w:color w:val="auto"/>
                <w:highlight w:val="none"/>
                <w:lang w:eastAsia="zh-CN"/>
              </w:rPr>
            </w:pPr>
            <w:r>
              <w:rPr>
                <w:rFonts w:hint="eastAsia" w:cs="仿宋"/>
                <w:color w:val="auto"/>
                <w:highlight w:val="none"/>
                <w:lang w:val="en-US" w:eastAsia="zh-CN"/>
              </w:rPr>
              <w:t>1</w:t>
            </w:r>
          </w:p>
        </w:tc>
        <w:tc>
          <w:tcPr>
            <w:tcW w:w="878" w:type="dxa"/>
            <w:vAlign w:val="center"/>
          </w:tcPr>
          <w:p w14:paraId="5B7D4465">
            <w:pPr>
              <w:pageBreakBefore w:val="0"/>
              <w:kinsoku/>
              <w:bidi w:val="0"/>
              <w:adjustRightInd w:val="0"/>
              <w:snapToGrid w:val="0"/>
              <w:spacing w:line="440" w:lineRule="exact"/>
              <w:jc w:val="center"/>
              <w:rPr>
                <w:rFonts w:hint="eastAsia" w:cs="仿宋"/>
                <w:color w:val="auto"/>
                <w:highlight w:val="none"/>
                <w:lang w:val="en-US" w:eastAsia="zh-CN"/>
              </w:rPr>
            </w:pPr>
            <w:r>
              <w:rPr>
                <w:rFonts w:hint="eastAsia" w:cs="仿宋"/>
                <w:color w:val="auto"/>
                <w:kern w:val="0"/>
                <w:highlight w:val="none"/>
                <w:lang w:val="en-US" w:eastAsia="zh-CN"/>
              </w:rPr>
              <w:t>客观分</w:t>
            </w:r>
          </w:p>
        </w:tc>
      </w:tr>
      <w:tr w14:paraId="7BD0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restart"/>
            <w:vAlign w:val="center"/>
          </w:tcPr>
          <w:p w14:paraId="0FE2D63F">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38" w:type="dxa"/>
            <w:vMerge w:val="restart"/>
            <w:vAlign w:val="center"/>
          </w:tcPr>
          <w:p w14:paraId="41673E2A">
            <w:pPr>
              <w:pageBreakBefore w:val="0"/>
              <w:kinsoku/>
              <w:bidi w:val="0"/>
              <w:adjustRightInd w:val="0"/>
              <w:snapToGrid w:val="0"/>
              <w:spacing w:line="440" w:lineRule="exact"/>
              <w:jc w:val="center"/>
              <w:rPr>
                <w:rFonts w:hint="eastAsia" w:ascii="仿宋" w:hAnsi="仿宋" w:eastAsia="仿宋" w:cs="仿宋"/>
                <w:color w:val="auto"/>
                <w:kern w:val="0"/>
                <w:highlight w:val="none"/>
              </w:rPr>
            </w:pPr>
            <w:r>
              <w:rPr>
                <w:rFonts w:hint="eastAsia" w:ascii="仿宋" w:hAnsi="仿宋" w:eastAsia="仿宋" w:cs="仿宋"/>
                <w:color w:val="auto"/>
                <w:highlight w:val="none"/>
              </w:rPr>
              <w:t>项目管理方案</w:t>
            </w:r>
          </w:p>
        </w:tc>
        <w:tc>
          <w:tcPr>
            <w:tcW w:w="7085" w:type="dxa"/>
            <w:vAlign w:val="center"/>
          </w:tcPr>
          <w:p w14:paraId="4144F7E9">
            <w:pPr>
              <w:pageBreakBefore w:val="0"/>
              <w:kinsoku/>
              <w:bidi w:val="0"/>
              <w:adjustRightInd w:val="0"/>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kern w:val="2"/>
                <w:highlight w:val="none"/>
              </w:rPr>
              <w:t>1、有害垃圾分拣方案切合本招标项目预定要求，针对性、操作性强，计划安排科学合理。</w:t>
            </w:r>
            <w:r>
              <w:rPr>
                <w:rFonts w:hint="eastAsia" w:ascii="仿宋" w:hAnsi="仿宋" w:eastAsia="仿宋" w:cs="仿宋"/>
                <w:color w:val="auto"/>
                <w:kern w:val="0"/>
                <w:highlight w:val="none"/>
                <w:lang w:bidi="ar"/>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kern w:val="2"/>
                <w:highlight w:val="none"/>
              </w:rPr>
              <w:t>（0-3分）</w:t>
            </w:r>
          </w:p>
        </w:tc>
        <w:tc>
          <w:tcPr>
            <w:tcW w:w="878" w:type="dxa"/>
            <w:vAlign w:val="center"/>
          </w:tcPr>
          <w:p w14:paraId="6CE97160">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0FA2A376">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3A77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continue"/>
            <w:vAlign w:val="center"/>
          </w:tcPr>
          <w:p w14:paraId="607E6189">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3B91640D">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7F822692">
            <w:pPr>
              <w:pageBreakBefore w:val="0"/>
              <w:kinsoku/>
              <w:bidi w:val="0"/>
              <w:adjustRightInd w:val="0"/>
              <w:snapToGrid w:val="0"/>
              <w:spacing w:line="440" w:lineRule="exact"/>
              <w:jc w:val="left"/>
              <w:rPr>
                <w:rFonts w:hint="eastAsia" w:ascii="仿宋" w:hAnsi="仿宋" w:eastAsia="仿宋" w:cs="仿宋"/>
                <w:color w:val="auto"/>
                <w:kern w:val="2"/>
                <w:highlight w:val="none"/>
              </w:rPr>
            </w:pPr>
            <w:r>
              <w:rPr>
                <w:rFonts w:hint="eastAsia" w:ascii="仿宋" w:hAnsi="仿宋" w:eastAsia="仿宋" w:cs="仿宋"/>
                <w:color w:val="auto"/>
                <w:kern w:val="2"/>
                <w:highlight w:val="none"/>
              </w:rPr>
              <w:t>2、有害垃圾分拣后的质量检验方案，方案具有实际可操作性、针对性、有效性、合理性。</w:t>
            </w:r>
            <w:r>
              <w:rPr>
                <w:rFonts w:hint="eastAsia" w:ascii="仿宋" w:hAnsi="仿宋" w:eastAsia="仿宋" w:cs="仿宋"/>
                <w:color w:val="auto"/>
                <w:kern w:val="0"/>
                <w:highlight w:val="none"/>
                <w:lang w:bidi="ar"/>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kern w:val="2"/>
                <w:highlight w:val="none"/>
              </w:rPr>
              <w:t>（0-3分）</w:t>
            </w:r>
          </w:p>
        </w:tc>
        <w:tc>
          <w:tcPr>
            <w:tcW w:w="878" w:type="dxa"/>
            <w:vAlign w:val="center"/>
          </w:tcPr>
          <w:p w14:paraId="7FA0FA9C">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50E1D073">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44A4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77" w:type="dxa"/>
            <w:vMerge w:val="continue"/>
            <w:vAlign w:val="center"/>
          </w:tcPr>
          <w:p w14:paraId="7E15808C">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327EAFF2">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1E1088C1">
            <w:pPr>
              <w:pageBreakBefore w:val="0"/>
              <w:kinsoku/>
              <w:bidi w:val="0"/>
              <w:adjustRightInd w:val="0"/>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kern w:val="2"/>
                <w:highlight w:val="none"/>
              </w:rPr>
              <w:t>3、有害垃圾暂存方案切合本招标项目预定要求，针对性、操作性强，计划安排科学合理。</w:t>
            </w:r>
            <w:r>
              <w:rPr>
                <w:rFonts w:hint="eastAsia" w:ascii="仿宋" w:hAnsi="仿宋" w:eastAsia="仿宋" w:cs="仿宋"/>
                <w:color w:val="auto"/>
                <w:kern w:val="0"/>
                <w:highlight w:val="none"/>
                <w:lang w:bidi="ar"/>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kern w:val="2"/>
                <w:highlight w:val="none"/>
              </w:rPr>
              <w:t>（0-3分）</w:t>
            </w:r>
          </w:p>
        </w:tc>
        <w:tc>
          <w:tcPr>
            <w:tcW w:w="878" w:type="dxa"/>
            <w:vAlign w:val="center"/>
          </w:tcPr>
          <w:p w14:paraId="3CAAD3C0">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2DB623A1">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5D3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continue"/>
            <w:vAlign w:val="center"/>
          </w:tcPr>
          <w:p w14:paraId="76C1E7B9">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7A9F73C8">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4497D80F">
            <w:pPr>
              <w:pageBreakBefore w:val="0"/>
              <w:kinsoku/>
              <w:bidi w:val="0"/>
              <w:adjustRightInd w:val="0"/>
              <w:snapToGrid w:val="0"/>
              <w:spacing w:line="440" w:lineRule="exact"/>
              <w:jc w:val="left"/>
              <w:rPr>
                <w:rFonts w:hint="eastAsia" w:ascii="仿宋" w:hAnsi="仿宋" w:eastAsia="仿宋" w:cs="仿宋"/>
                <w:color w:val="auto"/>
                <w:highlight w:val="none"/>
              </w:rPr>
            </w:pPr>
            <w:r>
              <w:rPr>
                <w:rFonts w:hint="eastAsia" w:ascii="仿宋" w:hAnsi="仿宋" w:eastAsia="仿宋" w:cs="仿宋"/>
                <w:color w:val="auto"/>
                <w:kern w:val="2"/>
                <w:highlight w:val="none"/>
              </w:rPr>
              <w:t>4、有害垃圾对外处置方案切合本招标项目预定要求，针对性、操作性强，计划安排科学合理。</w:t>
            </w:r>
            <w:r>
              <w:rPr>
                <w:rFonts w:hint="eastAsia" w:ascii="仿宋" w:hAnsi="仿宋" w:eastAsia="仿宋" w:cs="仿宋"/>
                <w:color w:val="auto"/>
                <w:kern w:val="0"/>
                <w:highlight w:val="none"/>
                <w:lang w:bidi="ar"/>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kern w:val="2"/>
                <w:highlight w:val="none"/>
              </w:rPr>
              <w:t>（0-3分）</w:t>
            </w:r>
          </w:p>
        </w:tc>
        <w:tc>
          <w:tcPr>
            <w:tcW w:w="878" w:type="dxa"/>
            <w:vAlign w:val="center"/>
          </w:tcPr>
          <w:p w14:paraId="43BF65A5">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747BDFA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0AE0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continue"/>
            <w:vAlign w:val="center"/>
          </w:tcPr>
          <w:p w14:paraId="32529812">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4966B453">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54D2C681">
            <w:pPr>
              <w:pageBreakBefore w:val="0"/>
              <w:kinsoku/>
              <w:bidi w:val="0"/>
              <w:adjustRightInd w:val="0"/>
              <w:snapToGrid w:val="0"/>
              <w:spacing w:line="440" w:lineRule="exact"/>
              <w:jc w:val="left"/>
              <w:rPr>
                <w:rFonts w:hint="default" w:ascii="仿宋" w:hAnsi="仿宋" w:eastAsia="仿宋" w:cs="仿宋"/>
                <w:color w:val="auto"/>
                <w:kern w:val="2"/>
                <w:highlight w:val="none"/>
                <w:lang w:val="en-US" w:eastAsia="zh-CN"/>
              </w:rPr>
            </w:pPr>
            <w:r>
              <w:rPr>
                <w:rFonts w:hint="eastAsia" w:cs="仿宋"/>
                <w:color w:val="auto"/>
                <w:kern w:val="2"/>
                <w:highlight w:val="none"/>
                <w:lang w:val="en-US" w:eastAsia="zh-CN"/>
              </w:rPr>
              <w:t>5、根据各个暂存场地面积划分与有害垃圾种类的匹配程度综合打分，</w:t>
            </w:r>
            <w:r>
              <w:rPr>
                <w:rFonts w:hint="eastAsia" w:ascii="仿宋" w:hAnsi="仿宋" w:eastAsia="仿宋" w:cs="仿宋"/>
                <w:color w:val="auto"/>
                <w:kern w:val="2"/>
                <w:highlight w:val="none"/>
              </w:rPr>
              <w:t>针对性、操作性强，计划安排科学合理。</w:t>
            </w:r>
            <w:r>
              <w:rPr>
                <w:rFonts w:hint="eastAsia" w:ascii="仿宋" w:hAnsi="仿宋" w:eastAsia="仿宋" w:cs="仿宋"/>
                <w:color w:val="auto"/>
                <w:kern w:val="0"/>
                <w:highlight w:val="none"/>
                <w:lang w:bidi="ar"/>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kern w:val="2"/>
                <w:highlight w:val="none"/>
              </w:rPr>
              <w:t>（0-3分）</w:t>
            </w:r>
          </w:p>
        </w:tc>
        <w:tc>
          <w:tcPr>
            <w:tcW w:w="878" w:type="dxa"/>
            <w:vAlign w:val="center"/>
          </w:tcPr>
          <w:p w14:paraId="1CEAB1E4">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5609B35D">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051B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continue"/>
            <w:vAlign w:val="center"/>
          </w:tcPr>
          <w:p w14:paraId="58E2A70B">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421152AB">
            <w:pPr>
              <w:pageBreakBefore w:val="0"/>
              <w:kinsoku/>
              <w:bidi w:val="0"/>
              <w:adjustRightInd w:val="0"/>
              <w:snapToGrid w:val="0"/>
              <w:spacing w:line="440" w:lineRule="exact"/>
              <w:jc w:val="center"/>
              <w:rPr>
                <w:rFonts w:hint="eastAsia" w:ascii="仿宋" w:hAnsi="仿宋" w:eastAsia="仿宋" w:cs="仿宋"/>
                <w:color w:val="auto"/>
                <w:kern w:val="0"/>
                <w:highlight w:val="none"/>
              </w:rPr>
            </w:pPr>
          </w:p>
        </w:tc>
        <w:tc>
          <w:tcPr>
            <w:tcW w:w="7085" w:type="dxa"/>
            <w:vAlign w:val="center"/>
          </w:tcPr>
          <w:p w14:paraId="6CE9F53B">
            <w:pPr>
              <w:pageBreakBefore w:val="0"/>
              <w:kinsoku/>
              <w:bidi w:val="0"/>
              <w:adjustRightInd w:val="0"/>
              <w:snapToGrid w:val="0"/>
              <w:spacing w:line="440" w:lineRule="exact"/>
              <w:jc w:val="left"/>
              <w:rPr>
                <w:rFonts w:hint="eastAsia" w:ascii="仿宋" w:hAnsi="仿宋" w:eastAsia="仿宋" w:cs="仿宋"/>
                <w:color w:val="auto"/>
                <w:highlight w:val="none"/>
              </w:rPr>
            </w:pPr>
            <w:r>
              <w:rPr>
                <w:rFonts w:hint="eastAsia" w:cs="仿宋"/>
                <w:color w:val="auto"/>
                <w:kern w:val="2"/>
                <w:highlight w:val="none"/>
                <w:lang w:val="en-US" w:eastAsia="zh-CN"/>
              </w:rPr>
              <w:t>6</w:t>
            </w:r>
            <w:r>
              <w:rPr>
                <w:rFonts w:hint="eastAsia" w:ascii="仿宋" w:hAnsi="仿宋" w:eastAsia="仿宋" w:cs="仿宋"/>
                <w:color w:val="auto"/>
                <w:kern w:val="2"/>
                <w:highlight w:val="none"/>
              </w:rPr>
              <w:t>、质量管理体系完善：有专门的部门负责对本项目进行质量监管，针对本项目制定具体的质量管理考核细则综合打分。</w:t>
            </w:r>
            <w:r>
              <w:rPr>
                <w:rFonts w:hint="eastAsia" w:ascii="仿宋" w:hAnsi="仿宋" w:eastAsia="仿宋" w:cs="仿宋"/>
                <w:color w:val="auto"/>
                <w:kern w:val="0"/>
                <w:highlight w:val="none"/>
                <w:lang w:bidi="ar"/>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kern w:val="2"/>
                <w:highlight w:val="none"/>
              </w:rPr>
              <w:t>（0-3分）</w:t>
            </w:r>
          </w:p>
        </w:tc>
        <w:tc>
          <w:tcPr>
            <w:tcW w:w="878" w:type="dxa"/>
            <w:vAlign w:val="center"/>
          </w:tcPr>
          <w:p w14:paraId="74B6E9CA">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1BE70CB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3BD6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77" w:type="dxa"/>
            <w:vMerge w:val="continue"/>
            <w:vAlign w:val="center"/>
          </w:tcPr>
          <w:p w14:paraId="005A6E8F">
            <w:pPr>
              <w:pageBreakBefore w:val="0"/>
              <w:widowControl/>
              <w:kinsoku/>
              <w:bidi w:val="0"/>
              <w:spacing w:line="440" w:lineRule="exact"/>
              <w:jc w:val="center"/>
              <w:rPr>
                <w:rFonts w:hint="eastAsia" w:ascii="仿宋" w:hAnsi="仿宋" w:eastAsia="仿宋" w:cs="仿宋"/>
                <w:color w:val="auto"/>
                <w:highlight w:val="none"/>
              </w:rPr>
            </w:pPr>
          </w:p>
        </w:tc>
        <w:tc>
          <w:tcPr>
            <w:tcW w:w="1438" w:type="dxa"/>
            <w:vMerge w:val="continue"/>
            <w:vAlign w:val="center"/>
          </w:tcPr>
          <w:p w14:paraId="0F992C64">
            <w:pPr>
              <w:pageBreakBefore w:val="0"/>
              <w:widowControl/>
              <w:kinsoku/>
              <w:bidi w:val="0"/>
              <w:spacing w:line="440" w:lineRule="exact"/>
              <w:jc w:val="center"/>
              <w:rPr>
                <w:rFonts w:hint="eastAsia" w:ascii="仿宋" w:hAnsi="仿宋" w:eastAsia="仿宋" w:cs="仿宋"/>
                <w:color w:val="auto"/>
                <w:kern w:val="0"/>
                <w:highlight w:val="none"/>
              </w:rPr>
            </w:pPr>
          </w:p>
        </w:tc>
        <w:tc>
          <w:tcPr>
            <w:tcW w:w="7085" w:type="dxa"/>
            <w:vAlign w:val="center"/>
          </w:tcPr>
          <w:p w14:paraId="792816E8">
            <w:pPr>
              <w:pStyle w:val="7"/>
              <w:pageBreakBefore w:val="0"/>
              <w:kinsoku/>
              <w:bidi w:val="0"/>
              <w:spacing w:line="440" w:lineRule="exact"/>
              <w:ind w:left="0" w:firstLine="0"/>
              <w:jc w:val="left"/>
              <w:outlineLvl w:val="0"/>
              <w:rPr>
                <w:rFonts w:hint="eastAsia" w:ascii="仿宋" w:hAnsi="仿宋" w:eastAsia="仿宋" w:cs="仿宋"/>
                <w:b w:val="0"/>
                <w:bCs w:val="0"/>
                <w:color w:val="auto"/>
                <w:kern w:val="2"/>
                <w:sz w:val="24"/>
                <w:szCs w:val="24"/>
                <w:highlight w:val="none"/>
              </w:rPr>
            </w:pPr>
            <w:r>
              <w:rPr>
                <w:rFonts w:hint="eastAsia" w:cs="仿宋"/>
                <w:b w:val="0"/>
                <w:bCs w:val="0"/>
                <w:color w:val="auto"/>
                <w:kern w:val="2"/>
                <w:sz w:val="24"/>
                <w:szCs w:val="24"/>
                <w:highlight w:val="none"/>
                <w:lang w:val="en-US" w:eastAsia="zh-CN"/>
              </w:rPr>
              <w:t>7</w:t>
            </w:r>
            <w:r>
              <w:rPr>
                <w:rFonts w:hint="eastAsia" w:ascii="仿宋" w:hAnsi="仿宋" w:eastAsia="仿宋" w:cs="仿宋"/>
                <w:b w:val="0"/>
                <w:bCs w:val="0"/>
                <w:color w:val="auto"/>
                <w:kern w:val="2"/>
                <w:sz w:val="24"/>
                <w:szCs w:val="24"/>
                <w:highlight w:val="none"/>
              </w:rPr>
              <w:t>、安全生产、风险防控方案：制定培训方案，定期开展安全生产培训，并记录完整。方案详细、科学合理、技术成熟、完全满足采购需求的得3分；部分满足采购需求的得2分；方案有明显不合理但与采购需求相关的得1分；未提供方案的不得分。（0-3分）</w:t>
            </w:r>
          </w:p>
        </w:tc>
        <w:tc>
          <w:tcPr>
            <w:tcW w:w="878" w:type="dxa"/>
            <w:vAlign w:val="center"/>
          </w:tcPr>
          <w:p w14:paraId="0FD6911E">
            <w:pPr>
              <w:pageBreakBefore w:val="0"/>
              <w:widowControl/>
              <w:kinsoku/>
              <w:bidi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638A23D8">
            <w:pPr>
              <w:pageBreakBefore w:val="0"/>
              <w:widowControl/>
              <w:kinsoku/>
              <w:bidi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6046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77" w:type="dxa"/>
            <w:vMerge w:val="continue"/>
            <w:vAlign w:val="center"/>
          </w:tcPr>
          <w:p w14:paraId="47CE9F7B">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5DB31201">
            <w:pPr>
              <w:pageBreakBefore w:val="0"/>
              <w:kinsoku/>
              <w:bidi w:val="0"/>
              <w:adjustRightInd w:val="0"/>
              <w:snapToGrid w:val="0"/>
              <w:spacing w:line="440" w:lineRule="exact"/>
              <w:jc w:val="center"/>
              <w:rPr>
                <w:rFonts w:hint="eastAsia" w:ascii="仿宋" w:hAnsi="仿宋" w:eastAsia="仿宋" w:cs="仿宋"/>
                <w:color w:val="auto"/>
                <w:kern w:val="0"/>
                <w:highlight w:val="none"/>
              </w:rPr>
            </w:pPr>
          </w:p>
        </w:tc>
        <w:tc>
          <w:tcPr>
            <w:tcW w:w="7085" w:type="dxa"/>
            <w:vAlign w:val="center"/>
          </w:tcPr>
          <w:p w14:paraId="13AFAF84">
            <w:pPr>
              <w:pageBreakBefore w:val="0"/>
              <w:kinsoku/>
              <w:bidi w:val="0"/>
              <w:spacing w:line="440" w:lineRule="exact"/>
              <w:rPr>
                <w:rFonts w:hint="eastAsia" w:ascii="仿宋" w:hAnsi="仿宋" w:eastAsia="仿宋" w:cs="仿宋"/>
                <w:color w:val="auto"/>
                <w:highlight w:val="none"/>
              </w:rPr>
            </w:pPr>
            <w:r>
              <w:rPr>
                <w:rFonts w:hint="eastAsia" w:cs="仿宋"/>
                <w:color w:val="auto"/>
                <w:kern w:val="2"/>
                <w:highlight w:val="none"/>
                <w:lang w:val="en-US" w:eastAsia="zh-CN"/>
              </w:rPr>
              <w:t>8</w:t>
            </w:r>
            <w:r>
              <w:rPr>
                <w:rFonts w:hint="eastAsia" w:ascii="仿宋" w:hAnsi="仿宋" w:eastAsia="仿宋" w:cs="仿宋"/>
                <w:color w:val="auto"/>
                <w:kern w:val="2"/>
                <w:highlight w:val="none"/>
              </w:rPr>
              <w:t>、投标人为本项目建立与采购人相配套的督查考核信息制度，实行专人专管方案。方案详细、科学合理、技术成熟、完全满足采购需求的得3分；部分满足采购需求的得2分；方案有明显不合理但与采购需求相关的得1分；未提供方案的不得分。（0-3分）</w:t>
            </w:r>
          </w:p>
        </w:tc>
        <w:tc>
          <w:tcPr>
            <w:tcW w:w="878" w:type="dxa"/>
            <w:vAlign w:val="center"/>
          </w:tcPr>
          <w:p w14:paraId="3A8E4C86">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262C2893">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6DF3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continue"/>
            <w:vAlign w:val="center"/>
          </w:tcPr>
          <w:p w14:paraId="4406C4D3">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46988296">
            <w:pPr>
              <w:pageBreakBefore w:val="0"/>
              <w:kinsoku/>
              <w:bidi w:val="0"/>
              <w:adjustRightInd w:val="0"/>
              <w:snapToGrid w:val="0"/>
              <w:spacing w:line="440" w:lineRule="exact"/>
              <w:jc w:val="center"/>
              <w:rPr>
                <w:rFonts w:hint="eastAsia" w:ascii="仿宋" w:hAnsi="仿宋" w:eastAsia="仿宋" w:cs="仿宋"/>
                <w:color w:val="auto"/>
                <w:kern w:val="0"/>
                <w:highlight w:val="none"/>
              </w:rPr>
            </w:pPr>
          </w:p>
        </w:tc>
        <w:tc>
          <w:tcPr>
            <w:tcW w:w="7085" w:type="dxa"/>
            <w:vAlign w:val="center"/>
          </w:tcPr>
          <w:p w14:paraId="11DF7A67">
            <w:pPr>
              <w:pageBreakBefore w:val="0"/>
              <w:kinsoku/>
              <w:bidi w:val="0"/>
              <w:adjustRightInd w:val="0"/>
              <w:snapToGrid w:val="0"/>
              <w:spacing w:line="440" w:lineRule="exact"/>
              <w:rPr>
                <w:rFonts w:hint="eastAsia" w:ascii="仿宋" w:hAnsi="仿宋" w:eastAsia="仿宋" w:cs="仿宋"/>
                <w:color w:val="auto"/>
                <w:highlight w:val="none"/>
              </w:rPr>
            </w:pPr>
            <w:r>
              <w:rPr>
                <w:rFonts w:hint="eastAsia" w:cs="仿宋"/>
                <w:color w:val="auto"/>
                <w:kern w:val="2"/>
                <w:highlight w:val="none"/>
                <w:lang w:val="en-US" w:eastAsia="zh-CN"/>
              </w:rPr>
              <w:t>9</w:t>
            </w:r>
            <w:r>
              <w:rPr>
                <w:rFonts w:hint="eastAsia" w:ascii="仿宋" w:hAnsi="仿宋" w:eastAsia="仿宋" w:cs="仿宋"/>
                <w:color w:val="auto"/>
                <w:kern w:val="2"/>
                <w:highlight w:val="none"/>
              </w:rPr>
              <w:t>、合同开始执行和合同到期后移交平稳过渡计划实施方案：企业进出场交接计划措施、平稳过渡实施方案等相关措施。方案详细、科学合理、技术成熟、完全满足采购需求的得3分；部分满足采购需求的得2分；方案有明显不合理但与采购需求相关的得1分；未提供方案的不得分。（0-3分）</w:t>
            </w:r>
          </w:p>
        </w:tc>
        <w:tc>
          <w:tcPr>
            <w:tcW w:w="878" w:type="dxa"/>
            <w:vAlign w:val="center"/>
          </w:tcPr>
          <w:p w14:paraId="4ACA4EF6">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435AB531">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2F1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77" w:type="dxa"/>
            <w:vMerge w:val="restart"/>
            <w:vAlign w:val="center"/>
          </w:tcPr>
          <w:p w14:paraId="57AB4457">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38" w:type="dxa"/>
            <w:vMerge w:val="restart"/>
            <w:vAlign w:val="center"/>
          </w:tcPr>
          <w:p w14:paraId="1E4DA69D">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投标人技术力量</w:t>
            </w:r>
          </w:p>
        </w:tc>
        <w:tc>
          <w:tcPr>
            <w:tcW w:w="7085" w:type="dxa"/>
            <w:vAlign w:val="center"/>
          </w:tcPr>
          <w:p w14:paraId="2142D198">
            <w:pPr>
              <w:pageBreakBefore w:val="0"/>
              <w:kinsoku/>
              <w:bidi w:val="0"/>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投标人针对本项目投入所需的专业设备配备情况。</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3B55AB31">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27EBC38C">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570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77" w:type="dxa"/>
            <w:vMerge w:val="continue"/>
            <w:vAlign w:val="center"/>
          </w:tcPr>
          <w:p w14:paraId="0FDAAE37">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643534BA">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7085" w:type="dxa"/>
            <w:vAlign w:val="center"/>
          </w:tcPr>
          <w:p w14:paraId="1B3886E9">
            <w:pPr>
              <w:pageBreakBefore w:val="0"/>
              <w:kinsoku/>
              <w:bidi w:val="0"/>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投标人针对本项目投入所需的技术力量、工作流程专业度等配备情况。</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3E1C2CDB">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210D719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256F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777" w:type="dxa"/>
            <w:vAlign w:val="center"/>
          </w:tcPr>
          <w:p w14:paraId="5D33394A">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438" w:type="dxa"/>
            <w:vAlign w:val="center"/>
          </w:tcPr>
          <w:p w14:paraId="6B8273A7">
            <w:pPr>
              <w:pageBreakBefore w:val="0"/>
              <w:kinsoku/>
              <w:bidi w:val="0"/>
              <w:adjustRightInd w:val="0"/>
              <w:snapToGrid w:val="0"/>
              <w:spacing w:line="440" w:lineRule="exact"/>
              <w:jc w:val="center"/>
              <w:rPr>
                <w:rFonts w:hint="eastAsia" w:ascii="仿宋" w:hAnsi="仿宋" w:eastAsia="仿宋" w:cs="仿宋"/>
                <w:color w:val="auto"/>
                <w:kern w:val="0"/>
                <w:highlight w:val="none"/>
              </w:rPr>
            </w:pPr>
            <w:r>
              <w:rPr>
                <w:rFonts w:hint="eastAsia" w:ascii="仿宋" w:hAnsi="仿宋" w:eastAsia="仿宋" w:cs="仿宋"/>
                <w:color w:val="auto"/>
                <w:highlight w:val="none"/>
              </w:rPr>
              <w:t>企业内部管理</w:t>
            </w:r>
          </w:p>
        </w:tc>
        <w:tc>
          <w:tcPr>
            <w:tcW w:w="7085" w:type="dxa"/>
            <w:vAlign w:val="center"/>
          </w:tcPr>
          <w:p w14:paraId="200119B6">
            <w:pPr>
              <w:pageBreakBefore w:val="0"/>
              <w:kinsoku/>
              <w:bidi w:val="0"/>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管理制度健全，具有员工管理制度、企业财务制度、人工作业管理制度、内部监督制度、安全生产管理制度。以上均满足得5分，每缺一项扣1分，扣完为止。（0-5分）</w:t>
            </w:r>
          </w:p>
        </w:tc>
        <w:tc>
          <w:tcPr>
            <w:tcW w:w="878" w:type="dxa"/>
            <w:vAlign w:val="center"/>
          </w:tcPr>
          <w:p w14:paraId="216C1F3A">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878" w:type="dxa"/>
            <w:vAlign w:val="center"/>
          </w:tcPr>
          <w:p w14:paraId="17F6FE1E">
            <w:pPr>
              <w:pageBreakBefore w:val="0"/>
              <w:kinsoku/>
              <w:bidi w:val="0"/>
              <w:adjustRightInd w:val="0"/>
              <w:snapToGrid w:val="0"/>
              <w:spacing w:line="440" w:lineRule="exact"/>
              <w:jc w:val="center"/>
              <w:rPr>
                <w:rFonts w:hint="eastAsia" w:ascii="仿宋" w:hAnsi="仿宋" w:eastAsia="仿宋" w:cs="仿宋"/>
                <w:color w:val="auto"/>
                <w:highlight w:val="none"/>
                <w:lang w:val="en-US" w:eastAsia="zh-CN"/>
              </w:rPr>
            </w:pPr>
            <w:r>
              <w:rPr>
                <w:rFonts w:hint="eastAsia" w:cs="仿宋"/>
                <w:color w:val="auto"/>
                <w:highlight w:val="none"/>
                <w:lang w:val="en-US" w:eastAsia="zh-CN"/>
              </w:rPr>
              <w:t>客观分</w:t>
            </w:r>
          </w:p>
        </w:tc>
      </w:tr>
      <w:tr w14:paraId="1CFF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Align w:val="center"/>
          </w:tcPr>
          <w:p w14:paraId="5266E578">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438" w:type="dxa"/>
            <w:vAlign w:val="center"/>
          </w:tcPr>
          <w:p w14:paraId="673F504B">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kern w:val="0"/>
                <w:highlight w:val="none"/>
              </w:rPr>
              <w:t>应急处置方案</w:t>
            </w:r>
          </w:p>
        </w:tc>
        <w:tc>
          <w:tcPr>
            <w:tcW w:w="7085" w:type="dxa"/>
            <w:vAlign w:val="center"/>
          </w:tcPr>
          <w:p w14:paraId="6B8BFA41">
            <w:pPr>
              <w:pageBreakBefore w:val="0"/>
              <w:kinsoku/>
              <w:bidi w:val="0"/>
              <w:adjustRightInd w:val="0"/>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投标人针对本项目可能产生的突发情况、有害垃圾污染等紧急情况提出合理、可行、有效的应急处置方案。</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175C7DFE">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32EF59C7">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6188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restart"/>
            <w:vAlign w:val="center"/>
          </w:tcPr>
          <w:p w14:paraId="4556B0C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438" w:type="dxa"/>
            <w:vMerge w:val="restart"/>
            <w:vAlign w:val="center"/>
          </w:tcPr>
          <w:p w14:paraId="3DC02AFE">
            <w:pPr>
              <w:pageBreakBefore w:val="0"/>
              <w:widowControl/>
              <w:kinsoku/>
              <w:bidi w:val="0"/>
              <w:spacing w:line="440" w:lineRule="exact"/>
              <w:jc w:val="center"/>
              <w:rPr>
                <w:rFonts w:hint="eastAsia" w:ascii="仿宋" w:hAnsi="仿宋" w:eastAsia="仿宋" w:cs="仿宋"/>
                <w:color w:val="auto"/>
                <w:szCs w:val="22"/>
                <w:highlight w:val="none"/>
              </w:rPr>
            </w:pPr>
            <w:r>
              <w:rPr>
                <w:rFonts w:hint="eastAsia" w:ascii="仿宋" w:hAnsi="仿宋" w:eastAsia="仿宋" w:cs="仿宋"/>
                <w:color w:val="auto"/>
                <w:kern w:val="0"/>
                <w:highlight w:val="none"/>
              </w:rPr>
              <w:t>消防演练及安全培训</w:t>
            </w:r>
          </w:p>
        </w:tc>
        <w:tc>
          <w:tcPr>
            <w:tcW w:w="7085" w:type="dxa"/>
          </w:tcPr>
          <w:p w14:paraId="273E19AB">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投标人针对本项目提出的定期</w:t>
            </w:r>
            <w:r>
              <w:rPr>
                <w:rFonts w:hint="eastAsia" w:ascii="仿宋" w:hAnsi="仿宋" w:eastAsia="仿宋" w:cs="仿宋"/>
                <w:color w:val="auto"/>
                <w:kern w:val="0"/>
                <w:highlight w:val="none"/>
              </w:rPr>
              <w:t>消防演练计划及方案，根据演练频次、演练内容组织等合理性、可行性综合打分。</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5055F066">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540A70A4">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4A0F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777" w:type="dxa"/>
            <w:vMerge w:val="continue"/>
            <w:vAlign w:val="center"/>
          </w:tcPr>
          <w:p w14:paraId="1C094090">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724D9F50">
            <w:pPr>
              <w:pageBreakBefore w:val="0"/>
              <w:widowControl/>
              <w:kinsoku/>
              <w:bidi w:val="0"/>
              <w:spacing w:line="440" w:lineRule="exact"/>
              <w:jc w:val="center"/>
              <w:rPr>
                <w:rFonts w:hint="eastAsia" w:ascii="仿宋" w:hAnsi="仿宋" w:eastAsia="仿宋" w:cs="仿宋"/>
                <w:color w:val="auto"/>
                <w:kern w:val="0"/>
                <w:highlight w:val="none"/>
              </w:rPr>
            </w:pPr>
          </w:p>
        </w:tc>
        <w:tc>
          <w:tcPr>
            <w:tcW w:w="7085" w:type="dxa"/>
          </w:tcPr>
          <w:p w14:paraId="1E72D8C5">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投标人针对本项目提出的定期</w:t>
            </w:r>
            <w:r>
              <w:rPr>
                <w:rFonts w:hint="eastAsia" w:ascii="仿宋" w:hAnsi="仿宋" w:eastAsia="仿宋" w:cs="仿宋"/>
                <w:color w:val="auto"/>
                <w:kern w:val="0"/>
                <w:highlight w:val="none"/>
              </w:rPr>
              <w:t>安全培训计划及方案，根据培训内容、培训频次、培训组织等合理性、可行性综合打分。</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65C78639">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3DA23B92">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cs="仿宋"/>
                <w:color w:val="auto"/>
                <w:highlight w:val="none"/>
                <w:lang w:val="en-US" w:eastAsia="zh-CN"/>
              </w:rPr>
              <w:t>主观分</w:t>
            </w:r>
          </w:p>
        </w:tc>
      </w:tr>
      <w:tr w14:paraId="1A44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7" w:type="dxa"/>
            <w:vMerge w:val="restart"/>
            <w:vAlign w:val="center"/>
          </w:tcPr>
          <w:p w14:paraId="024E8F09">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438" w:type="dxa"/>
            <w:vMerge w:val="restart"/>
            <w:vAlign w:val="center"/>
          </w:tcPr>
          <w:p w14:paraId="2ADA45E6">
            <w:pPr>
              <w:pageBreakBefore w:val="0"/>
              <w:kinsoku/>
              <w:topLinePunct/>
              <w:bidi w:val="0"/>
              <w:spacing w:line="440" w:lineRule="exact"/>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员工待遇保障情况</w:t>
            </w:r>
          </w:p>
        </w:tc>
        <w:tc>
          <w:tcPr>
            <w:tcW w:w="7085" w:type="dxa"/>
          </w:tcPr>
          <w:p w14:paraId="41856198">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提供拟投入本项目的服务人员福利待遇、社会保险等保障措施和方案，根据方案的合理性、科学性、完整性情况给分。</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639067F5">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76397436">
            <w:pPr>
              <w:pageBreakBefore w:val="0"/>
              <w:kinsoku/>
              <w:bidi w:val="0"/>
              <w:adjustRightInd w:val="0"/>
              <w:snapToGrid w:val="0"/>
              <w:spacing w:line="440" w:lineRule="exact"/>
              <w:jc w:val="center"/>
              <w:rPr>
                <w:rFonts w:hint="eastAsia" w:ascii="仿宋" w:hAnsi="仿宋" w:eastAsia="仿宋" w:cs="仿宋"/>
                <w:color w:val="auto"/>
                <w:highlight w:val="none"/>
                <w:lang w:val="en-US" w:eastAsia="zh-CN"/>
              </w:rPr>
            </w:pPr>
            <w:r>
              <w:rPr>
                <w:rFonts w:hint="eastAsia" w:cs="仿宋"/>
                <w:color w:val="auto"/>
                <w:highlight w:val="none"/>
                <w:lang w:val="en-US" w:eastAsia="zh-CN"/>
              </w:rPr>
              <w:t>主观分</w:t>
            </w:r>
          </w:p>
        </w:tc>
      </w:tr>
      <w:tr w14:paraId="4FBA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777" w:type="dxa"/>
            <w:vMerge w:val="continue"/>
            <w:vAlign w:val="center"/>
          </w:tcPr>
          <w:p w14:paraId="4DD4CD08">
            <w:pPr>
              <w:pageBreakBefore w:val="0"/>
              <w:kinsoku/>
              <w:bidi w:val="0"/>
              <w:adjustRightInd w:val="0"/>
              <w:snapToGrid w:val="0"/>
              <w:spacing w:line="440" w:lineRule="exact"/>
              <w:jc w:val="center"/>
              <w:rPr>
                <w:rFonts w:hint="eastAsia" w:ascii="仿宋" w:hAnsi="仿宋" w:eastAsia="仿宋" w:cs="仿宋"/>
                <w:color w:val="auto"/>
                <w:highlight w:val="none"/>
              </w:rPr>
            </w:pPr>
          </w:p>
        </w:tc>
        <w:tc>
          <w:tcPr>
            <w:tcW w:w="1438" w:type="dxa"/>
            <w:vMerge w:val="continue"/>
            <w:vAlign w:val="center"/>
          </w:tcPr>
          <w:p w14:paraId="364A1C28">
            <w:pPr>
              <w:pageBreakBefore w:val="0"/>
              <w:kinsoku/>
              <w:topLinePunct/>
              <w:bidi w:val="0"/>
              <w:spacing w:line="440" w:lineRule="exact"/>
              <w:jc w:val="center"/>
              <w:rPr>
                <w:rFonts w:hint="eastAsia" w:ascii="仿宋" w:hAnsi="仿宋" w:eastAsia="仿宋" w:cs="仿宋"/>
                <w:color w:val="auto"/>
                <w:kern w:val="0"/>
                <w:highlight w:val="none"/>
              </w:rPr>
            </w:pPr>
          </w:p>
        </w:tc>
        <w:tc>
          <w:tcPr>
            <w:tcW w:w="7085" w:type="dxa"/>
          </w:tcPr>
          <w:p w14:paraId="066D2977">
            <w:pPr>
              <w:pageBreakBefore w:val="0"/>
              <w:kinsoku/>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提供拟投入本项目的服务人员职业安全等保障措施和方案，根据方案的合理性、科学性、完整性情况打分。</w:t>
            </w:r>
            <w:r>
              <w:rPr>
                <w:rFonts w:hint="eastAsia" w:ascii="仿宋" w:hAnsi="仿宋" w:eastAsia="仿宋" w:cs="仿宋"/>
                <w:color w:val="auto"/>
                <w:kern w:val="2"/>
                <w:highlight w:val="none"/>
              </w:rPr>
              <w:t>方案详细、科学合理、技术成熟、完全满足采购需求的得3分；部分满足采购需求的得2分；方案有明显不合理但与采购需求相关的得1分；未提供方案的不得分。</w:t>
            </w:r>
            <w:r>
              <w:rPr>
                <w:rFonts w:hint="eastAsia" w:ascii="仿宋" w:hAnsi="仿宋" w:eastAsia="仿宋" w:cs="仿宋"/>
                <w:color w:val="auto"/>
                <w:highlight w:val="none"/>
              </w:rPr>
              <w:t>（0-3分）</w:t>
            </w:r>
          </w:p>
        </w:tc>
        <w:tc>
          <w:tcPr>
            <w:tcW w:w="878" w:type="dxa"/>
            <w:vAlign w:val="center"/>
          </w:tcPr>
          <w:p w14:paraId="6976D3D1">
            <w:pPr>
              <w:pageBreakBefore w:val="0"/>
              <w:kinsoku/>
              <w:bidi w:val="0"/>
              <w:adjustRightInd w:val="0"/>
              <w:snapToGrid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878" w:type="dxa"/>
            <w:vAlign w:val="center"/>
          </w:tcPr>
          <w:p w14:paraId="3E59FA35">
            <w:pPr>
              <w:pageBreakBefore w:val="0"/>
              <w:kinsoku/>
              <w:bidi w:val="0"/>
              <w:adjustRightInd w:val="0"/>
              <w:snapToGrid w:val="0"/>
              <w:spacing w:line="440" w:lineRule="exact"/>
              <w:jc w:val="center"/>
              <w:rPr>
                <w:rFonts w:hint="eastAsia" w:ascii="仿宋" w:hAnsi="仿宋" w:eastAsia="仿宋" w:cs="仿宋"/>
                <w:color w:val="auto"/>
                <w:highlight w:val="none"/>
                <w:lang w:val="en-US" w:eastAsia="zh-CN"/>
              </w:rPr>
            </w:pPr>
            <w:r>
              <w:rPr>
                <w:rFonts w:hint="eastAsia" w:cs="仿宋"/>
                <w:color w:val="auto"/>
                <w:highlight w:val="none"/>
                <w:lang w:val="en-US" w:eastAsia="zh-CN"/>
              </w:rPr>
              <w:t>主观分</w:t>
            </w:r>
          </w:p>
        </w:tc>
      </w:tr>
    </w:tbl>
    <w:p w14:paraId="4796E050">
      <w:pPr>
        <w:pageBreakBefore w:val="0"/>
        <w:kinsoku/>
        <w:bidi w:val="0"/>
        <w:spacing w:line="440" w:lineRule="exact"/>
        <w:ind w:firstLine="482" w:firstLineChars="200"/>
        <w:rPr>
          <w:rStyle w:val="1032"/>
          <w:rFonts w:hint="eastAsia" w:ascii="仿宋" w:hAnsi="仿宋" w:eastAsia="仿宋" w:cs="仿宋"/>
          <w:color w:val="auto"/>
          <w:sz w:val="24"/>
          <w:highlight w:val="none"/>
        </w:rPr>
      </w:pPr>
      <w:r>
        <w:rPr>
          <w:rFonts w:hint="eastAsia" w:ascii="仿宋" w:hAnsi="仿宋" w:eastAsia="仿宋" w:cs="仿宋"/>
          <w:b/>
          <w:color w:val="auto"/>
          <w:highlight w:val="none"/>
        </w:rPr>
        <w:t>注：</w:t>
      </w:r>
      <w:r>
        <w:rPr>
          <w:rStyle w:val="1032"/>
          <w:rFonts w:hint="eastAsia" w:ascii="仿宋" w:hAnsi="仿宋" w:eastAsia="仿宋" w:cs="仿宋"/>
          <w:color w:val="auto"/>
          <w:sz w:val="24"/>
          <w:highlight w:val="none"/>
        </w:rPr>
        <w:t>1、投标人弄虚作假的，报政府采购监督部门查处。</w:t>
      </w:r>
    </w:p>
    <w:p w14:paraId="188F85D4">
      <w:pPr>
        <w:pStyle w:val="88"/>
        <w:pageBreakBefore w:val="0"/>
        <w:kinsoku/>
        <w:bidi w:val="0"/>
        <w:spacing w:after="0" w:line="440" w:lineRule="exact"/>
        <w:ind w:left="480"/>
        <w:rPr>
          <w:rFonts w:hint="eastAsia" w:ascii="仿宋" w:hAnsi="仿宋" w:eastAsia="仿宋" w:cs="仿宋"/>
          <w:color w:val="auto"/>
          <w:highlight w:val="none"/>
        </w:rPr>
        <w:sectPr>
          <w:footerReference r:id="rId11" w:type="default"/>
          <w:pgSz w:w="11906" w:h="16838"/>
          <w:pgMar w:top="1418" w:right="1133" w:bottom="1418" w:left="1134" w:header="851" w:footer="992" w:gutter="0"/>
          <w:pgNumType w:fmt="decimal"/>
          <w:cols w:space="720" w:num="1"/>
          <w:docGrid w:type="lines" w:linePitch="312" w:charSpace="0"/>
        </w:sectPr>
      </w:pPr>
    </w:p>
    <w:p w14:paraId="2548F66D">
      <w:pPr>
        <w:pStyle w:val="7"/>
        <w:pageBreakBefore w:val="0"/>
        <w:numPr>
          <w:ilvl w:val="0"/>
          <w:numId w:val="5"/>
        </w:numPr>
        <w:kinsoku/>
        <w:bidi w:val="0"/>
        <w:spacing w:line="440" w:lineRule="exact"/>
        <w:rPr>
          <w:rFonts w:hint="eastAsia" w:ascii="仿宋" w:hAnsi="仿宋" w:eastAsia="仿宋" w:cs="仿宋"/>
          <w:color w:val="auto"/>
          <w:highlight w:val="none"/>
        </w:rPr>
      </w:pPr>
      <w:bookmarkStart w:id="3" w:name="_Toc425682676"/>
      <w:r>
        <w:rPr>
          <w:rFonts w:hint="eastAsia" w:ascii="仿宋" w:hAnsi="仿宋" w:eastAsia="仿宋" w:cs="仿宋"/>
          <w:color w:val="auto"/>
          <w:highlight w:val="none"/>
        </w:rPr>
        <w:t>采购需求</w:t>
      </w:r>
      <w:bookmarkEnd w:id="3"/>
      <w:bookmarkStart w:id="4" w:name="_Toc292375921"/>
      <w:bookmarkEnd w:id="4"/>
    </w:p>
    <w:p w14:paraId="720F72D6">
      <w:pPr>
        <w:pageBreakBefore w:val="0"/>
        <w:kinsoku/>
        <w:bidi w:val="0"/>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一、项目基本情况</w:t>
      </w:r>
    </w:p>
    <w:p w14:paraId="5461063C">
      <w:pPr>
        <w:pageBreakBefore w:val="0"/>
        <w:kinsoku/>
        <w:bidi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为建立健全富阳区生活垃圾分类管理体系，规范富阳区废旧电池、荧光灯管、废油漆、废胶片等有害垃圾的处置，根据《中华人民共和国固体废物污染环境防治法》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《废弃危险化学品污染环境防治办法》</w:t>
      </w:r>
      <w:r>
        <w:rPr>
          <w:rFonts w:hint="eastAsia" w:ascii="仿宋" w:hAnsi="仿宋" w:eastAsia="仿宋" w:cs="仿宋"/>
          <w:color w:val="auto"/>
          <w:highlight w:val="none"/>
          <w:lang w:eastAsia="zh-CN"/>
        </w:rPr>
        <w:t>、《危险废物贮存污染控制标准》（GB 18597-2023）</w:t>
      </w:r>
      <w:r>
        <w:rPr>
          <w:rFonts w:hint="eastAsia" w:ascii="仿宋" w:hAnsi="仿宋" w:eastAsia="仿宋" w:cs="仿宋"/>
          <w:color w:val="auto"/>
          <w:highlight w:val="none"/>
        </w:rPr>
        <w:t>等法律法规实施本项目。</w:t>
      </w:r>
    </w:p>
    <w:p w14:paraId="68C6D7B2">
      <w:pPr>
        <w:pageBreakBefore w:val="0"/>
        <w:kinsoku/>
        <w:bidi w:val="0"/>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二、项目服务期限</w:t>
      </w:r>
    </w:p>
    <w:p w14:paraId="0D6A9966">
      <w:pPr>
        <w:pageBreakBefore w:val="0"/>
        <w:kinsoku/>
        <w:topLinePunct/>
        <w:bidi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自合同签订之日起一年。</w:t>
      </w:r>
    </w:p>
    <w:p w14:paraId="55195326">
      <w:pPr>
        <w:pageBreakBefore w:val="0"/>
        <w:kinsoku/>
        <w:topLinePunct/>
        <w:bidi w:val="0"/>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三、项目服务内容及范围</w:t>
      </w:r>
    </w:p>
    <w:p w14:paraId="1CCE5505">
      <w:pPr>
        <w:pageBreakBefore w:val="0"/>
        <w:kinsoku/>
        <w:topLinePunct/>
        <w:bidi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接收生活垃圾清运单位对富阳区域内所有生活垃圾分类集置点（含机关企事业单位、开放式社区、封闭物业、乡镇街道中转站）收集的有害垃圾（废镍镉电池和废氧化汞电池、废荧光灯管、废弃药物及其包装物、废油漆和溶剂及其包装物、废矿物油及其包装物、废含汞温度计及废含汞血压计、废杀虫剂、消毒剂及其包装物、废胶片及废相纸等）；</w:t>
      </w:r>
    </w:p>
    <w:p w14:paraId="12A6BD5E">
      <w:pPr>
        <w:pageBreakBefore w:val="0"/>
        <w:kinsoku/>
        <w:topLinePunct/>
        <w:bidi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2.对有害垃圾进行分拣、暂存、仓储；</w:t>
      </w:r>
    </w:p>
    <w:p w14:paraId="01E3B8DA">
      <w:pPr>
        <w:pageBreakBefore w:val="0"/>
        <w:kinsoku/>
        <w:topLinePunct/>
        <w:bidi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定期分类输送有害垃圾至各危废处置单位处，由合法的危废处置单位进行有害垃圾合法处置。投标人需自行与各危废处置单位进行处置费用协定和费用结算，并在本项目投标报价中明确处置费用单价，本项目的处置费用根据投标处置单价和实际处置数量，按实际发生与投标人进行结算。</w:t>
      </w:r>
    </w:p>
    <w:p w14:paraId="3F722A4D">
      <w:pPr>
        <w:pageBreakBefore w:val="0"/>
        <w:kinsoku/>
        <w:topLinePunct/>
        <w:bidi w:val="0"/>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4.建立接收、分拣、暂存、输送处置的相关台账，定期报送采购人及区生态环境分局。</w:t>
      </w:r>
    </w:p>
    <w:p w14:paraId="35E82AFD">
      <w:pPr>
        <w:pageBreakBefore w:val="0"/>
        <w:kinsoku/>
        <w:topLinePunct/>
        <w:bidi w:val="0"/>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分拣、暂存及输送对外处置有害垃圾内容：</w:t>
      </w:r>
    </w:p>
    <w:tbl>
      <w:tblPr>
        <w:tblStyle w:val="89"/>
        <w:tblW w:w="9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3524"/>
        <w:gridCol w:w="1486"/>
        <w:gridCol w:w="2054"/>
        <w:gridCol w:w="2114"/>
      </w:tblGrid>
      <w:tr w14:paraId="2546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78" w:type="dxa"/>
            <w:vAlign w:val="center"/>
          </w:tcPr>
          <w:p w14:paraId="02082CEB">
            <w:pPr>
              <w:pStyle w:val="1028"/>
              <w:pageBreakBefore w:val="0"/>
              <w:kinsoku/>
              <w:bidi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24" w:type="dxa"/>
            <w:vAlign w:val="center"/>
          </w:tcPr>
          <w:p w14:paraId="66A3585C">
            <w:pPr>
              <w:pStyle w:val="1028"/>
              <w:pageBreakBefore w:val="0"/>
              <w:kinsoku/>
              <w:bidi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有害垃圾名称</w:t>
            </w:r>
          </w:p>
        </w:tc>
        <w:tc>
          <w:tcPr>
            <w:tcW w:w="1486" w:type="dxa"/>
          </w:tcPr>
          <w:p w14:paraId="54AADE41">
            <w:pPr>
              <w:pStyle w:val="1028"/>
              <w:pageBreakBefore w:val="0"/>
              <w:kinsoku/>
              <w:bidi w:val="0"/>
              <w:spacing w:line="44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数量</w:t>
            </w:r>
          </w:p>
          <w:p w14:paraId="022E2B12">
            <w:pPr>
              <w:pStyle w:val="1028"/>
              <w:pageBreakBefore w:val="0"/>
              <w:kinsoku/>
              <w:bidi w:val="0"/>
              <w:spacing w:line="44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（吨/年）</w:t>
            </w:r>
          </w:p>
        </w:tc>
        <w:tc>
          <w:tcPr>
            <w:tcW w:w="2054" w:type="dxa"/>
            <w:vAlign w:val="center"/>
          </w:tcPr>
          <w:p w14:paraId="64E8954C">
            <w:pPr>
              <w:pStyle w:val="1028"/>
              <w:pageBreakBefore w:val="0"/>
              <w:kinsoku/>
              <w:bidi w:val="0"/>
              <w:spacing w:line="440" w:lineRule="exac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分拣后的危险废物类别</w:t>
            </w:r>
          </w:p>
        </w:tc>
        <w:tc>
          <w:tcPr>
            <w:tcW w:w="2114" w:type="dxa"/>
            <w:vAlign w:val="center"/>
          </w:tcPr>
          <w:p w14:paraId="0972B022">
            <w:pPr>
              <w:pStyle w:val="1028"/>
              <w:pageBreakBefore w:val="0"/>
              <w:kinsoku/>
              <w:bidi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废物代码</w:t>
            </w:r>
          </w:p>
        </w:tc>
      </w:tr>
      <w:tr w14:paraId="0A40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1ADBF477">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24" w:type="dxa"/>
            <w:vAlign w:val="center"/>
          </w:tcPr>
          <w:p w14:paraId="3649286E">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废镍镉电池和废氧化汞电池</w:t>
            </w:r>
          </w:p>
        </w:tc>
        <w:tc>
          <w:tcPr>
            <w:tcW w:w="1486" w:type="dxa"/>
            <w:vAlign w:val="center"/>
          </w:tcPr>
          <w:p w14:paraId="567F5DB7">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cs="仿宋"/>
                <w:color w:val="auto"/>
                <w:sz w:val="24"/>
                <w:szCs w:val="24"/>
                <w:highlight w:val="none"/>
                <w:lang w:val="en-US" w:eastAsia="zh-CN" w:bidi="ar"/>
              </w:rPr>
              <w:t>4</w:t>
            </w:r>
          </w:p>
        </w:tc>
        <w:tc>
          <w:tcPr>
            <w:tcW w:w="2054" w:type="dxa"/>
            <w:vAlign w:val="center"/>
          </w:tcPr>
          <w:p w14:paraId="5254D1C4">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HW49</w:t>
            </w:r>
          </w:p>
        </w:tc>
        <w:tc>
          <w:tcPr>
            <w:tcW w:w="2114" w:type="dxa"/>
            <w:vAlign w:val="center"/>
          </w:tcPr>
          <w:p w14:paraId="40F844F3">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900-044-49</w:t>
            </w:r>
          </w:p>
        </w:tc>
      </w:tr>
      <w:tr w14:paraId="0EAFA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2EFA92F8">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24" w:type="dxa"/>
            <w:vAlign w:val="center"/>
          </w:tcPr>
          <w:p w14:paraId="6F388F31">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废荧光灯管</w:t>
            </w:r>
          </w:p>
        </w:tc>
        <w:tc>
          <w:tcPr>
            <w:tcW w:w="1486" w:type="dxa"/>
            <w:vAlign w:val="center"/>
          </w:tcPr>
          <w:p w14:paraId="6FE220C8">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bidi="ar"/>
              </w:rPr>
              <w:t>10</w:t>
            </w:r>
          </w:p>
        </w:tc>
        <w:tc>
          <w:tcPr>
            <w:tcW w:w="2054" w:type="dxa"/>
            <w:vAlign w:val="center"/>
          </w:tcPr>
          <w:p w14:paraId="392F8869">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HW29</w:t>
            </w:r>
          </w:p>
        </w:tc>
        <w:tc>
          <w:tcPr>
            <w:tcW w:w="2114" w:type="dxa"/>
            <w:vAlign w:val="center"/>
          </w:tcPr>
          <w:p w14:paraId="1646953F">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900-023-29</w:t>
            </w:r>
          </w:p>
        </w:tc>
      </w:tr>
      <w:tr w14:paraId="68BE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2215813A">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24" w:type="dxa"/>
            <w:vAlign w:val="center"/>
          </w:tcPr>
          <w:p w14:paraId="0768C59A">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废弃药物及其包装物</w:t>
            </w:r>
          </w:p>
        </w:tc>
        <w:tc>
          <w:tcPr>
            <w:tcW w:w="1486" w:type="dxa"/>
            <w:vAlign w:val="center"/>
          </w:tcPr>
          <w:p w14:paraId="67222943">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bidi="ar"/>
              </w:rPr>
              <w:t>3</w:t>
            </w:r>
          </w:p>
        </w:tc>
        <w:tc>
          <w:tcPr>
            <w:tcW w:w="2054" w:type="dxa"/>
            <w:vAlign w:val="center"/>
          </w:tcPr>
          <w:p w14:paraId="022ED892">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HW03</w:t>
            </w:r>
          </w:p>
        </w:tc>
        <w:tc>
          <w:tcPr>
            <w:tcW w:w="2114" w:type="dxa"/>
            <w:vAlign w:val="center"/>
          </w:tcPr>
          <w:p w14:paraId="40D5AAAD">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900-002-03</w:t>
            </w:r>
          </w:p>
        </w:tc>
      </w:tr>
      <w:tr w14:paraId="2B24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1EE62CE6">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24" w:type="dxa"/>
            <w:vAlign w:val="center"/>
          </w:tcPr>
          <w:p w14:paraId="72B04307">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废油漆和溶剂及其包装物</w:t>
            </w:r>
          </w:p>
        </w:tc>
        <w:tc>
          <w:tcPr>
            <w:tcW w:w="1486" w:type="dxa"/>
            <w:vAlign w:val="center"/>
          </w:tcPr>
          <w:p w14:paraId="00E826A5">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bidi="ar"/>
              </w:rPr>
              <w:t>15</w:t>
            </w:r>
          </w:p>
        </w:tc>
        <w:tc>
          <w:tcPr>
            <w:tcW w:w="2054" w:type="dxa"/>
            <w:vAlign w:val="center"/>
          </w:tcPr>
          <w:p w14:paraId="7C86F5CE">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HW49</w:t>
            </w:r>
          </w:p>
        </w:tc>
        <w:tc>
          <w:tcPr>
            <w:tcW w:w="2114" w:type="dxa"/>
            <w:vAlign w:val="center"/>
          </w:tcPr>
          <w:p w14:paraId="109430F2">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900-041-49</w:t>
            </w:r>
          </w:p>
        </w:tc>
      </w:tr>
      <w:tr w14:paraId="2C96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1A6EF14F">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524" w:type="dxa"/>
            <w:vAlign w:val="center"/>
          </w:tcPr>
          <w:p w14:paraId="67408FD5">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废矿物油及其包装物</w:t>
            </w:r>
          </w:p>
        </w:tc>
        <w:tc>
          <w:tcPr>
            <w:tcW w:w="1486" w:type="dxa"/>
            <w:vAlign w:val="center"/>
          </w:tcPr>
          <w:p w14:paraId="0A7C2A27">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bidi="ar"/>
              </w:rPr>
              <w:t>1</w:t>
            </w:r>
          </w:p>
        </w:tc>
        <w:tc>
          <w:tcPr>
            <w:tcW w:w="2054" w:type="dxa"/>
            <w:vAlign w:val="center"/>
          </w:tcPr>
          <w:p w14:paraId="620FD5D0">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HW08</w:t>
            </w:r>
          </w:p>
        </w:tc>
        <w:tc>
          <w:tcPr>
            <w:tcW w:w="2114" w:type="dxa"/>
            <w:vAlign w:val="center"/>
          </w:tcPr>
          <w:p w14:paraId="6801F447">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900-249-08</w:t>
            </w:r>
          </w:p>
        </w:tc>
      </w:tr>
      <w:tr w14:paraId="4D3C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74FE65EC">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524" w:type="dxa"/>
            <w:vAlign w:val="center"/>
          </w:tcPr>
          <w:p w14:paraId="7AA98E62">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废含汞温度计、废含汞血压计</w:t>
            </w:r>
          </w:p>
        </w:tc>
        <w:tc>
          <w:tcPr>
            <w:tcW w:w="1486" w:type="dxa"/>
            <w:vAlign w:val="center"/>
          </w:tcPr>
          <w:p w14:paraId="3E66426C">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eastAsia="zh-CN" w:bidi="ar"/>
              </w:rPr>
              <w:t>1</w:t>
            </w:r>
          </w:p>
        </w:tc>
        <w:tc>
          <w:tcPr>
            <w:tcW w:w="2054" w:type="dxa"/>
            <w:vAlign w:val="center"/>
          </w:tcPr>
          <w:p w14:paraId="11540659">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HW29</w:t>
            </w:r>
          </w:p>
        </w:tc>
        <w:tc>
          <w:tcPr>
            <w:tcW w:w="2114" w:type="dxa"/>
            <w:vAlign w:val="center"/>
          </w:tcPr>
          <w:p w14:paraId="2ED83829">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900-024-29</w:t>
            </w:r>
          </w:p>
        </w:tc>
      </w:tr>
      <w:tr w14:paraId="32635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7698E632">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524" w:type="dxa"/>
            <w:vAlign w:val="center"/>
          </w:tcPr>
          <w:p w14:paraId="2ED1E35A">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废杀虫剂、消毒剂及其包装物</w:t>
            </w:r>
          </w:p>
        </w:tc>
        <w:tc>
          <w:tcPr>
            <w:tcW w:w="1486" w:type="dxa"/>
            <w:vAlign w:val="center"/>
          </w:tcPr>
          <w:p w14:paraId="51F8C4C9">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bidi="ar"/>
              </w:rPr>
              <w:t>1</w:t>
            </w:r>
          </w:p>
        </w:tc>
        <w:tc>
          <w:tcPr>
            <w:tcW w:w="2054" w:type="dxa"/>
            <w:vAlign w:val="center"/>
          </w:tcPr>
          <w:p w14:paraId="5EC0DC27">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HW49</w:t>
            </w:r>
          </w:p>
        </w:tc>
        <w:tc>
          <w:tcPr>
            <w:tcW w:w="2114" w:type="dxa"/>
            <w:vAlign w:val="center"/>
          </w:tcPr>
          <w:p w14:paraId="1696A42D">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900-041-49</w:t>
            </w:r>
          </w:p>
        </w:tc>
      </w:tr>
      <w:tr w14:paraId="5EC8A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78" w:type="dxa"/>
            <w:vAlign w:val="center"/>
          </w:tcPr>
          <w:p w14:paraId="3F2FD870">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524" w:type="dxa"/>
            <w:vAlign w:val="center"/>
          </w:tcPr>
          <w:p w14:paraId="4D215E37">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废胶片及废相纸</w:t>
            </w:r>
          </w:p>
        </w:tc>
        <w:tc>
          <w:tcPr>
            <w:tcW w:w="1486" w:type="dxa"/>
            <w:vAlign w:val="center"/>
          </w:tcPr>
          <w:p w14:paraId="5A90BB59">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eastAsia="zh-CN" w:bidi="ar"/>
              </w:rPr>
              <w:t>1</w:t>
            </w:r>
          </w:p>
        </w:tc>
        <w:tc>
          <w:tcPr>
            <w:tcW w:w="2054" w:type="dxa"/>
            <w:vAlign w:val="center"/>
          </w:tcPr>
          <w:p w14:paraId="74076D3D">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HW16</w:t>
            </w:r>
          </w:p>
        </w:tc>
        <w:tc>
          <w:tcPr>
            <w:tcW w:w="2114" w:type="dxa"/>
            <w:vAlign w:val="center"/>
          </w:tcPr>
          <w:p w14:paraId="6F2E7836">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900-019-16</w:t>
            </w:r>
          </w:p>
        </w:tc>
      </w:tr>
      <w:tr w14:paraId="48CA2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778" w:type="dxa"/>
            <w:vAlign w:val="center"/>
          </w:tcPr>
          <w:p w14:paraId="195B3CF9">
            <w:pPr>
              <w:pStyle w:val="1028"/>
              <w:pageBreakBefore w:val="0"/>
              <w:kinsoku/>
              <w:bidi w:val="0"/>
              <w:spacing w:line="440" w:lineRule="exact"/>
              <w:jc w:val="center"/>
              <w:rPr>
                <w:rFonts w:hint="eastAsia" w:ascii="仿宋" w:hAnsi="仿宋" w:eastAsia="仿宋" w:cs="仿宋"/>
                <w:color w:val="auto"/>
                <w:sz w:val="24"/>
                <w:highlight w:val="none"/>
                <w:lang w:val="en-US" w:eastAsia="zh-CN"/>
              </w:rPr>
            </w:pPr>
            <w:r>
              <w:rPr>
                <w:rFonts w:hint="eastAsia" w:ascii="仿宋" w:hAnsi="仿宋" w:cs="仿宋"/>
                <w:color w:val="auto"/>
                <w:sz w:val="24"/>
                <w:highlight w:val="none"/>
                <w:lang w:val="en-US" w:eastAsia="zh-CN"/>
              </w:rPr>
              <w:t>9</w:t>
            </w:r>
          </w:p>
        </w:tc>
        <w:tc>
          <w:tcPr>
            <w:tcW w:w="3524" w:type="dxa"/>
            <w:vAlign w:val="center"/>
          </w:tcPr>
          <w:p w14:paraId="68E1AFD3">
            <w:pPr>
              <w:pStyle w:val="1028"/>
              <w:pageBreakBefore w:val="0"/>
              <w:kinsoku/>
              <w:bidi w:val="0"/>
              <w:spacing w:line="4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废墨盒硒鼓</w:t>
            </w:r>
          </w:p>
        </w:tc>
        <w:tc>
          <w:tcPr>
            <w:tcW w:w="1486" w:type="dxa"/>
            <w:vAlign w:val="center"/>
          </w:tcPr>
          <w:p w14:paraId="7767978D">
            <w:pPr>
              <w:pStyle w:val="1028"/>
              <w:pageBreakBefore w:val="0"/>
              <w:kinsoku/>
              <w:bidi w:val="0"/>
              <w:spacing w:line="440" w:lineRule="exact"/>
              <w:jc w:val="center"/>
              <w:rPr>
                <w:rFonts w:hint="default" w:ascii="仿宋" w:hAnsi="仿宋" w:eastAsia="仿宋" w:cs="仿宋"/>
                <w:color w:val="auto"/>
                <w:sz w:val="24"/>
                <w:szCs w:val="24"/>
                <w:highlight w:val="none"/>
                <w:lang w:val="en-US" w:eastAsia="zh-CN" w:bidi="ar"/>
              </w:rPr>
            </w:pPr>
            <w:r>
              <w:rPr>
                <w:rFonts w:hint="eastAsia" w:ascii="仿宋" w:hAnsi="仿宋" w:cs="仿宋"/>
                <w:color w:val="auto"/>
                <w:sz w:val="24"/>
                <w:szCs w:val="24"/>
                <w:highlight w:val="none"/>
                <w:lang w:val="en-US" w:eastAsia="zh-CN" w:bidi="ar"/>
              </w:rPr>
              <w:t>4</w:t>
            </w:r>
          </w:p>
        </w:tc>
        <w:tc>
          <w:tcPr>
            <w:tcW w:w="2054" w:type="dxa"/>
            <w:vAlign w:val="center"/>
          </w:tcPr>
          <w:p w14:paraId="3353D147">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HW49</w:t>
            </w:r>
          </w:p>
        </w:tc>
        <w:tc>
          <w:tcPr>
            <w:tcW w:w="2114" w:type="dxa"/>
            <w:vAlign w:val="center"/>
          </w:tcPr>
          <w:p w14:paraId="0FE77DAE">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900-041-49</w:t>
            </w:r>
          </w:p>
        </w:tc>
      </w:tr>
      <w:tr w14:paraId="45546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778" w:type="dxa"/>
            <w:vAlign w:val="center"/>
          </w:tcPr>
          <w:p w14:paraId="764297CE">
            <w:pPr>
              <w:pStyle w:val="1028"/>
              <w:pageBreakBefore w:val="0"/>
              <w:kinsoku/>
              <w:bidi w:val="0"/>
              <w:spacing w:line="440" w:lineRule="exact"/>
              <w:jc w:val="center"/>
              <w:rPr>
                <w:rFonts w:hint="eastAsia" w:ascii="仿宋" w:hAnsi="仿宋" w:eastAsia="仿宋" w:cs="仿宋"/>
                <w:color w:val="auto"/>
                <w:sz w:val="24"/>
                <w:highlight w:val="none"/>
              </w:rPr>
            </w:pPr>
          </w:p>
        </w:tc>
        <w:tc>
          <w:tcPr>
            <w:tcW w:w="3524" w:type="dxa"/>
            <w:vAlign w:val="center"/>
          </w:tcPr>
          <w:p w14:paraId="048CFE7D">
            <w:pPr>
              <w:pStyle w:val="1028"/>
              <w:pageBreakBefore w:val="0"/>
              <w:kinsoku/>
              <w:bidi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合计</w:t>
            </w:r>
          </w:p>
        </w:tc>
        <w:tc>
          <w:tcPr>
            <w:tcW w:w="1486" w:type="dxa"/>
            <w:vAlign w:val="center"/>
          </w:tcPr>
          <w:p w14:paraId="3F1D4929">
            <w:pPr>
              <w:pStyle w:val="1028"/>
              <w:pageBreakBefore w:val="0"/>
              <w:kinsoku/>
              <w:bidi w:val="0"/>
              <w:spacing w:line="440" w:lineRule="exact"/>
              <w:jc w:val="center"/>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40</w:t>
            </w:r>
          </w:p>
        </w:tc>
        <w:tc>
          <w:tcPr>
            <w:tcW w:w="2054" w:type="dxa"/>
            <w:vAlign w:val="center"/>
          </w:tcPr>
          <w:p w14:paraId="5FA269FE">
            <w:pPr>
              <w:pStyle w:val="1028"/>
              <w:pageBreakBefore w:val="0"/>
              <w:kinsoku/>
              <w:bidi w:val="0"/>
              <w:spacing w:line="440" w:lineRule="exact"/>
              <w:jc w:val="center"/>
              <w:rPr>
                <w:rFonts w:hint="eastAsia" w:ascii="仿宋" w:hAnsi="仿宋" w:eastAsia="仿宋" w:cs="仿宋"/>
                <w:color w:val="auto"/>
                <w:sz w:val="24"/>
                <w:highlight w:val="none"/>
              </w:rPr>
            </w:pPr>
          </w:p>
        </w:tc>
        <w:tc>
          <w:tcPr>
            <w:tcW w:w="2114" w:type="dxa"/>
            <w:vAlign w:val="center"/>
          </w:tcPr>
          <w:p w14:paraId="71F1D7D5">
            <w:pPr>
              <w:pStyle w:val="1028"/>
              <w:pageBreakBefore w:val="0"/>
              <w:kinsoku/>
              <w:bidi w:val="0"/>
              <w:spacing w:line="440" w:lineRule="exact"/>
              <w:jc w:val="center"/>
              <w:rPr>
                <w:rFonts w:hint="eastAsia" w:ascii="仿宋" w:hAnsi="仿宋" w:eastAsia="仿宋" w:cs="仿宋"/>
                <w:color w:val="auto"/>
                <w:sz w:val="24"/>
                <w:highlight w:val="none"/>
              </w:rPr>
            </w:pPr>
          </w:p>
        </w:tc>
      </w:tr>
    </w:tbl>
    <w:p w14:paraId="4F0CF0A9">
      <w:pPr>
        <w:pageBreakBefore w:val="0"/>
        <w:kinsoku/>
        <w:topLinePunct/>
        <w:bidi w:val="0"/>
        <w:spacing w:line="440" w:lineRule="exact"/>
        <w:ind w:firstLine="458" w:firstLineChars="200"/>
        <w:rPr>
          <w:rFonts w:hint="eastAsia" w:ascii="仿宋" w:hAnsi="仿宋" w:eastAsia="仿宋" w:cs="仿宋"/>
          <w:b/>
          <w:bCs/>
          <w:color w:val="auto"/>
          <w:highlight w:val="none"/>
        </w:rPr>
      </w:pPr>
      <w:r>
        <w:rPr>
          <w:rFonts w:hint="eastAsia" w:ascii="仿宋" w:hAnsi="仿宋" w:eastAsia="仿宋" w:cs="仿宋"/>
          <w:b/>
          <w:bCs/>
          <w:color w:val="auto"/>
          <w:spacing w:val="-6"/>
          <w:szCs w:val="22"/>
          <w:highlight w:val="none"/>
        </w:rPr>
        <w:t>注：有害垃圾的处置费用根据投标处置单价和实际处置数量，按实际发生结算。</w:t>
      </w:r>
    </w:p>
    <w:p w14:paraId="19F074A7">
      <w:pPr>
        <w:pageBreakBefore w:val="0"/>
        <w:kinsoku/>
        <w:topLinePunct/>
        <w:bidi w:val="0"/>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四、项目服务标准及要求</w:t>
      </w:r>
    </w:p>
    <w:p w14:paraId="4FF84B02">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符合《中华人民共和国环境保护法》</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《废弃危险化学品污染环境防治办法》等国家、地方、行业等相关法律法规，如中标人的最终处置方式不符合《中华人民共和国环境保护法》</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《废弃危险化学品污染环境防治办法》</w:t>
      </w:r>
      <w:r>
        <w:rPr>
          <w:rFonts w:hint="eastAsia" w:ascii="仿宋" w:hAnsi="仿宋" w:eastAsia="仿宋" w:cs="仿宋"/>
          <w:b w:val="0"/>
          <w:bCs w:val="0"/>
          <w:color w:val="auto"/>
          <w:sz w:val="24"/>
          <w:highlight w:val="none"/>
          <w:lang w:eastAsia="zh-CN"/>
        </w:rPr>
        <w:t>、《危险废物贮存污染控制标准》（GB 18597-2023）</w:t>
      </w:r>
      <w:r>
        <w:rPr>
          <w:rFonts w:hint="eastAsia" w:ascii="仿宋" w:hAnsi="仿宋" w:eastAsia="仿宋" w:cs="仿宋"/>
          <w:b w:val="0"/>
          <w:bCs w:val="0"/>
          <w:color w:val="auto"/>
          <w:sz w:val="24"/>
          <w:highlight w:val="none"/>
        </w:rPr>
        <w:t>等国家、地方、行业等相关法律法规，由此造成的一切法律和经济责任由中标人承担。</w:t>
      </w:r>
    </w:p>
    <w:p w14:paraId="33C1DD4A">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2.富阳区有害垃圾分拣、贮存中心项目建设严格按照《危险废物贮存污染控制标准》（GB 18597-2023）及修改单进行设计，采取基础防渗、防火、防雨、防晒、防扬散、通风，配备照明设施等防治环境污染措施。贮存场所处粘贴危险废物标签，并注明种类、成分、危险类别、产地、禁忌与安全措施等。</w:t>
      </w:r>
    </w:p>
    <w:p w14:paraId="11272F32">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3.进一步完善管理制度，落实专人负责环保管理。</w:t>
      </w:r>
    </w:p>
    <w:p w14:paraId="424EE312">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4.依法、依规运营，有害垃圾根据危险废物类别依法进行委托处置，并执行转移联单制度。</w:t>
      </w:r>
    </w:p>
    <w:p w14:paraId="4B2AFED3">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5.落实台账管理制度。设置危废仓库称量设施，危废仓库设置危废台账记录薄，做好危废台账管理记录和委托处置，确保危废贮存和处置安全。</w:t>
      </w:r>
    </w:p>
    <w:p w14:paraId="5CFB5E79">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6.加强工作人员安全、环保培训，做到安全生产。</w:t>
      </w:r>
    </w:p>
    <w:p w14:paraId="6EC8DFAA">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7.中标人在项目实施地应具有经环保验收标准的有害垃圾分拣、暂存场地，场地总面积不小于400平方米（含）。</w:t>
      </w:r>
    </w:p>
    <w:p w14:paraId="3ED3E10F">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8.贮存设施选址应满足生态环境保护法律法规、规划和“三线一单”生态环境分区管控的要求，建设项目应依法进行环境影响评价。</w:t>
      </w:r>
    </w:p>
    <w:p w14:paraId="6FD2E9B3">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9.</w:t>
      </w:r>
      <w:r>
        <w:rPr>
          <w:rFonts w:hint="eastAsia" w:ascii="仿宋" w:hAnsi="仿宋" w:eastAsia="仿宋" w:cs="仿宋"/>
          <w:b w:val="0"/>
          <w:bCs w:val="0"/>
          <w:color w:val="auto"/>
          <w:sz w:val="24"/>
          <w:highlight w:val="none"/>
        </w:rPr>
        <w:t>集中贮存设施不应选在生态保护红线区域、永久基本农田和其他需要特别保护的区域内，不应建在溶洞区或易遭受洪水、滑坡、泥石流、潮汐等严重自然灾害影响的地区。</w:t>
      </w:r>
    </w:p>
    <w:p w14:paraId="6CF1AAB7">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10.</w:t>
      </w:r>
      <w:r>
        <w:rPr>
          <w:rFonts w:hint="eastAsia" w:ascii="仿宋" w:hAnsi="仿宋" w:eastAsia="仿宋" w:cs="仿宋"/>
          <w:b w:val="0"/>
          <w:bCs w:val="0"/>
          <w:color w:val="auto"/>
          <w:sz w:val="24"/>
          <w:highlight w:val="none"/>
        </w:rPr>
        <w:t>贮存设施不应选在江河、湖泊、运河、渠道、水库及其最高水位线以下的滩地和岸坡，以及法律法规规定禁止贮存危险废物的其他地点。</w:t>
      </w:r>
    </w:p>
    <w:p w14:paraId="7B16F818">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11.</w:t>
      </w:r>
      <w:r>
        <w:rPr>
          <w:rFonts w:hint="eastAsia" w:ascii="仿宋" w:hAnsi="仿宋" w:eastAsia="仿宋" w:cs="仿宋"/>
          <w:b w:val="0"/>
          <w:bCs w:val="0"/>
          <w:color w:val="auto"/>
          <w:sz w:val="24"/>
          <w:highlight w:val="none"/>
        </w:rPr>
        <w:t>贮存设施场址的位置以及其与周围环境敏感目标的距离应依据环境影响评价文件确定。</w:t>
      </w:r>
    </w:p>
    <w:p w14:paraId="1CF93B43">
      <w:pPr>
        <w:pStyle w:val="7"/>
        <w:pageBreakBefore w:val="0"/>
        <w:kinsoku/>
        <w:bidi w:val="0"/>
        <w:spacing w:line="440" w:lineRule="exact"/>
        <w:ind w:left="0" w:firstLine="480" w:firstLineChars="2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12.贮存设施应根据危险废物的形态、物理化学性质、包装形式和污染物迁移途径，采取必要的防风、防晒、防雨、防漏、防渗、防腐以及其他环境污染防治措施，不应露天堆放危险废物。</w:t>
      </w:r>
    </w:p>
    <w:p w14:paraId="08043F44">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13.贮存库内不同贮存分区之间应采取隔离措施。隔离措施可根据危险废物特性采用过道、隔板或隔墙等方式。</w:t>
      </w:r>
    </w:p>
    <w:p w14:paraId="21607379">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14.在贮存库内或通过贮存分区方式贮存液态危险废物的，应具有液体泄漏堵截设施，堵截设施最小容积不应低于对应贮存区域最大液态废物容器容积或液态废物总储量 1/10（二者取较大者）；用于贮存可能产生渗滤液的危险废物的贮存库或贮存分区应设计渗滤液收集设施，收集设施容积应满足渗滤液的收集要求。</w:t>
      </w:r>
    </w:p>
    <w:p w14:paraId="42AE517F">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15.贮存场应设置径流疏导系统，保证能防止当地重现期不小于 25 年的暴雨流入贮存区域，并采取措施防止雨水冲淋危险废物，避免增加渗滤液量。</w:t>
      </w:r>
    </w:p>
    <w:p w14:paraId="3ED57F25">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16.贮存场可整体或分区设计液体导流和收集设施，收集设施容积应保证在最不利条件下可以容纳对应贮存区域产生的渗滤液、废水等液态物质。</w:t>
      </w:r>
    </w:p>
    <w:p w14:paraId="44430D7E">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17.贮存池应采取措施防止雨水、地面径流等进入，保证能防止当地重现期不小于 25 年的暴雨流入贮存池内。</w:t>
      </w:r>
    </w:p>
    <w:p w14:paraId="5C21E1E3">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10-7 cm/s），或至少2 mm 厚高密度聚乙烯膜等人工防渗材料（渗透系数不大于 10-10 cm/s），或其他防渗性能等效的材料。</w:t>
      </w:r>
    </w:p>
    <w:p w14:paraId="6FD2326D">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19.同一贮存设施宜采用相同的防渗、防腐工艺（包括防渗、防腐结构或材料），防渗、防腐材料应覆盖所有可能与废物及其渗滤液、渗漏液等接触的构筑物表面；采用不同防渗、防腐工艺应分别建设贮存分区。</w:t>
      </w:r>
    </w:p>
    <w:p w14:paraId="5568D4D4">
      <w:pPr>
        <w:pStyle w:val="7"/>
        <w:keepNext w:val="0"/>
        <w:keepLines w:val="0"/>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20.贮存罐区罐体应设置在围堰内，围堰的防渗、防腐性能应满足第18.19点要求。</w:t>
      </w:r>
    </w:p>
    <w:p w14:paraId="57B123A5">
      <w:pPr>
        <w:keepNext w:val="0"/>
        <w:keepLines w:val="0"/>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21.贮存罐区围堰容积应至少满足其内部最大贮存罐发生意外泄漏时所需要的危险废物收集容积要求。</w:t>
      </w:r>
    </w:p>
    <w:p w14:paraId="68D22F93">
      <w:pPr>
        <w:pStyle w:val="7"/>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22.贮存罐区围堰内收集的废液、废水和初期雨水应及时处理，不应直接排放。</w:t>
      </w:r>
    </w:p>
    <w:p w14:paraId="0C1D9F34">
      <w:pPr>
        <w:pStyle w:val="7"/>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23.危险废物存入贮存设施前应对危险废物类别和特性与危险废物标签等危险废物识别标志的一致性进行核验，不一致的或类别、特性不明的不应存入。</w:t>
      </w:r>
    </w:p>
    <w:p w14:paraId="0122B24C">
      <w:pPr>
        <w:pStyle w:val="7"/>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24.应定期检查危险废物的贮存状况，及时清理贮存设施地面，更换破损泄漏的危险废物贮存容器和包装物，保证堆存危险废物的防雨、防风、防扬尘等设施功能完好。</w:t>
      </w:r>
    </w:p>
    <w:p w14:paraId="78BDF9D0">
      <w:pPr>
        <w:pStyle w:val="7"/>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25.作业设备及车辆等结束作业离开贮存设施时，应对其残留的危险废物进行清理，清理的废物或清洗废水应收集处理。</w:t>
      </w:r>
    </w:p>
    <w:p w14:paraId="767AA423">
      <w:pPr>
        <w:pStyle w:val="7"/>
        <w:pageBreakBefore w:val="0"/>
        <w:widowControl w:val="0"/>
        <w:kinsoku/>
        <w:wordWrap/>
        <w:overflowPunct/>
        <w:topLinePunct w:val="0"/>
        <w:bidi w:val="0"/>
        <w:snapToGrid/>
        <w:spacing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26.贮存设施运行期间，应按国家有关标准和规定建立危险废物管理台账并保存。</w:t>
      </w:r>
    </w:p>
    <w:p w14:paraId="1D30D19D">
      <w:pPr>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27.贮存设施所有者或运营者应建立贮存设施环境管理制度、管理人员岗位职责制度、设施运行操作制度、人员岗位培训制度等。</w:t>
      </w:r>
    </w:p>
    <w:p w14:paraId="5380C8C1">
      <w:pPr>
        <w:pStyle w:val="8"/>
        <w:pageBreakBefore w:val="0"/>
        <w:widowControl w:val="0"/>
        <w:kinsoku/>
        <w:wordWrap/>
        <w:overflowPunct/>
        <w:topLinePunct w:val="0"/>
        <w:bidi w:val="0"/>
        <w:snapToGrid/>
        <w:spacing w:before="0" w:after="0" w:line="440" w:lineRule="exact"/>
        <w:ind w:left="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28.贮存设施所有者或运营者应依据国家土壤和地下水污染防治的有关规定，结合贮存设施特点建立土壤和地下水污染隐患排查制度，并定期开展隐患排查；发现隐患应及时采取措施消除隐患，并建立档案。</w:t>
      </w:r>
    </w:p>
    <w:p w14:paraId="7B6EE69E">
      <w:pPr>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29.贮存点应具有固定的区域边界，并应采取与其他区域进行隔离的措施。</w:t>
      </w:r>
    </w:p>
    <w:p w14:paraId="28C25809">
      <w:pPr>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30.贮存点应采取防风、防雨、防晒和防止危险废物流失、扬散等措施。</w:t>
      </w:r>
    </w:p>
    <w:p w14:paraId="50CAFFF7">
      <w:pPr>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31.贮存点贮存的危险废物应置于容器或包装物中，不应直接散堆。</w:t>
      </w:r>
    </w:p>
    <w:p w14:paraId="582D0CF1">
      <w:pPr>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32.贮存点应根据危险废物的形态、物理化学性质、包装形式等，采取防渗、防漏等污染防治措施。</w:t>
      </w:r>
    </w:p>
    <w:p w14:paraId="7B59CAB5">
      <w:pPr>
        <w:pageBreakBefore w:val="0"/>
        <w:widowControl w:val="0"/>
        <w:kinsoku/>
        <w:wordWrap/>
        <w:overflowPunct/>
        <w:topLinePunct w:val="0"/>
        <w:bidi w:val="0"/>
        <w:snapToGrid/>
        <w:spacing w:line="440" w:lineRule="exact"/>
        <w:ind w:left="0"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33.贮存点应及时清运贮存的危险废物，实时贮存量不应超过3吨。</w:t>
      </w:r>
    </w:p>
    <w:p w14:paraId="4A8E471D">
      <w:pPr>
        <w:pStyle w:val="7"/>
        <w:pageBreakBefore w:val="0"/>
        <w:kinsoku/>
        <w:bidi w:val="0"/>
        <w:spacing w:line="440" w:lineRule="exact"/>
        <w:ind w:left="0" w:firstLine="482" w:firstLineChars="200"/>
        <w:jc w:val="both"/>
        <w:rPr>
          <w:rFonts w:hint="eastAsia" w:ascii="仿宋" w:hAnsi="仿宋" w:eastAsia="仿宋" w:cs="仿宋"/>
          <w:color w:val="auto"/>
          <w:highlight w:val="none"/>
        </w:rPr>
      </w:pPr>
      <w:r>
        <w:rPr>
          <w:rFonts w:hint="eastAsia" w:ascii="仿宋" w:hAnsi="仿宋" w:eastAsia="仿宋" w:cs="仿宋"/>
          <w:color w:val="auto"/>
          <w:sz w:val="24"/>
          <w:highlight w:val="none"/>
        </w:rPr>
        <w:t>五、管理及服务人员要求（▲以下配置为采购人建议配置，投标人可根据项目情况调整人员配置，但配置人员不得低于以下配置及要求）</w:t>
      </w:r>
    </w:p>
    <w:tbl>
      <w:tblPr>
        <w:tblStyle w:val="89"/>
        <w:tblW w:w="7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201"/>
      </w:tblGrid>
      <w:tr w14:paraId="5293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vAlign w:val="center"/>
          </w:tcPr>
          <w:p w14:paraId="19A12DC1">
            <w:pPr>
              <w:pageBreakBefore w:val="0"/>
              <w:kinsoku/>
              <w:topLinePunct/>
              <w:bidi w:val="0"/>
              <w:spacing w:line="440" w:lineRule="exact"/>
              <w:jc w:val="center"/>
              <w:rPr>
                <w:rFonts w:hint="default" w:ascii="仿宋" w:hAnsi="仿宋" w:eastAsia="仿宋" w:cs="仿宋"/>
                <w:color w:val="auto"/>
                <w:highlight w:val="none"/>
                <w:lang w:val="en-US" w:eastAsia="zh-CN"/>
              </w:rPr>
            </w:pPr>
            <w:r>
              <w:rPr>
                <w:rFonts w:hint="eastAsia" w:cs="仿宋"/>
                <w:color w:val="auto"/>
                <w:highlight w:val="none"/>
                <w:lang w:val="en-US" w:eastAsia="zh-CN"/>
              </w:rPr>
              <w:t>人员数量</w:t>
            </w:r>
          </w:p>
        </w:tc>
        <w:tc>
          <w:tcPr>
            <w:tcW w:w="6201" w:type="dxa"/>
          </w:tcPr>
          <w:p w14:paraId="2A1FBB72">
            <w:pPr>
              <w:pageBreakBefore w:val="0"/>
              <w:kinsoku/>
              <w:topLinePunct/>
              <w:bidi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人员要求</w:t>
            </w:r>
          </w:p>
        </w:tc>
      </w:tr>
      <w:tr w14:paraId="681C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vAlign w:val="center"/>
          </w:tcPr>
          <w:p w14:paraId="7D7251B7">
            <w:pPr>
              <w:pageBreakBefore w:val="0"/>
              <w:kinsoku/>
              <w:topLinePunct/>
              <w:bidi w:val="0"/>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作业人员（</w:t>
            </w:r>
            <w:r>
              <w:rPr>
                <w:rFonts w:hint="eastAsia" w:cs="仿宋"/>
                <w:color w:val="auto"/>
                <w:highlight w:val="none"/>
                <w:lang w:val="en-US" w:eastAsia="zh-CN"/>
              </w:rPr>
              <w:t>3</w:t>
            </w:r>
            <w:r>
              <w:rPr>
                <w:rFonts w:hint="eastAsia" w:ascii="仿宋" w:hAnsi="仿宋" w:eastAsia="仿宋" w:cs="仿宋"/>
                <w:color w:val="auto"/>
                <w:highlight w:val="none"/>
              </w:rPr>
              <w:t>名）</w:t>
            </w:r>
          </w:p>
        </w:tc>
        <w:tc>
          <w:tcPr>
            <w:tcW w:w="6201" w:type="dxa"/>
          </w:tcPr>
          <w:p w14:paraId="21F8FFF6">
            <w:pPr>
              <w:pageBreakBefore w:val="0"/>
              <w:kinsoku/>
              <w:topLinePunct/>
              <w:bidi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男性年龄在60周岁以下，女性年龄在55周岁以下，无违法记录，身心健康并经过专业培训</w:t>
            </w:r>
            <w:r>
              <w:rPr>
                <w:rFonts w:hint="eastAsia" w:cs="仿宋"/>
                <w:color w:val="auto"/>
                <w:highlight w:val="none"/>
                <w:lang w:eastAsia="zh-CN"/>
              </w:rPr>
              <w:t>，</w:t>
            </w:r>
            <w:r>
              <w:rPr>
                <w:rFonts w:hint="eastAsia" w:ascii="仿宋" w:hAnsi="仿宋" w:eastAsia="仿宋" w:cs="仿宋"/>
                <w:color w:val="auto"/>
                <w:highlight w:val="none"/>
              </w:rPr>
              <w:t>热爱祖国，有较强的工作责任心和政治责任感。无违法犯罪记录，无吸毒历史；有较好的语言表达能力。熟悉相关政策法规具备良好的管理能力、沟通协调能力和执行能力，敬业程度高。</w:t>
            </w:r>
          </w:p>
        </w:tc>
      </w:tr>
    </w:tbl>
    <w:p w14:paraId="59D4F84E">
      <w:pPr>
        <w:keepNext w:val="0"/>
        <w:keepLines w:val="0"/>
        <w:pageBreakBefore w:val="0"/>
        <w:kinsoku/>
        <w:overflowPunct/>
        <w:topLinePunct/>
        <w:autoSpaceDE/>
        <w:autoSpaceDN/>
        <w:bidi w:val="0"/>
        <w:spacing w:line="42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六、项目其他要求</w:t>
      </w:r>
    </w:p>
    <w:p w14:paraId="06C09FE8">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凡列入投标文件内的管理人员、机械化作业车辆等设备，投标人必须承诺是服务于本项目，不得服务于其他项目或与其他项目兼用，中标后如需更换或调整的，必须经采购人同意方可，如中标后投标人未能落实该要求的可视作单方面违约，所产生的违约责任由投标人承担。</w:t>
      </w:r>
    </w:p>
    <w:p w14:paraId="036A8BDF">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所设岗位人员原则上为适龄人员。若中标人配置其他的先进机械设备，经采购人核实允许后可适当调整人数。中标人在签订合同之前未按要求配备人员的，视为自动退出承包，采购人将不与其签订合同，履约保证金不予退还</w:t>
      </w:r>
      <w:r>
        <w:rPr>
          <w:rFonts w:hint="eastAsia" w:ascii="仿宋" w:hAnsi="仿宋" w:eastAsia="仿宋" w:cs="仿宋"/>
          <w:color w:val="auto"/>
          <w:kern w:val="0"/>
          <w:highlight w:val="none"/>
        </w:rPr>
        <w:t>。</w:t>
      </w:r>
    </w:p>
    <w:p w14:paraId="35973A9A">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3、服务质量承诺：</w:t>
      </w:r>
    </w:p>
    <w:p w14:paraId="5BCA80F5">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（1）为确保服务质量及与招标方沟通联络，中标人须设置专职主管，负责对承包项目、范围、服务质量的检查监督及与招标方日常业务联系；</w:t>
      </w:r>
    </w:p>
    <w:p w14:paraId="10069BAA">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（2）中标人需提供员工管理服务规范要求及确保服务质量达标的具体措施；</w:t>
      </w:r>
    </w:p>
    <w:p w14:paraId="180889EC">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（3）中标人需向采购人提供服务承诺；</w:t>
      </w:r>
    </w:p>
    <w:p w14:paraId="5395C97A">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（4）中标人须主动接受采购人的指导、检查、监督及协调；</w:t>
      </w:r>
    </w:p>
    <w:p w14:paraId="5D308B75">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（5）现有服务范围内，由于调整而增加的工作量，不再增加费用；</w:t>
      </w:r>
    </w:p>
    <w:p w14:paraId="646F5E03">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（6）按时按质完成采购人交办的其他突发性工作，所增加的工作量不另外计算费用。</w:t>
      </w:r>
    </w:p>
    <w:p w14:paraId="360C4B52">
      <w:pPr>
        <w:keepNext w:val="0"/>
        <w:keepLines w:val="0"/>
        <w:pageBreakBefore w:val="0"/>
        <w:kinsoku/>
        <w:overflowPunct/>
        <w:topLinePunct/>
        <w:autoSpaceDE/>
        <w:autoSpaceDN/>
        <w:bidi w:val="0"/>
        <w:adjustRightInd w:val="0"/>
        <w:snapToGrid w:val="0"/>
        <w:spacing w:line="420" w:lineRule="exact"/>
        <w:ind w:firstLine="480" w:firstLineChars="200"/>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4、突发状况及补充说明：</w:t>
      </w:r>
    </w:p>
    <w:p w14:paraId="2E2DF791">
      <w:pPr>
        <w:keepNext w:val="0"/>
        <w:keepLines w:val="0"/>
        <w:pageBreakBefore w:val="0"/>
        <w:kinsoku/>
        <w:overflowPunct/>
        <w:topLinePunct/>
        <w:autoSpaceDE/>
        <w:autoSpaceDN/>
        <w:bidi w:val="0"/>
        <w:adjustRightInd w:val="0"/>
        <w:snapToGrid w:val="0"/>
        <w:spacing w:line="420" w:lineRule="exact"/>
        <w:ind w:firstLine="480" w:firstLineChars="200"/>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（1）遭遇突发性污染事件，必须组织人员等在30分钟内到达事发现场，以最快的有效时间内解决。</w:t>
      </w:r>
    </w:p>
    <w:p w14:paraId="75BCB5DA">
      <w:pPr>
        <w:keepNext w:val="0"/>
        <w:keepLines w:val="0"/>
        <w:pageBreakBefore w:val="0"/>
        <w:kinsoku/>
        <w:overflowPunct/>
        <w:topLinePunct/>
        <w:autoSpaceDE/>
        <w:autoSpaceDN/>
        <w:bidi w:val="0"/>
        <w:adjustRightInd w:val="0"/>
        <w:snapToGrid w:val="0"/>
        <w:spacing w:line="420" w:lineRule="exact"/>
        <w:ind w:firstLine="480" w:firstLineChars="200"/>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（2）根据突发状况，应根据实际无条件服从要求，及时调整与转换作业模式。</w:t>
      </w:r>
    </w:p>
    <w:p w14:paraId="49DB9337">
      <w:pPr>
        <w:keepNext w:val="0"/>
        <w:keepLines w:val="0"/>
        <w:pageBreakBefore w:val="0"/>
        <w:kinsoku/>
        <w:overflowPunct/>
        <w:topLinePunct/>
        <w:autoSpaceDE/>
        <w:autoSpaceDN/>
        <w:bidi w:val="0"/>
        <w:adjustRightInd w:val="0"/>
        <w:snapToGrid w:val="0"/>
        <w:spacing w:line="420" w:lineRule="exact"/>
        <w:ind w:firstLine="480" w:firstLineChars="200"/>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（3）接到区（市）长公开电话或者各类媒体报道、或投诉的各类问题，及在各级检查中发现并通报的问题，应做到及时整改与上报。</w:t>
      </w:r>
    </w:p>
    <w:p w14:paraId="12125966">
      <w:pPr>
        <w:keepNext w:val="0"/>
        <w:keepLines w:val="0"/>
        <w:pageBreakBefore w:val="0"/>
        <w:kinsoku/>
        <w:overflowPunct/>
        <w:topLinePunct/>
        <w:autoSpaceDE/>
        <w:autoSpaceDN/>
        <w:bidi w:val="0"/>
        <w:spacing w:line="42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七、</w:t>
      </w:r>
      <w:r>
        <w:rPr>
          <w:rFonts w:hint="eastAsia" w:ascii="仿宋" w:hAnsi="仿宋" w:eastAsia="仿宋" w:cs="仿宋"/>
          <w:b/>
          <w:bCs/>
          <w:color w:val="auto"/>
          <w:kern w:val="0"/>
          <w:highlight w:val="none"/>
        </w:rPr>
        <w:t>管理要求</w:t>
      </w:r>
    </w:p>
    <w:p w14:paraId="5457F004">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1、中标人应加强作业质量管理，做好作业质量自查记录，作业交接班必须在作业现场进行。中标人需承担实现本项目相关的一切设备和工具。▲</w:t>
      </w:r>
      <w:r>
        <w:rPr>
          <w:rFonts w:hint="eastAsia" w:ascii="仿宋" w:hAnsi="仿宋" w:eastAsia="仿宋" w:cs="仿宋"/>
          <w:b/>
          <w:bCs/>
          <w:color w:val="auto"/>
          <w:highlight w:val="none"/>
        </w:rPr>
        <w:t>投标人须承诺：中标后合同执行期前，在富阳区本地建设符合《富阳区危险废物、一般工业固体废物中长期污染防治和综合利用规划》的有害垃圾集中收集分拣、暂存转运点，以全面满足本项目中有害垃圾的收集、贮存、处置需求。（需提供承诺函，承诺函盖投标人公章放入投标文件中）</w:t>
      </w:r>
    </w:p>
    <w:p w14:paraId="4AE16080">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2、规范管理，文明作业，自觉接受合同采购人及上级各部门领导的检查和社会监督，对出现的问题要及时整改。</w:t>
      </w:r>
    </w:p>
    <w:p w14:paraId="2C210D07">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3、作业时应严格遵守劳动纪律，遵守安全操作规程，确保安全，发生各种意外事故由中标人自行依照法律法规妥善处理。</w:t>
      </w:r>
    </w:p>
    <w:p w14:paraId="618F8881">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4、中标人作业车辆应停放适当地点，不影响行人和交通，收工后存放在合适的停车场所进行集中管理。</w:t>
      </w:r>
    </w:p>
    <w:p w14:paraId="0030ED15">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5、▲本项目要求作业人员为适龄人员。应严格遵守有关劳动法规，保障职工合法权益。</w:t>
      </w:r>
    </w:p>
    <w:p w14:paraId="624986C0">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夏季高温补贴、出勤津贴、工具与服装费等费用含应在报价中；保障职工休息休假权利，加班必须足额支付加班费。另外，在落实好职工劳保福利待遇的同时，必须为适龄职工缴纳社会保险费用；如因中标人违规造成上访或群体性事件的，由中标人负责处理。中标人支付给作业人员的工资不得低于富阳区政府规定的当年最低工资标准，以上费用投标人需自行考虑在投标报价中。如在服务期内富阳区最低工资标准提高的，采购人不给予中标人补助。</w:t>
      </w:r>
    </w:p>
    <w:p w14:paraId="2D272E46">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在合同履行期间，因自然等灾害或政府需求等因素，导致合同无法正常履行时，采购人可根据实际情况，终止合同。另外，采购人根据管理需要，单方面对各类考核细则、管理要求等相关内容进行修改时，经双方协商同意后，按新的考核细则、管理要求等相关内容进行考核。</w:t>
      </w:r>
    </w:p>
    <w:p w14:paraId="7BDF5CF8">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7、在合同履行期间，因中标人服务质量不到位，管理不善等其他原因而引发问题，造成严重的负面影响，给采购人的正常工作与形象等造成不良后果的，采购人可单方面可终止合同。</w:t>
      </w:r>
    </w:p>
    <w:p w14:paraId="4AD318DA">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8、在其他方面，因中标人单方原因，造成不良后果，采购人认为已不适合继续履行合同的，可单方面终止合同。</w:t>
      </w:r>
    </w:p>
    <w:p w14:paraId="7863E8E1">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9、项目因重大调整或政策调整，无需中标人再参与项目管理的，采购人可根据实际情况，终止合同，剩余相应费用将扣除，不予支付。</w:t>
      </w:r>
    </w:p>
    <w:p w14:paraId="4A844E2F">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10、中标人与各危废处置单位的权责划分、费用结算等一切事宜与采购人无关，如产生纠纷，一切责任由中标人自行承担，如因此对采购人造成损失的，由中标人承担损失。</w:t>
      </w:r>
    </w:p>
    <w:p w14:paraId="259E3196">
      <w:pPr>
        <w:keepNext w:val="0"/>
        <w:keepLines w:val="0"/>
        <w:pageBreakBefore w:val="0"/>
        <w:kinsoku/>
        <w:overflowPunct/>
        <w:topLinePunct/>
        <w:autoSpaceDE/>
        <w:autoSpaceDN/>
        <w:bidi w:val="0"/>
        <w:spacing w:line="42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八、监督考核</w:t>
      </w:r>
    </w:p>
    <w:p w14:paraId="3B8D980B">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日常巡查考核由采购人组织和实施，不定期对各项工作落实情况进行检查和指导，具体监督考核细则以合同签订为准。</w:t>
      </w:r>
    </w:p>
    <w:p w14:paraId="5FE11B49">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1.采购人不定期对出勤情况、人员配置情况、车辆配置投入情况、场地管理情况等进行检查和指导，配备不到位的根据考核细则对中标单位予以扣分扣款处理。</w:t>
      </w:r>
    </w:p>
    <w:p w14:paraId="40A3D811">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2.日常巡查发现问题通知中标单位立即整改，整改不及时不到位的，根据考核细则对中标单位予以扣分扣款处理。</w:t>
      </w:r>
    </w:p>
    <w:p w14:paraId="6327278B">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3.同一问题发生三次以上的，根据考核细则对中标单位进行扣分扣款处理。</w:t>
      </w:r>
    </w:p>
    <w:p w14:paraId="79621D03">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4.被上级部门检查、考核扣分的，根据考核细则对中标单位进行双倍扣分扣款处理。</w:t>
      </w:r>
    </w:p>
    <w:p w14:paraId="6F00CADB">
      <w:pPr>
        <w:pStyle w:val="7"/>
        <w:keepNext w:val="0"/>
        <w:keepLines w:val="0"/>
        <w:pageBreakBefore w:val="0"/>
        <w:tabs>
          <w:tab w:val="left" w:pos="360"/>
        </w:tabs>
        <w:kinsoku/>
        <w:overflowPunct/>
        <w:autoSpaceDE/>
        <w:autoSpaceDN/>
        <w:bidi w:val="0"/>
        <w:adjustRightInd/>
        <w:spacing w:line="420" w:lineRule="exact"/>
        <w:ind w:left="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5.因同一问题同时被上级部门和采购人检查、考核扣分的，根据考核细则对中标单位进行双倍扣分扣款处理。</w:t>
      </w:r>
    </w:p>
    <w:p w14:paraId="18471D6F">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6.除上述扣分情形外，存在其他需要扣分的情况，采购人有权根据考核细则对中标单位进行扣分扣款处理。</w:t>
      </w:r>
    </w:p>
    <w:p w14:paraId="7AEEDE19">
      <w:pPr>
        <w:keepNext w:val="0"/>
        <w:keepLines w:val="0"/>
        <w:pageBreakBefore w:val="0"/>
        <w:kinsoku/>
        <w:overflowPunct/>
        <w:autoSpaceDE/>
        <w:autoSpaceDN/>
        <w:bidi w:val="0"/>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7.对于考核的具体情况，采购人有义务将考核情况通知中标单位。</w:t>
      </w:r>
    </w:p>
    <w:p w14:paraId="48475A7E">
      <w:pPr>
        <w:keepNext w:val="0"/>
        <w:keepLines w:val="0"/>
        <w:pageBreakBefore w:val="0"/>
        <w:kinsoku/>
        <w:overflowPunct/>
        <w:topLinePunct/>
        <w:autoSpaceDE/>
        <w:autoSpaceDN/>
        <w:bidi w:val="0"/>
        <w:spacing w:line="420" w:lineRule="exact"/>
        <w:ind w:firstLine="480" w:firstLineChars="200"/>
        <w:rPr>
          <w:rFonts w:hint="eastAsia" w:ascii="仿宋" w:hAnsi="仿宋" w:eastAsia="仿宋" w:cs="仿宋"/>
          <w:b/>
          <w:bCs/>
          <w:color w:val="auto"/>
          <w:kern w:val="0"/>
          <w:highlight w:val="none"/>
        </w:rPr>
      </w:pPr>
      <w:r>
        <w:rPr>
          <w:rFonts w:hint="eastAsia" w:ascii="仿宋" w:hAnsi="仿宋" w:eastAsia="仿宋" w:cs="仿宋"/>
          <w:color w:val="auto"/>
          <w:highlight w:val="none"/>
        </w:rPr>
        <w:t>8.在服务期内季度考核平均分达到90分及以上的全额支付服务费，月考核平均达80分（含）-90分（不含）支付90%，月考核平均达70分（含）-80分（不含）支付80%，月考核平均达60分（含）-70分（不含）支付70%。</w:t>
      </w:r>
    </w:p>
    <w:p w14:paraId="7F36A121">
      <w:pPr>
        <w:keepNext w:val="0"/>
        <w:keepLines w:val="0"/>
        <w:pageBreakBefore w:val="0"/>
        <w:kinsoku/>
        <w:overflowPunct/>
        <w:topLinePunct/>
        <w:autoSpaceDE/>
        <w:autoSpaceDN/>
        <w:bidi w:val="0"/>
        <w:spacing w:line="42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九、</w:t>
      </w:r>
      <w:r>
        <w:rPr>
          <w:rFonts w:hint="eastAsia" w:ascii="仿宋" w:hAnsi="仿宋" w:eastAsia="仿宋" w:cs="仿宋"/>
          <w:b/>
          <w:color w:val="auto"/>
          <w:highlight w:val="none"/>
        </w:rPr>
        <w:t>项目服务期及售后服务要求</w:t>
      </w:r>
    </w:p>
    <w:p w14:paraId="7954D69F">
      <w:pPr>
        <w:keepNext w:val="0"/>
        <w:keepLines w:val="0"/>
        <w:pageBreakBefore w:val="0"/>
        <w:widowControl/>
        <w:kinsoku/>
        <w:overflowPunct/>
        <w:topLinePunct/>
        <w:autoSpaceDE/>
        <w:autoSpaceDN/>
        <w:bidi w:val="0"/>
        <w:adjustRightInd w:val="0"/>
        <w:spacing w:line="420" w:lineRule="exact"/>
        <w:ind w:firstLine="480" w:firstLineChars="200"/>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本项目服务期为自合同签订之日起一年。</w:t>
      </w:r>
    </w:p>
    <w:p w14:paraId="6D188169">
      <w:pPr>
        <w:keepNext w:val="0"/>
        <w:keepLines w:val="0"/>
        <w:pageBreakBefore w:val="0"/>
        <w:widowControl/>
        <w:kinsoku/>
        <w:overflowPunct/>
        <w:topLinePunct/>
        <w:autoSpaceDE/>
        <w:autoSpaceDN/>
        <w:bidi w:val="0"/>
        <w:adjustRightInd w:val="0"/>
        <w:spacing w:line="420" w:lineRule="exact"/>
        <w:ind w:firstLine="480" w:firstLineChars="200"/>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投标人应具备与本项目匹配的售后服务能力，以响应采购人的服务要求。</w:t>
      </w:r>
    </w:p>
    <w:p w14:paraId="6B3FC21B">
      <w:pPr>
        <w:keepNext w:val="0"/>
        <w:keepLines w:val="0"/>
        <w:pageBreakBefore w:val="0"/>
        <w:widowControl/>
        <w:kinsoku/>
        <w:overflowPunct/>
        <w:topLinePunct/>
        <w:autoSpaceDE/>
        <w:autoSpaceDN/>
        <w:bidi w:val="0"/>
        <w:adjustRightInd w:val="0"/>
        <w:spacing w:line="420" w:lineRule="exact"/>
        <w:ind w:firstLine="480" w:firstLineChars="200"/>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响应时间：投标人在投标文件中必须明确承诺售后服务响应时间，并不得低于以下标准：提供7×24电话或电子邮件服务，接到采购人通知1小时内做出明确响应和安排处置。</w:t>
      </w:r>
    </w:p>
    <w:p w14:paraId="7C6B1C37">
      <w:pPr>
        <w:keepNext w:val="0"/>
        <w:keepLines w:val="0"/>
        <w:pageBreakBefore w:val="0"/>
        <w:widowControl/>
        <w:kinsoku/>
        <w:overflowPunct/>
        <w:topLinePunct/>
        <w:autoSpaceDE/>
        <w:autoSpaceDN/>
        <w:bidi w:val="0"/>
        <w:adjustRightInd w:val="0"/>
        <w:spacing w:line="420" w:lineRule="exact"/>
        <w:ind w:firstLine="482" w:firstLineChars="200"/>
        <w:textAlignment w:val="baseline"/>
        <w:rPr>
          <w:rFonts w:hint="eastAsia" w:ascii="仿宋" w:hAnsi="仿宋" w:eastAsia="仿宋" w:cs="仿宋"/>
          <w:color w:val="auto"/>
          <w:szCs w:val="21"/>
          <w:highlight w:val="none"/>
        </w:rPr>
      </w:pPr>
      <w:r>
        <w:rPr>
          <w:rFonts w:hint="eastAsia" w:ascii="仿宋" w:hAnsi="仿宋" w:eastAsia="仿宋" w:cs="仿宋"/>
          <w:b/>
          <w:color w:val="auto"/>
          <w:highlight w:val="none"/>
        </w:rPr>
        <w:t>十、履约保证金及付款方式</w:t>
      </w:r>
    </w:p>
    <w:p w14:paraId="4EDC592C">
      <w:pPr>
        <w:keepNext w:val="0"/>
        <w:keepLines w:val="0"/>
        <w:pageBreakBefore w:val="0"/>
        <w:widowControl/>
        <w:kinsoku/>
        <w:overflowPunct/>
        <w:topLinePunct/>
        <w:autoSpaceDE/>
        <w:autoSpaceDN/>
        <w:bidi w:val="0"/>
        <w:adjustRightInd w:val="0"/>
        <w:spacing w:line="420" w:lineRule="exact"/>
        <w:ind w:firstLine="482" w:firstLineChars="200"/>
        <w:textAlignment w:val="baseline"/>
        <w:rPr>
          <w:rFonts w:hint="eastAsia" w:ascii="仿宋" w:hAnsi="仿宋" w:eastAsia="仿宋" w:cs="仿宋"/>
          <w:b/>
          <w:color w:val="auto"/>
          <w:highlight w:val="none"/>
        </w:rPr>
      </w:pPr>
      <w:r>
        <w:rPr>
          <w:rFonts w:hint="eastAsia" w:ascii="仿宋" w:hAnsi="仿宋" w:eastAsia="仿宋" w:cs="仿宋"/>
          <w:b/>
          <w:color w:val="auto"/>
          <w:highlight w:val="none"/>
        </w:rPr>
        <w:t>（一）履约保证金</w:t>
      </w:r>
    </w:p>
    <w:p w14:paraId="70645DC6">
      <w:pPr>
        <w:keepNext w:val="0"/>
        <w:keepLines w:val="0"/>
        <w:pageBreakBefore w:val="0"/>
        <w:widowControl/>
        <w:kinsoku/>
        <w:overflowPunct/>
        <w:topLinePunct/>
        <w:autoSpaceDE/>
        <w:autoSpaceDN/>
        <w:bidi w:val="0"/>
        <w:adjustRightInd w:val="0"/>
        <w:spacing w:line="420" w:lineRule="exact"/>
        <w:ind w:firstLine="480" w:firstLineChars="200"/>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本项目的履约保证金按年合同价1%收取，中标单位在合同签订后5日内交付至指定账户。履约期结束，采购人无息退还履约保证金。</w:t>
      </w:r>
    </w:p>
    <w:p w14:paraId="13C343D6">
      <w:pPr>
        <w:keepNext w:val="0"/>
        <w:keepLines w:val="0"/>
        <w:pageBreakBefore w:val="0"/>
        <w:widowControl/>
        <w:kinsoku/>
        <w:overflowPunct/>
        <w:topLinePunct/>
        <w:autoSpaceDE/>
        <w:autoSpaceDN/>
        <w:bidi w:val="0"/>
        <w:adjustRightInd w:val="0"/>
        <w:spacing w:line="420" w:lineRule="exact"/>
        <w:ind w:firstLine="480" w:firstLineChars="200"/>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缴纳方式：可采用转账或履约保函形式。</w:t>
      </w:r>
    </w:p>
    <w:p w14:paraId="1ECED6A7">
      <w:pPr>
        <w:keepNext w:val="0"/>
        <w:keepLines w:val="0"/>
        <w:pageBreakBefore w:val="0"/>
        <w:widowControl/>
        <w:kinsoku/>
        <w:overflowPunct/>
        <w:topLinePunct/>
        <w:autoSpaceDE/>
        <w:autoSpaceDN/>
        <w:bidi w:val="0"/>
        <w:adjustRightInd w:val="0"/>
        <w:spacing w:line="420" w:lineRule="exact"/>
        <w:ind w:firstLine="482" w:firstLineChars="200"/>
        <w:textAlignment w:val="baseline"/>
        <w:rPr>
          <w:rFonts w:hint="eastAsia" w:ascii="仿宋" w:hAnsi="仿宋" w:eastAsia="仿宋" w:cs="仿宋"/>
          <w:b/>
          <w:color w:val="auto"/>
          <w:highlight w:val="none"/>
        </w:rPr>
      </w:pPr>
      <w:r>
        <w:rPr>
          <w:rFonts w:hint="eastAsia" w:ascii="仿宋" w:hAnsi="仿宋" w:eastAsia="仿宋" w:cs="仿宋"/>
          <w:b/>
          <w:color w:val="auto"/>
          <w:highlight w:val="none"/>
        </w:rPr>
        <w:t>（二）付款方式</w:t>
      </w:r>
    </w:p>
    <w:p w14:paraId="72EAC8D0">
      <w:pPr>
        <w:keepNext w:val="0"/>
        <w:keepLines w:val="0"/>
        <w:pageBreakBefore w:val="0"/>
        <w:kinsoku/>
        <w:overflowPunct/>
        <w:autoSpaceDE/>
        <w:autoSpaceDN/>
        <w:bidi w:val="0"/>
        <w:spacing w:line="42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1.按合同约定内容进行款项的结算，结算时按财政结算要求办理资金结算手续。</w:t>
      </w:r>
    </w:p>
    <w:p w14:paraId="64E9A3DA">
      <w:pPr>
        <w:keepNext w:val="0"/>
        <w:keepLines w:val="0"/>
        <w:pageBreakBefore w:val="0"/>
        <w:kinsoku/>
        <w:overflowPunct/>
        <w:autoSpaceDE/>
        <w:autoSpaceDN/>
        <w:bidi w:val="0"/>
        <w:spacing w:line="42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2.本项目预付款为合同金额的20％，采购人应在合同生效以及具备实施条件后7个工作日内，支付预付款。</w:t>
      </w:r>
    </w:p>
    <w:p w14:paraId="2316634A">
      <w:pPr>
        <w:keepNext w:val="0"/>
        <w:keepLines w:val="0"/>
        <w:pageBreakBefore w:val="0"/>
        <w:kinsoku/>
        <w:overflowPunct/>
        <w:autoSpaceDE/>
        <w:autoSpaceDN/>
        <w:bidi w:val="0"/>
        <w:spacing w:line="42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3.剩余款项根据有害垃圾投标处置单价和实际处置数量，按实际发生每季度结算一次。</w:t>
      </w:r>
    </w:p>
    <w:p w14:paraId="3D85BD6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注：在签订合同时，供应商明确表示无需预付款或者主动要求降低预付款比例的，采购单位可不适用前述规定</w:t>
      </w:r>
      <w:r>
        <w:rPr>
          <w:rFonts w:hint="eastAsia" w:ascii="仿宋" w:hAnsi="仿宋" w:eastAsia="仿宋" w:cs="仿宋"/>
          <w:b/>
          <w:bCs/>
          <w:color w:val="auto"/>
          <w:highlight w:val="none"/>
          <w:u w:val="none"/>
          <w:lang w:val="en-US" w:eastAsia="zh-CN"/>
        </w:rPr>
        <w:t>。</w:t>
      </w:r>
    </w:p>
    <w:p w14:paraId="5C8CBC69">
      <w:pPr>
        <w:keepNext w:val="0"/>
        <w:keepLines w:val="0"/>
        <w:pageBreakBefore w:val="0"/>
        <w:widowControl/>
        <w:numPr>
          <w:ilvl w:val="0"/>
          <w:numId w:val="6"/>
        </w:numPr>
        <w:kinsoku/>
        <w:wordWrap w:val="0"/>
        <w:overflowPunct/>
        <w:topLinePunct/>
        <w:autoSpaceDE/>
        <w:autoSpaceDN/>
        <w:bidi w:val="0"/>
        <w:adjustRightInd w:val="0"/>
        <w:spacing w:beforeAutospacing="0" w:afterAutospacing="0" w:line="420" w:lineRule="exact"/>
        <w:ind w:firstLine="482" w:firstLineChars="200"/>
        <w:textAlignment w:val="baseline"/>
        <w:rPr>
          <w:rFonts w:hint="eastAsia" w:cs="仿宋"/>
          <w:b/>
          <w:color w:val="auto"/>
          <w:highlight w:val="none"/>
          <w:lang w:val="en-US" w:eastAsia="zh-CN"/>
        </w:rPr>
      </w:pPr>
      <w:r>
        <w:rPr>
          <w:rFonts w:hint="eastAsia" w:cs="仿宋"/>
          <w:b/>
          <w:color w:val="auto"/>
          <w:highlight w:val="none"/>
          <w:lang w:val="en-US" w:eastAsia="zh-CN"/>
        </w:rPr>
        <w:t>考核</w:t>
      </w:r>
    </w:p>
    <w:p w14:paraId="21B214F5">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default"/>
          <w:lang w:val="en-US" w:eastAsia="zh-CN"/>
        </w:rPr>
      </w:pPr>
      <w:r>
        <w:rPr>
          <w:rFonts w:hint="eastAsia"/>
          <w:lang w:val="en-US" w:eastAsia="zh-CN"/>
        </w:rPr>
        <w:t>考核办法及考核细则具体以合同签订为准。</w:t>
      </w:r>
    </w:p>
    <w:p w14:paraId="7408A566">
      <w:pPr>
        <w:pageBreakBefore w:val="0"/>
        <w:widowControl/>
        <w:kinsoku/>
        <w:wordWrap w:val="0"/>
        <w:topLinePunct/>
        <w:bidi w:val="0"/>
        <w:adjustRightInd w:val="0"/>
        <w:spacing w:beforeAutospacing="0" w:afterAutospacing="0" w:line="440" w:lineRule="exact"/>
        <w:ind w:firstLine="482" w:firstLineChars="200"/>
        <w:jc w:val="left"/>
        <w:textAlignment w:val="baseline"/>
        <w:rPr>
          <w:rFonts w:hint="eastAsia" w:ascii="仿宋" w:hAnsi="仿宋" w:eastAsia="仿宋" w:cs="仿宋"/>
          <w:b/>
          <w:bCs/>
          <w:color w:val="auto"/>
          <w:highlight w:val="none"/>
        </w:rPr>
      </w:pPr>
    </w:p>
    <w:p w14:paraId="74DAEAB4">
      <w:pPr>
        <w:pageBreakBefore w:val="0"/>
        <w:kinsoku/>
        <w:wordWrap w:val="0"/>
        <w:topLinePunct/>
        <w:bidi w:val="0"/>
        <w:spacing w:beforeAutospacing="0" w:afterAutospacing="0" w:line="440" w:lineRule="exact"/>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br w:type="page"/>
      </w:r>
    </w:p>
    <w:p w14:paraId="4239E472">
      <w:pPr>
        <w:pStyle w:val="7"/>
        <w:pageBreakBefore w:val="0"/>
        <w:kinsoku/>
        <w:bidi w:val="0"/>
        <w:spacing w:beforeAutospacing="0" w:afterAutospacing="0" w:line="440" w:lineRule="exact"/>
        <w:rPr>
          <w:rFonts w:hint="eastAsia" w:ascii="仿宋" w:hAnsi="仿宋" w:eastAsia="仿宋" w:cs="仿宋"/>
          <w:color w:val="auto"/>
          <w:highlight w:val="none"/>
        </w:rPr>
      </w:pPr>
      <w:bookmarkStart w:id="5" w:name="_Toc1180707375"/>
      <w:r>
        <w:rPr>
          <w:rFonts w:hint="eastAsia" w:ascii="仿宋" w:hAnsi="仿宋" w:eastAsia="仿宋" w:cs="仿宋"/>
          <w:color w:val="auto"/>
          <w:highlight w:val="none"/>
        </w:rPr>
        <w:t>第五章  杭州市富阳区政府采购合同主要条款</w:t>
      </w:r>
      <w:bookmarkEnd w:id="5"/>
    </w:p>
    <w:p w14:paraId="179AF017">
      <w:pPr>
        <w:pageBreakBefore w:val="0"/>
        <w:widowControl/>
        <w:kinsoku/>
        <w:wordWrap w:val="0"/>
        <w:topLinePunct/>
        <w:bidi w:val="0"/>
        <w:adjustRightInd w:val="0"/>
        <w:spacing w:beforeAutospacing="0" w:afterAutospacing="0" w:line="440" w:lineRule="exact"/>
        <w:jc w:val="center"/>
        <w:textAlignment w:val="baseline"/>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（本合同为合同样稿，最终稿由</w:t>
      </w:r>
      <w:r>
        <w:rPr>
          <w:rFonts w:hint="eastAsia" w:ascii="仿宋" w:hAnsi="仿宋" w:eastAsia="仿宋" w:cs="仿宋"/>
          <w:color w:val="auto"/>
          <w:kern w:val="0"/>
          <w:sz w:val="28"/>
          <w:szCs w:val="28"/>
          <w:highlight w:val="none"/>
          <w:lang w:eastAsia="zh-CN"/>
        </w:rPr>
        <w:t>双</w:t>
      </w:r>
      <w:r>
        <w:rPr>
          <w:rFonts w:hint="eastAsia" w:ascii="仿宋" w:hAnsi="仿宋" w:eastAsia="仿宋" w:cs="仿宋"/>
          <w:color w:val="auto"/>
          <w:kern w:val="0"/>
          <w:sz w:val="28"/>
          <w:szCs w:val="28"/>
          <w:highlight w:val="none"/>
        </w:rPr>
        <w:t>方协商后确定）</w:t>
      </w:r>
    </w:p>
    <w:p w14:paraId="70394034">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bCs/>
          <w:color w:val="auto"/>
          <w:kern w:val="0"/>
          <w:highlight w:val="none"/>
        </w:rPr>
      </w:pPr>
      <w:bookmarkStart w:id="6" w:name="_Toc1399953345"/>
    </w:p>
    <w:p w14:paraId="5CF69B55">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甲  方（采购人）：</w:t>
      </w:r>
    </w:p>
    <w:p w14:paraId="20B1C984">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乙  方（中标人）：</w:t>
      </w:r>
    </w:p>
    <w:p w14:paraId="03B0BFF7">
      <w:pPr>
        <w:pageBreakBefore w:val="0"/>
        <w:kinsoku/>
        <w:bidi w:val="0"/>
        <w:spacing w:beforeAutospacing="0" w:afterAutospacing="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highlight w:val="none"/>
        </w:rPr>
        <w:t>经过公开招标采购（编号：      ），确定</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为中标人，</w:t>
      </w: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none"/>
          <w:lang w:eastAsia="zh-CN"/>
        </w:rPr>
        <w:t>甲乙双方</w:t>
      </w:r>
      <w:r>
        <w:rPr>
          <w:rFonts w:hint="eastAsia" w:ascii="仿宋" w:hAnsi="仿宋" w:eastAsia="仿宋" w:cs="仿宋"/>
          <w:color w:val="auto"/>
          <w:sz w:val="24"/>
          <w:highlight w:val="none"/>
          <w:lang w:val="zh-CN"/>
        </w:rPr>
        <w:t>协商一致，约定以下合同</w:t>
      </w:r>
      <w:r>
        <w:rPr>
          <w:rFonts w:hint="eastAsia" w:ascii="仿宋" w:hAnsi="仿宋" w:eastAsia="仿宋" w:cs="仿宋"/>
          <w:color w:val="auto"/>
          <w:sz w:val="24"/>
          <w:highlight w:val="none"/>
        </w:rPr>
        <w:t>条款，以兹共同遵守、全面履行。</w:t>
      </w:r>
    </w:p>
    <w:p w14:paraId="3A7BC9B7">
      <w:pPr>
        <w:pageBreakBefore w:val="0"/>
        <w:shd w:val="clear" w:color="auto" w:fill="FFFFFF"/>
        <w:kinsoku/>
        <w:wordWrap w:val="0"/>
        <w:topLinePunct/>
        <w:bidi w:val="0"/>
        <w:adjustRightInd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第一条：采购清单及合同价格</w:t>
      </w:r>
    </w:p>
    <w:p w14:paraId="66332A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14:paraId="481AD2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01B1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675DE66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14:paraId="0BA80B33">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14:paraId="7C0294AE">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规格型号（或服务需求）</w:t>
            </w:r>
          </w:p>
        </w:tc>
        <w:tc>
          <w:tcPr>
            <w:tcW w:w="1449" w:type="dxa"/>
            <w:noWrap w:val="0"/>
            <w:vAlign w:val="top"/>
          </w:tcPr>
          <w:p w14:paraId="3F8432A6">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14:paraId="450CFD51">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14:paraId="6ACC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3D16D497">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14:paraId="6194AD35">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45547413">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DE9591A">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5B0C9DD">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64F3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3A52649">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14:paraId="117C2FB2">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5F2F8CF9">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7376C48">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4337A22C">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79F0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6A0836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14:paraId="3911E473">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476C27B8">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26A49128">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75FF6C78">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1527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13935BDF">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14:paraId="3F6BA882">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color w:val="auto"/>
          <w:kern w:val="0"/>
          <w:highlight w:val="none"/>
        </w:rPr>
        <w:t>注：</w:t>
      </w:r>
      <w:r>
        <w:rPr>
          <w:rFonts w:hint="eastAsia" w:ascii="仿宋" w:hAnsi="仿宋" w:eastAsia="仿宋" w:cs="仿宋"/>
          <w:bCs/>
          <w:color w:val="auto"/>
          <w:kern w:val="0"/>
          <w:highlight w:val="none"/>
        </w:rPr>
        <w:t>以上合同价包含本项目实施所需的一切费用，乙方需提供本项目采购明细清单（若项目要求）。</w:t>
      </w:r>
    </w:p>
    <w:p w14:paraId="01FCC2FC">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bCs/>
          <w:color w:val="auto"/>
          <w:kern w:val="0"/>
          <w:highlight w:val="none"/>
          <w:lang w:val="en-US" w:eastAsia="zh-CN"/>
        </w:rPr>
      </w:pPr>
      <w:r>
        <w:rPr>
          <w:rFonts w:hint="eastAsia" w:ascii="仿宋" w:hAnsi="仿宋" w:eastAsia="仿宋" w:cs="仿宋"/>
          <w:bCs/>
          <w:color w:val="auto"/>
          <w:kern w:val="0"/>
          <w:highlight w:val="none"/>
          <w:lang w:val="en-US" w:eastAsia="zh-CN"/>
        </w:rPr>
        <w:t>合同形式：固定总价合同/固定单价合同。</w:t>
      </w:r>
    </w:p>
    <w:p w14:paraId="3C180F68">
      <w:pPr>
        <w:pageBreakBefore w:val="0"/>
        <w:kinsoku/>
        <w:wordWrap w:val="0"/>
        <w:topLinePunct/>
        <w:bidi w:val="0"/>
        <w:adjustRightInd w:val="0"/>
        <w:spacing w:beforeAutospacing="0" w:afterAutospacing="0"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第二条：质量保证</w:t>
      </w:r>
    </w:p>
    <w:p w14:paraId="071EDD31">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本项目标的物的质保期为：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17A334E6">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乙方应建立和完善履行合同的内部质量保证体系，并提供相关内部规章制度给甲方，以便甲方进行监督检查；</w:t>
      </w:r>
    </w:p>
    <w:p w14:paraId="46777B90">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乙方应保证履行合同的人员数量和素质、软件和硬件设备的配置、场地、环境和设施等满足全面履行合同的要求，并应接受甲方的监督检查。</w:t>
      </w:r>
    </w:p>
    <w:p w14:paraId="5E9E86D6">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14:paraId="1C04207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因乙方原因造成甲方其他系统不能正常运行，酿成重大事故（工作日系统中断一天以上）的，乙方应承担全部法律责任，并赔偿经济损失，赔偿金额为项目总价的30%。    </w:t>
      </w:r>
    </w:p>
    <w:p w14:paraId="77A363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highlight w:val="none"/>
        </w:rPr>
        <w:t>第三条：</w:t>
      </w:r>
      <w:r>
        <w:rPr>
          <w:rFonts w:hint="eastAsia" w:ascii="仿宋" w:hAnsi="仿宋" w:eastAsia="仿宋" w:cs="仿宋"/>
          <w:b/>
          <w:bCs/>
          <w:color w:val="auto"/>
          <w:sz w:val="24"/>
          <w:szCs w:val="24"/>
          <w:highlight w:val="none"/>
          <w:lang w:val="en-US" w:eastAsia="zh-CN"/>
        </w:rPr>
        <w:t>标的物交付期限、地点、方式</w:t>
      </w:r>
    </w:p>
    <w:p w14:paraId="2C7A5C54">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交付期限：</w:t>
      </w:r>
      <w:r>
        <w:rPr>
          <w:rFonts w:hint="eastAsia" w:ascii="仿宋" w:hAnsi="仿宋" w:eastAsia="仿宋" w:cs="仿宋"/>
          <w:color w:val="auto"/>
          <w:sz w:val="24"/>
          <w:szCs w:val="24"/>
          <w:highlight w:val="none"/>
          <w:u w:val="single"/>
          <w:lang w:val="en-US" w:eastAsia="zh-CN"/>
        </w:rPr>
        <w:t xml:space="preserve">                                 </w:t>
      </w:r>
    </w:p>
    <w:p w14:paraId="16FD8CA9">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交付地点：</w:t>
      </w:r>
      <w:r>
        <w:rPr>
          <w:rFonts w:hint="eastAsia" w:ascii="仿宋" w:hAnsi="仿宋" w:eastAsia="仿宋" w:cs="仿宋"/>
          <w:color w:val="auto"/>
          <w:sz w:val="24"/>
          <w:szCs w:val="24"/>
          <w:highlight w:val="none"/>
          <w:u w:val="single"/>
          <w:lang w:val="en-US" w:eastAsia="zh-CN"/>
        </w:rPr>
        <w:t xml:space="preserve">                                 </w:t>
      </w:r>
    </w:p>
    <w:p w14:paraId="6AF111D0">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交付方式：</w:t>
      </w:r>
      <w:r>
        <w:rPr>
          <w:rFonts w:hint="eastAsia" w:ascii="仿宋" w:hAnsi="仿宋" w:eastAsia="仿宋" w:cs="仿宋"/>
          <w:color w:val="auto"/>
          <w:sz w:val="24"/>
          <w:szCs w:val="24"/>
          <w:highlight w:val="none"/>
          <w:u w:val="single"/>
          <w:lang w:val="en-US" w:eastAsia="zh-CN"/>
        </w:rPr>
        <w:t xml:space="preserve">                                 </w:t>
      </w:r>
    </w:p>
    <w:p w14:paraId="698A32C0">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交付说明：</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标的物</w:t>
      </w:r>
      <w:r>
        <w:rPr>
          <w:rFonts w:hint="eastAsia" w:ascii="仿宋" w:hAnsi="仿宋" w:eastAsia="仿宋" w:cs="仿宋"/>
          <w:color w:val="auto"/>
          <w:sz w:val="24"/>
          <w:szCs w:val="24"/>
          <w:highlight w:val="none"/>
        </w:rPr>
        <w:t>交付使用时，乙方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向甲方提供发票、产品合格证、使用维修说明书、质量保证书、保修卡等</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具备的相关资料和必备的附件。为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办理设备保修手续，并向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提供原产服务承诺书原件。乙方</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提供切实、高效、优质的售后服务，主要产品按要求提供原厂家质保承诺书。供货时，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在商品的右侧面显著位置粘贴公司标签，注明公司名称、地址、服务电话及供货日期等。</w:t>
      </w:r>
    </w:p>
    <w:p w14:paraId="39B555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第四条：技术规范</w:t>
      </w:r>
    </w:p>
    <w:p w14:paraId="240256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0FB4C93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第五条：知识产权</w:t>
      </w:r>
    </w:p>
    <w:p w14:paraId="737CF0A4">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43E06F21">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具有知识产权的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等标的物的知识产权归属，详见以下专用条款：</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1FDFA1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第六条：技术资料和保密义务</w:t>
      </w:r>
    </w:p>
    <w:p w14:paraId="670AA4AB">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乙方有权依据合同约定和项目需要，向甲方了解有关情况，调阅有关资料等，甲方应予积极配合；</w:t>
      </w:r>
    </w:p>
    <w:p w14:paraId="3066133F">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乙方有义务妥善保管和保护由甲方提供的前款信息和资料等；</w:t>
      </w:r>
    </w:p>
    <w:p w14:paraId="16E3A7DB">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6C9DC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第七条：包装和运输（货物类）</w:t>
      </w:r>
    </w:p>
    <w:p w14:paraId="4759B5E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另有约定外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乙方交付的全部标的物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13C4A0D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highlight w:val="none"/>
        </w:rPr>
        <w:t>第</w:t>
      </w:r>
      <w:r>
        <w:rPr>
          <w:rFonts w:hint="eastAsia" w:ascii="仿宋" w:hAnsi="仿宋" w:eastAsia="仿宋" w:cs="仿宋"/>
          <w:b/>
          <w:bCs/>
          <w:color w:val="auto"/>
          <w:kern w:val="0"/>
          <w:highlight w:val="none"/>
          <w:lang w:eastAsia="zh-CN"/>
        </w:rPr>
        <w:t>八</w:t>
      </w:r>
      <w:r>
        <w:rPr>
          <w:rFonts w:hint="eastAsia" w:ascii="仿宋" w:hAnsi="仿宋" w:eastAsia="仿宋" w:cs="仿宋"/>
          <w:b/>
          <w:bCs/>
          <w:color w:val="auto"/>
          <w:kern w:val="0"/>
          <w:highlight w:val="none"/>
        </w:rPr>
        <w:t>条：</w:t>
      </w:r>
      <w:r>
        <w:rPr>
          <w:rFonts w:hint="eastAsia" w:ascii="仿宋" w:hAnsi="仿宋" w:eastAsia="仿宋" w:cs="仿宋"/>
          <w:b/>
          <w:bCs/>
          <w:color w:val="auto"/>
          <w:sz w:val="24"/>
          <w:szCs w:val="24"/>
          <w:highlight w:val="none"/>
          <w:lang w:val="en-US" w:eastAsia="zh-CN"/>
        </w:rPr>
        <w:t>检验和验收</w:t>
      </w:r>
    </w:p>
    <w:p w14:paraId="3F4077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427F7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14:paraId="38DFE8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14:paraId="03F41E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w:t>
      </w:r>
    </w:p>
    <w:p w14:paraId="2D047A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lang w:eastAsia="zh-CN"/>
        </w:rPr>
        <w:t>的时间、方案及</w:t>
      </w:r>
      <w:r>
        <w:rPr>
          <w:rFonts w:hint="eastAsia" w:ascii="仿宋" w:hAnsi="仿宋" w:eastAsia="仿宋" w:cs="仿宋"/>
          <w:color w:val="auto"/>
          <w:sz w:val="24"/>
          <w:szCs w:val="24"/>
          <w:highlight w:val="none"/>
        </w:rPr>
        <w:t>标准、程序</w:t>
      </w:r>
      <w:r>
        <w:rPr>
          <w:rFonts w:hint="eastAsia" w:ascii="仿宋" w:hAnsi="仿宋" w:eastAsia="仿宋" w:cs="仿宋"/>
          <w:color w:val="auto"/>
          <w:sz w:val="24"/>
          <w:szCs w:val="24"/>
          <w:highlight w:val="none"/>
          <w:lang w:eastAsia="zh-CN"/>
        </w:rPr>
        <w:t>、费用</w:t>
      </w:r>
      <w:r>
        <w:rPr>
          <w:rFonts w:hint="eastAsia" w:ascii="仿宋" w:hAnsi="仿宋" w:eastAsia="仿宋" w:cs="仿宋"/>
          <w:color w:val="auto"/>
          <w:sz w:val="24"/>
          <w:szCs w:val="24"/>
          <w:highlight w:val="none"/>
        </w:rPr>
        <w:t>等具体内容以及前述</w:t>
      </w:r>
      <w:r>
        <w:rPr>
          <w:rFonts w:hint="eastAsia" w:ascii="仿宋" w:hAnsi="仿宋" w:eastAsia="仿宋" w:cs="仿宋"/>
          <w:color w:val="auto"/>
          <w:sz w:val="24"/>
          <w:szCs w:val="24"/>
          <w:highlight w:val="none"/>
          <w:lang w:eastAsia="zh-CN"/>
        </w:rPr>
        <w:t>验收报告</w:t>
      </w:r>
      <w:r>
        <w:rPr>
          <w:rFonts w:hint="eastAsia" w:ascii="仿宋" w:hAnsi="仿宋" w:eastAsia="仿宋" w:cs="仿宋"/>
          <w:color w:val="auto"/>
          <w:sz w:val="24"/>
          <w:szCs w:val="24"/>
          <w:highlight w:val="none"/>
        </w:rPr>
        <w:t>的效力</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lang w:val="en-US" w:eastAsia="zh-CN"/>
        </w:rPr>
        <w:t xml:space="preserve">                               </w:t>
      </w:r>
    </w:p>
    <w:p w14:paraId="25A3E8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lang w:val="en-US" w:eastAsia="zh-CN"/>
        </w:rPr>
        <w:t>请参考采购文件要求。）</w:t>
      </w:r>
    </w:p>
    <w:p w14:paraId="2D8C28CB">
      <w:pPr>
        <w:pageBreakBefore w:val="0"/>
        <w:kinsoku/>
        <w:wordWrap w:val="0"/>
        <w:topLinePunct/>
        <w:bidi w:val="0"/>
        <w:adjustRightInd w:val="0"/>
        <w:spacing w:beforeAutospacing="0" w:afterAutospacing="0"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w:t>
      </w:r>
      <w:r>
        <w:rPr>
          <w:rFonts w:hint="eastAsia" w:ascii="仿宋" w:hAnsi="仿宋" w:eastAsia="仿宋" w:cs="仿宋"/>
          <w:b/>
          <w:bCs/>
          <w:color w:val="auto"/>
          <w:kern w:val="0"/>
          <w:highlight w:val="none"/>
          <w:lang w:eastAsia="zh-CN"/>
        </w:rPr>
        <w:t>九</w:t>
      </w:r>
      <w:r>
        <w:rPr>
          <w:rFonts w:hint="eastAsia" w:ascii="仿宋" w:hAnsi="仿宋" w:eastAsia="仿宋" w:cs="仿宋"/>
          <w:b/>
          <w:bCs/>
          <w:color w:val="auto"/>
          <w:kern w:val="0"/>
          <w:highlight w:val="none"/>
        </w:rPr>
        <w:t>条：</w:t>
      </w:r>
      <w:r>
        <w:rPr>
          <w:rFonts w:hint="eastAsia" w:ascii="仿宋" w:hAnsi="仿宋" w:eastAsia="仿宋" w:cs="仿宋"/>
          <w:b/>
          <w:bCs/>
          <w:color w:val="auto"/>
          <w:kern w:val="0"/>
          <w:highlight w:val="none"/>
          <w:lang w:val="en-US" w:eastAsia="zh-CN"/>
        </w:rPr>
        <w:t>合同</w:t>
      </w:r>
      <w:r>
        <w:rPr>
          <w:rFonts w:hint="eastAsia" w:ascii="仿宋" w:hAnsi="仿宋" w:eastAsia="仿宋" w:cs="仿宋"/>
          <w:b/>
          <w:bCs/>
          <w:color w:val="auto"/>
          <w:kern w:val="0"/>
          <w:highlight w:val="none"/>
        </w:rPr>
        <w:t>款的支付</w:t>
      </w:r>
    </w:p>
    <w:p w14:paraId="63CBA3B2">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highlight w:val="none"/>
          <w:lang w:val="en-US" w:eastAsia="zh-CN"/>
        </w:rPr>
        <w:t>1.</w:t>
      </w:r>
      <w:r>
        <w:rPr>
          <w:rFonts w:hint="eastAsia" w:ascii="仿宋" w:hAnsi="仿宋" w:eastAsia="仿宋" w:cs="仿宋"/>
          <w:color w:val="auto"/>
          <w:kern w:val="0"/>
          <w:highlight w:val="none"/>
        </w:rPr>
        <w:t>政府采购的资金结算按照《富阳区财政局关于政府采购资金支付实行报备制的通知》执行。</w:t>
      </w:r>
      <w:r>
        <w:rPr>
          <w:rFonts w:hint="eastAsia" w:ascii="仿宋" w:hAnsi="仿宋" w:eastAsia="仿宋" w:cs="仿宋"/>
          <w:color w:val="auto"/>
          <w:highlight w:val="none"/>
        </w:rPr>
        <w:t>合同签订后，采购人预付金额为合同总价的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验收合格后支付</w:t>
      </w:r>
      <w:r>
        <w:rPr>
          <w:rFonts w:hint="eastAsia" w:ascii="仿宋" w:hAnsi="仿宋" w:eastAsia="仿宋" w:cs="仿宋"/>
          <w:color w:val="auto"/>
          <w:highlight w:val="none"/>
          <w:lang w:val="en-US" w:eastAsia="zh-CN"/>
        </w:rPr>
        <w:t>剩余</w:t>
      </w:r>
      <w:r>
        <w:rPr>
          <w:rFonts w:hint="eastAsia" w:ascii="仿宋" w:hAnsi="仿宋" w:eastAsia="仿宋" w:cs="仿宋"/>
          <w:color w:val="auto"/>
          <w:highlight w:val="none"/>
        </w:rPr>
        <w:t>款</w:t>
      </w:r>
      <w:r>
        <w:rPr>
          <w:rFonts w:hint="eastAsia" w:ascii="仿宋" w:hAnsi="仿宋" w:eastAsia="仿宋" w:cs="仿宋"/>
          <w:color w:val="auto"/>
          <w:highlight w:val="none"/>
          <w:lang w:eastAsia="zh-CN"/>
        </w:rPr>
        <w:t>项</w:t>
      </w:r>
      <w:r>
        <w:rPr>
          <w:rFonts w:hint="eastAsia" w:ascii="仿宋" w:hAnsi="仿宋" w:eastAsia="仿宋" w:cs="仿宋"/>
          <w:color w:val="auto"/>
          <w:highlight w:val="none"/>
        </w:rPr>
        <w:t>。</w:t>
      </w:r>
    </w:p>
    <w:p w14:paraId="4868D300">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2.乙方信息</w:t>
      </w:r>
    </w:p>
    <w:p w14:paraId="65A8423A">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乙方开户行名称：_________________</w:t>
      </w:r>
    </w:p>
    <w:p w14:paraId="00C39865">
      <w:pPr>
        <w:pageBreakBefore w:val="0"/>
        <w:kinsoku/>
        <w:wordWrap w:val="0"/>
        <w:topLinePunct/>
        <w:bidi w:val="0"/>
        <w:adjustRightInd w:val="0"/>
        <w:spacing w:beforeAutospacing="0" w:afterAutospacing="0"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开户行账号：_____________________</w:t>
      </w:r>
    </w:p>
    <w:p w14:paraId="4DDAA2F2">
      <w:pPr>
        <w:pageBreakBefore w:val="0"/>
        <w:numPr>
          <w:ilvl w:val="0"/>
          <w:numId w:val="0"/>
        </w:numPr>
        <w:kinsoku/>
        <w:wordWrap w:val="0"/>
        <w:topLinePunct/>
        <w:bidi w:val="0"/>
        <w:adjustRightInd w:val="0"/>
        <w:spacing w:beforeAutospacing="0" w:afterAutospacing="0"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预付款应在合同生效以及具备实施条件后7个工作日内支付。（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Cs w:val="24"/>
          <w:highlight w:val="none"/>
          <w:u w:val="none"/>
        </w:rPr>
        <w:t>对供应商为大型企业</w:t>
      </w:r>
      <w:r>
        <w:rPr>
          <w:rFonts w:hint="eastAsia" w:ascii="仿宋" w:hAnsi="仿宋" w:eastAsia="仿宋"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14:paraId="1F3A5BD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4.其余款项：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。对于满足合同约定支付条</w:t>
      </w:r>
    </w:p>
    <w:p w14:paraId="4280224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件的，采购人应自收到发票后5个工作日内将资金支付到合同约定的供应商账户。</w:t>
      </w:r>
    </w:p>
    <w:p w14:paraId="0AF4BF3A">
      <w:pPr>
        <w:pageBreakBefore w:val="0"/>
        <w:kinsoku/>
        <w:bidi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14:paraId="2BFD48A7">
      <w:pPr>
        <w:pageBreakBefore w:val="0"/>
        <w:kinsoku/>
        <w:wordWrap w:val="0"/>
        <w:topLinePunct/>
        <w:bidi w:val="0"/>
        <w:adjustRightInd w:val="0"/>
        <w:spacing w:beforeAutospacing="0" w:afterAutospacing="0" w:line="440" w:lineRule="exact"/>
        <w:ind w:firstLine="482" w:firstLineChars="200"/>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w:t>
      </w:r>
      <w:r>
        <w:rPr>
          <w:rFonts w:hint="eastAsia" w:ascii="仿宋" w:hAnsi="仿宋" w:eastAsia="仿宋" w:cs="仿宋"/>
          <w:b/>
          <w:bCs/>
          <w:color w:val="auto"/>
          <w:kern w:val="0"/>
          <w:highlight w:val="none"/>
          <w:lang w:eastAsia="zh-CN"/>
        </w:rPr>
        <w:t>十</w:t>
      </w:r>
      <w:r>
        <w:rPr>
          <w:rFonts w:hint="eastAsia" w:ascii="仿宋" w:hAnsi="仿宋" w:eastAsia="仿宋" w:cs="仿宋"/>
          <w:b/>
          <w:bCs/>
          <w:color w:val="auto"/>
          <w:kern w:val="0"/>
          <w:highlight w:val="none"/>
        </w:rPr>
        <w:t>条：履约保证金</w:t>
      </w:r>
    </w:p>
    <w:p w14:paraId="30E4A0C7">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1.乙方需</w:t>
      </w:r>
      <w:r>
        <w:rPr>
          <w:rFonts w:hint="eastAsia" w:ascii="仿宋" w:hAnsi="仿宋" w:eastAsia="仿宋" w:cs="仿宋"/>
          <w:color w:val="auto"/>
          <w:sz w:val="24"/>
          <w:szCs w:val="24"/>
          <w:highlight w:val="none"/>
        </w:rPr>
        <w:t>提交合同价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14:paraId="18F96F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w:t>
      </w:r>
      <w:r>
        <w:rPr>
          <w:rFonts w:hint="eastAsia" w:ascii="仿宋" w:hAnsi="仿宋" w:eastAsia="仿宋" w:cs="仿宋"/>
          <w:color w:val="auto"/>
          <w:kern w:val="0"/>
          <w:sz w:val="24"/>
          <w:highlight w:val="none"/>
        </w:rPr>
        <w:t>发生迟延支付中小企业款项的，按照《保障中小企业款项支付条例》第十五条执行。《保障中小企业款项支付条例》</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中华人民共和国国务院令第728号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第十五条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60B8AC41">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CD983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第十一条：售后服务</w:t>
      </w:r>
    </w:p>
    <w:p w14:paraId="116B439F">
      <w:pPr>
        <w:pStyle w:val="477"/>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w:t>
      </w:r>
      <w:r>
        <w:rPr>
          <w:rFonts w:hint="eastAsia" w:ascii="仿宋" w:hAnsi="仿宋" w:eastAsia="仿宋" w:cs="仿宋"/>
          <w:color w:val="auto"/>
          <w:sz w:val="24"/>
          <w:szCs w:val="24"/>
          <w:highlight w:val="none"/>
          <w:lang w:val="en-US" w:eastAsia="zh-CN"/>
        </w:rPr>
        <w:t>根据投标文件</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售后服务承诺：</w:t>
      </w:r>
    </w:p>
    <w:p w14:paraId="75040F91">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本合同项下货物的</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为最终验收合格之日起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w:t>
      </w:r>
    </w:p>
    <w:p w14:paraId="4F3BC1F6">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内应对提供的所有货物进行常规检查、调整等。</w:t>
      </w:r>
    </w:p>
    <w:p w14:paraId="4083B923">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乙方负责对甲方人员的全免（含交通食宿）集中技术培训（≥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人），及不少于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年的免费售后现场技术服务。</w:t>
      </w:r>
    </w:p>
    <w:p w14:paraId="79881D53">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17DE34BC">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满后，乙方仍提供维护服务，收取成本费。</w:t>
      </w:r>
    </w:p>
    <w:p w14:paraId="2AB2EF24">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货物在</w:t>
      </w:r>
      <w:r>
        <w:rPr>
          <w:rFonts w:hint="eastAsia" w:ascii="仿宋" w:hAnsi="仿宋" w:eastAsia="仿宋" w:cs="仿宋"/>
          <w:color w:val="auto"/>
          <w:sz w:val="24"/>
          <w:szCs w:val="24"/>
          <w:highlight w:val="none"/>
          <w:lang w:eastAsia="zh-CN"/>
        </w:rPr>
        <w:t>售后服务期</w:t>
      </w:r>
      <w:r>
        <w:rPr>
          <w:rFonts w:hint="eastAsia" w:ascii="仿宋" w:hAnsi="仿宋" w:eastAsia="仿宋" w:cs="仿宋"/>
          <w:color w:val="auto"/>
          <w:sz w:val="24"/>
          <w:szCs w:val="24"/>
          <w:highlight w:val="none"/>
        </w:rPr>
        <w:t>内或在应当由乙方负责的其他情况下，若由于乙方原因而造成货物不得不停止使用的情形，货物</w:t>
      </w:r>
      <w:r>
        <w:rPr>
          <w:rFonts w:hint="eastAsia" w:ascii="仿宋" w:hAnsi="仿宋" w:eastAsia="仿宋" w:cs="仿宋"/>
          <w:color w:val="auto"/>
          <w:sz w:val="24"/>
          <w:szCs w:val="24"/>
          <w:highlight w:val="none"/>
          <w:lang w:eastAsia="zh-CN"/>
        </w:rPr>
        <w:t>售后服务期及质保期</w:t>
      </w:r>
      <w:r>
        <w:rPr>
          <w:rFonts w:hint="eastAsia" w:ascii="仿宋" w:hAnsi="仿宋" w:eastAsia="仿宋" w:cs="仿宋"/>
          <w:color w:val="auto"/>
          <w:sz w:val="24"/>
          <w:szCs w:val="24"/>
          <w:highlight w:val="none"/>
        </w:rPr>
        <w:t>应依照停止使用的实际时间加以延长，由此给甲方造成的损失由乙方承担。</w:t>
      </w:r>
    </w:p>
    <w:p w14:paraId="2ACC0D8C">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乙方应提供电话、电子邮件、现场服务等方式的7*24小时的技术支持。若设备发生故障，乙方应在接到通知之时起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小时内赶赴现场处理问题。一般故障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小时内解决，重大故障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小时内解决。</w:t>
      </w:r>
    </w:p>
    <w:p w14:paraId="01C6E54F">
      <w:pPr>
        <w:pStyle w:val="477"/>
        <w:keepNext w:val="0"/>
        <w:keepLines w:val="0"/>
        <w:pageBreakBefore w:val="0"/>
        <w:widowControl w:val="0"/>
        <w:numPr>
          <w:ilvl w:val="0"/>
          <w:numId w:val="10"/>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如投标文件中承诺优于本条规定或其他本条未涉及的承诺，按投标文件中承诺执行。</w:t>
      </w:r>
    </w:p>
    <w:p w14:paraId="5A0971AA">
      <w:pPr>
        <w:pageBreakBefore w:val="0"/>
        <w:widowControl/>
        <w:kinsoku/>
        <w:wordWrap w:val="0"/>
        <w:topLinePunct/>
        <w:bidi w:val="0"/>
        <w:adjustRightInd w:val="0"/>
        <w:spacing w:beforeAutospacing="0" w:afterAutospacing="0" w:line="440" w:lineRule="exact"/>
        <w:ind w:firstLine="482" w:firstLineChars="200"/>
        <w:jc w:val="left"/>
        <w:textAlignment w:val="baseline"/>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w:t>
      </w:r>
      <w:r>
        <w:rPr>
          <w:rFonts w:hint="eastAsia" w:ascii="仿宋" w:hAnsi="仿宋" w:eastAsia="仿宋" w:cs="仿宋"/>
          <w:b/>
          <w:bCs/>
          <w:color w:val="auto"/>
          <w:kern w:val="0"/>
          <w:highlight w:val="none"/>
          <w:lang w:eastAsia="zh-CN"/>
        </w:rPr>
        <w:t>十一</w:t>
      </w:r>
      <w:r>
        <w:rPr>
          <w:rFonts w:hint="eastAsia" w:ascii="仿宋" w:hAnsi="仿宋" w:eastAsia="仿宋" w:cs="仿宋"/>
          <w:b/>
          <w:bCs/>
          <w:color w:val="auto"/>
          <w:kern w:val="0"/>
          <w:highlight w:val="none"/>
        </w:rPr>
        <w:t>条：违约责任</w:t>
      </w:r>
    </w:p>
    <w:p w14:paraId="69121215">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14:paraId="54A99E89">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40EA1C05">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8C838B">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C43782B">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705BEF">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0848DCD">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十二</w:t>
      </w:r>
      <w:r>
        <w:rPr>
          <w:rFonts w:hint="eastAsia" w:ascii="仿宋" w:hAnsi="仿宋" w:eastAsia="仿宋" w:cs="仿宋"/>
          <w:b/>
          <w:bCs/>
          <w:color w:val="auto"/>
          <w:highlight w:val="none"/>
        </w:rPr>
        <w:t>条：不可抗力事件处理</w:t>
      </w:r>
    </w:p>
    <w:p w14:paraId="011CE9B2">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1.在合同有效期内，任何一方因不可抗力事件导致不能履行合同，则合同履行期可延长，其延长期与不可抗力影响期相同。</w:t>
      </w:r>
    </w:p>
    <w:p w14:paraId="2B37FE79">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2.不可抗力事件发生后，应立即通知对方，并寄送有关权威机构出具的证明。</w:t>
      </w:r>
    </w:p>
    <w:p w14:paraId="153387B4">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3.不可抗力事件延续120天以上，双方应通过友好协商，确定是否继续履行合同。</w:t>
      </w:r>
    </w:p>
    <w:p w14:paraId="6E040C7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第十三条：合同的变更、中止和终止</w:t>
      </w:r>
    </w:p>
    <w:p w14:paraId="4F5D801C">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70C2EA0">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14:paraId="4716CB69">
      <w:pPr>
        <w:keepNext w:val="0"/>
        <w:keepLines w:val="0"/>
        <w:pageBreakBefore w:val="0"/>
        <w:widowControl w:val="0"/>
        <w:numPr>
          <w:ilvl w:val="0"/>
          <w:numId w:val="12"/>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14:paraId="304CD9E2">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b/>
          <w:bCs/>
          <w:color w:val="auto"/>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14:paraId="440BAC55">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十四</w:t>
      </w:r>
      <w:r>
        <w:rPr>
          <w:rFonts w:hint="eastAsia" w:ascii="仿宋" w:hAnsi="仿宋" w:eastAsia="仿宋" w:cs="仿宋"/>
          <w:b/>
          <w:bCs/>
          <w:color w:val="auto"/>
          <w:highlight w:val="none"/>
        </w:rPr>
        <w:t>条：争议的解决</w:t>
      </w:r>
    </w:p>
    <w:p w14:paraId="313FCE72">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本合同为政府采购之合同，在发生</w:t>
      </w:r>
      <w:r>
        <w:rPr>
          <w:rFonts w:hint="eastAsia" w:ascii="仿宋" w:hAnsi="仿宋" w:eastAsia="仿宋" w:cs="仿宋"/>
          <w:bCs/>
          <w:color w:val="auto"/>
          <w:highlight w:val="none"/>
          <w:lang w:eastAsia="zh-CN"/>
        </w:rPr>
        <w:t>产品</w:t>
      </w:r>
      <w:r>
        <w:rPr>
          <w:rFonts w:hint="eastAsia" w:ascii="仿宋" w:hAnsi="仿宋" w:eastAsia="仿宋" w:cs="仿宋"/>
          <w:bCs/>
          <w:color w:val="auto"/>
          <w:highlight w:val="none"/>
          <w:lang w:val="en-US" w:eastAsia="zh-CN"/>
        </w:rPr>
        <w:t>/</w:t>
      </w:r>
      <w:r>
        <w:rPr>
          <w:rFonts w:hint="eastAsia" w:ascii="仿宋" w:hAnsi="仿宋" w:eastAsia="仿宋" w:cs="仿宋"/>
          <w:bCs/>
          <w:color w:val="auto"/>
          <w:highlight w:val="none"/>
        </w:rPr>
        <w:t>服务</w:t>
      </w:r>
      <w:r>
        <w:rPr>
          <w:rFonts w:hint="eastAsia" w:ascii="仿宋" w:hAnsi="仿宋" w:eastAsia="仿宋" w:cs="仿宋"/>
          <w:bCs/>
          <w:color w:val="auto"/>
          <w:highlight w:val="none"/>
          <w:lang w:val="en-US" w:eastAsia="zh-CN"/>
        </w:rPr>
        <w:t>质量</w:t>
      </w:r>
      <w:r>
        <w:rPr>
          <w:rFonts w:hint="eastAsia" w:ascii="仿宋" w:hAnsi="仿宋" w:eastAsia="仿宋" w:cs="仿宋"/>
          <w:bCs/>
          <w:color w:val="auto"/>
          <w:highlight w:val="none"/>
        </w:rPr>
        <w:t>问题时，甲方有权直接向</w:t>
      </w:r>
      <w:r>
        <w:rPr>
          <w:rFonts w:hint="eastAsia" w:ascii="仿宋" w:hAnsi="仿宋" w:eastAsia="仿宋" w:cs="仿宋"/>
          <w:bCs/>
          <w:color w:val="auto"/>
          <w:highlight w:val="none"/>
          <w:lang w:eastAsia="zh-CN"/>
        </w:rPr>
        <w:t>乙</w:t>
      </w:r>
      <w:r>
        <w:rPr>
          <w:rFonts w:hint="eastAsia" w:ascii="仿宋" w:hAnsi="仿宋" w:eastAsia="仿宋" w:cs="仿宋"/>
          <w:bCs/>
          <w:color w:val="auto"/>
          <w:highlight w:val="none"/>
        </w:rPr>
        <w:t>方索赔，签订必要的书面处理协议。如协商不成，任何一方有权在合同签约地选择仲裁或诉讼的途径解决。</w:t>
      </w:r>
    </w:p>
    <w:p w14:paraId="5ABB43B1">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rFonts w:hint="eastAsia" w:ascii="仿宋" w:hAnsi="仿宋" w:eastAsia="仿宋" w:cs="仿宋"/>
          <w:b/>
          <w:color w:val="auto"/>
          <w:kern w:val="0"/>
          <w:highlight w:val="none"/>
        </w:rPr>
      </w:pPr>
      <w:r>
        <w:rPr>
          <w:rFonts w:hint="eastAsia" w:ascii="仿宋" w:hAnsi="仿宋" w:eastAsia="仿宋" w:cs="仿宋"/>
          <w:b/>
          <w:bCs/>
          <w:color w:val="auto"/>
          <w:highlight w:val="none"/>
        </w:rPr>
        <w:t>第十</w:t>
      </w:r>
      <w:r>
        <w:rPr>
          <w:rFonts w:hint="eastAsia" w:ascii="仿宋" w:hAnsi="仿宋" w:eastAsia="仿宋" w:cs="仿宋"/>
          <w:b/>
          <w:bCs/>
          <w:color w:val="auto"/>
          <w:highlight w:val="none"/>
          <w:lang w:eastAsia="zh-CN"/>
        </w:rPr>
        <w:t>五</w:t>
      </w:r>
      <w:r>
        <w:rPr>
          <w:rFonts w:hint="eastAsia" w:ascii="仿宋" w:hAnsi="仿宋" w:eastAsia="仿宋" w:cs="仿宋"/>
          <w:b/>
          <w:bCs/>
          <w:color w:val="auto"/>
          <w:highlight w:val="none"/>
        </w:rPr>
        <w:t>条：</w:t>
      </w:r>
      <w:r>
        <w:rPr>
          <w:rFonts w:hint="eastAsia" w:ascii="仿宋" w:hAnsi="仿宋" w:eastAsia="仿宋" w:cs="仿宋"/>
          <w:b/>
          <w:color w:val="auto"/>
          <w:kern w:val="0"/>
          <w:highlight w:val="none"/>
        </w:rPr>
        <w:t>合同的生效</w:t>
      </w:r>
    </w:p>
    <w:p w14:paraId="61126850">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bCs/>
          <w:color w:val="auto"/>
          <w:highlight w:val="none"/>
        </w:rPr>
      </w:pPr>
      <w:r>
        <w:rPr>
          <w:rFonts w:hint="eastAsia" w:ascii="仿宋" w:hAnsi="仿宋" w:eastAsia="仿宋" w:cs="仿宋"/>
          <w:bCs/>
          <w:color w:val="auto"/>
          <w:highlight w:val="none"/>
        </w:rPr>
        <w:t>本合同经甲方、乙方法定代表人或其委托人签字并加盖</w:t>
      </w:r>
      <w:r>
        <w:rPr>
          <w:rFonts w:hint="eastAsia" w:ascii="仿宋" w:hAnsi="仿宋" w:eastAsia="仿宋" w:cs="仿宋"/>
          <w:bCs/>
          <w:color w:val="auto"/>
          <w:highlight w:val="none"/>
          <w:lang w:eastAsia="zh-CN"/>
        </w:rPr>
        <w:t>双</w:t>
      </w:r>
      <w:r>
        <w:rPr>
          <w:rFonts w:hint="eastAsia" w:ascii="仿宋" w:hAnsi="仿宋" w:eastAsia="仿宋" w:cs="仿宋"/>
          <w:bCs/>
          <w:color w:val="auto"/>
          <w:highlight w:val="none"/>
        </w:rPr>
        <w:t>方公章后生效。</w:t>
      </w:r>
    </w:p>
    <w:p w14:paraId="21AAF752">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本合同壹式</w:t>
      </w:r>
      <w:r>
        <w:rPr>
          <w:rFonts w:hint="eastAsia" w:ascii="仿宋" w:hAnsi="仿宋" w:eastAsia="仿宋" w:cs="仿宋"/>
          <w:color w:val="auto"/>
          <w:kern w:val="0"/>
          <w:highlight w:val="none"/>
          <w:lang w:eastAsia="zh-CN"/>
        </w:rPr>
        <w:t>肆</w:t>
      </w:r>
      <w:r>
        <w:rPr>
          <w:rFonts w:hint="eastAsia" w:ascii="仿宋" w:hAnsi="仿宋" w:eastAsia="仿宋" w:cs="仿宋"/>
          <w:color w:val="auto"/>
          <w:kern w:val="0"/>
          <w:highlight w:val="none"/>
        </w:rPr>
        <w:t>份，甲乙双方各执贰份。</w:t>
      </w:r>
    </w:p>
    <w:p w14:paraId="74ADCF1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第十六条：适用法律</w:t>
      </w:r>
    </w:p>
    <w:p w14:paraId="041CFC3B">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14:paraId="259035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第十七条：特别说明</w:t>
      </w:r>
    </w:p>
    <w:p w14:paraId="1A01566C">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14:paraId="56DD04BE">
      <w:pPr>
        <w:keepNext w:val="0"/>
        <w:keepLines w:val="0"/>
        <w:pageBreakBefore w:val="0"/>
        <w:widowControl w:val="0"/>
        <w:numPr>
          <w:ilvl w:val="0"/>
          <w:numId w:val="13"/>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6DBF91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14:paraId="0853865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14:paraId="64F1C7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14:paraId="710D655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5D015CB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第十八条：中小企业政策</w:t>
      </w:r>
    </w:p>
    <w:p w14:paraId="4877E0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本合同（□是  □否）为可融资合同，关于中小企业信用融资事项可登陆</w:t>
      </w:r>
      <w:r>
        <w:rPr>
          <w:rFonts w:hint="eastAsia" w:ascii="仿宋" w:hAnsi="仿宋" w:eastAsia="仿宋" w:cs="仿宋"/>
          <w:color w:val="auto"/>
          <w:sz w:val="24"/>
          <w:szCs w:val="24"/>
          <w:highlight w:val="none"/>
          <w:lang w:val="en-US" w:eastAsia="zh-CN"/>
        </w:rPr>
        <w:t>《富阳区“政采贷”办理指引》https://mp.weixin.qq.com/s/6tyZ8daXvRqkU-EEVarAlQ</w:t>
      </w:r>
      <w:r>
        <w:rPr>
          <w:rFonts w:hint="eastAsia" w:ascii="仿宋" w:hAnsi="仿宋" w:eastAsia="仿宋" w:cs="仿宋"/>
          <w:color w:val="auto"/>
          <w:sz w:val="24"/>
          <w:szCs w:val="24"/>
          <w:highlight w:val="none"/>
          <w:lang w:val="zh-CN"/>
        </w:rPr>
        <w:t>进行查询。</w:t>
      </w:r>
    </w:p>
    <w:p w14:paraId="29DED946">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zh-CN"/>
        </w:rPr>
        <w:t>本合同（□是  □否）为中小企业预留合同。</w:t>
      </w:r>
    </w:p>
    <w:p w14:paraId="6C6614B9">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ascii="仿宋" w:hAnsi="仿宋" w:eastAsia="仿宋" w:cs="仿宋"/>
          <w:b/>
          <w:bCs/>
          <w:color w:val="auto"/>
          <w:kern w:val="0"/>
          <w:highlight w:val="none"/>
        </w:rPr>
      </w:pPr>
    </w:p>
    <w:p w14:paraId="0784BE9F">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甲方（公章）：                       乙方（公章）：</w:t>
      </w:r>
    </w:p>
    <w:p w14:paraId="548865CB">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法定代表人或受委托人（签字</w:t>
      </w:r>
      <w:r>
        <w:rPr>
          <w:rFonts w:hint="eastAsia" w:ascii="仿宋" w:hAnsi="仿宋" w:eastAsia="仿宋" w:cs="仿宋"/>
          <w:color w:val="auto"/>
          <w:kern w:val="0"/>
          <w:highlight w:val="none"/>
          <w:lang w:val="en-US" w:eastAsia="zh-CN"/>
        </w:rPr>
        <w:t>或盖章</w:t>
      </w:r>
      <w:r>
        <w:rPr>
          <w:rFonts w:hint="eastAsia" w:ascii="仿宋" w:hAnsi="仿宋" w:eastAsia="仿宋" w:cs="仿宋"/>
          <w:color w:val="auto"/>
          <w:kern w:val="0"/>
          <w:highlight w:val="none"/>
        </w:rPr>
        <w:t>）   法定代表人或受委托人（签字</w:t>
      </w:r>
      <w:r>
        <w:rPr>
          <w:rFonts w:hint="eastAsia" w:ascii="仿宋" w:hAnsi="仿宋" w:eastAsia="仿宋" w:cs="仿宋"/>
          <w:color w:val="auto"/>
          <w:kern w:val="0"/>
          <w:highlight w:val="none"/>
          <w:lang w:val="en-US" w:eastAsia="zh-CN"/>
        </w:rPr>
        <w:t>或盖章</w:t>
      </w:r>
      <w:r>
        <w:rPr>
          <w:rFonts w:hint="eastAsia" w:ascii="仿宋" w:hAnsi="仿宋" w:eastAsia="仿宋" w:cs="仿宋"/>
          <w:color w:val="auto"/>
          <w:kern w:val="0"/>
          <w:highlight w:val="none"/>
        </w:rPr>
        <w:t>）</w:t>
      </w:r>
    </w:p>
    <w:p w14:paraId="669578EF">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地址：                               地址：</w:t>
      </w:r>
    </w:p>
    <w:p w14:paraId="260EFAA3">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电话：                               电话：</w:t>
      </w:r>
    </w:p>
    <w:p w14:paraId="35A9FBB6">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ascii="仿宋" w:hAnsi="仿宋" w:eastAsia="仿宋" w:cs="仿宋"/>
          <w:color w:val="auto"/>
          <w:kern w:val="0"/>
          <w:highlight w:val="none"/>
        </w:rPr>
      </w:pPr>
    </w:p>
    <w:p w14:paraId="5BC4F769">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ascii="仿宋" w:hAnsi="仿宋" w:eastAsia="仿宋" w:cs="仿宋"/>
          <w:color w:val="auto"/>
          <w:kern w:val="0"/>
          <w:highlight w:val="none"/>
        </w:rPr>
      </w:pPr>
    </w:p>
    <w:p w14:paraId="5A3AFFEF">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ascii="仿宋" w:hAnsi="仿宋" w:eastAsia="仿宋" w:cs="仿宋"/>
          <w:color w:val="auto"/>
          <w:kern w:val="0"/>
          <w:highlight w:val="none"/>
        </w:rPr>
      </w:pPr>
      <w:r>
        <w:rPr>
          <w:rFonts w:hint="eastAsia" w:ascii="仿宋" w:hAnsi="仿宋" w:eastAsia="仿宋" w:cs="仿宋"/>
          <w:color w:val="auto"/>
          <w:kern w:val="0"/>
          <w:highlight w:val="none"/>
        </w:rPr>
        <w:t>签约时间：    年  月  日</w:t>
      </w:r>
    </w:p>
    <w:p w14:paraId="1C1A0C7D">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hint="eastAsia" w:ascii="仿宋" w:hAnsi="仿宋" w:eastAsia="仿宋" w:cs="仿宋"/>
          <w:b/>
          <w:bCs/>
          <w:color w:val="auto"/>
          <w:kern w:val="0"/>
          <w:highlight w:val="none"/>
        </w:rPr>
      </w:pPr>
      <w:r>
        <w:rPr>
          <w:rFonts w:hint="eastAsia" w:ascii="仿宋" w:hAnsi="仿宋" w:eastAsia="仿宋" w:cs="仿宋"/>
          <w:color w:val="auto"/>
          <w:kern w:val="0"/>
          <w:highlight w:val="none"/>
        </w:rPr>
        <w:t xml:space="preserve">                                  　签约地点：</w:t>
      </w:r>
    </w:p>
    <w:p w14:paraId="287931A3">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ascii="仿宋" w:hAnsi="仿宋" w:eastAsia="仿宋" w:cs="仿宋"/>
          <w:b/>
          <w:color w:val="auto"/>
          <w:kern w:val="0"/>
          <w:highlight w:val="none"/>
        </w:rPr>
        <w:sectPr>
          <w:headerReference r:id="rId12" w:type="default"/>
          <w:footerReference r:id="rId13" w:type="default"/>
          <w:pgSz w:w="11906" w:h="16838"/>
          <w:pgMar w:top="1417" w:right="1418" w:bottom="1417" w:left="1588" w:header="851" w:footer="992" w:gutter="0"/>
          <w:pgNumType w:fmt="decimal"/>
          <w:cols w:space="0" w:num="1"/>
          <w:docGrid w:type="lines" w:linePitch="312" w:charSpace="0"/>
        </w:sectPr>
      </w:pPr>
    </w:p>
    <w:p w14:paraId="6DA528B4">
      <w:pPr>
        <w:pStyle w:val="7"/>
        <w:pageBreakBefore w:val="0"/>
        <w:kinsoku/>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第六章 投标文件格式附件</w:t>
      </w:r>
      <w:bookmarkEnd w:id="6"/>
    </w:p>
    <w:p w14:paraId="0D40C0CD">
      <w:pPr>
        <w:pageBreakBefore w:val="0"/>
        <w:widowControl/>
        <w:kinsoku/>
        <w:wordWrap w:val="0"/>
        <w:topLinePunct/>
        <w:bidi w:val="0"/>
        <w:snapToGrid w:val="0"/>
        <w:spacing w:beforeAutospacing="0" w:afterAutospacing="0" w:line="440" w:lineRule="exact"/>
        <w:rPr>
          <w:rFonts w:hint="eastAsia" w:ascii="仿宋" w:hAnsi="仿宋" w:eastAsia="仿宋" w:cs="仿宋"/>
          <w:b/>
          <w:color w:val="auto"/>
          <w:kern w:val="0"/>
          <w:sz w:val="28"/>
          <w:highlight w:val="none"/>
        </w:rPr>
      </w:pPr>
    </w:p>
    <w:p w14:paraId="1B623BA6">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投标人提交投标文件须知：</w:t>
      </w:r>
    </w:p>
    <w:p w14:paraId="484C8E0A">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（一）投标人应严格按照以下要求填写和提交下述规定的全部格式文件以及其他有关资料，混乱的编排导致投标文件被误读或评标委员会查找不到有效文件是投标人的风险。</w:t>
      </w:r>
    </w:p>
    <w:p w14:paraId="238C6855">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（二）所附表格中要求回答的全部问题、信息都必须正面回答。</w:t>
      </w:r>
    </w:p>
    <w:p w14:paraId="7624B7D2">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（三）投标函的签字人应保证全部声明和问题的回答是真实的和准确的。</w:t>
      </w:r>
    </w:p>
    <w:p w14:paraId="58011362">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（四）评标委员会将应用投标人提交的资料作出自己的判断。</w:t>
      </w:r>
    </w:p>
    <w:p w14:paraId="354F7DAB">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（五）投标人提交的材料将在一定期限内被保密保存，但不退还。</w:t>
      </w:r>
    </w:p>
    <w:p w14:paraId="4BDE2256">
      <w:pPr>
        <w:pageBreakBefore w:val="0"/>
        <w:kinsoku/>
        <w:wordWrap w:val="0"/>
        <w:topLinePunct/>
        <w:bidi w:val="0"/>
        <w:spacing w:beforeAutospacing="0" w:afterAutospacing="0" w:line="440" w:lineRule="exact"/>
        <w:ind w:firstLine="480" w:firstLineChars="200"/>
        <w:rPr>
          <w:rFonts w:hint="eastAsia" w:ascii="仿宋" w:hAnsi="仿宋" w:eastAsia="仿宋" w:cs="仿宋"/>
          <w:b w:val="0"/>
          <w:bCs w:val="0"/>
          <w:color w:val="auto"/>
          <w:highlight w:val="none"/>
        </w:rPr>
      </w:pPr>
      <w:r>
        <w:rPr>
          <w:rFonts w:hint="eastAsia" w:ascii="仿宋" w:hAnsi="仿宋" w:eastAsia="仿宋" w:cs="仿宋"/>
          <w:color w:val="auto"/>
          <w:highlight w:val="none"/>
        </w:rPr>
        <w:t>（六）电子投标文件，需按政采云平台项目采购－电子招投标操作指南及本招标文件要求递交。电子投标文件均由资格文件、技术及商务文件、报价文件组成。投标人务必</w:t>
      </w:r>
      <w:r>
        <w:rPr>
          <w:rFonts w:hint="eastAsia" w:ascii="仿宋" w:hAnsi="仿宋" w:eastAsia="仿宋" w:cs="仿宋"/>
          <w:b w:val="0"/>
          <w:bCs w:val="0"/>
          <w:color w:val="auto"/>
          <w:highlight w:val="none"/>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2F5BD551">
      <w:pPr>
        <w:pageBreakBefore w:val="0"/>
        <w:kinsoku/>
        <w:bidi w:val="0"/>
        <w:spacing w:beforeAutospacing="0" w:afterAutospacing="0" w:line="44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br w:type="page"/>
      </w:r>
    </w:p>
    <w:p w14:paraId="1C3E52E9">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30"/>
          <w:szCs w:val="30"/>
          <w:highlight w:val="none"/>
        </w:rPr>
      </w:pPr>
    </w:p>
    <w:p w14:paraId="6FC1677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30"/>
          <w:szCs w:val="30"/>
          <w:highlight w:val="none"/>
        </w:rPr>
      </w:pPr>
    </w:p>
    <w:p w14:paraId="59E99819">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val="en-US" w:eastAsia="zh-CN"/>
        </w:rPr>
        <w:t>封面</w:t>
      </w:r>
      <w:r>
        <w:rPr>
          <w:rFonts w:hint="eastAsia" w:ascii="仿宋" w:hAnsi="仿宋" w:eastAsia="仿宋" w:cs="仿宋"/>
          <w:b/>
          <w:color w:val="auto"/>
          <w:sz w:val="32"/>
          <w:highlight w:val="none"/>
        </w:rPr>
        <w:t>格式供参考）</w:t>
      </w:r>
    </w:p>
    <w:p w14:paraId="1CA68A94">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资格文件</w:t>
      </w:r>
    </w:p>
    <w:p w14:paraId="5D7FC30C">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color w:val="auto"/>
          <w:sz w:val="28"/>
          <w:szCs w:val="28"/>
          <w:highlight w:val="none"/>
        </w:rPr>
      </w:pPr>
    </w:p>
    <w:p w14:paraId="0028737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AB5412B">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05147EE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w:t>
      </w:r>
      <w:r>
        <w:rPr>
          <w:rFonts w:hint="eastAsia" w:ascii="仿宋" w:hAnsi="仿宋" w:eastAsia="仿宋" w:cs="仿宋"/>
          <w:b/>
          <w:color w:val="auto"/>
          <w:sz w:val="30"/>
          <w:szCs w:val="30"/>
          <w:highlight w:val="none"/>
          <w:lang w:val="en-US" w:eastAsia="zh-CN"/>
        </w:rPr>
        <w:t>名</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u w:val="single"/>
        </w:rPr>
        <w:t xml:space="preserve">                      </w:t>
      </w:r>
    </w:p>
    <w:p w14:paraId="00813169">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color w:val="auto"/>
          <w:sz w:val="30"/>
          <w:szCs w:val="30"/>
          <w:highlight w:val="none"/>
        </w:rPr>
      </w:pPr>
    </w:p>
    <w:p w14:paraId="4F4A89E5">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color w:val="auto"/>
          <w:highlight w:val="none"/>
        </w:rPr>
      </w:pPr>
    </w:p>
    <w:p w14:paraId="36F7E80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color w:val="auto"/>
          <w:highlight w:val="none"/>
        </w:rPr>
      </w:pPr>
    </w:p>
    <w:p w14:paraId="368254F4">
      <w:pPr>
        <w:pageBreakBefore w:val="0"/>
        <w:kinsoku/>
        <w:bidi w:val="0"/>
        <w:spacing w:beforeAutospacing="0" w:afterAutospacing="0" w:line="440" w:lineRule="exact"/>
        <w:jc w:val="left"/>
        <w:rPr>
          <w:rFonts w:hint="eastAsia" w:ascii="仿宋" w:hAnsi="仿宋" w:eastAsia="仿宋" w:cs="仿宋"/>
          <w:color w:val="auto"/>
          <w:highlight w:val="none"/>
        </w:rPr>
      </w:pPr>
    </w:p>
    <w:p w14:paraId="5798CEB2">
      <w:pPr>
        <w:pageBreakBefore w:val="0"/>
        <w:kinsoku/>
        <w:bidi w:val="0"/>
        <w:snapToGrid w:val="0"/>
        <w:spacing w:beforeAutospacing="0" w:afterAutospacing="0" w:line="440" w:lineRule="exact"/>
        <w:ind w:firstLine="630" w:firstLineChars="196"/>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65EB164B">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0ABEBBB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可不提供）</w:t>
      </w:r>
    </w:p>
    <w:p w14:paraId="73A177DF">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color w:val="auto"/>
          <w:kern w:val="2"/>
          <w:sz w:val="24"/>
          <w:szCs w:val="24"/>
          <w:highlight w:val="none"/>
          <w:lang w:val="en-US" w:eastAsia="zh-CN" w:bidi="ar-SA"/>
        </w:rPr>
      </w:pPr>
    </w:p>
    <w:p w14:paraId="6FCD5B0F">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rFonts w:hint="eastAsia" w:ascii="仿宋" w:hAnsi="仿宋" w:eastAsia="仿宋" w:cs="仿宋"/>
          <w:color w:val="auto"/>
          <w:highlight w:val="none"/>
        </w:rPr>
      </w:pPr>
    </w:p>
    <w:p w14:paraId="4CF40F29">
      <w:pPr>
        <w:pStyle w:val="8"/>
        <w:rPr>
          <w:rFonts w:hint="eastAsia" w:ascii="仿宋" w:hAnsi="仿宋" w:eastAsia="仿宋" w:cs="仿宋"/>
          <w:color w:val="auto"/>
          <w:highlight w:val="none"/>
        </w:rPr>
      </w:pPr>
    </w:p>
    <w:p w14:paraId="5BD08704">
      <w:pPr>
        <w:rPr>
          <w:rFonts w:hint="eastAsia" w:ascii="仿宋" w:hAnsi="仿宋" w:eastAsia="仿宋" w:cs="仿宋"/>
          <w:color w:val="auto"/>
          <w:highlight w:val="none"/>
        </w:rPr>
      </w:pPr>
    </w:p>
    <w:p w14:paraId="3C15F7FE">
      <w:pPr>
        <w:rPr>
          <w:rFonts w:hint="eastAsia" w:ascii="仿宋" w:hAnsi="仿宋" w:eastAsia="仿宋" w:cs="仿宋"/>
          <w:color w:val="auto"/>
          <w:highlight w:val="none"/>
        </w:rPr>
      </w:pPr>
    </w:p>
    <w:p w14:paraId="0254A09B">
      <w:pPr>
        <w:pStyle w:val="106"/>
        <w:rPr>
          <w:rFonts w:hint="eastAsia" w:ascii="仿宋" w:hAnsi="仿宋" w:eastAsia="仿宋" w:cs="仿宋"/>
          <w:color w:val="auto"/>
          <w:highlight w:val="none"/>
        </w:rPr>
      </w:pPr>
    </w:p>
    <w:p w14:paraId="3214FCC3">
      <w:pPr>
        <w:pStyle w:val="838"/>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w:t>
      </w:r>
      <w:r>
        <w:rPr>
          <w:rFonts w:hint="eastAsia" w:ascii="仿宋" w:hAnsi="仿宋" w:eastAsia="仿宋" w:cs="仿宋"/>
          <w:color w:val="auto"/>
          <w:kern w:val="0"/>
          <w:highlight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702944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hint="eastAsia" w:ascii="仿宋" w:hAnsi="仿宋" w:eastAsia="仿宋" w:cs="仿宋"/>
          <w:color w:val="auto"/>
          <w:szCs w:val="24"/>
          <w:highlight w:val="none"/>
        </w:rPr>
      </w:pPr>
    </w:p>
    <w:p w14:paraId="50434CE9">
      <w:pPr>
        <w:pStyle w:val="11"/>
        <w:pageBreakBefore w:val="0"/>
        <w:kinsoku/>
        <w:bidi w:val="0"/>
        <w:spacing w:before="0" w:beforeAutospacing="0" w:after="0" w:afterAutospacing="0" w:line="440" w:lineRule="exact"/>
        <w:rPr>
          <w:rFonts w:hint="eastAsia" w:ascii="仿宋" w:hAnsi="仿宋" w:eastAsia="仿宋" w:cs="仿宋"/>
          <w:color w:val="auto"/>
          <w:highlight w:val="none"/>
          <w:u w:val="single"/>
        </w:rPr>
      </w:pPr>
    </w:p>
    <w:p w14:paraId="29D25272">
      <w:pPr>
        <w:pageBreakBefore w:val="0"/>
        <w:kinsoku/>
        <w:bidi w:val="0"/>
        <w:spacing w:beforeAutospacing="0" w:afterAutospacing="0" w:line="440" w:lineRule="exact"/>
        <w:rPr>
          <w:rFonts w:hint="eastAsia" w:ascii="仿宋" w:hAnsi="仿宋" w:eastAsia="仿宋" w:cs="仿宋"/>
          <w:color w:val="auto"/>
          <w:highlight w:val="none"/>
          <w:u w:val="single"/>
        </w:rPr>
      </w:pPr>
    </w:p>
    <w:p w14:paraId="6960BE5E">
      <w:pPr>
        <w:pStyle w:val="11"/>
        <w:pageBreakBefore w:val="0"/>
        <w:kinsoku/>
        <w:bidi w:val="0"/>
        <w:spacing w:before="0" w:beforeAutospacing="0" w:after="0" w:afterAutospacing="0" w:line="440" w:lineRule="exact"/>
        <w:ind w:left="0" w:firstLine="0"/>
        <w:rPr>
          <w:rFonts w:hint="eastAsia" w:ascii="仿宋" w:hAnsi="仿宋" w:eastAsia="仿宋" w:cs="仿宋"/>
          <w:color w:val="auto"/>
          <w:highlight w:val="none"/>
        </w:rPr>
      </w:pPr>
    </w:p>
    <w:p w14:paraId="23627982">
      <w:pPr>
        <w:pageBreakBefore w:val="0"/>
        <w:kinsoku/>
        <w:bidi w:val="0"/>
        <w:spacing w:beforeAutospacing="0" w:afterAutospacing="0" w:line="440" w:lineRule="exact"/>
        <w:rPr>
          <w:rFonts w:hint="eastAsia" w:ascii="仿宋" w:hAnsi="仿宋" w:eastAsia="仿宋" w:cs="仿宋"/>
          <w:color w:val="auto"/>
          <w:highlight w:val="none"/>
        </w:rPr>
      </w:pPr>
    </w:p>
    <w:p w14:paraId="7133C85A">
      <w:pPr>
        <w:pStyle w:val="8"/>
        <w:pageBreakBefore w:val="0"/>
        <w:kinsoku/>
        <w:bidi w:val="0"/>
        <w:spacing w:before="0" w:beforeAutospacing="0" w:after="0" w:afterAutospacing="0" w:line="440" w:lineRule="exact"/>
        <w:rPr>
          <w:rFonts w:hint="eastAsia" w:ascii="仿宋" w:hAnsi="仿宋" w:eastAsia="仿宋" w:cs="仿宋"/>
          <w:color w:val="auto"/>
          <w:highlight w:val="none"/>
        </w:rPr>
      </w:pPr>
    </w:p>
    <w:p w14:paraId="7623C7B3">
      <w:pPr>
        <w:pageBreakBefore w:val="0"/>
        <w:kinsoku/>
        <w:bidi w:val="0"/>
        <w:spacing w:beforeAutospacing="0" w:afterAutospacing="0" w:line="440" w:lineRule="exact"/>
        <w:rPr>
          <w:rFonts w:hint="eastAsia" w:ascii="仿宋" w:hAnsi="仿宋" w:eastAsia="仿宋" w:cs="仿宋"/>
          <w:color w:val="auto"/>
          <w:highlight w:val="none"/>
        </w:rPr>
      </w:pPr>
    </w:p>
    <w:p w14:paraId="75C59BEA">
      <w:pPr>
        <w:pageBreakBefore w:val="0"/>
        <w:kinsoku/>
        <w:bidi w:val="0"/>
        <w:spacing w:beforeAutospacing="0" w:afterAutospacing="0" w:line="440" w:lineRule="exact"/>
        <w:rPr>
          <w:rFonts w:hint="eastAsia" w:ascii="仿宋" w:hAnsi="仿宋" w:eastAsia="仿宋" w:cs="仿宋"/>
          <w:color w:val="auto"/>
          <w:highlight w:val="none"/>
        </w:rPr>
      </w:pPr>
    </w:p>
    <w:p w14:paraId="4CA8ECF9">
      <w:pPr>
        <w:pageBreakBefore w:val="0"/>
        <w:kinsoku/>
        <w:bidi w:val="0"/>
        <w:snapToGrid w:val="0"/>
        <w:spacing w:beforeAutospacing="0" w:afterAutospacing="0" w:line="440" w:lineRule="exact"/>
        <w:jc w:val="both"/>
        <w:rPr>
          <w:rFonts w:hint="eastAsia" w:ascii="仿宋" w:hAnsi="仿宋" w:eastAsia="仿宋" w:cs="仿宋"/>
          <w:b/>
          <w:color w:val="auto"/>
          <w:sz w:val="32"/>
          <w:szCs w:val="32"/>
          <w:highlight w:val="none"/>
        </w:rPr>
      </w:pPr>
    </w:p>
    <w:p w14:paraId="3A9660F7">
      <w:pPr>
        <w:pStyle w:val="106"/>
        <w:rPr>
          <w:rFonts w:hint="eastAsia" w:ascii="仿宋" w:hAnsi="仿宋" w:eastAsia="仿宋" w:cs="仿宋"/>
          <w:b/>
          <w:color w:val="auto"/>
          <w:sz w:val="32"/>
          <w:szCs w:val="32"/>
          <w:highlight w:val="none"/>
        </w:rPr>
      </w:pPr>
    </w:p>
    <w:p w14:paraId="413838DC">
      <w:pPr>
        <w:rPr>
          <w:rFonts w:hint="eastAsia" w:ascii="仿宋" w:hAnsi="仿宋" w:eastAsia="仿宋" w:cs="仿宋"/>
          <w:b/>
          <w:color w:val="auto"/>
          <w:sz w:val="32"/>
          <w:szCs w:val="32"/>
          <w:highlight w:val="none"/>
        </w:rPr>
      </w:pPr>
    </w:p>
    <w:p w14:paraId="1C54C55F">
      <w:pPr>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rPr>
      </w:pPr>
    </w:p>
    <w:p w14:paraId="07456795">
      <w:pPr>
        <w:snapToGrid w:val="0"/>
        <w:spacing w:line="360" w:lineRule="auto"/>
        <w:ind w:right="480"/>
        <w:jc w:val="center"/>
        <w:rPr>
          <w:rFonts w:hint="eastAsia" w:ascii="仿宋" w:hAnsi="仿宋" w:eastAsia="仿宋" w:cs="仿宋"/>
          <w:b/>
          <w:bCs w:val="0"/>
          <w:color w:val="auto"/>
          <w:kern w:val="2"/>
          <w:sz w:val="21"/>
          <w:szCs w:val="21"/>
          <w:highlight w:val="none"/>
          <w:lang w:val="en-US" w:eastAsia="zh-CN" w:bidi="ar-SA"/>
        </w:rPr>
      </w:pPr>
    </w:p>
    <w:p w14:paraId="71570AEA">
      <w:pPr>
        <w:snapToGrid w:val="0"/>
        <w:spacing w:line="360" w:lineRule="auto"/>
        <w:ind w:right="480"/>
        <w:jc w:val="center"/>
        <w:rPr>
          <w:rFonts w:hint="eastAsia" w:ascii="仿宋" w:hAnsi="仿宋" w:eastAsia="仿宋" w:cs="仿宋"/>
          <w:b/>
          <w:bCs w:val="0"/>
          <w:color w:val="auto"/>
          <w:kern w:val="2"/>
          <w:sz w:val="32"/>
          <w:szCs w:val="32"/>
          <w:highlight w:val="none"/>
          <w:lang w:val="en-US" w:eastAsia="zh-CN" w:bidi="ar-SA"/>
        </w:rPr>
        <w:sectPr>
          <w:headerReference r:id="rId14" w:type="default"/>
          <w:footerReference r:id="rId15" w:type="default"/>
          <w:pgSz w:w="11906" w:h="16838"/>
          <w:pgMar w:top="1247" w:right="1418" w:bottom="1247" w:left="1588" w:header="851" w:footer="992" w:gutter="0"/>
          <w:pgNumType w:fmt="decimal"/>
          <w:cols w:space="720" w:num="1"/>
          <w:docGrid w:type="lines" w:linePitch="312" w:charSpace="0"/>
        </w:sectPr>
      </w:pPr>
    </w:p>
    <w:p w14:paraId="55935B2D">
      <w:pPr>
        <w:snapToGrid w:val="0"/>
        <w:spacing w:line="360" w:lineRule="auto"/>
        <w:ind w:right="480"/>
        <w:jc w:val="center"/>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2"/>
          <w:sz w:val="32"/>
          <w:szCs w:val="32"/>
          <w:highlight w:val="none"/>
          <w:lang w:val="en-US" w:eastAsia="zh-CN" w:bidi="ar-SA"/>
        </w:rPr>
        <w:t>符合参加政府采购活动应当具备的一般条件的承诺函</w:t>
      </w:r>
    </w:p>
    <w:p w14:paraId="71C84DB2">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u w:val="single"/>
          <w:lang w:eastAsia="zh-CN"/>
        </w:rPr>
        <w:t>（采购人）、华诚工程咨询集团有限公司</w:t>
      </w:r>
      <w:r>
        <w:rPr>
          <w:rFonts w:hint="eastAsia" w:ascii="仿宋" w:hAnsi="仿宋" w:eastAsia="仿宋" w:cs="仿宋"/>
          <w:bCs/>
          <w:color w:val="auto"/>
          <w:sz w:val="24"/>
          <w:szCs w:val="24"/>
          <w:highlight w:val="none"/>
          <w:u w:val="single"/>
        </w:rPr>
        <w:t>：</w:t>
      </w:r>
    </w:p>
    <w:p w14:paraId="592AEB6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lang w:val="en-US" w:eastAsia="zh-CN"/>
        </w:rPr>
        <w:t xml:space="preserve">   项目</w:t>
      </w:r>
      <w:r>
        <w:rPr>
          <w:rFonts w:hint="eastAsia" w:ascii="仿宋" w:hAnsi="仿宋" w:eastAsia="仿宋" w:cs="仿宋"/>
          <w:color w:val="auto"/>
          <w:sz w:val="24"/>
          <w:szCs w:val="24"/>
          <w:highlight w:val="none"/>
          <w:u w:val="singl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】政府采购活动，郑重承诺：</w:t>
      </w:r>
    </w:p>
    <w:p w14:paraId="0D642D80">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63A6D33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5CCF8B4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3E430EF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6E01C5D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E11BC1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3EE1B2F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320A07C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w:t>
      </w:r>
      <w:r>
        <w:rPr>
          <w:rFonts w:hint="eastAsia" w:ascii="仿宋" w:hAnsi="仿宋" w:eastAsia="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56F4BDC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6CA3C30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726672B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696756B8">
      <w:pPr>
        <w:pStyle w:val="838"/>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color w:val="auto"/>
          <w:sz w:val="24"/>
          <w:szCs w:val="24"/>
          <w:highlight w:val="none"/>
        </w:rPr>
      </w:pPr>
    </w:p>
    <w:p w14:paraId="76FA55CE">
      <w:pPr>
        <w:pStyle w:val="838"/>
        <w:snapToGrid w:val="0"/>
        <w:spacing w:before="156" w:line="360" w:lineRule="auto"/>
        <w:ind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eastAsia="仿宋" w:cs="仿宋"/>
          <w:color w:val="auto"/>
          <w:kern w:val="0"/>
          <w:sz w:val="24"/>
          <w:szCs w:val="24"/>
          <w:highlight w:val="none"/>
          <w:u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547AC2D">
      <w:pPr>
        <w:snapToGrid w:val="0"/>
        <w:spacing w:before="156" w:after="50" w:line="460" w:lineRule="exact"/>
        <w:ind w:firstLine="3840" w:firstLineChars="16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2D9E60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p>
    <w:p w14:paraId="64F8830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highlight w:val="none"/>
          <w:u w:val="none"/>
          <w:lang w:val="en-US" w:eastAsia="zh-CN"/>
        </w:rPr>
        <w:sectPr>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color w:val="auto"/>
          <w:sz w:val="24"/>
          <w:szCs w:val="24"/>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sz w:val="24"/>
          <w:szCs w:val="24"/>
          <w:highlight w:val="none"/>
          <w:u w:val="single"/>
          <w:lang w:eastAsia="zh-CN"/>
        </w:rPr>
        <w:t>可不对本承诺函第（一）款第</w:t>
      </w:r>
      <w:r>
        <w:rPr>
          <w:rFonts w:hint="eastAsia" w:ascii="仿宋" w:hAnsi="仿宋" w:eastAsia="仿宋" w:cs="仿宋"/>
          <w:b/>
          <w:bCs/>
          <w:color w:val="auto"/>
          <w:sz w:val="24"/>
          <w:szCs w:val="24"/>
          <w:highlight w:val="none"/>
          <w:u w:val="single"/>
          <w:lang w:val="en-US" w:eastAsia="zh-CN"/>
        </w:rPr>
        <w:t>4点进行承诺</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color w:val="auto"/>
          <w:sz w:val="24"/>
          <w:szCs w:val="24"/>
          <w:highlight w:val="none"/>
          <w:u w:val="none"/>
          <w:lang w:eastAsia="zh-CN"/>
        </w:rPr>
        <w:t>但须详细说明失信记录的情况，否则按无效标处理。</w:t>
      </w:r>
    </w:p>
    <w:p w14:paraId="3C6D635F">
      <w:pPr>
        <w:spacing w:before="156"/>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特定资格条件要求的资质文件（若有）（复印件）</w:t>
      </w:r>
    </w:p>
    <w:p w14:paraId="6566D657">
      <w:pPr>
        <w:snapToGrid w:val="0"/>
        <w:spacing w:before="156" w:line="360" w:lineRule="auto"/>
        <w:ind w:firstLine="480"/>
        <w:rPr>
          <w:rFonts w:hint="eastAsia" w:ascii="仿宋" w:hAnsi="仿宋" w:eastAsia="仿宋" w:cs="仿宋"/>
          <w:color w:val="auto"/>
          <w:szCs w:val="22"/>
          <w:highlight w:val="none"/>
        </w:rPr>
      </w:pPr>
    </w:p>
    <w:p w14:paraId="6D98636C">
      <w:pPr>
        <w:pStyle w:val="8"/>
        <w:rPr>
          <w:rFonts w:hint="eastAsia" w:ascii="仿宋" w:hAnsi="仿宋" w:eastAsia="仿宋" w:cs="仿宋"/>
          <w:color w:val="auto"/>
          <w:highlight w:val="none"/>
        </w:rPr>
      </w:pPr>
    </w:p>
    <w:p w14:paraId="09A6EC9D">
      <w:pPr>
        <w:ind w:firstLine="480"/>
        <w:rPr>
          <w:rFonts w:hint="eastAsia" w:ascii="仿宋" w:hAnsi="仿宋" w:eastAsia="仿宋" w:cs="仿宋"/>
          <w:color w:val="auto"/>
          <w:highlight w:val="none"/>
        </w:rPr>
      </w:pPr>
      <w:r>
        <w:rPr>
          <w:rFonts w:hint="eastAsia" w:ascii="仿宋" w:hAnsi="仿宋" w:eastAsia="仿宋" w:cs="仿宋"/>
          <w:color w:val="auto"/>
          <w:highlight w:val="none"/>
        </w:rPr>
        <w:t>（由投标人根据招标文件中合格的投标人应具备的特定资格要求编制；如果本项目没有设置特定资格条件，则不需要提供）</w:t>
      </w:r>
    </w:p>
    <w:p w14:paraId="6A9B321E">
      <w:pPr>
        <w:ind w:left="480" w:leftChars="200" w:firstLine="0" w:firstLineChars="0"/>
        <w:rPr>
          <w:rFonts w:hint="eastAsia" w:ascii="仿宋" w:hAnsi="仿宋" w:eastAsia="仿宋" w:cs="仿宋"/>
          <w:color w:val="auto"/>
          <w:highlight w:val="none"/>
        </w:rPr>
      </w:pPr>
    </w:p>
    <w:p w14:paraId="334A812A">
      <w:pPr>
        <w:ind w:firstLine="480"/>
        <w:rPr>
          <w:rFonts w:hint="eastAsia" w:ascii="仿宋" w:hAnsi="仿宋" w:eastAsia="仿宋" w:cs="仿宋"/>
          <w:color w:val="auto"/>
          <w:highlight w:val="none"/>
        </w:rPr>
      </w:pPr>
    </w:p>
    <w:p w14:paraId="39A22967">
      <w:pPr>
        <w:pStyle w:val="8"/>
        <w:rPr>
          <w:rFonts w:hint="eastAsia" w:ascii="仿宋" w:hAnsi="仿宋" w:eastAsia="仿宋" w:cs="仿宋"/>
          <w:color w:val="auto"/>
          <w:highlight w:val="none"/>
        </w:rPr>
      </w:pPr>
    </w:p>
    <w:p w14:paraId="2B37F8F5">
      <w:pPr>
        <w:rPr>
          <w:rFonts w:hint="eastAsia" w:ascii="仿宋" w:hAnsi="仿宋" w:eastAsia="仿宋" w:cs="仿宋"/>
          <w:color w:val="auto"/>
          <w:highlight w:val="none"/>
        </w:rPr>
      </w:pPr>
    </w:p>
    <w:p w14:paraId="2F42D7DD">
      <w:pPr>
        <w:snapToGrid w:val="0"/>
        <w:spacing w:before="156"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A557B8A">
      <w:pPr>
        <w:snapToGrid w:val="0"/>
        <w:spacing w:before="156" w:after="50" w:line="460" w:lineRule="exact"/>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542A68DF">
      <w:pPr>
        <w:pStyle w:val="8"/>
        <w:rPr>
          <w:rFonts w:hint="eastAsia" w:ascii="仿宋" w:hAnsi="仿宋" w:eastAsia="仿宋" w:cs="仿宋"/>
          <w:color w:val="auto"/>
          <w:szCs w:val="24"/>
          <w:highlight w:val="none"/>
          <w:u w:val="single"/>
        </w:rPr>
      </w:pPr>
    </w:p>
    <w:p w14:paraId="1EBE42FE">
      <w:pPr>
        <w:rPr>
          <w:rFonts w:hint="eastAsia" w:ascii="仿宋" w:hAnsi="仿宋" w:eastAsia="仿宋" w:cs="仿宋"/>
          <w:color w:val="auto"/>
          <w:szCs w:val="24"/>
          <w:highlight w:val="none"/>
          <w:u w:val="single"/>
        </w:rPr>
      </w:pPr>
    </w:p>
    <w:p w14:paraId="65E97319">
      <w:pPr>
        <w:pStyle w:val="8"/>
        <w:rPr>
          <w:rFonts w:hint="eastAsia" w:ascii="仿宋" w:hAnsi="仿宋" w:eastAsia="仿宋" w:cs="仿宋"/>
          <w:color w:val="auto"/>
          <w:szCs w:val="24"/>
          <w:highlight w:val="none"/>
          <w:u w:val="single"/>
        </w:rPr>
      </w:pPr>
    </w:p>
    <w:p w14:paraId="605B5FC3">
      <w:pPr>
        <w:rPr>
          <w:rFonts w:hint="eastAsia" w:ascii="仿宋" w:hAnsi="仿宋" w:eastAsia="仿宋" w:cs="仿宋"/>
          <w:color w:val="auto"/>
          <w:szCs w:val="24"/>
          <w:highlight w:val="none"/>
          <w:u w:val="singl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3D09F2E7">
      <w:pPr>
        <w:spacing w:before="156" w:after="156" w:afterLines="50"/>
        <w:jc w:val="center"/>
        <w:rPr>
          <w:rFonts w:ascii="Times New Roman" w:hAnsi="Times New Roman" w:cs="Times New Roman"/>
          <w:b/>
          <w:bCs/>
          <w:kern w:val="2"/>
          <w:sz w:val="32"/>
          <w:szCs w:val="32"/>
        </w:rPr>
      </w:pPr>
      <w:r>
        <w:rPr>
          <w:rFonts w:hint="eastAsia" w:ascii="Times New Roman" w:hAnsi="Times New Roman" w:cs="Times New Roman"/>
          <w:b/>
          <w:bCs/>
          <w:kern w:val="2"/>
          <w:sz w:val="32"/>
          <w:szCs w:val="32"/>
        </w:rPr>
        <w:t>中小企业声明函（服务）</w:t>
      </w:r>
    </w:p>
    <w:p w14:paraId="564BF328">
      <w:pPr>
        <w:ind w:firstLine="480" w:firstLineChars="200"/>
      </w:pPr>
      <w:r>
        <w:rPr>
          <w:rFonts w:hint="eastAsia"/>
        </w:rPr>
        <w:t>本公司（联合体）郑重声明，根据《政府采购促进中小企业发展管理办法》（财库﹝2020﹞46 号）的规定，本公司（联合体）参加</w:t>
      </w:r>
      <w:r>
        <w:rPr>
          <w:rFonts w:hint="eastAsia"/>
          <w:u w:val="single"/>
        </w:rPr>
        <w:t>（        单位名称      ）</w:t>
      </w:r>
      <w:r>
        <w:rPr>
          <w:rFonts w:hint="eastAsia"/>
        </w:rPr>
        <w:t>的</w:t>
      </w:r>
      <w:r>
        <w:rPr>
          <w:rFonts w:hint="eastAsia"/>
          <w:u w:val="single"/>
        </w:rPr>
        <w:t>（      项目名称      ）</w:t>
      </w:r>
      <w:r>
        <w:rPr>
          <w:rFonts w:hint="eastAsia"/>
        </w:rPr>
        <w:t>采购活动，服务全部由符合政策要求的中小企业承接。相关企业（含联合体中的中小企业、签订分包意向协议的中小企业）的具体情况如下：</w:t>
      </w:r>
    </w:p>
    <w:tbl>
      <w:tblPr>
        <w:tblStyle w:val="90"/>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78"/>
        <w:gridCol w:w="1793"/>
        <w:gridCol w:w="1356"/>
        <w:gridCol w:w="1323"/>
        <w:gridCol w:w="1399"/>
        <w:gridCol w:w="1763"/>
      </w:tblGrid>
      <w:tr w14:paraId="4563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273" w:type="dxa"/>
            <w:vAlign w:val="center"/>
          </w:tcPr>
          <w:p w14:paraId="33E6A846">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标的</w:t>
            </w:r>
          </w:p>
          <w:p w14:paraId="2A031F33">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名称</w:t>
            </w:r>
          </w:p>
        </w:tc>
        <w:tc>
          <w:tcPr>
            <w:tcW w:w="1378" w:type="dxa"/>
            <w:vAlign w:val="center"/>
          </w:tcPr>
          <w:p w14:paraId="5CE88DD7">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采购文件中明确的所属行业</w:t>
            </w:r>
          </w:p>
        </w:tc>
        <w:tc>
          <w:tcPr>
            <w:tcW w:w="1793" w:type="dxa"/>
            <w:vAlign w:val="center"/>
          </w:tcPr>
          <w:p w14:paraId="79959F64">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承建（承接）企业</w:t>
            </w:r>
          </w:p>
          <w:p w14:paraId="73FFC34D">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（企业名称）</w:t>
            </w:r>
          </w:p>
        </w:tc>
        <w:tc>
          <w:tcPr>
            <w:tcW w:w="1356" w:type="dxa"/>
            <w:vAlign w:val="center"/>
          </w:tcPr>
          <w:p w14:paraId="43694A41">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从业人员（人）</w:t>
            </w:r>
          </w:p>
        </w:tc>
        <w:tc>
          <w:tcPr>
            <w:tcW w:w="1323" w:type="dxa"/>
            <w:vAlign w:val="center"/>
          </w:tcPr>
          <w:p w14:paraId="090CCF5C">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营业收入（万元）</w:t>
            </w:r>
          </w:p>
        </w:tc>
        <w:tc>
          <w:tcPr>
            <w:tcW w:w="1399" w:type="dxa"/>
            <w:vAlign w:val="center"/>
          </w:tcPr>
          <w:p w14:paraId="56778E01">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资产总额（万元）</w:t>
            </w:r>
          </w:p>
        </w:tc>
        <w:tc>
          <w:tcPr>
            <w:tcW w:w="1763" w:type="dxa"/>
            <w:vAlign w:val="center"/>
          </w:tcPr>
          <w:p w14:paraId="1BA188C2">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属于</w:t>
            </w:r>
          </w:p>
          <w:p w14:paraId="69F093D6">
            <w:pPr>
              <w:pStyle w:val="107"/>
              <w:widowControl w:val="0"/>
              <w:snapToGrid/>
              <w:spacing w:before="0" w:after="0" w:line="360" w:lineRule="auto"/>
              <w:ind w:left="0"/>
              <w:jc w:val="center"/>
              <w:rPr>
                <w:rFonts w:ascii="仿宋" w:hAnsi="仿宋"/>
                <w:szCs w:val="24"/>
                <w:lang w:bidi="ar"/>
              </w:rPr>
            </w:pPr>
            <w:r>
              <w:rPr>
                <w:rFonts w:hint="eastAsia" w:ascii="仿宋" w:hAnsi="仿宋"/>
                <w:szCs w:val="24"/>
                <w:lang w:bidi="ar"/>
              </w:rPr>
              <w:t>（中型企业、小型企业、微型企业）</w:t>
            </w:r>
          </w:p>
        </w:tc>
      </w:tr>
      <w:tr w14:paraId="5D5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73" w:type="dxa"/>
          </w:tcPr>
          <w:p w14:paraId="640CE76E">
            <w:pPr>
              <w:pStyle w:val="107"/>
              <w:widowControl w:val="0"/>
              <w:snapToGrid/>
              <w:spacing w:before="0" w:after="0" w:line="440" w:lineRule="exact"/>
              <w:ind w:left="0"/>
              <w:jc w:val="center"/>
              <w:rPr>
                <w:rFonts w:ascii="仿宋" w:hAnsi="仿宋"/>
              </w:rPr>
            </w:pPr>
            <w:r>
              <w:rPr>
                <w:rFonts w:ascii="仿宋" w:hAnsi="仿宋"/>
              </w:rPr>
              <w:t>有害垃圾分拣处置服务</w:t>
            </w:r>
          </w:p>
        </w:tc>
        <w:tc>
          <w:tcPr>
            <w:tcW w:w="1378" w:type="dxa"/>
          </w:tcPr>
          <w:p w14:paraId="2756BF2B">
            <w:pPr>
              <w:pStyle w:val="107"/>
              <w:widowControl w:val="0"/>
              <w:snapToGrid/>
              <w:spacing w:before="0" w:after="0" w:line="360" w:lineRule="auto"/>
              <w:ind w:left="0"/>
            </w:pPr>
            <w:r>
              <w:rPr>
                <w:rFonts w:hint="eastAsia"/>
              </w:rPr>
              <w:t>其他未列明行业</w:t>
            </w:r>
          </w:p>
        </w:tc>
        <w:tc>
          <w:tcPr>
            <w:tcW w:w="1793" w:type="dxa"/>
          </w:tcPr>
          <w:p w14:paraId="7E7DF397">
            <w:pPr>
              <w:pStyle w:val="107"/>
              <w:widowControl w:val="0"/>
              <w:snapToGrid/>
              <w:spacing w:before="0" w:after="0" w:line="360" w:lineRule="auto"/>
              <w:ind w:left="0"/>
            </w:pPr>
          </w:p>
        </w:tc>
        <w:tc>
          <w:tcPr>
            <w:tcW w:w="1356" w:type="dxa"/>
          </w:tcPr>
          <w:p w14:paraId="433BA0CA">
            <w:pPr>
              <w:pStyle w:val="107"/>
              <w:widowControl w:val="0"/>
              <w:snapToGrid/>
              <w:spacing w:before="0" w:after="0" w:line="360" w:lineRule="auto"/>
              <w:ind w:left="0"/>
            </w:pPr>
          </w:p>
        </w:tc>
        <w:tc>
          <w:tcPr>
            <w:tcW w:w="1323" w:type="dxa"/>
          </w:tcPr>
          <w:p w14:paraId="38D330B2">
            <w:pPr>
              <w:pStyle w:val="107"/>
              <w:widowControl w:val="0"/>
              <w:snapToGrid/>
              <w:spacing w:before="0" w:after="0" w:line="360" w:lineRule="auto"/>
              <w:ind w:left="0"/>
            </w:pPr>
          </w:p>
        </w:tc>
        <w:tc>
          <w:tcPr>
            <w:tcW w:w="1399" w:type="dxa"/>
          </w:tcPr>
          <w:p w14:paraId="3E50C4E4">
            <w:pPr>
              <w:pStyle w:val="107"/>
              <w:widowControl w:val="0"/>
              <w:snapToGrid/>
              <w:spacing w:before="0" w:after="0" w:line="360" w:lineRule="auto"/>
              <w:ind w:left="0"/>
            </w:pPr>
          </w:p>
        </w:tc>
        <w:tc>
          <w:tcPr>
            <w:tcW w:w="1763" w:type="dxa"/>
          </w:tcPr>
          <w:p w14:paraId="2B2998EA">
            <w:pPr>
              <w:pStyle w:val="107"/>
              <w:widowControl w:val="0"/>
              <w:snapToGrid/>
              <w:spacing w:before="0" w:after="0" w:line="360" w:lineRule="auto"/>
              <w:ind w:left="0"/>
            </w:pPr>
          </w:p>
        </w:tc>
      </w:tr>
    </w:tbl>
    <w:p w14:paraId="01C9C418">
      <w:pPr>
        <w:ind w:firstLine="480" w:firstLineChars="200"/>
      </w:pPr>
      <w:r>
        <w:rPr>
          <w:rFonts w:hint="eastAsia"/>
        </w:rPr>
        <w:t>以上企业，不属于大企业的分支机构，不存在控股股东为大企业的情形，也不存在与大企业的负责人为同一人的情形。</w:t>
      </w:r>
    </w:p>
    <w:p w14:paraId="402C38A1">
      <w:pPr>
        <w:ind w:firstLine="480" w:firstLineChars="200"/>
      </w:pPr>
      <w:r>
        <w:rPr>
          <w:rFonts w:hint="eastAsia"/>
        </w:rPr>
        <w:t xml:space="preserve">本企业对上述声明内容的真实性负责。如有虚假，将依法承担相应责任。 </w:t>
      </w:r>
    </w:p>
    <w:p w14:paraId="2E72AAE7">
      <w:pPr>
        <w:widowControl/>
        <w:jc w:val="left"/>
        <w:rPr>
          <w:kern w:val="0"/>
          <w:lang w:bidi="ar"/>
        </w:rPr>
      </w:pPr>
    </w:p>
    <w:p w14:paraId="07179FD6">
      <w:pPr>
        <w:ind w:firstLine="480" w:firstLineChars="200"/>
      </w:pPr>
      <w:r>
        <w:rPr>
          <w:rFonts w:hint="eastAsia"/>
        </w:rPr>
        <w:t>投标人全称（</w:t>
      </w:r>
      <w:r>
        <w:rPr>
          <w:rFonts w:hint="eastAsia"/>
          <w:lang w:val="zh-CN"/>
        </w:rPr>
        <w:t>电子签</w:t>
      </w:r>
      <w:r>
        <w:rPr>
          <w:rFonts w:hint="eastAsia"/>
        </w:rPr>
        <w:t>名）：</w:t>
      </w:r>
      <w:r>
        <w:rPr>
          <w:rFonts w:hint="eastAsia"/>
          <w:u w:val="single"/>
        </w:rPr>
        <w:t xml:space="preserve">                    </w:t>
      </w:r>
      <w:r>
        <w:rPr>
          <w:rFonts w:hint="eastAsia"/>
        </w:rPr>
        <w:t xml:space="preserve">  </w:t>
      </w:r>
    </w:p>
    <w:p w14:paraId="19F35512">
      <w:pPr>
        <w:ind w:firstLine="480" w:firstLineChars="200"/>
        <w:rPr>
          <w:u w:val="single"/>
        </w:rPr>
      </w:pPr>
      <w:r>
        <w:rPr>
          <w:rFonts w:hint="eastAsia"/>
        </w:rPr>
        <w:t>日  期：</w:t>
      </w:r>
      <w:r>
        <w:rPr>
          <w:rFonts w:hint="eastAsia"/>
          <w:u w:val="single"/>
        </w:rPr>
        <w:t xml:space="preserve">       年     月     日</w:t>
      </w:r>
    </w:p>
    <w:p w14:paraId="6C420E68"/>
    <w:p w14:paraId="4F0C06EA">
      <w:pPr>
        <w:ind w:firstLine="482" w:firstLineChars="200"/>
        <w:rPr>
          <w:b/>
          <w:bCs/>
        </w:rPr>
      </w:pPr>
      <w:r>
        <w:rPr>
          <w:rFonts w:hint="eastAsia"/>
          <w:b/>
          <w:bCs/>
        </w:rPr>
        <w:t>从业人员、营业收入、资产总额填报上一年度数据，无上一年度数据的新成立企业可不填报。</w:t>
      </w:r>
    </w:p>
    <w:p w14:paraId="018D2D1F">
      <w:pPr>
        <w:pStyle w:val="2"/>
        <w:spacing w:line="440" w:lineRule="exact"/>
        <w:ind w:right="482" w:firstLine="0"/>
        <w:rPr>
          <w:b/>
          <w:szCs w:val="24"/>
          <w:highlight w:val="cyan"/>
        </w:rPr>
      </w:pPr>
    </w:p>
    <w:p w14:paraId="2E965611">
      <w:pPr>
        <w:snapToGrid w:val="0"/>
        <w:spacing w:line="44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4172DB64">
      <w:pPr>
        <w:snapToGrid w:val="0"/>
        <w:spacing w:before="156" w:after="50" w:line="460" w:lineRule="exact"/>
        <w:jc w:val="center"/>
        <w:rPr>
          <w:rFonts w:ascii="仿宋_GB2312" w:eastAsia="仿宋_GB2312"/>
          <w:b/>
          <w:sz w:val="32"/>
          <w:szCs w:val="32"/>
        </w:rPr>
      </w:pPr>
    </w:p>
    <w:p w14:paraId="54FA53D0">
      <w:pPr>
        <w:snapToGrid w:val="0"/>
        <w:spacing w:before="156" w:after="50" w:line="460" w:lineRule="exact"/>
        <w:jc w:val="center"/>
        <w:rPr>
          <w:rFonts w:ascii="仿宋_GB2312" w:eastAsia="仿宋_GB2312"/>
          <w:b/>
          <w:sz w:val="32"/>
          <w:szCs w:val="32"/>
        </w:rPr>
      </w:pPr>
    </w:p>
    <w:p w14:paraId="51A1B1D2">
      <w:pPr>
        <w:pStyle w:val="2"/>
        <w:spacing w:before="124" w:after="124"/>
        <w:ind w:right="480" w:firstLine="0"/>
        <w:jc w:val="center"/>
        <w:rPr>
          <w:rFonts w:hint="eastAsia"/>
          <w:b/>
          <w:sz w:val="32"/>
          <w:szCs w:val="32"/>
        </w:rPr>
      </w:pPr>
    </w:p>
    <w:p w14:paraId="351128E2">
      <w:pPr>
        <w:pStyle w:val="2"/>
        <w:spacing w:before="124" w:after="124"/>
        <w:ind w:right="480" w:firstLine="0"/>
        <w:jc w:val="center"/>
        <w:rPr>
          <w:rFonts w:hint="eastAsia"/>
          <w:b/>
          <w:sz w:val="32"/>
          <w:szCs w:val="32"/>
        </w:rPr>
      </w:pPr>
    </w:p>
    <w:p w14:paraId="3E38A400">
      <w:pPr>
        <w:pStyle w:val="2"/>
        <w:spacing w:before="124" w:after="124"/>
        <w:ind w:right="480" w:firstLine="0"/>
        <w:jc w:val="center"/>
        <w:rPr>
          <w:szCs w:val="24"/>
        </w:rPr>
      </w:pPr>
      <w:r>
        <w:rPr>
          <w:rFonts w:hint="eastAsia"/>
          <w:b/>
          <w:sz w:val="32"/>
          <w:szCs w:val="32"/>
        </w:rPr>
        <w:t>残疾人福利性单位声明函</w:t>
      </w:r>
    </w:p>
    <w:p w14:paraId="3834BF8A">
      <w:pPr>
        <w:pStyle w:val="2"/>
        <w:spacing w:before="124" w:after="124"/>
        <w:ind w:right="482" w:firstLine="480" w:firstLineChars="200"/>
        <w:jc w:val="left"/>
        <w:rPr>
          <w:szCs w:val="24"/>
        </w:rPr>
      </w:pPr>
      <w:r>
        <w:rPr>
          <w:rFonts w:hint="eastAsia"/>
          <w:szCs w:val="24"/>
        </w:rPr>
        <w:t>本单位郑重声明，根据《财政部</w:t>
      </w:r>
      <w:r>
        <w:rPr>
          <w:rFonts w:ascii="Calibri" w:hAnsi="Calibri" w:cs="Calibri"/>
          <w:szCs w:val="24"/>
        </w:rPr>
        <w:t> </w:t>
      </w:r>
      <w:r>
        <w:rPr>
          <w:rFonts w:hint="eastAsia"/>
          <w:szCs w:val="24"/>
        </w:rPr>
        <w:t>民政部</w:t>
      </w:r>
      <w:r>
        <w:rPr>
          <w:rFonts w:ascii="Calibri" w:hAnsi="Calibri" w:cs="Calibri"/>
          <w:szCs w:val="24"/>
        </w:rPr>
        <w:t> </w:t>
      </w:r>
      <w:r>
        <w:rPr>
          <w:rFonts w:hint="eastAsia"/>
          <w:szCs w:val="24"/>
        </w:rPr>
        <w:t>中国残疾人联合会关于促进残疾人就业政府采购政策的通知》（财库〔2017〕</w:t>
      </w:r>
      <w:r>
        <w:rPr>
          <w:rFonts w:ascii="Calibri" w:hAnsi="Calibri" w:cs="Calibri"/>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B95BF1">
      <w:pPr>
        <w:pStyle w:val="2"/>
        <w:spacing w:before="124" w:after="124"/>
        <w:ind w:right="482" w:firstLine="480" w:firstLineChars="200"/>
        <w:jc w:val="left"/>
        <w:rPr>
          <w:szCs w:val="24"/>
        </w:rPr>
      </w:pPr>
      <w:r>
        <w:rPr>
          <w:rFonts w:hint="eastAsia"/>
          <w:szCs w:val="24"/>
        </w:rPr>
        <w:t>本单位对上述声明的真实性负责。如有虚假，将依法承担相应责任。</w:t>
      </w:r>
    </w:p>
    <w:p w14:paraId="71F67FA2">
      <w:pPr>
        <w:pStyle w:val="2"/>
        <w:spacing w:before="124" w:after="124"/>
        <w:ind w:right="480" w:firstLine="0"/>
        <w:jc w:val="left"/>
        <w:rPr>
          <w:szCs w:val="24"/>
        </w:rPr>
      </w:pPr>
      <w:r>
        <w:rPr>
          <w:rFonts w:hint="eastAsia"/>
          <w:szCs w:val="24"/>
        </w:rPr>
        <w:br w:type="textWrapping"/>
      </w:r>
      <w:r>
        <w:rPr>
          <w:rFonts w:hint="eastAsia"/>
          <w:szCs w:val="24"/>
        </w:rPr>
        <w:br w:type="textWrapping"/>
      </w:r>
      <w:r>
        <w:rPr>
          <w:rFonts w:ascii="Calibri" w:hAnsi="Calibri" w:cs="Calibri"/>
          <w:szCs w:val="24"/>
        </w:rPr>
        <w:t>        </w:t>
      </w:r>
      <w:r>
        <w:rPr>
          <w:rFonts w:hint="eastAsia"/>
          <w:szCs w:val="24"/>
        </w:rPr>
        <w:t xml:space="preserve">                     企业名称（电子签章）：</w:t>
      </w:r>
      <w:r>
        <w:rPr>
          <w:rFonts w:hint="eastAsia"/>
          <w:szCs w:val="24"/>
          <w:u w:val="single"/>
        </w:rPr>
        <w:t xml:space="preserve">                 </w:t>
      </w:r>
    </w:p>
    <w:p w14:paraId="4D7E4A79">
      <w:pPr>
        <w:spacing w:before="120"/>
        <w:ind w:firstLine="480" w:firstLineChars="200"/>
        <w:jc w:val="center"/>
        <w:rPr>
          <w:b/>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5C96FA8">
      <w:pPr>
        <w:widowControl/>
        <w:spacing w:before="120"/>
        <w:ind w:firstLine="480" w:firstLineChars="200"/>
        <w:jc w:val="left"/>
        <w:rPr>
          <w:kern w:val="0"/>
        </w:rPr>
      </w:pPr>
    </w:p>
    <w:p w14:paraId="7A5E2BD6">
      <w:pPr>
        <w:snapToGrid w:val="0"/>
        <w:rPr>
          <w:b/>
        </w:rPr>
      </w:pPr>
      <w:r>
        <w:rPr>
          <w:rFonts w:hint="eastAsia"/>
          <w:b/>
        </w:rPr>
        <w:t>注：供应商提供的《中小企业声明函》、《监狱企业声明函》、《残疾人福利性单位声明函》与事实不符的，依照《中华人民共和国政府采购法》等国家有关规定追究相应责任。</w:t>
      </w:r>
    </w:p>
    <w:p w14:paraId="7B916172">
      <w:pPr>
        <w:pStyle w:val="8"/>
        <w:ind w:left="0" w:leftChars="0" w:firstLine="0" w:firstLineChars="0"/>
        <w:jc w:val="both"/>
        <w:rPr>
          <w:rFonts w:hint="eastAsia" w:ascii="仿宋" w:hAnsi="仿宋" w:eastAsia="仿宋" w:cs="仿宋"/>
          <w:b/>
          <w:bCs w:val="0"/>
          <w:color w:val="auto"/>
          <w:kern w:val="2"/>
          <w:sz w:val="32"/>
          <w:szCs w:val="32"/>
          <w:highlight w:val="none"/>
          <w:lang w:val="en-US" w:eastAsia="zh-CN" w:bidi="ar-SA"/>
        </w:rPr>
      </w:pPr>
    </w:p>
    <w:p w14:paraId="1CADB909">
      <w:pPr>
        <w:pStyle w:val="8"/>
        <w:ind w:left="0" w:leftChars="0" w:firstLine="0" w:firstLineChars="0"/>
        <w:jc w:val="both"/>
        <w:rPr>
          <w:rFonts w:hint="eastAsia" w:ascii="仿宋" w:hAnsi="仿宋" w:eastAsia="仿宋" w:cs="仿宋"/>
          <w:b/>
          <w:bCs w:val="0"/>
          <w:color w:val="auto"/>
          <w:kern w:val="2"/>
          <w:sz w:val="32"/>
          <w:szCs w:val="32"/>
          <w:highlight w:val="none"/>
          <w:lang w:val="en-US" w:eastAsia="zh-CN" w:bidi="ar-SA"/>
        </w:rPr>
      </w:pPr>
    </w:p>
    <w:p w14:paraId="132FBB90">
      <w:pPr>
        <w:pStyle w:val="8"/>
        <w:ind w:left="0" w:leftChars="0" w:firstLine="0" w:firstLineChars="0"/>
        <w:jc w:val="both"/>
        <w:rPr>
          <w:rFonts w:hint="eastAsia" w:ascii="仿宋" w:hAnsi="仿宋" w:eastAsia="仿宋" w:cs="仿宋"/>
          <w:b/>
          <w:bCs w:val="0"/>
          <w:color w:val="auto"/>
          <w:kern w:val="2"/>
          <w:sz w:val="32"/>
          <w:szCs w:val="32"/>
          <w:highlight w:val="none"/>
          <w:lang w:val="en-US" w:eastAsia="zh-CN" w:bidi="ar-SA"/>
        </w:rPr>
      </w:pPr>
    </w:p>
    <w:p w14:paraId="7156E2F2">
      <w:pPr>
        <w:pStyle w:val="8"/>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val="0"/>
          <w:color w:val="auto"/>
          <w:kern w:val="2"/>
          <w:sz w:val="32"/>
          <w:szCs w:val="32"/>
          <w:highlight w:val="none"/>
          <w:lang w:val="en-US" w:eastAsia="zh-CN" w:bidi="ar-SA"/>
        </w:rPr>
        <w:t>具有独立承担民事责任能力的证明材料或政策依据（若有）</w:t>
      </w:r>
    </w:p>
    <w:p w14:paraId="0E90CA39">
      <w:pPr>
        <w:pStyle w:val="8"/>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29BC654A">
      <w:pPr>
        <w:rPr>
          <w:rFonts w:hint="eastAsia" w:ascii="仿宋" w:hAnsi="仿宋" w:eastAsia="仿宋" w:cs="仿宋"/>
          <w:color w:val="auto"/>
          <w:highlight w:val="none"/>
        </w:rPr>
      </w:pPr>
      <w:r>
        <w:rPr>
          <w:rFonts w:hint="eastAsia" w:ascii="仿宋" w:hAnsi="仿宋" w:eastAsia="仿宋" w:cs="仿宋"/>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131039">
      <w:pPr>
        <w:snapToGrid w:val="0"/>
        <w:spacing w:before="156" w:line="360" w:lineRule="auto"/>
        <w:ind w:firstLine="480"/>
        <w:rPr>
          <w:rFonts w:hint="eastAsia" w:ascii="仿宋" w:hAnsi="仿宋" w:eastAsia="仿宋" w:cs="仿宋"/>
          <w:color w:val="auto"/>
          <w:szCs w:val="24"/>
          <w:highlight w:val="none"/>
        </w:rPr>
      </w:pPr>
    </w:p>
    <w:p w14:paraId="3CFD7EC0">
      <w:pPr>
        <w:snapToGrid w:val="0"/>
        <w:spacing w:before="156"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0DC10B84">
      <w:pPr>
        <w:snapToGrid w:val="0"/>
        <w:spacing w:before="156" w:after="50" w:line="460" w:lineRule="exact"/>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7C47EE73">
      <w:pPr>
        <w:snapToGrid w:val="0"/>
        <w:spacing w:line="360" w:lineRule="auto"/>
        <w:ind w:right="480" w:firstLine="480"/>
        <w:jc w:val="center"/>
        <w:rPr>
          <w:rFonts w:hint="eastAsia" w:ascii="仿宋" w:hAnsi="仿宋" w:eastAsia="仿宋" w:cs="仿宋"/>
          <w:color w:val="auto"/>
          <w:szCs w:val="24"/>
          <w:highlight w:val="none"/>
        </w:rPr>
      </w:pPr>
    </w:p>
    <w:p w14:paraId="4AAF3903">
      <w:pPr>
        <w:pStyle w:val="8"/>
        <w:spacing w:before="156" w:after="156"/>
        <w:ind w:firstLine="482"/>
        <w:rPr>
          <w:rFonts w:hint="eastAsia" w:ascii="仿宋" w:hAnsi="仿宋" w:eastAsia="仿宋" w:cs="仿宋"/>
          <w:color w:val="auto"/>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3C125E2">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7AA0D6E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30"/>
          <w:szCs w:val="30"/>
          <w:highlight w:val="none"/>
        </w:rPr>
      </w:pPr>
    </w:p>
    <w:p w14:paraId="446517F8">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val="en-US" w:eastAsia="zh-CN"/>
        </w:rPr>
        <w:t>封面</w:t>
      </w:r>
      <w:r>
        <w:rPr>
          <w:rFonts w:hint="eastAsia" w:ascii="仿宋" w:hAnsi="仿宋" w:eastAsia="仿宋" w:cs="仿宋"/>
          <w:b/>
          <w:color w:val="auto"/>
          <w:sz w:val="32"/>
          <w:highlight w:val="none"/>
        </w:rPr>
        <w:t>格式供参考）</w:t>
      </w:r>
    </w:p>
    <w:p w14:paraId="2F7CDAE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52"/>
          <w:szCs w:val="52"/>
          <w:highlight w:val="none"/>
        </w:rPr>
      </w:pPr>
    </w:p>
    <w:p w14:paraId="76BC9ED0">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商务及技术文件</w:t>
      </w:r>
    </w:p>
    <w:p w14:paraId="6D4ED24C">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color w:val="auto"/>
          <w:sz w:val="28"/>
          <w:szCs w:val="28"/>
          <w:highlight w:val="none"/>
        </w:rPr>
      </w:pPr>
    </w:p>
    <w:p w14:paraId="12A7F54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6AC5711E">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6236AF7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w:t>
      </w:r>
      <w:r>
        <w:rPr>
          <w:rFonts w:hint="eastAsia" w:ascii="仿宋" w:hAnsi="仿宋" w:eastAsia="仿宋" w:cs="仿宋"/>
          <w:b/>
          <w:color w:val="auto"/>
          <w:sz w:val="30"/>
          <w:szCs w:val="30"/>
          <w:highlight w:val="none"/>
          <w:lang w:val="en-US" w:eastAsia="zh-CN"/>
        </w:rPr>
        <w:t>名</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u w:val="single"/>
        </w:rPr>
        <w:t xml:space="preserve">                   </w:t>
      </w:r>
    </w:p>
    <w:p w14:paraId="45A3BB5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rFonts w:hint="eastAsia" w:ascii="仿宋" w:hAnsi="仿宋" w:eastAsia="仿宋" w:cs="仿宋"/>
          <w:b/>
          <w:color w:val="auto"/>
          <w:sz w:val="30"/>
          <w:szCs w:val="30"/>
          <w:highlight w:val="none"/>
        </w:rPr>
      </w:pPr>
    </w:p>
    <w:p w14:paraId="3EB9F7B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color w:val="auto"/>
          <w:sz w:val="30"/>
          <w:szCs w:val="30"/>
          <w:highlight w:val="none"/>
        </w:rPr>
      </w:pPr>
    </w:p>
    <w:p w14:paraId="55BE75C2">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2F45F86">
      <w:pPr>
        <w:pageBreakBefore w:val="0"/>
        <w:kinsoku/>
        <w:bidi w:val="0"/>
        <w:spacing w:beforeAutospacing="0" w:afterAutospacing="0" w:line="44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商务技术评分索引</w:t>
      </w:r>
    </w:p>
    <w:p w14:paraId="4AFFA547">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（此表请放于商务技术投标文件正文首页）</w:t>
      </w:r>
    </w:p>
    <w:p w14:paraId="626016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5418"/>
        <w:gridCol w:w="1611"/>
      </w:tblGrid>
      <w:tr w14:paraId="79A3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295F73FB">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序号</w:t>
            </w:r>
          </w:p>
        </w:tc>
        <w:tc>
          <w:tcPr>
            <w:tcW w:w="6017" w:type="dxa"/>
            <w:vAlign w:val="top"/>
          </w:tcPr>
          <w:p w14:paraId="1F735F1E">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 xml:space="preserve">投标文件内容 </w:t>
            </w:r>
          </w:p>
        </w:tc>
        <w:tc>
          <w:tcPr>
            <w:tcW w:w="1635" w:type="dxa"/>
            <w:vAlign w:val="top"/>
          </w:tcPr>
          <w:p w14:paraId="4C0AB4DD">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对应页码</w:t>
            </w:r>
          </w:p>
        </w:tc>
      </w:tr>
      <w:tr w14:paraId="10D7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64" w:type="dxa"/>
            <w:vAlign w:val="top"/>
          </w:tcPr>
          <w:p w14:paraId="678882C1">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1</w:t>
            </w:r>
          </w:p>
        </w:tc>
        <w:tc>
          <w:tcPr>
            <w:tcW w:w="6017" w:type="dxa"/>
            <w:vAlign w:val="top"/>
          </w:tcPr>
          <w:p w14:paraId="090CB041">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授权委托书（格式见附件）</w:t>
            </w:r>
          </w:p>
        </w:tc>
        <w:tc>
          <w:tcPr>
            <w:tcW w:w="1635" w:type="dxa"/>
            <w:vAlign w:val="top"/>
          </w:tcPr>
          <w:p w14:paraId="5AD96B78">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2D92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64" w:type="dxa"/>
            <w:vAlign w:val="top"/>
          </w:tcPr>
          <w:p w14:paraId="794DFC1F">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2</w:t>
            </w:r>
          </w:p>
        </w:tc>
        <w:tc>
          <w:tcPr>
            <w:tcW w:w="6017" w:type="dxa"/>
            <w:vAlign w:val="top"/>
          </w:tcPr>
          <w:p w14:paraId="2F66E46A">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Cs/>
                <w:color w:val="auto"/>
                <w:highlight w:val="none"/>
                <w:lang w:eastAsia="zh-CN"/>
              </w:rPr>
              <w:t>投标函</w:t>
            </w:r>
            <w:r>
              <w:rPr>
                <w:rFonts w:hint="eastAsia" w:ascii="仿宋" w:hAnsi="仿宋" w:eastAsia="仿宋" w:cs="仿宋"/>
                <w:color w:val="auto"/>
                <w:highlight w:val="none"/>
              </w:rPr>
              <w:t>（格式见附件）；</w:t>
            </w:r>
          </w:p>
        </w:tc>
        <w:tc>
          <w:tcPr>
            <w:tcW w:w="1635" w:type="dxa"/>
            <w:vAlign w:val="top"/>
          </w:tcPr>
          <w:p w14:paraId="5F06AD18">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727B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255F065">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3</w:t>
            </w:r>
          </w:p>
        </w:tc>
        <w:tc>
          <w:tcPr>
            <w:tcW w:w="6017" w:type="dxa"/>
            <w:vAlign w:val="top"/>
          </w:tcPr>
          <w:p w14:paraId="3899AA26">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color w:val="auto"/>
                <w:highlight w:val="none"/>
              </w:rPr>
              <w:t>政府采购供应商廉洁自律承诺书 （格式见附件）；</w:t>
            </w:r>
          </w:p>
        </w:tc>
        <w:tc>
          <w:tcPr>
            <w:tcW w:w="1635" w:type="dxa"/>
            <w:vAlign w:val="top"/>
          </w:tcPr>
          <w:p w14:paraId="09C53596">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20D9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5167A352">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w:t>
            </w:r>
          </w:p>
        </w:tc>
        <w:tc>
          <w:tcPr>
            <w:tcW w:w="6017" w:type="dxa"/>
            <w:vAlign w:val="top"/>
          </w:tcPr>
          <w:p w14:paraId="6BB3219F">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Cs/>
                <w:color w:val="auto"/>
                <w:highlight w:val="none"/>
              </w:rPr>
              <w:t>廉政承诺书</w:t>
            </w:r>
            <w:r>
              <w:rPr>
                <w:rFonts w:hint="eastAsia" w:ascii="仿宋" w:hAnsi="仿宋" w:eastAsia="仿宋" w:cs="仿宋"/>
                <w:color w:val="auto"/>
                <w:highlight w:val="none"/>
              </w:rPr>
              <w:t>（格式见附件）；</w:t>
            </w:r>
          </w:p>
        </w:tc>
        <w:tc>
          <w:tcPr>
            <w:tcW w:w="1635" w:type="dxa"/>
            <w:vAlign w:val="top"/>
          </w:tcPr>
          <w:p w14:paraId="20FC495F">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7650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3554F852">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5</w:t>
            </w:r>
          </w:p>
        </w:tc>
        <w:tc>
          <w:tcPr>
            <w:tcW w:w="6017" w:type="dxa"/>
            <w:vAlign w:val="top"/>
          </w:tcPr>
          <w:p w14:paraId="244E00E6">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分包意向协议（若有）</w:t>
            </w:r>
          </w:p>
        </w:tc>
        <w:tc>
          <w:tcPr>
            <w:tcW w:w="1635" w:type="dxa"/>
            <w:vAlign w:val="top"/>
          </w:tcPr>
          <w:p w14:paraId="43BCBE86">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70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20EB0B12">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6</w:t>
            </w:r>
          </w:p>
        </w:tc>
        <w:tc>
          <w:tcPr>
            <w:tcW w:w="6017" w:type="dxa"/>
            <w:vAlign w:val="top"/>
          </w:tcPr>
          <w:p w14:paraId="551FDE93">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color w:val="auto"/>
                <w:kern w:val="3"/>
                <w:sz w:val="24"/>
                <w:szCs w:val="24"/>
                <w:highlight w:val="none"/>
                <w:lang w:val="en-US" w:eastAsia="zh-CN" w:bidi="ar-SA"/>
              </w:rPr>
              <w:t>投标人情况介绍(格式见附件)；</w:t>
            </w:r>
          </w:p>
        </w:tc>
        <w:tc>
          <w:tcPr>
            <w:tcW w:w="1635" w:type="dxa"/>
            <w:vAlign w:val="top"/>
          </w:tcPr>
          <w:p w14:paraId="670B268C">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354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3501C4B">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7</w:t>
            </w:r>
          </w:p>
        </w:tc>
        <w:tc>
          <w:tcPr>
            <w:tcW w:w="6017" w:type="dxa"/>
            <w:vAlign w:val="top"/>
          </w:tcPr>
          <w:p w14:paraId="38B5FFBC">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4686334D">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B06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2B646F72">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8</w:t>
            </w:r>
          </w:p>
        </w:tc>
        <w:tc>
          <w:tcPr>
            <w:tcW w:w="6017" w:type="dxa"/>
            <w:vAlign w:val="top"/>
          </w:tcPr>
          <w:p w14:paraId="0C17BC1C">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703CA3D6">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1190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413C4E0C">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9</w:t>
            </w:r>
          </w:p>
        </w:tc>
        <w:tc>
          <w:tcPr>
            <w:tcW w:w="6017" w:type="dxa"/>
            <w:vAlign w:val="top"/>
          </w:tcPr>
          <w:p w14:paraId="42C7CAD8">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39216160">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3E68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103FFFE2">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10</w:t>
            </w:r>
          </w:p>
        </w:tc>
        <w:tc>
          <w:tcPr>
            <w:tcW w:w="6017" w:type="dxa"/>
            <w:vAlign w:val="top"/>
          </w:tcPr>
          <w:p w14:paraId="416B9C31">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c>
          <w:tcPr>
            <w:tcW w:w="1635" w:type="dxa"/>
            <w:vAlign w:val="top"/>
          </w:tcPr>
          <w:p w14:paraId="240B83AE">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0E6C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2CD508C9">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w:t>
            </w:r>
          </w:p>
        </w:tc>
        <w:tc>
          <w:tcPr>
            <w:tcW w:w="6017" w:type="dxa"/>
            <w:vAlign w:val="top"/>
          </w:tcPr>
          <w:p w14:paraId="335C470C">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w:t>
            </w:r>
          </w:p>
        </w:tc>
        <w:tc>
          <w:tcPr>
            <w:tcW w:w="1635" w:type="dxa"/>
            <w:vAlign w:val="top"/>
          </w:tcPr>
          <w:p w14:paraId="03A76BA2">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p>
        </w:tc>
      </w:tr>
      <w:tr w14:paraId="77B2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top"/>
          </w:tcPr>
          <w:p w14:paraId="7C78397B">
            <w:pPr>
              <w:pStyle w:val="11"/>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w:t>
            </w:r>
          </w:p>
        </w:tc>
        <w:tc>
          <w:tcPr>
            <w:tcW w:w="6017" w:type="dxa"/>
            <w:vAlign w:val="top"/>
          </w:tcPr>
          <w:p w14:paraId="52AC30A1">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w:t>
            </w:r>
          </w:p>
        </w:tc>
        <w:tc>
          <w:tcPr>
            <w:tcW w:w="1635" w:type="dxa"/>
            <w:vAlign w:val="top"/>
          </w:tcPr>
          <w:p w14:paraId="6396D40C">
            <w:pPr>
              <w:pStyle w:val="11"/>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w:t>
            </w:r>
          </w:p>
        </w:tc>
      </w:tr>
    </w:tbl>
    <w:p w14:paraId="66BAF792">
      <w:pPr>
        <w:pageBreakBefore w:val="0"/>
        <w:kinsoku/>
        <w:bidi w:val="0"/>
        <w:spacing w:beforeAutospacing="0" w:afterAutospacing="0" w:line="440" w:lineRule="exact"/>
        <w:rPr>
          <w:rFonts w:hint="eastAsia" w:ascii="仿宋" w:hAnsi="仿宋" w:eastAsia="仿宋" w:cs="仿宋"/>
          <w:b/>
          <w:color w:val="auto"/>
          <w:sz w:val="32"/>
          <w:szCs w:val="32"/>
          <w:highlight w:val="none"/>
        </w:rPr>
      </w:pPr>
    </w:p>
    <w:p w14:paraId="0A6E6118">
      <w:pPr>
        <w:pStyle w:val="11"/>
        <w:pageBreakBefore w:val="0"/>
        <w:kinsoku/>
        <w:bidi w:val="0"/>
        <w:spacing w:before="0" w:beforeAutospacing="0" w:after="0" w:afterAutospacing="0" w:line="440" w:lineRule="exact"/>
        <w:rPr>
          <w:rFonts w:hint="eastAsia" w:ascii="仿宋" w:hAnsi="仿宋" w:eastAsia="仿宋" w:cs="仿宋"/>
          <w:b/>
          <w:color w:val="auto"/>
          <w:sz w:val="32"/>
          <w:szCs w:val="32"/>
          <w:highlight w:val="none"/>
        </w:rPr>
      </w:pPr>
    </w:p>
    <w:p w14:paraId="5ADC9C8E">
      <w:pPr>
        <w:pageBreakBefore w:val="0"/>
        <w:kinsoku/>
        <w:bidi w:val="0"/>
        <w:spacing w:beforeAutospacing="0" w:afterAutospacing="0" w:line="440" w:lineRule="exact"/>
        <w:rPr>
          <w:rFonts w:hint="eastAsia" w:ascii="仿宋" w:hAnsi="仿宋" w:eastAsia="仿宋" w:cs="仿宋"/>
          <w:b/>
          <w:color w:val="auto"/>
          <w:sz w:val="32"/>
          <w:szCs w:val="32"/>
          <w:highlight w:val="none"/>
        </w:rPr>
      </w:pPr>
    </w:p>
    <w:p w14:paraId="5EE48FFC">
      <w:pPr>
        <w:pStyle w:val="106"/>
        <w:rPr>
          <w:rFonts w:hint="eastAsia" w:ascii="仿宋" w:hAnsi="仿宋" w:eastAsia="仿宋" w:cs="仿宋"/>
          <w:color w:val="auto"/>
          <w:highlight w:val="none"/>
        </w:rPr>
      </w:pPr>
    </w:p>
    <w:p w14:paraId="3D44A457">
      <w:pPr>
        <w:pageBreakBefore w:val="0"/>
        <w:kinsoku/>
        <w:bidi w:val="0"/>
        <w:spacing w:beforeAutospacing="0" w:afterAutospacing="0" w:line="440" w:lineRule="exact"/>
        <w:rPr>
          <w:rFonts w:hint="eastAsia" w:ascii="仿宋" w:hAnsi="仿宋" w:eastAsia="仿宋" w:cs="仿宋"/>
          <w:color w:val="auto"/>
          <w:highlight w:val="none"/>
        </w:rPr>
      </w:pPr>
    </w:p>
    <w:p w14:paraId="30326BA6">
      <w:pPr>
        <w:pStyle w:val="48"/>
        <w:rPr>
          <w:rFonts w:hint="eastAsia" w:ascii="仿宋" w:hAnsi="仿宋" w:eastAsia="仿宋" w:cs="仿宋"/>
          <w:color w:val="auto"/>
          <w:highlight w:val="none"/>
        </w:rPr>
      </w:pPr>
    </w:p>
    <w:p w14:paraId="46B8A885">
      <w:pPr>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rPr>
      </w:pPr>
    </w:p>
    <w:p w14:paraId="1CE60D05">
      <w:pPr>
        <w:snapToGrid w:val="0"/>
        <w:spacing w:line="360" w:lineRule="auto"/>
        <w:ind w:right="480" w:firstLine="643"/>
        <w:jc w:val="center"/>
        <w:rPr>
          <w:rFonts w:hint="eastAsia" w:ascii="仿宋" w:hAnsi="仿宋" w:eastAsia="仿宋" w:cs="仿宋"/>
          <w:b/>
          <w:color w:val="auto"/>
          <w:sz w:val="32"/>
          <w:szCs w:val="32"/>
          <w:highlight w:val="none"/>
        </w:rPr>
      </w:pPr>
    </w:p>
    <w:p w14:paraId="5CDF7110">
      <w:pPr>
        <w:snapToGrid w:val="0"/>
        <w:spacing w:line="360" w:lineRule="auto"/>
        <w:ind w:right="480" w:firstLine="643"/>
        <w:jc w:val="center"/>
        <w:rPr>
          <w:rFonts w:hint="eastAsia" w:ascii="仿宋" w:hAnsi="仿宋" w:eastAsia="仿宋" w:cs="仿宋"/>
          <w:b/>
          <w:color w:val="auto"/>
          <w:sz w:val="32"/>
          <w:szCs w:val="32"/>
          <w:highlight w:val="none"/>
        </w:rPr>
      </w:pPr>
    </w:p>
    <w:p w14:paraId="5323869E">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39BE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14:paraId="145B522D">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3840" w:type="dxa"/>
            <w:noWrap w:val="0"/>
            <w:vAlign w:val="center"/>
          </w:tcPr>
          <w:p w14:paraId="2DFF7FB2">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3746" w:type="dxa"/>
            <w:noWrap w:val="0"/>
            <w:vAlign w:val="center"/>
          </w:tcPr>
          <w:p w14:paraId="1E0B2A6E">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440" w:type="dxa"/>
            <w:noWrap w:val="0"/>
            <w:vAlign w:val="center"/>
          </w:tcPr>
          <w:p w14:paraId="051836BD">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投标文件中的页码位置</w:t>
            </w:r>
          </w:p>
        </w:tc>
      </w:tr>
      <w:tr w14:paraId="0F5D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2B82A734">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840" w:type="dxa"/>
            <w:noWrap w:val="0"/>
            <w:vAlign w:val="center"/>
          </w:tcPr>
          <w:p w14:paraId="7734E847">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3746" w:type="dxa"/>
            <w:noWrap w:val="0"/>
            <w:vAlign w:val="center"/>
          </w:tcPr>
          <w:p w14:paraId="0A6CF0EA">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440" w:type="dxa"/>
            <w:noWrap w:val="0"/>
            <w:vAlign w:val="center"/>
          </w:tcPr>
          <w:p w14:paraId="5CDACC2A">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51B4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7A50D76C">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840" w:type="dxa"/>
            <w:noWrap w:val="0"/>
            <w:vAlign w:val="center"/>
          </w:tcPr>
          <w:p w14:paraId="7ED9C7F3">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3746" w:type="dxa"/>
            <w:noWrap w:val="0"/>
            <w:vAlign w:val="center"/>
          </w:tcPr>
          <w:p w14:paraId="0307DCD2">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440" w:type="dxa"/>
            <w:noWrap w:val="0"/>
            <w:vAlign w:val="center"/>
          </w:tcPr>
          <w:p w14:paraId="1586450C">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3D69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14:paraId="2C065D23">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840" w:type="dxa"/>
            <w:noWrap w:val="0"/>
            <w:vAlign w:val="center"/>
          </w:tcPr>
          <w:p w14:paraId="1EDECD38">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实质性要求。</w:t>
            </w:r>
          </w:p>
        </w:tc>
        <w:tc>
          <w:tcPr>
            <w:tcW w:w="3746" w:type="dxa"/>
            <w:noWrap w:val="0"/>
            <w:vAlign w:val="center"/>
          </w:tcPr>
          <w:p w14:paraId="702689CB">
            <w:pPr>
              <w:ind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招标文件</w:t>
            </w:r>
            <w:r>
              <w:rPr>
                <w:rFonts w:hint="eastAsia" w:ascii="仿宋" w:hAnsi="仿宋" w:eastAsia="仿宋" w:cs="仿宋"/>
                <w:color w:val="auto"/>
                <w:kern w:val="0"/>
                <w:highlight w:val="none"/>
                <w:lang w:eastAsia="zh-CN"/>
              </w:rPr>
              <w:t>其他</w:t>
            </w:r>
            <w:r>
              <w:rPr>
                <w:rFonts w:hint="eastAsia" w:ascii="仿宋" w:hAnsi="仿宋" w:eastAsia="仿宋" w:cs="仿宋"/>
                <w:color w:val="auto"/>
                <w:kern w:val="0"/>
                <w:highlight w:val="none"/>
              </w:rPr>
              <w:t>实质性要求相应的材料（“▲” 系指实质性要求条款，招标文件</w:t>
            </w:r>
            <w:r>
              <w:rPr>
                <w:rFonts w:hint="eastAsia" w:ascii="仿宋" w:hAnsi="仿宋" w:eastAsia="仿宋" w:cs="仿宋"/>
                <w:color w:val="auto"/>
                <w:kern w:val="0"/>
                <w:highlight w:val="none"/>
                <w:lang w:eastAsia="zh-CN"/>
              </w:rPr>
              <w:t>无其他</w:t>
            </w:r>
            <w:r>
              <w:rPr>
                <w:rFonts w:hint="eastAsia" w:ascii="仿宋" w:hAnsi="仿宋" w:eastAsia="仿宋" w:cs="仿宋"/>
                <w:color w:val="auto"/>
                <w:kern w:val="0"/>
                <w:highlight w:val="none"/>
              </w:rPr>
              <w:t>实质性要求的，无需提供）</w:t>
            </w:r>
          </w:p>
        </w:tc>
        <w:tc>
          <w:tcPr>
            <w:tcW w:w="1440" w:type="dxa"/>
            <w:noWrap w:val="0"/>
            <w:vAlign w:val="center"/>
          </w:tcPr>
          <w:p w14:paraId="63F6EB1C">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5D0F4285">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4D70B385">
      <w:pPr>
        <w:pStyle w:val="48"/>
        <w:rPr>
          <w:rFonts w:hint="eastAsia" w:ascii="仿宋" w:hAnsi="仿宋" w:eastAsia="仿宋" w:cs="仿宋"/>
          <w:color w:val="auto"/>
          <w:highlight w:val="none"/>
        </w:rPr>
      </w:pPr>
    </w:p>
    <w:p w14:paraId="169AC00F">
      <w:pPr>
        <w:pStyle w:val="49"/>
        <w:rPr>
          <w:rFonts w:hint="eastAsia" w:ascii="仿宋" w:hAnsi="仿宋" w:eastAsia="仿宋" w:cs="仿宋"/>
          <w:color w:val="auto"/>
          <w:highlight w:val="none"/>
        </w:rPr>
      </w:pPr>
    </w:p>
    <w:p w14:paraId="283C163A">
      <w:pPr>
        <w:rPr>
          <w:rFonts w:hint="eastAsia" w:ascii="仿宋" w:hAnsi="仿宋" w:eastAsia="仿宋" w:cs="仿宋"/>
          <w:color w:val="auto"/>
          <w:highlight w:val="none"/>
        </w:rPr>
      </w:pPr>
    </w:p>
    <w:p w14:paraId="02ACB0E2">
      <w:pPr>
        <w:pStyle w:val="48"/>
        <w:rPr>
          <w:rFonts w:hint="eastAsia" w:ascii="仿宋" w:hAnsi="仿宋" w:eastAsia="仿宋" w:cs="仿宋"/>
          <w:color w:val="auto"/>
          <w:highlight w:val="none"/>
        </w:rPr>
      </w:pPr>
    </w:p>
    <w:p w14:paraId="0D3978EA">
      <w:pPr>
        <w:pStyle w:val="49"/>
        <w:rPr>
          <w:rFonts w:hint="eastAsia" w:ascii="仿宋" w:hAnsi="仿宋" w:eastAsia="仿宋" w:cs="仿宋"/>
          <w:color w:val="auto"/>
          <w:highlight w:val="none"/>
        </w:rPr>
      </w:pPr>
    </w:p>
    <w:p w14:paraId="4624615C">
      <w:pPr>
        <w:rPr>
          <w:rFonts w:hint="eastAsia" w:ascii="仿宋" w:hAnsi="仿宋" w:eastAsia="仿宋" w:cs="仿宋"/>
          <w:color w:val="auto"/>
          <w:highlight w:val="none"/>
        </w:rPr>
      </w:pPr>
    </w:p>
    <w:p w14:paraId="3D816300">
      <w:pPr>
        <w:pStyle w:val="48"/>
        <w:rPr>
          <w:rFonts w:hint="eastAsia" w:ascii="仿宋" w:hAnsi="仿宋" w:eastAsia="仿宋" w:cs="仿宋"/>
          <w:color w:val="auto"/>
          <w:highlight w:val="none"/>
        </w:rPr>
      </w:pPr>
    </w:p>
    <w:p w14:paraId="0D59104B">
      <w:pPr>
        <w:pStyle w:val="49"/>
        <w:rPr>
          <w:rFonts w:hint="eastAsia" w:ascii="仿宋" w:hAnsi="仿宋" w:eastAsia="仿宋" w:cs="仿宋"/>
          <w:color w:val="auto"/>
          <w:highlight w:val="none"/>
        </w:rPr>
      </w:pPr>
    </w:p>
    <w:p w14:paraId="3C4859D4">
      <w:pPr>
        <w:rPr>
          <w:rFonts w:hint="eastAsia" w:ascii="仿宋" w:hAnsi="仿宋" w:eastAsia="仿宋" w:cs="仿宋"/>
          <w:color w:val="auto"/>
          <w:highlight w:val="none"/>
        </w:rPr>
      </w:pPr>
    </w:p>
    <w:p w14:paraId="56C8AC37">
      <w:pPr>
        <w:pStyle w:val="48"/>
        <w:rPr>
          <w:rFonts w:hint="eastAsia" w:ascii="仿宋" w:hAnsi="仿宋" w:eastAsia="仿宋" w:cs="仿宋"/>
          <w:color w:val="auto"/>
          <w:highlight w:val="none"/>
        </w:rPr>
      </w:pPr>
    </w:p>
    <w:p w14:paraId="6DB5688F">
      <w:pPr>
        <w:pStyle w:val="49"/>
        <w:rPr>
          <w:rFonts w:hint="eastAsia" w:ascii="仿宋" w:hAnsi="仿宋" w:eastAsia="仿宋" w:cs="仿宋"/>
          <w:color w:val="auto"/>
          <w:highlight w:val="none"/>
        </w:rPr>
      </w:pPr>
    </w:p>
    <w:p w14:paraId="75BD3003">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p>
    <w:p w14:paraId="5D166C71">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p>
    <w:p w14:paraId="6E1FCF05">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授权委托书或法定代表人（单位负责人、自然人本人）身份证明</w:t>
      </w:r>
    </w:p>
    <w:p w14:paraId="1C47239B">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供应商委派不在本单位缴纳社保的人员作为授权代表的，应当在投标文件中，说明具体原因、授权代表缴纳社保的单位，并附列该授权代表缴纳社保清单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71ECD140">
      <w:pPr>
        <w:snapToGrid w:val="0"/>
        <w:spacing w:line="360" w:lineRule="auto"/>
        <w:ind w:firstLine="0" w:firstLineChars="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p w14:paraId="3841CACB">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w:t>
      </w:r>
    </w:p>
    <w:p w14:paraId="5FAF3B61">
      <w:pPr>
        <w:snapToGrid w:val="0"/>
        <w:spacing w:line="360" w:lineRule="auto"/>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w:t>
      </w: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华诚工程咨询集团有限公司</w:t>
      </w:r>
      <w:r>
        <w:rPr>
          <w:rFonts w:hint="eastAsia" w:ascii="仿宋" w:hAnsi="仿宋" w:eastAsia="仿宋" w:cs="仿宋"/>
          <w:color w:val="auto"/>
          <w:highlight w:val="none"/>
          <w:u w:val="single"/>
        </w:rPr>
        <w:t>：</w:t>
      </w:r>
    </w:p>
    <w:p w14:paraId="4DA69FFF">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政府采购投标的一切事项，其法律后果由我方承担。</w:t>
      </w:r>
    </w:p>
    <w:p w14:paraId="7478A329">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298B7F26">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40BF615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EB002DD">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eastAsia="仿宋" w:cs="仿宋"/>
          <w:color w:val="auto"/>
          <w:kern w:val="0"/>
          <w:highlight w:val="none"/>
          <w:lang w:val="zh-CN"/>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3536C6AD">
      <w:pPr>
        <w:snapToGrid w:val="0"/>
        <w:spacing w:line="360" w:lineRule="auto"/>
        <w:ind w:right="48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4D5643AC">
      <w:pPr>
        <w:pStyle w:val="102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5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jc w:val="center"/>
        </w:trPr>
        <w:tc>
          <w:tcPr>
            <w:tcW w:w="9207" w:type="dxa"/>
            <w:noWrap w:val="0"/>
            <w:vAlign w:val="top"/>
          </w:tcPr>
          <w:p w14:paraId="71A1EA95">
            <w:pPr>
              <w:pStyle w:val="102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36CB884">
            <w:pPr>
              <w:pStyle w:val="1025"/>
              <w:adjustRightInd w:val="0"/>
              <w:spacing w:line="360" w:lineRule="auto"/>
              <w:rPr>
                <w:rFonts w:hint="eastAsia" w:ascii="仿宋" w:hAnsi="仿宋" w:eastAsia="仿宋" w:cs="仿宋"/>
                <w:bCs/>
                <w:color w:val="auto"/>
                <w:sz w:val="24"/>
                <w:highlight w:val="none"/>
              </w:rPr>
            </w:pPr>
          </w:p>
        </w:tc>
      </w:tr>
    </w:tbl>
    <w:p w14:paraId="50EA245B">
      <w:pPr>
        <w:snapToGrid w:val="0"/>
        <w:spacing w:line="360" w:lineRule="auto"/>
        <w:ind w:firstLine="48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p>
    <w:p w14:paraId="5F977440">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4025D4A">
      <w:pPr>
        <w:snapToGrid w:val="0"/>
        <w:spacing w:before="156" w:after="50" w:line="460" w:lineRule="exact"/>
        <w:ind w:firstLine="4800" w:firstLineChars="20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4EE73CAD">
      <w:pPr>
        <w:ind w:firstLine="0" w:firstLineChars="0"/>
        <w:jc w:val="center"/>
        <w:rPr>
          <w:rFonts w:hint="eastAsia" w:ascii="仿宋" w:hAnsi="仿宋" w:eastAsia="仿宋" w:cs="仿宋"/>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pgNumType w:fmt="decimal"/>
          <w:cols w:space="720" w:num="1"/>
          <w:rtlGutter w:val="0"/>
          <w:docGrid w:linePitch="312" w:charSpace="0"/>
        </w:sectPr>
      </w:pPr>
    </w:p>
    <w:p w14:paraId="7773AE3A">
      <w:pPr>
        <w:keepNext w:val="0"/>
        <w:keepLines w:val="0"/>
        <w:pageBreakBefore w:val="0"/>
        <w:widowControl w:val="0"/>
        <w:kinsoku/>
        <w:wordWrap/>
        <w:overflowPunct/>
        <w:topLinePunct w:val="0"/>
        <w:autoSpaceDE/>
        <w:autoSpaceDN/>
        <w:bidi w:val="0"/>
        <w:adjustRightInd/>
        <w:snapToGrid w:val="0"/>
        <w:spacing w:line="360" w:lineRule="auto"/>
        <w:ind w:right="0" w:firstLine="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2939F226">
      <w:pPr>
        <w:spacing w:before="156" w:beforeLines="50" w:after="156" w:afterLines="50"/>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（采购人）、</w:t>
      </w:r>
      <w:r>
        <w:rPr>
          <w:rFonts w:hint="eastAsia" w:ascii="仿宋" w:hAnsi="仿宋" w:eastAsia="仿宋" w:cs="仿宋"/>
          <w:color w:val="auto"/>
          <w:highlight w:val="none"/>
          <w:u w:val="single"/>
          <w:lang w:val="en-US" w:eastAsia="zh-CN"/>
        </w:rPr>
        <w:t>华诚工程咨询集团有限公司</w:t>
      </w:r>
      <w:r>
        <w:rPr>
          <w:rFonts w:hint="eastAsia" w:ascii="仿宋" w:hAnsi="仿宋" w:eastAsia="仿宋" w:cs="仿宋"/>
          <w:color w:val="auto"/>
          <w:highlight w:val="none"/>
          <w:u w:val="single"/>
        </w:rPr>
        <w:t>：</w:t>
      </w:r>
    </w:p>
    <w:p w14:paraId="773C40EE">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14:paraId="4496B49E">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717EEA1F">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14:paraId="52065889">
      <w:pPr>
        <w:tabs>
          <w:tab w:val="left" w:pos="0"/>
        </w:tabs>
        <w:ind w:left="480" w:leftChars="200"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14:paraId="34BD8C76">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（1）符合参加政府采购活动应当具备的一般条件的承诺函（格式见附件）；</w:t>
      </w:r>
    </w:p>
    <w:p w14:paraId="02D06D98">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cs="仿宋"/>
          <w:color w:val="auto"/>
          <w:szCs w:val="24"/>
          <w:highlight w:val="none"/>
          <w:lang w:val="en-US" w:eastAsia="zh-CN"/>
        </w:rPr>
        <w:t>2</w:t>
      </w:r>
      <w:r>
        <w:rPr>
          <w:rFonts w:hint="eastAsia" w:ascii="仿宋" w:hAnsi="仿宋" w:eastAsia="仿宋" w:cs="仿宋"/>
          <w:color w:val="auto"/>
          <w:szCs w:val="24"/>
          <w:highlight w:val="none"/>
        </w:rPr>
        <w:t>）落实政府采购政策需满足的资格要求（若</w:t>
      </w:r>
      <w:r>
        <w:rPr>
          <w:rFonts w:hint="eastAsia" w:ascii="仿宋" w:hAnsi="仿宋" w:eastAsia="仿宋" w:cs="仿宋"/>
          <w:color w:val="auto"/>
          <w:szCs w:val="24"/>
          <w:highlight w:val="none"/>
          <w:lang w:val="en-US" w:eastAsia="zh-CN"/>
        </w:rPr>
        <w:t>适用</w:t>
      </w:r>
      <w:r>
        <w:rPr>
          <w:rFonts w:hint="eastAsia" w:ascii="仿宋" w:hAnsi="仿宋" w:eastAsia="仿宋" w:cs="仿宋"/>
          <w:color w:val="auto"/>
          <w:szCs w:val="24"/>
          <w:highlight w:val="none"/>
        </w:rPr>
        <w:t>）（格式见附件）；</w:t>
      </w:r>
    </w:p>
    <w:p w14:paraId="0B796605">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cs="仿宋"/>
          <w:color w:val="auto"/>
          <w:szCs w:val="24"/>
          <w:highlight w:val="none"/>
          <w:lang w:val="en-US" w:eastAsia="zh-CN"/>
        </w:rPr>
        <w:t>3</w:t>
      </w:r>
      <w:r>
        <w:rPr>
          <w:rFonts w:hint="eastAsia" w:ascii="仿宋" w:hAnsi="仿宋" w:eastAsia="仿宋" w:cs="仿宋"/>
          <w:color w:val="auto"/>
          <w:szCs w:val="24"/>
          <w:highlight w:val="none"/>
        </w:rPr>
        <w:t>）特定资格条件要求的资质文件（若有）；</w:t>
      </w:r>
    </w:p>
    <w:p w14:paraId="086969F6">
      <w:pPr>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750F271C">
      <w:pPr>
        <w:ind w:firstLine="480"/>
        <w:rPr>
          <w:rFonts w:hint="eastAsia"/>
          <w:highlight w:val="none"/>
          <w:lang w:eastAsia="zh-CN"/>
        </w:rPr>
      </w:pPr>
      <w:r>
        <w:rPr>
          <w:rFonts w:hint="eastAsia" w:ascii="仿宋" w:hAnsi="仿宋" w:eastAsia="仿宋" w:cs="仿宋"/>
          <w:color w:val="auto"/>
          <w:szCs w:val="24"/>
          <w:highlight w:val="none"/>
        </w:rPr>
        <w:t>（</w:t>
      </w:r>
      <w:r>
        <w:rPr>
          <w:rFonts w:hint="eastAsia" w:cs="仿宋"/>
          <w:color w:val="auto"/>
          <w:szCs w:val="24"/>
          <w:highlight w:val="none"/>
          <w:lang w:val="en-US" w:eastAsia="zh-CN"/>
        </w:rPr>
        <w:t>5</w:t>
      </w:r>
      <w:r>
        <w:rPr>
          <w:rFonts w:hint="eastAsia" w:ascii="仿宋" w:hAnsi="仿宋" w:eastAsia="仿宋" w:cs="仿宋"/>
          <w:color w:val="auto"/>
          <w:szCs w:val="24"/>
          <w:highlight w:val="none"/>
        </w:rPr>
        <w:t>）中小企业声明函（视情况提供，格式见附件）、残疾人福利性单位声明函（视情况提供，格式见附件）、监狱企业证明文件（视情况提供，格式自拟）</w:t>
      </w:r>
      <w:r>
        <w:rPr>
          <w:rFonts w:hint="eastAsia" w:ascii="仿宋" w:hAnsi="仿宋" w:eastAsia="仿宋" w:cs="仿宋"/>
          <w:color w:val="auto"/>
          <w:szCs w:val="24"/>
          <w:highlight w:val="none"/>
          <w:lang w:eastAsia="zh-CN"/>
        </w:rPr>
        <w:t>。</w:t>
      </w:r>
    </w:p>
    <w:p w14:paraId="0F931998">
      <w:pPr>
        <w:numPr>
          <w:ilvl w:val="0"/>
          <w:numId w:val="0"/>
        </w:numPr>
        <w:tabs>
          <w:tab w:val="left" w:pos="0"/>
        </w:tabs>
        <w:ind w:left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14:paraId="6651AE27">
      <w:pPr>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（1）投标函（格式见附件）；</w:t>
      </w:r>
    </w:p>
    <w:p w14:paraId="797EAC8E">
      <w:pPr>
        <w:shd w:val="clear"/>
        <w:ind w:firstLine="48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zh-CN"/>
        </w:rPr>
        <w:t>）授权委托书或法定代表人（单位负责人、自然人本人）身份证明</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4443118F">
      <w:pPr>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（3）符合性审查资料（格式见附件）；</w:t>
      </w:r>
    </w:p>
    <w:p w14:paraId="3EDA4F74">
      <w:pPr>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（4）评标标准相应的商务技术资料（格式见附件）；</w:t>
      </w:r>
    </w:p>
    <w:p w14:paraId="0A8FBA8E">
      <w:pPr>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（5）投标标的清单（格式见附件）；</w:t>
      </w:r>
    </w:p>
    <w:p w14:paraId="79B3072C">
      <w:pPr>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（6）商务技术偏离表（格式见附件）；</w:t>
      </w:r>
    </w:p>
    <w:p w14:paraId="06B213D3">
      <w:pPr>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rPr>
        <w:t>7</w:t>
      </w:r>
      <w:r>
        <w:rPr>
          <w:rFonts w:hint="eastAsia" w:ascii="仿宋" w:hAnsi="仿宋" w:eastAsia="仿宋" w:cs="仿宋"/>
          <w:color w:val="auto"/>
          <w:szCs w:val="24"/>
          <w:highlight w:val="none"/>
          <w:lang w:val="zh-CN"/>
        </w:rPr>
        <w:t>）政府采购供应商廉洁自律承诺书</w:t>
      </w:r>
      <w:r>
        <w:rPr>
          <w:rFonts w:hint="eastAsia" w:ascii="仿宋" w:hAnsi="仿宋" w:eastAsia="仿宋" w:cs="仿宋"/>
          <w:color w:val="auto"/>
          <w:szCs w:val="24"/>
          <w:highlight w:val="none"/>
        </w:rPr>
        <w:t>（格式见附件）</w:t>
      </w:r>
      <w:r>
        <w:rPr>
          <w:rFonts w:hint="eastAsia" w:ascii="仿宋" w:hAnsi="仿宋" w:eastAsia="仿宋" w:cs="仿宋"/>
          <w:color w:val="auto"/>
          <w:szCs w:val="24"/>
          <w:highlight w:val="none"/>
          <w:lang w:val="zh-CN"/>
        </w:rPr>
        <w:t>；</w:t>
      </w:r>
    </w:p>
    <w:p w14:paraId="36104920">
      <w:pPr>
        <w:numPr>
          <w:ilvl w:val="0"/>
          <w:numId w:val="0"/>
        </w:numPr>
        <w:tabs>
          <w:tab w:val="left" w:pos="0"/>
          <w:tab w:val="left" w:pos="772"/>
        </w:tabs>
        <w:ind w:left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14:paraId="6F2AAAC1">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（1）开标一览表（报价表）（格式见附件）；</w:t>
      </w:r>
    </w:p>
    <w:p w14:paraId="776F2E59">
      <w:pP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（2）投标报价明细表（格式自拟）；</w:t>
      </w:r>
    </w:p>
    <w:p w14:paraId="2095D3E4">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w:t>
      </w:r>
    </w:p>
    <w:p w14:paraId="53A5382D">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14:paraId="32662D6F">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14:paraId="184809FB">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14:paraId="2A3E292C">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14:paraId="76C122F4">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14:paraId="3F68D6F0">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8158A6D">
      <w:pPr>
        <w:spacing w:line="360" w:lineRule="auto"/>
        <w:ind w:firstLine="3600" w:firstLineChars="1500"/>
        <w:rPr>
          <w:rFonts w:hint="eastAsia" w:ascii="仿宋" w:hAnsi="仿宋" w:eastAsia="仿宋" w:cs="仿宋"/>
          <w:color w:val="auto"/>
          <w:highlight w:val="none"/>
        </w:rPr>
      </w:pPr>
    </w:p>
    <w:p w14:paraId="42844F66">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2DB6F905">
      <w:pPr>
        <w:snapToGrid w:val="0"/>
        <w:spacing w:before="156" w:after="50" w:line="460" w:lineRule="exact"/>
        <w:ind w:firstLine="3840" w:firstLineChars="16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7D7475EB">
      <w:pPr>
        <w:snapToGrid w:val="0"/>
        <w:spacing w:line="360" w:lineRule="auto"/>
        <w:ind w:left="480" w:leftChars="200" w:firstLine="4200" w:firstLineChars="1750"/>
        <w:rPr>
          <w:rFonts w:hint="eastAsia" w:ascii="仿宋" w:hAnsi="仿宋" w:eastAsia="仿宋" w:cs="仿宋"/>
          <w:color w:val="auto"/>
          <w:kern w:val="0"/>
          <w:highlight w:val="none"/>
          <w:u w:val="single"/>
        </w:rPr>
      </w:pPr>
    </w:p>
    <w:p w14:paraId="4CB9F56F">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0816623C">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b/>
          <w:color w:val="auto"/>
          <w:kern w:val="2"/>
          <w:sz w:val="32"/>
          <w:szCs w:val="32"/>
          <w:highlight w:val="none"/>
          <w:lang w:val="en-US" w:eastAsia="zh-CN" w:bidi="ar-SA"/>
        </w:rPr>
      </w:pPr>
    </w:p>
    <w:p w14:paraId="5B8C253E">
      <w:pPr>
        <w:pStyle w:val="8"/>
        <w:rPr>
          <w:rFonts w:hint="eastAsia" w:ascii="仿宋" w:hAnsi="仿宋" w:eastAsia="仿宋" w:cs="仿宋"/>
          <w:b/>
          <w:color w:val="auto"/>
          <w:kern w:val="2"/>
          <w:sz w:val="32"/>
          <w:szCs w:val="32"/>
          <w:highlight w:val="none"/>
          <w:lang w:val="en-US" w:eastAsia="zh-CN" w:bidi="ar-SA"/>
        </w:rPr>
      </w:pPr>
    </w:p>
    <w:p w14:paraId="2CF7E2B3">
      <w:pPr>
        <w:rPr>
          <w:rFonts w:hint="eastAsia" w:ascii="仿宋" w:hAnsi="仿宋" w:eastAsia="仿宋" w:cs="仿宋"/>
          <w:b/>
          <w:color w:val="auto"/>
          <w:kern w:val="2"/>
          <w:sz w:val="32"/>
          <w:szCs w:val="32"/>
          <w:highlight w:val="none"/>
          <w:lang w:val="en-US" w:eastAsia="zh-CN" w:bidi="ar-SA"/>
        </w:rPr>
      </w:pPr>
    </w:p>
    <w:p w14:paraId="5D11A796">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b/>
          <w:color w:val="auto"/>
          <w:kern w:val="2"/>
          <w:sz w:val="32"/>
          <w:szCs w:val="32"/>
          <w:highlight w:val="none"/>
          <w:lang w:val="en-US" w:eastAsia="zh-CN" w:bidi="ar-SA"/>
        </w:rPr>
        <w:sectPr>
          <w:headerReference r:id="rId16" w:type="default"/>
          <w:footerReference r:id="rId17" w:type="default"/>
          <w:pgSz w:w="11906" w:h="16838"/>
          <w:pgMar w:top="1418" w:right="1418" w:bottom="1418" w:left="1588" w:header="851" w:footer="992" w:gutter="0"/>
          <w:pgNumType w:fmt="decimal"/>
          <w:cols w:space="720" w:num="1"/>
          <w:docGrid w:type="lines" w:linePitch="312" w:charSpace="0"/>
        </w:sectPr>
      </w:pPr>
    </w:p>
    <w:p w14:paraId="52B49DE5">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color w:val="auto"/>
          <w:sz w:val="24"/>
          <w:highlight w:val="none"/>
        </w:rPr>
      </w:pPr>
      <w:r>
        <w:rPr>
          <w:rFonts w:hint="eastAsia" w:ascii="仿宋" w:hAnsi="仿宋" w:eastAsia="仿宋" w:cs="仿宋"/>
          <w:b/>
          <w:color w:val="auto"/>
          <w:kern w:val="2"/>
          <w:sz w:val="32"/>
          <w:szCs w:val="32"/>
          <w:highlight w:val="none"/>
          <w:lang w:val="en-US" w:eastAsia="zh-CN" w:bidi="ar-SA"/>
        </w:rPr>
        <w:t>政府采购供应商廉洁自律承诺书</w:t>
      </w:r>
      <w:r>
        <w:rPr>
          <w:rFonts w:hint="eastAsia" w:ascii="仿宋" w:hAnsi="仿宋" w:eastAsia="仿宋" w:cs="仿宋"/>
          <w:color w:val="auto"/>
          <w:sz w:val="24"/>
          <w:highlight w:val="none"/>
        </w:rPr>
        <w:t> </w:t>
      </w:r>
    </w:p>
    <w:p w14:paraId="0F742382">
      <w:pPr>
        <w:pageBreakBefore w:val="0"/>
        <w:kinsoku/>
        <w:bidi w:val="0"/>
        <w:spacing w:beforeAutospacing="0" w:afterAutospacing="0" w:line="440" w:lineRule="exact"/>
        <w:rPr>
          <w:rFonts w:hint="eastAsia" w:ascii="仿宋" w:hAnsi="仿宋" w:eastAsia="仿宋" w:cs="仿宋"/>
          <w:color w:val="auto"/>
          <w:sz w:val="28"/>
          <w:szCs w:val="28"/>
          <w:highlight w:val="none"/>
          <w:lang w:eastAsia="zh-CN"/>
        </w:rPr>
      </w:pPr>
    </w:p>
    <w:p w14:paraId="426A46A9">
      <w:pPr>
        <w:pageBreakBefore w:val="0"/>
        <w:kinsoku/>
        <w:bidi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lang w:eastAsia="zh-CN"/>
        </w:rPr>
        <w:t>华诚工程咨询集团有限公司</w:t>
      </w:r>
      <w:r>
        <w:rPr>
          <w:rFonts w:hint="eastAsia" w:ascii="仿宋" w:hAnsi="仿宋" w:eastAsia="仿宋" w:cs="仿宋"/>
          <w:color w:val="auto"/>
          <w:sz w:val="24"/>
          <w:szCs w:val="24"/>
          <w:highlight w:val="none"/>
          <w:u w:val="single"/>
        </w:rPr>
        <w:t>：</w:t>
      </w:r>
    </w:p>
    <w:p w14:paraId="79C4D0D6">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本单位合法参加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）政府采购活动，就有关廉洁自律和公平竞争事项郑重声明如下：</w:t>
      </w:r>
    </w:p>
    <w:p w14:paraId="15A94D05">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一、本单位与采购人之间不存在利害关系，不存在行贿、串通等违法行为。</w:t>
      </w:r>
    </w:p>
    <w:p w14:paraId="10184D4B">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二、本单位与其他当事人之间不存在直接控股、管理关系等情况，不存在法定的不允许投标情形，不存在行贿、串通等违法行为。</w:t>
      </w:r>
    </w:p>
    <w:p w14:paraId="166C18D8">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三、本单位清楚知道并严格遵守政府采购法律法规、政策文件和相关纪律。</w:t>
      </w:r>
    </w:p>
    <w:p w14:paraId="7A3825AE">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color w:val="auto"/>
          <w:sz w:val="24"/>
          <w:szCs w:val="24"/>
          <w:highlight w:val="none"/>
        </w:rPr>
      </w:pPr>
    </w:p>
    <w:p w14:paraId="001ABDB6">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eastAsia="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AF6D1BC">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0F84C9AD">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E468114">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2A69FB24">
      <w:pPr>
        <w:pStyle w:val="8"/>
        <w:pageBreakBefore w:val="0"/>
        <w:kinsoku/>
        <w:bidi w:val="0"/>
        <w:spacing w:before="0" w:beforeAutospacing="0" w:after="0" w:afterAutospacing="0" w:line="440" w:lineRule="exact"/>
        <w:rPr>
          <w:rFonts w:hint="eastAsia" w:ascii="仿宋" w:hAnsi="仿宋" w:eastAsia="仿宋" w:cs="仿宋"/>
          <w:color w:val="auto"/>
          <w:sz w:val="24"/>
          <w:szCs w:val="24"/>
          <w:highlight w:val="none"/>
        </w:rPr>
      </w:pPr>
    </w:p>
    <w:p w14:paraId="34C03768">
      <w:pPr>
        <w:pageBreakBefore w:val="0"/>
        <w:kinsoku/>
        <w:bidi w:val="0"/>
        <w:spacing w:beforeAutospacing="0" w:afterAutospacing="0" w:line="440" w:lineRule="exact"/>
        <w:rPr>
          <w:rFonts w:hint="eastAsia" w:ascii="仿宋" w:hAnsi="仿宋" w:eastAsia="仿宋" w:cs="仿宋"/>
          <w:color w:val="auto"/>
          <w:sz w:val="24"/>
          <w:szCs w:val="24"/>
          <w:highlight w:val="none"/>
        </w:rPr>
      </w:pPr>
    </w:p>
    <w:p w14:paraId="68023B0D">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color w:val="auto"/>
          <w:sz w:val="24"/>
          <w:szCs w:val="24"/>
          <w:highlight w:val="none"/>
        </w:rPr>
        <w:sectPr>
          <w:pgSz w:w="11906" w:h="16838"/>
          <w:pgMar w:top="1418" w:right="1418" w:bottom="1418" w:left="1588" w:header="851" w:footer="992" w:gutter="0"/>
          <w:pgNumType w:fmt="decimal"/>
          <w:cols w:space="720" w:num="1"/>
          <w:docGrid w:type="lines" w:linePitch="312" w:charSpace="0"/>
        </w:sectPr>
      </w:pPr>
      <w:r>
        <w:rPr>
          <w:rFonts w:hint="eastAsia" w:ascii="仿宋" w:hAnsi="仿宋" w:eastAsia="仿宋" w:cs="仿宋"/>
          <w:b/>
          <w:bCs/>
          <w:color w:val="auto"/>
          <w:sz w:val="24"/>
          <w:szCs w:val="24"/>
          <w:highlight w:val="none"/>
        </w:rPr>
        <w:t>▲注：未按照本政府采购供应商廉洁自律承诺书要求填报的将被视为非实质性响应投标。</w:t>
      </w:r>
    </w:p>
    <w:p w14:paraId="073F90C2">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廉政承诺书</w:t>
      </w:r>
    </w:p>
    <w:p w14:paraId="68B946BA">
      <w:pPr>
        <w:pageBreakBefore w:val="0"/>
        <w:kinsoku/>
        <w:bidi w:val="0"/>
        <w:spacing w:beforeAutospacing="0" w:afterAutospacing="0" w:line="440" w:lineRule="exact"/>
        <w:rPr>
          <w:rFonts w:hint="eastAsia" w:ascii="仿宋" w:hAnsi="仿宋" w:eastAsia="仿宋" w:cs="仿宋"/>
          <w:color w:val="auto"/>
          <w:sz w:val="24"/>
          <w:highlight w:val="none"/>
        </w:rPr>
      </w:pPr>
    </w:p>
    <w:p w14:paraId="33148E6F">
      <w:pPr>
        <w:pageBreakBefore w:val="0"/>
        <w:kinsoku/>
        <w:bidi w:val="0"/>
        <w:spacing w:beforeAutospacing="0" w:afterAutospacing="0" w:line="440" w:lineRule="exact"/>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lang w:val="zh-CN"/>
        </w:rPr>
        <w:t xml:space="preserve">    </w:t>
      </w:r>
    </w:p>
    <w:p w14:paraId="53C1D363">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27CA335C">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2F25D845">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630D20B0">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2F9E833A">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0116197A">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五、不为项目有关人员个人装修住房、婚丧嫁娶、配偶子女工作安排等提供好处；</w:t>
      </w:r>
    </w:p>
    <w:p w14:paraId="1A511522">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DA3D307">
      <w:pPr>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进行项目建设或其他经营活动，并通报区财政局。由此引起的相应损失均由我单位承担。</w:t>
      </w:r>
    </w:p>
    <w:p w14:paraId="5DAFA467">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735F909C">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eastAsia="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55AD648">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40B4D37F">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B975C8A">
      <w:pPr>
        <w:pageBreakBefore w:val="0"/>
        <w:kinsoku/>
        <w:bidi w:val="0"/>
        <w:spacing w:beforeAutospacing="0" w:afterAutospacing="0" w:line="440" w:lineRule="exact"/>
        <w:jc w:val="center"/>
        <w:rPr>
          <w:rFonts w:hint="eastAsia" w:ascii="仿宋" w:hAnsi="仿宋" w:eastAsia="仿宋" w:cs="仿宋"/>
          <w:b/>
          <w:bCs/>
          <w:color w:val="auto"/>
          <w:sz w:val="24"/>
          <w:highlight w:val="none"/>
        </w:rPr>
      </w:pPr>
    </w:p>
    <w:p w14:paraId="02E58D73">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p>
    <w:p w14:paraId="23E23188">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p>
    <w:p w14:paraId="05FC696D">
      <w:pPr>
        <w:pStyle w:val="106"/>
        <w:rPr>
          <w:rFonts w:hint="eastAsia" w:ascii="仿宋" w:hAnsi="仿宋" w:eastAsia="仿宋" w:cs="仿宋"/>
          <w:b/>
          <w:color w:val="auto"/>
          <w:kern w:val="2"/>
          <w:sz w:val="32"/>
          <w:szCs w:val="32"/>
          <w:highlight w:val="none"/>
          <w:lang w:val="en-US" w:eastAsia="zh-CN" w:bidi="ar-SA"/>
        </w:rPr>
      </w:pPr>
    </w:p>
    <w:p w14:paraId="50A3D037">
      <w:pPr>
        <w:rPr>
          <w:rFonts w:hint="eastAsia" w:ascii="仿宋" w:hAnsi="仿宋" w:eastAsia="仿宋" w:cs="仿宋"/>
          <w:b/>
          <w:color w:val="auto"/>
          <w:kern w:val="2"/>
          <w:sz w:val="32"/>
          <w:szCs w:val="32"/>
          <w:highlight w:val="none"/>
          <w:lang w:val="en-US" w:eastAsia="zh-CN" w:bidi="ar-SA"/>
        </w:rPr>
      </w:pPr>
    </w:p>
    <w:p w14:paraId="18803865">
      <w:pPr>
        <w:pStyle w:val="106"/>
        <w:rPr>
          <w:rFonts w:hint="eastAsia" w:ascii="仿宋" w:hAnsi="仿宋" w:eastAsia="仿宋" w:cs="仿宋"/>
          <w:b/>
          <w:color w:val="auto"/>
          <w:kern w:val="2"/>
          <w:sz w:val="32"/>
          <w:szCs w:val="32"/>
          <w:highlight w:val="none"/>
          <w:lang w:val="en-US" w:eastAsia="zh-CN" w:bidi="ar-SA"/>
        </w:rPr>
      </w:pPr>
    </w:p>
    <w:p w14:paraId="277B44A9">
      <w:pPr>
        <w:rPr>
          <w:rFonts w:hint="eastAsia" w:ascii="仿宋" w:hAnsi="仿宋" w:eastAsia="仿宋" w:cs="仿宋"/>
          <w:b/>
          <w:color w:val="auto"/>
          <w:kern w:val="2"/>
          <w:sz w:val="32"/>
          <w:szCs w:val="32"/>
          <w:highlight w:val="none"/>
          <w:lang w:val="en-US" w:eastAsia="zh-CN" w:bidi="ar-SA"/>
        </w:rPr>
      </w:pPr>
    </w:p>
    <w:p w14:paraId="3E337E15">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关于代理服务费的承诺书</w:t>
      </w:r>
    </w:p>
    <w:p w14:paraId="10B64D15">
      <w:pPr>
        <w:pageBreakBefore w:val="0"/>
        <w:kinsoku/>
        <w:bidi w:val="0"/>
        <w:spacing w:beforeAutospacing="0" w:afterAutospacing="0" w:line="440" w:lineRule="exact"/>
        <w:rPr>
          <w:rFonts w:hint="eastAsia" w:ascii="仿宋" w:hAnsi="仿宋" w:eastAsia="仿宋" w:cs="仿宋"/>
          <w:color w:val="auto"/>
          <w:sz w:val="24"/>
          <w:highlight w:val="none"/>
        </w:rPr>
      </w:pPr>
    </w:p>
    <w:p w14:paraId="361E58AF">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398754E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7BC5238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72213072">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68C707CE">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eastAsia="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4B84D48">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551D3BD5">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C4A40F4">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458E5FBA">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5302CC36">
      <w:pPr>
        <w:pStyle w:val="8"/>
        <w:rPr>
          <w:rFonts w:hint="eastAsia" w:ascii="仿宋" w:hAnsi="仿宋" w:eastAsia="仿宋" w:cs="仿宋"/>
          <w:b/>
          <w:bCs/>
          <w:color w:val="auto"/>
          <w:sz w:val="24"/>
          <w:szCs w:val="24"/>
          <w:highlight w:val="none"/>
        </w:rPr>
      </w:pPr>
    </w:p>
    <w:p w14:paraId="1CFAC69C">
      <w:pPr>
        <w:rPr>
          <w:rFonts w:hint="eastAsia" w:ascii="仿宋" w:hAnsi="仿宋" w:eastAsia="仿宋" w:cs="仿宋"/>
          <w:b/>
          <w:bCs/>
          <w:color w:val="auto"/>
          <w:sz w:val="24"/>
          <w:szCs w:val="24"/>
          <w:highlight w:val="none"/>
        </w:rPr>
      </w:pPr>
    </w:p>
    <w:p w14:paraId="0C651327">
      <w:pPr>
        <w:pStyle w:val="8"/>
        <w:rPr>
          <w:rFonts w:hint="eastAsia" w:ascii="仿宋" w:hAnsi="仿宋" w:eastAsia="仿宋" w:cs="仿宋"/>
          <w:b/>
          <w:bCs/>
          <w:color w:val="auto"/>
          <w:sz w:val="24"/>
          <w:szCs w:val="24"/>
          <w:highlight w:val="none"/>
        </w:rPr>
      </w:pPr>
    </w:p>
    <w:p w14:paraId="7BBE219E">
      <w:pPr>
        <w:rPr>
          <w:rFonts w:hint="eastAsia" w:ascii="仿宋" w:hAnsi="仿宋" w:eastAsia="仿宋" w:cs="仿宋"/>
          <w:b/>
          <w:bCs/>
          <w:color w:val="auto"/>
          <w:sz w:val="24"/>
          <w:szCs w:val="24"/>
          <w:highlight w:val="none"/>
        </w:rPr>
      </w:pPr>
    </w:p>
    <w:p w14:paraId="64B8C066">
      <w:pPr>
        <w:pStyle w:val="8"/>
        <w:rPr>
          <w:rFonts w:hint="eastAsia" w:ascii="仿宋" w:hAnsi="仿宋" w:eastAsia="仿宋" w:cs="仿宋"/>
          <w:b/>
          <w:bCs/>
          <w:color w:val="auto"/>
          <w:sz w:val="24"/>
          <w:szCs w:val="24"/>
          <w:highlight w:val="none"/>
        </w:rPr>
      </w:pPr>
    </w:p>
    <w:p w14:paraId="0A73B73C">
      <w:pPr>
        <w:rPr>
          <w:rFonts w:hint="eastAsia" w:ascii="仿宋" w:hAnsi="仿宋" w:eastAsia="仿宋" w:cs="仿宋"/>
          <w:b/>
          <w:bCs/>
          <w:color w:val="auto"/>
          <w:sz w:val="24"/>
          <w:szCs w:val="24"/>
          <w:highlight w:val="none"/>
        </w:rPr>
      </w:pPr>
    </w:p>
    <w:p w14:paraId="5FF87FCB">
      <w:pPr>
        <w:rPr>
          <w:rFonts w:hint="eastAsia" w:ascii="仿宋" w:hAnsi="仿宋" w:eastAsia="仿宋" w:cs="仿宋"/>
          <w:b/>
          <w:bCs/>
          <w:color w:val="auto"/>
          <w:sz w:val="24"/>
          <w:szCs w:val="24"/>
          <w:highlight w:val="none"/>
        </w:rPr>
      </w:pPr>
    </w:p>
    <w:p w14:paraId="255093C7">
      <w:pPr>
        <w:spacing w:before="156"/>
        <w:ind w:firstLine="0" w:firstLineChars="0"/>
        <w:jc w:val="center"/>
        <w:rPr>
          <w:rFonts w:hint="eastAsia" w:ascii="仿宋" w:hAnsi="仿宋" w:eastAsia="仿宋" w:cs="仿宋"/>
          <w:b/>
          <w:color w:val="auto"/>
          <w:sz w:val="32"/>
          <w:szCs w:val="32"/>
          <w:highlight w:val="none"/>
        </w:rPr>
      </w:pPr>
    </w:p>
    <w:p w14:paraId="713113A2">
      <w:pPr>
        <w:pageBreakBefore w:val="0"/>
        <w:kinsoku/>
        <w:bidi w:val="0"/>
        <w:spacing w:beforeAutospacing="0" w:afterAutospacing="0" w:line="440" w:lineRule="exact"/>
        <w:jc w:val="center"/>
        <w:rPr>
          <w:rFonts w:hint="eastAsia" w:ascii="仿宋" w:hAnsi="仿宋" w:eastAsia="仿宋" w:cs="仿宋"/>
          <w:b/>
          <w:color w:val="auto"/>
          <w:sz w:val="32"/>
          <w:szCs w:val="32"/>
          <w:highlight w:val="none"/>
        </w:rPr>
        <w:sectPr>
          <w:headerReference r:id="rId18" w:type="default"/>
          <w:footerReference r:id="rId19" w:type="default"/>
          <w:pgSz w:w="11906" w:h="16838"/>
          <w:pgMar w:top="1418" w:right="1418" w:bottom="1418" w:left="1588" w:header="851" w:footer="992" w:gutter="0"/>
          <w:pgNumType w:fmt="decimal"/>
          <w:cols w:space="720" w:num="1"/>
          <w:docGrid w:type="lines" w:linePitch="312" w:charSpace="0"/>
        </w:sectPr>
      </w:pPr>
    </w:p>
    <w:p w14:paraId="1AFDD8A8">
      <w:pPr>
        <w:pageBreakBefore w:val="0"/>
        <w:kinsoku/>
        <w:bidi w:val="0"/>
        <w:spacing w:beforeAutospacing="0" w:afterAutospacing="0"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投标人情况介绍</w:t>
      </w:r>
    </w:p>
    <w:p w14:paraId="25DE02BB">
      <w:pPr>
        <w:pageBreakBefore w:val="0"/>
        <w:kinsoku/>
        <w:bidi w:val="0"/>
        <w:spacing w:beforeAutospacing="0" w:afterAutospacing="0" w:line="440" w:lineRule="exact"/>
        <w:jc w:val="center"/>
        <w:rPr>
          <w:rFonts w:hint="eastAsia" w:ascii="仿宋" w:hAnsi="仿宋" w:eastAsia="仿宋" w:cs="仿宋"/>
          <w:b/>
          <w:color w:val="auto"/>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532B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94778DD">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6339" w:type="dxa"/>
            <w:gridSpan w:val="5"/>
            <w:vAlign w:val="center"/>
          </w:tcPr>
          <w:p w14:paraId="5410F64D">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3AEF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EFE4CA">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6339" w:type="dxa"/>
            <w:gridSpan w:val="5"/>
            <w:vAlign w:val="center"/>
          </w:tcPr>
          <w:p w14:paraId="3DDC8835">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5616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859A25E">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经营范围</w:t>
            </w:r>
          </w:p>
        </w:tc>
        <w:tc>
          <w:tcPr>
            <w:tcW w:w="2118" w:type="dxa"/>
            <w:vAlign w:val="center"/>
          </w:tcPr>
          <w:p w14:paraId="28B6FBCC">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Align w:val="center"/>
          </w:tcPr>
          <w:p w14:paraId="5C5CBEE0">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企业类型</w:t>
            </w:r>
          </w:p>
        </w:tc>
        <w:tc>
          <w:tcPr>
            <w:tcW w:w="2241" w:type="dxa"/>
            <w:gridSpan w:val="3"/>
            <w:vAlign w:val="center"/>
          </w:tcPr>
          <w:p w14:paraId="02253C66">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（大型、中型、小型、微型）</w:t>
            </w:r>
          </w:p>
        </w:tc>
      </w:tr>
      <w:tr w14:paraId="405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C00D19E">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118" w:type="dxa"/>
            <w:vAlign w:val="center"/>
          </w:tcPr>
          <w:p w14:paraId="189C7279">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Align w:val="center"/>
          </w:tcPr>
          <w:p w14:paraId="70A25A05">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经济性质</w:t>
            </w:r>
          </w:p>
        </w:tc>
        <w:tc>
          <w:tcPr>
            <w:tcW w:w="2241" w:type="dxa"/>
            <w:gridSpan w:val="3"/>
            <w:vAlign w:val="center"/>
          </w:tcPr>
          <w:p w14:paraId="7E466002">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1875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F8C236A">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118" w:type="dxa"/>
            <w:vAlign w:val="center"/>
          </w:tcPr>
          <w:p w14:paraId="1434A6D4">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Align w:val="center"/>
          </w:tcPr>
          <w:p w14:paraId="020E9B76">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241" w:type="dxa"/>
            <w:gridSpan w:val="3"/>
            <w:vAlign w:val="center"/>
          </w:tcPr>
          <w:p w14:paraId="12367526">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3CD9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DA518D0">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注册资本</w:t>
            </w:r>
          </w:p>
        </w:tc>
        <w:tc>
          <w:tcPr>
            <w:tcW w:w="2118" w:type="dxa"/>
            <w:vMerge w:val="restart"/>
            <w:vAlign w:val="center"/>
          </w:tcPr>
          <w:p w14:paraId="73A3648F">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Merge w:val="restart"/>
            <w:vAlign w:val="center"/>
          </w:tcPr>
          <w:p w14:paraId="40B4F2BE">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技术人员数</w:t>
            </w:r>
          </w:p>
        </w:tc>
        <w:tc>
          <w:tcPr>
            <w:tcW w:w="720" w:type="dxa"/>
            <w:vAlign w:val="center"/>
          </w:tcPr>
          <w:p w14:paraId="6F8C374C">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高级</w:t>
            </w:r>
          </w:p>
        </w:tc>
        <w:tc>
          <w:tcPr>
            <w:tcW w:w="720" w:type="dxa"/>
            <w:vAlign w:val="center"/>
          </w:tcPr>
          <w:p w14:paraId="1CAD0C24">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中级</w:t>
            </w:r>
          </w:p>
        </w:tc>
        <w:tc>
          <w:tcPr>
            <w:tcW w:w="801" w:type="dxa"/>
            <w:vAlign w:val="center"/>
          </w:tcPr>
          <w:p w14:paraId="74D8C4EB">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初级</w:t>
            </w:r>
          </w:p>
        </w:tc>
      </w:tr>
      <w:tr w14:paraId="08A1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21F302E8">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2118" w:type="dxa"/>
            <w:vMerge w:val="continue"/>
            <w:vAlign w:val="center"/>
          </w:tcPr>
          <w:p w14:paraId="2DA16A3D">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Merge w:val="continue"/>
            <w:vAlign w:val="center"/>
          </w:tcPr>
          <w:p w14:paraId="6599DA70">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720" w:type="dxa"/>
            <w:vAlign w:val="center"/>
          </w:tcPr>
          <w:p w14:paraId="70A99589">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720" w:type="dxa"/>
            <w:vAlign w:val="center"/>
          </w:tcPr>
          <w:p w14:paraId="3DB68791">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801" w:type="dxa"/>
            <w:vAlign w:val="center"/>
          </w:tcPr>
          <w:p w14:paraId="5BB5656A">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1B69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3F73985">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w:t>
            </w:r>
          </w:p>
        </w:tc>
        <w:tc>
          <w:tcPr>
            <w:tcW w:w="2118" w:type="dxa"/>
            <w:vAlign w:val="center"/>
          </w:tcPr>
          <w:p w14:paraId="096CDA7A">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Align w:val="center"/>
          </w:tcPr>
          <w:p w14:paraId="6552BA0E">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所有者权益</w:t>
            </w:r>
          </w:p>
        </w:tc>
        <w:tc>
          <w:tcPr>
            <w:tcW w:w="2241" w:type="dxa"/>
            <w:gridSpan w:val="3"/>
            <w:vAlign w:val="center"/>
          </w:tcPr>
          <w:p w14:paraId="1C5F7E7A">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616A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E2E50AA">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工商登记号</w:t>
            </w:r>
          </w:p>
        </w:tc>
        <w:tc>
          <w:tcPr>
            <w:tcW w:w="2118" w:type="dxa"/>
            <w:vAlign w:val="center"/>
          </w:tcPr>
          <w:p w14:paraId="56C1DB9D">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Align w:val="center"/>
          </w:tcPr>
          <w:p w14:paraId="5924471A">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税务登记号</w:t>
            </w:r>
          </w:p>
        </w:tc>
        <w:tc>
          <w:tcPr>
            <w:tcW w:w="2241" w:type="dxa"/>
            <w:gridSpan w:val="3"/>
            <w:vAlign w:val="center"/>
          </w:tcPr>
          <w:p w14:paraId="5ACED8FA">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18F9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1FAFEC">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是否依法纳税</w:t>
            </w:r>
          </w:p>
        </w:tc>
        <w:tc>
          <w:tcPr>
            <w:tcW w:w="2118" w:type="dxa"/>
            <w:vAlign w:val="center"/>
          </w:tcPr>
          <w:p w14:paraId="0FA58A73">
            <w:pPr>
              <w:pageBreakBefore w:val="0"/>
              <w:kinsoku/>
              <w:bidi w:val="0"/>
              <w:spacing w:beforeAutospacing="0" w:afterAutospacing="0" w:line="440" w:lineRule="exact"/>
              <w:jc w:val="center"/>
              <w:rPr>
                <w:rFonts w:hint="eastAsia" w:ascii="仿宋" w:hAnsi="仿宋" w:eastAsia="仿宋" w:cs="仿宋"/>
                <w:color w:val="auto"/>
                <w:highlight w:val="none"/>
              </w:rPr>
            </w:pPr>
          </w:p>
        </w:tc>
        <w:tc>
          <w:tcPr>
            <w:tcW w:w="1980" w:type="dxa"/>
            <w:vAlign w:val="center"/>
          </w:tcPr>
          <w:p w14:paraId="23CF3799">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是否参加社保</w:t>
            </w:r>
          </w:p>
        </w:tc>
        <w:tc>
          <w:tcPr>
            <w:tcW w:w="2241" w:type="dxa"/>
            <w:gridSpan w:val="3"/>
            <w:vAlign w:val="center"/>
          </w:tcPr>
          <w:p w14:paraId="73A435AE">
            <w:pPr>
              <w:pageBreakBefore w:val="0"/>
              <w:kinsoku/>
              <w:bidi w:val="0"/>
              <w:spacing w:beforeAutospacing="0" w:afterAutospacing="0" w:line="440" w:lineRule="exact"/>
              <w:jc w:val="center"/>
              <w:rPr>
                <w:rFonts w:hint="eastAsia" w:ascii="仿宋" w:hAnsi="仿宋" w:eastAsia="仿宋" w:cs="仿宋"/>
                <w:color w:val="auto"/>
                <w:highlight w:val="none"/>
              </w:rPr>
            </w:pPr>
          </w:p>
        </w:tc>
      </w:tr>
      <w:tr w14:paraId="5389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40C55E3B">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售后服务机构情况</w:t>
            </w:r>
          </w:p>
        </w:tc>
        <w:tc>
          <w:tcPr>
            <w:tcW w:w="6339" w:type="dxa"/>
            <w:gridSpan w:val="5"/>
            <w:vAlign w:val="center"/>
          </w:tcPr>
          <w:p w14:paraId="078B39D7">
            <w:pPr>
              <w:pageBreakBefore w:val="0"/>
              <w:kinsoku/>
              <w:bidi w:val="0"/>
              <w:spacing w:beforeAutospacing="0" w:afterAutospacing="0"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名称：</w:t>
            </w:r>
          </w:p>
          <w:p w14:paraId="4436B932">
            <w:pPr>
              <w:pageBreakBefore w:val="0"/>
              <w:kinsoku/>
              <w:bidi w:val="0"/>
              <w:spacing w:beforeAutospacing="0" w:afterAutospacing="0"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地址：</w:t>
            </w:r>
          </w:p>
          <w:p w14:paraId="4C9BF4BD">
            <w:pPr>
              <w:pageBreakBefore w:val="0"/>
              <w:kinsoku/>
              <w:bidi w:val="0"/>
              <w:spacing w:beforeAutospacing="0" w:afterAutospacing="0"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人员状况：</w:t>
            </w:r>
          </w:p>
          <w:p w14:paraId="3C2E02A4">
            <w:pPr>
              <w:pageBreakBefore w:val="0"/>
              <w:kinsoku/>
              <w:bidi w:val="0"/>
              <w:spacing w:beforeAutospacing="0" w:afterAutospacing="0"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联系方式：</w:t>
            </w:r>
          </w:p>
          <w:p w14:paraId="112E5D3E">
            <w:pPr>
              <w:pageBreakBefore w:val="0"/>
              <w:kinsoku/>
              <w:bidi w:val="0"/>
              <w:spacing w:beforeAutospacing="0" w:afterAutospacing="0"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（可另附纸说明）</w:t>
            </w:r>
          </w:p>
        </w:tc>
      </w:tr>
    </w:tbl>
    <w:p w14:paraId="7B961C42">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p>
    <w:p w14:paraId="389D6ADB">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eastAsia="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08EF7B9">
      <w:pPr>
        <w:pageBreakBefore w:val="0"/>
        <w:kinsoku/>
        <w:bidi w:val="0"/>
        <w:snapToGrid w:val="0"/>
        <w:spacing w:beforeAutospacing="0" w:afterAutospacing="0" w:line="440" w:lineRule="exact"/>
        <w:ind w:right="600"/>
        <w:rPr>
          <w:rFonts w:hint="eastAsia" w:ascii="仿宋" w:hAnsi="仿宋" w:eastAsia="仿宋" w:cs="仿宋"/>
          <w:color w:val="auto"/>
          <w:sz w:val="24"/>
          <w:szCs w:val="24"/>
          <w:highlight w:val="none"/>
        </w:rPr>
      </w:pPr>
    </w:p>
    <w:p w14:paraId="7682A509">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1D6A5C1">
      <w:pPr>
        <w:pageBreakBefore w:val="0"/>
        <w:kinsoku/>
        <w:bidi w:val="0"/>
        <w:snapToGrid w:val="0"/>
        <w:spacing w:beforeAutospacing="0" w:afterAutospacing="0" w:line="440" w:lineRule="exact"/>
        <w:ind w:right="600"/>
        <w:rPr>
          <w:rFonts w:hint="eastAsia" w:ascii="仿宋" w:hAnsi="仿宋" w:eastAsia="仿宋" w:cs="仿宋"/>
          <w:color w:val="auto"/>
          <w:highlight w:val="none"/>
          <w:u w:val="single"/>
        </w:rPr>
      </w:pPr>
    </w:p>
    <w:p w14:paraId="642F714E">
      <w:pPr>
        <w:pStyle w:val="8"/>
        <w:pageBreakBefore w:val="0"/>
        <w:kinsoku/>
        <w:bidi w:val="0"/>
        <w:spacing w:before="0" w:beforeAutospacing="0" w:after="0" w:afterAutospacing="0" w:line="440" w:lineRule="exact"/>
        <w:ind w:left="0" w:leftChars="0" w:firstLine="0" w:firstLineChars="0"/>
        <w:jc w:val="both"/>
        <w:rPr>
          <w:rFonts w:hint="eastAsia" w:ascii="仿宋" w:hAnsi="仿宋" w:eastAsia="仿宋" w:cs="仿宋"/>
          <w:b/>
          <w:color w:val="auto"/>
          <w:sz w:val="32"/>
          <w:highlight w:val="none"/>
        </w:rPr>
      </w:pPr>
    </w:p>
    <w:p w14:paraId="5B593E4D">
      <w:pPr>
        <w:rPr>
          <w:rFonts w:hint="eastAsia" w:ascii="仿宋" w:hAnsi="仿宋" w:eastAsia="仿宋" w:cs="仿宋"/>
          <w:color w:val="auto"/>
          <w:highlight w:val="none"/>
        </w:rPr>
      </w:pPr>
    </w:p>
    <w:p w14:paraId="0F8EE82F">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类似项目业绩表</w:t>
      </w:r>
    </w:p>
    <w:p w14:paraId="6ACB0352">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7DD2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5F9470C">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218" w:type="dxa"/>
          </w:tcPr>
          <w:p w14:paraId="15EE008A">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项目类型</w:t>
            </w:r>
          </w:p>
        </w:tc>
        <w:tc>
          <w:tcPr>
            <w:tcW w:w="1218" w:type="dxa"/>
          </w:tcPr>
          <w:p w14:paraId="6A0F1DD6">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简要描述</w:t>
            </w:r>
          </w:p>
        </w:tc>
        <w:tc>
          <w:tcPr>
            <w:tcW w:w="1218" w:type="dxa"/>
          </w:tcPr>
          <w:p w14:paraId="39D00066">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项目投资（万元）</w:t>
            </w:r>
          </w:p>
        </w:tc>
        <w:tc>
          <w:tcPr>
            <w:tcW w:w="1218" w:type="dxa"/>
          </w:tcPr>
          <w:p w14:paraId="0266EEFA">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起止日期</w:t>
            </w:r>
          </w:p>
        </w:tc>
        <w:tc>
          <w:tcPr>
            <w:tcW w:w="1417" w:type="dxa"/>
          </w:tcPr>
          <w:p w14:paraId="2C115B24">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项目地址与建设单位联系电话</w:t>
            </w:r>
          </w:p>
        </w:tc>
        <w:tc>
          <w:tcPr>
            <w:tcW w:w="1253" w:type="dxa"/>
          </w:tcPr>
          <w:p w14:paraId="4923B789">
            <w:pPr>
              <w:pStyle w:val="838"/>
              <w:pageBreakBefore w:val="0"/>
              <w:kinsoku/>
              <w:bidi w:val="0"/>
              <w:snapToGrid w:val="0"/>
              <w:spacing w:beforeAutospacing="0" w:afterAutospacing="0"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所在页码</w:t>
            </w:r>
          </w:p>
        </w:tc>
      </w:tr>
      <w:tr w14:paraId="44CA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7A85932">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4855598E">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1470C618">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6EF7EB5A">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5332D7D3">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417" w:type="dxa"/>
          </w:tcPr>
          <w:p w14:paraId="438B1F5A">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53" w:type="dxa"/>
          </w:tcPr>
          <w:p w14:paraId="0EF360C9">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r>
      <w:tr w14:paraId="7FC6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0B6361D">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479668AD">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579E7005">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37352A27">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6135BDB5">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417" w:type="dxa"/>
          </w:tcPr>
          <w:p w14:paraId="5D6D3E6D">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53" w:type="dxa"/>
          </w:tcPr>
          <w:p w14:paraId="563F3D85">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r>
      <w:tr w14:paraId="288D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96B2664">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371EA62A">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1CE94CB7">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2BF26D7A">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5BDA08FD">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417" w:type="dxa"/>
          </w:tcPr>
          <w:p w14:paraId="3D1E75C1">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53" w:type="dxa"/>
          </w:tcPr>
          <w:p w14:paraId="638F40BA">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r>
      <w:tr w14:paraId="501E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EFF24D1">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1709F523">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5AD3E3C8">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3940740C">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18" w:type="dxa"/>
          </w:tcPr>
          <w:p w14:paraId="7E71A1FE">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417" w:type="dxa"/>
          </w:tcPr>
          <w:p w14:paraId="41FB0442">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c>
          <w:tcPr>
            <w:tcW w:w="1253" w:type="dxa"/>
          </w:tcPr>
          <w:p w14:paraId="21D969E0">
            <w:pPr>
              <w:pStyle w:val="838"/>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vertAlign w:val="baseline"/>
                <w:lang w:val="en-US" w:eastAsia="zh-CN"/>
              </w:rPr>
            </w:pPr>
          </w:p>
        </w:tc>
      </w:tr>
    </w:tbl>
    <w:p w14:paraId="65F68F35">
      <w:pPr>
        <w:pStyle w:val="838"/>
        <w:pageBreakBefore w:val="0"/>
        <w:kinsoku/>
        <w:bidi w:val="0"/>
        <w:snapToGrid w:val="0"/>
        <w:spacing w:beforeAutospacing="0" w:afterAutospacing="0" w:line="4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注：响应人可按上述的格式自行编制，须随表提交相应的证明材料复印件，并加盖投标单位公章。</w:t>
      </w:r>
    </w:p>
    <w:p w14:paraId="1B267E97">
      <w:pPr>
        <w:pStyle w:val="838"/>
        <w:pageBreakBefore w:val="0"/>
        <w:kinsoku/>
        <w:bidi w:val="0"/>
        <w:snapToGrid w:val="0"/>
        <w:spacing w:beforeAutospacing="0" w:afterAutospacing="0" w:line="440" w:lineRule="exact"/>
        <w:rPr>
          <w:rFonts w:hint="eastAsia" w:ascii="仿宋" w:hAnsi="仿宋" w:eastAsia="仿宋" w:cs="仿宋"/>
          <w:b/>
          <w:color w:val="auto"/>
          <w:sz w:val="32"/>
          <w:szCs w:val="32"/>
          <w:highlight w:val="none"/>
          <w:lang w:val="en-US" w:eastAsia="zh-CN"/>
        </w:rPr>
      </w:pPr>
    </w:p>
    <w:p w14:paraId="7E3A3978">
      <w:pPr>
        <w:pStyle w:val="838"/>
        <w:pageBreakBefore w:val="0"/>
        <w:kinsoku/>
        <w:bidi w:val="0"/>
        <w:snapToGrid w:val="0"/>
        <w:spacing w:beforeAutospacing="0" w:afterAutospacing="0" w:line="440" w:lineRule="exact"/>
        <w:rPr>
          <w:rFonts w:hint="eastAsia" w:ascii="仿宋" w:hAnsi="仿宋" w:eastAsia="仿宋" w:cs="仿宋"/>
          <w:b/>
          <w:color w:val="auto"/>
          <w:sz w:val="32"/>
          <w:szCs w:val="32"/>
          <w:highlight w:val="none"/>
          <w:lang w:val="en-US" w:eastAsia="zh-CN"/>
        </w:rPr>
      </w:pPr>
    </w:p>
    <w:p w14:paraId="251898F4">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zh-CN"/>
        </w:rPr>
        <w:t>电子签</w:t>
      </w:r>
      <w:r>
        <w:rPr>
          <w:rFonts w:hint="eastAsia" w:ascii="仿宋" w:hAnsi="仿宋" w:eastAsia="仿宋" w:cs="仿宋"/>
          <w:color w:val="auto"/>
          <w:kern w:val="0"/>
          <w:sz w:val="24"/>
          <w:szCs w:val="24"/>
          <w:highlight w:val="none"/>
          <w:lang w:val="en-US" w:eastAsia="zh-CN"/>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16AB6FE3">
      <w:pPr>
        <w:pageBreakBefore w:val="0"/>
        <w:kinsoku/>
        <w:bidi w:val="0"/>
        <w:snapToGrid w:val="0"/>
        <w:spacing w:beforeAutospacing="0" w:afterAutospacing="0" w:line="440" w:lineRule="exact"/>
        <w:rPr>
          <w:rFonts w:hint="eastAsia" w:ascii="仿宋" w:hAnsi="仿宋" w:eastAsia="仿宋" w:cs="仿宋"/>
          <w:color w:val="auto"/>
          <w:sz w:val="24"/>
          <w:szCs w:val="24"/>
          <w:highlight w:val="none"/>
        </w:rPr>
      </w:pPr>
    </w:p>
    <w:p w14:paraId="6D0C4951">
      <w:pPr>
        <w:pageBreakBefore w:val="0"/>
        <w:kinsoku/>
        <w:bidi w:val="0"/>
        <w:snapToGrid w:val="0"/>
        <w:spacing w:beforeAutospacing="0" w:afterAutospacing="0"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19A3C6B6">
      <w:pPr>
        <w:pageBreakBefore w:val="0"/>
        <w:kinsoku/>
        <w:bidi w:val="0"/>
        <w:snapToGrid w:val="0"/>
        <w:spacing w:beforeAutospacing="0" w:afterAutospacing="0" w:line="440" w:lineRule="exact"/>
        <w:ind w:right="600"/>
        <w:rPr>
          <w:rFonts w:hint="eastAsia" w:ascii="仿宋" w:hAnsi="仿宋" w:eastAsia="仿宋" w:cs="仿宋"/>
          <w:color w:val="auto"/>
          <w:highlight w:val="none"/>
          <w:u w:val="single"/>
        </w:rPr>
      </w:pPr>
    </w:p>
    <w:p w14:paraId="6B8A75AD">
      <w:pPr>
        <w:pStyle w:val="8"/>
        <w:pageBreakBefore w:val="0"/>
        <w:kinsoku/>
        <w:bidi w:val="0"/>
        <w:spacing w:before="0" w:beforeAutospacing="0" w:after="0" w:afterAutospacing="0" w:line="440" w:lineRule="exact"/>
        <w:ind w:left="0" w:leftChars="0" w:firstLine="0" w:firstLineChars="0"/>
        <w:jc w:val="both"/>
        <w:rPr>
          <w:rFonts w:hint="eastAsia" w:ascii="仿宋" w:hAnsi="仿宋" w:eastAsia="仿宋" w:cs="仿宋"/>
          <w:b/>
          <w:color w:val="auto"/>
          <w:sz w:val="32"/>
          <w:highlight w:val="none"/>
        </w:rPr>
      </w:pPr>
    </w:p>
    <w:p w14:paraId="3058AE65">
      <w:pPr>
        <w:rPr>
          <w:rFonts w:hint="eastAsia" w:ascii="仿宋" w:hAnsi="仿宋" w:eastAsia="仿宋" w:cs="仿宋"/>
          <w:b/>
          <w:color w:val="auto"/>
          <w:sz w:val="32"/>
          <w:highlight w:val="none"/>
        </w:rPr>
      </w:pPr>
    </w:p>
    <w:p w14:paraId="66AD2068">
      <w:pPr>
        <w:pStyle w:val="8"/>
        <w:pageBreakBefore w:val="0"/>
        <w:kinsoku/>
        <w:bidi w:val="0"/>
        <w:spacing w:before="0" w:beforeAutospacing="0" w:after="0" w:afterAutospacing="0" w:line="440" w:lineRule="exact"/>
        <w:ind w:left="0" w:leftChars="0" w:firstLine="0" w:firstLineChars="0"/>
        <w:jc w:val="both"/>
        <w:rPr>
          <w:rFonts w:hint="eastAsia" w:ascii="仿宋" w:hAnsi="仿宋" w:eastAsia="仿宋" w:cs="仿宋"/>
          <w:b/>
          <w:color w:val="auto"/>
          <w:sz w:val="32"/>
          <w:highlight w:val="none"/>
        </w:rPr>
      </w:pPr>
    </w:p>
    <w:p w14:paraId="37255E0F">
      <w:pPr>
        <w:rPr>
          <w:rFonts w:hint="eastAsia" w:ascii="仿宋" w:hAnsi="仿宋" w:eastAsia="仿宋" w:cs="仿宋"/>
          <w:b/>
          <w:color w:val="auto"/>
          <w:sz w:val="32"/>
          <w:highlight w:val="none"/>
        </w:rPr>
      </w:pPr>
    </w:p>
    <w:p w14:paraId="7C5B08C7">
      <w:pPr>
        <w:pStyle w:val="106"/>
        <w:rPr>
          <w:rFonts w:hint="eastAsia" w:ascii="仿宋" w:hAnsi="仿宋" w:eastAsia="仿宋" w:cs="仿宋"/>
          <w:b/>
          <w:color w:val="auto"/>
          <w:sz w:val="32"/>
          <w:highlight w:val="none"/>
        </w:rPr>
      </w:pPr>
    </w:p>
    <w:p w14:paraId="673E8B62">
      <w:pPr>
        <w:rPr>
          <w:rFonts w:hint="eastAsia" w:ascii="仿宋" w:hAnsi="仿宋" w:eastAsia="仿宋" w:cs="仿宋"/>
          <w:b/>
          <w:color w:val="auto"/>
          <w:sz w:val="32"/>
          <w:highlight w:val="none"/>
        </w:rPr>
      </w:pPr>
    </w:p>
    <w:p w14:paraId="5216FF4D">
      <w:pPr>
        <w:pStyle w:val="106"/>
        <w:rPr>
          <w:rFonts w:hint="eastAsia" w:ascii="仿宋" w:hAnsi="仿宋" w:eastAsia="仿宋" w:cs="仿宋"/>
          <w:b/>
          <w:color w:val="auto"/>
          <w:sz w:val="32"/>
          <w:highlight w:val="none"/>
        </w:rPr>
      </w:pPr>
    </w:p>
    <w:p w14:paraId="4F152E6B">
      <w:pPr>
        <w:rPr>
          <w:rFonts w:hint="eastAsia" w:ascii="仿宋" w:hAnsi="仿宋" w:eastAsia="仿宋" w:cs="仿宋"/>
          <w:b/>
          <w:color w:val="auto"/>
          <w:sz w:val="32"/>
          <w:highlight w:val="none"/>
        </w:rPr>
      </w:pPr>
    </w:p>
    <w:p w14:paraId="48151DC9">
      <w:pPr>
        <w:spacing w:before="120"/>
        <w:jc w:val="center"/>
        <w:rPr>
          <w:rFonts w:hint="eastAsia" w:ascii="仿宋" w:hAnsi="仿宋" w:eastAsia="仿宋" w:cs="仿宋"/>
          <w:b/>
          <w:color w:val="auto"/>
          <w:sz w:val="32"/>
          <w:highlight w:val="none"/>
        </w:rPr>
      </w:pPr>
    </w:p>
    <w:p w14:paraId="78BE5D78">
      <w:pPr>
        <w:snapToGrid w:val="0"/>
        <w:spacing w:line="360" w:lineRule="auto"/>
        <w:ind w:right="480" w:firstLine="643"/>
        <w:jc w:val="center"/>
        <w:rPr>
          <w:rFonts w:hint="eastAsia" w:ascii="仿宋" w:hAnsi="仿宋" w:eastAsia="仿宋" w:cs="仿宋"/>
          <w:b/>
          <w:color w:val="auto"/>
          <w:sz w:val="32"/>
          <w:szCs w:val="32"/>
          <w:highlight w:val="none"/>
        </w:rPr>
        <w:sectPr>
          <w:pgSz w:w="11906" w:h="16838"/>
          <w:pgMar w:top="1418" w:right="1418" w:bottom="1418" w:left="1588" w:header="851" w:footer="992" w:gutter="0"/>
          <w:pgNumType w:fmt="decimal"/>
          <w:cols w:space="720" w:num="1"/>
          <w:docGrid w:type="lines" w:linePitch="312" w:charSpace="0"/>
        </w:sectPr>
      </w:pPr>
    </w:p>
    <w:p w14:paraId="08D7EAFB">
      <w:pPr>
        <w:snapToGrid w:val="0"/>
        <w:spacing w:line="360" w:lineRule="auto"/>
        <w:ind w:right="480"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商务技术偏离表</w:t>
      </w:r>
    </w:p>
    <w:tbl>
      <w:tblPr>
        <w:tblStyle w:val="8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14:paraId="776D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3D9BF1D">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184" w:type="dxa"/>
            <w:noWrap w:val="0"/>
            <w:vAlign w:val="center"/>
          </w:tcPr>
          <w:p w14:paraId="25B913C5">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216" w:type="dxa"/>
            <w:noWrap w:val="0"/>
            <w:vAlign w:val="center"/>
          </w:tcPr>
          <w:p w14:paraId="14E69603">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2105" w:type="dxa"/>
            <w:noWrap w:val="0"/>
            <w:vAlign w:val="center"/>
          </w:tcPr>
          <w:p w14:paraId="1207B003">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337B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9E74A09">
            <w:pPr>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3184" w:type="dxa"/>
            <w:noWrap w:val="0"/>
            <w:vAlign w:val="center"/>
          </w:tcPr>
          <w:p w14:paraId="50CA56CB">
            <w:pPr>
              <w:ind w:firstLine="643"/>
              <w:jc w:val="center"/>
              <w:rPr>
                <w:rFonts w:hint="eastAsia" w:ascii="仿宋" w:hAnsi="仿宋" w:eastAsia="仿宋" w:cs="仿宋"/>
                <w:b/>
                <w:color w:val="auto"/>
                <w:kern w:val="0"/>
                <w:sz w:val="32"/>
                <w:szCs w:val="32"/>
                <w:highlight w:val="none"/>
              </w:rPr>
            </w:pPr>
          </w:p>
        </w:tc>
        <w:tc>
          <w:tcPr>
            <w:tcW w:w="3216" w:type="dxa"/>
            <w:noWrap w:val="0"/>
            <w:vAlign w:val="center"/>
          </w:tcPr>
          <w:p w14:paraId="5381FE38">
            <w:pPr>
              <w:ind w:firstLine="643"/>
              <w:jc w:val="center"/>
              <w:rPr>
                <w:rFonts w:hint="eastAsia" w:ascii="仿宋" w:hAnsi="仿宋" w:eastAsia="仿宋" w:cs="仿宋"/>
                <w:b/>
                <w:color w:val="auto"/>
                <w:kern w:val="0"/>
                <w:sz w:val="32"/>
                <w:szCs w:val="32"/>
                <w:highlight w:val="none"/>
              </w:rPr>
            </w:pPr>
          </w:p>
        </w:tc>
        <w:tc>
          <w:tcPr>
            <w:tcW w:w="2105" w:type="dxa"/>
            <w:noWrap w:val="0"/>
            <w:vAlign w:val="center"/>
          </w:tcPr>
          <w:p w14:paraId="5E316F7E">
            <w:pPr>
              <w:ind w:firstLine="643"/>
              <w:jc w:val="center"/>
              <w:rPr>
                <w:rFonts w:hint="eastAsia" w:ascii="仿宋" w:hAnsi="仿宋" w:eastAsia="仿宋" w:cs="仿宋"/>
                <w:b/>
                <w:color w:val="auto"/>
                <w:kern w:val="0"/>
                <w:sz w:val="32"/>
                <w:szCs w:val="32"/>
                <w:highlight w:val="none"/>
              </w:rPr>
            </w:pPr>
          </w:p>
        </w:tc>
      </w:tr>
      <w:tr w14:paraId="4BBE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118FC52B">
            <w:pPr>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3184" w:type="dxa"/>
            <w:noWrap w:val="0"/>
            <w:vAlign w:val="center"/>
          </w:tcPr>
          <w:p w14:paraId="14B21EFA">
            <w:pPr>
              <w:ind w:firstLine="643"/>
              <w:jc w:val="center"/>
              <w:rPr>
                <w:rFonts w:hint="eastAsia" w:ascii="仿宋" w:hAnsi="仿宋" w:eastAsia="仿宋" w:cs="仿宋"/>
                <w:b/>
                <w:color w:val="auto"/>
                <w:kern w:val="0"/>
                <w:sz w:val="32"/>
                <w:szCs w:val="32"/>
                <w:highlight w:val="none"/>
              </w:rPr>
            </w:pPr>
          </w:p>
        </w:tc>
        <w:tc>
          <w:tcPr>
            <w:tcW w:w="3216" w:type="dxa"/>
            <w:noWrap w:val="0"/>
            <w:vAlign w:val="center"/>
          </w:tcPr>
          <w:p w14:paraId="2F66AF92">
            <w:pPr>
              <w:ind w:firstLine="643"/>
              <w:jc w:val="center"/>
              <w:rPr>
                <w:rFonts w:hint="eastAsia" w:ascii="仿宋" w:hAnsi="仿宋" w:eastAsia="仿宋" w:cs="仿宋"/>
                <w:b/>
                <w:color w:val="auto"/>
                <w:kern w:val="0"/>
                <w:sz w:val="32"/>
                <w:szCs w:val="32"/>
                <w:highlight w:val="none"/>
              </w:rPr>
            </w:pPr>
          </w:p>
        </w:tc>
        <w:tc>
          <w:tcPr>
            <w:tcW w:w="2105" w:type="dxa"/>
            <w:noWrap w:val="0"/>
            <w:vAlign w:val="center"/>
          </w:tcPr>
          <w:p w14:paraId="0E5C2E2C">
            <w:pPr>
              <w:ind w:firstLine="643"/>
              <w:jc w:val="center"/>
              <w:rPr>
                <w:rFonts w:hint="eastAsia" w:ascii="仿宋" w:hAnsi="仿宋" w:eastAsia="仿宋" w:cs="仿宋"/>
                <w:b/>
                <w:color w:val="auto"/>
                <w:kern w:val="0"/>
                <w:sz w:val="32"/>
                <w:szCs w:val="32"/>
                <w:highlight w:val="none"/>
              </w:rPr>
            </w:pPr>
          </w:p>
        </w:tc>
      </w:tr>
      <w:tr w14:paraId="68D9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8030D22">
            <w:pPr>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3184" w:type="dxa"/>
            <w:noWrap w:val="0"/>
            <w:vAlign w:val="center"/>
          </w:tcPr>
          <w:p w14:paraId="2A2370BE">
            <w:pPr>
              <w:ind w:firstLine="643"/>
              <w:jc w:val="center"/>
              <w:rPr>
                <w:rFonts w:hint="eastAsia" w:ascii="仿宋" w:hAnsi="仿宋" w:eastAsia="仿宋" w:cs="仿宋"/>
                <w:b/>
                <w:color w:val="auto"/>
                <w:kern w:val="0"/>
                <w:sz w:val="32"/>
                <w:szCs w:val="32"/>
                <w:highlight w:val="none"/>
              </w:rPr>
            </w:pPr>
          </w:p>
        </w:tc>
        <w:tc>
          <w:tcPr>
            <w:tcW w:w="3216" w:type="dxa"/>
            <w:noWrap w:val="0"/>
            <w:vAlign w:val="center"/>
          </w:tcPr>
          <w:p w14:paraId="1787EC5C">
            <w:pPr>
              <w:ind w:firstLine="643"/>
              <w:jc w:val="center"/>
              <w:rPr>
                <w:rFonts w:hint="eastAsia" w:ascii="仿宋" w:hAnsi="仿宋" w:eastAsia="仿宋" w:cs="仿宋"/>
                <w:b/>
                <w:color w:val="auto"/>
                <w:kern w:val="0"/>
                <w:sz w:val="32"/>
                <w:szCs w:val="32"/>
                <w:highlight w:val="none"/>
              </w:rPr>
            </w:pPr>
          </w:p>
        </w:tc>
        <w:tc>
          <w:tcPr>
            <w:tcW w:w="2105" w:type="dxa"/>
            <w:noWrap w:val="0"/>
            <w:vAlign w:val="center"/>
          </w:tcPr>
          <w:p w14:paraId="1EED3B52">
            <w:pPr>
              <w:ind w:firstLine="643"/>
              <w:jc w:val="center"/>
              <w:rPr>
                <w:rFonts w:hint="eastAsia" w:ascii="仿宋" w:hAnsi="仿宋" w:eastAsia="仿宋" w:cs="仿宋"/>
                <w:b/>
                <w:color w:val="auto"/>
                <w:kern w:val="0"/>
                <w:sz w:val="32"/>
                <w:szCs w:val="32"/>
                <w:highlight w:val="none"/>
              </w:rPr>
            </w:pPr>
          </w:p>
        </w:tc>
      </w:tr>
    </w:tbl>
    <w:p w14:paraId="794D6FBD">
      <w:pPr>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投标人保证：除商务技术偏离表列出的偏离外，投标人响应招标文件的全部要求。</w:t>
      </w:r>
    </w:p>
    <w:p w14:paraId="30DD2EE3">
      <w:pPr>
        <w:ind w:firstLine="643"/>
        <w:jc w:val="center"/>
        <w:rPr>
          <w:rFonts w:hint="eastAsia" w:ascii="仿宋" w:hAnsi="仿宋" w:eastAsia="仿宋" w:cs="仿宋"/>
          <w:b/>
          <w:color w:val="auto"/>
          <w:kern w:val="0"/>
          <w:sz w:val="32"/>
          <w:szCs w:val="32"/>
          <w:highlight w:val="none"/>
        </w:rPr>
      </w:pPr>
    </w:p>
    <w:p w14:paraId="2888A81C">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5EE88BD">
      <w:pPr>
        <w:pStyle w:val="88"/>
        <w:spacing w:after="0" w:line="480" w:lineRule="auto"/>
        <w:ind w:left="480"/>
        <w:rPr>
          <w:rFonts w:hint="eastAsia" w:ascii="仿宋" w:hAnsi="仿宋" w:eastAsia="仿宋" w:cs="仿宋"/>
          <w:color w:val="auto"/>
          <w:highlight w:val="none"/>
        </w:rPr>
      </w:pPr>
    </w:p>
    <w:p w14:paraId="336FE37E">
      <w:pPr>
        <w:rPr>
          <w:rFonts w:hint="eastAsia" w:ascii="仿宋" w:hAnsi="仿宋" w:eastAsia="仿宋" w:cs="仿宋"/>
          <w:color w:val="auto"/>
          <w:highlight w:val="none"/>
        </w:rPr>
      </w:pPr>
    </w:p>
    <w:p w14:paraId="5B59ABD0">
      <w:pPr>
        <w:pStyle w:val="838"/>
        <w:snapToGrid w:val="0"/>
        <w:spacing w:line="48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w:t>
      </w:r>
      <w:r>
        <w:rPr>
          <w:rFonts w:hint="eastAsia" w:ascii="仿宋" w:hAnsi="仿宋" w:eastAsia="仿宋" w:cs="仿宋"/>
          <w:color w:val="auto"/>
          <w:kern w:val="0"/>
          <w:highlight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A873959">
      <w:pPr>
        <w:snapToGrid w:val="0"/>
        <w:spacing w:line="480" w:lineRule="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期：</w:t>
      </w:r>
      <w:r>
        <w:rPr>
          <w:rFonts w:hint="eastAsia" w:ascii="仿宋" w:hAnsi="仿宋" w:eastAsia="仿宋" w:cs="仿宋"/>
          <w:color w:val="auto"/>
          <w:highlight w:val="none"/>
          <w:u w:val="single"/>
        </w:rPr>
        <w:t xml:space="preserve">       年     月     日</w:t>
      </w:r>
    </w:p>
    <w:p w14:paraId="663FD678">
      <w:pPr>
        <w:pStyle w:val="8"/>
        <w:pageBreakBefore w:val="0"/>
        <w:kinsoku/>
        <w:bidi w:val="0"/>
        <w:spacing w:before="0" w:beforeAutospacing="0" w:after="0" w:afterAutospacing="0" w:line="440" w:lineRule="exact"/>
        <w:ind w:left="0" w:leftChars="0" w:firstLine="0" w:firstLineChars="0"/>
        <w:jc w:val="both"/>
        <w:rPr>
          <w:rFonts w:hint="eastAsia" w:ascii="仿宋" w:hAnsi="仿宋" w:eastAsia="仿宋" w:cs="仿宋"/>
          <w:color w:val="auto"/>
          <w:highlight w:val="none"/>
        </w:rPr>
      </w:pPr>
      <w:r>
        <w:rPr>
          <w:rFonts w:hint="eastAsia" w:ascii="仿宋" w:hAnsi="仿宋" w:eastAsia="仿宋" w:cs="仿宋"/>
          <w:b/>
          <w:color w:val="auto"/>
          <w:sz w:val="32"/>
          <w:highlight w:val="none"/>
        </w:rPr>
        <w:br w:type="page"/>
      </w:r>
    </w:p>
    <w:p w14:paraId="05AC729C">
      <w:pPr>
        <w:pageBreakBefore w:val="0"/>
        <w:kinsoku/>
        <w:bidi w:val="0"/>
        <w:snapToGrid w:val="0"/>
        <w:spacing w:beforeAutospacing="0" w:afterAutospacing="0" w:line="440" w:lineRule="exact"/>
        <w:ind w:right="60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项目实施人员（主要从业人员及其技术资格）一览表</w:t>
      </w:r>
    </w:p>
    <w:p w14:paraId="0141F29B">
      <w:pPr>
        <w:pStyle w:val="25"/>
        <w:pageBreakBefore w:val="0"/>
        <w:kinsoku/>
        <w:bidi w:val="0"/>
        <w:snapToGrid w:val="0"/>
        <w:spacing w:before="0" w:beforeAutospacing="0" w:after="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F6C0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44EEE86E">
            <w:pPr>
              <w:pageBreakBefore w:val="0"/>
              <w:kinsoku/>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997D9C2">
            <w:pPr>
              <w:pageBreakBefore w:val="0"/>
              <w:kinsoku/>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713BCDF">
            <w:pPr>
              <w:pageBreakBefore w:val="0"/>
              <w:kinsoku/>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1792A16C">
            <w:pPr>
              <w:pageBreakBefore w:val="0"/>
              <w:kinsoku/>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6B3F9F42">
            <w:pPr>
              <w:pageBreakBefore w:val="0"/>
              <w:kinsoku/>
              <w:bidi w:val="0"/>
              <w:snapToGrid w:val="0"/>
              <w:spacing w:beforeAutospacing="0" w:afterAutospacing="0"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参加本单位</w:t>
            </w:r>
          </w:p>
          <w:p w14:paraId="0249151E">
            <w:pPr>
              <w:pageBreakBefore w:val="0"/>
              <w:kinsoku/>
              <w:bidi w:val="0"/>
              <w:snapToGrid w:val="0"/>
              <w:spacing w:beforeAutospacing="0" w:afterAutospacing="0"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41E24162">
            <w:pPr>
              <w:pageBreakBefore w:val="0"/>
              <w:kinsoku/>
              <w:bidi w:val="0"/>
              <w:snapToGrid w:val="0"/>
              <w:spacing w:beforeAutospacing="0" w:afterAutospacing="0"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劳动合</w:t>
            </w:r>
          </w:p>
          <w:p w14:paraId="09D34A8A">
            <w:pPr>
              <w:pageBreakBefore w:val="0"/>
              <w:kinsoku/>
              <w:bidi w:val="0"/>
              <w:snapToGrid w:val="0"/>
              <w:spacing w:beforeAutospacing="0" w:afterAutospacing="0"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28F099BC">
            <w:pPr>
              <w:pageBreakBefore w:val="0"/>
              <w:kinsoku/>
              <w:bidi w:val="0"/>
              <w:snapToGrid w:val="0"/>
              <w:spacing w:beforeAutospacing="0" w:afterAutospacing="0" w:line="440" w:lineRule="exact"/>
              <w:jc w:val="center"/>
              <w:rPr>
                <w:rFonts w:hint="eastAsia" w:ascii="仿宋" w:hAnsi="仿宋" w:eastAsia="仿宋" w:cs="仿宋"/>
                <w:bCs/>
                <w:color w:val="auto"/>
                <w:highlight w:val="none"/>
              </w:rPr>
            </w:pPr>
            <w:r>
              <w:rPr>
                <w:rFonts w:hint="eastAsia" w:ascii="仿宋" w:hAnsi="仿宋" w:eastAsia="仿宋" w:cs="仿宋"/>
                <w:bCs/>
                <w:color w:val="auto"/>
                <w:highlight w:val="none"/>
              </w:rPr>
              <w:t>本项目中的职责</w:t>
            </w:r>
          </w:p>
        </w:tc>
      </w:tr>
      <w:tr w14:paraId="26821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0C556E2">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E50F5EF">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B381A09">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6551F1D3">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5BE7ED5">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8F00D0D">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7113425F">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7ABA2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6EC83B0">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1BDB8A87">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606D325D">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4FF2BA5">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C31C279">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1CDD651">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B87398E">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1107F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73C0C7E">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7DFAFBF0">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089377C">
            <w:pPr>
              <w:pStyle w:val="49"/>
              <w:pageBreakBefore w:val="0"/>
              <w:kinsoku/>
              <w:bidi w:val="0"/>
              <w:snapToGrid w:val="0"/>
              <w:spacing w:beforeAutospacing="0" w:afterAutospacing="0" w:line="440" w:lineRule="exact"/>
              <w:ind w:left="6000"/>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3D65049">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12D0DD32">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2EC2F33">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5B73D11B">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30BE6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8604234">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8001C2D">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1599CBB2">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30E3589">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7A993A20">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DF798CE">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65FB277E">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20DA4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B83AB9C">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51D436EA">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3FC9B17">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EAA14A4">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515F5A05">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C5C74A4">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982C2A7">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7FD4E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2474518">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08B3DFED">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1F766B7">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89383D4">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0FF8242D">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DE6E0F8">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56F60B4">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0E895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0CD03FC">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6295976">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EC88665">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EB4C5A4">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EFF1C02">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6D86BCE">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03546DE5">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6D7ED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BE86C0D">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33805A64">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3E0EB819">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C151C4C">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39F045DA">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B120416">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3832BFF4">
            <w:pPr>
              <w:pageBreakBefore w:val="0"/>
              <w:kinsoku/>
              <w:bidi w:val="0"/>
              <w:snapToGrid w:val="0"/>
              <w:spacing w:beforeAutospacing="0" w:afterAutospacing="0" w:line="440" w:lineRule="exact"/>
              <w:rPr>
                <w:rFonts w:hint="eastAsia" w:ascii="仿宋" w:hAnsi="仿宋" w:eastAsia="仿宋" w:cs="仿宋"/>
                <w:color w:val="auto"/>
                <w:highlight w:val="none"/>
              </w:rPr>
            </w:pPr>
          </w:p>
        </w:tc>
      </w:tr>
      <w:tr w14:paraId="2D865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40438D1">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14:paraId="4E823C0B">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14:paraId="22C08B62">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5711E5AF">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14:paraId="6F3A6759">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9226E51">
            <w:pPr>
              <w:pageBreakBefore w:val="0"/>
              <w:kinsoku/>
              <w:bidi w:val="0"/>
              <w:snapToGrid w:val="0"/>
              <w:spacing w:beforeAutospacing="0" w:afterAutospacing="0" w:line="440" w:lineRule="exact"/>
              <w:rPr>
                <w:rFonts w:hint="eastAsia" w:ascii="仿宋" w:hAnsi="仿宋" w:eastAsia="仿宋" w:cs="仿宋"/>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14:paraId="437950A4">
            <w:pPr>
              <w:pageBreakBefore w:val="0"/>
              <w:kinsoku/>
              <w:bidi w:val="0"/>
              <w:snapToGrid w:val="0"/>
              <w:spacing w:beforeAutospacing="0" w:afterAutospacing="0" w:line="440" w:lineRule="exact"/>
              <w:rPr>
                <w:rFonts w:hint="eastAsia" w:ascii="仿宋" w:hAnsi="仿宋" w:eastAsia="仿宋" w:cs="仿宋"/>
                <w:color w:val="auto"/>
                <w:highlight w:val="none"/>
              </w:rPr>
            </w:pPr>
          </w:p>
        </w:tc>
      </w:tr>
    </w:tbl>
    <w:p w14:paraId="5A38A6AA">
      <w:pPr>
        <w:pageBreakBefore w:val="0"/>
        <w:kinsoku/>
        <w:bidi w:val="0"/>
        <w:snapToGrid w:val="0"/>
        <w:spacing w:beforeAutospacing="0" w:afterAutospacing="0"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注：1、在填写时，如本表格不适合投标人的实际情况，可根据本表格式自行划表填写。 </w:t>
      </w:r>
    </w:p>
    <w:p w14:paraId="3FFE9861">
      <w:pPr>
        <w:pageBreakBefore w:val="0"/>
        <w:kinsoku/>
        <w:bidi w:val="0"/>
        <w:snapToGrid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2、本表结合“第三章 评标办法及评分标准”中相关人员要求，后附人员证书等证明材料复印件。</w:t>
      </w:r>
    </w:p>
    <w:p w14:paraId="32193B5C">
      <w:pPr>
        <w:pStyle w:val="838"/>
        <w:pageBreakBefore w:val="0"/>
        <w:kinsoku/>
        <w:bidi w:val="0"/>
        <w:snapToGrid w:val="0"/>
        <w:spacing w:beforeAutospacing="0" w:afterAutospacing="0" w:line="440" w:lineRule="exact"/>
        <w:rPr>
          <w:rFonts w:hint="eastAsia" w:ascii="仿宋" w:hAnsi="仿宋" w:eastAsia="仿宋" w:cs="仿宋"/>
          <w:color w:val="auto"/>
          <w:szCs w:val="24"/>
          <w:highlight w:val="none"/>
        </w:rPr>
      </w:pPr>
    </w:p>
    <w:p w14:paraId="4ECC42DB">
      <w:pPr>
        <w:pStyle w:val="838"/>
        <w:pageBreakBefore w:val="0"/>
        <w:kinsoku/>
        <w:bidi w:val="0"/>
        <w:snapToGrid w:val="0"/>
        <w:spacing w:beforeAutospacing="0" w:afterAutospacing="0" w:line="44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w:t>
      </w:r>
      <w:r>
        <w:rPr>
          <w:rFonts w:hint="eastAsia" w:ascii="仿宋" w:hAnsi="仿宋" w:eastAsia="仿宋" w:cs="仿宋"/>
          <w:color w:val="auto"/>
          <w:szCs w:val="24"/>
          <w:highlight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02B3D3B">
      <w:pPr>
        <w:pageBreakBefore w:val="0"/>
        <w:kinsoku/>
        <w:bidi w:val="0"/>
        <w:snapToGrid w:val="0"/>
        <w:spacing w:beforeAutospacing="0" w:afterAutospacing="0" w:line="440" w:lineRule="exact"/>
        <w:ind w:right="600"/>
        <w:rPr>
          <w:rFonts w:hint="eastAsia" w:ascii="仿宋" w:hAnsi="仿宋" w:eastAsia="仿宋" w:cs="仿宋"/>
          <w:color w:val="auto"/>
          <w:highlight w:val="none"/>
        </w:rPr>
      </w:pPr>
    </w:p>
    <w:p w14:paraId="6F10AE20">
      <w:pPr>
        <w:pageBreakBefore w:val="0"/>
        <w:kinsoku/>
        <w:bidi w:val="0"/>
        <w:snapToGrid w:val="0"/>
        <w:spacing w:beforeAutospacing="0" w:afterAutospacing="0" w:line="440" w:lineRule="exact"/>
        <w:ind w:right="600"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E13B028">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0F280FF2">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72B43C5F">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2D382884">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29D34E04">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7B1187E6">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29F054D1">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6E633E5C">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125A6AC9">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4B4C950C">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3728E26F">
      <w:pPr>
        <w:pageBreakBefore w:val="0"/>
        <w:kinsoku/>
        <w:bidi w:val="0"/>
        <w:spacing w:beforeAutospacing="0" w:afterAutospacing="0" w:line="440" w:lineRule="exact"/>
        <w:jc w:val="center"/>
        <w:rPr>
          <w:rFonts w:hint="eastAsia" w:ascii="仿宋" w:hAnsi="仿宋" w:eastAsia="仿宋" w:cs="仿宋"/>
          <w:b/>
          <w:color w:val="auto"/>
          <w:sz w:val="30"/>
          <w:szCs w:val="30"/>
          <w:highlight w:val="none"/>
        </w:rPr>
      </w:pPr>
    </w:p>
    <w:p w14:paraId="2B677AD3">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0"/>
          <w:szCs w:val="30"/>
          <w:highlight w:val="none"/>
        </w:rPr>
        <w:t>投标文件封面</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val="en-US" w:eastAsia="zh-CN"/>
        </w:rPr>
        <w:t>封面</w:t>
      </w:r>
      <w:r>
        <w:rPr>
          <w:rFonts w:hint="eastAsia" w:ascii="仿宋" w:hAnsi="仿宋" w:eastAsia="仿宋" w:cs="仿宋"/>
          <w:b/>
          <w:color w:val="auto"/>
          <w:sz w:val="32"/>
          <w:highlight w:val="none"/>
        </w:rPr>
        <w:t>格式供参考）</w:t>
      </w:r>
    </w:p>
    <w:p w14:paraId="7B37D8A2">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报价文件</w:t>
      </w:r>
    </w:p>
    <w:p w14:paraId="75C5F6D1">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rFonts w:hint="eastAsia" w:ascii="仿宋" w:hAnsi="仿宋" w:eastAsia="仿宋" w:cs="仿宋"/>
          <w:b/>
          <w:color w:val="auto"/>
          <w:sz w:val="28"/>
          <w:szCs w:val="28"/>
          <w:highlight w:val="none"/>
        </w:rPr>
      </w:pPr>
    </w:p>
    <w:p w14:paraId="4B5EB6C7">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78D0650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70A7C45C">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投标人全称（电子签</w:t>
      </w:r>
      <w:r>
        <w:rPr>
          <w:rFonts w:hint="eastAsia" w:ascii="仿宋" w:hAnsi="仿宋" w:eastAsia="仿宋" w:cs="仿宋"/>
          <w:b/>
          <w:color w:val="auto"/>
          <w:sz w:val="30"/>
          <w:szCs w:val="30"/>
          <w:highlight w:val="none"/>
          <w:lang w:val="en-US" w:eastAsia="zh-CN"/>
        </w:rPr>
        <w:t>名</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u w:val="single"/>
        </w:rPr>
        <w:t xml:space="preserve">                   </w:t>
      </w:r>
    </w:p>
    <w:p w14:paraId="3489BBFE">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rFonts w:hint="eastAsia" w:ascii="仿宋" w:hAnsi="仿宋" w:eastAsia="仿宋" w:cs="仿宋"/>
          <w:color w:val="auto"/>
          <w:highlight w:val="none"/>
        </w:rPr>
      </w:pPr>
    </w:p>
    <w:p w14:paraId="75BA1005">
      <w:pPr>
        <w:pStyle w:val="8"/>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ascii="仿宋" w:hAnsi="仿宋" w:eastAsia="仿宋" w:cs="仿宋"/>
          <w:color w:val="auto"/>
          <w:kern w:val="0"/>
          <w:sz w:val="24"/>
          <w:highlight w:val="none"/>
        </w:rPr>
      </w:pPr>
      <w:r>
        <w:rPr>
          <w:rFonts w:hint="eastAsia" w:ascii="仿宋" w:hAnsi="仿宋" w:eastAsia="仿宋" w:cs="仿宋"/>
          <w:color w:val="auto"/>
          <w:highlight w:val="none"/>
          <w:u w:val="single"/>
        </w:rPr>
        <w:br w:type="page"/>
      </w:r>
    </w:p>
    <w:p w14:paraId="4DD98CDB">
      <w:pPr>
        <w:snapToGrid w:val="0"/>
        <w:spacing w:before="156" w:after="50" w:line="46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szCs w:val="32"/>
          <w:highlight w:val="none"/>
          <w:lang w:eastAsia="zh-CN"/>
        </w:rPr>
        <w:t>开标</w:t>
      </w:r>
      <w:r>
        <w:rPr>
          <w:rFonts w:hint="eastAsia" w:ascii="仿宋" w:hAnsi="仿宋" w:eastAsia="仿宋" w:cs="仿宋"/>
          <w:b/>
          <w:color w:val="auto"/>
          <w:sz w:val="32"/>
          <w:highlight w:val="none"/>
        </w:rPr>
        <w:t>一览表</w:t>
      </w:r>
    </w:p>
    <w:p w14:paraId="275BFFB1">
      <w:pPr>
        <w:pStyle w:val="11"/>
        <w:spacing w:before="0" w:after="0" w:line="400" w:lineRule="exact"/>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项目名称：</w:t>
      </w:r>
      <w:r>
        <w:rPr>
          <w:rFonts w:hint="eastAsia" w:ascii="仿宋" w:hAnsi="仿宋" w:eastAsia="仿宋" w:cs="仿宋"/>
          <w:b w:val="0"/>
          <w:bCs w:val="0"/>
          <w:color w:val="auto"/>
          <w:sz w:val="24"/>
          <w:szCs w:val="24"/>
          <w:highlight w:val="none"/>
          <w:u w:val="single"/>
        </w:rPr>
        <w:t xml:space="preserve">                          </w:t>
      </w:r>
    </w:p>
    <w:p w14:paraId="2E9EF56D">
      <w:pPr>
        <w:spacing w:before="156" w:beforeLines="50" w:after="156" w:afterLines="50"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tbl>
      <w:tblPr>
        <w:tblStyle w:val="8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6"/>
        <w:gridCol w:w="2393"/>
        <w:gridCol w:w="5493"/>
      </w:tblGrid>
      <w:tr w14:paraId="0AAA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117808E0">
            <w:pPr>
              <w:spacing w:before="120" w:line="44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2393" w:type="dxa"/>
            <w:tcBorders>
              <w:top w:val="single" w:color="auto" w:sz="4" w:space="0"/>
              <w:left w:val="single" w:color="auto" w:sz="4" w:space="0"/>
              <w:bottom w:val="single" w:color="auto" w:sz="4" w:space="0"/>
              <w:right w:val="single" w:color="auto" w:sz="4" w:space="0"/>
            </w:tcBorders>
            <w:vAlign w:val="center"/>
          </w:tcPr>
          <w:p w14:paraId="5AAA9397">
            <w:pPr>
              <w:spacing w:before="120" w:line="44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项目名称</w:t>
            </w:r>
          </w:p>
        </w:tc>
        <w:tc>
          <w:tcPr>
            <w:tcW w:w="5493" w:type="dxa"/>
            <w:tcBorders>
              <w:top w:val="single" w:color="auto" w:sz="4" w:space="0"/>
              <w:left w:val="single" w:color="auto" w:sz="4" w:space="0"/>
              <w:bottom w:val="single" w:color="auto" w:sz="4" w:space="0"/>
              <w:right w:val="single" w:color="auto" w:sz="4" w:space="0"/>
            </w:tcBorders>
            <w:vAlign w:val="center"/>
          </w:tcPr>
          <w:p w14:paraId="4A8C1312">
            <w:pPr>
              <w:spacing w:before="120" w:line="440" w:lineRule="exact"/>
              <w:jc w:val="center"/>
              <w:rPr>
                <w:rFonts w:hint="eastAsia" w:ascii="仿宋" w:hAnsi="仿宋" w:eastAsia="仿宋" w:cs="仿宋"/>
                <w:b/>
                <w:color w:val="auto"/>
                <w:highlight w:val="none"/>
              </w:rPr>
            </w:pPr>
            <w:r>
              <w:rPr>
                <w:rFonts w:hint="eastAsia" w:ascii="仿宋" w:hAnsi="仿宋" w:eastAsia="仿宋" w:cs="仿宋"/>
                <w:b/>
                <w:color w:val="auto"/>
                <w:highlight w:val="none"/>
              </w:rPr>
              <w:t>投标总价（元）</w:t>
            </w:r>
          </w:p>
        </w:tc>
      </w:tr>
      <w:tr w14:paraId="0C84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467405FA">
            <w:pPr>
              <w:spacing w:before="12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93" w:type="dxa"/>
            <w:tcBorders>
              <w:top w:val="single" w:color="auto" w:sz="4" w:space="0"/>
              <w:left w:val="single" w:color="auto" w:sz="4" w:space="0"/>
              <w:bottom w:val="single" w:color="auto" w:sz="4" w:space="0"/>
              <w:right w:val="single" w:color="auto" w:sz="4" w:space="0"/>
            </w:tcBorders>
            <w:vAlign w:val="center"/>
          </w:tcPr>
          <w:p w14:paraId="48F98E52">
            <w:pPr>
              <w:spacing w:before="120" w:line="440" w:lineRule="exact"/>
              <w:jc w:val="center"/>
              <w:rPr>
                <w:rFonts w:hint="eastAsia" w:ascii="仿宋" w:hAnsi="仿宋" w:eastAsia="仿宋" w:cs="仿宋"/>
                <w:color w:val="auto"/>
                <w:highlight w:val="none"/>
              </w:rPr>
            </w:pPr>
          </w:p>
        </w:tc>
        <w:tc>
          <w:tcPr>
            <w:tcW w:w="5493" w:type="dxa"/>
            <w:tcBorders>
              <w:top w:val="single" w:color="auto" w:sz="4" w:space="0"/>
              <w:left w:val="single" w:color="auto" w:sz="4" w:space="0"/>
              <w:bottom w:val="single" w:color="auto" w:sz="4" w:space="0"/>
              <w:right w:val="single" w:color="auto" w:sz="4" w:space="0"/>
            </w:tcBorders>
            <w:vAlign w:val="center"/>
          </w:tcPr>
          <w:p w14:paraId="3AF2DA5B">
            <w:pPr>
              <w:pStyle w:val="82"/>
              <w:spacing w:before="156" w:beforeLines="50" w:beforeAutospacing="0" w:after="156" w:afterLines="5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14:paraId="681BE721">
            <w:pPr>
              <w:pStyle w:val="82"/>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tc>
      </w:tr>
    </w:tbl>
    <w:p w14:paraId="01A874DA">
      <w:pPr>
        <w:spacing w:line="44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w:t>
      </w:r>
    </w:p>
    <w:p w14:paraId="7BA26858">
      <w:pPr>
        <w:spacing w:line="440" w:lineRule="exact"/>
        <w:ind w:firstLine="480" w:firstLineChars="200"/>
        <w:rPr>
          <w:rFonts w:hint="eastAsia" w:ascii="仿宋" w:hAnsi="仿宋" w:eastAsia="仿宋" w:cs="仿宋"/>
          <w:color w:val="auto"/>
          <w:highlight w:val="none"/>
          <w:lang w:val="en-US" w:eastAsia="zh-CN"/>
        </w:rPr>
      </w:pPr>
      <w:r>
        <w:rPr>
          <w:rFonts w:hint="eastAsia" w:cs="仿宋"/>
          <w:color w:val="auto"/>
          <w:highlight w:val="none"/>
          <w:lang w:val="en-US" w:eastAsia="zh-CN"/>
        </w:rPr>
        <w:t>1.</w:t>
      </w:r>
      <w:r>
        <w:rPr>
          <w:rFonts w:hint="eastAsia" w:ascii="仿宋" w:hAnsi="仿宋" w:eastAsia="仿宋" w:cs="仿宋"/>
          <w:color w:val="auto"/>
          <w:highlight w:val="none"/>
          <w:lang w:val="en-US" w:eastAsia="zh-CN"/>
        </w:rPr>
        <w:t>投标人需按本表格式填写，不得自行更改，投标报价以人民币元为结算币种。</w:t>
      </w:r>
    </w:p>
    <w:p w14:paraId="2C02DCFF">
      <w:pPr>
        <w:spacing w:line="4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cs="仿宋"/>
          <w:color w:val="auto"/>
          <w:highlight w:val="none"/>
          <w:lang w:val="en-US" w:eastAsia="zh-CN"/>
        </w:rPr>
        <w:t>.</w:t>
      </w:r>
      <w:r>
        <w:rPr>
          <w:rFonts w:hint="eastAsia" w:ascii="仿宋" w:hAnsi="仿宋" w:eastAsia="仿宋" w:cs="仿宋"/>
          <w:color w:val="auto"/>
          <w:highlight w:val="none"/>
          <w:lang w:val="en-US" w:eastAsia="zh-CN"/>
        </w:rPr>
        <w:t>投标报价应包括所需缴纳的所有税费、项目实施所需的一切费用。</w:t>
      </w:r>
    </w:p>
    <w:p w14:paraId="547DE724">
      <w:pPr>
        <w:spacing w:line="44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cs="仿宋"/>
          <w:color w:val="auto"/>
          <w:highlight w:val="none"/>
          <w:lang w:val="en-US" w:eastAsia="zh-CN"/>
        </w:rPr>
        <w:t>.</w:t>
      </w:r>
      <w:r>
        <w:rPr>
          <w:rFonts w:hint="eastAsia" w:ascii="仿宋" w:hAnsi="仿宋" w:eastAsia="仿宋" w:cs="仿宋"/>
          <w:color w:val="auto"/>
          <w:highlight w:val="none"/>
          <w:lang w:val="en-US" w:eastAsia="zh-CN"/>
        </w:rPr>
        <w:t>特别提示：采购代理机构将对项目名称和项目编号，中标人名称、地址和中标金额，主要中标标的的名称、规格型号、数量、单价、服务要求等予以公示。</w:t>
      </w:r>
    </w:p>
    <w:p w14:paraId="1471B715">
      <w:pPr>
        <w:spacing w:line="440" w:lineRule="exact"/>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4.合同总价不为零，《开标一览表（报价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012275F6">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▲5.投标人报价低于项目预算 50%的，应当在报价文件中详细阐述不影响</w:t>
      </w:r>
      <w:r>
        <w:rPr>
          <w:rFonts w:hint="eastAsia" w:cs="仿宋"/>
          <w:b/>
          <w:bCs/>
          <w:color w:val="auto"/>
          <w:highlight w:val="none"/>
          <w:lang w:val="en-US" w:eastAsia="zh-CN"/>
        </w:rPr>
        <w:t>产</w:t>
      </w:r>
      <w:r>
        <w:rPr>
          <w:rFonts w:hint="eastAsia" w:ascii="仿宋" w:hAnsi="仿宋" w:eastAsia="仿宋" w:cs="仿宋"/>
          <w:b/>
          <w:bCs/>
          <w:color w:val="auto"/>
          <w:highlight w:val="none"/>
          <w:lang w:val="en-US" w:eastAsia="zh-CN"/>
        </w:rPr>
        <w:t>品质量或者诚信履约的具体原因，投标人未提供相应材料的，评标委员会应当将其作为无效投标处理</w:t>
      </w:r>
      <w:r>
        <w:rPr>
          <w:rFonts w:hint="eastAsia" w:ascii="仿宋" w:hAnsi="仿宋" w:eastAsia="仿宋" w:cs="仿宋"/>
          <w:b/>
          <w:bCs/>
          <w:color w:val="auto"/>
          <w:highlight w:val="none"/>
        </w:rPr>
        <w:t>。</w:t>
      </w:r>
    </w:p>
    <w:p w14:paraId="1948E704">
      <w:pPr>
        <w:pStyle w:val="838"/>
        <w:snapToGrid w:val="0"/>
        <w:spacing w:before="156" w:line="360" w:lineRule="auto"/>
        <w:ind w:firstLine="480" w:firstLineChars="200"/>
        <w:rPr>
          <w:rFonts w:hint="eastAsia" w:ascii="仿宋" w:hAnsi="仿宋" w:eastAsia="仿宋" w:cs="仿宋"/>
          <w:color w:val="auto"/>
          <w:szCs w:val="24"/>
          <w:highlight w:val="none"/>
        </w:rPr>
      </w:pPr>
    </w:p>
    <w:p w14:paraId="28BC6106">
      <w:pPr>
        <w:pStyle w:val="838"/>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eastAsia="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174AF1F8">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43338542">
      <w:pPr>
        <w:pageBreakBefore w:val="0"/>
        <w:kinsoku/>
        <w:bidi w:val="0"/>
        <w:snapToGrid w:val="0"/>
        <w:spacing w:beforeAutospacing="0" w:afterAutospacing="0" w:line="440" w:lineRule="exact"/>
        <w:jc w:val="center"/>
        <w:rPr>
          <w:rFonts w:hint="eastAsia" w:ascii="仿宋" w:hAnsi="仿宋" w:eastAsia="仿宋" w:cs="仿宋"/>
          <w:b/>
          <w:color w:val="auto"/>
          <w:sz w:val="32"/>
          <w:szCs w:val="32"/>
          <w:highlight w:val="none"/>
        </w:rPr>
      </w:pPr>
    </w:p>
    <w:p w14:paraId="4CA5C644">
      <w:pPr>
        <w:pageBreakBefore w:val="0"/>
        <w:kinsoku/>
        <w:bidi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3338BB8">
      <w:pPr>
        <w:snapToGrid w:val="0"/>
        <w:spacing w:before="156" w:after="50" w:line="460" w:lineRule="exact"/>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val="en-US" w:eastAsia="zh-CN"/>
        </w:rPr>
        <w:t>投标报价明细表（格式供参考）</w:t>
      </w:r>
    </w:p>
    <w:tbl>
      <w:tblPr>
        <w:tblStyle w:val="90"/>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447"/>
        <w:gridCol w:w="1166"/>
        <w:gridCol w:w="1480"/>
        <w:gridCol w:w="1481"/>
        <w:gridCol w:w="1450"/>
      </w:tblGrid>
      <w:tr w14:paraId="2000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91" w:type="dxa"/>
            <w:vAlign w:val="center"/>
          </w:tcPr>
          <w:p w14:paraId="4B97982F">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bCs w:val="0"/>
                <w:color w:val="auto"/>
                <w:spacing w:val="-6"/>
                <w:sz w:val="24"/>
                <w:szCs w:val="24"/>
                <w:highlight w:val="none"/>
                <w:vertAlign w:val="baseline"/>
                <w:lang w:val="en-US" w:eastAsia="zh-CN"/>
              </w:rPr>
            </w:pPr>
            <w:r>
              <w:rPr>
                <w:rFonts w:hint="eastAsia" w:ascii="仿宋" w:hAnsi="仿宋" w:eastAsia="仿宋" w:cs="仿宋"/>
                <w:b/>
                <w:bCs w:val="0"/>
                <w:color w:val="auto"/>
                <w:spacing w:val="-6"/>
                <w:sz w:val="24"/>
                <w:szCs w:val="24"/>
                <w:highlight w:val="none"/>
                <w:vertAlign w:val="baseline"/>
                <w:lang w:val="en-US" w:eastAsia="zh-CN"/>
              </w:rPr>
              <w:t>序号</w:t>
            </w:r>
          </w:p>
        </w:tc>
        <w:tc>
          <w:tcPr>
            <w:tcW w:w="2447" w:type="dxa"/>
            <w:vAlign w:val="center"/>
          </w:tcPr>
          <w:p w14:paraId="5D8CCF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名称</w:t>
            </w:r>
          </w:p>
        </w:tc>
        <w:tc>
          <w:tcPr>
            <w:tcW w:w="1166" w:type="dxa"/>
            <w:vAlign w:val="center"/>
          </w:tcPr>
          <w:p w14:paraId="22CBFE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数量</w:t>
            </w:r>
          </w:p>
          <w:p w14:paraId="679F5F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（吨/年）</w:t>
            </w:r>
          </w:p>
        </w:tc>
        <w:tc>
          <w:tcPr>
            <w:tcW w:w="1480" w:type="dxa"/>
            <w:vAlign w:val="center"/>
          </w:tcPr>
          <w:p w14:paraId="63BDDF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处置单价</w:t>
            </w:r>
          </w:p>
          <w:p w14:paraId="093100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（元/吨）</w:t>
            </w:r>
          </w:p>
        </w:tc>
        <w:tc>
          <w:tcPr>
            <w:tcW w:w="1481" w:type="dxa"/>
            <w:vAlign w:val="center"/>
          </w:tcPr>
          <w:p w14:paraId="2ECFC3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合计</w:t>
            </w:r>
          </w:p>
          <w:p w14:paraId="5233A7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（元/年）</w:t>
            </w:r>
          </w:p>
        </w:tc>
        <w:tc>
          <w:tcPr>
            <w:tcW w:w="1450" w:type="dxa"/>
            <w:vAlign w:val="center"/>
          </w:tcPr>
          <w:p w14:paraId="6014B2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pacing w:val="-6"/>
                <w:kern w:val="3"/>
                <w:sz w:val="24"/>
                <w:szCs w:val="24"/>
                <w:highlight w:val="none"/>
                <w:vertAlign w:val="baseline"/>
                <w:lang w:val="en-US" w:eastAsia="zh-CN" w:bidi="ar-SA"/>
              </w:rPr>
            </w:pPr>
            <w:r>
              <w:rPr>
                <w:rFonts w:hint="eastAsia" w:ascii="仿宋" w:hAnsi="仿宋" w:eastAsia="仿宋" w:cs="仿宋"/>
                <w:b/>
                <w:bCs w:val="0"/>
                <w:color w:val="auto"/>
                <w:spacing w:val="-6"/>
                <w:kern w:val="3"/>
                <w:sz w:val="24"/>
                <w:szCs w:val="24"/>
                <w:highlight w:val="none"/>
                <w:vertAlign w:val="baseline"/>
                <w:lang w:val="en-US" w:eastAsia="zh-CN" w:bidi="ar-SA"/>
              </w:rPr>
              <w:t>备注</w:t>
            </w:r>
          </w:p>
        </w:tc>
      </w:tr>
      <w:tr w14:paraId="2866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91" w:type="dxa"/>
            <w:vAlign w:val="center"/>
          </w:tcPr>
          <w:p w14:paraId="11DC3393">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1</w:t>
            </w:r>
          </w:p>
        </w:tc>
        <w:tc>
          <w:tcPr>
            <w:tcW w:w="2447" w:type="dxa"/>
            <w:vAlign w:val="center"/>
          </w:tcPr>
          <w:p w14:paraId="398365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废镍镉电池和废氧化汞电池</w:t>
            </w:r>
          </w:p>
        </w:tc>
        <w:tc>
          <w:tcPr>
            <w:tcW w:w="1166" w:type="dxa"/>
            <w:vAlign w:val="center"/>
          </w:tcPr>
          <w:p w14:paraId="645588A1">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bidi="ar"/>
              </w:rPr>
              <w:t>4</w:t>
            </w:r>
          </w:p>
        </w:tc>
        <w:tc>
          <w:tcPr>
            <w:tcW w:w="1480" w:type="dxa"/>
            <w:vAlign w:val="center"/>
          </w:tcPr>
          <w:p w14:paraId="748401D0">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6CE0649A">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2037E3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08C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1" w:type="dxa"/>
            <w:vAlign w:val="center"/>
          </w:tcPr>
          <w:p w14:paraId="26BB9A60">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2</w:t>
            </w:r>
          </w:p>
        </w:tc>
        <w:tc>
          <w:tcPr>
            <w:tcW w:w="2447" w:type="dxa"/>
            <w:vAlign w:val="center"/>
          </w:tcPr>
          <w:p w14:paraId="1F37E4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废荧光灯管</w:t>
            </w:r>
          </w:p>
        </w:tc>
        <w:tc>
          <w:tcPr>
            <w:tcW w:w="1166" w:type="dxa"/>
            <w:vAlign w:val="center"/>
          </w:tcPr>
          <w:p w14:paraId="67DCAA44">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10</w:t>
            </w:r>
          </w:p>
        </w:tc>
        <w:tc>
          <w:tcPr>
            <w:tcW w:w="1480" w:type="dxa"/>
            <w:vAlign w:val="center"/>
          </w:tcPr>
          <w:p w14:paraId="1807EB6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5F6609BD">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0214D73D">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7F99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91" w:type="dxa"/>
            <w:vAlign w:val="center"/>
          </w:tcPr>
          <w:p w14:paraId="15A4F8A6">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3</w:t>
            </w:r>
          </w:p>
        </w:tc>
        <w:tc>
          <w:tcPr>
            <w:tcW w:w="2447" w:type="dxa"/>
            <w:vAlign w:val="center"/>
          </w:tcPr>
          <w:p w14:paraId="6EBCBF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废弃药物及其包装物</w:t>
            </w:r>
          </w:p>
        </w:tc>
        <w:tc>
          <w:tcPr>
            <w:tcW w:w="1166" w:type="dxa"/>
            <w:vAlign w:val="center"/>
          </w:tcPr>
          <w:p w14:paraId="4DDEA7AB">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3</w:t>
            </w:r>
          </w:p>
        </w:tc>
        <w:tc>
          <w:tcPr>
            <w:tcW w:w="1480" w:type="dxa"/>
            <w:vAlign w:val="center"/>
          </w:tcPr>
          <w:p w14:paraId="2026DADB">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0034BAEF">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2AA909C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4F4D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1" w:type="dxa"/>
            <w:vAlign w:val="center"/>
          </w:tcPr>
          <w:p w14:paraId="6FF0977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4</w:t>
            </w:r>
          </w:p>
        </w:tc>
        <w:tc>
          <w:tcPr>
            <w:tcW w:w="2447" w:type="dxa"/>
            <w:vAlign w:val="center"/>
          </w:tcPr>
          <w:p w14:paraId="232E68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废油漆和溶剂及其包装物</w:t>
            </w:r>
          </w:p>
        </w:tc>
        <w:tc>
          <w:tcPr>
            <w:tcW w:w="1166" w:type="dxa"/>
            <w:vAlign w:val="center"/>
          </w:tcPr>
          <w:p w14:paraId="24B43D2A">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15</w:t>
            </w:r>
          </w:p>
        </w:tc>
        <w:tc>
          <w:tcPr>
            <w:tcW w:w="1480" w:type="dxa"/>
            <w:vAlign w:val="center"/>
          </w:tcPr>
          <w:p w14:paraId="72391B23">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6CA41D5B">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09466A5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4078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1" w:type="dxa"/>
            <w:vAlign w:val="center"/>
          </w:tcPr>
          <w:p w14:paraId="456B774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5</w:t>
            </w:r>
          </w:p>
        </w:tc>
        <w:tc>
          <w:tcPr>
            <w:tcW w:w="2447" w:type="dxa"/>
            <w:vAlign w:val="center"/>
          </w:tcPr>
          <w:p w14:paraId="193C50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废矿物油及其包装物</w:t>
            </w:r>
          </w:p>
        </w:tc>
        <w:tc>
          <w:tcPr>
            <w:tcW w:w="1166" w:type="dxa"/>
            <w:vAlign w:val="center"/>
          </w:tcPr>
          <w:p w14:paraId="53D07599">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1</w:t>
            </w:r>
          </w:p>
        </w:tc>
        <w:tc>
          <w:tcPr>
            <w:tcW w:w="1480" w:type="dxa"/>
            <w:vAlign w:val="center"/>
          </w:tcPr>
          <w:p w14:paraId="08C97E2C">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722B5323">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49734241">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458B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1" w:type="dxa"/>
            <w:vAlign w:val="center"/>
          </w:tcPr>
          <w:p w14:paraId="171FB938">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6</w:t>
            </w:r>
          </w:p>
        </w:tc>
        <w:tc>
          <w:tcPr>
            <w:tcW w:w="2447" w:type="dxa"/>
            <w:vAlign w:val="center"/>
          </w:tcPr>
          <w:p w14:paraId="1E97FD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废含汞温度计、废含汞血压计</w:t>
            </w:r>
          </w:p>
        </w:tc>
        <w:tc>
          <w:tcPr>
            <w:tcW w:w="1166" w:type="dxa"/>
            <w:vAlign w:val="center"/>
          </w:tcPr>
          <w:p w14:paraId="3ACA4822">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1</w:t>
            </w:r>
          </w:p>
        </w:tc>
        <w:tc>
          <w:tcPr>
            <w:tcW w:w="1480" w:type="dxa"/>
            <w:vAlign w:val="center"/>
          </w:tcPr>
          <w:p w14:paraId="6E569FF2">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7955880B">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202F11F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3ECC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1" w:type="dxa"/>
            <w:vAlign w:val="center"/>
          </w:tcPr>
          <w:p w14:paraId="5217CA53">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7</w:t>
            </w:r>
          </w:p>
        </w:tc>
        <w:tc>
          <w:tcPr>
            <w:tcW w:w="2447" w:type="dxa"/>
            <w:vAlign w:val="center"/>
          </w:tcPr>
          <w:p w14:paraId="0EB694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废杀虫剂、消毒剂及其 包装物</w:t>
            </w:r>
          </w:p>
        </w:tc>
        <w:tc>
          <w:tcPr>
            <w:tcW w:w="1166" w:type="dxa"/>
            <w:vAlign w:val="center"/>
          </w:tcPr>
          <w:p w14:paraId="7039B419">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1</w:t>
            </w:r>
          </w:p>
        </w:tc>
        <w:tc>
          <w:tcPr>
            <w:tcW w:w="1480" w:type="dxa"/>
            <w:vAlign w:val="center"/>
          </w:tcPr>
          <w:p w14:paraId="5CEFE2AE">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54C5AFDB">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20C4908A">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5FDF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1" w:type="dxa"/>
            <w:vAlign w:val="center"/>
          </w:tcPr>
          <w:p w14:paraId="798197D1">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8</w:t>
            </w:r>
          </w:p>
        </w:tc>
        <w:tc>
          <w:tcPr>
            <w:tcW w:w="2447" w:type="dxa"/>
            <w:vAlign w:val="center"/>
          </w:tcPr>
          <w:p w14:paraId="712473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rPr>
            </w:pPr>
            <w:r>
              <w:rPr>
                <w:rFonts w:hint="eastAsia" w:ascii="仿宋" w:hAnsi="仿宋" w:eastAsia="仿宋" w:cs="仿宋"/>
                <w:b w:val="0"/>
                <w:bCs/>
                <w:color w:val="000000"/>
                <w:kern w:val="0"/>
                <w:sz w:val="24"/>
                <w:szCs w:val="24"/>
                <w:lang w:val="en-US" w:eastAsia="zh-CN" w:bidi="ar"/>
              </w:rPr>
              <w:t>废胶片及废相纸</w:t>
            </w:r>
          </w:p>
        </w:tc>
        <w:tc>
          <w:tcPr>
            <w:tcW w:w="1166" w:type="dxa"/>
            <w:vAlign w:val="center"/>
          </w:tcPr>
          <w:p w14:paraId="2AD319EB">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eastAsia="zh-CN" w:bidi="ar"/>
              </w:rPr>
              <w:t>1</w:t>
            </w:r>
          </w:p>
        </w:tc>
        <w:tc>
          <w:tcPr>
            <w:tcW w:w="1480" w:type="dxa"/>
            <w:vAlign w:val="center"/>
          </w:tcPr>
          <w:p w14:paraId="296B8B91">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4AC3EACA">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111B5A48">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7B67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1" w:type="dxa"/>
            <w:vAlign w:val="center"/>
          </w:tcPr>
          <w:p w14:paraId="360F181E">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9</w:t>
            </w:r>
          </w:p>
        </w:tc>
        <w:tc>
          <w:tcPr>
            <w:tcW w:w="2447" w:type="dxa"/>
            <w:vAlign w:val="center"/>
          </w:tcPr>
          <w:p w14:paraId="179D95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color w:val="auto"/>
                <w:sz w:val="24"/>
                <w:szCs w:val="24"/>
                <w:highlight w:val="none"/>
                <w:lang w:eastAsia="zh-CN"/>
              </w:rPr>
              <w:t>废墨盒硒鼓</w:t>
            </w:r>
          </w:p>
        </w:tc>
        <w:tc>
          <w:tcPr>
            <w:tcW w:w="1166" w:type="dxa"/>
            <w:vAlign w:val="center"/>
          </w:tcPr>
          <w:p w14:paraId="4A2DAB79">
            <w:pPr>
              <w:pStyle w:val="1028"/>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bidi="ar"/>
              </w:rPr>
              <w:t>4</w:t>
            </w:r>
          </w:p>
        </w:tc>
        <w:tc>
          <w:tcPr>
            <w:tcW w:w="1480" w:type="dxa"/>
            <w:vAlign w:val="center"/>
          </w:tcPr>
          <w:p w14:paraId="7B01EF62">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38B8E850">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615E8AA6">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59D2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91" w:type="dxa"/>
            <w:vAlign w:val="center"/>
          </w:tcPr>
          <w:p w14:paraId="71CB558F">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10</w:t>
            </w:r>
          </w:p>
        </w:tc>
        <w:tc>
          <w:tcPr>
            <w:tcW w:w="2447" w:type="dxa"/>
            <w:vAlign w:val="center"/>
          </w:tcPr>
          <w:p w14:paraId="2E20CA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其他投标人认为所需列支的费用（风险防范费用等）</w:t>
            </w:r>
          </w:p>
        </w:tc>
        <w:tc>
          <w:tcPr>
            <w:tcW w:w="1166" w:type="dxa"/>
            <w:vAlign w:val="center"/>
          </w:tcPr>
          <w:p w14:paraId="306E0CDC">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p>
        </w:tc>
        <w:tc>
          <w:tcPr>
            <w:tcW w:w="1480" w:type="dxa"/>
            <w:vAlign w:val="center"/>
          </w:tcPr>
          <w:p w14:paraId="57BBFE8C">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5BB3857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7424E93F">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79A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1" w:type="dxa"/>
            <w:vAlign w:val="center"/>
          </w:tcPr>
          <w:p w14:paraId="04ED5549">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w:t>
            </w:r>
          </w:p>
        </w:tc>
        <w:tc>
          <w:tcPr>
            <w:tcW w:w="2447" w:type="dxa"/>
            <w:vAlign w:val="center"/>
          </w:tcPr>
          <w:p w14:paraId="2F635C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w:t>
            </w:r>
          </w:p>
        </w:tc>
        <w:tc>
          <w:tcPr>
            <w:tcW w:w="1166" w:type="dxa"/>
            <w:vAlign w:val="center"/>
          </w:tcPr>
          <w:p w14:paraId="02309113">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p>
        </w:tc>
        <w:tc>
          <w:tcPr>
            <w:tcW w:w="1480" w:type="dxa"/>
            <w:vAlign w:val="center"/>
          </w:tcPr>
          <w:p w14:paraId="2859A85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32104555">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4D2CD339">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00BB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1" w:type="dxa"/>
            <w:vAlign w:val="center"/>
          </w:tcPr>
          <w:p w14:paraId="5E9246AE">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r>
              <w:rPr>
                <w:rFonts w:hint="eastAsia" w:ascii="仿宋" w:hAnsi="仿宋" w:eastAsia="仿宋" w:cs="仿宋"/>
                <w:b w:val="0"/>
                <w:bCs/>
                <w:color w:val="auto"/>
                <w:spacing w:val="-6"/>
                <w:sz w:val="24"/>
                <w:szCs w:val="24"/>
                <w:highlight w:val="none"/>
                <w:vertAlign w:val="baseline"/>
                <w:lang w:val="en-US" w:eastAsia="zh-CN"/>
              </w:rPr>
              <w:t>...</w:t>
            </w:r>
          </w:p>
        </w:tc>
        <w:tc>
          <w:tcPr>
            <w:tcW w:w="2447" w:type="dxa"/>
            <w:vAlign w:val="center"/>
          </w:tcPr>
          <w:p w14:paraId="7E32D32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w:t>
            </w:r>
          </w:p>
        </w:tc>
        <w:tc>
          <w:tcPr>
            <w:tcW w:w="1166" w:type="dxa"/>
            <w:vAlign w:val="center"/>
          </w:tcPr>
          <w:p w14:paraId="5C59E547">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lang w:val="en-US" w:eastAsia="zh-CN"/>
              </w:rPr>
            </w:pPr>
          </w:p>
        </w:tc>
        <w:tc>
          <w:tcPr>
            <w:tcW w:w="1480" w:type="dxa"/>
            <w:vAlign w:val="center"/>
          </w:tcPr>
          <w:p w14:paraId="2884A15E">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81" w:type="dxa"/>
            <w:vAlign w:val="center"/>
          </w:tcPr>
          <w:p w14:paraId="61FF0222">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c>
          <w:tcPr>
            <w:tcW w:w="1450" w:type="dxa"/>
            <w:vAlign w:val="center"/>
          </w:tcPr>
          <w:p w14:paraId="683583E8">
            <w:pPr>
              <w:pStyle w:val="48"/>
              <w:keepNext w:val="0"/>
              <w:keepLines w:val="0"/>
              <w:pageBreakBefore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b w:val="0"/>
                <w:bCs/>
                <w:color w:val="auto"/>
                <w:spacing w:val="-6"/>
                <w:sz w:val="24"/>
                <w:szCs w:val="24"/>
                <w:highlight w:val="none"/>
                <w:vertAlign w:val="baseline"/>
              </w:rPr>
            </w:pPr>
          </w:p>
        </w:tc>
      </w:tr>
      <w:tr w14:paraId="6BD2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815" w:type="dxa"/>
            <w:gridSpan w:val="6"/>
            <w:vAlign w:val="center"/>
          </w:tcPr>
          <w:p w14:paraId="5F0CFCE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val="0"/>
                <w:color w:val="auto"/>
                <w:spacing w:val="-6"/>
                <w:sz w:val="24"/>
                <w:szCs w:val="24"/>
                <w:highlight w:val="none"/>
                <w:vertAlign w:val="baseline"/>
                <w:lang w:val="en-US" w:eastAsia="zh-CN"/>
              </w:rPr>
            </w:pPr>
            <w:r>
              <w:rPr>
                <w:rFonts w:hint="eastAsia" w:ascii="仿宋" w:hAnsi="仿宋" w:eastAsia="仿宋" w:cs="仿宋"/>
                <w:b/>
                <w:bCs w:val="0"/>
                <w:color w:val="auto"/>
                <w:spacing w:val="-6"/>
                <w:sz w:val="24"/>
                <w:szCs w:val="24"/>
                <w:highlight w:val="none"/>
                <w:vertAlign w:val="baseline"/>
                <w:lang w:val="en-US" w:eastAsia="zh-CN"/>
              </w:rPr>
              <w:t xml:space="preserve">总计：              </w:t>
            </w:r>
            <w:r>
              <w:rPr>
                <w:rFonts w:hint="eastAsia" w:ascii="仿宋" w:hAnsi="仿宋" w:eastAsia="仿宋" w:cs="仿宋"/>
                <w:b/>
                <w:bCs w:val="0"/>
                <w:color w:val="000000"/>
                <w:kern w:val="0"/>
                <w:sz w:val="24"/>
                <w:szCs w:val="24"/>
                <w:lang w:val="en-US" w:eastAsia="zh-CN" w:bidi="ar"/>
              </w:rPr>
              <w:t>大写：                      小写：</w:t>
            </w:r>
          </w:p>
        </w:tc>
      </w:tr>
    </w:tbl>
    <w:p w14:paraId="21CC4A58">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pPr>
      <w:r>
        <w:rPr>
          <w:rFonts w:ascii="仿宋" w:hAnsi="仿宋" w:eastAsia="仿宋" w:cs="仿宋"/>
          <w:color w:val="000000"/>
          <w:kern w:val="0"/>
          <w:sz w:val="24"/>
          <w:szCs w:val="24"/>
          <w:lang w:val="en-US" w:eastAsia="zh-CN" w:bidi="ar"/>
        </w:rPr>
        <w:t>1</w:t>
      </w:r>
      <w:r>
        <w:rPr>
          <w:rFonts w:hint="eastAsia" w:cs="仿宋"/>
          <w:color w:val="000000"/>
          <w:kern w:val="0"/>
          <w:sz w:val="24"/>
          <w:szCs w:val="24"/>
          <w:lang w:val="en-US" w:eastAsia="zh-CN" w:bidi="ar"/>
        </w:rPr>
        <w:t>.</w:t>
      </w:r>
      <w:r>
        <w:rPr>
          <w:rFonts w:ascii="仿宋" w:hAnsi="仿宋" w:eastAsia="仿宋" w:cs="仿宋"/>
          <w:color w:val="000000"/>
          <w:kern w:val="0"/>
          <w:sz w:val="24"/>
          <w:szCs w:val="24"/>
          <w:lang w:val="en-US" w:eastAsia="zh-CN" w:bidi="ar"/>
        </w:rPr>
        <w:t xml:space="preserve">投标报价以人民币为结算币种。 </w:t>
      </w:r>
    </w:p>
    <w:p w14:paraId="000407BD">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pPr>
      <w:r>
        <w:rPr>
          <w:rFonts w:hint="eastAsia" w:ascii="仿宋" w:hAnsi="仿宋" w:eastAsia="仿宋" w:cs="仿宋"/>
          <w:color w:val="000000"/>
          <w:kern w:val="0"/>
          <w:sz w:val="24"/>
          <w:szCs w:val="24"/>
          <w:lang w:val="en-US" w:eastAsia="zh-CN" w:bidi="ar"/>
        </w:rPr>
        <w:t>2</w:t>
      </w:r>
      <w:r>
        <w:rPr>
          <w:rFonts w:hint="eastAsia"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 xml:space="preserve">投标报价应包括所需缴纳的所有税费、项目实施所需的一切费用。 </w:t>
      </w:r>
    </w:p>
    <w:p w14:paraId="4BA43C37">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eastAsia" w:ascii="仿宋" w:hAnsi="仿宋" w:eastAsia="仿宋" w:cs="仿宋"/>
          <w:color w:val="auto"/>
          <w:highlight w:val="none"/>
        </w:rPr>
      </w:pPr>
      <w:r>
        <w:rPr>
          <w:rFonts w:hint="eastAsia" w:ascii="仿宋" w:hAnsi="仿宋" w:eastAsia="仿宋" w:cs="仿宋"/>
          <w:color w:val="000000"/>
          <w:kern w:val="0"/>
          <w:sz w:val="24"/>
          <w:szCs w:val="24"/>
          <w:lang w:val="en-US" w:eastAsia="zh-CN" w:bidi="ar"/>
        </w:rPr>
        <w:t>3</w:t>
      </w:r>
      <w:r>
        <w:rPr>
          <w:rFonts w:hint="eastAsia" w:cs="仿宋"/>
          <w:color w:val="000000"/>
          <w:kern w:val="0"/>
          <w:sz w:val="24"/>
          <w:szCs w:val="24"/>
          <w:lang w:val="en-US" w:eastAsia="zh-CN" w:bidi="ar"/>
        </w:rPr>
        <w:t>.</w:t>
      </w:r>
      <w:r>
        <w:rPr>
          <w:rFonts w:hint="eastAsia" w:ascii="仿宋" w:hAnsi="仿宋" w:eastAsia="仿宋" w:cs="仿宋"/>
          <w:b/>
          <w:bCs/>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不提供详细投标分项报价表将视为没有</w:t>
      </w:r>
      <w:r>
        <w:rPr>
          <w:rFonts w:hint="eastAsia" w:cs="仿宋"/>
          <w:color w:val="000000"/>
          <w:kern w:val="0"/>
          <w:sz w:val="24"/>
          <w:szCs w:val="24"/>
          <w:lang w:val="en-US" w:eastAsia="zh-CN" w:bidi="ar"/>
        </w:rPr>
        <w:t>实质性响应采购文件</w:t>
      </w:r>
      <w:r>
        <w:rPr>
          <w:rFonts w:hint="eastAsia" w:ascii="仿宋" w:hAnsi="仿宋" w:eastAsia="仿宋" w:cs="仿宋"/>
          <w:color w:val="auto"/>
          <w:highlight w:val="none"/>
        </w:rPr>
        <w:t>。</w:t>
      </w:r>
    </w:p>
    <w:p w14:paraId="1CF5A61E">
      <w:pPr>
        <w:keepNext w:val="0"/>
        <w:keepLines w:val="0"/>
        <w:pageBreakBefore w:val="0"/>
        <w:kinsoku/>
        <w:wordWrap/>
        <w:overflowPunct/>
        <w:topLinePunct w:val="0"/>
        <w:autoSpaceDE/>
        <w:autoSpaceDN/>
        <w:bidi w:val="0"/>
        <w:adjustRightInd/>
        <w:snapToGrid w:val="0"/>
        <w:spacing w:line="440" w:lineRule="exact"/>
        <w:ind w:firstLine="480" w:firstLineChars="200"/>
        <w:jc w:val="righ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eastAsia="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2B824F27">
      <w:pPr>
        <w:keepNext w:val="0"/>
        <w:keepLines w:val="0"/>
        <w:pageBreakBefore w:val="0"/>
        <w:kinsoku/>
        <w:wordWrap/>
        <w:overflowPunct/>
        <w:topLinePunct w:val="0"/>
        <w:autoSpaceDE/>
        <w:autoSpaceDN/>
        <w:bidi w:val="0"/>
        <w:adjustRightInd/>
        <w:snapToGrid w:val="0"/>
        <w:spacing w:line="440" w:lineRule="exact"/>
        <w:ind w:firstLine="480" w:firstLineChars="200"/>
        <w:jc w:val="right"/>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06E09CC6">
      <w:pPr>
        <w:spacing w:before="156" w:line="360" w:lineRule="auto"/>
        <w:jc w:val="center"/>
        <w:rPr>
          <w:rFonts w:hint="eastAsia" w:ascii="仿宋" w:hAnsi="仿宋" w:eastAsia="仿宋" w:cs="仿宋"/>
          <w:b/>
          <w:color w:val="auto"/>
          <w:sz w:val="30"/>
          <w:szCs w:val="30"/>
          <w:highlight w:val="none"/>
        </w:rPr>
      </w:pPr>
    </w:p>
    <w:p w14:paraId="07806454">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eastAsia="zh-CN"/>
        </w:rPr>
      </w:pPr>
    </w:p>
    <w:p w14:paraId="33956893">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附件</w:t>
      </w:r>
      <w:r>
        <w:rPr>
          <w:rFonts w:hint="eastAsia" w:ascii="仿宋" w:hAnsi="仿宋" w:eastAsia="仿宋" w:cs="仿宋"/>
          <w:b/>
          <w:color w:val="auto"/>
          <w:sz w:val="32"/>
          <w:szCs w:val="32"/>
          <w:highlight w:val="none"/>
          <w:lang w:val="en-US" w:eastAsia="zh-CN"/>
        </w:rPr>
        <w:t>1</w:t>
      </w:r>
    </w:p>
    <w:p w14:paraId="6244A185">
      <w:pPr>
        <w:pStyle w:val="38"/>
        <w:pageBreakBefore w:val="0"/>
        <w:kinsoku/>
        <w:bidi w:val="0"/>
        <w:spacing w:beforeAutospacing="0" w:afterAutospacing="0" w:line="440" w:lineRule="exact"/>
        <w:ind w:firstLine="0"/>
        <w:rPr>
          <w:rFonts w:hint="eastAsia" w:ascii="仿宋" w:hAnsi="仿宋" w:eastAsia="仿宋" w:cs="仿宋"/>
          <w:b/>
          <w:color w:val="auto"/>
          <w:spacing w:val="0"/>
          <w:sz w:val="32"/>
          <w:szCs w:val="32"/>
          <w:highlight w:val="none"/>
        </w:rPr>
      </w:pPr>
    </w:p>
    <w:p w14:paraId="36E7F146">
      <w:pPr>
        <w:pStyle w:val="38"/>
        <w:pageBreakBefore w:val="0"/>
        <w:kinsoku/>
        <w:bidi w:val="0"/>
        <w:spacing w:beforeAutospacing="0" w:afterAutospacing="0" w:line="440" w:lineRule="exact"/>
        <w:ind w:firstLine="0"/>
        <w:rPr>
          <w:rFonts w:hint="eastAsia" w:ascii="仿宋" w:hAnsi="仿宋" w:eastAsia="仿宋" w:cs="仿宋"/>
          <w:b/>
          <w:color w:val="auto"/>
          <w:spacing w:val="0"/>
          <w:sz w:val="32"/>
          <w:szCs w:val="32"/>
          <w:highlight w:val="none"/>
        </w:rPr>
      </w:pPr>
    </w:p>
    <w:p w14:paraId="4F07F14C">
      <w:pPr>
        <w:pStyle w:val="38"/>
        <w:pageBreakBefore w:val="0"/>
        <w:kinsoku/>
        <w:bidi w:val="0"/>
        <w:spacing w:beforeAutospacing="0" w:afterAutospacing="0" w:line="440" w:lineRule="exact"/>
        <w:ind w:firstLine="0"/>
        <w:rPr>
          <w:rFonts w:hint="eastAsia" w:ascii="仿宋" w:hAnsi="仿宋" w:eastAsia="仿宋" w:cs="仿宋"/>
          <w:b/>
          <w:color w:val="auto"/>
          <w:spacing w:val="0"/>
          <w:sz w:val="32"/>
          <w:szCs w:val="32"/>
          <w:highlight w:val="none"/>
        </w:rPr>
      </w:pPr>
      <w:r>
        <w:rPr>
          <w:rFonts w:hint="eastAsia" w:ascii="仿宋" w:hAnsi="仿宋" w:eastAsia="仿宋" w:cs="仿宋"/>
          <w:b/>
          <w:color w:val="auto"/>
          <w:spacing w:val="0"/>
          <w:sz w:val="32"/>
          <w:szCs w:val="32"/>
          <w:highlight w:val="none"/>
        </w:rPr>
        <w:t>询问函范本：</w:t>
      </w:r>
    </w:p>
    <w:p w14:paraId="281F6FA9">
      <w:pPr>
        <w:pageBreakBefore w:val="0"/>
        <w:kinsoku/>
        <w:bidi w:val="0"/>
        <w:spacing w:beforeAutospacing="0" w:afterAutospacing="0" w:line="440" w:lineRule="exact"/>
        <w:rPr>
          <w:rFonts w:hint="eastAsia" w:ascii="仿宋" w:hAnsi="仿宋" w:eastAsia="仿宋" w:cs="仿宋"/>
          <w:color w:val="auto"/>
          <w:highlight w:val="none"/>
        </w:rPr>
      </w:pPr>
    </w:p>
    <w:p w14:paraId="5BAD5FE7">
      <w:pPr>
        <w:pStyle w:val="107"/>
        <w:pageBreakBefore w:val="0"/>
        <w:kinsoku/>
        <w:bidi w:val="0"/>
        <w:spacing w:before="0" w:beforeAutospacing="0" w:after="0" w:afterAutospacing="0" w:line="440" w:lineRule="exact"/>
        <w:rPr>
          <w:rFonts w:hint="eastAsia" w:ascii="仿宋" w:hAnsi="仿宋" w:eastAsia="仿宋" w:cs="仿宋"/>
          <w:color w:val="auto"/>
          <w:highlight w:val="none"/>
        </w:rPr>
      </w:pPr>
    </w:p>
    <w:p w14:paraId="10634619">
      <w:pPr>
        <w:pageBreakBefore w:val="0"/>
        <w:kinsoku/>
        <w:bidi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关于XXX项目公开招标的询问函</w:t>
      </w:r>
    </w:p>
    <w:p w14:paraId="03031AE7">
      <w:pPr>
        <w:pageBreakBefore w:val="0"/>
        <w:kinsoku/>
        <w:bidi w:val="0"/>
        <w:snapToGrid w:val="0"/>
        <w:spacing w:beforeAutospacing="0" w:afterAutospacing="0" w:line="440" w:lineRule="exact"/>
        <w:ind w:firstLine="480" w:firstLineChars="200"/>
        <w:rPr>
          <w:rFonts w:hint="eastAsia" w:ascii="仿宋" w:hAnsi="仿宋" w:eastAsia="仿宋" w:cs="仿宋"/>
          <w:color w:val="auto"/>
          <w:highlight w:val="none"/>
        </w:rPr>
      </w:pPr>
    </w:p>
    <w:p w14:paraId="7504E1F8">
      <w:pPr>
        <w:pageBreakBefore w:val="0"/>
        <w:kinsoku/>
        <w:bidi w:val="0"/>
        <w:snapToGrid w:val="0"/>
        <w:spacing w:beforeAutospacing="0" w:afterAutospacing="0" w:line="440" w:lineRule="exact"/>
        <w:ind w:firstLine="480" w:firstLineChars="200"/>
        <w:rPr>
          <w:rFonts w:hint="eastAsia" w:ascii="仿宋" w:hAnsi="仿宋" w:eastAsia="仿宋" w:cs="仿宋"/>
          <w:color w:val="auto"/>
          <w:highlight w:val="none"/>
        </w:rPr>
      </w:pPr>
    </w:p>
    <w:p w14:paraId="22AAED77">
      <w:pPr>
        <w:pageBreakBefore w:val="0"/>
        <w:kinsoku/>
        <w:bidi w:val="0"/>
        <w:snapToGrid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关于（项目名称）（项目编号）（项目标项）我公司有以下几点疑问：</w:t>
      </w:r>
    </w:p>
    <w:p w14:paraId="3FB7480B">
      <w:pPr>
        <w:pageBreakBefore w:val="0"/>
        <w:kinsoku/>
        <w:bidi w:val="0"/>
        <w:snapToGrid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询问事项一：（请明确</w:t>
      </w:r>
      <w:r>
        <w:rPr>
          <w:rFonts w:hint="eastAsia" w:ascii="仿宋" w:hAnsi="仿宋" w:eastAsia="仿宋" w:cs="仿宋"/>
          <w:bCs/>
          <w:color w:val="auto"/>
          <w:highlight w:val="none"/>
        </w:rPr>
        <w:t>具体内容，并附</w:t>
      </w:r>
      <w:r>
        <w:rPr>
          <w:rFonts w:hint="eastAsia" w:ascii="仿宋" w:hAnsi="仿宋" w:eastAsia="仿宋" w:cs="仿宋"/>
          <w:color w:val="auto"/>
          <w:highlight w:val="none"/>
        </w:rPr>
        <w:t>事实依据。）</w:t>
      </w:r>
    </w:p>
    <w:p w14:paraId="7A78FAEC">
      <w:pPr>
        <w:pageBreakBefore w:val="0"/>
        <w:kinsoku/>
        <w:bidi w:val="0"/>
        <w:snapToGrid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询问事项二：  ...</w:t>
      </w:r>
    </w:p>
    <w:p w14:paraId="0A80CC0E">
      <w:pPr>
        <w:pageBreakBefore w:val="0"/>
        <w:kinsoku/>
        <w:bidi w:val="0"/>
        <w:spacing w:beforeAutospacing="0" w:afterAutospacing="0" w:line="440" w:lineRule="exact"/>
        <w:rPr>
          <w:rFonts w:hint="eastAsia" w:ascii="仿宋" w:hAnsi="仿宋" w:eastAsia="仿宋" w:cs="仿宋"/>
          <w:color w:val="auto"/>
          <w:highlight w:val="none"/>
        </w:rPr>
      </w:pPr>
    </w:p>
    <w:p w14:paraId="3F703ACC">
      <w:pPr>
        <w:pStyle w:val="8"/>
        <w:pageBreakBefore w:val="0"/>
        <w:kinsoku/>
        <w:bidi w:val="0"/>
        <w:spacing w:before="0" w:beforeAutospacing="0" w:after="0" w:afterAutospacing="0" w:line="440" w:lineRule="exact"/>
        <w:rPr>
          <w:rFonts w:hint="eastAsia" w:ascii="仿宋" w:hAnsi="仿宋" w:eastAsia="仿宋" w:cs="仿宋"/>
          <w:color w:val="auto"/>
          <w:highlight w:val="none"/>
        </w:rPr>
      </w:pPr>
    </w:p>
    <w:p w14:paraId="34747353">
      <w:pPr>
        <w:pStyle w:val="38"/>
        <w:pageBreakBefore w:val="0"/>
        <w:kinsoku/>
        <w:bidi w:val="0"/>
        <w:spacing w:beforeAutospacing="0" w:afterAutospacing="0" w:line="440" w:lineRule="exact"/>
        <w:rPr>
          <w:rFonts w:hint="eastAsia" w:ascii="仿宋" w:hAnsi="仿宋" w:eastAsia="仿宋" w:cs="仿宋"/>
          <w:color w:val="auto"/>
          <w:sz w:val="24"/>
          <w:highlight w:val="none"/>
        </w:rPr>
      </w:pPr>
    </w:p>
    <w:p w14:paraId="7D6EF9C1">
      <w:pPr>
        <w:pageBreakBefore w:val="0"/>
        <w:kinsoku/>
        <w:bidi w:val="0"/>
        <w:spacing w:beforeAutospacing="0" w:afterAutospacing="0"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供应商全称（盖章）：              </w:t>
      </w:r>
    </w:p>
    <w:p w14:paraId="5BEC4B9D">
      <w:pPr>
        <w:pageBreakBefore w:val="0"/>
        <w:kinsoku/>
        <w:bidi w:val="0"/>
        <w:spacing w:beforeAutospacing="0" w:afterAutospacing="0"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法定代表人（签名或签章）：                                                </w:t>
      </w:r>
    </w:p>
    <w:p w14:paraId="14024C8B">
      <w:pPr>
        <w:pageBreakBefore w:val="0"/>
        <w:kinsoku/>
        <w:bidi w:val="0"/>
        <w:spacing w:beforeAutospacing="0" w:afterAutospacing="0"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授权代表（签名）：                                           </w:t>
      </w:r>
    </w:p>
    <w:p w14:paraId="7032F6C2">
      <w:pPr>
        <w:pageBreakBefore w:val="0"/>
        <w:kinsoku/>
        <w:bidi w:val="0"/>
        <w:spacing w:beforeAutospacing="0" w:afterAutospacing="0"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联系电话（手机）：                  </w:t>
      </w:r>
    </w:p>
    <w:p w14:paraId="2F8F4C04">
      <w:pPr>
        <w:pageBreakBefore w:val="0"/>
        <w:kinsoku/>
        <w:bidi w:val="0"/>
        <w:spacing w:beforeAutospacing="0" w:afterAutospacing="0"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电子邮箱：                        </w:t>
      </w:r>
    </w:p>
    <w:p w14:paraId="0707F00C">
      <w:pPr>
        <w:pageBreakBefore w:val="0"/>
        <w:kinsoku/>
        <w:bidi w:val="0"/>
        <w:spacing w:beforeAutospacing="0" w:afterAutospacing="0" w:line="440" w:lineRule="exact"/>
        <w:ind w:firstLine="4535"/>
        <w:rPr>
          <w:rFonts w:hint="eastAsia" w:ascii="仿宋" w:hAnsi="仿宋" w:eastAsia="仿宋" w:cs="仿宋"/>
          <w:color w:val="auto"/>
          <w:highlight w:val="none"/>
        </w:rPr>
      </w:pPr>
      <w:r>
        <w:rPr>
          <w:rFonts w:hint="eastAsia" w:ascii="仿宋" w:hAnsi="仿宋" w:eastAsia="仿宋" w:cs="仿宋"/>
          <w:color w:val="auto"/>
          <w:highlight w:val="none"/>
        </w:rPr>
        <w:t xml:space="preserve">询问日期：                        </w:t>
      </w:r>
    </w:p>
    <w:p w14:paraId="03729BD3">
      <w:pPr>
        <w:pageBreakBefore w:val="0"/>
        <w:kinsoku/>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DF0457D">
      <w:pPr>
        <w:pageBreakBefore w:val="0"/>
        <w:kinsoku/>
        <w:bidi w:val="0"/>
        <w:spacing w:beforeAutospacing="0" w:afterAutospacing="0" w:line="440" w:lineRule="exact"/>
        <w:rPr>
          <w:rFonts w:hint="eastAsia" w:ascii="仿宋" w:hAnsi="仿宋" w:eastAsia="仿宋" w:cs="仿宋"/>
          <w:color w:val="auto"/>
          <w:highlight w:val="none"/>
        </w:rPr>
      </w:pPr>
    </w:p>
    <w:p w14:paraId="0207A70E">
      <w:pPr>
        <w:pageBreakBefore w:val="0"/>
        <w:kinsoku/>
        <w:bidi w:val="0"/>
        <w:adjustRightInd w:val="0"/>
        <w:snapToGrid w:val="0"/>
        <w:spacing w:beforeAutospacing="0" w:afterAutospacing="0" w:line="440" w:lineRule="exact"/>
        <w:jc w:val="center"/>
        <w:rPr>
          <w:rFonts w:hint="eastAsia" w:ascii="仿宋" w:hAnsi="仿宋" w:eastAsia="仿宋" w:cs="仿宋"/>
          <w:color w:val="auto"/>
          <w:highlight w:val="none"/>
        </w:rPr>
      </w:pPr>
    </w:p>
    <w:p w14:paraId="1CD58E5A">
      <w:pPr>
        <w:pStyle w:val="107"/>
        <w:pageBreakBefore w:val="0"/>
        <w:kinsoku/>
        <w:bidi w:val="0"/>
        <w:spacing w:before="0" w:beforeAutospacing="0" w:after="0" w:afterAutospacing="0" w:line="440" w:lineRule="exact"/>
        <w:rPr>
          <w:rFonts w:hint="eastAsia" w:ascii="仿宋" w:hAnsi="仿宋" w:eastAsia="仿宋" w:cs="仿宋"/>
          <w:color w:val="auto"/>
          <w:highlight w:val="none"/>
        </w:rPr>
      </w:pPr>
    </w:p>
    <w:p w14:paraId="3B773EB8">
      <w:pPr>
        <w:pageBreakBefore w:val="0"/>
        <w:kinsoku/>
        <w:bidi w:val="0"/>
        <w:spacing w:beforeAutospacing="0" w:afterAutospacing="0" w:line="440" w:lineRule="exact"/>
        <w:rPr>
          <w:rFonts w:hint="eastAsia" w:ascii="仿宋" w:hAnsi="仿宋" w:eastAsia="仿宋" w:cs="仿宋"/>
          <w:color w:val="auto"/>
          <w:highlight w:val="none"/>
        </w:rPr>
      </w:pPr>
    </w:p>
    <w:p w14:paraId="6DF6E658">
      <w:pPr>
        <w:pStyle w:val="106"/>
        <w:rPr>
          <w:rFonts w:hint="eastAsia" w:ascii="仿宋" w:hAnsi="仿宋" w:eastAsia="仿宋" w:cs="仿宋"/>
          <w:color w:val="auto"/>
          <w:highlight w:val="none"/>
        </w:rPr>
      </w:pPr>
    </w:p>
    <w:p w14:paraId="0DEBE7C0">
      <w:pPr>
        <w:rPr>
          <w:rFonts w:hint="eastAsia" w:ascii="仿宋" w:hAnsi="仿宋" w:eastAsia="仿宋" w:cs="仿宋"/>
          <w:color w:val="auto"/>
          <w:highlight w:val="none"/>
        </w:rPr>
      </w:pPr>
    </w:p>
    <w:p w14:paraId="02CD3581">
      <w:pPr>
        <w:pStyle w:val="106"/>
        <w:rPr>
          <w:rFonts w:hint="eastAsia" w:ascii="仿宋" w:hAnsi="仿宋" w:eastAsia="仿宋" w:cs="仿宋"/>
          <w:color w:val="auto"/>
          <w:highlight w:val="none"/>
        </w:rPr>
      </w:pPr>
    </w:p>
    <w:p w14:paraId="76B5D90C">
      <w:pPr>
        <w:rPr>
          <w:rFonts w:hint="eastAsia" w:ascii="仿宋" w:hAnsi="仿宋" w:eastAsia="仿宋" w:cs="仿宋"/>
          <w:color w:val="auto"/>
          <w:highlight w:val="none"/>
        </w:rPr>
      </w:pPr>
    </w:p>
    <w:p w14:paraId="4FD436B9">
      <w:pPr>
        <w:pageBreakBefore w:val="0"/>
        <w:kinsoku/>
        <w:bidi w:val="0"/>
        <w:spacing w:beforeAutospacing="0" w:afterAutospacing="0" w:line="440" w:lineRule="exact"/>
        <w:rPr>
          <w:rFonts w:hint="eastAsia" w:ascii="仿宋" w:hAnsi="仿宋" w:eastAsia="仿宋" w:cs="仿宋"/>
          <w:color w:val="auto"/>
          <w:highlight w:val="none"/>
        </w:rPr>
      </w:pPr>
    </w:p>
    <w:p w14:paraId="672C4134">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w:t>
      </w:r>
      <w:r>
        <w:rPr>
          <w:rFonts w:hint="eastAsia" w:ascii="仿宋" w:hAnsi="仿宋" w:eastAsia="仿宋" w:cs="仿宋"/>
          <w:b/>
          <w:color w:val="auto"/>
          <w:sz w:val="32"/>
          <w:szCs w:val="32"/>
          <w:highlight w:val="none"/>
          <w:lang w:val="en-US" w:eastAsia="zh-CN"/>
        </w:rPr>
        <w:t>件2</w:t>
      </w:r>
    </w:p>
    <w:p w14:paraId="395CB106">
      <w:pPr>
        <w:pStyle w:val="88"/>
        <w:pageBreakBefore w:val="0"/>
        <w:kinsoku/>
        <w:bidi w:val="0"/>
        <w:spacing w:beforeAutospacing="0" w:after="0" w:afterAutospacing="0" w:line="440" w:lineRule="exact"/>
        <w:ind w:left="480"/>
        <w:rPr>
          <w:rFonts w:hint="eastAsia" w:ascii="仿宋" w:hAnsi="仿宋" w:eastAsia="仿宋" w:cs="仿宋"/>
          <w:color w:val="auto"/>
          <w:highlight w:val="none"/>
        </w:rPr>
      </w:pPr>
    </w:p>
    <w:p w14:paraId="7FA49827">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515AF606">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0BC8413">
      <w:pPr>
        <w:pageBreakBefore w:val="0"/>
        <w:kinsoku/>
        <w:bidi w:val="0"/>
        <w:adjustRightInd w:val="0"/>
        <w:snapToGrid w:val="0"/>
        <w:spacing w:beforeAutospacing="0" w:afterAutospacing="0"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4A7962E7">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7D63894A">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34F04755">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54F6CF05">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7DE658E5">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2D91E077">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66D14D09">
      <w:pPr>
        <w:pageBreakBefore w:val="0"/>
        <w:kinsoku/>
        <w:bidi w:val="0"/>
        <w:adjustRightInd w:val="0"/>
        <w:snapToGrid w:val="0"/>
        <w:spacing w:beforeAutospacing="0" w:afterAutospacing="0"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E459135">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1FBB0640">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5D769048">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738AC11E">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7E0AE2E6">
      <w:pPr>
        <w:pageBreakBefore w:val="0"/>
        <w:kinsoku/>
        <w:bidi w:val="0"/>
        <w:adjustRightInd w:val="0"/>
        <w:snapToGrid w:val="0"/>
        <w:spacing w:beforeAutospacing="0" w:afterAutospacing="0"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6DF45FC2">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0EF18148">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2DDA42B0">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523772EE">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51F9D98E">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5AF02697">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2B98C3F6">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FE7EAFD">
      <w:pPr>
        <w:pageBreakBefore w:val="0"/>
        <w:kinsoku/>
        <w:bidi w:val="0"/>
        <w:adjustRightInd w:val="0"/>
        <w:snapToGrid w:val="0"/>
        <w:spacing w:beforeAutospacing="0" w:afterAutospacing="0"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24B6E74">
      <w:pPr>
        <w:pageBreakBefore w:val="0"/>
        <w:kinsoku/>
        <w:bidi w:val="0"/>
        <w:adjustRightInd w:val="0"/>
        <w:snapToGri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3130FBDF">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27A62EEF">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018D3CC5">
      <w:pPr>
        <w:pageBreakBefore w:val="0"/>
        <w:widowControl/>
        <w:kinsoku/>
        <w:bidi w:val="0"/>
        <w:spacing w:beforeAutospacing="0" w:afterAutospacing="0"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011D528">
      <w:pPr>
        <w:pageBreakBefore w:val="0"/>
        <w:kinsoku/>
        <w:bidi w:val="0"/>
        <w:adjustRightIn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78509EB7">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321D597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4404C14">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17B92A5A">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66D7530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DB4EE1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3516841">
      <w:pPr>
        <w:pageBreakBefore w:val="0"/>
        <w:widowControl/>
        <w:kinsoku/>
        <w:bidi w:val="0"/>
        <w:adjustRightInd w:val="0"/>
        <w:spacing w:beforeAutospacing="0" w:afterAutospacing="0" w:line="440" w:lineRule="exact"/>
        <w:ind w:firstLine="600" w:firstLineChars="200"/>
        <w:jc w:val="left"/>
        <w:rPr>
          <w:rFonts w:hint="eastAsia" w:ascii="仿宋" w:hAnsi="仿宋" w:eastAsia="仿宋" w:cs="仿宋"/>
          <w:color w:val="auto"/>
          <w:sz w:val="30"/>
          <w:szCs w:val="30"/>
          <w:highlight w:val="none"/>
        </w:rPr>
      </w:pPr>
    </w:p>
    <w:p w14:paraId="496B59BD">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10A10C32">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2CF42069">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37E204F7">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2981AA9F">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580D0625">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1F975AD1">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22D65116">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381A6141">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2A98B269">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344D4EA5">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6D590937">
      <w:pPr>
        <w:pageBreakBefore w:val="0"/>
        <w:widowControl/>
        <w:kinsoku/>
        <w:bidi w:val="0"/>
        <w:spacing w:beforeAutospacing="0" w:afterAutospacing="0" w:line="44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679522A">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附</w:t>
      </w:r>
      <w:r>
        <w:rPr>
          <w:rFonts w:hint="eastAsia" w:ascii="仿宋" w:hAnsi="仿宋" w:eastAsia="仿宋" w:cs="仿宋"/>
          <w:b/>
          <w:color w:val="auto"/>
          <w:sz w:val="32"/>
          <w:szCs w:val="32"/>
          <w:highlight w:val="none"/>
          <w:lang w:val="en-US" w:eastAsia="zh-CN"/>
        </w:rPr>
        <w:t>件3</w:t>
      </w:r>
    </w:p>
    <w:p w14:paraId="1921C6A5">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p>
    <w:p w14:paraId="5F68758B">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73DE58E4">
      <w:pPr>
        <w:pageBreakBefore w:val="0"/>
        <w:kinsoku/>
        <w:bidi w:val="0"/>
        <w:adjustRightInd w:val="0"/>
        <w:spacing w:beforeAutospacing="0" w:afterAutospacing="0" w:line="440" w:lineRule="exact"/>
        <w:jc w:val="center"/>
        <w:rPr>
          <w:rFonts w:hint="eastAsia" w:ascii="仿宋" w:hAnsi="仿宋" w:eastAsia="仿宋" w:cs="仿宋"/>
          <w:b/>
          <w:color w:val="auto"/>
          <w:sz w:val="24"/>
          <w:szCs w:val="24"/>
          <w:highlight w:val="none"/>
        </w:rPr>
      </w:pPr>
    </w:p>
    <w:p w14:paraId="622CA430">
      <w:pPr>
        <w:pageBreakBefore w:val="0"/>
        <w:kinsoku/>
        <w:bidi w:val="0"/>
        <w:adjustRightInd w:val="0"/>
        <w:spacing w:beforeAutospacing="0" w:afterAutospacing="0" w:line="44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6EA29B">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1E36BD34">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6CFF8467">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34777168">
      <w:pPr>
        <w:pageBreakBefore w:val="0"/>
        <w:tabs>
          <w:tab w:val="left" w:pos="6510"/>
        </w:tabs>
        <w:kinsoku/>
        <w:bidi w:val="0"/>
        <w:adjustRightInd w:val="0"/>
        <w:spacing w:beforeAutospacing="0" w:afterAutospacing="0"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7B3994AB">
      <w:pPr>
        <w:pageBreakBefore w:val="0"/>
        <w:tabs>
          <w:tab w:val="left" w:pos="6510"/>
        </w:tabs>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04F26F26">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74D43B8C">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C496DB4">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p>
    <w:p w14:paraId="6C5C440C">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6687B948">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6E75B4EE">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23F478DD">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61D46C8D">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p>
    <w:p w14:paraId="2262B351">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2B5CD39B">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C0178AA">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62F1C235">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0E46BC89">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17CCB46A">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52EA4DC8">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0DBE76C9">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46ADA9BC">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241D3C91">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2979DC55">
      <w:pPr>
        <w:pageBreakBefore w:val="0"/>
        <w:kinsoku/>
        <w:bidi w:val="0"/>
        <w:adjustRightInd w:val="0"/>
        <w:spacing w:beforeAutospacing="0" w:afterAutospacing="0" w:line="440" w:lineRule="exact"/>
        <w:ind w:firstLine="480" w:firstLineChars="20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26364E1C">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6134B56D">
      <w:pPr>
        <w:pageBreakBefore w:val="0"/>
        <w:kinsoku/>
        <w:bidi w:val="0"/>
        <w:adjustRightInd w:val="0"/>
        <w:spacing w:beforeAutospacing="0" w:afterAutospacing="0"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3E3BB920">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0D446165">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677155D2">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55309B44">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039471EE">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75747479">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5FDD7534">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604007E3">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30E3D867">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4D30861E">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04833522">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6F53FEF6">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5AE79972">
      <w:pPr>
        <w:pageBreakBefore w:val="0"/>
        <w:kinsoku/>
        <w:bidi w:val="0"/>
        <w:adjustRightInd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0769ED21">
      <w:pPr>
        <w:pageBreakBefore w:val="0"/>
        <w:kinsoku/>
        <w:bidi w:val="0"/>
        <w:adjustRightInd w:val="0"/>
        <w:spacing w:beforeAutospacing="0" w:afterAutospacing="0" w:line="440" w:lineRule="exact"/>
        <w:rPr>
          <w:rFonts w:hint="eastAsia" w:ascii="仿宋" w:hAnsi="仿宋" w:eastAsia="仿宋" w:cs="仿宋"/>
          <w:b/>
          <w:color w:val="auto"/>
          <w:sz w:val="24"/>
          <w:szCs w:val="24"/>
          <w:highlight w:val="none"/>
        </w:rPr>
      </w:pPr>
    </w:p>
    <w:p w14:paraId="5326C476">
      <w:pPr>
        <w:pageBreakBefore w:val="0"/>
        <w:kinsoku/>
        <w:bidi w:val="0"/>
        <w:adjustRightInd w:val="0"/>
        <w:spacing w:beforeAutospacing="0" w:afterAutospacing="0" w:line="440" w:lineRule="exact"/>
        <w:rPr>
          <w:rFonts w:hint="eastAsia" w:ascii="仿宋" w:hAnsi="仿宋" w:eastAsia="仿宋" w:cs="仿宋"/>
          <w:b/>
          <w:color w:val="auto"/>
          <w:sz w:val="24"/>
          <w:szCs w:val="24"/>
          <w:highlight w:val="none"/>
        </w:rPr>
      </w:pPr>
    </w:p>
    <w:p w14:paraId="57E8EC7A">
      <w:pPr>
        <w:pageBreakBefore w:val="0"/>
        <w:kinsoku/>
        <w:bidi w:val="0"/>
        <w:adjustRightInd w:val="0"/>
        <w:spacing w:beforeAutospacing="0" w:afterAutospacing="0"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089ABE16">
      <w:pPr>
        <w:pageBreakBefore w:val="0"/>
        <w:widowControl/>
        <w:kinsoku/>
        <w:bidi w:val="0"/>
        <w:adjustRightInd w:val="0"/>
        <w:spacing w:beforeAutospacing="0" w:afterAutospacing="0"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7FB1C29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0EC8C72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0F1B2205">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1465542C">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635BB5B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2281C26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3" w:type="first"/>
      <w:headerReference r:id="rId20" w:type="default"/>
      <w:footerReference r:id="rId21" w:type="default"/>
      <w:footerReference r:id="rId22" w:type="even"/>
      <w:pgSz w:w="11906" w:h="16838"/>
      <w:pgMar w:top="1474" w:right="1797" w:bottom="1247" w:left="179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auto"/>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436A">
    <w:pPr>
      <w:pStyle w:val="56"/>
      <w:spacing w:before="1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38A30">
                          <w:pPr>
                            <w:pStyle w:val="5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65338A30">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12D">
    <w:pPr>
      <w:pStyle w:val="56"/>
      <w:framePr w:wrap="around" w:vAnchor="text" w:hAnchor="margin" w:xAlign="outside" w:y="1"/>
      <w:rPr>
        <w:rStyle w:val="97"/>
      </w:rPr>
    </w:pPr>
    <w:r>
      <w:fldChar w:fldCharType="begin"/>
    </w:r>
    <w:r>
      <w:rPr>
        <w:rStyle w:val="97"/>
      </w:rPr>
      <w:instrText xml:space="preserve">PAGE  </w:instrText>
    </w:r>
    <w:r>
      <w:fldChar w:fldCharType="end"/>
    </w:r>
  </w:p>
  <w:p w14:paraId="6E875AFB">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6727D">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7BF8">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70CE">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CA09">
    <w:pPr>
      <w:pStyle w:val="56"/>
      <w:spacing w:before="1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4E7C5">
                          <w:pPr>
                            <w:pStyle w:val="5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14:paraId="60D4E7C5">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734C">
    <w:pPr>
      <w:pStyle w:val="56"/>
      <w:spacing w:before="1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AEEC6">
                          <w:pPr>
                            <w:pStyle w:val="56"/>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681AEEC6">
                    <w:pPr>
                      <w:pStyle w:val="5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6052">
    <w:pPr>
      <w:pStyle w:val="56"/>
      <w:spacing w:before="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FE73CC">
                          <w:pPr>
                            <w:pStyle w:val="56"/>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GhXs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waFeyQEAAJoDAAAOAAAAAAAAAAEAIAAAAB4BAABkcnMvZTJvRG9j&#10;LnhtbFBLBQYAAAAABgAGAFkBAABZBQAAAAA=&#10;">
              <v:fill on="f" focussize="0,0"/>
              <v:stroke on="f"/>
              <v:imagedata o:title=""/>
              <o:lock v:ext="edit" aspectratio="f"/>
              <v:textbox inset="0mm,0mm,0mm,0mm" style="mso-fit-shape-to-text:t;">
                <w:txbxContent>
                  <w:p w14:paraId="1FFE73CC">
                    <w:pPr>
                      <w:pStyle w:val="5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3988">
    <w:pPr>
      <w:pStyle w:val="56"/>
      <w:spacing w:before="120"/>
      <w:ind w:right="720" w:firstLine="180" w:firstLineChars="1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55D71">
                          <w:pPr>
                            <w:pStyle w:val="56"/>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Of98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l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Y5/3yQEAAJoDAAAOAAAAAAAAAAEAIAAAAB4BAABkcnMvZTJvRG9j&#10;LnhtbFBLBQYAAAAABgAGAFkBAABZBQAAAAA=&#10;">
              <v:fill on="f" focussize="0,0"/>
              <v:stroke on="f"/>
              <v:imagedata o:title=""/>
              <o:lock v:ext="edit" aspectratio="f"/>
              <v:textbox inset="0mm,0mm,0mm,0mm" style="mso-fit-shape-to-text:t;">
                <w:txbxContent>
                  <w:p w14:paraId="50C55D71">
                    <w:pPr>
                      <w:pStyle w:val="5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B383">
    <w:pPr>
      <w:pStyle w:val="56"/>
      <w:spacing w:before="120"/>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5E04F">
                          <w:pPr>
                            <w:pStyle w:val="56"/>
                          </w:pPr>
                          <w:r>
                            <w:fldChar w:fldCharType="begin"/>
                          </w:r>
                          <w:r>
                            <w:instrText xml:space="preserve"> PAGE  \* MERGEFORMAT </w:instrText>
                          </w:r>
                          <w:r>
                            <w:fldChar w:fldCharType="separate"/>
                          </w:r>
                          <w:r>
                            <w:t>77</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BaJs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AFomyQEAAJoDAAAOAAAAAAAAAAEAIAAAAB4BAABkcnMvZTJvRG9j&#10;LnhtbFBLBQYAAAAABgAGAFkBAABZBQAAAAA=&#10;">
              <v:fill on="f" focussize="0,0"/>
              <v:stroke on="f"/>
              <v:imagedata o:title=""/>
              <o:lock v:ext="edit" aspectratio="f"/>
              <v:textbox inset="0mm,0mm,0mm,0mm" style="mso-fit-shape-to-text:t;">
                <w:txbxContent>
                  <w:p w14:paraId="33F5E04F">
                    <w:pPr>
                      <w:pStyle w:val="5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9B33">
    <w:pPr>
      <w:pStyle w:val="56"/>
      <w:ind w:right="720"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444C9">
                          <w:pPr>
                            <w:pStyle w:val="56"/>
                          </w:pPr>
                          <w:r>
                            <w:fldChar w:fldCharType="begin"/>
                          </w:r>
                          <w:r>
                            <w:instrText xml:space="preserve"> PAGE  \* MERGEFORMAT </w:instrText>
                          </w:r>
                          <w:r>
                            <w:fldChar w:fldCharType="separate"/>
                          </w:r>
                          <w:r>
                            <w:t>88</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qXn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m+&#10;z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CpecyQEAAJoDAAAOAAAAAAAAAAEAIAAAAB4BAABkcnMvZTJvRG9j&#10;LnhtbFBLBQYAAAAABgAGAFkBAABZBQAAAAA=&#10;">
              <v:fill on="f" focussize="0,0"/>
              <v:stroke on="f"/>
              <v:imagedata o:title=""/>
              <o:lock v:ext="edit" aspectratio="f"/>
              <v:textbox inset="0mm,0mm,0mm,0mm" style="mso-fit-shape-to-text:t;">
                <w:txbxContent>
                  <w:p w14:paraId="2DB444C9">
                    <w:pPr>
                      <w:pStyle w:val="5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B226">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04B3">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B3BB">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E1CC">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F2A">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E031">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6622">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2D71">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F7FF1B8A"/>
    <w:multiLevelType w:val="singleLevel"/>
    <w:tmpl w:val="F7FF1B8A"/>
    <w:lvl w:ilvl="0" w:tentative="0">
      <w:start w:val="11"/>
      <w:numFmt w:val="chineseCounting"/>
      <w:suff w:val="nothing"/>
      <w:lvlText w:val="%1、"/>
      <w:lvlJc w:val="left"/>
      <w:rPr>
        <w:rFonts w:hint="eastAsia"/>
      </w:rPr>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9">
    <w:nsid w:val="33ECF4CF"/>
    <w:multiLevelType w:val="singleLevel"/>
    <w:tmpl w:val="33ECF4CF"/>
    <w:lvl w:ilvl="0" w:tentative="0">
      <w:start w:val="1"/>
      <w:numFmt w:val="decimal"/>
      <w:lvlText w:val="%1."/>
      <w:lvlJc w:val="left"/>
      <w:pPr>
        <w:ind w:left="425" w:hanging="425"/>
      </w:pPr>
      <w:rPr>
        <w:rFonts w:hint="default"/>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12">
    <w:nsid w:val="6C1608D0"/>
    <w:multiLevelType w:val="singleLevel"/>
    <w:tmpl w:val="6C1608D0"/>
    <w:lvl w:ilvl="0" w:tentative="0">
      <w:start w:val="1"/>
      <w:numFmt w:val="decimal"/>
      <w:lvlText w:val="%1."/>
      <w:lvlJc w:val="left"/>
      <w:pPr>
        <w:ind w:left="425" w:hanging="425"/>
      </w:pPr>
      <w:rPr>
        <w:rFonts w:hint="default"/>
      </w:rPr>
    </w:lvl>
  </w:abstractNum>
  <w:num w:numId="1">
    <w:abstractNumId w:val="8"/>
  </w:num>
  <w:num w:numId="2">
    <w:abstractNumId w:val="9"/>
  </w:num>
  <w:num w:numId="3">
    <w:abstractNumId w:val="2"/>
  </w:num>
  <w:num w:numId="4">
    <w:abstractNumId w:val="11"/>
  </w:num>
  <w:num w:numId="5">
    <w:abstractNumId w:val="3"/>
  </w:num>
  <w:num w:numId="6">
    <w:abstractNumId w:val="6"/>
  </w:num>
  <w:num w:numId="7">
    <w:abstractNumId w:val="7"/>
  </w:num>
  <w:num w:numId="8">
    <w:abstractNumId w:val="12"/>
  </w:num>
  <w:num w:numId="9">
    <w:abstractNumId w:val="1"/>
  </w:num>
  <w:num w:numId="10">
    <w:abstractNumId w:val="5"/>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TMwMjM5YjgxNzkyZjFmY2UzODQ1OWIzZWYyMzM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BC38D2"/>
    <w:rsid w:val="02C37AC6"/>
    <w:rsid w:val="02C86BF7"/>
    <w:rsid w:val="02E77227"/>
    <w:rsid w:val="02EB08BF"/>
    <w:rsid w:val="02ED2E83"/>
    <w:rsid w:val="02F433FA"/>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82331E"/>
    <w:rsid w:val="1A8847B8"/>
    <w:rsid w:val="1A9026A6"/>
    <w:rsid w:val="1A941212"/>
    <w:rsid w:val="1AC32548"/>
    <w:rsid w:val="1ACB51FD"/>
    <w:rsid w:val="1ACC0364"/>
    <w:rsid w:val="1AE03B14"/>
    <w:rsid w:val="1AE46980"/>
    <w:rsid w:val="1AFB0015"/>
    <w:rsid w:val="1B000F18"/>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1F9000F9"/>
    <w:rsid w:val="202B3AD6"/>
    <w:rsid w:val="20467B64"/>
    <w:rsid w:val="204834A0"/>
    <w:rsid w:val="20A70AC1"/>
    <w:rsid w:val="20AB3475"/>
    <w:rsid w:val="20BB10DA"/>
    <w:rsid w:val="20F00F7A"/>
    <w:rsid w:val="210B11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6D2F42"/>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B44328"/>
    <w:rsid w:val="27C34E9E"/>
    <w:rsid w:val="283B31B5"/>
    <w:rsid w:val="28743B4B"/>
    <w:rsid w:val="28A92821"/>
    <w:rsid w:val="28B23351"/>
    <w:rsid w:val="28CA7DEE"/>
    <w:rsid w:val="28D1580C"/>
    <w:rsid w:val="290C0606"/>
    <w:rsid w:val="29235AE3"/>
    <w:rsid w:val="293807E2"/>
    <w:rsid w:val="29A26A05"/>
    <w:rsid w:val="29AB42A1"/>
    <w:rsid w:val="29B61E26"/>
    <w:rsid w:val="29C70BBB"/>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1E6A63"/>
    <w:rsid w:val="2C210716"/>
    <w:rsid w:val="2C224084"/>
    <w:rsid w:val="2C9104A3"/>
    <w:rsid w:val="2CAE6752"/>
    <w:rsid w:val="2CD91BE2"/>
    <w:rsid w:val="2D01620B"/>
    <w:rsid w:val="2D16195F"/>
    <w:rsid w:val="2D4E142C"/>
    <w:rsid w:val="2D636E9F"/>
    <w:rsid w:val="2D8E0752"/>
    <w:rsid w:val="2DC62F01"/>
    <w:rsid w:val="2DE52237"/>
    <w:rsid w:val="2DE846A1"/>
    <w:rsid w:val="2E097E07"/>
    <w:rsid w:val="2E261D1D"/>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05B7D"/>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7367C1"/>
    <w:rsid w:val="33A7521A"/>
    <w:rsid w:val="33B56090"/>
    <w:rsid w:val="34023DD2"/>
    <w:rsid w:val="34346E4D"/>
    <w:rsid w:val="345C7BA2"/>
    <w:rsid w:val="345E0C5E"/>
    <w:rsid w:val="3473401C"/>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0A2CE6"/>
    <w:rsid w:val="3E3654C6"/>
    <w:rsid w:val="3E425E9E"/>
    <w:rsid w:val="3E622B56"/>
    <w:rsid w:val="3E7D27A9"/>
    <w:rsid w:val="3EB4528A"/>
    <w:rsid w:val="3EB83E8C"/>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7D0EE3"/>
    <w:rsid w:val="457F49CD"/>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BE2340"/>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79152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021C3"/>
    <w:rsid w:val="544832CE"/>
    <w:rsid w:val="54516A3D"/>
    <w:rsid w:val="54531EE2"/>
    <w:rsid w:val="546834BD"/>
    <w:rsid w:val="54A87CBF"/>
    <w:rsid w:val="54E13A1D"/>
    <w:rsid w:val="54ED5120"/>
    <w:rsid w:val="55002C50"/>
    <w:rsid w:val="55460217"/>
    <w:rsid w:val="55541FE5"/>
    <w:rsid w:val="556E7AEA"/>
    <w:rsid w:val="5573623D"/>
    <w:rsid w:val="55B76E8B"/>
    <w:rsid w:val="55F53646"/>
    <w:rsid w:val="56040FDB"/>
    <w:rsid w:val="560F57AD"/>
    <w:rsid w:val="565159BE"/>
    <w:rsid w:val="56843F56"/>
    <w:rsid w:val="56A24FEE"/>
    <w:rsid w:val="56B72191"/>
    <w:rsid w:val="56E64B0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42A70"/>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56641E"/>
    <w:rsid w:val="5C8747C8"/>
    <w:rsid w:val="5CE01400"/>
    <w:rsid w:val="5D064BB6"/>
    <w:rsid w:val="5D075F7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018E5"/>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5661EA"/>
    <w:rsid w:val="66892DBC"/>
    <w:rsid w:val="66B37C22"/>
    <w:rsid w:val="66C22275"/>
    <w:rsid w:val="66D07C4E"/>
    <w:rsid w:val="66D63366"/>
    <w:rsid w:val="66E07A35"/>
    <w:rsid w:val="670C7BD0"/>
    <w:rsid w:val="6729107E"/>
    <w:rsid w:val="67310C06"/>
    <w:rsid w:val="674D53C6"/>
    <w:rsid w:val="67A80BB7"/>
    <w:rsid w:val="67B42760"/>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40044B"/>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DB1451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240C4"/>
    <w:rsid w:val="704E64D7"/>
    <w:rsid w:val="704F5243"/>
    <w:rsid w:val="70675738"/>
    <w:rsid w:val="706D0578"/>
    <w:rsid w:val="706E499A"/>
    <w:rsid w:val="70725D14"/>
    <w:rsid w:val="708B2215"/>
    <w:rsid w:val="70B86680"/>
    <w:rsid w:val="70C507BD"/>
    <w:rsid w:val="70F36FF5"/>
    <w:rsid w:val="71351762"/>
    <w:rsid w:val="714B0D57"/>
    <w:rsid w:val="71552D10"/>
    <w:rsid w:val="716442E9"/>
    <w:rsid w:val="71B318F8"/>
    <w:rsid w:val="71B74DFA"/>
    <w:rsid w:val="71BD2ACE"/>
    <w:rsid w:val="71C05C07"/>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3F2B3D"/>
    <w:rsid w:val="739444AA"/>
    <w:rsid w:val="73CB1EA3"/>
    <w:rsid w:val="73EE3133"/>
    <w:rsid w:val="73FC31D8"/>
    <w:rsid w:val="73FC5DA2"/>
    <w:rsid w:val="73FDED50"/>
    <w:rsid w:val="74542522"/>
    <w:rsid w:val="74597D1C"/>
    <w:rsid w:val="74BE21E6"/>
    <w:rsid w:val="74CD114F"/>
    <w:rsid w:val="75132CB2"/>
    <w:rsid w:val="755C6749"/>
    <w:rsid w:val="757B534A"/>
    <w:rsid w:val="758A423F"/>
    <w:rsid w:val="75C4089A"/>
    <w:rsid w:val="75D43E4C"/>
    <w:rsid w:val="75EE584D"/>
    <w:rsid w:val="75FC051E"/>
    <w:rsid w:val="760E4653"/>
    <w:rsid w:val="76745657"/>
    <w:rsid w:val="768E1621"/>
    <w:rsid w:val="769374F5"/>
    <w:rsid w:val="76D66A0B"/>
    <w:rsid w:val="76E17369"/>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2667AE"/>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7">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8">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9">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10">
    <w:name w:val="heading 4"/>
    <w:basedOn w:val="1"/>
    <w:next w:val="1"/>
    <w:link w:val="273"/>
    <w:qFormat/>
    <w:uiPriority w:val="0"/>
    <w:pPr>
      <w:keepNext/>
      <w:keepLines/>
      <w:tabs>
        <w:tab w:val="left" w:pos="864"/>
      </w:tabs>
      <w:ind w:left="862" w:hanging="862"/>
      <w:outlineLvl w:val="3"/>
    </w:pPr>
    <w:rPr>
      <w:b/>
      <w:bCs/>
      <w:sz w:val="28"/>
      <w:szCs w:val="28"/>
    </w:rPr>
  </w:style>
  <w:style w:type="paragraph" w:styleId="11">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3">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4">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5">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7"/>
    <w:qFormat/>
    <w:uiPriority w:val="0"/>
    <w:pPr>
      <w:ind w:firstLine="420"/>
    </w:pPr>
    <w:rPr>
      <w:szCs w:val="20"/>
    </w:rPr>
  </w:style>
  <w:style w:type="paragraph" w:styleId="3">
    <w:name w:val="Balloon Text"/>
    <w:basedOn w:val="1"/>
    <w:next w:val="4"/>
    <w:link w:val="334"/>
    <w:qFormat/>
    <w:uiPriority w:val="0"/>
    <w:rPr>
      <w:rFonts w:ascii="Calibri" w:hAnsi="Calibri"/>
      <w:sz w:val="18"/>
      <w:szCs w:val="18"/>
    </w:rPr>
  </w:style>
  <w:style w:type="paragraph" w:styleId="4">
    <w:name w:val="toc 8"/>
    <w:basedOn w:val="1"/>
    <w:next w:val="1"/>
    <w:semiHidden/>
    <w:qFormat/>
    <w:uiPriority w:val="0"/>
    <w:pPr>
      <w:spacing w:afterLines="50"/>
      <w:ind w:left="1470"/>
      <w:jc w:val="left"/>
    </w:pPr>
    <w:rPr>
      <w:snapToGrid w:val="0"/>
      <w:kern w:val="0"/>
      <w:sz w:val="18"/>
      <w:szCs w:val="18"/>
    </w:rPr>
  </w:style>
  <w:style w:type="paragraph" w:styleId="5">
    <w:name w:val="macro"/>
    <w:basedOn w:val="6"/>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6">
    <w:name w:val="表格"/>
    <w:basedOn w:val="1"/>
    <w:link w:val="257"/>
    <w:qFormat/>
    <w:uiPriority w:val="0"/>
    <w:pPr>
      <w:spacing w:beforeLines="40" w:afterLines="40"/>
    </w:pPr>
    <w:rPr>
      <w:sz w:val="28"/>
    </w:rPr>
  </w:style>
  <w:style w:type="paragraph" w:styleId="16">
    <w:name w:val="List 3"/>
    <w:basedOn w:val="1"/>
    <w:qFormat/>
    <w:uiPriority w:val="0"/>
    <w:pPr>
      <w:spacing w:beforeLines="40" w:afterLines="40" w:line="300" w:lineRule="auto"/>
      <w:ind w:left="100" w:leftChars="400" w:hanging="200" w:hangingChars="200"/>
    </w:pPr>
  </w:style>
  <w:style w:type="paragraph" w:styleId="17">
    <w:name w:val="toc 7"/>
    <w:basedOn w:val="1"/>
    <w:next w:val="1"/>
    <w:qFormat/>
    <w:uiPriority w:val="0"/>
    <w:pPr>
      <w:ind w:left="1440"/>
      <w:jc w:val="left"/>
    </w:pPr>
    <w:rPr>
      <w:sz w:val="18"/>
      <w:szCs w:val="18"/>
    </w:rPr>
  </w:style>
  <w:style w:type="paragraph" w:styleId="18">
    <w:name w:val="List Number 2"/>
    <w:basedOn w:val="1"/>
    <w:qFormat/>
    <w:uiPriority w:val="0"/>
    <w:pPr>
      <w:tabs>
        <w:tab w:val="left" w:pos="780"/>
      </w:tabs>
      <w:ind w:left="780" w:leftChars="200" w:hanging="360" w:hangingChars="200"/>
    </w:pPr>
  </w:style>
  <w:style w:type="paragraph" w:styleId="19">
    <w:name w:val="table of authorities"/>
    <w:basedOn w:val="1"/>
    <w:next w:val="1"/>
    <w:semiHidden/>
    <w:qFormat/>
    <w:uiPriority w:val="0"/>
    <w:pPr>
      <w:ind w:left="420" w:leftChars="200"/>
    </w:pPr>
  </w:style>
  <w:style w:type="paragraph" w:styleId="20">
    <w:name w:val="Note Heading"/>
    <w:basedOn w:val="1"/>
    <w:next w:val="1"/>
    <w:qFormat/>
    <w:uiPriority w:val="0"/>
    <w:pPr>
      <w:spacing w:beforeLines="40" w:afterLines="40" w:line="300" w:lineRule="auto"/>
      <w:ind w:firstLine="420"/>
      <w:jc w:val="center"/>
    </w:pPr>
  </w:style>
  <w:style w:type="paragraph" w:styleId="21">
    <w:name w:val="List Bullet 4"/>
    <w:basedOn w:val="1"/>
    <w:qFormat/>
    <w:uiPriority w:val="0"/>
    <w:pPr>
      <w:tabs>
        <w:tab w:val="left" w:pos="1620"/>
      </w:tabs>
      <w:ind w:left="1620" w:hanging="360"/>
    </w:pPr>
  </w:style>
  <w:style w:type="paragraph" w:styleId="22">
    <w:name w:val="index 8"/>
    <w:basedOn w:val="1"/>
    <w:next w:val="1"/>
    <w:semiHidden/>
    <w:qFormat/>
    <w:uiPriority w:val="0"/>
    <w:pPr>
      <w:ind w:left="1400" w:leftChars="1400"/>
    </w:pPr>
  </w:style>
  <w:style w:type="paragraph" w:styleId="23">
    <w:name w:val="E-mail Signature"/>
    <w:basedOn w:val="1"/>
    <w:qFormat/>
    <w:uiPriority w:val="0"/>
  </w:style>
  <w:style w:type="paragraph" w:styleId="24">
    <w:name w:val="List Number"/>
    <w:basedOn w:val="1"/>
    <w:next w:val="3"/>
    <w:qFormat/>
    <w:uiPriority w:val="0"/>
    <w:pPr>
      <w:widowControl/>
      <w:tabs>
        <w:tab w:val="left" w:pos="454"/>
        <w:tab w:val="left" w:pos="720"/>
      </w:tabs>
      <w:spacing w:afterLines="50"/>
      <w:ind w:left="454" w:hanging="284"/>
      <w:jc w:val="left"/>
    </w:pPr>
    <w:rPr>
      <w:kern w:val="0"/>
      <w:szCs w:val="20"/>
    </w:rPr>
  </w:style>
  <w:style w:type="paragraph" w:styleId="25">
    <w:name w:val="caption"/>
    <w:basedOn w:val="1"/>
    <w:next w:val="1"/>
    <w:link w:val="189"/>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6"/>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5"/>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6"/>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0"/>
    <w:qFormat/>
    <w:uiPriority w:val="0"/>
    <w:pPr>
      <w:spacing w:after="120"/>
    </w:pPr>
    <w:rPr>
      <w:sz w:val="28"/>
    </w:rPr>
  </w:style>
  <w:style w:type="paragraph" w:styleId="38">
    <w:name w:val="Body Text Indent"/>
    <w:basedOn w:val="1"/>
    <w:next w:val="24"/>
    <w:link w:val="151"/>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29"/>
    <w:qFormat/>
    <w:uiPriority w:val="0"/>
    <w:pPr>
      <w:spacing w:beforeLines="50" w:afterLines="50" w:line="400" w:lineRule="exact"/>
    </w:pPr>
    <w:rPr>
      <w:rFonts w:ascii="宋体" w:hAnsi="Courier New"/>
    </w:rPr>
  </w:style>
  <w:style w:type="paragraph" w:styleId="49">
    <w:name w:val="Date"/>
    <w:basedOn w:val="1"/>
    <w:next w:val="1"/>
    <w:link w:val="228"/>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7"/>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4"/>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7"/>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4"/>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1"/>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5"/>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7"/>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5"/>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8"/>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5"/>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29"/>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5"/>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3"/>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11"/>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5"/>
    <w:link w:val="184"/>
    <w:qFormat/>
    <w:uiPriority w:val="0"/>
    <w:pPr>
      <w:spacing w:beforeLines="40" w:afterLines="40"/>
      <w:jc w:val="center"/>
    </w:pPr>
    <w:rPr>
      <w:rFonts w:ascii="黑体" w:hAnsi="黑体" w:cs="Arial"/>
      <w:sz w:val="21"/>
    </w:rPr>
  </w:style>
  <w:style w:type="character" w:customStyle="1" w:styleId="186">
    <w:name w:val="title14"/>
    <w:basedOn w:val="95"/>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5"/>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5"/>
    <w:link w:val="195"/>
    <w:qFormat/>
    <w:uiPriority w:val="0"/>
    <w:pPr>
      <w:spacing w:beforeLines="40" w:afterLines="40"/>
      <w:jc w:val="center"/>
    </w:pPr>
    <w:rPr>
      <w:rFonts w:cs="Arial"/>
      <w:sz w:val="21"/>
    </w:rPr>
  </w:style>
  <w:style w:type="character" w:customStyle="1" w:styleId="197">
    <w:name w:val="正文缩进 Char2"/>
    <w:link w:val="2"/>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5"/>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8"/>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5"/>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5"/>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8"/>
    <w:qFormat/>
    <w:uiPriority w:val="99"/>
    <w:rPr>
      <w:kern w:val="2"/>
      <w:sz w:val="18"/>
      <w:szCs w:val="18"/>
    </w:rPr>
  </w:style>
  <w:style w:type="character" w:customStyle="1" w:styleId="224">
    <w:name w:val="text1"/>
    <w:basedOn w:val="95"/>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49"/>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5"/>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9"/>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8"/>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5"/>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6"/>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5"/>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5"/>
    <w:qFormat/>
    <w:uiPriority w:val="0"/>
  </w:style>
  <w:style w:type="character" w:customStyle="1" w:styleId="264">
    <w:name w:val="para"/>
    <w:basedOn w:val="95"/>
    <w:qFormat/>
    <w:uiPriority w:val="0"/>
  </w:style>
  <w:style w:type="character" w:customStyle="1" w:styleId="265">
    <w:name w:val="p3"/>
    <w:basedOn w:val="95"/>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5"/>
    <w:qFormat/>
    <w:uiPriority w:val="0"/>
  </w:style>
  <w:style w:type="character" w:customStyle="1" w:styleId="272">
    <w:name w:val="标题 9 Char"/>
    <w:link w:val="15"/>
    <w:qFormat/>
    <w:uiPriority w:val="0"/>
    <w:rPr>
      <w:rFonts w:ascii="Arial" w:hAnsi="Arial" w:eastAsia="黑体"/>
      <w:sz w:val="28"/>
    </w:rPr>
  </w:style>
  <w:style w:type="character" w:customStyle="1" w:styleId="273">
    <w:name w:val="标题 4 Char"/>
    <w:link w:val="10"/>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5"/>
    <w:link w:val="279"/>
    <w:qFormat/>
    <w:uiPriority w:val="0"/>
    <w:pPr>
      <w:spacing w:beforeLines="40" w:afterLines="40"/>
      <w:jc w:val="center"/>
    </w:pPr>
    <w:rPr>
      <w:rFonts w:ascii="黑体" w:hAnsi="黑体" w:cs="Arial"/>
      <w:sz w:val="21"/>
    </w:rPr>
  </w:style>
  <w:style w:type="character" w:customStyle="1" w:styleId="281">
    <w:name w:val="正文文本缩进 3 Char"/>
    <w:link w:val="71"/>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7"/>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5"/>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5"/>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5"/>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8"/>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3"/>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7"/>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5"/>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8"/>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2"/>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6"/>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7"/>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8"/>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7"/>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7"/>
    <w:qFormat/>
    <w:uiPriority w:val="0"/>
    <w:pPr>
      <w:suppressLineNumbers/>
      <w:suppressAutoHyphens/>
    </w:pPr>
    <w:rPr>
      <w:kern w:val="1"/>
      <w:sz w:val="21"/>
      <w:lang w:eastAsia="ar-SA"/>
    </w:rPr>
  </w:style>
  <w:style w:type="paragraph" w:customStyle="1" w:styleId="396">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10"/>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8"/>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9"/>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11"/>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9"/>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8"/>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9"/>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8"/>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9"/>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11"/>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8"/>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8"/>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9"/>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9"/>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9"/>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8"/>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9"/>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10"/>
    <w:next w:val="10"/>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8"/>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3"/>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2"/>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2"/>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9"/>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9"/>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4"/>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8"/>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6"/>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3"/>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5"/>
    <w:next w:val="37"/>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8"/>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7"/>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7"/>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9"/>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5"/>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9"/>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5"/>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7"/>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10"/>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8"/>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3"/>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
    <w:qFormat/>
    <w:uiPriority w:val="0"/>
    <w:pPr>
      <w:tabs>
        <w:tab w:val="left" w:pos="1440"/>
      </w:tabs>
      <w:spacing w:afterLines="50"/>
    </w:pPr>
    <w:rPr>
      <w:b/>
    </w:rPr>
  </w:style>
  <w:style w:type="paragraph" w:customStyle="1" w:styleId="721">
    <w:name w:val="样式 标题 2h2Level 2 Topic HeadingHD2Heading 2 HiddenHeading 2 ..."/>
    <w:basedOn w:val="7"/>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9"/>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10"/>
    <w:next w:val="51"/>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9"/>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8"/>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9"/>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8"/>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11"/>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11"/>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8"/>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9"/>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7"/>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7"/>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7"/>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7"/>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11"/>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2"/>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10"/>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8"/>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5"/>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7"/>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8"/>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7"/>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10"/>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10"/>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10"/>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11"/>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10"/>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7"/>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10"/>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9"/>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3"/>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2"/>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7"/>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7"/>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10"/>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9"/>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9"/>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8"/>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10"/>
    <w:qFormat/>
    <w:uiPriority w:val="0"/>
    <w:pPr>
      <w:spacing w:before="312" w:after="312"/>
      <w:ind w:left="0" w:firstLine="482"/>
      <w:jc w:val="left"/>
    </w:pPr>
    <w:rPr>
      <w:rFonts w:cs="宋体"/>
      <w:b w:val="0"/>
      <w:sz w:val="24"/>
      <w:szCs w:val="20"/>
    </w:rPr>
  </w:style>
  <w:style w:type="paragraph" w:customStyle="1" w:styleId="987">
    <w:name w:val="正文首行缩进1"/>
    <w:basedOn w:val="37"/>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11"/>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3"/>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8"/>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3"/>
    <w:qFormat/>
    <w:uiPriority w:val="0"/>
    <w:rPr>
      <w:kern w:val="2"/>
      <w:sz w:val="24"/>
      <w:szCs w:val="24"/>
    </w:rPr>
  </w:style>
  <w:style w:type="character" w:customStyle="1" w:styleId="1017">
    <w:name w:val="标题 5 Char"/>
    <w:basedOn w:val="95"/>
    <w:link w:val="11"/>
    <w:qFormat/>
    <w:uiPriority w:val="9"/>
    <w:rPr>
      <w:b/>
      <w:bCs/>
      <w:kern w:val="2"/>
      <w:sz w:val="28"/>
      <w:szCs w:val="28"/>
    </w:rPr>
  </w:style>
  <w:style w:type="character" w:customStyle="1" w:styleId="1018">
    <w:name w:val="普通(网站) Char"/>
    <w:link w:val="82"/>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5"/>
    <w:qFormat/>
    <w:uiPriority w:val="0"/>
    <w:rPr>
      <w:rFonts w:hint="eastAsia" w:ascii="宋体" w:hAnsi="宋体" w:eastAsia="宋体" w:cs="宋体"/>
      <w:b/>
      <w:color w:val="000000"/>
      <w:sz w:val="21"/>
      <w:szCs w:val="21"/>
      <w:u w:val="none"/>
    </w:rPr>
  </w:style>
  <w:style w:type="character" w:customStyle="1" w:styleId="1022">
    <w:name w:val="font31"/>
    <w:basedOn w:val="95"/>
    <w:qFormat/>
    <w:uiPriority w:val="0"/>
    <w:rPr>
      <w:rFonts w:hint="eastAsia" w:ascii="宋体" w:hAnsi="宋体" w:eastAsia="宋体" w:cs="宋体"/>
      <w:color w:val="000000"/>
      <w:sz w:val="21"/>
      <w:szCs w:val="21"/>
      <w:u w:val="none"/>
    </w:rPr>
  </w:style>
  <w:style w:type="character" w:customStyle="1" w:styleId="1023">
    <w:name w:val="font91"/>
    <w:basedOn w:val="95"/>
    <w:qFormat/>
    <w:uiPriority w:val="0"/>
    <w:rPr>
      <w:rFonts w:hint="eastAsia" w:ascii="宋体" w:hAnsi="宋体" w:eastAsia="宋体" w:cs="宋体"/>
      <w:color w:val="000000"/>
      <w:sz w:val="20"/>
      <w:szCs w:val="20"/>
      <w:u w:val="none"/>
    </w:rPr>
  </w:style>
  <w:style w:type="paragraph" w:styleId="1024">
    <w:name w:val="List Paragraph"/>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spacing w:line="360" w:lineRule="auto"/>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87</Pages>
  <Words>50190</Words>
  <Characters>52590</Characters>
  <Lines>280</Lines>
  <Paragraphs>78</Paragraphs>
  <TotalTime>14</TotalTime>
  <ScaleCrop>false</ScaleCrop>
  <LinksUpToDate>false</LinksUpToDate>
  <CharactersWithSpaces>59395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2021-05-11T18:07:00Z</dcterms:created>
  <dc:creator>Administrator</dc:creator>
  <cp:lastModifiedBy>C</cp:lastModifiedBy>
  <cp:lastPrinted>2021-12-07T17:41:00Z</cp:lastPrinted>
  <dcterms:modified xsi:type="dcterms:W3CDTF">2024-09-20T03:16:22Z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D1F2882D3BEC44F3AEC68A9CA6051C2F_13</vt:lpwstr>
  </property>
  <property fmtid="{D5CDD505-2E9C-101B-9397-08002B2CF9AE}" pid="4" name="commondata">
    <vt:lpwstr>eyJoZGlkIjoiOWJiOGJlZmQ4Y2I5Mzg4ZmQ1MDU4OWVlOGY5Y2E4MTcifQ==</vt:lpwstr>
  </property>
</Properties>
</file>