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浙江农业商贸职业学院</w:t>
      </w: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智能网联汽车实训基地教学设备采购项目</w:t>
      </w:r>
    </w:p>
    <w:p>
      <w:pPr>
        <w:outlineLvl w:val="0"/>
        <w:rPr>
          <w:rFonts w:ascii="隶书" w:eastAsia="隶书"/>
          <w:sz w:val="44"/>
        </w:rPr>
      </w:pPr>
    </w:p>
    <w:p>
      <w:pPr>
        <w:spacing w:line="800" w:lineRule="exact"/>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800" w:lineRule="exact"/>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800" w:lineRule="exact"/>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800" w:lineRule="exact"/>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800" w:lineRule="exact"/>
        <w:jc w:val="center"/>
        <w:outlineLvl w:val="0"/>
        <w:rPr>
          <w:rFonts w:ascii="隶书" w:eastAsia="隶书"/>
          <w:b/>
          <w:sz w:val="72"/>
          <w:szCs w:val="72"/>
        </w:rPr>
      </w:pPr>
      <w:r>
        <w:rPr>
          <w:rFonts w:hint="eastAsia" w:ascii="隶书" w:eastAsia="隶书"/>
          <w:b/>
          <w:sz w:val="72"/>
          <w:szCs w:val="72"/>
        </w:rPr>
        <w:t>文</w:t>
      </w:r>
    </w:p>
    <w:p>
      <w:pPr>
        <w:spacing w:line="800" w:lineRule="exact"/>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招标编号:HCNS-2024-002</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浙江农业商贸职业学院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华诚工程咨询集团有限公司</w:t>
            </w:r>
          </w:p>
        </w:tc>
      </w:tr>
      <w:tr>
        <w:tblPrEx>
          <w:tblCellMar>
            <w:top w:w="0" w:type="dxa"/>
            <w:left w:w="108" w:type="dxa"/>
            <w:bottom w:w="0" w:type="dxa"/>
            <w:right w:w="108" w:type="dxa"/>
          </w:tblCellMar>
        </w:tblPrEx>
        <w:trPr>
          <w:trHeight w:val="440" w:hRule="atLeast"/>
          <w:jc w:val="center"/>
        </w:trPr>
        <w:tc>
          <w:tcPr>
            <w:tcW w:w="2356" w:type="dxa"/>
            <w:vMerge w:val="restart"/>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浙江省财政厅政府采购监管处</w:t>
            </w:r>
          </w:p>
        </w:tc>
      </w:tr>
      <w:tr>
        <w:tblPrEx>
          <w:tblCellMar>
            <w:top w:w="0" w:type="dxa"/>
            <w:left w:w="108" w:type="dxa"/>
            <w:bottom w:w="0" w:type="dxa"/>
            <w:right w:w="108" w:type="dxa"/>
          </w:tblCellMar>
        </w:tblPrEx>
        <w:trPr>
          <w:trHeight w:val="440" w:hRule="atLeast"/>
          <w:jc w:val="center"/>
        </w:trPr>
        <w:tc>
          <w:tcPr>
            <w:tcW w:w="2356" w:type="dxa"/>
            <w:vMerge w:val="continue"/>
            <w:vAlign w:val="center"/>
          </w:tcPr>
          <w:p>
            <w:pPr>
              <w:spacing w:after="100" w:afterAutospacing="1" w:line="440" w:lineRule="exact"/>
            </w:pP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浙江省政府采购行政裁决服务中心（杭州）</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六</w:t>
            </w:r>
            <w:r>
              <w:rPr>
                <w:rFonts w:hint="eastAsia" w:ascii="隶书" w:eastAsia="隶书"/>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r>
              <w:rPr>
                <w:rFonts w:ascii="仿宋_GB2312" w:hAnsi="新宋体" w:eastAsia="仿宋_GB2312"/>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8"/>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8"/>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浙江农业商贸职业学院智能网联汽车实训基地教学设备采购项目</w:t>
                  </w:r>
                  <w:r>
                    <w:rPr>
                      <w:rFonts w:hint="eastAsia" w:ascii="仿宋_GB2312" w:hAnsi="新宋体" w:eastAsia="仿宋_GB2312"/>
                      <w:szCs w:val="24"/>
                    </w:rPr>
                    <w:t xml:space="preserve">招标项目的潜在投标人应在政采云平台（https://www.zcygov.cn/）获取（下载）招标文件，并于2024年 </w:t>
                  </w:r>
                  <w:r>
                    <w:rPr>
                      <w:rFonts w:hint="eastAsia" w:ascii="仿宋_GB2312" w:hAnsi="新宋体" w:eastAsia="仿宋_GB2312"/>
                      <w:szCs w:val="24"/>
                      <w:lang w:val="en-US" w:eastAsia="zh-CN"/>
                    </w:rPr>
                    <w:t>06</w:t>
                  </w:r>
                  <w:r>
                    <w:rPr>
                      <w:rFonts w:hint="eastAsia" w:ascii="仿宋_GB2312" w:hAnsi="新宋体" w:eastAsia="仿宋_GB2312"/>
                      <w:szCs w:val="24"/>
                    </w:rPr>
                    <w:t>月</w:t>
                  </w:r>
                  <w:r>
                    <w:rPr>
                      <w:rFonts w:hint="eastAsia" w:ascii="仿宋_GB2312" w:hAnsi="新宋体" w:eastAsia="仿宋_GB2312"/>
                      <w:szCs w:val="24"/>
                      <w:lang w:val="en-US" w:eastAsia="zh-CN"/>
                    </w:rPr>
                    <w:t>26</w:t>
                  </w:r>
                  <w:r>
                    <w:rPr>
                      <w:rFonts w:hint="eastAsia" w:ascii="仿宋_GB2312" w:hAnsi="新宋体" w:eastAsia="仿宋_GB2312"/>
                      <w:szCs w:val="24"/>
                    </w:rPr>
                    <w:t>日</w:t>
                  </w:r>
                  <w:r>
                    <w:rPr>
                      <w:rFonts w:hint="eastAsia" w:ascii="仿宋_GB2312" w:hAnsi="新宋体" w:eastAsia="仿宋_GB2312"/>
                      <w:szCs w:val="24"/>
                      <w:lang w:val="en-US" w:eastAsia="zh-CN"/>
                    </w:rPr>
                    <w:t>9</w:t>
                  </w:r>
                  <w:r>
                    <w:rPr>
                      <w:rFonts w:hint="eastAsia" w:ascii="仿宋_GB2312" w:hAnsi="新宋体" w:eastAsia="仿宋_GB2312"/>
                      <w:szCs w:val="24"/>
                    </w:rPr>
                    <w:t xml:space="preserve">点 </w:t>
                  </w:r>
                  <w:r>
                    <w:rPr>
                      <w:rFonts w:hint="eastAsia" w:ascii="仿宋_GB2312" w:hAnsi="新宋体" w:eastAsia="仿宋_GB2312"/>
                      <w:szCs w:val="24"/>
                      <w:lang w:val="en-US" w:eastAsia="zh-CN"/>
                    </w:rPr>
                    <w:t>00</w:t>
                  </w:r>
                  <w:r>
                    <w:rPr>
                      <w:rFonts w:hint="eastAsia" w:ascii="仿宋_GB2312" w:hAnsi="新宋体" w:eastAsia="仿宋_GB2312"/>
                      <w:szCs w:val="24"/>
                    </w:rPr>
                    <w:t>分</w:t>
                  </w:r>
                  <w:r>
                    <w:rPr>
                      <w:rFonts w:hint="eastAsia" w:ascii="仿宋_GB2312" w:hAnsi="新宋体" w:eastAsia="仿宋_GB2312"/>
                      <w:szCs w:val="24"/>
                      <w:lang w:val="en-US" w:eastAsia="zh-CN"/>
                    </w:rPr>
                    <w:t>00</w:t>
                  </w:r>
                  <w:r>
                    <w:rPr>
                      <w:rFonts w:hint="eastAsia" w:ascii="仿宋_GB2312" w:hAnsi="新宋体" w:eastAsia="仿宋_GB2312"/>
                      <w:szCs w:val="24"/>
                    </w:rPr>
                    <w:t>秒（北京时间）前递交（上传）投标文件。</w:t>
                  </w:r>
                </w:p>
              </w:tc>
            </w:tr>
          </w:tbl>
          <w:p>
            <w:pPr>
              <w:pStyle w:val="98"/>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8"/>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HCNS-2024-002</w:t>
            </w:r>
          </w:p>
          <w:p>
            <w:pPr>
              <w:pStyle w:val="98"/>
              <w:spacing w:afterLines="0" w:line="440" w:lineRule="exact"/>
              <w:ind w:right="-508" w:rightChars="-242" w:firstLine="482"/>
              <w:rPr>
                <w:rFonts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szCs w:val="24"/>
              </w:rPr>
              <w:t>浙江农业商贸职业学院智能网联汽车实训基地教学设备采购项目</w:t>
            </w:r>
          </w:p>
          <w:p>
            <w:pPr>
              <w:pStyle w:val="98"/>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98"/>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预算金额（元）：1410000</w:t>
            </w:r>
          </w:p>
          <w:p>
            <w:pPr>
              <w:pStyle w:val="98"/>
              <w:spacing w:afterLines="0" w:line="440" w:lineRule="exact"/>
              <w:ind w:firstLine="482"/>
              <w:rPr>
                <w:rFonts w:ascii="仿宋_GB2312" w:hAnsi="新宋体" w:eastAsia="仿宋_GB2312"/>
                <w:szCs w:val="24"/>
              </w:rPr>
            </w:pPr>
            <w:r>
              <w:rPr>
                <w:rFonts w:hint="eastAsia" w:ascii="仿宋_GB2312" w:hAnsi="新宋体" w:eastAsia="仿宋_GB2312"/>
                <w:b/>
                <w:szCs w:val="24"/>
              </w:rPr>
              <w:t>最高限价（元）：1410000</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标项名称:浙江农业商贸职业学院智能网联汽车实训基地教学设备采购项目</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b/>
                <w:szCs w:val="24"/>
              </w:rPr>
              <w:t>1410000</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8"/>
              <w:spacing w:afterLines="0" w:line="440" w:lineRule="exact"/>
              <w:ind w:firstLine="482"/>
              <w:rPr>
                <w:rFonts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F0FE"/>
            </w:r>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8"/>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8"/>
              <w:spacing w:afterLines="0" w:line="440" w:lineRule="exact"/>
              <w:ind w:firstLine="480"/>
              <w:rPr>
                <w:rFonts w:ascii="仿宋_GB2312" w:hAnsi="新宋体" w:eastAsia="仿宋_GB2312"/>
                <w:szCs w:val="24"/>
              </w:rPr>
            </w:pPr>
            <w:r>
              <w:rPr>
                <w:rFonts w:hint="eastAsia" w:ascii="仿宋_GB2312" w:hAnsi="MS Gothic" w:eastAsia="仿宋_GB2312" w:cs="Arial"/>
              </w:rPr>
              <w:sym w:font="Wingdings" w:char="00A8"/>
            </w:r>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color w:val="FF0000"/>
                  <w:szCs w:val="21"/>
                  <w:highlight w:val="yellow"/>
                </w:rPr>
                <w:id w:val="725337177"/>
              </w:sdtPr>
              <w:sdtEndPr>
                <w:rPr>
                  <w:rFonts w:hint="eastAsia" w:ascii="仿宋_GB2312" w:hAnsi="仿宋" w:eastAsia="仿宋_GB2312" w:cs="Arial"/>
                  <w:color w:val="auto"/>
                  <w:szCs w:val="21"/>
                  <w:highlight w:val="none"/>
                </w:rPr>
              </w:sdtEndPr>
              <w:sdtContent>
                <w:r>
                  <w:rPr>
                    <w:rFonts w:hint="eastAsia" w:ascii="仿宋_GB2312" w:hAnsi="MS Gothic" w:eastAsia="仿宋_GB2312" w:cs="Arial"/>
                  </w:rPr>
                  <w:sym w:font="Wingdings" w:char="F0FE"/>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26</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26</w:t>
            </w:r>
            <w:r>
              <w:rPr>
                <w:rFonts w:hint="eastAsia" w:ascii="仿宋_GB2312" w:hAnsi="仿宋" w:eastAsia="仿宋_GB2312" w:cs="仿宋"/>
                <w:sz w:val="24"/>
                <w:u w:val="single"/>
              </w:rPr>
              <w:t xml:space="preserve">日 </w:t>
            </w:r>
            <w:r>
              <w:rPr>
                <w:rFonts w:hint="eastAsia" w:ascii="仿宋_GB2312" w:hAnsi="仿宋" w:eastAsia="仿宋_GB2312" w:cs="仿宋"/>
                <w:sz w:val="24"/>
                <w:u w:val="single"/>
                <w:lang w:val="en-US" w:eastAsia="zh-CN"/>
              </w:rPr>
              <w:t>9</w:t>
            </w:r>
            <w:r>
              <w:rPr>
                <w:rFonts w:hint="eastAsia" w:ascii="仿宋_GB2312" w:hAnsi="仿宋" w:eastAsia="仿宋_GB2312" w:cs="仿宋"/>
                <w:sz w:val="24"/>
                <w:u w:val="single"/>
              </w:rPr>
              <w:t xml:space="preserve">点 </w:t>
            </w:r>
            <w:r>
              <w:rPr>
                <w:rFonts w:hint="eastAsia" w:ascii="仿宋_GB2312" w:hAnsi="仿宋" w:eastAsia="仿宋_GB2312" w:cs="仿宋"/>
                <w:sz w:val="24"/>
                <w:u w:val="single"/>
                <w:lang w:val="en-US" w:eastAsia="zh-CN"/>
              </w:rPr>
              <w:t>00</w:t>
            </w:r>
            <w:r>
              <w:rPr>
                <w:rFonts w:hint="eastAsia" w:ascii="仿宋_GB2312" w:hAnsi="仿宋" w:eastAsia="仿宋_GB2312" w:cs="仿宋"/>
                <w:sz w:val="24"/>
                <w:u w:val="single"/>
              </w:rPr>
              <w:t>分</w:t>
            </w:r>
            <w:r>
              <w:rPr>
                <w:rFonts w:hint="eastAsia" w:ascii="仿宋_GB2312" w:hAnsi="仿宋" w:eastAsia="仿宋_GB2312" w:cs="仿宋"/>
                <w:sz w:val="24"/>
                <w:u w:val="single"/>
                <w:lang w:val="en-US" w:eastAsia="zh-CN"/>
              </w:rPr>
              <w:t>00</w:t>
            </w:r>
            <w:r>
              <w:rPr>
                <w:rFonts w:hint="eastAsia" w:ascii="仿宋_GB2312" w:hAnsi="仿宋" w:eastAsia="仿宋_GB2312" w:cs="仿宋"/>
                <w:sz w:val="24"/>
                <w:u w:val="single"/>
              </w:rPr>
              <w:t>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6</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26</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9</w:t>
            </w:r>
            <w:r>
              <w:rPr>
                <w:rFonts w:hint="eastAsia" w:ascii="仿宋_GB2312" w:hAnsi="仿宋" w:eastAsia="仿宋_GB2312" w:cs="仿宋"/>
                <w:sz w:val="24"/>
                <w:u w:val="single"/>
              </w:rPr>
              <w:t>点</w:t>
            </w:r>
            <w:r>
              <w:rPr>
                <w:rFonts w:hint="eastAsia" w:ascii="仿宋_GB2312" w:hAnsi="仿宋" w:eastAsia="仿宋_GB2312" w:cs="仿宋"/>
                <w:sz w:val="24"/>
                <w:u w:val="single"/>
                <w:lang w:val="en-US" w:eastAsia="zh-CN"/>
              </w:rPr>
              <w:t>00</w:t>
            </w:r>
            <w:r>
              <w:rPr>
                <w:rFonts w:hint="eastAsia" w:ascii="仿宋_GB2312" w:hAnsi="仿宋" w:eastAsia="仿宋_GB2312" w:cs="仿宋"/>
                <w:sz w:val="24"/>
                <w:u w:val="single"/>
              </w:rPr>
              <w:t>分</w:t>
            </w:r>
            <w:r>
              <w:rPr>
                <w:rFonts w:hint="eastAsia" w:ascii="仿宋_GB2312" w:hAnsi="仿宋" w:eastAsia="仿宋_GB2312" w:cs="仿宋"/>
                <w:sz w:val="24"/>
                <w:u w:val="single"/>
                <w:lang w:val="en-US" w:eastAsia="zh-CN"/>
              </w:rPr>
              <w:t>00</w:t>
            </w:r>
            <w:r>
              <w:rPr>
                <w:rFonts w:hint="eastAsia" w:ascii="仿宋_GB2312" w:hAnsi="仿宋" w:eastAsia="仿宋_GB2312" w:cs="仿宋"/>
                <w:sz w:val="24"/>
                <w:u w:val="single"/>
              </w:rPr>
              <w:t>秒</w:t>
            </w:r>
            <w:r>
              <w:rPr>
                <w:rFonts w:hint="eastAsia" w:ascii="仿宋_GB2312" w:hAnsi="仿宋" w:eastAsia="仿宋_GB2312" w:cs="仿宋"/>
                <w:bCs/>
                <w:sz w:val="24"/>
                <w:u w:val="single"/>
              </w:rPr>
              <w:t xml:space="preserve">  </w:t>
            </w:r>
          </w:p>
          <w:p>
            <w:pPr>
              <w:pStyle w:val="98"/>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w:t>
            </w:r>
            <w:bookmarkStart w:id="166" w:name="_GoBack"/>
            <w:bookmarkEnd w:id="166"/>
            <w:r>
              <w:rPr>
                <w:rFonts w:hint="eastAsia" w:ascii="仿宋_GB2312" w:hAnsi="新宋体" w:eastAsia="仿宋_GB2312"/>
                <w:szCs w:val="24"/>
              </w:rPr>
              <w:t>、投诉书范本请到浙江政府采购网下载专区下载。</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lang w:val="en-US" w:eastAsia="zh-CN"/>
              </w:rPr>
              <w:t>4</w:t>
            </w:r>
            <w:r>
              <w:rPr>
                <w:rFonts w:hint="eastAsia" w:ascii="仿宋_GB2312" w:hAnsi="新宋体" w:eastAsia="仿宋_GB2312"/>
                <w:szCs w:val="24"/>
              </w:rPr>
              <w:t>.其他事项：（1）需要落实的政府采购政策：包括节约资源、保护环境、支持创新、促进中小企业发展等。详见招标文件的第二部分总则。（2）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8"/>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 w:hAnsi="仿宋" w:eastAsia="仿宋" w:cs="仿宋"/>
              </w:rPr>
              <w:t>浙江农业商贸职业学院</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w:t>
            </w:r>
            <w:r>
              <w:rPr>
                <w:rFonts w:hint="eastAsia" w:ascii="仿宋" w:hAnsi="仿宋" w:eastAsia="仿宋" w:cs="仿宋"/>
                <w:color w:val="000000"/>
                <w:szCs w:val="24"/>
              </w:rPr>
              <w:t>浙江省绍兴市越城区世纪东街770号</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传真：/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rPr>
              <w:t>王婷婷</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rPr>
              <w:t>0575-88173085</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质疑联系人：谢芳</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质疑联系方式：0575-88173085</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 w:hAnsi="仿宋" w:eastAsia="仿宋" w:cs="仿宋"/>
              </w:rPr>
              <w:t>华诚工程咨询集团有限公司</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w:t>
            </w:r>
            <w:r>
              <w:rPr>
                <w:rFonts w:hint="eastAsia" w:ascii="仿宋" w:hAnsi="仿宋" w:eastAsia="仿宋" w:cs="仿宋"/>
                <w:szCs w:val="24"/>
              </w:rPr>
              <w:t>绍兴市越城区越西路800号金德隆商业中心8幢二楼</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szCs w:val="24"/>
              </w:rPr>
              <w:t>戴琦瑾</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szCs w:val="24"/>
              </w:rPr>
              <w:t>15345752186</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szCs w:val="24"/>
              </w:rPr>
              <w:t>柯翔郎</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 w:hAnsi="仿宋" w:eastAsia="仿宋" w:cs="仿宋"/>
              </w:rPr>
              <w:t>15857590172</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名称：浙江省财政厅政府采购监管处、浙江省政府采购行政裁决服务中心（杭州）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地址：杭州市上城区四季青街道新业路市民之家G03办公室（快递仅限ems或顺丰） </w:t>
            </w:r>
            <w:r>
              <w:rPr>
                <w:rFonts w:ascii="仿宋_GB2312" w:hAnsi="新宋体" w:eastAsia="仿宋_GB2312"/>
                <w:szCs w:val="24"/>
              </w:rPr>
              <w:t>      </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w:t>
            </w:r>
            <w:r>
              <w:rPr>
                <w:rFonts w:ascii="仿宋_GB2312" w:hAnsi="新宋体" w:eastAsia="仿宋_GB2312"/>
                <w:szCs w:val="24"/>
              </w:rPr>
              <w:t>      </w:t>
            </w:r>
          </w:p>
          <w:p>
            <w:pPr>
              <w:pStyle w:val="9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：朱女士、王女士      </w:t>
            </w:r>
          </w:p>
          <w:p>
            <w:pPr>
              <w:pStyle w:val="9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监督投诉电话：0571-85252453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98"/>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r>
              <w:rPr>
                <w:rFonts w:hint="eastAsia" w:ascii="仿宋_GB2312" w:hAnsi="仿宋" w:eastAsia="仿宋_GB2312" w:cs="仿宋"/>
                <w:sz w:val="24"/>
              </w:rPr>
              <w:sym w:font="Wingdings 2" w:char="00A3"/>
            </w:r>
            <w:r>
              <w:rPr>
                <w:rFonts w:hint="eastAsia" w:ascii="仿宋_GB2312" w:hAnsi="仿宋" w:eastAsia="仿宋_GB2312" w:cs="仿宋"/>
                <w:sz w:val="24"/>
              </w:rPr>
              <w:t>A无方案讲解演示。</w:t>
            </w:r>
          </w:p>
          <w:p>
            <w:pPr>
              <w:spacing w:line="440" w:lineRule="exact"/>
              <w:rPr>
                <w:rFonts w:ascii="仿宋_GB2312" w:hAnsi="仿宋" w:eastAsia="仿宋_GB2312" w:cs="仿宋"/>
                <w:sz w:val="24"/>
              </w:rPr>
            </w:pPr>
            <w:r>
              <w:rPr>
                <w:rFonts w:hint="eastAsia" w:ascii="仿宋_GB2312" w:hAnsi="仿宋" w:eastAsia="仿宋_GB2312" w:cs="仿宋"/>
                <w:b/>
                <w:bCs/>
                <w:sz w:val="24"/>
              </w:rPr>
              <w:sym w:font="Wingdings 2" w:char="0052"/>
            </w:r>
            <w:r>
              <w:rPr>
                <w:rFonts w:hint="eastAsia" w:ascii="仿宋_GB2312" w:hAnsi="仿宋" w:eastAsia="仿宋_GB2312" w:cs="仿宋"/>
                <w:b/>
                <w:bCs/>
                <w:sz w:val="24"/>
              </w:rPr>
              <w:t>B有方案讲解演示：</w:t>
            </w:r>
            <w:r>
              <w:rPr>
                <w:rFonts w:hint="eastAsia" w:ascii="仿宋_GB2312" w:hAnsi="仿宋" w:eastAsia="仿宋_GB2312" w:cs="仿宋"/>
                <w:sz w:val="24"/>
              </w:rPr>
              <w:t>：</w:t>
            </w:r>
            <w:r>
              <w:rPr>
                <w:rFonts w:hint="eastAsia" w:ascii="仿宋_GB2312" w:hAnsi="宋体" w:eastAsia="仿宋_GB2312"/>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fldChar w:fldCharType="begin"/>
            </w:r>
            <w:r>
              <w:instrText xml:space="preserve"> HYPERLINK "mailto:发送至1028696065@qq.com" </w:instrText>
            </w:r>
            <w:r>
              <w:fldChar w:fldCharType="separate"/>
            </w:r>
            <w:r>
              <w:rPr>
                <w:rFonts w:hint="eastAsia" w:ascii="仿宋_GB2312" w:hAnsi="宋体" w:eastAsia="仿宋_GB2312"/>
                <w:sz w:val="24"/>
              </w:rPr>
              <w:t>发送至1028696065@qq.com</w:t>
            </w:r>
            <w:r>
              <w:rPr>
                <w:rFonts w:hint="eastAsia" w:ascii="仿宋_GB2312" w:hAnsi="宋体" w:eastAsia="仿宋_GB2312"/>
                <w:sz w:val="24"/>
              </w:rPr>
              <w:fldChar w:fldCharType="end"/>
            </w:r>
            <w:r>
              <w:rPr>
                <w:rFonts w:hint="eastAsia" w:ascii="仿宋_GB2312" w:hAnsi="宋体" w:eastAsia="仿宋_GB2312"/>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autoSpaceDE w:val="0"/>
              <w:autoSpaceDN w:val="0"/>
              <w:adjustRightInd w:val="0"/>
              <w:spacing w:line="360" w:lineRule="exact"/>
              <w:jc w:val="center"/>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 w:hAnsi="仿宋" w:eastAsia="仿宋" w:cs="仿宋"/>
                <w:sz w:val="24"/>
                <w:u w:val="single"/>
              </w:rPr>
              <w:t>智能网联汽车技术平台</w:t>
            </w:r>
            <w:r>
              <w:rPr>
                <w:rFonts w:hint="eastAsia" w:ascii="仿宋_GB2312" w:hAnsi="仿宋" w:eastAsia="仿宋_GB2312"/>
                <w:sz w:val="24"/>
                <w:u w:val="single"/>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仿宋" w:eastAsia="仿宋_GB2312"/>
                <w:kern w:val="0"/>
                <w:sz w:val="24"/>
                <w:u w:val="single"/>
              </w:rPr>
              <w:t>其</w:t>
            </w:r>
            <w:r>
              <w:rPr>
                <w:rFonts w:ascii="仿宋_GB2312" w:hAnsi="仿宋" w:eastAsia="仿宋_GB2312"/>
                <w:kern w:val="0"/>
                <w:sz w:val="24"/>
                <w:u w:val="single"/>
              </w:rPr>
              <w:t>他未列明行业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hd w:val="clear" w:color="auto" w:fill="FFFFFF"/>
              <w:spacing w:line="340" w:lineRule="exact"/>
              <w:ind w:firstLine="482" w:firstLineChars="200"/>
              <w:rPr>
                <w:rFonts w:ascii="仿宋" w:hAnsi="仿宋" w:eastAsia="仿宋" w:cs="仿宋"/>
                <w:sz w:val="24"/>
              </w:rPr>
            </w:pPr>
            <w:r>
              <w:rPr>
                <w:rFonts w:hint="eastAsia" w:ascii="仿宋_GB2312" w:hAnsi="宋体" w:eastAsia="仿宋_GB2312"/>
                <w:b/>
                <w:sz w:val="24"/>
              </w:rPr>
              <w:t>采购代理服务费：</w:t>
            </w:r>
            <w:r>
              <w:rPr>
                <w:rFonts w:hint="eastAsia" w:ascii="仿宋" w:hAnsi="仿宋" w:eastAsia="仿宋" w:cs="仿宋"/>
                <w:sz w:val="24"/>
              </w:rPr>
              <w:t>中标人须向采购代理机构按如下标准和规定交纳中标服务费：</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 xml:space="preserve">1.以中标通知书中确定的中标金额作为服务费的计算基数，具体比例参照《国家计委关于印发&lt;招标代理服务收费管理暂行办法&gt;的通知》（计价格[2002]1980号）文件收费标准下浮99%执行；代理服务费低于500元按500元收取。 </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2.中标服务费的交纳方式：</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公司名称：华诚工程咨询集团有限公司绍兴分公司</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开户行：浙江绍兴瑞丰农村商业银行股份有限公司双梅支行</w:t>
            </w:r>
          </w:p>
          <w:p>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账  号：201000273931352</w:t>
            </w:r>
          </w:p>
          <w:p>
            <w:pPr>
              <w:spacing w:line="440" w:lineRule="exact"/>
              <w:jc w:val="left"/>
              <w:rPr>
                <w:rFonts w:ascii="仿宋_GB2312" w:hAnsi="仿宋" w:eastAsia="仿宋_GB2312" w:cs="仿宋"/>
                <w:b/>
                <w:kern w:val="0"/>
                <w:sz w:val="24"/>
                <w:szCs w:val="21"/>
              </w:rPr>
            </w:pPr>
            <w:r>
              <w:rPr>
                <w:rFonts w:hint="eastAsia" w:ascii="仿宋" w:hAnsi="仿宋" w:eastAsia="仿宋" w:cs="仿宋"/>
                <w:sz w:val="24"/>
              </w:rPr>
              <w:t>3.中标服务费的交纳时间：领取中标通知书前交纳。</w:t>
            </w:r>
            <w:r>
              <w:rPr>
                <w:rFonts w:hint="eastAsia" w:ascii="仿宋_GB2312" w:hAnsi="宋体" w:eastAsia="仿宋_GB2312"/>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1" w:name="_Toc84325929"/>
      <w:bookmarkStart w:id="2" w:name="_Toc81372953"/>
      <w:bookmarkStart w:id="3" w:name="_Toc81372776"/>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2.2.17验收方案；（如有）</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7"/>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rPr>
      </w:pPr>
    </w:p>
    <w:p>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7"/>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r>
        <w:rPr>
          <w:rFonts w:hint="eastAsia" w:ascii="仿宋" w:eastAsia="仿宋"/>
          <w:color w:val="000000"/>
          <w:kern w:val="0"/>
          <w:sz w:val="24"/>
        </w:rPr>
        <w:t>（社会中介代理机构组织的政府采购项目另行规定）</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440" w:lineRule="exact"/>
        <w:ind w:right="420"/>
        <w:rPr>
          <w:rFonts w:ascii="仿宋_GB2312" w:hAnsi="新宋体" w:eastAsia="仿宋_GB2312" w:cs="Arial"/>
          <w:b/>
          <w:bCs/>
          <w:sz w:val="24"/>
        </w:rPr>
      </w:pPr>
      <w:bookmarkStart w:id="4" w:name="_Toc151354173"/>
      <w:bookmarkStart w:id="5" w:name="_Toc81372964"/>
      <w:bookmarkStart w:id="6" w:name="_Toc81372787"/>
      <w:bookmarkStart w:id="7" w:name="_Toc84325981"/>
      <w:bookmarkStart w:id="8" w:name="_Toc80157775"/>
      <w:r>
        <w:rPr>
          <w:rFonts w:hint="eastAsia" w:ascii="仿宋_GB2312" w:hAnsi="新宋体" w:eastAsia="仿宋_GB2312" w:cs="Arial"/>
          <w:b/>
          <w:bCs/>
          <w:sz w:val="24"/>
          <w:bdr w:val="single" w:color="auto" w:sz="4" w:space="0"/>
        </w:rPr>
        <w:t>01标</w:t>
      </w:r>
      <w:bookmarkStart w:id="9" w:name="_Toc32678"/>
      <w:bookmarkStart w:id="10" w:name="_Toc7206"/>
      <w:r>
        <w:rPr>
          <w:rFonts w:hint="eastAsia" w:ascii="仿宋_GB2312" w:hAnsi="仿宋_GB2312" w:eastAsia="仿宋_GB2312" w:cs="仿宋_GB2312"/>
          <w:b/>
          <w:bCs/>
          <w:kern w:val="0"/>
          <w:sz w:val="24"/>
          <w:szCs w:val="22"/>
        </w:rPr>
        <w:t>浙江农业商贸职业学院智能网联汽车实训基地教学设备采购项目</w:t>
      </w:r>
    </w:p>
    <w:p>
      <w:pPr>
        <w:widowControl/>
        <w:ind w:firstLine="482" w:firstLineChars="200"/>
        <w:jc w:val="left"/>
        <w:rPr>
          <w:rFonts w:ascii="仿宋" w:hAnsi="仿宋" w:eastAsia="仿宋" w:cs="仿宋"/>
          <w:sz w:val="24"/>
        </w:rPr>
      </w:pPr>
      <w:r>
        <w:rPr>
          <w:rFonts w:hint="eastAsia" w:ascii="仿宋" w:hAnsi="仿宋" w:eastAsia="仿宋" w:cs="仿宋"/>
          <w:b/>
          <w:bCs/>
          <w:kern w:val="0"/>
          <w:sz w:val="24"/>
        </w:rPr>
        <w:t>一、拟采购清单和技术服务要求</w:t>
      </w:r>
    </w:p>
    <w:tbl>
      <w:tblPr>
        <w:tblStyle w:val="65"/>
        <w:tblW w:w="8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08"/>
        <w:gridCol w:w="6376"/>
        <w:gridCol w:w="450"/>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rPr>
                <w:rFonts w:ascii="仿宋" w:hAnsi="仿宋" w:eastAsia="仿宋" w:cs="仿宋"/>
                <w:sz w:val="24"/>
              </w:rPr>
            </w:pPr>
            <w:r>
              <w:rPr>
                <w:rFonts w:hint="eastAsia" w:ascii="仿宋" w:hAnsi="仿宋" w:eastAsia="仿宋" w:cs="仿宋"/>
                <w:b/>
                <w:bCs/>
                <w:kern w:val="0"/>
                <w:sz w:val="24"/>
              </w:rPr>
              <w:t>序</w:t>
            </w:r>
          </w:p>
          <w:p>
            <w:pPr>
              <w:widowControl/>
              <w:jc w:val="center"/>
              <w:rPr>
                <w:rFonts w:ascii="仿宋" w:hAnsi="仿宋" w:eastAsia="仿宋" w:cs="仿宋"/>
                <w:sz w:val="24"/>
              </w:rPr>
            </w:pPr>
            <w:r>
              <w:rPr>
                <w:rFonts w:hint="eastAsia" w:ascii="仿宋" w:hAnsi="仿宋" w:eastAsia="仿宋" w:cs="仿宋"/>
                <w:b/>
                <w:bCs/>
                <w:kern w:val="0"/>
                <w:sz w:val="24"/>
              </w:rPr>
              <w:t>号</w:t>
            </w:r>
          </w:p>
        </w:tc>
        <w:tc>
          <w:tcPr>
            <w:tcW w:w="708" w:type="dxa"/>
            <w:vAlign w:val="center"/>
          </w:tcPr>
          <w:p>
            <w:pPr>
              <w:widowControl/>
              <w:jc w:val="center"/>
              <w:rPr>
                <w:rFonts w:ascii="仿宋" w:hAnsi="仿宋" w:eastAsia="仿宋" w:cs="仿宋"/>
                <w:sz w:val="24"/>
              </w:rPr>
            </w:pPr>
            <w:r>
              <w:rPr>
                <w:rFonts w:hint="eastAsia" w:ascii="仿宋" w:hAnsi="仿宋" w:eastAsia="仿宋" w:cs="仿宋"/>
                <w:b/>
                <w:bCs/>
                <w:kern w:val="0"/>
                <w:sz w:val="24"/>
              </w:rPr>
              <w:t>设备名称</w:t>
            </w:r>
          </w:p>
        </w:tc>
        <w:tc>
          <w:tcPr>
            <w:tcW w:w="6376" w:type="dxa"/>
            <w:vAlign w:val="center"/>
          </w:tcPr>
          <w:p>
            <w:pPr>
              <w:widowControl/>
              <w:jc w:val="center"/>
              <w:rPr>
                <w:rFonts w:ascii="仿宋" w:hAnsi="仿宋" w:eastAsia="仿宋" w:cs="仿宋"/>
                <w:sz w:val="24"/>
              </w:rPr>
            </w:pPr>
            <w:r>
              <w:rPr>
                <w:rFonts w:hint="eastAsia" w:ascii="仿宋" w:hAnsi="仿宋" w:eastAsia="仿宋" w:cs="仿宋"/>
                <w:b/>
                <w:bCs/>
                <w:kern w:val="0"/>
                <w:sz w:val="24"/>
              </w:rPr>
              <w:t>主要技术参数</w:t>
            </w:r>
          </w:p>
        </w:tc>
        <w:tc>
          <w:tcPr>
            <w:tcW w:w="450" w:type="dxa"/>
            <w:vAlign w:val="center"/>
          </w:tcPr>
          <w:p>
            <w:pPr>
              <w:widowControl/>
              <w:jc w:val="center"/>
              <w:rPr>
                <w:rFonts w:ascii="仿宋" w:hAnsi="仿宋" w:eastAsia="仿宋" w:cs="仿宋"/>
                <w:sz w:val="24"/>
              </w:rPr>
            </w:pPr>
            <w:r>
              <w:rPr>
                <w:rFonts w:hint="eastAsia" w:ascii="仿宋" w:hAnsi="仿宋" w:eastAsia="仿宋" w:cs="仿宋"/>
                <w:b/>
                <w:bCs/>
                <w:kern w:val="0"/>
                <w:sz w:val="24"/>
              </w:rPr>
              <w:t>数量</w:t>
            </w:r>
          </w:p>
        </w:tc>
        <w:tc>
          <w:tcPr>
            <w:tcW w:w="487" w:type="dxa"/>
            <w:vAlign w:val="center"/>
          </w:tcPr>
          <w:p>
            <w:pPr>
              <w:widowControl/>
              <w:jc w:val="center"/>
              <w:rPr>
                <w:rFonts w:ascii="仿宋" w:hAnsi="仿宋" w:eastAsia="仿宋" w:cs="仿宋"/>
                <w:sz w:val="24"/>
              </w:rPr>
            </w:pPr>
            <w:r>
              <w:rPr>
                <w:rFonts w:hint="eastAsia" w:ascii="仿宋" w:hAnsi="仿宋" w:eastAsia="仿宋" w:cs="仿宋"/>
                <w:b/>
                <w:bCs/>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智能网联汽车技术平台</w:t>
            </w:r>
          </w:p>
          <w:p>
            <w:pPr>
              <w:pStyle w:val="3"/>
              <w:jc w:val="both"/>
            </w:pPr>
            <w:r>
              <w:rPr>
                <w:rFonts w:hint="eastAsia" w:ascii="仿宋" w:hAnsi="仿宋" w:eastAsia="仿宋" w:cs="仿宋"/>
                <w:color w:val="auto"/>
                <w:kern w:val="2"/>
              </w:rPr>
              <w:t>(核心产品</w:t>
            </w:r>
          </w:p>
        </w:tc>
        <w:tc>
          <w:tcPr>
            <w:tcW w:w="6376" w:type="dxa"/>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本平台采用车规级纯电动乘用车，整车具备L3级自动驾驶要求，能实现V2X（云端通讯、路测单元通讯）、驾驶辅助（泊车辅助、前后碰撞预警、车道保持、360环视、自适应巡航等）、交通信号灯识别和自动驾驶功能；</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2.整车技术参数</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 平台类型：选用量产型全新乘用车改装而成</w:t>
            </w:r>
            <w:r>
              <w:rPr>
                <w:rFonts w:hint="eastAsia" w:ascii="仿宋" w:hAnsi="仿宋" w:eastAsia="仿宋" w:cs="仿宋"/>
                <w:b/>
                <w:bCs/>
                <w:sz w:val="24"/>
              </w:rPr>
              <w:t>（投标时提供清晰完整的整车布局图、并标出重要部件的名称）</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2.2 能源类型：纯电动</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2.3 车辆规格：≥4800mm×1850mm×1450mm（长×宽×高）</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2.4 续航里程：≥400km</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2.5 轴距：≥2700mm</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2.6 轮距：≥1600mm</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2.7 最大车速：≥150km/h</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2.8 轮胎规格：≥215/50 R17</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2.9 电池信息：电池容量≥50kwh</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2.10 充电方式：支持快、慢充</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2.11 启动方式：无钥匙启动</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2.12 变速箱类型：固定齿比变速箱</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2.13 转向类型：电动助力</w:t>
            </w:r>
          </w:p>
          <w:p>
            <w:pPr>
              <w:widowControl/>
              <w:tabs>
                <w:tab w:val="left" w:pos="0"/>
              </w:tabs>
              <w:jc w:val="left"/>
              <w:textAlignment w:val="center"/>
              <w:rPr>
                <w:rFonts w:ascii="仿宋" w:hAnsi="仿宋" w:eastAsia="仿宋" w:cs="仿宋"/>
                <w:sz w:val="24"/>
              </w:rPr>
            </w:pPr>
            <w:r>
              <w:rPr>
                <w:rFonts w:hint="eastAsia" w:ascii="仿宋" w:hAnsi="仿宋" w:eastAsia="仿宋" w:cs="仿宋"/>
                <w:color w:val="000000"/>
                <w:kern w:val="0"/>
                <w:sz w:val="24"/>
              </w:rPr>
              <w:t xml:space="preserve">2.14 </w:t>
            </w:r>
            <w:r>
              <w:rPr>
                <w:rFonts w:hint="eastAsia" w:ascii="仿宋" w:hAnsi="仿宋" w:eastAsia="仿宋" w:cs="仿宋"/>
                <w:sz w:val="24"/>
              </w:rPr>
              <w:t>通讯方式：CAN通讯，CAN总线满足CAN2.0B通讯协议</w:t>
            </w:r>
          </w:p>
          <w:p>
            <w:pPr>
              <w:pStyle w:val="2"/>
              <w:rPr>
                <w:rFonts w:ascii="仿宋" w:hAnsi="仿宋" w:eastAsia="仿宋" w:cs="仿宋"/>
                <w:sz w:val="24"/>
              </w:rPr>
            </w:pPr>
            <w:r>
              <w:rPr>
                <w:rFonts w:hint="eastAsia" w:ascii="仿宋" w:hAnsi="仿宋" w:eastAsia="仿宋" w:cs="仿宋"/>
                <w:sz w:val="24"/>
              </w:rPr>
              <w:t>▲2.15车辆钥匙：NFC钥匙、手机蓝牙钥匙、机械钥匙。</w:t>
            </w:r>
            <w:r>
              <w:rPr>
                <w:rFonts w:hint="eastAsia" w:ascii="仿宋" w:hAnsi="仿宋" w:eastAsia="仿宋" w:cs="仿宋"/>
                <w:b/>
                <w:bCs/>
                <w:color w:val="000000"/>
                <w:kern w:val="0"/>
                <w:sz w:val="24"/>
              </w:rPr>
              <w:t>（提供机械钥匙与NFC钥匙外观图，蓝牙钥匙显示手机端操作界面截图）</w:t>
            </w:r>
          </w:p>
          <w:p>
            <w:pPr>
              <w:widowControl/>
              <w:tabs>
                <w:tab w:val="left" w:pos="0"/>
              </w:tabs>
              <w:jc w:val="left"/>
              <w:textAlignment w:val="center"/>
              <w:rPr>
                <w:rFonts w:ascii="仿宋" w:hAnsi="仿宋" w:eastAsia="仿宋" w:cs="仿宋"/>
                <w:sz w:val="24"/>
              </w:rPr>
            </w:pPr>
            <w:r>
              <w:rPr>
                <w:rFonts w:hint="eastAsia" w:ascii="仿宋" w:hAnsi="仿宋" w:eastAsia="仿宋" w:cs="仿宋"/>
                <w:sz w:val="24"/>
              </w:rPr>
              <w:t>2.16 车辆应具备车辆生产商授权的线控改装协议，最高车速上限可调节，且车速上限不低于200km/h。</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3.自动驾驶系统技术参数</w:t>
            </w:r>
          </w:p>
          <w:p>
            <w:pPr>
              <w:widowControl/>
              <w:jc w:val="left"/>
              <w:textAlignment w:val="center"/>
              <w:rPr>
                <w:rFonts w:ascii="仿宋" w:hAnsi="仿宋" w:eastAsia="仿宋" w:cs="仿宋"/>
                <w:color w:val="000000"/>
                <w:kern w:val="0"/>
                <w:sz w:val="24"/>
              </w:rPr>
            </w:pPr>
            <w:r>
              <w:rPr>
                <w:rFonts w:hint="eastAsia" w:ascii="仿宋" w:hAnsi="仿宋" w:eastAsia="仿宋" w:cs="仿宋"/>
                <w:sz w:val="24"/>
              </w:rPr>
              <w:t>▲</w:t>
            </w:r>
            <w:r>
              <w:rPr>
                <w:rFonts w:hint="eastAsia" w:ascii="仿宋" w:hAnsi="仿宋" w:eastAsia="仿宋" w:cs="仿宋"/>
                <w:color w:val="000000"/>
                <w:kern w:val="0"/>
                <w:sz w:val="24"/>
              </w:rPr>
              <w:t>3.1 自主行驶：车辆应具备自动驾驶功能。</w:t>
            </w:r>
            <w:r>
              <w:rPr>
                <w:rFonts w:hint="eastAsia" w:ascii="仿宋" w:hAnsi="仿宋" w:eastAsia="仿宋" w:cs="仿宋"/>
                <w:b/>
                <w:bCs/>
                <w:color w:val="000000"/>
                <w:kern w:val="0"/>
                <w:sz w:val="24"/>
              </w:rPr>
              <w:t>（提供车辆自动驾驶直线行驶与转向行驶过程的截图）</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 智能停障：车辆在自动驾驶模式下，实现对行驶区域内部及周边的动静态障碍物的探测和检测，通过反馈控制实现车辆的停障。</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 智能避障：车辆在自动驾驶模式下，实现对行驶区域内部及周边的动静态障碍物的探测和检测，通过反馈控制实现车辆的避障。</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3.4 车道线检测和车道保持：完成前视摄像头的标定及车道线识别参数调节，实现车辆前方车道线的检测和车道保持。</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3.5 地图录制：驾驶车辆并使用组合导航系统对地图信息进行采集。</w:t>
            </w:r>
          </w:p>
          <w:p>
            <w:pPr>
              <w:widowControl/>
              <w:jc w:val="left"/>
              <w:textAlignment w:val="center"/>
              <w:rPr>
                <w:rFonts w:ascii="仿宋" w:hAnsi="仿宋" w:eastAsia="仿宋" w:cs="仿宋"/>
                <w:b/>
                <w:bCs/>
                <w:kern w:val="0"/>
                <w:sz w:val="24"/>
              </w:rPr>
            </w:pPr>
            <w:r>
              <w:rPr>
                <w:rFonts w:hint="eastAsia" w:ascii="仿宋" w:hAnsi="仿宋" w:eastAsia="仿宋" w:cs="仿宋"/>
                <w:sz w:val="24"/>
              </w:rPr>
              <w:t>▲</w:t>
            </w:r>
            <w:r>
              <w:rPr>
                <w:rFonts w:hint="eastAsia" w:ascii="仿宋" w:hAnsi="仿宋" w:eastAsia="仿宋" w:cs="仿宋"/>
                <w:color w:val="000000"/>
                <w:kern w:val="0"/>
                <w:sz w:val="24"/>
              </w:rPr>
              <w:t>3.6 地图拼接：对录制的分段地图进行拼接处理，</w:t>
            </w:r>
            <w:r>
              <w:rPr>
                <w:rFonts w:hint="eastAsia" w:ascii="仿宋" w:hAnsi="仿宋" w:eastAsia="仿宋" w:cs="仿宋"/>
                <w:kern w:val="0"/>
                <w:sz w:val="24"/>
              </w:rPr>
              <w:t>能生成自动驾驶地图。</w:t>
            </w:r>
            <w:r>
              <w:rPr>
                <w:rFonts w:hint="eastAsia" w:ascii="仿宋" w:hAnsi="仿宋" w:eastAsia="仿宋" w:cs="仿宋"/>
                <w:b/>
                <w:bCs/>
                <w:kern w:val="0"/>
                <w:sz w:val="24"/>
              </w:rPr>
              <w:t>（使用拼接地图进行自动驾驶过程的截图）</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3.7 地图查看：对拼接后的地图文件进行查看。</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3.8 交通信号灯识别：识别交通信号灯的信息并按交通规则行驶。</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3.9 交通标志牌识别：识别交通标志牌的信息并按交通规则行驶。</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3.10 平台控制：解析VIN码，完成平台、实训车和交通信号灯之间的连通。</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3.11 组合导航标定：针对组合导航天线位置与所在车辆位置进行参数标定。</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3.12 组合导航数据读取与显示：使用串口工具读取组合导航信息并进行经纬度信息的可视化展示。</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3.13 模式切换：支持人工模式和自动驾驶模式的自由切换。</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3.14 紧急制动：车辆制动和遥控制动。</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3.15 底盘</w:t>
            </w:r>
            <w:r>
              <w:rPr>
                <w:rFonts w:hint="eastAsia" w:ascii="仿宋" w:hAnsi="仿宋" w:eastAsia="仿宋" w:cs="仿宋"/>
                <w:sz w:val="24"/>
              </w:rPr>
              <w:t>CAN</w:t>
            </w:r>
            <w:r>
              <w:rPr>
                <w:rFonts w:hint="eastAsia" w:ascii="仿宋" w:hAnsi="仿宋" w:eastAsia="仿宋" w:cs="仿宋"/>
                <w:color w:val="000000"/>
                <w:kern w:val="0"/>
                <w:sz w:val="24"/>
              </w:rPr>
              <w:t>数据读取、解析与控制。</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3.16 V2X：车联网应用平台与车辆通讯，实现车辆控制。</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3.17 控制执行机构相关参数的调试、设定与读取：将控制执行</w:t>
            </w:r>
            <w:r>
              <w:rPr>
                <w:rFonts w:hint="eastAsia" w:ascii="仿宋" w:hAnsi="仿宋" w:eastAsia="仿宋" w:cs="仿宋"/>
                <w:kern w:val="0"/>
                <w:sz w:val="24"/>
              </w:rPr>
              <w:t>机构写成配置文件，参数至少包含最小停车距离、预瞄距离。</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3.18 传感器联合标定：支持激光雷达、毫米波雷达与摄像头的联合标定与数据融合。</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4.智能驾驶关键系统套件技术参数</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4.1 激光雷达-1</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4.1.1 通道数：≥32通道</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4.1.2 测距方式：脉冲式</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4.1.3 激光波段：≤1000nm</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4.1.4 激光等级：Class 1</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4.1.5 测量范围：100m～200m</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4.1.6 测距精度：高于±3cm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4.1.7 单回波/双回波数据速率：65万点/秒（130万点/秒）</w:t>
            </w:r>
          </w:p>
          <w:p>
            <w:pPr>
              <w:widowControl/>
              <w:jc w:val="left"/>
              <w:textAlignment w:val="center"/>
              <w:rPr>
                <w:rFonts w:ascii="仿宋" w:hAnsi="仿宋" w:eastAsia="仿宋" w:cs="仿宋"/>
                <w:sz w:val="24"/>
              </w:rPr>
            </w:pPr>
            <w:r>
              <w:rPr>
                <w:rFonts w:hint="eastAsia" w:ascii="仿宋" w:hAnsi="仿宋" w:eastAsia="仿宋" w:cs="仿宋"/>
                <w:sz w:val="24"/>
              </w:rPr>
              <w:t>4.1.8 视场角：-16°～15°（垂直）、360°（水平）垂直角度分辨率：均匀1°</w:t>
            </w:r>
          </w:p>
          <w:p>
            <w:pPr>
              <w:widowControl/>
              <w:jc w:val="left"/>
              <w:textAlignment w:val="center"/>
              <w:rPr>
                <w:rFonts w:ascii="仿宋" w:hAnsi="仿宋" w:eastAsia="仿宋" w:cs="仿宋"/>
                <w:sz w:val="24"/>
              </w:rPr>
            </w:pPr>
            <w:r>
              <w:rPr>
                <w:rFonts w:hint="eastAsia" w:ascii="仿宋" w:hAnsi="仿宋" w:eastAsia="仿宋" w:cs="仿宋"/>
                <w:sz w:val="24"/>
              </w:rPr>
              <w:t>4.1.9 水平角度分辨率：5Hz：0.09°、10Hz：0.18°、20Hz：0.36°</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4.1.10 扫描帧频：5Hz、10Hz、20Hz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4.1.11 通信接口：Etherent，PPS</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4.2 激光雷达-2</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 通道数：≥16通道</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4.2.2 激光波长：≤1000nm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4.2.3 激光等级：Class 1</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4.2.4 发射点频：≥300kHz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4.2.5 回波模式：单回波/双回波</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4.2.6 回波强度：8bit/12bit</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4.2.7 垂直视场：30°（15°～-15°）</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4.2.8 垂直角分辨率：2°</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4.2.9 水平视场角：360°</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4.2.10 水平角分辨率：0.09°～0.36°（5～20Hz）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4.2.11 最大测距：</w:t>
            </w:r>
            <w:r>
              <w:rPr>
                <w:rFonts w:hint="eastAsia" w:ascii="仿宋" w:hAnsi="仿宋" w:eastAsia="仿宋" w:cs="仿宋"/>
                <w:color w:val="000000"/>
                <w:kern w:val="0"/>
                <w:sz w:val="24"/>
              </w:rPr>
              <w:t>≥</w:t>
            </w:r>
            <w:r>
              <w:rPr>
                <w:rFonts w:hint="eastAsia" w:ascii="仿宋" w:hAnsi="仿宋" w:eastAsia="仿宋" w:cs="仿宋"/>
                <w:sz w:val="24"/>
              </w:rPr>
              <w:t>150m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4.2.12 测距精度：高于±3cm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4.2.13 扫描帧频：5～20Hz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4.2.14 工作电压：9～36VDC</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4.2.15 数量：≥2个</w:t>
            </w:r>
          </w:p>
          <w:p>
            <w:pPr>
              <w:widowControl/>
              <w:jc w:val="left"/>
              <w:textAlignment w:val="center"/>
              <w:rPr>
                <w:rFonts w:ascii="仿宋" w:hAnsi="仿宋" w:eastAsia="仿宋" w:cs="仿宋"/>
                <w:sz w:val="24"/>
              </w:rPr>
            </w:pPr>
            <w:r>
              <w:rPr>
                <w:rFonts w:hint="eastAsia" w:ascii="仿宋" w:hAnsi="仿宋" w:eastAsia="仿宋" w:cs="仿宋"/>
                <w:sz w:val="24"/>
              </w:rPr>
              <w:t>4.3 超声波雷达</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4.3.1 工作电压：DC 12V</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4.3.2 数量：≥8个</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4.3.3 探测距离：26cm～450cm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4.3.4 盲区距离：26cm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4.3.5 水平探测角度：90±10°</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4.3.6 垂直探测角度：45±5°</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4.3.7 工作温度：-40～85℃</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4.3.8 防护等级：IP67</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4.3.9 通信接口：CAN</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4.3.10 数量：≥8个</w:t>
            </w:r>
          </w:p>
          <w:p>
            <w:pPr>
              <w:widowControl/>
              <w:jc w:val="left"/>
              <w:textAlignment w:val="center"/>
              <w:rPr>
                <w:rFonts w:ascii="仿宋" w:hAnsi="仿宋" w:eastAsia="仿宋" w:cs="仿宋"/>
                <w:sz w:val="24"/>
              </w:rPr>
            </w:pPr>
            <w:r>
              <w:rPr>
                <w:rFonts w:hint="eastAsia" w:ascii="仿宋" w:hAnsi="仿宋" w:eastAsia="仿宋" w:cs="仿宋"/>
                <w:sz w:val="24"/>
              </w:rPr>
              <w:t>4.4 毫米波雷达</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 频率：≥70 GHz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4.4.2 封装尺寸：≤175×100×50mm (宽×高×厚)</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4.4.3 更新率：≥45 msec</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4.4.4 最大探测距离：250m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4.4.5 距离：0～250m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4.4.6 速度：-400km/h～+200km/h</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4.4.7 测速精度：高于±0.01km/h</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4.4.8 水平视场角：≥±5°（远距）</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4.4.9 垂直视场角：≥10°（远距）</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4.4.10 波束水平宽度：≥2°（远距）</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4.4.11 波速垂直宽度：≥10°（远距）</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 xml:space="preserve">4.4.12 输入电压：DC 8～16V </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4.4.13 消耗功率：≤10W</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4.4.14 联接头类型：USCAR 064-S-018-2-Z01</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4.4.15 发射功率：10dBm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4.4.16 工作温度：-40°C～85°C</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4.5 组合导航</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 姿态精度：高于0.2°（基线长度：≥2m）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4.5.2 航向精度：高于0.2°</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4.5.3 绝对位置精度：高于±2cm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4.5.4 RTK：1cm+1ppm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4.5.5 数据更新率：≥80Hz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4.5.6 初始化时间：≤2min</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4.5.7 陀螺类型：MEMS</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4.5.8 陀螺量程：±400 º/s</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4.5.9 陀螺零偏稳定性：6°/h</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4.5.10 加速度计量程：±8g</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4.5.11 加速度计零偏稳定性：0.02mg</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4.5.12 外部接口至少包括：3×RS232、1×RS422、1×CAN、1×Micro USB接口、2×GNSS天线接口、1×4G天线接口、1×电源接口</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4.5.13 无线通信：</w:t>
            </w:r>
          </w:p>
          <w:p>
            <w:pPr>
              <w:widowControl/>
              <w:jc w:val="left"/>
              <w:textAlignment w:val="center"/>
              <w:rPr>
                <w:rFonts w:ascii="仿宋" w:hAnsi="仿宋" w:eastAsia="仿宋" w:cs="仿宋"/>
                <w:sz w:val="24"/>
              </w:rPr>
            </w:pPr>
            <w:r>
              <w:rPr>
                <w:rFonts w:hint="eastAsia" w:ascii="仿宋" w:hAnsi="仿宋" w:eastAsia="仿宋" w:cs="仿宋"/>
                <w:sz w:val="24"/>
              </w:rPr>
              <w:t>WIFI：802.11b/g/n </w:t>
            </w:r>
          </w:p>
          <w:p>
            <w:pPr>
              <w:widowControl/>
              <w:jc w:val="left"/>
              <w:textAlignment w:val="center"/>
              <w:rPr>
                <w:rFonts w:ascii="仿宋" w:hAnsi="仿宋" w:eastAsia="仿宋" w:cs="仿宋"/>
                <w:sz w:val="24"/>
              </w:rPr>
            </w:pPr>
            <w:r>
              <w:rPr>
                <w:rFonts w:hint="eastAsia" w:ascii="仿宋" w:hAnsi="仿宋" w:eastAsia="仿宋" w:cs="仿宋"/>
                <w:sz w:val="24"/>
              </w:rPr>
              <w:t>4G：</w:t>
            </w:r>
          </w:p>
          <w:p>
            <w:pPr>
              <w:widowControl/>
              <w:jc w:val="left"/>
              <w:textAlignment w:val="center"/>
              <w:rPr>
                <w:rFonts w:ascii="仿宋" w:hAnsi="仿宋" w:eastAsia="仿宋" w:cs="仿宋"/>
                <w:sz w:val="24"/>
              </w:rPr>
            </w:pPr>
            <w:r>
              <w:rPr>
                <w:rFonts w:hint="eastAsia" w:ascii="仿宋" w:hAnsi="仿宋" w:eastAsia="仿宋" w:cs="仿宋"/>
                <w:sz w:val="24"/>
              </w:rPr>
              <w:t>GSM/GPRS/EDGE 900/1800MHz</w:t>
            </w:r>
          </w:p>
          <w:p>
            <w:pPr>
              <w:widowControl/>
              <w:jc w:val="left"/>
              <w:textAlignment w:val="center"/>
              <w:rPr>
                <w:rFonts w:ascii="仿宋" w:hAnsi="仿宋" w:eastAsia="仿宋" w:cs="仿宋"/>
                <w:sz w:val="24"/>
              </w:rPr>
            </w:pPr>
            <w:r>
              <w:rPr>
                <w:rFonts w:hint="eastAsia" w:ascii="仿宋" w:hAnsi="仿宋" w:eastAsia="仿宋" w:cs="仿宋"/>
                <w:sz w:val="24"/>
              </w:rPr>
              <w:t>UMTS/HSPA+：850/900/2100MHzLTE：800/1800/2600MHz</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4.5.14 工作温度：-40°C～+75°C</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4.5.15 存储温度：-40°C～+85°C</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4.5.16 湿度：95%无冷凝</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4.5.17 防护等级：IP67</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4.5.18 振动：MIL-STD-810G（20g）</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4.5.19 冲击：IEC-60028-2-27（10g）</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4.5.20 输入电压：9～32V DC（标准适配12V DC）</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4.5.21 功耗：≤5W</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4.5.22 物理尺寸：≤200×150×60mm</w:t>
            </w:r>
          </w:p>
          <w:p>
            <w:pPr>
              <w:widowControl/>
              <w:jc w:val="left"/>
              <w:textAlignment w:val="center"/>
              <w:rPr>
                <w:rFonts w:ascii="仿宋" w:hAnsi="仿宋" w:eastAsia="仿宋" w:cs="仿宋"/>
                <w:sz w:val="24"/>
              </w:rPr>
            </w:pPr>
            <w:r>
              <w:rPr>
                <w:rFonts w:hint="eastAsia" w:ascii="仿宋" w:hAnsi="仿宋" w:eastAsia="仿宋" w:cs="仿宋"/>
                <w:sz w:val="24"/>
              </w:rPr>
              <w:t>4.6单目相机</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4.6.1 水平视场角：≥80°</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4.6.2 垂直视场角：≥40°</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4.6.3 光圈：≤2</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4.6.4 有效焦距：≤3mm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4.6.5 防水等级：IP67</w:t>
            </w:r>
          </w:p>
          <w:p>
            <w:pPr>
              <w:widowControl/>
              <w:jc w:val="left"/>
              <w:textAlignment w:val="center"/>
              <w:rPr>
                <w:rFonts w:ascii="仿宋" w:hAnsi="仿宋" w:eastAsia="仿宋" w:cs="仿宋"/>
                <w:sz w:val="24"/>
              </w:rPr>
            </w:pPr>
            <w:r>
              <w:rPr>
                <w:rFonts w:hint="eastAsia" w:ascii="仿宋" w:hAnsi="仿宋" w:eastAsia="仿宋" w:cs="仿宋"/>
                <w:sz w:val="24"/>
              </w:rPr>
              <w:t>4.7 视觉传感器</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4.7.1 镜头类型：鱼眼</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4.7.2 感光片：IMX291(1/2.8 inch)</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4.7.3 有效像素：1920×1080</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4.7.4 镜头尺寸：1/2.8 inch</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4.7.5像素尺寸：≥12mm×9mm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4.7.6 Image area：≥8mm×6mm</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4.7.7 输出图像格式：MJPEG/YUV2（YUYV）</w:t>
            </w:r>
          </w:p>
          <w:p>
            <w:pPr>
              <w:widowControl/>
              <w:jc w:val="left"/>
              <w:textAlignment w:val="center"/>
              <w:rPr>
                <w:rFonts w:ascii="仿宋" w:hAnsi="仿宋" w:eastAsia="仿宋" w:cs="仿宋"/>
                <w:sz w:val="24"/>
              </w:rPr>
            </w:pPr>
            <w:r>
              <w:rPr>
                <w:rFonts w:hint="eastAsia" w:ascii="仿宋" w:hAnsi="仿宋" w:eastAsia="仿宋" w:cs="仿宋"/>
                <w:sz w:val="24"/>
              </w:rPr>
              <w:t>4.7.8 支持的分辨率和帧率：1920×1080p/60帧/YUV/MJPEG、1280×720P/60帧/YUV/MJPEG、640×480p/60帧/YUV/MJPEG</w:t>
            </w:r>
          </w:p>
          <w:p>
            <w:pPr>
              <w:widowControl/>
              <w:jc w:val="left"/>
              <w:textAlignment w:val="center"/>
              <w:rPr>
                <w:rFonts w:ascii="仿宋" w:hAnsi="仿宋" w:eastAsia="仿宋" w:cs="仿宋"/>
                <w:sz w:val="24"/>
              </w:rPr>
            </w:pPr>
            <w:r>
              <w:rPr>
                <w:rFonts w:hint="eastAsia" w:ascii="仿宋" w:hAnsi="仿宋" w:eastAsia="仿宋" w:cs="仿宋"/>
                <w:sz w:val="24"/>
              </w:rPr>
              <w:t>4.7.9 对焦：固定</w:t>
            </w:r>
          </w:p>
          <w:p>
            <w:pPr>
              <w:widowControl/>
              <w:jc w:val="left"/>
              <w:textAlignment w:val="center"/>
              <w:rPr>
                <w:rFonts w:ascii="仿宋" w:hAnsi="仿宋" w:eastAsia="仿宋" w:cs="仿宋"/>
                <w:sz w:val="24"/>
              </w:rPr>
            </w:pPr>
            <w:r>
              <w:rPr>
                <w:rFonts w:hint="eastAsia" w:ascii="仿宋" w:hAnsi="仿宋" w:eastAsia="仿宋" w:cs="仿宋"/>
                <w:sz w:val="24"/>
              </w:rPr>
              <w:t>4.8 处理器</w:t>
            </w:r>
          </w:p>
          <w:p>
            <w:pPr>
              <w:widowControl/>
              <w:jc w:val="left"/>
              <w:textAlignment w:val="center"/>
              <w:rPr>
                <w:rFonts w:ascii="仿宋" w:hAnsi="仿宋" w:eastAsia="仿宋" w:cs="仿宋"/>
                <w:sz w:val="24"/>
              </w:rPr>
            </w:pPr>
            <w:r>
              <w:rPr>
                <w:rFonts w:hint="eastAsia" w:ascii="仿宋" w:hAnsi="仿宋" w:eastAsia="仿宋" w:cs="仿宋"/>
                <w:sz w:val="24"/>
              </w:rPr>
              <w:t>4.8.1 AI计算能力：≥200T OPS</w:t>
            </w:r>
          </w:p>
          <w:p>
            <w:pPr>
              <w:widowControl/>
              <w:jc w:val="left"/>
              <w:textAlignment w:val="center"/>
              <w:rPr>
                <w:rFonts w:ascii="仿宋" w:hAnsi="仿宋" w:eastAsia="仿宋" w:cs="仿宋"/>
                <w:sz w:val="24"/>
              </w:rPr>
            </w:pPr>
            <w:r>
              <w:rPr>
                <w:rFonts w:hint="eastAsia" w:ascii="仿宋" w:hAnsi="仿宋" w:eastAsia="仿宋" w:cs="仿宋"/>
                <w:sz w:val="24"/>
              </w:rPr>
              <w:t>4.8.2 内存：≥32GB (满足256-bit LPDDR5标准)</w:t>
            </w:r>
          </w:p>
          <w:p>
            <w:pPr>
              <w:widowControl/>
              <w:jc w:val="left"/>
              <w:textAlignment w:val="center"/>
              <w:rPr>
                <w:rFonts w:ascii="仿宋" w:hAnsi="仿宋" w:eastAsia="仿宋" w:cs="仿宋"/>
                <w:sz w:val="24"/>
              </w:rPr>
            </w:pPr>
            <w:r>
              <w:rPr>
                <w:rFonts w:hint="eastAsia" w:ascii="仿宋" w:hAnsi="仿宋" w:eastAsia="仿宋" w:cs="仿宋"/>
                <w:sz w:val="24"/>
              </w:rPr>
              <w:t>4.8.3 DLA加速：至少搭载2个NVDLA v2.0引擎。</w:t>
            </w:r>
          </w:p>
          <w:p>
            <w:pPr>
              <w:widowControl/>
              <w:jc w:val="left"/>
              <w:textAlignment w:val="center"/>
              <w:rPr>
                <w:rFonts w:ascii="仿宋" w:hAnsi="仿宋" w:eastAsia="仿宋" w:cs="仿宋"/>
                <w:sz w:val="24"/>
              </w:rPr>
            </w:pPr>
            <w:r>
              <w:rPr>
                <w:rFonts w:hint="eastAsia" w:ascii="仿宋" w:hAnsi="仿宋" w:eastAsia="仿宋" w:cs="仿宋"/>
                <w:sz w:val="24"/>
              </w:rPr>
              <w:t xml:space="preserve">4.8.4 存储：内置≥64GB eMMC 5.1存储器 </w:t>
            </w:r>
          </w:p>
          <w:p>
            <w:pPr>
              <w:widowControl/>
              <w:jc w:val="left"/>
              <w:textAlignment w:val="center"/>
              <w:rPr>
                <w:rFonts w:ascii="仿宋" w:hAnsi="仿宋" w:eastAsia="仿宋" w:cs="仿宋"/>
                <w:sz w:val="24"/>
              </w:rPr>
            </w:pPr>
            <w:r>
              <w:rPr>
                <w:rFonts w:hint="eastAsia" w:ascii="仿宋" w:hAnsi="仿宋" w:eastAsia="仿宋" w:cs="仿宋"/>
                <w:sz w:val="24"/>
              </w:rPr>
              <w:t xml:space="preserve">4.8.5 CSI相机：支持16条MIPI CSI-2通道 </w:t>
            </w:r>
          </w:p>
          <w:p>
            <w:pPr>
              <w:widowControl/>
              <w:ind w:left="425" w:hanging="425"/>
              <w:jc w:val="left"/>
              <w:textAlignment w:val="center"/>
              <w:rPr>
                <w:rFonts w:ascii="仿宋" w:hAnsi="仿宋" w:eastAsia="仿宋" w:cs="仿宋"/>
                <w:sz w:val="24"/>
              </w:rPr>
            </w:pPr>
            <w:r>
              <w:rPr>
                <w:rFonts w:hint="eastAsia" w:ascii="仿宋" w:hAnsi="仿宋" w:eastAsia="仿宋" w:cs="仿宋"/>
                <w:sz w:val="24"/>
              </w:rPr>
              <w:t xml:space="preserve">4.8.6 PCIe：具有x16 PCIe插槽，支持较低的x8 PCIe </w:t>
            </w:r>
          </w:p>
          <w:p>
            <w:pPr>
              <w:widowControl/>
              <w:jc w:val="left"/>
              <w:textAlignment w:val="center"/>
              <w:rPr>
                <w:rFonts w:ascii="仿宋" w:hAnsi="仿宋" w:eastAsia="仿宋" w:cs="仿宋"/>
                <w:sz w:val="24"/>
              </w:rPr>
            </w:pPr>
            <w:r>
              <w:rPr>
                <w:rFonts w:hint="eastAsia" w:ascii="仿宋" w:hAnsi="仿宋" w:eastAsia="仿宋" w:cs="仿宋"/>
                <w:sz w:val="24"/>
              </w:rPr>
              <w:t>4.8.7 其他接口：</w:t>
            </w:r>
          </w:p>
          <w:p>
            <w:pPr>
              <w:pStyle w:val="2"/>
              <w:rPr>
                <w:rFonts w:ascii="仿宋" w:hAnsi="仿宋" w:eastAsia="仿宋" w:cs="仿宋"/>
                <w:sz w:val="24"/>
              </w:rPr>
            </w:pPr>
            <w:r>
              <w:rPr>
                <w:rFonts w:hint="eastAsia" w:ascii="仿宋" w:hAnsi="仿宋" w:eastAsia="仿宋" w:cs="仿宋"/>
                <w:sz w:val="24"/>
              </w:rPr>
              <w:t>5×CAN FD、1×Debug（RS232）、3×RS232，2×RS485/RS422、1×SYNC_IN（0-12V）、1×SYNC_OUT（3.3V）、1×SYNC_PPS，具有直流电源插孔，具有电源、强制恢复和重置按钮</w:t>
            </w:r>
          </w:p>
          <w:p>
            <w:pPr>
              <w:widowControl/>
              <w:jc w:val="left"/>
              <w:textAlignment w:val="center"/>
              <w:rPr>
                <w:rFonts w:ascii="仿宋" w:hAnsi="仿宋" w:eastAsia="仿宋" w:cs="仿宋"/>
                <w:sz w:val="24"/>
              </w:rPr>
            </w:pPr>
            <w:r>
              <w:rPr>
                <w:rFonts w:hint="eastAsia" w:ascii="仿宋" w:hAnsi="仿宋" w:eastAsia="仿宋" w:cs="仿宋"/>
                <w:sz w:val="24"/>
              </w:rPr>
              <w:t>4.9 路由器</w:t>
            </w:r>
          </w:p>
          <w:p>
            <w:pPr>
              <w:widowControl/>
              <w:jc w:val="left"/>
              <w:textAlignment w:val="center"/>
              <w:rPr>
                <w:rFonts w:ascii="仿宋" w:hAnsi="仿宋" w:eastAsia="仿宋" w:cs="仿宋"/>
                <w:sz w:val="24"/>
              </w:rPr>
            </w:pPr>
            <w:r>
              <w:rPr>
                <w:rFonts w:hint="eastAsia" w:ascii="仿宋" w:hAnsi="仿宋" w:eastAsia="仿宋" w:cs="仿宋"/>
                <w:sz w:val="24"/>
              </w:rPr>
              <w:t>4.9.1 支持频段：4G全网通</w:t>
            </w:r>
          </w:p>
          <w:p>
            <w:pPr>
              <w:widowControl/>
              <w:jc w:val="left"/>
              <w:textAlignment w:val="center"/>
              <w:rPr>
                <w:rFonts w:ascii="仿宋" w:hAnsi="仿宋" w:eastAsia="仿宋" w:cs="仿宋"/>
                <w:sz w:val="24"/>
              </w:rPr>
            </w:pPr>
            <w:r>
              <w:rPr>
                <w:rFonts w:hint="eastAsia" w:ascii="仿宋" w:hAnsi="仿宋" w:eastAsia="仿宋" w:cs="仿宋"/>
                <w:sz w:val="24"/>
              </w:rPr>
              <w:t>4.9.2 天线：双天线</w:t>
            </w:r>
          </w:p>
          <w:p>
            <w:pPr>
              <w:widowControl/>
              <w:jc w:val="left"/>
              <w:textAlignment w:val="center"/>
              <w:rPr>
                <w:rFonts w:ascii="仿宋" w:hAnsi="仿宋" w:eastAsia="仿宋" w:cs="仿宋"/>
                <w:sz w:val="24"/>
              </w:rPr>
            </w:pPr>
            <w:r>
              <w:rPr>
                <w:rFonts w:hint="eastAsia" w:ascii="仿宋" w:hAnsi="仿宋" w:eastAsia="仿宋" w:cs="仿宋"/>
                <w:sz w:val="24"/>
              </w:rPr>
              <w:t>4.9.3 网络接口：4个自适应 100/1000 Mbps LAN 口</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4.9.4 工作温度：15°～85°</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4.9.5 工作湿度：10%-85%</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4.9.6 供电：12V</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4.9.7 无线网络标准：2.4GHz/5GHz 双频</w:t>
            </w:r>
          </w:p>
          <w:p>
            <w:pPr>
              <w:widowControl/>
              <w:adjustRightInd w:val="0"/>
              <w:snapToGrid w:val="0"/>
              <w:jc w:val="left"/>
              <w:textAlignment w:val="center"/>
              <w:rPr>
                <w:rFonts w:ascii="仿宋" w:hAnsi="仿宋" w:eastAsia="仿宋" w:cs="仿宋"/>
                <w:sz w:val="24"/>
              </w:rPr>
            </w:pPr>
            <w:r>
              <w:rPr>
                <w:rFonts w:hint="eastAsia" w:ascii="仿宋" w:hAnsi="仿宋" w:eastAsia="仿宋" w:cs="仿宋"/>
                <w:sz w:val="24"/>
              </w:rPr>
              <w:t>4.10 交换机</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4.10.1 端口数量：≥8个</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4.10.2 速度：千兆以上</w:t>
            </w:r>
          </w:p>
          <w:p>
            <w:pPr>
              <w:widowControl/>
              <w:adjustRightInd w:val="0"/>
              <w:snapToGrid w:val="0"/>
              <w:ind w:left="425" w:hanging="425"/>
              <w:jc w:val="left"/>
              <w:textAlignment w:val="center"/>
              <w:rPr>
                <w:rFonts w:ascii="仿宋" w:hAnsi="仿宋" w:eastAsia="仿宋" w:cs="仿宋"/>
                <w:sz w:val="24"/>
              </w:rPr>
            </w:pPr>
            <w:r>
              <w:rPr>
                <w:rFonts w:hint="eastAsia" w:ascii="仿宋" w:hAnsi="仿宋" w:eastAsia="仿宋" w:cs="仿宋"/>
                <w:sz w:val="24"/>
              </w:rPr>
              <w:t>4.10.3 支持以太网</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2</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智能网联汽车虚拟仿真测试平台</w:t>
            </w:r>
          </w:p>
        </w:tc>
        <w:tc>
          <w:tcPr>
            <w:tcW w:w="6376" w:type="dxa"/>
            <w:vAlign w:val="center"/>
          </w:tcPr>
          <w:p>
            <w:pPr>
              <w:autoSpaceDE w:val="0"/>
              <w:autoSpaceDN w:val="0"/>
              <w:rPr>
                <w:rFonts w:ascii="仿宋" w:hAnsi="仿宋" w:eastAsia="仿宋" w:cs="仿宋"/>
                <w:sz w:val="24"/>
              </w:rPr>
            </w:pPr>
            <w:r>
              <w:rPr>
                <w:rFonts w:hint="eastAsia" w:ascii="仿宋" w:hAnsi="仿宋" w:eastAsia="仿宋" w:cs="仿宋"/>
                <w:sz w:val="24"/>
              </w:rPr>
              <w:t>★1.智能网联汽车虚拟仿真测试平台应搭配智能网联汽车技术平台使用。</w:t>
            </w:r>
            <w:r>
              <w:rPr>
                <w:rFonts w:hint="eastAsia" w:ascii="仿宋" w:hAnsi="仿宋" w:eastAsia="仿宋" w:cs="仿宋"/>
                <w:b/>
                <w:bCs/>
                <w:sz w:val="24"/>
              </w:rPr>
              <w:t>（投标时需提供承诺书）</w:t>
            </w:r>
          </w:p>
          <w:p>
            <w:pPr>
              <w:autoSpaceDE w:val="0"/>
              <w:autoSpaceDN w:val="0"/>
              <w:rPr>
                <w:rFonts w:ascii="仿宋" w:hAnsi="仿宋" w:eastAsia="仿宋" w:cs="仿宋"/>
                <w:sz w:val="24"/>
              </w:rPr>
            </w:pPr>
            <w:r>
              <w:rPr>
                <w:rFonts w:hint="eastAsia" w:ascii="仿宋" w:hAnsi="仿宋" w:eastAsia="仿宋" w:cs="仿宋"/>
                <w:sz w:val="24"/>
              </w:rPr>
              <w:t>2.车辆传感器装调仿真模块技术参数</w:t>
            </w:r>
          </w:p>
          <w:p>
            <w:pPr>
              <w:autoSpaceDE w:val="0"/>
              <w:autoSpaceDN w:val="0"/>
              <w:rPr>
                <w:rFonts w:ascii="仿宋" w:hAnsi="仿宋" w:eastAsia="仿宋" w:cs="仿宋"/>
                <w:sz w:val="24"/>
              </w:rPr>
            </w:pPr>
            <w:r>
              <w:rPr>
                <w:rFonts w:hint="eastAsia" w:ascii="仿宋" w:hAnsi="仿宋" w:eastAsia="仿宋" w:cs="仿宋"/>
                <w:sz w:val="24"/>
              </w:rPr>
              <w:t>▲2.1 平台内置多款实车模型，设置不同传感器在车辆模型上的安装位置、角度/方向</w:t>
            </w:r>
            <w:r>
              <w:rPr>
                <w:rFonts w:hint="eastAsia" w:ascii="仿宋" w:hAnsi="仿宋" w:eastAsia="仿宋" w:cs="仿宋"/>
                <w:b/>
                <w:bCs/>
                <w:sz w:val="24"/>
              </w:rPr>
              <w:t>（投标时提供两款以上实车模型截图）</w:t>
            </w:r>
            <w:r>
              <w:rPr>
                <w:rFonts w:hint="eastAsia" w:ascii="仿宋" w:hAnsi="仿宋" w:eastAsia="仿宋" w:cs="仿宋"/>
                <w:sz w:val="24"/>
              </w:rPr>
              <w:t>；</w:t>
            </w:r>
          </w:p>
          <w:p>
            <w:pPr>
              <w:autoSpaceDE w:val="0"/>
              <w:autoSpaceDN w:val="0"/>
              <w:rPr>
                <w:rFonts w:ascii="仿宋" w:hAnsi="仿宋" w:eastAsia="仿宋" w:cs="仿宋"/>
                <w:sz w:val="24"/>
              </w:rPr>
            </w:pPr>
            <w:r>
              <w:rPr>
                <w:rFonts w:hint="eastAsia" w:ascii="仿宋" w:hAnsi="仿宋" w:eastAsia="仿宋" w:cs="仿宋"/>
                <w:sz w:val="24"/>
              </w:rPr>
              <w:t>2.2 能设置传感器水平及垂直视场范围，实时获取仿真模型中的传感器参数，并对需求参数进行实时在线修改；</w:t>
            </w:r>
          </w:p>
          <w:p>
            <w:pPr>
              <w:autoSpaceDE w:val="0"/>
              <w:autoSpaceDN w:val="0"/>
              <w:rPr>
                <w:rFonts w:ascii="仿宋" w:hAnsi="仿宋" w:eastAsia="仿宋" w:cs="仿宋"/>
                <w:sz w:val="24"/>
              </w:rPr>
            </w:pPr>
            <w:r>
              <w:rPr>
                <w:rFonts w:hint="eastAsia" w:ascii="仿宋" w:hAnsi="仿宋" w:eastAsia="仿宋" w:cs="仿宋"/>
                <w:sz w:val="24"/>
              </w:rPr>
              <w:t>2.3 具备对传感器不同层级仿真建模的能力，包括但不限于摄像头、激光雷达、毫米波雷达、惯性传感器、GNSS，采用传感器差异化的融合仿真，实现仿真精度和速度的平衡；</w:t>
            </w:r>
          </w:p>
          <w:p>
            <w:pPr>
              <w:autoSpaceDE w:val="0"/>
              <w:autoSpaceDN w:val="0"/>
              <w:rPr>
                <w:rFonts w:ascii="仿宋" w:hAnsi="仿宋" w:eastAsia="仿宋" w:cs="仿宋"/>
                <w:sz w:val="24"/>
              </w:rPr>
            </w:pPr>
            <w:r>
              <w:rPr>
                <w:rFonts w:hint="eastAsia" w:ascii="仿宋" w:hAnsi="仿宋" w:eastAsia="仿宋" w:cs="仿宋"/>
                <w:sz w:val="24"/>
              </w:rPr>
              <w:t>▲2.4 设置不同传感器在自动驾驶车辆模型上的安装位置与安装角度，能够设置传感器的视场范围</w:t>
            </w:r>
            <w:r>
              <w:rPr>
                <w:rFonts w:hint="eastAsia" w:ascii="仿宋" w:hAnsi="仿宋" w:eastAsia="仿宋" w:cs="仿宋"/>
                <w:b/>
                <w:bCs/>
                <w:sz w:val="24"/>
              </w:rPr>
              <w:t>（投标时提供功能截图不少于3张）</w:t>
            </w:r>
            <w:r>
              <w:rPr>
                <w:rFonts w:hint="eastAsia" w:ascii="仿宋" w:hAnsi="仿宋" w:eastAsia="仿宋" w:cs="仿宋"/>
                <w:sz w:val="24"/>
              </w:rPr>
              <w:t>；</w:t>
            </w:r>
          </w:p>
          <w:p>
            <w:pPr>
              <w:autoSpaceDE w:val="0"/>
              <w:autoSpaceDN w:val="0"/>
              <w:rPr>
                <w:rFonts w:ascii="仿宋" w:hAnsi="仿宋" w:eastAsia="仿宋" w:cs="仿宋"/>
                <w:sz w:val="24"/>
              </w:rPr>
            </w:pPr>
            <w:r>
              <w:rPr>
                <w:rFonts w:hint="eastAsia" w:ascii="仿宋" w:hAnsi="仿宋" w:eastAsia="仿宋" w:cs="仿宋"/>
                <w:sz w:val="24"/>
              </w:rPr>
              <w:t>2.5 能够同时仿真不同类型和不同数目的传感器；</w:t>
            </w:r>
          </w:p>
          <w:p>
            <w:pPr>
              <w:autoSpaceDE w:val="0"/>
              <w:autoSpaceDN w:val="0"/>
              <w:rPr>
                <w:rFonts w:ascii="仿宋" w:hAnsi="仿宋" w:eastAsia="仿宋" w:cs="仿宋"/>
                <w:sz w:val="24"/>
                <w:highlight w:val="green"/>
              </w:rPr>
            </w:pPr>
            <w:r>
              <w:rPr>
                <w:rFonts w:hint="eastAsia" w:ascii="仿宋" w:hAnsi="仿宋" w:eastAsia="仿宋" w:cs="仿宋"/>
                <w:sz w:val="24"/>
              </w:rPr>
              <w:t>2.6 能够实时获取仿真模型中传感器的参数，并对需求参数进行实时在线修改；</w:t>
            </w:r>
          </w:p>
          <w:p>
            <w:pPr>
              <w:autoSpaceDE w:val="0"/>
              <w:autoSpaceDN w:val="0"/>
              <w:rPr>
                <w:rFonts w:ascii="仿宋" w:hAnsi="仿宋" w:eastAsia="仿宋" w:cs="仿宋"/>
                <w:sz w:val="24"/>
              </w:rPr>
            </w:pPr>
            <w:r>
              <w:rPr>
                <w:rFonts w:hint="eastAsia" w:ascii="仿宋" w:hAnsi="仿宋" w:eastAsia="仿宋" w:cs="仿宋"/>
                <w:sz w:val="24"/>
              </w:rPr>
              <w:t>2.7 内置传感器仿真模块应具备功能：</w:t>
            </w:r>
          </w:p>
          <w:p>
            <w:pPr>
              <w:autoSpaceDE w:val="0"/>
              <w:autoSpaceDN w:val="0"/>
              <w:rPr>
                <w:rFonts w:ascii="仿宋" w:hAnsi="仿宋" w:eastAsia="仿宋" w:cs="仿宋"/>
                <w:sz w:val="24"/>
              </w:rPr>
            </w:pPr>
            <w:r>
              <w:rPr>
                <w:rFonts w:hint="eastAsia" w:ascii="仿宋" w:hAnsi="仿宋" w:eastAsia="仿宋" w:cs="仿宋"/>
                <w:sz w:val="24"/>
              </w:rPr>
              <w:t>2.7.1 传感器仿真模型：摄像头模型、激光雷达模型、毫米波雷达模型、定位模型</w:t>
            </w:r>
          </w:p>
          <w:p>
            <w:pPr>
              <w:autoSpaceDE w:val="0"/>
              <w:autoSpaceDN w:val="0"/>
              <w:rPr>
                <w:rFonts w:ascii="仿宋" w:hAnsi="仿宋" w:eastAsia="仿宋" w:cs="仿宋"/>
                <w:sz w:val="24"/>
              </w:rPr>
            </w:pPr>
            <w:r>
              <w:rPr>
                <w:rFonts w:hint="eastAsia" w:ascii="仿宋" w:hAnsi="仿宋" w:eastAsia="仿宋" w:cs="仿宋"/>
                <w:sz w:val="24"/>
              </w:rPr>
              <w:t>2.7.2 多传感器融合模型：两种或两种以上传感器融合模型</w:t>
            </w:r>
          </w:p>
          <w:p>
            <w:pPr>
              <w:autoSpaceDE w:val="0"/>
              <w:autoSpaceDN w:val="0"/>
              <w:rPr>
                <w:rFonts w:ascii="仿宋" w:hAnsi="仿宋" w:eastAsia="仿宋" w:cs="仿宋"/>
                <w:sz w:val="24"/>
              </w:rPr>
            </w:pPr>
            <w:r>
              <w:rPr>
                <w:rFonts w:hint="eastAsia" w:ascii="仿宋" w:hAnsi="仿宋" w:eastAsia="仿宋" w:cs="仿宋"/>
                <w:sz w:val="24"/>
              </w:rPr>
              <w:t>2.7.3 传感器安装数量：支持同时安装多个同种传感器和不同种传感器</w:t>
            </w:r>
          </w:p>
          <w:p>
            <w:pPr>
              <w:autoSpaceDE w:val="0"/>
              <w:autoSpaceDN w:val="0"/>
              <w:rPr>
                <w:rFonts w:ascii="仿宋" w:hAnsi="仿宋" w:eastAsia="仿宋" w:cs="仿宋"/>
                <w:sz w:val="24"/>
              </w:rPr>
            </w:pPr>
            <w:r>
              <w:rPr>
                <w:rFonts w:hint="eastAsia" w:ascii="仿宋" w:hAnsi="仿宋" w:eastAsia="仿宋" w:cs="仿宋"/>
                <w:sz w:val="24"/>
              </w:rPr>
              <w:t>2.7.4 设置传感器安装位置：位置x/y/z（cm）</w:t>
            </w:r>
          </w:p>
          <w:p>
            <w:pPr>
              <w:autoSpaceDE w:val="0"/>
              <w:autoSpaceDN w:val="0"/>
              <w:rPr>
                <w:rFonts w:ascii="仿宋" w:hAnsi="仿宋" w:eastAsia="仿宋" w:cs="仿宋"/>
                <w:sz w:val="24"/>
              </w:rPr>
            </w:pPr>
            <w:r>
              <w:rPr>
                <w:rFonts w:hint="eastAsia" w:ascii="仿宋" w:hAnsi="仿宋" w:eastAsia="仿宋" w:cs="仿宋"/>
                <w:sz w:val="24"/>
              </w:rPr>
              <w:t>2.7.5 设置传感器安装角度：方向x/y/z（deg）</w:t>
            </w:r>
          </w:p>
          <w:p>
            <w:pPr>
              <w:autoSpaceDE w:val="0"/>
              <w:autoSpaceDN w:val="0"/>
              <w:rPr>
                <w:rFonts w:ascii="仿宋" w:hAnsi="仿宋" w:eastAsia="仿宋" w:cs="仿宋"/>
                <w:sz w:val="24"/>
              </w:rPr>
            </w:pPr>
            <w:r>
              <w:rPr>
                <w:rFonts w:hint="eastAsia" w:ascii="仿宋" w:hAnsi="仿宋" w:eastAsia="仿宋" w:cs="仿宋"/>
                <w:sz w:val="24"/>
              </w:rPr>
              <w:t>2.7.6 设置传感器视场范围：摄像头水平/垂直分辨率、激光雷达垂直视场角及探测距离、毫米波雷达水平/垂直分辨率及探测范围、GPS经度/维度/高程</w:t>
            </w:r>
          </w:p>
          <w:p>
            <w:pPr>
              <w:autoSpaceDE w:val="0"/>
              <w:autoSpaceDN w:val="0"/>
              <w:rPr>
                <w:rFonts w:ascii="仿宋" w:hAnsi="仿宋" w:eastAsia="仿宋" w:cs="仿宋"/>
                <w:sz w:val="24"/>
              </w:rPr>
            </w:pPr>
            <w:r>
              <w:rPr>
                <w:rFonts w:hint="eastAsia" w:ascii="仿宋" w:hAnsi="仿宋" w:eastAsia="仿宋" w:cs="仿宋"/>
                <w:sz w:val="24"/>
              </w:rPr>
              <w:t>2.7.7 模型参数获取：获取传感器当前设置参数</w:t>
            </w:r>
          </w:p>
          <w:p>
            <w:pPr>
              <w:autoSpaceDE w:val="0"/>
              <w:autoSpaceDN w:val="0"/>
              <w:rPr>
                <w:rFonts w:ascii="仿宋" w:hAnsi="仿宋" w:eastAsia="仿宋" w:cs="仿宋"/>
                <w:sz w:val="24"/>
              </w:rPr>
            </w:pPr>
            <w:r>
              <w:rPr>
                <w:rFonts w:hint="eastAsia" w:ascii="仿宋" w:hAnsi="仿宋" w:eastAsia="仿宋" w:cs="仿宋"/>
                <w:sz w:val="24"/>
              </w:rPr>
              <w:t>2.7.8 模型参数修改：能够在线修改传感器默认参数</w:t>
            </w:r>
          </w:p>
          <w:p>
            <w:pPr>
              <w:autoSpaceDE w:val="0"/>
              <w:autoSpaceDN w:val="0"/>
              <w:rPr>
                <w:rFonts w:ascii="仿宋" w:hAnsi="仿宋" w:eastAsia="仿宋" w:cs="仿宋"/>
                <w:sz w:val="24"/>
              </w:rPr>
            </w:pPr>
            <w:r>
              <w:rPr>
                <w:rFonts w:hint="eastAsia" w:ascii="仿宋" w:hAnsi="仿宋" w:eastAsia="仿宋" w:cs="仿宋"/>
                <w:sz w:val="24"/>
              </w:rPr>
              <w:t>3.车辆动力学模型仿真模块技术参数</w:t>
            </w:r>
          </w:p>
          <w:p>
            <w:pPr>
              <w:autoSpaceDE w:val="0"/>
              <w:autoSpaceDN w:val="0"/>
              <w:rPr>
                <w:rFonts w:ascii="仿宋" w:hAnsi="仿宋" w:eastAsia="仿宋" w:cs="仿宋"/>
                <w:color w:val="000000"/>
                <w:kern w:val="0"/>
                <w:sz w:val="24"/>
              </w:rPr>
            </w:pPr>
            <w:r>
              <w:rPr>
                <w:rFonts w:hint="eastAsia" w:ascii="仿宋" w:hAnsi="仿宋" w:eastAsia="仿宋" w:cs="仿宋"/>
                <w:sz w:val="24"/>
              </w:rPr>
              <w:t xml:space="preserve">3.1 </w:t>
            </w:r>
            <w:r>
              <w:rPr>
                <w:rFonts w:hint="eastAsia" w:ascii="仿宋" w:hAnsi="仿宋" w:eastAsia="仿宋" w:cs="仿宋"/>
                <w:color w:val="000000"/>
                <w:kern w:val="0"/>
                <w:sz w:val="24"/>
              </w:rPr>
              <w:t>内置车辆动力学仿真模型，至少包括动力总成系统、车体系统、悬架系统、非线性轮胎模型以及转向系统、制动系统的建模应用；</w:t>
            </w:r>
          </w:p>
          <w:p>
            <w:pPr>
              <w:autoSpaceDE w:val="0"/>
              <w:autoSpaceDN w:val="0"/>
              <w:rPr>
                <w:rFonts w:ascii="仿宋" w:hAnsi="仿宋" w:eastAsia="仿宋" w:cs="仿宋"/>
                <w:color w:val="000000"/>
                <w:kern w:val="0"/>
                <w:sz w:val="24"/>
              </w:rPr>
            </w:pPr>
            <w:r>
              <w:rPr>
                <w:rFonts w:hint="eastAsia" w:ascii="仿宋" w:hAnsi="仿宋" w:eastAsia="仿宋" w:cs="仿宋"/>
                <w:sz w:val="24"/>
              </w:rPr>
              <w:t xml:space="preserve">3.2 </w:t>
            </w:r>
            <w:r>
              <w:rPr>
                <w:rFonts w:hint="eastAsia" w:ascii="仿宋" w:hAnsi="仿宋" w:eastAsia="仿宋" w:cs="仿宋"/>
                <w:color w:val="000000"/>
                <w:kern w:val="0"/>
                <w:sz w:val="24"/>
              </w:rPr>
              <w:t>能够对车辆基本参数、机械设置、转向设置、车辆设置、车辆输入、车轮设置进行相应参数的编辑配置；</w:t>
            </w:r>
          </w:p>
          <w:p>
            <w:pPr>
              <w:autoSpaceDE w:val="0"/>
              <w:autoSpaceDN w:val="0"/>
              <w:rPr>
                <w:rFonts w:ascii="仿宋" w:hAnsi="仿宋" w:eastAsia="仿宋" w:cs="仿宋"/>
                <w:color w:val="000000"/>
                <w:kern w:val="0"/>
                <w:sz w:val="24"/>
              </w:rPr>
            </w:pPr>
            <w:r>
              <w:rPr>
                <w:rFonts w:hint="eastAsia" w:ascii="仿宋" w:hAnsi="仿宋" w:eastAsia="仿宋" w:cs="仿宋"/>
                <w:sz w:val="24"/>
              </w:rPr>
              <w:t xml:space="preserve">3.3 </w:t>
            </w:r>
            <w:r>
              <w:rPr>
                <w:rFonts w:hint="eastAsia" w:ascii="仿宋" w:hAnsi="仿宋" w:eastAsia="仿宋" w:cs="仿宋"/>
                <w:color w:val="000000"/>
                <w:kern w:val="0"/>
                <w:sz w:val="24"/>
              </w:rPr>
              <w:t>支持对车辆簧上质量和簧下质量的运动学和动力学规律分析，支持结合仿真计算对制动、驱动和转向不同状态下的作用机理和影响规律进行分析进而确立各种模型类型；</w:t>
            </w:r>
          </w:p>
          <w:p>
            <w:pPr>
              <w:autoSpaceDE w:val="0"/>
              <w:autoSpaceDN w:val="0"/>
              <w:rPr>
                <w:rFonts w:ascii="仿宋" w:hAnsi="仿宋" w:eastAsia="仿宋" w:cs="仿宋"/>
                <w:color w:val="000000"/>
                <w:kern w:val="0"/>
                <w:sz w:val="24"/>
              </w:rPr>
            </w:pPr>
            <w:r>
              <w:rPr>
                <w:rFonts w:hint="eastAsia" w:ascii="仿宋" w:hAnsi="仿宋" w:eastAsia="仿宋" w:cs="仿宋"/>
                <w:sz w:val="24"/>
              </w:rPr>
              <w:t xml:space="preserve">3.4 </w:t>
            </w:r>
            <w:r>
              <w:rPr>
                <w:rFonts w:hint="eastAsia" w:ascii="仿宋" w:hAnsi="仿宋" w:eastAsia="仿宋" w:cs="仿宋"/>
                <w:color w:val="000000"/>
                <w:kern w:val="0"/>
                <w:sz w:val="24"/>
              </w:rPr>
              <w:t>支持通过台架测试与实车测试两方面的数据来对模型的具体参数进行赋值和调参；</w:t>
            </w:r>
          </w:p>
          <w:p>
            <w:pPr>
              <w:autoSpaceDE w:val="0"/>
              <w:autoSpaceDN w:val="0"/>
              <w:rPr>
                <w:rFonts w:ascii="仿宋" w:hAnsi="仿宋" w:eastAsia="仿宋" w:cs="仿宋"/>
                <w:color w:val="000000"/>
                <w:kern w:val="0"/>
                <w:sz w:val="24"/>
              </w:rPr>
            </w:pPr>
            <w:r>
              <w:rPr>
                <w:rFonts w:hint="eastAsia" w:ascii="仿宋" w:hAnsi="仿宋" w:eastAsia="仿宋" w:cs="仿宋"/>
                <w:sz w:val="24"/>
              </w:rPr>
              <w:t xml:space="preserve">3.5 </w:t>
            </w:r>
            <w:r>
              <w:rPr>
                <w:rFonts w:hint="eastAsia" w:ascii="仿宋" w:hAnsi="仿宋" w:eastAsia="仿宋" w:cs="仿宋"/>
                <w:color w:val="000000"/>
                <w:kern w:val="0"/>
                <w:sz w:val="24"/>
              </w:rPr>
              <w:t>支持加速、制动、转向参数调整。模型应能够输出车辆位移、速度、加速度动力学变量曲线，并能通过仿真动画实时显示车辆的横摆、俯仰、侧翻运动状态，能够正确表现车辆在紧急制动、高速转弯极限工况下的失稳响应</w:t>
            </w:r>
            <w:r>
              <w:rPr>
                <w:rFonts w:hint="eastAsia" w:ascii="仿宋" w:hAnsi="仿宋" w:eastAsia="仿宋" w:cs="仿宋"/>
                <w:b/>
                <w:bCs/>
                <w:sz w:val="24"/>
              </w:rPr>
              <w:t>（投标时提供仿真动画实时显示车辆的横摆或侧翻运动状态功能截图不少于3张）</w:t>
            </w:r>
            <w:r>
              <w:rPr>
                <w:rFonts w:hint="eastAsia" w:ascii="仿宋" w:hAnsi="仿宋" w:eastAsia="仿宋" w:cs="仿宋"/>
                <w:color w:val="000000"/>
                <w:kern w:val="0"/>
                <w:sz w:val="24"/>
              </w:rPr>
              <w:t>；</w:t>
            </w:r>
          </w:p>
          <w:p>
            <w:pPr>
              <w:autoSpaceDE w:val="0"/>
              <w:autoSpaceDN w:val="0"/>
              <w:jc w:val="left"/>
              <w:rPr>
                <w:rFonts w:ascii="仿宋" w:hAnsi="仿宋" w:eastAsia="仿宋" w:cs="仿宋"/>
                <w:sz w:val="24"/>
              </w:rPr>
            </w:pPr>
            <w:r>
              <w:rPr>
                <w:rFonts w:hint="eastAsia" w:ascii="仿宋" w:hAnsi="仿宋" w:eastAsia="仿宋" w:cs="仿宋"/>
                <w:sz w:val="24"/>
              </w:rPr>
              <w:t xml:space="preserve">3.6 </w:t>
            </w:r>
            <w:r>
              <w:rPr>
                <w:rFonts w:hint="eastAsia" w:ascii="仿宋" w:hAnsi="仿宋" w:eastAsia="仿宋" w:cs="仿宋"/>
                <w:color w:val="000000"/>
                <w:kern w:val="0"/>
                <w:sz w:val="24"/>
              </w:rPr>
              <w:t>支持外部控制输入，如UI界面、键盘、游戏手柄、驾驶模拟器等。</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1"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3</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智能网联汽车车联网监控平台</w:t>
            </w:r>
          </w:p>
        </w:tc>
        <w:tc>
          <w:tcPr>
            <w:tcW w:w="6376" w:type="dxa"/>
            <w:vAlign w:val="center"/>
          </w:tcPr>
          <w:p>
            <w:pPr>
              <w:rPr>
                <w:rFonts w:ascii="仿宋" w:hAnsi="仿宋" w:eastAsia="仿宋" w:cs="仿宋"/>
                <w:color w:val="000000"/>
                <w:kern w:val="0"/>
                <w:sz w:val="24"/>
              </w:rPr>
            </w:pPr>
            <w:r>
              <w:rPr>
                <w:rFonts w:hint="eastAsia" w:ascii="仿宋" w:hAnsi="仿宋" w:eastAsia="仿宋" w:cs="仿宋"/>
                <w:sz w:val="24"/>
              </w:rPr>
              <w:t>★1.智能网联汽车车联网监控平台应搭配智能网联汽车技术平台使用。</w:t>
            </w:r>
            <w:r>
              <w:rPr>
                <w:rFonts w:hint="eastAsia" w:ascii="仿宋" w:hAnsi="仿宋" w:eastAsia="仿宋" w:cs="仿宋"/>
                <w:b/>
                <w:bCs/>
                <w:sz w:val="24"/>
              </w:rPr>
              <w:t>（投标时需提供承诺书）</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平台应支持web端的显示；支持智能网联汽车状态信息的查看，包括VIN码、车速和激光雷达、毫米波雷达、相机传感器信息；支持智能网联汽车所在位置的实时显示；根据车辆VIN码进行登陆报文的生成，实现智能网联汽车的状态显示；支持对交通信号灯等设备绑定并显示交通信号灯状态；支持对车辆故障信息如组合导航状态异常、毫米波雷达等传感器状态异常等；支持智能网联汽车、交通信号灯、监控平台之间的通讯，实现三者间的联调控制。</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3.平台参数</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 平均页面处理时间：≤7秒；</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 容量和吞吐量：系统支持不少于100个用户的同时并发在线；</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 平台框架支持不少于100辆车并发；</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3.4 采用nginx作为反向代理，提高用户并发，并支持横向扩展；</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3.5 采用mysql数据库进行结构化数据存储；</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3.6 采用NoSql数据库redis进行非结构化数据存储；</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3.7 采用主流高并发框架Netty来处理车辆高并发通讯，实现更高性能的数据并发；</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3.8 采用websocket技术完成前端数据的实时推送；</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3.9 采用定时任务车辆数据进行数据统计；</w:t>
            </w:r>
          </w:p>
          <w:p>
            <w:pPr>
              <w:widowControl/>
              <w:jc w:val="left"/>
              <w:textAlignment w:val="center"/>
              <w:rPr>
                <w:rFonts w:ascii="仿宋" w:hAnsi="仿宋" w:eastAsia="仿宋" w:cs="仿宋"/>
                <w:sz w:val="24"/>
              </w:rPr>
            </w:pPr>
            <w:r>
              <w:rPr>
                <w:rFonts w:hint="eastAsia" w:ascii="仿宋" w:hAnsi="仿宋" w:eastAsia="仿宋" w:cs="仿宋"/>
                <w:color w:val="000000"/>
                <w:kern w:val="0"/>
                <w:sz w:val="24"/>
              </w:rPr>
              <w:t>3.10 服务器保持毫秒级车辆协议处理时间。</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4</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车联网应用平台</w:t>
            </w:r>
          </w:p>
        </w:tc>
        <w:tc>
          <w:tcPr>
            <w:tcW w:w="6376" w:type="dxa"/>
            <w:vAlign w:val="center"/>
          </w:tcPr>
          <w:p>
            <w:pPr>
              <w:rPr>
                <w:rFonts w:ascii="仿宋" w:hAnsi="仿宋" w:eastAsia="仿宋" w:cs="仿宋"/>
                <w:color w:val="000000"/>
                <w:kern w:val="0"/>
                <w:sz w:val="24"/>
              </w:rPr>
            </w:pPr>
            <w:r>
              <w:rPr>
                <w:rFonts w:hint="eastAsia" w:ascii="仿宋" w:hAnsi="仿宋" w:eastAsia="仿宋" w:cs="仿宋"/>
                <w:sz w:val="24"/>
              </w:rPr>
              <w:t>★1.车联网应用平台应搭配智能网联汽车技术平台使用。</w:t>
            </w:r>
            <w:r>
              <w:rPr>
                <w:rFonts w:hint="eastAsia" w:ascii="仿宋" w:hAnsi="仿宋" w:eastAsia="仿宋" w:cs="仿宋"/>
                <w:b/>
                <w:bCs/>
                <w:sz w:val="24"/>
              </w:rPr>
              <w:t>（投标时需提供承诺书）</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2.车路协同路侧系统由RSU路侧单元、MEC边缘计算单元、通讯单元和底座仪器仓组成。车路协同主要功能场景至少包路V2I路况信息广播、V2I红绿灯状态广播、V2N路况信息统计、V2N云端远程监控功能。</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3.产品参数</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 电池</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3.1.1 输出电压：12V</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3.1.2 输入电压：220V</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3.1.3 输出电流：≥5A</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3.1.4 USB接口输出电压：5V</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3.1.5 USB接口输出电流：2A</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3.1.6 循环次数：≥2000次</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3.1.7 工作温度：充电0～45℃，放电-20～60℃</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3.1.8 电芯：磷酸铁锂电芯</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3.1.9 容量：≥50AH</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 MEC边缘计算单元</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3.2.1 GPU: ≥128核</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3.2.2 系统：Ubuntu18.0</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3.2.3 内存：≥4GB</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3.2.4 摄像头：2×MIPI CSI-2 DPHY lanes</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3.2.5 显示：至少包含HDMI和DP各一个</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3.2.6 USB：USB 3.0数量2个以上</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3.2.7 扩展接口：GPIO，I2C，I2S，SPI，UART</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 V2X通讯单元</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3.3.1 工作温度：-20℃～70℃</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3.3.2 存储温度：-40～125℃</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3.3.3 工作湿度：5%～95% RH（无凝露）</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3.3.4 天线：UFL  3/4G全拼棒状天线</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3.3.5 通信接口：有线LAN口，RS232/RS485</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3.3.6 网口速率：10/100Mbps,Auto MDI/MDIX</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3.3.7 SIM/USIM卡：标准6针SIM卡接口，3V/1.8V SIM卡</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3.3.8 供电电压：DC 9-28V</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5</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智能网联汽车道路测试部分</w:t>
            </w:r>
          </w:p>
        </w:tc>
        <w:tc>
          <w:tcPr>
            <w:tcW w:w="6376" w:type="dxa"/>
            <w:vAlign w:val="center"/>
          </w:tcPr>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1.交通信号灯技术参数</w:t>
            </w:r>
          </w:p>
          <w:p>
            <w:pPr>
              <w:autoSpaceDE w:val="0"/>
              <w:autoSpaceDN w:val="0"/>
              <w:adjustRightInd w:val="0"/>
              <w:rPr>
                <w:rFonts w:ascii="仿宋" w:hAnsi="仿宋" w:eastAsia="仿宋" w:cs="仿宋"/>
                <w:sz w:val="24"/>
              </w:rPr>
            </w:pPr>
            <w:r>
              <w:rPr>
                <w:rFonts w:hint="eastAsia" w:ascii="仿宋" w:hAnsi="仿宋" w:eastAsia="仿宋" w:cs="仿宋"/>
                <w:sz w:val="24"/>
              </w:rPr>
              <w:t>1.1 三色，带有锁止脚轮移动方便，高度可调，充电式。</w:t>
            </w:r>
            <w:r>
              <w:rPr>
                <w:rFonts w:hint="eastAsia" w:ascii="仿宋" w:hAnsi="仿宋" w:eastAsia="仿宋" w:cs="仿宋"/>
                <w:b/>
                <w:bCs/>
                <w:sz w:val="24"/>
              </w:rPr>
              <w:t>（投标时提供实物图）</w:t>
            </w:r>
          </w:p>
          <w:p>
            <w:pPr>
              <w:autoSpaceDE w:val="0"/>
              <w:autoSpaceDN w:val="0"/>
              <w:adjustRightInd w:val="0"/>
              <w:rPr>
                <w:rFonts w:ascii="仿宋" w:hAnsi="仿宋" w:eastAsia="仿宋" w:cs="仿宋"/>
                <w:sz w:val="24"/>
              </w:rPr>
            </w:pPr>
            <w:r>
              <w:rPr>
                <w:rFonts w:hint="eastAsia" w:ascii="仿宋" w:hAnsi="仿宋" w:eastAsia="仿宋" w:cs="仿宋"/>
                <w:sz w:val="24"/>
              </w:rPr>
              <w:t>1.2 LED数量(pcs)：R：60 | Y：60 | G：60|红色指示数字：64 |绿色指示数字：64</w:t>
            </w:r>
          </w:p>
          <w:p>
            <w:pPr>
              <w:autoSpaceDE w:val="0"/>
              <w:autoSpaceDN w:val="0"/>
              <w:adjustRightInd w:val="0"/>
              <w:rPr>
                <w:rFonts w:ascii="仿宋" w:hAnsi="仿宋" w:eastAsia="仿宋" w:cs="仿宋"/>
                <w:sz w:val="24"/>
              </w:rPr>
            </w:pPr>
            <w:r>
              <w:rPr>
                <w:rFonts w:hint="eastAsia" w:ascii="仿宋" w:hAnsi="仿宋" w:eastAsia="仿宋" w:cs="仿宋"/>
                <w:sz w:val="24"/>
              </w:rPr>
              <w:t>1.3 单颗亮度(mcd)：R：≥3500|Y：≥4000 | G：≥7000 |红色指示数字：≥3500|绿色指示数字：≥7000</w:t>
            </w:r>
          </w:p>
          <w:p>
            <w:pPr>
              <w:autoSpaceDE w:val="0"/>
              <w:autoSpaceDN w:val="0"/>
              <w:adjustRightInd w:val="0"/>
              <w:rPr>
                <w:rFonts w:ascii="仿宋" w:hAnsi="仿宋" w:eastAsia="仿宋" w:cs="仿宋"/>
                <w:sz w:val="24"/>
              </w:rPr>
            </w:pPr>
            <w:r>
              <w:rPr>
                <w:rFonts w:hint="eastAsia" w:ascii="仿宋" w:hAnsi="仿宋" w:eastAsia="仿宋" w:cs="仿宋"/>
                <w:sz w:val="24"/>
              </w:rPr>
              <w:t>1.4 波长(nm)：R：625±5 |Y：590±5|G：505±2 |红色指示数字：625±5|绿色指示数字：505±2</w:t>
            </w:r>
          </w:p>
          <w:p>
            <w:pPr>
              <w:autoSpaceDE w:val="0"/>
              <w:autoSpaceDN w:val="0"/>
              <w:adjustRightInd w:val="0"/>
              <w:rPr>
                <w:rFonts w:ascii="仿宋" w:hAnsi="仿宋" w:eastAsia="仿宋" w:cs="仿宋"/>
                <w:sz w:val="24"/>
              </w:rPr>
            </w:pPr>
            <w:r>
              <w:rPr>
                <w:rFonts w:hint="eastAsia" w:ascii="仿宋" w:hAnsi="仿宋" w:eastAsia="仿宋" w:cs="仿宋"/>
                <w:sz w:val="24"/>
              </w:rPr>
              <w:t>1.5 有效视角(°)</w:t>
            </w:r>
          </w:p>
          <w:p>
            <w:pPr>
              <w:autoSpaceDE w:val="0"/>
              <w:autoSpaceDN w:val="0"/>
              <w:adjustRightInd w:val="0"/>
              <w:rPr>
                <w:rFonts w:ascii="仿宋" w:hAnsi="仿宋" w:eastAsia="仿宋" w:cs="仿宋"/>
                <w:sz w:val="24"/>
              </w:rPr>
            </w:pPr>
            <w:r>
              <w:rPr>
                <w:rFonts w:hint="eastAsia" w:ascii="仿宋" w:hAnsi="仿宋" w:eastAsia="仿宋" w:cs="仿宋"/>
                <w:sz w:val="24"/>
              </w:rPr>
              <w:t>1.5.1 左右R：≥30|Y：≥30|G：≥30|红色指示数字：≥30|绿色指示数字：≥30</w:t>
            </w:r>
          </w:p>
          <w:p>
            <w:pPr>
              <w:autoSpaceDE w:val="0"/>
              <w:autoSpaceDN w:val="0"/>
              <w:adjustRightInd w:val="0"/>
              <w:rPr>
                <w:rFonts w:ascii="仿宋" w:hAnsi="仿宋" w:eastAsia="仿宋" w:cs="仿宋"/>
                <w:sz w:val="24"/>
              </w:rPr>
            </w:pPr>
            <w:r>
              <w:rPr>
                <w:rFonts w:hint="eastAsia" w:ascii="仿宋" w:hAnsi="仿宋" w:eastAsia="仿宋" w:cs="仿宋"/>
                <w:sz w:val="24"/>
              </w:rPr>
              <w:t>1.5.2 向下R：≥30|Y：≥30|G：≥30|红色指示数字：≥30|绿色指示数字：≥30</w:t>
            </w:r>
          </w:p>
          <w:p>
            <w:pPr>
              <w:autoSpaceDE w:val="0"/>
              <w:autoSpaceDN w:val="0"/>
              <w:adjustRightInd w:val="0"/>
              <w:rPr>
                <w:rFonts w:ascii="仿宋" w:hAnsi="仿宋" w:eastAsia="仿宋" w:cs="仿宋"/>
                <w:sz w:val="24"/>
              </w:rPr>
            </w:pPr>
            <w:r>
              <w:rPr>
                <w:rFonts w:hint="eastAsia" w:ascii="仿宋" w:hAnsi="仿宋" w:eastAsia="仿宋" w:cs="仿宋"/>
                <w:sz w:val="24"/>
              </w:rPr>
              <w:t>1.6 额定功率(W)：R：≤9|Y：≤9| G：≤9|红色指示数字：≤8|绿色指示数字：≤10</w:t>
            </w:r>
          </w:p>
          <w:p>
            <w:pPr>
              <w:autoSpaceDE w:val="0"/>
              <w:autoSpaceDN w:val="0"/>
              <w:adjustRightInd w:val="0"/>
              <w:rPr>
                <w:rFonts w:ascii="仿宋" w:hAnsi="仿宋" w:eastAsia="仿宋" w:cs="仿宋"/>
                <w:sz w:val="24"/>
              </w:rPr>
            </w:pPr>
            <w:r>
              <w:rPr>
                <w:rFonts w:hint="eastAsia" w:ascii="仿宋" w:hAnsi="仿宋" w:eastAsia="仿宋" w:cs="仿宋"/>
                <w:sz w:val="24"/>
              </w:rPr>
              <w:t>1.7 工作温度(℃)：-40～+80</w:t>
            </w:r>
          </w:p>
          <w:p>
            <w:pPr>
              <w:autoSpaceDE w:val="0"/>
              <w:autoSpaceDN w:val="0"/>
              <w:adjustRightInd w:val="0"/>
              <w:rPr>
                <w:rFonts w:ascii="仿宋" w:hAnsi="仿宋" w:eastAsia="仿宋" w:cs="仿宋"/>
                <w:sz w:val="24"/>
              </w:rPr>
            </w:pPr>
            <w:r>
              <w:rPr>
                <w:rFonts w:hint="eastAsia" w:ascii="仿宋" w:hAnsi="仿宋" w:eastAsia="仿宋" w:cs="仿宋"/>
                <w:sz w:val="24"/>
              </w:rPr>
              <w:t>1.8 工作电压：AC85V～265V，DC12～24V，60HZ/50HZ</w:t>
            </w:r>
          </w:p>
          <w:p>
            <w:pPr>
              <w:autoSpaceDE w:val="0"/>
              <w:autoSpaceDN w:val="0"/>
              <w:adjustRightInd w:val="0"/>
              <w:rPr>
                <w:rFonts w:ascii="仿宋" w:hAnsi="仿宋" w:eastAsia="仿宋" w:cs="仿宋"/>
                <w:sz w:val="24"/>
              </w:rPr>
            </w:pPr>
            <w:r>
              <w:rPr>
                <w:rFonts w:hint="eastAsia" w:ascii="仿宋" w:hAnsi="仿宋" w:eastAsia="仿宋" w:cs="仿宋"/>
                <w:sz w:val="24"/>
              </w:rPr>
              <w:t>1.9 外壳尺寸(mm)：≥750×250×100</w:t>
            </w:r>
          </w:p>
          <w:p>
            <w:pPr>
              <w:autoSpaceDE w:val="0"/>
              <w:autoSpaceDN w:val="0"/>
              <w:adjustRightInd w:val="0"/>
              <w:rPr>
                <w:rFonts w:ascii="仿宋" w:hAnsi="仿宋" w:eastAsia="仿宋" w:cs="仿宋"/>
                <w:sz w:val="24"/>
              </w:rPr>
            </w:pPr>
            <w:r>
              <w:rPr>
                <w:rFonts w:hint="eastAsia" w:ascii="仿宋" w:hAnsi="仿宋" w:eastAsia="仿宋" w:cs="仿宋"/>
                <w:sz w:val="24"/>
              </w:rPr>
              <w:t>1.10 IP等级：IP53</w:t>
            </w:r>
          </w:p>
          <w:p>
            <w:pPr>
              <w:autoSpaceDE w:val="0"/>
              <w:autoSpaceDN w:val="0"/>
              <w:adjustRightInd w:val="0"/>
              <w:rPr>
                <w:rFonts w:ascii="仿宋" w:hAnsi="仿宋" w:eastAsia="仿宋" w:cs="仿宋"/>
                <w:sz w:val="24"/>
              </w:rPr>
            </w:pPr>
            <w:r>
              <w:rPr>
                <w:rFonts w:hint="eastAsia" w:ascii="仿宋" w:hAnsi="仿宋" w:eastAsia="仿宋" w:cs="仿宋"/>
                <w:sz w:val="24"/>
              </w:rPr>
              <w:t>1.11 可视距离：≥300m</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2.交通信号控制机技术参数</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2.1 执行标准：GB25280-2016</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2.2 驱动红绿灯路数：4路</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2.3 每路驱动能力：10A</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2.4 工作电压：DC12V～24V</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2.5 使用温度范围：-25℃～＋75℃</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2.6 相对湿度：45％～95％</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2.7 绝缘值：≥100MΩ</w:t>
            </w:r>
          </w:p>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2.8 断电设置参数保存：≥10年</w:t>
            </w:r>
          </w:p>
          <w:p>
            <w:pPr>
              <w:widowControl/>
              <w:jc w:val="left"/>
              <w:textAlignment w:val="center"/>
              <w:rPr>
                <w:rFonts w:ascii="仿宋" w:hAnsi="仿宋" w:eastAsia="仿宋" w:cs="仿宋"/>
                <w:sz w:val="24"/>
              </w:rPr>
            </w:pPr>
            <w:r>
              <w:rPr>
                <w:rFonts w:hint="eastAsia" w:ascii="仿宋" w:hAnsi="仿宋" w:eastAsia="仿宋" w:cs="仿宋"/>
                <w:color w:val="000000"/>
                <w:kern w:val="0"/>
                <w:sz w:val="24"/>
              </w:rPr>
              <w:t>2.9 功耗：≤1W</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3.交通标识应为铝合金底板，反光材料，尺寸：≥30cm，安装高度能够调节，不锈钢或铝合金立柱，包含人行横道，减速丘，道路限速，道路施工，停车让行，减速让行，锥形交通路标：≥10个。</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4.目标物为与行人接近的假人、二轮车。能够被雷达，红外和摄像头探测到。至少包括但不限于静态成人、静态儿童、关节可运动成人、关节可运动儿童、二轮车目标物。带有脚轮，上肢可选摇摆；工作电源：24/36/48v；产品高度：150～180cm。</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6</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智能网联汽车装调标定配套套件</w:t>
            </w:r>
          </w:p>
        </w:tc>
        <w:tc>
          <w:tcPr>
            <w:tcW w:w="6376" w:type="dxa"/>
            <w:vAlign w:val="center"/>
          </w:tcPr>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1.测试仪表车配置要求</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1.1 数字角度规：长度测量范围：0～200mm；角度测量范围：0～360°；误差：0.2°</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1.2 数字水平仪：量程4×90°(0～360°)；工作温度+5℃～+40℃；工作湿度≤85%RH；显示分辨率0.01°；精度≤0.2°</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1.3 直流电源：输出电压0～30V；输出电流0～3A；通道数3通道；</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1.4 CAN分析仪：CAN2通道能够软件配置为高速CAN或低速容错CAN；支持高速/高速，高速/低速容错，高速/单线CAN之间的中继功能与协议分析；能够测量所有种类的CAN线，涵盖汽车动力CAN、驱动CAN、仪表CAN、舒适CAN、娱乐CAN、信息CAN、诊断CAN。</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1.5 万用表：交直流电压750V；交流毫伏400mV；直流毫伏400mV；交直流电流10A；交直流毫安400mA；电阻量程40MΩ。</w:t>
            </w:r>
          </w:p>
          <w:p>
            <w:pPr>
              <w:wordWrap w:val="0"/>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1.6 数字示波器：基本功能UTD1102C；通道数2；带宽100MHz；最大采样率500MS/s；上升时间≤3.5ns；存储深度7.5 kpts；垂直灵敏度(V/div)5mV-50V/div；时基范围(s/div)5ns/div-50s/div。</w:t>
            </w:r>
          </w:p>
          <w:p>
            <w:pPr>
              <w:wordWrap w:val="0"/>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存储方式为设置，波形，位图；触发方式为边沿，脉宽，视频，交替；接口USB HOST；直流电压 (V)600mV/6V/60V/600V/1000V；交流电压 (V)600mV/6V/60V/600V/700V；直流电流 (A)6mA/60mA/600mA；交流电流 (A)6mA/60mA/600mA；电阻(Ω)6kΩ/60kΩ/600kΩ；电容 (F)6nF/6mF±（5%+10）。</w:t>
            </w:r>
          </w:p>
          <w:p>
            <w:pPr>
              <w:wordWrap w:val="0"/>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1.7 红外线测距仪：测量范围0.05～50m；测量精度±1.0mm；显示单位1mm；单1次测量次数约10000；持续测量约2.5小时。</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2.标定套件配置要求</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基于主流零部件厂设计的规范标定设备，能够配合台架或者乘用车进行传感器或者辅助驾驶相关的标定工作，包含：汽车尾板、标定棋盘板、毫米波雷达角度反射器。</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2.1 尾板：≥1800mm×1500mm；面板材质：亚克力；整体高度：≥120cm；包含1/4三脚架固定底座，支架高度能够调节。</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2.2 棋盘标定板</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 xml:space="preserve">2.2.1 棋盘标定板功能：为校正镜头畸变、确定物理尺寸和像素间的换算关系，提高高精度测量及检测的应用性能，以达到满意精度。 </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2.2.2 棋盘标定板参数：≥600mm×450mm；面板材质：氯化氧；颜色：黑白；反射方式：漫反射，表面不反光；整体高度：≥120cm；包含1/4三脚架固定底座，支架高度能够调节。</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2.3 角度反射器</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2.3.1 角度反射器功能：能够用于微波雷达和毫米波24、77Ghz汽车雷达标定</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2.3.2 角度反射器参数：≥77.6mm×77.6mm；角度反射器材质：不锈钢，单面抛光；包含1/4三脚架固定底座，支架高度能够调节；整体高度：≥120cm。</w:t>
            </w:r>
          </w:p>
          <w:p>
            <w:pPr>
              <w:autoSpaceDE w:val="0"/>
              <w:autoSpaceDN w:val="0"/>
              <w:adjustRightInd w:val="0"/>
              <w:spacing w:line="360" w:lineRule="exact"/>
              <w:jc w:val="left"/>
              <w:rPr>
                <w:rFonts w:ascii="仿宋" w:hAnsi="仿宋" w:eastAsia="仿宋" w:cs="仿宋"/>
                <w:b/>
                <w:bCs/>
                <w:sz w:val="24"/>
              </w:rPr>
            </w:pPr>
            <w:r>
              <w:rPr>
                <w:rFonts w:hint="eastAsia" w:ascii="仿宋" w:hAnsi="仿宋" w:eastAsia="仿宋" w:cs="仿宋"/>
                <w:sz w:val="24"/>
              </w:rPr>
              <w:t>3.成组工具箱配置</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▲3.1 32件套绝缘棘轮套筒扳手组：1支 8"3分绝缘及轮扳手；1支 200mm 8"3分绝缘T杆；1支 150mm 6"3分绝缘延长接杆；1支 250mm 10" 3分绝缘延长接杆；12支绝缘梅花扳手：8-9-10-11-12-13-14-16-17-18-19-21mm；</w:t>
            </w:r>
          </w:p>
          <w:p>
            <w:pPr>
              <w:autoSpaceDE w:val="0"/>
              <w:autoSpaceDN w:val="0"/>
              <w:adjustRightInd w:val="0"/>
              <w:spacing w:line="360" w:lineRule="exact"/>
              <w:jc w:val="left"/>
              <w:rPr>
                <w:rFonts w:ascii="仿宋" w:hAnsi="仿宋" w:eastAsia="仿宋" w:cs="仿宋"/>
                <w:b/>
                <w:bCs/>
                <w:sz w:val="24"/>
              </w:rPr>
            </w:pPr>
            <w:r>
              <w:rPr>
                <w:rFonts w:hint="eastAsia" w:ascii="仿宋" w:hAnsi="仿宋" w:eastAsia="仿宋" w:cs="仿宋"/>
                <w:sz w:val="24"/>
              </w:rPr>
              <w:t>8个3分绝缘套筒：8-10-12-13-14-17-19-22mm；4个3分六角绝缘压胚套筒批嘴：H4-H5-H6-H8mm；4个3分绝缘长套筒：8-10-12-14mm。</w:t>
            </w:r>
            <w:r>
              <w:rPr>
                <w:rFonts w:hint="eastAsia" w:ascii="仿宋" w:hAnsi="仿宋" w:eastAsia="仿宋" w:cs="仿宋"/>
                <w:b/>
                <w:bCs/>
                <w:sz w:val="24"/>
              </w:rPr>
              <w:t>（提供工具车及抽屉内部展示图）</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3.2 32件套绝缘棘轮套筒扳手组：1支3分绝缘及轮扳手；1支 200mm 8"3分绝缘T杆；1支 150mm  6" 3分绝缘延长接杆；1支 250mm 10" 3分绝缘延长接杆；12支绝缘开口扳手：8-9-10-11-12-13-14-16-17-18-19-21mm；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8个3分绝缘套筒：8-10-12-13-14-17-19-22mm；4个3分六角绝缘压胚套筒批嘴：H4-H5-H6-H8mm；4个3分绝缘长套筒：8-10-12-14mm。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3.3 14件套绝缘工具组：1支 200mm  8" 绝缘尖嘴钳；1支 160mm 6" 绝缘斜口钳；1支 160mm  6" 绝缘拨线钳；1支 240mm  10"绝缘水泵钳；1支 10" (250mm)  10"绝缘活动扳手；1支 绝缘刀；1支 160mm  6"绝缘钢丝钳；1支 绝缘剪刀；6支 ６支绝缘内六角扳手：H2.5-H3-H4-H5-H6-H8mm。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3.4 17件套绝缘套筒起子&amp;绝缘螺丝刀组：</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12支绝缘套筒起子：M4×125、M4.5×125、M5×125、M5.5×125、M6×125、M7×125、M8×125、M9×125、M10×125、M11×125、M12×125、M13×125。</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3支一字绝缘螺丝刀：0.4×2.5×75、0.8×4.0×100、1.0×5.5×125。</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2支十字绝缘螺丝刀：PH1×80、PH2×100。</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3.5 23件套绝缘螺丝起子组</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7</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智能驾驶教学实训平台</w:t>
            </w:r>
          </w:p>
        </w:tc>
        <w:tc>
          <w:tcPr>
            <w:tcW w:w="6376" w:type="dxa"/>
            <w:vAlign w:val="center"/>
          </w:tcPr>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智能驾驶教学实训平台能够通过环境感知系统感知道路环境，自动规划行车路线并控制车辆到达预定目标。平台应包括但不限于激光雷达、毫米波雷达、超声波雷达、组合导航、RTK传感器、视觉传感器及高性能计算单元，能实现车辆定位、感知、预测、规划、巡航、避障、预警功能。能够满足感知传感器拆装、调试、测试、故障诊断、标定教学及实训任务，能够满足OTA升级部署、驾驶自动化系统功能测试、高精地图采集与绘制、车路协同应用数据交互测试教学及实训任务。</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 功能要求</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4.2.1 应提供全车CAN接口协议和自动驾驶框架系统，支持二次开发，全方位能力培养。</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4.2.2 提供自动驾驶套件操作手册、自动驾驶套件软件使用手册配套实训指导书。</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▲4.2.3 实训平台应包含但不限于车速校正、左/右侧转向灯校正、摄像头高度数据设置、主动循迹、障碍物识别、主动刹车、车身宽度设置、车道中央线标定、汽车发动机盖线设置、激活速度标定、车道线灵敏度标定、警报音类型设置、前车碰撞预警灵敏度标定功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4.2.4 具有急停开关、前后防撞条、指令校验、心跳保护、转向系统故障处理、驱动系统故障处理、紧急掉电驻车保护、电池故障监控保护、整车CAN节点在线检测、整车故障等级划分处理、车辆故障报警、车辆急减速提示、车辆失控保护、遥控器掉线处理、充电安全监控和保护，遥控距离：≥100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4.2.5 具备相机标定功能，能够设置相机距前挡风玻璃边缘值设定、视差学习标定功能。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4.2.6 具备GPS组合导航标定功能，配置组合导航的自身参数标定，含定位天线到后轮中心杆臂值标定、惯导到GNSS定位天线杆臂值标定、GPS惯导系统运动初始化配置功能。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4.2.7 具备激光雷达配置、测试功能，可使用上位机软件对激光雷达进行配置和功能测试。</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4.2.8 具备毫米波雷达配置测试功能，可使用雷达上位机软件设置前向检测角度、检测目标类型参数设置。</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4.2.9 具备工控机配置功能，可设置工控机与传感器之间的IP地址、查看CAN网络通讯数据、串口、底盘、激光雷达点云、imu信号、GPS信号数据。</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4.2.10 具备底盘适配功能，完成CANBus模块中新底盘的适配工作。</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4.2.11 具备自动驾驶功能验证，含地图采集录制功能、循迹演示验证、遇障碍物停车演示验证、遇障碍物绕障演示验证功能。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5.整车技术参数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5.1 外形尺寸（mm）：≥1500×700×550（长×宽×高）；</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5.2 最小转弯半径：≤3500mm；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5.3 轴距：≥700mm，轮距：≥600mm；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5.4 最小离地间隙：≥100mm；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5.5 最大车速：≥8km/h；</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5.6 续航里程：≥20km。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6.线控驱动/制动系统技术参数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6.1 驱动方式为后驱；</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6.2 额定功率：≥300W；</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6.3 额定电压：≥48V；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6.4 额定转速：≥3000rpm；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6.5 速度反馈误差：≤±0.1m/s。</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7.线控转向系统技术参数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7.1 控制方式为转速/转矩/位置；</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7.2 额定功率：≥400W；</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7.3 额定电压：12V或24V；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7.4 响应时间：≤100ms；</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7.5 控制精度≤±1°。</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8.动力电池系统技术参数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8.1 车规级锂电池，额定电压48V；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8.2 额定电流：≥20A；</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8.3 电量：≥2kWh；</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8.4 充电时间：≤5小时；</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8.5 电池箱防水等级Ip67。</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9.BMS系统技术参数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9.1 过充、过放、短接、高温保护；</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9.2 通信接口∶CAN；</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9.3 供电接口∶24V20A，12V25A，12V20A，5V10A。</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10.激光雷达技术参数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10.1 线数：≥16线；</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10.2 转速为300/600/1200rpm (5/10/20Hz)；</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10.3 测距方式：飞行时间测距法（TOF）；</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10.4 激光等级：ClassⅠ（人眼安全）；</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10.5 精度：高于±3cm；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10.6 垂直角分辨率：2°；</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10.7 防护安全等级不低于IP67；</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10.8 测距范围：≥150m（目标反射率 20%）；</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10.9 视角（垂直）：≥±15°；</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10.10 视角（水平）：360°；</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10.11 角分辨率（水平/方位角）：0.09°（5Hz）～0.36°（20Hz）。</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11.毫米波雷达发射频段在76-77GHz，同时具有中、短距离的扫描能力，覆盖距离大于1-175m，水平视角大于±45°。</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11.1 可同时探测相对速度大于-200km/h到300km/h的静止和运动物体。可获得物体的距离、速度和角度信息。可区分货车、轿车和行人运动物体。可识别不同运动状态的障碍物，如运动、静止。</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11.2 双波束扫描覆盖，近距扫描方位角达≥45°，远距扫描距离不少于70m。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11.3 通过CAN接口能够输出不少于50个跟踪目标。</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11.4 调制方式：FMCW;</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11.5 距离测量分辨率：高于点目标，非跟踪0.7m，在满足1.5到2倍分辨率的条件下可对两个物体进行区分；</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11.6 距离测量精度：高于点目标，非跟踪±0.30m；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11.7 速度范围：≥-200km/h～+200km/h(-表示远离目标，+表示靠近目标)；</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11.8 速度分辨率：高于点目标，非跟踪±1.23km/h；</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11.9 速度精度：高于点目标，非跟踪±0.5km/h；</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11.10 天线通道数：≥2TX/4RX=8 通道；</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11.11 循环周期：50-80ms；</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11.12 防护等级：IP67</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12.摄像头技术参数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12.1 摄像头采用工业级及以上等级。</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12.2 镜头类型：鱼眼；</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12.3 感光片IMX291(1/2.8 inch)；</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12.4 最高有效像素：≥1920（H）×1080（V）；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12.5 信噪比42dB；</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12.6 动态范围72dB；</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12.7 灵敏度1.8V/lux-sec@550nm；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12.8 最低照度0.2lux；</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12.9 接口类型USB3.0 High Speed；</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12.10 能够调节参数为亮度，对比度，色饱和度，色调，清晰度，伽玛，白平衡，逆光对比，曝光度；</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12.11 供电及接口为USB BUS POWER 8P-3.0mm插座；</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12.12 电压为DC5V；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12.13 电流为150mA-200mA。</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13.惯导导航技术参数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13.1 航向：0.1°(双天线模式, GNSS有效状态下、基线：≥2米），0.2°（单天线模式）；</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13.2 姿态：单点：0.2°(1σ，GNSS信号良好)；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13.3 位置：组合位置：2m（1σ）（GNSS信号良好）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13.4 GPS单点：2m（1σ）（GNSS信号良好）</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13.5 GPS RTK：2cm+1ppm（1σ，水平，GPS信号有效状态）</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13.6 数据更新速率：1Hz/5Hz/10Hz/100Hz（可调）；</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13.7 接口方式：RS-232/RS-422/CAN（选配）；</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13.8 波特率：115200 bps（默认）；</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13.9 供电电压：24VDC额定（9～36VDC）；</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13.10 额定功率：≤6W；</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13.11 工作温度：-40℃～+80℃；</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14.工控机技术参数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14.1 内存：≥8GB</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14.2 存储：≥16G</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14.3 视频编码：1x4Kp60；3x4Kp30；4x1080p60；8x 1080p30(H.26（5）；1x 4Kp60；3x 4Kp30；7x 1080p60；14x 1080p30；(H.26（4）。</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14.4 视频解码2x 4Kp60；4x 4Kp30；7x 1080p60；14x 1080p30；(H.265 &amp; H.26（4）。</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14.5 供电：直流12V-30V；</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14.6 最大功耗量：≤400W；</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14.7 硬盘：固态硬盘，≥256G。</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15.显示器技术参数</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15.1 屏幕尺寸：≥17.3；</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15.2 分辨率：1920×1080；</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15.3 显示比例：16：9；</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15.4 像素排列：RGB垂直条状；</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15.5 点距：0.0663×0.1989 mm；</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15.6 亮度：1000 nits；</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15.7 对比度：600：1；</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15.8 扫描频率：60Hz；</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15.9 接口类型：LVDS；</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15.10 应提供无线键盘鼠标、自动驾驶遥控器等。</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34"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8</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环境感知实训台</w:t>
            </w:r>
          </w:p>
        </w:tc>
        <w:tc>
          <w:tcPr>
            <w:tcW w:w="6376" w:type="dxa"/>
            <w:vAlign w:val="center"/>
          </w:tcPr>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实训台应搭载激光雷达、毫米波雷达、超声波雷达、单目摄像头等智能网联汽车常用的感知部件,能够直观展示出智能传感器系统的组成和原理，通过硬件与测试软件的组合，实现智能传感器的装配、调试、故障设置与诊断等功能。</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2.实训台配置触屏一体机与智能教学系统</w:t>
            </w:r>
          </w:p>
          <w:p>
            <w:pPr>
              <w:autoSpaceDE w:val="0"/>
              <w:autoSpaceDN w:val="0"/>
              <w:adjustRightInd w:val="0"/>
              <w:spacing w:line="360" w:lineRule="exact"/>
              <w:rPr>
                <w:rFonts w:ascii="仿宋" w:hAnsi="仿宋" w:eastAsia="仿宋" w:cs="仿宋"/>
                <w:sz w:val="24"/>
                <w:highlight w:val="cyan"/>
              </w:rPr>
            </w:pPr>
            <w:r>
              <w:rPr>
                <w:rFonts w:hint="eastAsia" w:ascii="仿宋" w:hAnsi="仿宋" w:eastAsia="仿宋" w:cs="仿宋"/>
                <w:sz w:val="24"/>
              </w:rPr>
              <w:t>2.1 智能教学系统安装在触屏一体机上。智能教学系统与实训台通过有线连接进行数据传输。进入智能教学系统后，通过部署的毫米波雷达、超声波雷达、激光雷达、摄像头等传感器设备完成环境感知系统原理的教学、维修、故障信息解读。</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 触屏一体机技术参数</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2.2.1 输入电压：220V AC；</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2.2.2 显示屏尺寸：≥23.8英寸；</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2.2.3 分辨率：1080P以上；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2.2.4 处理器：INTEL CORE I5及以上；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2.2.5 显示输出：集成Intel HD Graphics核心显卡；</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2.2.6 显示输出接口至少包含以下4个：VGA、内置VGA、HDMI、LVDS；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2.2.7 内存：≥8G，DDR3 1333/1066MHZ及以上（全新原包装）；</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2.2.8 硬盘：≥256G，固态硬盘（全新原包装）；</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2.2.9 USB：≥4个USB2.0接口；</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2.2.10 散热系统：主板自带CPU散热器和风扇；</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2.2.11 触摸点数：≥20点；</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2.2.12 触摸寿命：≥60000000单击；</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2.2.13 操作系统：原厂预装win7或win10操作系统；</w:t>
            </w:r>
          </w:p>
          <w:p>
            <w:pPr>
              <w:autoSpaceDE w:val="0"/>
              <w:autoSpaceDN w:val="0"/>
              <w:adjustRightInd w:val="0"/>
              <w:spacing w:line="360" w:lineRule="exact"/>
              <w:jc w:val="left"/>
              <w:rPr>
                <w:rFonts w:ascii="仿宋" w:hAnsi="仿宋" w:eastAsia="仿宋" w:cs="仿宋"/>
                <w:sz w:val="24"/>
              </w:rPr>
            </w:pPr>
            <w:r>
              <w:rPr>
                <w:rFonts w:hint="eastAsia" w:ascii="仿宋" w:hAnsi="仿宋" w:eastAsia="仿宋" w:cs="仿宋"/>
                <w:sz w:val="24"/>
              </w:rPr>
              <w:t>▲2.3 实训台材质为钢板，外形尺寸(长宽高)：≥1200mm×600mm×1000mm；实训台底部带有万向脚轮锁止机构，能够承受不低于1.5吨的有效载荷，主要由激光雷达、毫米波雷达、超声波雷达、摄像头、组合导航、惯性导航模块、测试软件等组成</w:t>
            </w:r>
            <w:r>
              <w:rPr>
                <w:rFonts w:hint="eastAsia" w:ascii="仿宋" w:hAnsi="仿宋" w:eastAsia="仿宋" w:cs="仿宋"/>
                <w:b/>
                <w:bCs/>
                <w:sz w:val="24"/>
              </w:rPr>
              <w:t>（投标时提供台架实物外观图）</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2.4 打开触屏一体机中的激光雷达软件，能够配置激光雷达以太网、时间、电机等参数信息。可视化显示点云图像，可显示每个点云信息。支持录制和播放点云图像；</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2.5 打开触屏一体机中的毫米波软件，设置毫米波雷达的型号、CAN数据的格式后，自动检测前方障碍物并在软件上进行显示，能够显示障碍物距离、方位角等信息，能够设置报警区域角度、报警区域距离；</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2.6 超声波雷达测试障碍物距离，并且根据不同距离范围显示不同状态及发出警报声，能够同时显示各超波雷达检测信息；</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2.7 能够通过摄像头采集车道图片，或者使用资源包中的图片，对真实场景下的车道线识别进行调试与测试，能够实时分析视觉传感器回传的图像，并且将显示结果绘制在输出图像上；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▲2.8 组合导航测试软件能够显示包括但不限于以下信息：速度（东向速度、北向速度、天向速度、地面速度），位置（经度、纬度、高度，姿态），俯仰、横滚、航向、速度航向，时间：周、秒、UTC时、主卫星数、次卫星数</w:t>
            </w:r>
            <w:r>
              <w:rPr>
                <w:rFonts w:hint="eastAsia" w:ascii="仿宋" w:hAnsi="仿宋" w:eastAsia="仿宋" w:cs="仿宋"/>
                <w:b/>
                <w:bCs/>
                <w:sz w:val="24"/>
              </w:rPr>
              <w:t>（投标时提供软件截图）</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2.9 惯性导航测试软件能够显示包括但不限于IMU数据：陀螺仪Gyro_x、陀螺仪Gyro_y、陀螺仪Gyro_z、加速度计Acc_x、加速度计Acc_y、加速度计Acc_z，里程计、速度、方向盘转角</w:t>
            </w:r>
            <w:r>
              <w:rPr>
                <w:rFonts w:hint="eastAsia" w:ascii="仿宋" w:hAnsi="仿宋" w:eastAsia="仿宋" w:cs="仿宋"/>
                <w:b/>
                <w:bCs/>
                <w:sz w:val="24"/>
              </w:rPr>
              <w:t>（投标时提供软件截图）</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2.10 故障设置软件能够设置包括但不限于以下电源故障：各环境感知传感器正负极断路、毫米波雷达/超声波雷达CAN-H或CAN-L对正负极短路，组合导航TXD/RXD对正负极短路；</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▲2.11 故障设置软件能够设置包括但不限于以下信号故障：毫米波雷达/超声波雷达CAN-H或CAN-L断路、虚接、短路，组合导航TXD/RXD断路、虚接短路；</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▲2.12 具备不少于下述中的三个场景模拟功能：ASL自动限速调节；车道区域识别；FCW前向碰撞预警；LDW车道偏离预警系统;ACC汽车自适应巡航系统;车辆盲区监测系统BCA;交通标志识别系统TSR</w:t>
            </w:r>
            <w:r>
              <w:rPr>
                <w:rFonts w:hint="eastAsia" w:ascii="仿宋" w:hAnsi="仿宋" w:eastAsia="仿宋" w:cs="仿宋"/>
                <w:b/>
                <w:bCs/>
                <w:sz w:val="24"/>
              </w:rPr>
              <w:t>（投标时提供LDW车道偏离预警系统功能演示截图不少于3张，并注释说明）</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3.主要环境感知模块硬件技术参数要求</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 激光雷达</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3.1.1 线数：≥16；</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3.1.2 测距：≥50m，目标反射率20%；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3.1.3 盲区：≤0.4m；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3.1.4 精度：高于±10cm；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3.1.5 水平视场角：360°；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3.1.6 垂直视场角：±15°；</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3.1.7 水平角分辨率：高于0.4°；</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3.1.8 垂直角分辨率：高于2.0°；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3.1.9 转速： 600/1200rpm(10/20Hz)；</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3.1.10 激光安全等级：Class 1人眼安全；</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 毫米波雷达</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3.2.1 数量：不少于4个，其中3个为备件；</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3.2.2 工作频率：75～77GHz；</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3.2.3 调制方式：FMCW；</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3.2.4 测距范围：≥1m～160m；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3.2.5 测距精度：高于0.1m；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3.2.6 测速范围：≥±180km/h；</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 超声波雷达</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3.3.1 数量：不少于6个，其中6个为备件；</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3.3.2 超声波测距范围：≥200mm～4m；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3.3.3 分辨率：高于5mm；</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3.3.4 探头防护等级：不低于IP67；</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3.3.5 方位发射角：≥60°；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3.3.6 俯仰发射角：≥5°；</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 摄像头</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3.4.1 数量：不少于3个，其中2个为备件；</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3.4.2 分辨率：≥1920×1080P；</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3.4.3 采样速度：≥30帧；</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 组合导航</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3.5.1 频率范围：GPS L1/L2、GLONASS L1/L2、BDS B1/B2/B3；</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3.5.2 增益（dBi）：＜5.5；</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3.5.3 天线轴比（dB）：≤3.0；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3.5.4 相位中心误差：±2；</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3.5.5 端口阻抗：50Ω；</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3.5.6 噪声系数：≤1.8；</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3.5.7 工作电压：3.0V-18.0V；</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3.5.8 工作电流：≤45mA；</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 惯性导航</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3.6.1 测量维度：加速度3维，角速度3维，角度3维；</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3.6.2 量程：加速度：±16g，角速度：±2000°/s，角度±180°；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3.6.3 稳定性：加速度0.01g，角速度0.05°s；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3.6.4 姿态测量精度：0.01°；</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3.6.5 数据输出频率：100HZ；</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3.7 wifi天线</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3.7.1 增益：6dBi；</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3.7.2 频率范围：2400-2500MHz，5000-5850MHz；</w:t>
            </w:r>
          </w:p>
          <w:p>
            <w:pPr>
              <w:autoSpaceDE w:val="0"/>
              <w:autoSpaceDN w:val="0"/>
              <w:adjustRightInd w:val="0"/>
              <w:spacing w:line="360" w:lineRule="exact"/>
              <w:rPr>
                <w:rFonts w:ascii="仿宋" w:hAnsi="仿宋" w:eastAsia="仿宋" w:cs="仿宋"/>
                <w:sz w:val="24"/>
                <w:highlight w:val="red"/>
              </w:rPr>
            </w:pPr>
            <w:r>
              <w:rPr>
                <w:rFonts w:hint="eastAsia" w:ascii="仿宋" w:hAnsi="仿宋" w:eastAsia="仿宋" w:cs="仿宋"/>
                <w:sz w:val="24"/>
              </w:rPr>
              <w:t>3.8 CAN总线波特率：≥500k/s；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4.安全要求：漏电保护、短路保护、绝缘保护。</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2</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34" w:type="dxa"/>
            <w:vAlign w:val="center"/>
          </w:tcPr>
          <w:p>
            <w:pPr>
              <w:spacing w:line="360" w:lineRule="exact"/>
              <w:jc w:val="center"/>
              <w:rPr>
                <w:rFonts w:ascii="仿宋" w:hAnsi="仿宋" w:eastAsia="仿宋" w:cs="仿宋"/>
                <w:sz w:val="24"/>
              </w:rPr>
            </w:pPr>
            <w:r>
              <w:rPr>
                <w:rFonts w:hint="eastAsia" w:ascii="仿宋" w:hAnsi="仿宋" w:eastAsia="仿宋" w:cs="仿宋"/>
                <w:sz w:val="24"/>
              </w:rPr>
              <w:t>9</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线控底盘实训台</w:t>
            </w:r>
          </w:p>
        </w:tc>
        <w:tc>
          <w:tcPr>
            <w:tcW w:w="6376" w:type="dxa"/>
            <w:vAlign w:val="center"/>
          </w:tcPr>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1.线控底盘实训台包含线控驱动、线控制动、线控转向等关键部件的装调实训、通信测试实训、故障诊断与分析实训等教学任务，能够直观展示出典型底盘线控系统及部件的组成、结构和工作原理，并配备完善的课程资源。还配备开源的自动驾驶仿真软件，硬件支持仿真功能，支持硬件与仿真软件的双向交互与通信。</w:t>
            </w:r>
          </w:p>
          <w:p>
            <w:pPr>
              <w:autoSpaceDE w:val="0"/>
              <w:autoSpaceDN w:val="0"/>
              <w:adjustRightInd w:val="0"/>
              <w:spacing w:line="360" w:lineRule="exact"/>
              <w:rPr>
                <w:rFonts w:ascii="仿宋" w:hAnsi="仿宋" w:eastAsia="仿宋" w:cs="仿宋"/>
                <w:sz w:val="24"/>
                <w:highlight w:val="red"/>
              </w:rPr>
            </w:pPr>
            <w:r>
              <w:rPr>
                <w:rFonts w:hint="eastAsia" w:ascii="仿宋" w:hAnsi="仿宋" w:eastAsia="仿宋" w:cs="仿宋"/>
                <w:sz w:val="24"/>
              </w:rPr>
              <w:t>2.实训台配置触屏一体机与智能教学系统，智能教学系统安装在触屏一体机上。智能教学系统与实训台通过有线连接进行数据传输。</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3.触屏一体机技术参数</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 输入电压：220V AC；</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 显示屏尺寸：≥23.8英寸；</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 分辨率：1080P以上；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 处理器：INTEL CORE I5及以上；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 显示输出：集成Intel HD Graphics核心显卡；</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 显示输出接口至少包含以下4个：VGA、内置VGA、HDMI、LVDS；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3.7 内存：≥8G，DDR3 1333/1066MHZ及以上（全新原包装）；</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3.8 硬盘：≥256G，固态硬盘（全新原包装）；</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3.9 USB：≥4个USB2.0接口；</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3.10 散热系统：主板自带CPU散热器和风扇；</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3.11 触摸点数：≥20点；</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3.12 触摸寿命：≥60000000单击；</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3.13 操作系统：原厂预装win7或win10操作系统；</w:t>
            </w:r>
          </w:p>
          <w:p>
            <w:pPr>
              <w:autoSpaceDE w:val="0"/>
              <w:autoSpaceDN w:val="0"/>
              <w:adjustRightInd w:val="0"/>
              <w:spacing w:line="360" w:lineRule="exact"/>
              <w:rPr>
                <w:rFonts w:ascii="仿宋" w:hAnsi="仿宋" w:eastAsia="仿宋" w:cs="仿宋"/>
                <w:bCs/>
                <w:color w:val="FF0000"/>
                <w:sz w:val="24"/>
              </w:rPr>
            </w:pPr>
            <w:r>
              <w:rPr>
                <w:rFonts w:hint="eastAsia" w:ascii="仿宋" w:hAnsi="仿宋" w:eastAsia="仿宋" w:cs="仿宋"/>
                <w:sz w:val="24"/>
              </w:rPr>
              <w:t>4.实训台材质为钢板，外形尺寸(长宽高)：≥1500mm×1000mm×1200mm，实训台底部带有万向脚轮锁止机构，能够承受不低于1.5吨的有效载荷，主要由</w:t>
            </w:r>
            <w:r>
              <w:rPr>
                <w:rFonts w:hint="eastAsia" w:ascii="仿宋" w:hAnsi="仿宋" w:eastAsia="仿宋" w:cs="仿宋"/>
                <w:bCs/>
                <w:sz w:val="24"/>
              </w:rPr>
              <w:t>方向盘、制动与驱动踏板、线控转向系统、线控制动系统、线控驱动系统、工控机、测试软件、教学软件、自动驾驶仿真软件、智能无线远程故障系统等组成。</w:t>
            </w:r>
            <w:r>
              <w:rPr>
                <w:rFonts w:hint="eastAsia" w:ascii="仿宋" w:hAnsi="仿宋" w:eastAsia="仿宋" w:cs="仿宋"/>
                <w:b/>
                <w:bCs/>
                <w:sz w:val="24"/>
              </w:rPr>
              <w:t>（投标时提供台架实物外观图）</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5.主要硬件技术规格要求</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5.1 驱动系统</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5.1.1 延迟时间：≤500ms；</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5.1.2 响应时间：≤800ms；</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5.1.3 接管形式：单独使用或被接管两种；</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5.1.4 反馈状态：踏板位置值、踏板位置指令值；</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5.2 制动系统</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5.2.1 延迟时间：≤500ms；</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5.2.2 响应时间：≤800ms；</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5.3 转向系统</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5.3.1 电机扭矩：≥3Nm；</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5.3.2 最大转向速率：≥360deg/s（可调）；</w:t>
            </w:r>
          </w:p>
          <w:p>
            <w:pPr>
              <w:autoSpaceDE w:val="0"/>
              <w:autoSpaceDN w:val="0"/>
              <w:adjustRightInd w:val="0"/>
              <w:spacing w:line="360" w:lineRule="exact"/>
              <w:rPr>
                <w:rFonts w:ascii="仿宋" w:hAnsi="仿宋" w:eastAsia="仿宋" w:cs="仿宋"/>
                <w:bCs/>
                <w:sz w:val="24"/>
              </w:rPr>
            </w:pPr>
            <w:r>
              <w:rPr>
                <w:rFonts w:hint="eastAsia" w:ascii="仿宋" w:hAnsi="仿宋" w:eastAsia="仿宋" w:cs="仿宋"/>
                <w:bCs/>
                <w:sz w:val="24"/>
              </w:rPr>
              <w:t>5.3.3 延迟时间：≤500ms；</w:t>
            </w:r>
          </w:p>
          <w:p>
            <w:pPr>
              <w:autoSpaceDE w:val="0"/>
              <w:autoSpaceDN w:val="0"/>
              <w:adjustRightInd w:val="0"/>
              <w:spacing w:line="360" w:lineRule="exact"/>
              <w:rPr>
                <w:rFonts w:ascii="仿宋" w:hAnsi="仿宋" w:eastAsia="仿宋" w:cs="仿宋"/>
                <w:sz w:val="24"/>
                <w:highlight w:val="red"/>
              </w:rPr>
            </w:pPr>
            <w:r>
              <w:rPr>
                <w:rFonts w:hint="eastAsia" w:ascii="仿宋" w:hAnsi="仿宋" w:eastAsia="仿宋" w:cs="仿宋"/>
                <w:sz w:val="24"/>
              </w:rPr>
              <w:t>6.CAN总线波特率：≥500k/s；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7.安全要求：漏电保护、过温保护、短路保护、绝缘保护</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8.实训台具备以下功能：</w:t>
            </w:r>
          </w:p>
          <w:p>
            <w:pPr>
              <w:autoSpaceDE w:val="0"/>
              <w:autoSpaceDN w:val="0"/>
              <w:adjustRightInd w:val="0"/>
              <w:spacing w:line="360" w:lineRule="exact"/>
              <w:rPr>
                <w:rFonts w:ascii="仿宋" w:hAnsi="仿宋" w:eastAsia="仿宋" w:cs="仿宋"/>
                <w:b/>
                <w:bCs/>
                <w:sz w:val="24"/>
              </w:rPr>
            </w:pPr>
            <w:r>
              <w:rPr>
                <w:rFonts w:hint="eastAsia" w:ascii="仿宋" w:hAnsi="仿宋" w:eastAsia="仿宋" w:cs="仿宋"/>
                <w:sz w:val="24"/>
              </w:rPr>
              <w:t>8.1 线控转向，CAN报文解析、转角信号稳态误差测试、最低响应目标转角测试、线控转向系统零位标定、常见故障检测与排除；</w:t>
            </w:r>
            <w:r>
              <w:rPr>
                <w:rFonts w:hint="eastAsia" w:ascii="仿宋" w:hAnsi="仿宋" w:eastAsia="仿宋" w:cs="仿宋"/>
                <w:b/>
                <w:bCs/>
                <w:sz w:val="24"/>
              </w:rPr>
              <w:t xml:space="preserve"> </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8.2 线控制动，CAN报文解析、发送CAN报文控制车辆制动、常见故障检测与排除；</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8.3 线控驱动，线控驱动CAN报文解析、CAN报文工作实施、稳定车速偏差测试、最低响应驱动车速测试、常见故障检测与排除；</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8.4 故障设置软件能够设置包括但不限于以下电源故障：IG电源正负极断路、各CANH/CANL对正极或负极短路；</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8.5 故障设置软件能够设置包括但不限于以下信号故障：各CAN-H或CAN-L断路、虚接、短路；</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8.6 线控驱动/转向/制动系统的调试、标定、装配。</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2</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34" w:type="dxa"/>
            <w:vAlign w:val="center"/>
          </w:tcPr>
          <w:p>
            <w:pPr>
              <w:spacing w:line="360" w:lineRule="exact"/>
              <w:jc w:val="center"/>
              <w:rPr>
                <w:rFonts w:ascii="仿宋" w:hAnsi="仿宋" w:eastAsia="仿宋" w:cs="仿宋"/>
                <w:sz w:val="24"/>
              </w:rPr>
            </w:pPr>
            <w:r>
              <w:rPr>
                <w:rFonts w:hint="eastAsia" w:ascii="仿宋" w:hAnsi="仿宋" w:eastAsia="仿宋" w:cs="仿宋"/>
                <w:sz w:val="24"/>
              </w:rPr>
              <w:t>10</w:t>
            </w:r>
          </w:p>
        </w:tc>
        <w:tc>
          <w:tcPr>
            <w:tcW w:w="708"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智能座舱综合实训台</w:t>
            </w:r>
          </w:p>
        </w:tc>
        <w:tc>
          <w:tcPr>
            <w:tcW w:w="6376" w:type="dxa"/>
            <w:vAlign w:val="center"/>
          </w:tcPr>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1.智能座舱综合实训台包含语音交互和人脸识别模块、抬头显示模块、液晶仪表、手机无线充电模块、转向系统、刹车踏板、加速踏板、360环视摄像头、语音交互模组、手势识别模组、智能座椅、故障设置系统等。具备以太网、CAN总线数据收发、驾驶员监测、二次开发、语音控制、手势控制、360环视监测等功能。</w:t>
            </w:r>
            <w:r>
              <w:rPr>
                <w:rFonts w:hint="eastAsia" w:ascii="仿宋" w:hAnsi="仿宋" w:eastAsia="仿宋" w:cs="仿宋"/>
                <w:b/>
                <w:bCs/>
                <w:sz w:val="24"/>
              </w:rPr>
              <w:t>（投标时提供台架实物外观图）</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2.主要硬件技术参数要求</w:t>
            </w:r>
          </w:p>
          <w:p>
            <w:pPr>
              <w:pStyle w:val="2"/>
              <w:rPr>
                <w:rFonts w:ascii="仿宋" w:hAnsi="仿宋" w:eastAsia="仿宋" w:cs="仿宋"/>
                <w:sz w:val="24"/>
              </w:rPr>
            </w:pPr>
            <w:r>
              <w:rPr>
                <w:rFonts w:hint="eastAsia" w:ascii="仿宋" w:hAnsi="仿宋" w:eastAsia="仿宋" w:cs="仿宋"/>
                <w:sz w:val="24"/>
              </w:rPr>
              <w:t>2.1 液晶屏幕数量≥3块，娱乐屏、仪表屏、交互屏；</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2.2 娱乐屏≥10寸,分辨率≥1024×600；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2.3 仪表屏≥10寸,分辨率≥1024×600；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2.4 交互屏≥10寸,分辨率≥1024×600；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2.5 语音交互和人脸识别摄像头模块摄像头参数</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捕获幅面：≥60°；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传感器：CMOS；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接口：USB3.0；</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最大帧数：≥30fps；</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像素：≥500万；</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麦克风：内置。</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2.4 抬头显示参数：尺寸≥100×100,导航支持通过蓝牙与手机同步导航。</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2.4 智能仪表参数：</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操作系统：Linux/Android；</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主频：≥1.0GHz(双核及以上)；</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内存：≥2GB；</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电子硬盘：≥32GB；</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2.5 网联接口要求：具有CAN/CANFD接口、I/O接口、USB接口、支持蓝牙/WIFI/4G；</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2.6 防护等级：不低于IP65。</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2.7 360环视摄像头参数：</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视角：≥180度；</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分辨率：≥720P。</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▲2.8 智能座椅功能：具备高低调节、电动前后移动、前后倾、座椅升降等功能，支持位置记忆、座椅按摩等功能。</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2.9 软件：提供语音识别、人脸识别、驾驶员行为识别开源代码。</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2.10 控制策略：开源，支持二次开发，提供程序实例和下载工具。</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3.具体功能要求：</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具备不少于下述中的5个功能：</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3.1 智能座舱语音控制功能能够自主开发，可现场演示修改语音识别内容并下载程序进行功能验证；</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3.2 使用人脸识别检测技术，能够进行人脸录入、系统关联配置操作和人脸识别率实验</w:t>
            </w:r>
            <w:r>
              <w:rPr>
                <w:rFonts w:hint="eastAsia" w:ascii="仿宋" w:hAnsi="仿宋" w:eastAsia="仿宋" w:cs="仿宋"/>
                <w:b/>
                <w:bCs/>
                <w:sz w:val="24"/>
              </w:rPr>
              <w:t>（投标时应提供功能演示截图不少于3张）</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3.3 搭载座舱360°环视功能</w:t>
            </w:r>
            <w:r>
              <w:rPr>
                <w:rFonts w:hint="eastAsia" w:ascii="仿宋" w:hAnsi="仿宋" w:eastAsia="仿宋" w:cs="仿宋"/>
                <w:b/>
                <w:bCs/>
                <w:sz w:val="24"/>
              </w:rPr>
              <w:t>（投标时提供演示截图不少于3张）</w:t>
            </w:r>
            <w:r>
              <w:rPr>
                <w:rFonts w:hint="eastAsia" w:ascii="仿宋" w:hAnsi="仿宋" w:eastAsia="仿宋" w:cs="仿宋"/>
                <w:sz w:val="24"/>
              </w:rPr>
              <w:t>；</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3.4 使用手势识别检测技术，设置并识别手势；</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3.5 驾驶员监测：人脸分析、打哈欠、低头、闭眼；</w:t>
            </w:r>
          </w:p>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3.6 智能座舱故障设置排除功能，能通过软硬件故障模拟和检测。</w:t>
            </w:r>
          </w:p>
        </w:tc>
        <w:tc>
          <w:tcPr>
            <w:tcW w:w="450"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2</w:t>
            </w:r>
          </w:p>
        </w:tc>
        <w:tc>
          <w:tcPr>
            <w:tcW w:w="487" w:type="dxa"/>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台</w:t>
            </w:r>
          </w:p>
        </w:tc>
      </w:tr>
    </w:tbl>
    <w:p>
      <w:pPr>
        <w:spacing w:line="360" w:lineRule="exact"/>
        <w:ind w:left="426"/>
        <w:rPr>
          <w:rFonts w:ascii="仿宋" w:hAnsi="仿宋" w:eastAsia="仿宋" w:cs="仿宋"/>
          <w:b/>
          <w:sz w:val="24"/>
        </w:rPr>
      </w:pPr>
      <w:r>
        <w:rPr>
          <w:rFonts w:hint="eastAsia" w:ascii="仿宋" w:hAnsi="仿宋" w:eastAsia="仿宋" w:cs="仿宋"/>
          <w:b/>
          <w:sz w:val="24"/>
        </w:rPr>
        <w:t>三、其它相关要求及说明：</w:t>
      </w:r>
    </w:p>
    <w:p>
      <w:pPr>
        <w:spacing w:line="360" w:lineRule="exact"/>
        <w:ind w:firstLine="480" w:firstLineChars="200"/>
        <w:rPr>
          <w:rFonts w:ascii="仿宋" w:hAnsi="仿宋" w:eastAsia="仿宋" w:cs="仿宋"/>
          <w:sz w:val="24"/>
        </w:rPr>
      </w:pPr>
      <w:r>
        <w:rPr>
          <w:rFonts w:hint="eastAsia" w:ascii="仿宋" w:hAnsi="仿宋" w:eastAsia="仿宋" w:cs="仿宋"/>
          <w:sz w:val="24"/>
        </w:rPr>
        <w:t>1、中标人提供的设备是厂商原装的、全新的、未拆封的（所有设备全部原包装运到使用单位，经用户代表初步检验才能开箱安装），型号、性能指标符合国家相关标准及询价文件提出的有关技术、质量、安全标准，对于影响设备正常工作的必要组成部分，无论在技术规范中指出与否，中标人都应提供并在响应文件中明确列出。</w:t>
      </w:r>
    </w:p>
    <w:p>
      <w:pPr>
        <w:spacing w:line="360" w:lineRule="exact"/>
        <w:ind w:firstLine="480" w:firstLineChars="200"/>
        <w:rPr>
          <w:rFonts w:ascii="仿宋" w:hAnsi="仿宋" w:eastAsia="仿宋" w:cs="仿宋"/>
          <w:sz w:val="24"/>
        </w:rPr>
      </w:pPr>
      <w:r>
        <w:rPr>
          <w:rFonts w:hint="eastAsia" w:ascii="仿宋" w:hAnsi="仿宋" w:eastAsia="仿宋" w:cs="仿宋"/>
          <w:sz w:val="24"/>
        </w:rPr>
        <w:t>对于技术要求的参数指标，根据本项目的特点，产品可以在优化的方向上进行突破。</w:t>
      </w:r>
    </w:p>
    <w:p>
      <w:pPr>
        <w:spacing w:line="360" w:lineRule="exact"/>
        <w:ind w:firstLine="480" w:firstLineChars="200"/>
        <w:rPr>
          <w:rFonts w:ascii="仿宋" w:hAnsi="仿宋" w:eastAsia="仿宋" w:cs="仿宋"/>
          <w:sz w:val="24"/>
        </w:rPr>
      </w:pPr>
      <w:r>
        <w:rPr>
          <w:rFonts w:hint="eastAsia" w:ascii="仿宋" w:hAnsi="仿宋" w:eastAsia="仿宋" w:cs="仿宋"/>
          <w:sz w:val="24"/>
        </w:rPr>
        <w:t>2、合同签订后，由中标人负责将设备按签订合同的具体数量、具体地点运送到最终目的地。并负责派技术人员到现场进行安装、调试直至验收合格交付采购人使用。</w:t>
      </w:r>
    </w:p>
    <w:p>
      <w:pPr>
        <w:spacing w:line="360" w:lineRule="exact"/>
        <w:ind w:firstLine="480" w:firstLineChars="200"/>
        <w:rPr>
          <w:rFonts w:ascii="仿宋" w:hAnsi="仿宋" w:eastAsia="仿宋" w:cs="仿宋"/>
          <w:sz w:val="24"/>
        </w:rPr>
      </w:pPr>
      <w:r>
        <w:rPr>
          <w:rFonts w:hint="eastAsia" w:ascii="仿宋" w:hAnsi="仿宋" w:eastAsia="仿宋" w:cs="仿宋"/>
          <w:sz w:val="24"/>
        </w:rPr>
        <w:t>3、中标人明确针对本项目的项目负责人，且项目负责人必须为正式员工，有社保证明，并写明具体项目负责人姓名、联系方式。</w:t>
      </w:r>
      <w:r>
        <w:rPr>
          <w:rFonts w:hint="eastAsia" w:ascii="仿宋" w:hAnsi="仿宋" w:eastAsia="仿宋" w:cs="仿宋"/>
          <w:b/>
          <w:bCs/>
          <w:sz w:val="24"/>
        </w:rPr>
        <w:t>（在投标文件内提供材料）</w:t>
      </w:r>
    </w:p>
    <w:p>
      <w:pPr>
        <w:spacing w:line="360" w:lineRule="exact"/>
        <w:ind w:left="426"/>
        <w:rPr>
          <w:rFonts w:ascii="仿宋" w:hAnsi="仿宋" w:eastAsia="仿宋" w:cs="仿宋"/>
          <w:b/>
          <w:sz w:val="24"/>
        </w:rPr>
      </w:pPr>
      <w:r>
        <w:rPr>
          <w:rFonts w:hint="eastAsia" w:ascii="仿宋" w:hAnsi="仿宋" w:eastAsia="仿宋" w:cs="仿宋"/>
          <w:b/>
          <w:sz w:val="24"/>
        </w:rPr>
        <w:t>四、交货期</w:t>
      </w:r>
    </w:p>
    <w:p>
      <w:pPr>
        <w:spacing w:line="360" w:lineRule="exact"/>
        <w:ind w:firstLine="480" w:firstLineChars="200"/>
        <w:rPr>
          <w:rFonts w:ascii="仿宋" w:hAnsi="仿宋" w:eastAsia="仿宋" w:cs="仿宋"/>
          <w:sz w:val="24"/>
        </w:rPr>
      </w:pPr>
      <w:r>
        <w:rPr>
          <w:rFonts w:hint="eastAsia" w:ascii="仿宋" w:hAnsi="仿宋" w:eastAsia="仿宋" w:cs="仿宋"/>
          <w:sz w:val="24"/>
        </w:rPr>
        <w:t>中标单位在签订采购合同之日起，60天内完成全部设备的完整供货，并按招标单位要求完成设备的免费安装调试，达到正常的使用状态，并能稳定运行，并得到采购方的书面验收确认。若遇到甲方不具备安装调试条件，经甲方认可，双方可书面约定完成工作任务的时间节点，最后完成本项目的设备安装调试任务。</w:t>
      </w:r>
    </w:p>
    <w:p>
      <w:pPr>
        <w:spacing w:line="360" w:lineRule="exact"/>
        <w:ind w:left="426"/>
        <w:rPr>
          <w:rFonts w:ascii="仿宋" w:hAnsi="仿宋" w:eastAsia="仿宋" w:cs="仿宋"/>
          <w:b/>
          <w:sz w:val="24"/>
        </w:rPr>
      </w:pPr>
      <w:r>
        <w:rPr>
          <w:rFonts w:hint="eastAsia" w:ascii="仿宋" w:hAnsi="仿宋" w:eastAsia="仿宋" w:cs="仿宋"/>
          <w:b/>
          <w:sz w:val="24"/>
        </w:rPr>
        <w:t>五、售后服务</w:t>
      </w:r>
    </w:p>
    <w:p>
      <w:pPr>
        <w:spacing w:line="360" w:lineRule="exact"/>
        <w:ind w:firstLine="480" w:firstLineChars="200"/>
        <w:rPr>
          <w:rFonts w:ascii="仿宋" w:hAnsi="仿宋" w:eastAsia="仿宋" w:cs="仿宋"/>
          <w:sz w:val="24"/>
        </w:rPr>
      </w:pPr>
      <w:r>
        <w:rPr>
          <w:rFonts w:hint="eastAsia" w:ascii="仿宋" w:hAnsi="仿宋" w:eastAsia="仿宋" w:cs="仿宋"/>
          <w:bCs/>
          <w:sz w:val="24"/>
        </w:rPr>
        <w:t>1、提供</w:t>
      </w:r>
      <w:r>
        <w:rPr>
          <w:rFonts w:hint="eastAsia" w:ascii="仿宋" w:hAnsi="仿宋" w:eastAsia="仿宋" w:cs="仿宋"/>
          <w:sz w:val="24"/>
        </w:rPr>
        <w:t>至少三年的质保期，自验收合格之日起计算。</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质保期内，中标人须按合同条款提供免费服务，非因操作不当造成要更换的零配件及设备由中标人负责包修、包换。中标人在质保期内须提供免费上门维修服务。如质保期内同一故障发生三次，或在两个月内无法修复，中标人应无条件换货，立即更换新机；如质保期内因故障停机，按停机时间的双倍顺延质保期。</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在质量保证期内设备运行发生故障时，中标人在接到采购人故障通知后2小时内响应，并在24小时内派专业技术人员到达现场，免费负责修理或更换有缺陷的零部件或整机，如一时无法修复的设备，中标人应提供同档次备品供采购人使用，其中发生一切费用由中标人承担。</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质保期结束后，中标人应在设备使用地区指定有维修能力的代理机构对设备在必要时进行定期维护和修理。设备运行发生故障时，中标人在接到采购人故障通知后2小时内响应，24小时内派人到达现场解决，承担终身维修服务。维修过程只收取配件费，且以最优惠价格提供。</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bCs/>
          <w:color w:val="auto"/>
          <w:sz w:val="24"/>
          <w:szCs w:val="24"/>
        </w:rPr>
        <w:t>5、</w:t>
      </w:r>
      <w:r>
        <w:rPr>
          <w:rFonts w:hint="eastAsia" w:ascii="仿宋" w:hAnsi="仿宋" w:eastAsia="仿宋" w:cs="仿宋"/>
          <w:color w:val="auto"/>
          <w:sz w:val="24"/>
          <w:szCs w:val="24"/>
        </w:rPr>
        <w:t>中标人须列好计划对设备的使用操作、设备维修、故障排除、日常保养等方面为采购人提供现场技术培训，直到受训的技术人员能独立操作为止。对相应的受训人员应免费提供相应讲义教材等资料。中标人委派的专业技术人员所需费用均由中标人承担。</w:t>
      </w:r>
    </w:p>
    <w:p>
      <w:pPr>
        <w:spacing w:line="360" w:lineRule="exact"/>
        <w:ind w:firstLine="480" w:firstLineChars="200"/>
        <w:rPr>
          <w:rFonts w:ascii="仿宋" w:hAnsi="仿宋" w:eastAsia="仿宋" w:cs="仿宋"/>
          <w:sz w:val="24"/>
        </w:rPr>
      </w:pPr>
      <w:r>
        <w:rPr>
          <w:rFonts w:hint="eastAsia" w:ascii="仿宋" w:hAnsi="仿宋" w:eastAsia="仿宋" w:cs="仿宋"/>
          <w:sz w:val="24"/>
        </w:rPr>
        <w:t>6、技术资料要求</w:t>
      </w:r>
    </w:p>
    <w:p>
      <w:pPr>
        <w:spacing w:line="360" w:lineRule="exact"/>
        <w:ind w:firstLine="480" w:firstLineChars="200"/>
        <w:rPr>
          <w:rFonts w:ascii="仿宋" w:hAnsi="仿宋" w:eastAsia="仿宋" w:cs="仿宋"/>
          <w:bCs/>
          <w:kern w:val="0"/>
          <w:sz w:val="24"/>
        </w:rPr>
      </w:pPr>
      <w:r>
        <w:rPr>
          <w:rFonts w:hint="eastAsia" w:ascii="仿宋" w:hAnsi="仿宋" w:eastAsia="仿宋" w:cs="仿宋"/>
          <w:bCs/>
          <w:kern w:val="0"/>
          <w:sz w:val="24"/>
        </w:rPr>
        <w:t>中标人应向采购人提供以下目录的技术资料壹套（各项指标和参数应符合验收标准，采购人有权委托中国有资格单位或机构对设备性能、精度进行校核）。</w:t>
      </w:r>
    </w:p>
    <w:p>
      <w:pPr>
        <w:pStyle w:val="59"/>
        <w:spacing w:before="0" w:beforeAutospacing="0" w:after="0" w:afterAutospacing="0" w:line="360" w:lineRule="exact"/>
        <w:rPr>
          <w:rFonts w:ascii="仿宋" w:hAnsi="仿宋" w:eastAsia="仿宋" w:cs="仿宋"/>
          <w:color w:val="auto"/>
          <w:sz w:val="24"/>
          <w:szCs w:val="24"/>
        </w:rPr>
      </w:pPr>
      <w:r>
        <w:rPr>
          <w:rFonts w:hint="eastAsia" w:ascii="仿宋" w:hAnsi="仿宋" w:eastAsia="仿宋" w:cs="仿宋"/>
          <w:color w:val="auto"/>
          <w:sz w:val="24"/>
          <w:szCs w:val="24"/>
        </w:rPr>
        <w:t xml:space="preserve">    （1）出厂明细表(装箱单)；</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（2）出厂检验报告和合格证书；</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（3）使用说明书；</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（4）安装手册、操作手册、维修手册；</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（5）零部件目录；</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（6）相关文件、支持程序软盘或光盘；</w:t>
      </w:r>
    </w:p>
    <w:p>
      <w:pPr>
        <w:pStyle w:val="59"/>
        <w:spacing w:before="0" w:beforeAutospacing="0" w:after="0" w:afterAutospacing="0" w:line="3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（7）合同中要求的其它文件资料。</w:t>
      </w:r>
    </w:p>
    <w:p>
      <w:pPr>
        <w:spacing w:line="360" w:lineRule="exact"/>
        <w:ind w:left="426"/>
        <w:rPr>
          <w:rFonts w:ascii="仿宋" w:hAnsi="仿宋" w:eastAsia="仿宋" w:cs="仿宋"/>
          <w:b/>
          <w:sz w:val="24"/>
        </w:rPr>
      </w:pPr>
      <w:r>
        <w:rPr>
          <w:rFonts w:hint="eastAsia" w:ascii="仿宋" w:hAnsi="仿宋" w:eastAsia="仿宋" w:cs="仿宋"/>
          <w:b/>
          <w:sz w:val="24"/>
        </w:rPr>
        <w:t>六、货款结算</w:t>
      </w:r>
    </w:p>
    <w:p>
      <w:pPr>
        <w:widowControl/>
        <w:spacing w:line="380" w:lineRule="exact"/>
        <w:ind w:firstLine="480" w:firstLineChars="200"/>
        <w:jc w:val="left"/>
        <w:rPr>
          <w:rFonts w:ascii="仿宋" w:hAnsi="仿宋" w:eastAsia="仿宋" w:cs="仿宋"/>
          <w:bCs/>
          <w:sz w:val="24"/>
        </w:rPr>
      </w:pPr>
      <w:r>
        <w:rPr>
          <w:rFonts w:hint="eastAsia" w:ascii="仿宋" w:hAnsi="仿宋" w:eastAsia="仿宋" w:cs="仿宋"/>
          <w:bCs/>
          <w:sz w:val="24"/>
        </w:rPr>
        <w:t>合同生效及具备实施条件后7个工作日内，支付合同价40%作为预付款，产品经安装、调试、验收合格并收到发票后7个工作日内支付至合同价100%。具体支付条款双方协商。</w:t>
      </w:r>
    </w:p>
    <w:p>
      <w:pPr>
        <w:spacing w:line="360" w:lineRule="exact"/>
        <w:ind w:firstLine="482" w:firstLineChars="200"/>
        <w:rPr>
          <w:rFonts w:ascii="仿宋" w:hAnsi="仿宋" w:eastAsia="仿宋" w:cs="仿宋"/>
          <w:b/>
          <w:sz w:val="24"/>
        </w:rPr>
      </w:pPr>
      <w:r>
        <w:rPr>
          <w:rFonts w:hint="eastAsia" w:ascii="仿宋" w:hAnsi="仿宋" w:eastAsia="仿宋" w:cs="仿宋"/>
          <w:b/>
          <w:sz w:val="24"/>
        </w:rPr>
        <w:t>七、其他</w:t>
      </w:r>
    </w:p>
    <w:p>
      <w:pPr>
        <w:pStyle w:val="118"/>
        <w:spacing w:line="440" w:lineRule="exact"/>
        <w:ind w:firstLine="480"/>
        <w:rPr>
          <w:rFonts w:ascii="仿宋_GB2312" w:hAnsi="仿宋_GB2312" w:eastAsia="仿宋_GB2312" w:cs="仿宋_GB2312"/>
          <w:bCs/>
          <w:sz w:val="24"/>
        </w:rPr>
      </w:pPr>
      <w:r>
        <w:rPr>
          <w:rFonts w:hint="eastAsia" w:ascii="仿宋" w:hAnsi="仿宋" w:eastAsia="仿宋" w:cs="仿宋"/>
          <w:sz w:val="24"/>
          <w:szCs w:val="24"/>
        </w:rPr>
        <w:t>本项目涉及的设备采购，投标人需承诺投标报价不超过厂方零售指导价。</w:t>
      </w:r>
    </w:p>
    <w:p>
      <w:pPr>
        <w:pStyle w:val="118"/>
        <w:spacing w:line="440" w:lineRule="exact"/>
        <w:ind w:firstLine="480"/>
        <w:rPr>
          <w:rFonts w:ascii="仿宋_GB2312" w:hAnsi="仿宋_GB2312" w:eastAsia="仿宋_GB2312" w:cs="仿宋_GB2312"/>
          <w:bCs/>
          <w:sz w:val="24"/>
        </w:rPr>
      </w:pPr>
    </w:p>
    <w:p>
      <w:pPr>
        <w:pStyle w:val="118"/>
        <w:spacing w:line="440" w:lineRule="exact"/>
        <w:ind w:firstLine="480"/>
        <w:rPr>
          <w:rFonts w:ascii="仿宋_GB2312" w:hAnsi="仿宋_GB2312" w:eastAsia="仿宋_GB2312" w:cs="仿宋_GB2312"/>
          <w:bCs/>
          <w:sz w:val="24"/>
        </w:rPr>
      </w:pPr>
    </w:p>
    <w:p>
      <w:pPr>
        <w:spacing w:line="440" w:lineRule="exact"/>
        <w:ind w:right="420"/>
        <w:rPr>
          <w:rFonts w:ascii="仿宋_GB2312" w:hAnsi="新宋体" w:eastAsia="仿宋_GB2312" w:cs="Arial"/>
          <w:b/>
          <w:bCs/>
          <w:sz w:val="24"/>
        </w:rPr>
      </w:pPr>
    </w:p>
    <w:p>
      <w:pPr>
        <w:spacing w:line="440" w:lineRule="exact"/>
        <w:ind w:right="420"/>
        <w:rPr>
          <w:rFonts w:ascii="仿宋_GB2312" w:hAnsi="新宋体" w:eastAsia="仿宋_GB2312" w:cs="Arial"/>
          <w:b/>
          <w:bCs/>
          <w:sz w:val="24"/>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0"/>
        <w:ind w:left="0" w:leftChars="0" w:firstLine="0" w:firstLineChars="0"/>
        <w:rPr>
          <w:rFonts w:ascii="仿宋_GB2312" w:hAnsi="仿宋" w:eastAsia="仿宋_GB2312" w:cs="仿宋"/>
          <w:szCs w:val="24"/>
        </w:rPr>
      </w:pPr>
    </w:p>
    <w:p>
      <w:pPr>
        <w:pStyle w:val="310"/>
        <w:jc w:val="center"/>
        <w:rPr>
          <w:rFonts w:ascii="仿宋_GB2312" w:hAnsi="仿宋" w:eastAsia="仿宋_GB2312" w:cs="仿宋"/>
          <w:szCs w:val="24"/>
        </w:rPr>
      </w:pP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0"/>
        <w:rPr>
          <w:rFonts w:ascii="仿宋_GB2312" w:hAnsi="仿宋" w:eastAsia="仿宋_GB2312" w:cs="仿宋"/>
          <w:szCs w:val="24"/>
        </w:rPr>
      </w:pPr>
    </w:p>
    <w:p>
      <w:pPr>
        <w:pStyle w:val="310"/>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11" w:name="_Toc2232"/>
      <w:bookmarkStart w:id="12" w:name="_Toc3029"/>
      <w:bookmarkStart w:id="13" w:name="_Toc24059"/>
      <w:r>
        <w:rPr>
          <w:rFonts w:hint="eastAsia" w:ascii="仿宋_GB2312" w:hAnsi="仿宋" w:eastAsia="仿宋_GB2312" w:cs="仿宋"/>
          <w:b/>
          <w:sz w:val="24"/>
        </w:rPr>
        <w:t>1.1 合同组成部分</w:t>
      </w:r>
      <w:bookmarkEnd w:id="11"/>
      <w:bookmarkEnd w:id="12"/>
      <w:bookmarkEnd w:id="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4" w:name="_Toc24300"/>
      <w:bookmarkStart w:id="15" w:name="_Toc21295"/>
      <w:bookmarkStart w:id="16" w:name="_Toc27126"/>
      <w:r>
        <w:rPr>
          <w:rFonts w:hint="eastAsia" w:ascii="仿宋_GB2312" w:hAnsi="仿宋" w:eastAsia="仿宋_GB2312" w:cs="仿宋"/>
          <w:b/>
          <w:sz w:val="24"/>
        </w:rPr>
        <w:t>1.2 货物</w:t>
      </w:r>
      <w:bookmarkEnd w:id="14"/>
      <w:bookmarkEnd w:id="15"/>
      <w:bookmarkEnd w:id="16"/>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7" w:name="_Toc21631"/>
      <w:bookmarkStart w:id="18" w:name="_Toc21551"/>
      <w:bookmarkStart w:id="19" w:name="_Toc23292"/>
      <w:r>
        <w:rPr>
          <w:rFonts w:hint="eastAsia" w:ascii="仿宋_GB2312" w:hAnsi="仿宋" w:eastAsia="仿宋_GB2312" w:cs="仿宋"/>
          <w:b/>
          <w:sz w:val="24"/>
        </w:rPr>
        <w:t>1.3 价款</w:t>
      </w:r>
      <w:bookmarkEnd w:id="17"/>
      <w:bookmarkEnd w:id="18"/>
      <w:bookmarkEnd w:id="1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sz w:val="24"/>
                <w:szCs w:val="24"/>
              </w:rPr>
            </w:pPr>
          </w:p>
        </w:tc>
      </w:tr>
    </w:tbl>
    <w:p>
      <w:pPr>
        <w:pStyle w:val="311"/>
        <w:spacing w:before="0" w:beforeAutospacing="0" w:after="0" w:afterAutospacing="0" w:line="360" w:lineRule="auto"/>
        <w:ind w:firstLine="480"/>
        <w:rPr>
          <w:rFonts w:ascii="仿宋_GB2312" w:hAnsi="仿宋" w:eastAsia="仿宋_GB2312" w:cs="仿宋"/>
          <w:b/>
        </w:rPr>
      </w:pPr>
      <w:bookmarkStart w:id="20" w:name="_Toc1814"/>
      <w:bookmarkStart w:id="21" w:name="_Toc10340"/>
      <w:bookmarkStart w:id="22" w:name="_Toc22618"/>
      <w:r>
        <w:rPr>
          <w:rFonts w:hint="eastAsia" w:ascii="仿宋_GB2312" w:hAnsi="仿宋" w:eastAsia="仿宋_GB2312" w:cs="仿宋"/>
          <w:b/>
        </w:rPr>
        <w:t>1.4履约保证金</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20"/>
      <w:bookmarkEnd w:id="21"/>
      <w:bookmarkEnd w:id="22"/>
      <w:r>
        <w:rPr>
          <w:rFonts w:hint="eastAsia" w:ascii="仿宋_GB2312" w:hAnsi="仿宋" w:eastAsia="仿宋_GB2312" w:cs="仿宋"/>
          <w:b/>
          <w:sz w:val="24"/>
        </w:rPr>
        <w:t>预付款</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3" w:name="_Toc19304"/>
      <w:bookmarkStart w:id="24" w:name="_Toc32071"/>
      <w:bookmarkStart w:id="25" w:name="_Toc2846"/>
      <w:r>
        <w:rPr>
          <w:rFonts w:hint="eastAsia" w:ascii="仿宋_GB2312" w:hAnsi="仿宋" w:eastAsia="仿宋_GB2312" w:cs="仿宋"/>
          <w:b/>
          <w:sz w:val="24"/>
        </w:rPr>
        <w:t>1.7货物交付期限、地点和方式</w:t>
      </w:r>
      <w:bookmarkEnd w:id="23"/>
      <w:bookmarkEnd w:id="24"/>
      <w:bookmarkEnd w:id="25"/>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6" w:name="_Toc19554"/>
      <w:bookmarkStart w:id="27" w:name="_Toc27250"/>
      <w:bookmarkStart w:id="28" w:name="_Toc21423"/>
      <w:r>
        <w:rPr>
          <w:rFonts w:hint="eastAsia" w:ascii="仿宋_GB2312" w:hAnsi="仿宋" w:eastAsia="仿宋_GB2312" w:cs="仿宋"/>
          <w:b/>
          <w:sz w:val="24"/>
        </w:rPr>
        <w:t>1.8违约责任</w:t>
      </w:r>
      <w:bookmarkEnd w:id="26"/>
      <w:bookmarkEnd w:id="27"/>
      <w:bookmarkEnd w:id="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29" w:name="_Toc16021"/>
      <w:bookmarkStart w:id="30" w:name="_Toc15583"/>
      <w:bookmarkStart w:id="31" w:name="_Toc28375"/>
      <w:r>
        <w:rPr>
          <w:rFonts w:hint="eastAsia" w:ascii="仿宋_GB2312" w:hAnsi="仿宋" w:eastAsia="仿宋_GB2312" w:cs="仿宋"/>
          <w:b/>
          <w:sz w:val="24"/>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560" w:lineRule="exact"/>
        <w:ind w:firstLine="482" w:firstLineChars="200"/>
        <w:outlineLvl w:val="0"/>
        <w:rPr>
          <w:rFonts w:ascii="仿宋_GB2312" w:hAnsi="仿宋" w:eastAsia="仿宋_GB2312" w:cs="仿宋"/>
          <w:b/>
          <w:sz w:val="24"/>
        </w:rPr>
      </w:pPr>
      <w:bookmarkStart w:id="32" w:name="_Toc15322"/>
      <w:bookmarkStart w:id="33" w:name="_Toc7245"/>
      <w:bookmarkStart w:id="34" w:name="_Toc11173"/>
      <w:r>
        <w:rPr>
          <w:rFonts w:hint="eastAsia" w:ascii="仿宋_GB2312" w:hAnsi="仿宋" w:eastAsia="仿宋_GB2312" w:cs="仿宋"/>
          <w:b/>
          <w:sz w:val="24"/>
        </w:rPr>
        <w:t>2.0 合同生效</w:t>
      </w:r>
      <w:bookmarkEnd w:id="32"/>
      <w:bookmarkEnd w:id="33"/>
      <w:bookmarkEnd w:id="34"/>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0"/>
        <w:spacing w:line="560" w:lineRule="exact"/>
        <w:ind w:firstLine="482"/>
        <w:jc w:val="center"/>
        <w:rPr>
          <w:rFonts w:ascii="仿宋_GB2312" w:hAnsi="仿宋" w:eastAsia="仿宋_GB2312" w:cs="仿宋"/>
          <w:b/>
          <w:szCs w:val="24"/>
        </w:rPr>
      </w:pP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35" w:name="_Toc28763"/>
      <w:bookmarkStart w:id="36" w:name="_Toc16917"/>
      <w:bookmarkStart w:id="37" w:name="_Ref467379109"/>
      <w:bookmarkStart w:id="38" w:name="_Ref467379214"/>
      <w:bookmarkStart w:id="39" w:name="_Ref467378499"/>
      <w:bookmarkStart w:id="40" w:name="_Toc487900349"/>
      <w:bookmarkStart w:id="41" w:name="_Toc259093669"/>
      <w:bookmarkStart w:id="42" w:name="_Ref467378463"/>
      <w:bookmarkStart w:id="43" w:name="_Ref467379101"/>
      <w:bookmarkStart w:id="44" w:name="_Toc19614"/>
      <w:bookmarkStart w:id="45" w:name="_Ref467379205"/>
      <w:bookmarkStart w:id="46" w:name="_Ref467378404"/>
      <w:bookmarkStart w:id="47" w:name="_Ref467379195"/>
      <w:bookmarkStart w:id="48" w:name="_Ref467379225"/>
      <w:bookmarkStart w:id="49" w:name="_Ref467379094"/>
      <w:bookmarkStart w:id="50" w:name="_Toc279701240"/>
      <w:r>
        <w:rPr>
          <w:rFonts w:hint="eastAsia" w:ascii="仿宋_GB2312" w:hAnsi="仿宋" w:eastAsia="仿宋_GB2312" w:cs="仿宋"/>
          <w:b/>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51" w:name="_Ref467378840"/>
      <w:r>
        <w:rPr>
          <w:rFonts w:hint="eastAsia" w:ascii="仿宋_GB2312" w:hAnsi="仿宋" w:eastAsia="仿宋_GB2312" w:cs="仿宋"/>
          <w:sz w:val="24"/>
        </w:rPr>
        <w:t>2.1.4 “甲方”系指与中标或成交供应商签署合同的采购人</w:t>
      </w:r>
      <w:bookmarkEnd w:id="51"/>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52" w:name="_Ref467379400"/>
      <w:r>
        <w:rPr>
          <w:rFonts w:hint="eastAsia" w:ascii="仿宋_GB2312" w:hAnsi="仿宋" w:eastAsia="仿宋_GB2312" w:cs="仿宋"/>
          <w:sz w:val="24"/>
        </w:rPr>
        <w:t>2.1.5 “乙方”系指根据合同约定交付货物的中标或成交供应商</w:t>
      </w:r>
      <w:bookmarkEnd w:id="52"/>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53" w:name="_Ref467379436"/>
      <w:r>
        <w:rPr>
          <w:rFonts w:hint="eastAsia" w:ascii="仿宋_GB2312" w:hAnsi="仿宋" w:eastAsia="仿宋_GB2312" w:cs="仿宋"/>
          <w:sz w:val="24"/>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sz w:val="24"/>
        </w:rPr>
      </w:pPr>
      <w:bookmarkStart w:id="54" w:name="_Toc487900350"/>
      <w:bookmarkStart w:id="55" w:name="_Toc279701241"/>
      <w:bookmarkStart w:id="56" w:name="_Toc259093670"/>
      <w:bookmarkStart w:id="57" w:name="_Toc32504"/>
      <w:bookmarkStart w:id="58" w:name="_Toc13336"/>
      <w:bookmarkStart w:id="59" w:name="_Toc27635"/>
      <w:r>
        <w:rPr>
          <w:rFonts w:hint="eastAsia" w:ascii="仿宋_GB2312" w:hAnsi="仿宋" w:eastAsia="仿宋_GB2312" w:cs="仿宋"/>
          <w:b/>
          <w:sz w:val="24"/>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0" w:name="_Toc31634"/>
      <w:bookmarkStart w:id="61" w:name="_Toc259093671"/>
      <w:bookmarkStart w:id="62" w:name="_Toc27853"/>
      <w:bookmarkStart w:id="63" w:name="_Toc279701242"/>
      <w:bookmarkStart w:id="64" w:name="_Toc487900351"/>
      <w:bookmarkStart w:id="65" w:name="_Toc9829"/>
      <w:r>
        <w:rPr>
          <w:rFonts w:hint="eastAsia" w:ascii="仿宋_GB2312" w:hAnsi="仿宋" w:eastAsia="仿宋_GB2312" w:cs="仿宋"/>
          <w:b/>
          <w:sz w:val="24"/>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6" w:name="_Toc4194"/>
      <w:bookmarkStart w:id="67" w:name="_Toc11932"/>
      <w:bookmarkStart w:id="68" w:name="_Toc29149"/>
      <w:r>
        <w:rPr>
          <w:rFonts w:hint="eastAsia" w:ascii="仿宋_GB2312" w:hAnsi="仿宋" w:eastAsia="仿宋_GB2312" w:cs="仿宋"/>
          <w:b/>
          <w:sz w:val="24"/>
        </w:rPr>
        <w:t>2.4 包装和装运</w:t>
      </w:r>
      <w:bookmarkEnd w:id="66"/>
      <w:bookmarkEnd w:id="67"/>
      <w:bookmarkEnd w:id="6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9" w:name="_Toc487900354"/>
      <w:bookmarkStart w:id="70" w:name="_Ref467379527"/>
      <w:bookmarkStart w:id="71" w:name="_Toc259093674"/>
      <w:bookmarkStart w:id="72" w:name="_Ref467379536"/>
      <w:bookmarkStart w:id="73" w:name="_Ref467379542"/>
      <w:bookmarkStart w:id="74" w:name="_Ref467378591"/>
      <w:bookmarkStart w:id="75" w:name="_Toc279701245"/>
      <w:bookmarkStart w:id="76" w:name="_Ref467378541"/>
      <w:bookmarkStart w:id="77" w:name="_Toc19074"/>
      <w:bookmarkStart w:id="78" w:name="_Toc26182"/>
      <w:bookmarkStart w:id="79" w:name="_Toc30272"/>
      <w:r>
        <w:rPr>
          <w:rFonts w:hint="eastAsia" w:ascii="仿宋_GB2312" w:hAnsi="仿宋" w:eastAsia="仿宋_GB2312" w:cs="仿宋"/>
          <w:b/>
          <w:sz w:val="24"/>
        </w:rPr>
        <w:t>2.</w:t>
      </w:r>
      <w:bookmarkEnd w:id="69"/>
      <w:bookmarkEnd w:id="70"/>
      <w:bookmarkEnd w:id="71"/>
      <w:bookmarkEnd w:id="72"/>
      <w:bookmarkEnd w:id="73"/>
      <w:bookmarkEnd w:id="74"/>
      <w:bookmarkEnd w:id="75"/>
      <w:bookmarkEnd w:id="76"/>
      <w:r>
        <w:rPr>
          <w:rFonts w:hint="eastAsia" w:ascii="仿宋_GB2312" w:hAnsi="仿宋" w:eastAsia="仿宋_GB2312" w:cs="仿宋"/>
          <w:b/>
          <w:sz w:val="24"/>
        </w:rPr>
        <w:t>5 履约检查和问题反馈</w:t>
      </w:r>
      <w:bookmarkEnd w:id="77"/>
      <w:bookmarkEnd w:id="78"/>
      <w:bookmarkEnd w:id="79"/>
    </w:p>
    <w:p>
      <w:pPr>
        <w:spacing w:line="560" w:lineRule="exact"/>
        <w:ind w:firstLine="480" w:firstLineChars="200"/>
        <w:rPr>
          <w:rFonts w:ascii="仿宋_GB2312" w:hAnsi="仿宋" w:eastAsia="仿宋_GB2312" w:cs="仿宋"/>
          <w:sz w:val="24"/>
        </w:rPr>
      </w:pPr>
      <w:bookmarkStart w:id="80" w:name="_Ref467379657"/>
      <w:r>
        <w:rPr>
          <w:rFonts w:hint="eastAsia" w:ascii="仿宋_GB2312" w:hAnsi="仿宋" w:eastAsia="仿宋_GB2312" w:cs="仿宋"/>
          <w:sz w:val="24"/>
        </w:rPr>
        <w:t>2.5.1</w:t>
      </w:r>
      <w:bookmarkEnd w:id="80"/>
      <w:bookmarkStart w:id="81" w:name="_Toc186431854"/>
      <w:bookmarkStart w:id="82" w:name="_Toc259093676"/>
      <w:bookmarkStart w:id="83" w:name="_Ref467379807"/>
      <w:bookmarkStart w:id="84" w:name="_Toc279701247"/>
      <w:bookmarkStart w:id="85" w:name="_Ref467379793"/>
      <w:bookmarkStart w:id="86"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sz w:val="24"/>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sz w:val="24"/>
        </w:rPr>
      </w:pPr>
      <w:bookmarkStart w:id="88" w:name="_Toc259093677"/>
      <w:bookmarkStart w:id="89" w:name="_Toc487900358"/>
      <w:bookmarkStart w:id="90" w:name="_Toc279701248"/>
      <w:bookmarkStart w:id="91" w:name="_Ref467379923"/>
      <w:bookmarkStart w:id="92" w:name="_Ref467379852"/>
      <w:bookmarkStart w:id="93" w:name="_Ref467379863"/>
      <w:bookmarkStart w:id="94" w:name="_Toc774"/>
      <w:bookmarkStart w:id="95" w:name="_Toc16110"/>
      <w:bookmarkStart w:id="96" w:name="_Toc3225"/>
      <w:r>
        <w:rPr>
          <w:rFonts w:hint="eastAsia" w:ascii="仿宋_GB2312" w:hAnsi="仿宋" w:eastAsia="仿宋_GB2312" w:cs="仿宋"/>
          <w:b/>
          <w:sz w:val="24"/>
        </w:rPr>
        <w:t>2.6 技术资料</w:t>
      </w:r>
      <w:bookmarkEnd w:id="88"/>
      <w:bookmarkEnd w:id="89"/>
      <w:bookmarkEnd w:id="90"/>
      <w:bookmarkEnd w:id="91"/>
      <w:bookmarkEnd w:id="92"/>
      <w:bookmarkEnd w:id="93"/>
      <w:r>
        <w:rPr>
          <w:rFonts w:hint="eastAsia" w:ascii="仿宋_GB2312" w:hAnsi="仿宋" w:eastAsia="仿宋_GB2312" w:cs="仿宋"/>
          <w:b/>
          <w:sz w:val="24"/>
        </w:rPr>
        <w:t>和保密义务</w:t>
      </w:r>
      <w:bookmarkEnd w:id="94"/>
      <w:bookmarkEnd w:id="95"/>
      <w:bookmarkEnd w:id="9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97" w:name="_Toc7860"/>
      <w:r>
        <w:rPr>
          <w:rFonts w:hint="eastAsia" w:ascii="仿宋_GB2312" w:hAnsi="仿宋" w:eastAsia="仿宋_GB2312" w:cs="仿宋"/>
          <w:b/>
          <w:sz w:val="24"/>
        </w:rPr>
        <w:t>2.7 质量保证</w:t>
      </w:r>
      <w:bookmarkEnd w:id="9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98" w:name="_Toc17244"/>
      <w:bookmarkStart w:id="99" w:name="_Toc259093681"/>
      <w:bookmarkStart w:id="100" w:name="_Toc279701252"/>
      <w:bookmarkStart w:id="101" w:name="_Toc487900362"/>
      <w:r>
        <w:rPr>
          <w:rFonts w:hint="eastAsia" w:ascii="仿宋_GB2312" w:hAnsi="仿宋" w:eastAsia="仿宋_GB2312" w:cs="仿宋"/>
          <w:b/>
          <w:sz w:val="24"/>
        </w:rPr>
        <w:t>2.8 货物的风险负担</w:t>
      </w:r>
      <w:bookmarkEnd w:id="98"/>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102" w:name="_Toc14055"/>
      <w:r>
        <w:rPr>
          <w:rFonts w:hint="eastAsia" w:ascii="仿宋_GB2312" w:hAnsi="仿宋" w:eastAsia="仿宋_GB2312" w:cs="仿宋"/>
          <w:b/>
          <w:sz w:val="24"/>
        </w:rPr>
        <w:t>2.9 延迟交货</w:t>
      </w:r>
      <w:bookmarkEnd w:id="99"/>
      <w:bookmarkEnd w:id="100"/>
      <w:bookmarkEnd w:id="101"/>
      <w:bookmarkEnd w:id="10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03" w:name="_Toc7502"/>
      <w:bookmarkStart w:id="104" w:name="_Toc487900364"/>
      <w:bookmarkStart w:id="105" w:name="_Ref467378121"/>
      <w:bookmarkStart w:id="106" w:name="_Toc279701254"/>
      <w:bookmarkStart w:id="107" w:name="_Toc259093683"/>
      <w:r>
        <w:rPr>
          <w:rFonts w:hint="eastAsia" w:ascii="仿宋_GB2312" w:hAnsi="仿宋" w:eastAsia="仿宋_GB2312" w:cs="仿宋"/>
          <w:b/>
          <w:sz w:val="24"/>
        </w:rPr>
        <w:t>2.10 合同变更</w:t>
      </w:r>
      <w:bookmarkEnd w:id="10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259093688"/>
      <w:bookmarkStart w:id="110" w:name="_Toc487900369"/>
    </w:p>
    <w:p>
      <w:pPr>
        <w:spacing w:line="560" w:lineRule="exact"/>
        <w:ind w:firstLine="482" w:firstLineChars="200"/>
        <w:outlineLvl w:val="0"/>
        <w:rPr>
          <w:rFonts w:ascii="仿宋_GB2312" w:hAnsi="仿宋" w:eastAsia="仿宋_GB2312" w:cs="仿宋"/>
          <w:b/>
          <w:sz w:val="24"/>
        </w:rPr>
      </w:pPr>
      <w:bookmarkStart w:id="111" w:name="_Toc15237"/>
      <w:bookmarkStart w:id="112" w:name="_Toc22955"/>
      <w:bookmarkStart w:id="113" w:name="_Toc10366"/>
      <w:r>
        <w:rPr>
          <w:rFonts w:hint="eastAsia" w:ascii="仿宋_GB2312" w:hAnsi="仿宋" w:eastAsia="仿宋_GB2312" w:cs="仿宋"/>
          <w:b/>
          <w:sz w:val="24"/>
        </w:rPr>
        <w:t>2.11 合同转让</w:t>
      </w:r>
      <w:bookmarkEnd w:id="108"/>
      <w:bookmarkEnd w:id="109"/>
      <w:bookmarkEnd w:id="110"/>
      <w:r>
        <w:rPr>
          <w:rFonts w:hint="eastAsia" w:ascii="仿宋_GB2312" w:hAnsi="仿宋" w:eastAsia="仿宋_GB2312" w:cs="仿宋"/>
          <w:b/>
          <w:sz w:val="24"/>
        </w:rPr>
        <w:t>和分包</w:t>
      </w:r>
      <w:bookmarkEnd w:id="111"/>
      <w:bookmarkEnd w:id="112"/>
      <w:bookmarkEnd w:id="1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14" w:name="_Toc13566"/>
      <w:bookmarkStart w:id="115" w:name="_Toc14066"/>
      <w:bookmarkStart w:id="116" w:name="_Toc16508"/>
      <w:r>
        <w:rPr>
          <w:rFonts w:hint="eastAsia" w:ascii="仿宋_GB2312" w:hAnsi="仿宋" w:eastAsia="仿宋_GB2312" w:cs="仿宋"/>
          <w:b/>
          <w:sz w:val="24"/>
        </w:rPr>
        <w:t>2.12 不可抗力</w:t>
      </w:r>
      <w:bookmarkEnd w:id="114"/>
      <w:bookmarkEnd w:id="115"/>
      <w:bookmarkEnd w:id="11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17" w:name="_Toc487900365"/>
      <w:bookmarkStart w:id="118" w:name="_Toc6969"/>
      <w:bookmarkStart w:id="119" w:name="_Toc279701255"/>
      <w:bookmarkStart w:id="120" w:name="_Toc689"/>
      <w:bookmarkStart w:id="121" w:name="_Toc30676"/>
      <w:bookmarkStart w:id="122" w:name="_Toc259093684"/>
      <w:r>
        <w:rPr>
          <w:rFonts w:hint="eastAsia" w:ascii="仿宋_GB2312" w:hAnsi="仿宋" w:eastAsia="仿宋_GB2312" w:cs="仿宋"/>
          <w:b/>
          <w:sz w:val="24"/>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23" w:name="_Toc487900368"/>
      <w:bookmarkStart w:id="124" w:name="_Toc7102"/>
      <w:bookmarkStart w:id="125" w:name="_Toc8298"/>
      <w:bookmarkStart w:id="126" w:name="_Toc259093687"/>
      <w:bookmarkStart w:id="127" w:name="_Toc16959"/>
      <w:bookmarkStart w:id="128" w:name="_Toc279701258"/>
      <w:r>
        <w:rPr>
          <w:rFonts w:hint="eastAsia" w:ascii="仿宋_GB2312" w:hAnsi="仿宋" w:eastAsia="仿宋_GB2312" w:cs="仿宋"/>
          <w:b/>
          <w:sz w:val="24"/>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29" w:name="_Toc15387"/>
      <w:bookmarkStart w:id="130" w:name="_Toc6134"/>
      <w:bookmarkStart w:id="131" w:name="_Toc29333"/>
      <w:r>
        <w:rPr>
          <w:rFonts w:hint="eastAsia" w:ascii="仿宋_GB2312" w:hAnsi="仿宋" w:eastAsia="仿宋_GB2312" w:cs="仿宋"/>
          <w:b/>
          <w:sz w:val="24"/>
        </w:rPr>
        <w:t>2.15 合同中止、终止</w:t>
      </w:r>
      <w:bookmarkEnd w:id="129"/>
      <w:bookmarkEnd w:id="130"/>
      <w:bookmarkEnd w:id="13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32" w:name="_Toc14563"/>
      <w:bookmarkStart w:id="133" w:name="_Toc6596"/>
      <w:bookmarkStart w:id="134" w:name="_Toc1125"/>
      <w:r>
        <w:rPr>
          <w:rFonts w:hint="eastAsia" w:ascii="仿宋_GB2312" w:hAnsi="仿宋" w:eastAsia="仿宋_GB2312" w:cs="仿宋"/>
          <w:b/>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4"/>
    <w:bookmarkEnd w:id="105"/>
    <w:bookmarkEnd w:id="106"/>
    <w:bookmarkEnd w:id="107"/>
    <w:p>
      <w:pPr>
        <w:spacing w:line="560" w:lineRule="exact"/>
        <w:ind w:firstLine="482" w:firstLineChars="200"/>
        <w:outlineLvl w:val="0"/>
        <w:rPr>
          <w:rFonts w:ascii="仿宋_GB2312" w:hAnsi="仿宋" w:eastAsia="仿宋_GB2312" w:cs="仿宋"/>
          <w:b/>
          <w:sz w:val="24"/>
        </w:rPr>
      </w:pPr>
      <w:bookmarkStart w:id="135" w:name="_Toc487900371"/>
      <w:bookmarkStart w:id="136" w:name="_Toc279701261"/>
      <w:bookmarkStart w:id="137" w:name="_Toc259093690"/>
      <w:bookmarkStart w:id="138" w:name="_Toc11284"/>
      <w:bookmarkStart w:id="139" w:name="_Toc25182"/>
      <w:bookmarkStart w:id="140" w:name="_Toc19604"/>
      <w:r>
        <w:rPr>
          <w:rFonts w:hint="eastAsia" w:ascii="仿宋_GB2312" w:hAnsi="仿宋" w:eastAsia="仿宋_GB2312" w:cs="仿宋"/>
          <w:b/>
          <w:sz w:val="24"/>
        </w:rPr>
        <w:t>2.17 通知</w:t>
      </w:r>
      <w:bookmarkEnd w:id="135"/>
      <w:bookmarkEnd w:id="136"/>
      <w:bookmarkEnd w:id="137"/>
      <w:r>
        <w:rPr>
          <w:rFonts w:hint="eastAsia" w:ascii="仿宋_GB2312" w:hAnsi="仿宋" w:eastAsia="仿宋_GB2312" w:cs="仿宋"/>
          <w:b/>
          <w:sz w:val="24"/>
        </w:rPr>
        <w:t>和送达</w:t>
      </w:r>
      <w:bookmarkEnd w:id="138"/>
      <w:bookmarkEnd w:id="139"/>
      <w:bookmarkEnd w:id="140"/>
    </w:p>
    <w:p>
      <w:pPr>
        <w:spacing w:line="560" w:lineRule="exact"/>
        <w:ind w:firstLine="480" w:firstLineChars="200"/>
        <w:rPr>
          <w:rFonts w:ascii="仿宋_GB2312" w:hAnsi="仿宋" w:eastAsia="仿宋_GB2312" w:cs="仿宋"/>
          <w:sz w:val="24"/>
        </w:rPr>
      </w:pPr>
      <w:bookmarkStart w:id="141" w:name="_Toc6698"/>
      <w:bookmarkStart w:id="142" w:name="_Toc3135"/>
      <w:bookmarkStart w:id="143" w:name="_Toc487900372"/>
      <w:bookmarkStart w:id="144" w:name="_Toc259093691"/>
      <w:bookmarkStart w:id="145" w:name="_Toc27970126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sz w:val="24"/>
        </w:rPr>
      </w:pPr>
      <w:bookmarkStart w:id="146" w:name="_Toc23294"/>
      <w:bookmarkStart w:id="147"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sz w:val="24"/>
        </w:rPr>
      </w:pPr>
      <w:bookmarkStart w:id="148" w:name="_Toc4355"/>
      <w:bookmarkStart w:id="149" w:name="_Toc18540"/>
      <w:bookmarkStart w:id="150" w:name="_Toc30599"/>
      <w:r>
        <w:rPr>
          <w:rFonts w:hint="eastAsia" w:ascii="仿宋_GB2312" w:hAnsi="仿宋" w:eastAsia="仿宋_GB2312" w:cs="仿宋"/>
          <w:b/>
          <w:sz w:val="24"/>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51" w:name="_Toc259093692"/>
      <w:bookmarkStart w:id="152" w:name="_Toc487900373"/>
      <w:bookmarkStart w:id="153" w:name="_Toc12773"/>
      <w:bookmarkStart w:id="154" w:name="_Toc10330"/>
      <w:bookmarkStart w:id="155" w:name="_Toc279701263"/>
      <w:bookmarkStart w:id="156" w:name="_Toc18567"/>
      <w:r>
        <w:rPr>
          <w:rFonts w:hint="eastAsia" w:ascii="仿宋_GB2312" w:hAnsi="仿宋" w:eastAsia="仿宋_GB2312"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157" w:name="_Toc19890"/>
      <w:bookmarkStart w:id="158" w:name="_Toc14001"/>
      <w:bookmarkStart w:id="159" w:name="_Toc6885"/>
      <w:r>
        <w:rPr>
          <w:rFonts w:hint="eastAsia" w:ascii="仿宋_GB2312" w:hAnsi="仿宋" w:eastAsia="仿宋_GB2312" w:cs="仿宋"/>
          <w:b/>
          <w:sz w:val="24"/>
        </w:rPr>
        <w:t>2.20 合同份数</w:t>
      </w:r>
      <w:bookmarkEnd w:id="157"/>
      <w:bookmarkEnd w:id="158"/>
      <w:bookmarkEnd w:id="1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2.1商务技术分（70分）</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9"/>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71" w:type="dxa"/>
            <w:vAlign w:val="center"/>
          </w:tcPr>
          <w:p>
            <w:pPr>
              <w:spacing w:line="360" w:lineRule="exact"/>
              <w:jc w:val="center"/>
              <w:rPr>
                <w:rFonts w:ascii="仿宋" w:hAnsi="仿宋" w:eastAsia="仿宋" w:cs="仿宋"/>
                <w:b/>
                <w:sz w:val="24"/>
              </w:rPr>
            </w:pPr>
            <w:r>
              <w:rPr>
                <w:rFonts w:hint="eastAsia" w:ascii="仿宋" w:hAnsi="仿宋" w:eastAsia="仿宋" w:cs="仿宋"/>
                <w:kern w:val="0"/>
                <w:sz w:val="24"/>
              </w:rPr>
              <w:t>评标项目</w:t>
            </w:r>
          </w:p>
        </w:tc>
        <w:tc>
          <w:tcPr>
            <w:tcW w:w="709" w:type="dxa"/>
            <w:vAlign w:val="center"/>
          </w:tcPr>
          <w:p>
            <w:pPr>
              <w:spacing w:line="360" w:lineRule="exact"/>
              <w:jc w:val="center"/>
              <w:rPr>
                <w:rFonts w:ascii="仿宋" w:hAnsi="仿宋" w:eastAsia="仿宋" w:cs="仿宋"/>
                <w:b/>
                <w:sz w:val="24"/>
              </w:rPr>
            </w:pPr>
            <w:r>
              <w:rPr>
                <w:rFonts w:hint="eastAsia" w:ascii="仿宋" w:hAnsi="仿宋" w:eastAsia="仿宋" w:cs="仿宋"/>
                <w:kern w:val="0"/>
                <w:sz w:val="24"/>
              </w:rPr>
              <w:t>分值</w:t>
            </w:r>
          </w:p>
        </w:tc>
        <w:tc>
          <w:tcPr>
            <w:tcW w:w="7232" w:type="dxa"/>
            <w:vAlign w:val="center"/>
          </w:tcPr>
          <w:p>
            <w:pPr>
              <w:spacing w:line="360" w:lineRule="exact"/>
              <w:jc w:val="center"/>
              <w:rPr>
                <w:rFonts w:ascii="仿宋" w:hAnsi="仿宋" w:eastAsia="仿宋" w:cs="仿宋"/>
                <w:b/>
                <w:sz w:val="24"/>
              </w:rPr>
            </w:pPr>
            <w:r>
              <w:rPr>
                <w:rFonts w:hint="eastAsia" w:ascii="仿宋" w:hAnsi="仿宋" w:eastAsia="仿宋" w:cs="仿宋"/>
                <w:kern w:val="0"/>
                <w:sz w:val="24"/>
              </w:rPr>
              <w:t>评标内容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271" w:type="dxa"/>
            <w:vAlign w:val="center"/>
          </w:tcPr>
          <w:p>
            <w:pPr>
              <w:jc w:val="center"/>
              <w:rPr>
                <w:rFonts w:ascii="仿宋_GB2312" w:hAnsi="宋体" w:eastAsia="仿宋_GB2312"/>
                <w:sz w:val="24"/>
              </w:rPr>
            </w:pPr>
            <w:r>
              <w:rPr>
                <w:rFonts w:hint="eastAsia" w:ascii="仿宋_GB2312" w:hAnsi="宋体" w:eastAsia="仿宋_GB2312"/>
                <w:sz w:val="24"/>
              </w:rPr>
              <w:t>技术参数</w:t>
            </w:r>
          </w:p>
        </w:tc>
        <w:tc>
          <w:tcPr>
            <w:tcW w:w="709" w:type="dxa"/>
            <w:vAlign w:val="center"/>
          </w:tcPr>
          <w:p>
            <w:pPr>
              <w:spacing w:line="360" w:lineRule="exact"/>
              <w:jc w:val="center"/>
              <w:rPr>
                <w:rFonts w:ascii="仿宋" w:hAnsi="仿宋" w:eastAsia="仿宋_GB2312" w:cs="仿宋"/>
                <w:kern w:val="0"/>
                <w:sz w:val="24"/>
              </w:rPr>
            </w:pPr>
            <w:r>
              <w:rPr>
                <w:rFonts w:hint="eastAsia" w:ascii="仿宋_GB2312" w:hAnsi="宋体" w:eastAsia="仿宋_GB2312"/>
                <w:sz w:val="24"/>
              </w:rPr>
              <w:t>30</w:t>
            </w:r>
          </w:p>
        </w:tc>
        <w:tc>
          <w:tcPr>
            <w:tcW w:w="7232" w:type="dxa"/>
          </w:tcPr>
          <w:p>
            <w:pPr>
              <w:widowControl/>
              <w:spacing w:line="360" w:lineRule="exact"/>
              <w:jc w:val="left"/>
              <w:rPr>
                <w:rFonts w:ascii="仿宋_GB2312" w:hAnsi="宋体" w:eastAsia="仿宋_GB2312"/>
                <w:sz w:val="24"/>
              </w:rPr>
            </w:pPr>
            <w:r>
              <w:rPr>
                <w:rFonts w:hint="eastAsia" w:ascii="仿宋_GB2312" w:hAnsi="宋体" w:eastAsia="仿宋_GB2312"/>
                <w:sz w:val="24"/>
              </w:rPr>
              <w:t>1.根据投标人所投产品的技术指标逐项打分，完全满足招标文件要求的，得30分；</w:t>
            </w:r>
          </w:p>
          <w:p>
            <w:pPr>
              <w:widowControl/>
              <w:spacing w:line="360" w:lineRule="exact"/>
              <w:jc w:val="left"/>
              <w:rPr>
                <w:rFonts w:ascii="仿宋_GB2312" w:hAnsi="宋体" w:eastAsia="仿宋_GB2312"/>
                <w:sz w:val="24"/>
              </w:rPr>
            </w:pPr>
            <w:r>
              <w:rPr>
                <w:rFonts w:hint="eastAsia" w:ascii="仿宋_GB2312" w:hAnsi="宋体" w:eastAsia="仿宋_GB2312"/>
                <w:sz w:val="24"/>
              </w:rPr>
              <w:t>2.不符合（负偏离）标注“★”号技术要求的，作无效投标处理；</w:t>
            </w:r>
          </w:p>
          <w:p>
            <w:pPr>
              <w:widowControl/>
              <w:spacing w:line="360" w:lineRule="exact"/>
              <w:jc w:val="left"/>
              <w:rPr>
                <w:rFonts w:ascii="仿宋_GB2312" w:hAnsi="宋体" w:eastAsia="仿宋_GB2312"/>
                <w:sz w:val="24"/>
              </w:rPr>
            </w:pPr>
            <w:r>
              <w:rPr>
                <w:rFonts w:hint="eastAsia" w:ascii="仿宋_GB2312" w:hAnsi="宋体" w:eastAsia="仿宋_GB2312"/>
                <w:sz w:val="24"/>
              </w:rPr>
              <w:t>3.不符合（负偏离）标注“▲”号技术要求的，每有一项扣</w:t>
            </w:r>
            <w:r>
              <w:rPr>
                <w:rFonts w:ascii="仿宋_GB2312" w:hAnsi="宋体" w:eastAsia="仿宋_GB2312"/>
                <w:sz w:val="24"/>
              </w:rPr>
              <w:t>2</w:t>
            </w:r>
            <w:r>
              <w:rPr>
                <w:rFonts w:hint="eastAsia" w:ascii="仿宋_GB2312" w:hAnsi="宋体" w:eastAsia="仿宋_GB2312"/>
                <w:sz w:val="24"/>
              </w:rPr>
              <w:t>分，扣完为止；</w:t>
            </w:r>
          </w:p>
          <w:p>
            <w:pPr>
              <w:widowControl/>
              <w:spacing w:line="360" w:lineRule="exact"/>
              <w:jc w:val="left"/>
              <w:rPr>
                <w:rFonts w:ascii="仿宋_GB2312" w:hAnsi="宋体" w:eastAsia="仿宋_GB2312"/>
                <w:sz w:val="24"/>
              </w:rPr>
            </w:pPr>
            <w:r>
              <w:rPr>
                <w:rFonts w:hint="eastAsia" w:ascii="仿宋_GB2312" w:hAnsi="宋体" w:eastAsia="仿宋_GB2312"/>
                <w:sz w:val="24"/>
              </w:rPr>
              <w:t>4.不符合（负偏离）技术要求中的其他基本性能指标的，每有一项扣1分，扣完为止。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271" w:type="dxa"/>
            <w:vAlign w:val="center"/>
          </w:tcPr>
          <w:p>
            <w:pPr>
              <w:spacing w:line="360" w:lineRule="exact"/>
              <w:jc w:val="center"/>
              <w:rPr>
                <w:rFonts w:ascii="仿宋" w:hAnsi="仿宋" w:eastAsia="仿宋" w:cs="仿宋"/>
                <w:kern w:val="0"/>
                <w:sz w:val="24"/>
              </w:rPr>
            </w:pPr>
            <w:r>
              <w:rPr>
                <w:rFonts w:ascii="仿宋" w:hAnsi="仿宋" w:eastAsia="仿宋" w:cs="仿宋"/>
                <w:kern w:val="0"/>
                <w:sz w:val="24"/>
              </w:rPr>
              <w:t>产品演示</w:t>
            </w:r>
          </w:p>
        </w:tc>
        <w:tc>
          <w:tcPr>
            <w:tcW w:w="709" w:type="dxa"/>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18</w:t>
            </w:r>
          </w:p>
        </w:tc>
        <w:tc>
          <w:tcPr>
            <w:tcW w:w="7232" w:type="dxa"/>
            <w:vAlign w:val="center"/>
          </w:tcPr>
          <w:p>
            <w:pPr>
              <w:widowControl/>
              <w:spacing w:line="360" w:lineRule="exact"/>
              <w:jc w:val="left"/>
              <w:rPr>
                <w:rFonts w:ascii="仿宋_GB2312" w:hAnsi="宋体" w:eastAsia="仿宋_GB2312"/>
                <w:sz w:val="24"/>
              </w:rPr>
            </w:pPr>
            <w:r>
              <w:rPr>
                <w:rFonts w:hint="eastAsia" w:ascii="仿宋_GB2312" w:hAnsi="宋体" w:eastAsia="仿宋_GB2312"/>
                <w:sz w:val="24"/>
              </w:rPr>
              <w:t>提供3个完整的设备演示视频（</w:t>
            </w:r>
            <w:r>
              <w:rPr>
                <w:rFonts w:hint="eastAsia" w:ascii="仿宋_GB2312" w:hAnsi="宋体" w:eastAsia="仿宋_GB2312"/>
                <w:b/>
                <w:bCs/>
                <w:sz w:val="24"/>
              </w:rPr>
              <w:t>演示单个视频的时间不超过</w:t>
            </w:r>
            <w:r>
              <w:rPr>
                <w:rFonts w:ascii="仿宋_GB2312" w:hAnsi="宋体" w:eastAsia="仿宋_GB2312"/>
                <w:b/>
                <w:bCs/>
                <w:sz w:val="24"/>
              </w:rPr>
              <w:t>7</w:t>
            </w:r>
            <w:r>
              <w:rPr>
                <w:rFonts w:hint="eastAsia" w:ascii="仿宋_GB2312" w:hAnsi="宋体" w:eastAsia="仿宋_GB2312"/>
                <w:b/>
                <w:bCs/>
                <w:sz w:val="24"/>
              </w:rPr>
              <w:t>分钟，配备语音讲解说明</w:t>
            </w:r>
            <w:r>
              <w:rPr>
                <w:rFonts w:hint="eastAsia" w:ascii="仿宋_GB2312" w:hAnsi="宋体" w:eastAsia="仿宋_GB2312"/>
                <w:sz w:val="24"/>
              </w:rPr>
              <w:t>），从功能实现、使用稳定性、操作便捷性方面进行综合评分，单个演示视频综合情况好得4.1-6.0分；较好得2.1-4.0分；一般得0.1-2分，未提供演示视频不得分，3个视频演示综合情况打分后累计计分。</w:t>
            </w:r>
          </w:p>
          <w:p>
            <w:pPr>
              <w:widowControl/>
              <w:spacing w:line="360" w:lineRule="exact"/>
              <w:jc w:val="left"/>
              <w:rPr>
                <w:rFonts w:ascii="仿宋_GB2312" w:hAnsi="宋体" w:eastAsia="仿宋_GB2312"/>
                <w:sz w:val="24"/>
              </w:rPr>
            </w:pPr>
            <w:r>
              <w:rPr>
                <w:rFonts w:hint="eastAsia" w:ascii="仿宋_GB2312" w:hAnsi="宋体" w:eastAsia="仿宋_GB2312"/>
                <w:sz w:val="24"/>
              </w:rPr>
              <w:t>演示视频1内容：提供“智能网联汽车技术平台”中传感器联合标定的演示视频（激光雷达、毫米波雷达与摄像头的联合标定与数据融合）。</w:t>
            </w:r>
          </w:p>
          <w:p>
            <w:pPr>
              <w:widowControl/>
              <w:spacing w:line="360" w:lineRule="exact"/>
              <w:jc w:val="left"/>
              <w:rPr>
                <w:rFonts w:ascii="仿宋_GB2312" w:hAnsi="宋体" w:eastAsia="仿宋_GB2312"/>
                <w:sz w:val="24"/>
              </w:rPr>
            </w:pPr>
            <w:r>
              <w:rPr>
                <w:rFonts w:hint="eastAsia" w:ascii="仿宋_GB2312" w:hAnsi="宋体" w:eastAsia="仿宋_GB2312"/>
                <w:sz w:val="24"/>
              </w:rPr>
              <w:t>演示视频2内容：提供“智能驾驶教学实训平台”中主动循迹、障碍物识别、主动刹车功能的演示视频。</w:t>
            </w:r>
          </w:p>
          <w:p>
            <w:pPr>
              <w:widowControl/>
              <w:spacing w:line="360" w:lineRule="exact"/>
              <w:jc w:val="left"/>
              <w:rPr>
                <w:rFonts w:ascii="仿宋_GB2312" w:hAnsi="宋体" w:eastAsia="仿宋_GB2312"/>
                <w:sz w:val="24"/>
              </w:rPr>
            </w:pPr>
            <w:r>
              <w:rPr>
                <w:rFonts w:hint="eastAsia" w:ascii="仿宋_GB2312" w:hAnsi="宋体" w:eastAsia="仿宋_GB2312"/>
                <w:sz w:val="24"/>
              </w:rPr>
              <w:t>演示视频3内容：提供“智能座舱综合实训台”中对“使用手势识别检测，设置并识别手势”功能的演示视频。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71" w:type="dxa"/>
            <w:vAlign w:val="center"/>
          </w:tcPr>
          <w:p>
            <w:pPr>
              <w:spacing w:line="360" w:lineRule="exact"/>
              <w:jc w:val="center"/>
              <w:rPr>
                <w:rFonts w:ascii="仿宋" w:hAnsi="仿宋" w:eastAsia="仿宋" w:cs="仿宋"/>
                <w:kern w:val="0"/>
                <w:sz w:val="24"/>
              </w:rPr>
            </w:pPr>
            <w:r>
              <w:rPr>
                <w:rFonts w:ascii="仿宋" w:hAnsi="仿宋" w:eastAsia="仿宋" w:cs="仿宋"/>
                <w:kern w:val="0"/>
                <w:sz w:val="24"/>
              </w:rPr>
              <w:t>实施方案</w:t>
            </w:r>
          </w:p>
        </w:tc>
        <w:tc>
          <w:tcPr>
            <w:tcW w:w="709" w:type="dxa"/>
            <w:vAlign w:val="center"/>
          </w:tcPr>
          <w:p>
            <w:pPr>
              <w:spacing w:line="360" w:lineRule="exact"/>
              <w:jc w:val="center"/>
              <w:rPr>
                <w:rFonts w:ascii="仿宋" w:hAnsi="仿宋" w:eastAsia="仿宋" w:cs="仿宋"/>
                <w:kern w:val="0"/>
                <w:sz w:val="24"/>
              </w:rPr>
            </w:pPr>
            <w:r>
              <w:rPr>
                <w:rFonts w:ascii="仿宋" w:hAnsi="仿宋" w:eastAsia="仿宋" w:cs="仿宋"/>
                <w:kern w:val="0"/>
                <w:sz w:val="24"/>
              </w:rPr>
              <w:t>6</w:t>
            </w:r>
          </w:p>
        </w:tc>
        <w:tc>
          <w:tcPr>
            <w:tcW w:w="7232" w:type="dxa"/>
            <w:vAlign w:val="center"/>
          </w:tcPr>
          <w:p>
            <w:pPr>
              <w:spacing w:line="360" w:lineRule="exact"/>
              <w:rPr>
                <w:rFonts w:ascii="仿宋" w:hAnsi="仿宋" w:eastAsia="仿宋" w:cs="仿宋"/>
                <w:kern w:val="0"/>
                <w:sz w:val="24"/>
              </w:rPr>
            </w:pP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738"/>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hint="eastAsia" w:ascii="仿宋" w:hAnsi="仿宋" w:eastAsia="仿宋" w:cs="仿宋"/>
                      <w:sz w:val="24"/>
                      <w:szCs w:val="24"/>
                    </w:rPr>
                    <w:t>子项</w:t>
                  </w:r>
                </w:p>
              </w:tc>
              <w:tc>
                <w:tcPr>
                  <w:tcW w:w="7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hint="eastAsia" w:ascii="仿宋" w:hAnsi="仿宋" w:eastAsia="仿宋" w:cs="仿宋"/>
                      <w:sz w:val="24"/>
                      <w:szCs w:val="24"/>
                    </w:rPr>
                    <w:t>分值</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hint="eastAsia" w:ascii="仿宋" w:hAnsi="仿宋" w:eastAsia="仿宋" w:cs="仿宋"/>
                      <w:sz w:val="24"/>
                      <w:szCs w:val="24"/>
                    </w:rPr>
                    <w:t>评分细则及分值范围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hint="eastAsia" w:ascii="仿宋" w:hAnsi="仿宋" w:eastAsia="仿宋" w:cs="仿宋"/>
                      <w:sz w:val="24"/>
                      <w:szCs w:val="24"/>
                    </w:rPr>
                    <w:t>设备运输方案</w:t>
                  </w:r>
                </w:p>
              </w:tc>
              <w:tc>
                <w:tcPr>
                  <w:tcW w:w="7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ascii="仿宋" w:hAnsi="仿宋" w:eastAsia="仿宋" w:cs="仿宋"/>
                      <w:sz w:val="24"/>
                      <w:szCs w:val="24"/>
                    </w:rPr>
                    <w:t>2</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hint="eastAsia" w:ascii="仿宋" w:hAnsi="仿宋" w:eastAsia="仿宋" w:cs="仿宋"/>
                      <w:sz w:val="24"/>
                      <w:szCs w:val="24"/>
                    </w:rPr>
                    <w:t>方案好得1.5-2.0分，较好0.8-1.4分，一般0.1-0.7分，未提供方案不得分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ascii="仿宋" w:hAnsi="仿宋" w:eastAsia="仿宋" w:cs="仿宋"/>
                      <w:sz w:val="24"/>
                      <w:szCs w:val="24"/>
                    </w:rPr>
                    <w:t>设备安装</w:t>
                  </w:r>
                  <w:r>
                    <w:rPr>
                      <w:rFonts w:hint="eastAsia" w:ascii="仿宋" w:hAnsi="仿宋" w:eastAsia="仿宋" w:cs="仿宋"/>
                      <w:sz w:val="24"/>
                      <w:szCs w:val="24"/>
                    </w:rPr>
                    <w:t>调试</w:t>
                  </w:r>
                  <w:r>
                    <w:rPr>
                      <w:rFonts w:ascii="仿宋" w:hAnsi="仿宋" w:eastAsia="仿宋" w:cs="仿宋"/>
                      <w:sz w:val="24"/>
                      <w:szCs w:val="24"/>
                    </w:rPr>
                    <w:t>方案</w:t>
                  </w:r>
                </w:p>
              </w:tc>
              <w:tc>
                <w:tcPr>
                  <w:tcW w:w="7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ascii="仿宋" w:hAnsi="仿宋" w:eastAsia="仿宋" w:cs="仿宋"/>
                      <w:sz w:val="24"/>
                      <w:szCs w:val="24"/>
                    </w:rPr>
                    <w:t>2</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hint="eastAsia" w:ascii="仿宋" w:hAnsi="仿宋" w:eastAsia="仿宋" w:cs="仿宋"/>
                      <w:sz w:val="24"/>
                      <w:szCs w:val="24"/>
                    </w:rPr>
                    <w:t>方案好得1.5-2.0分，较好0.8-1.4分，一般0.1-0.7分，未提供方案不得分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hint="eastAsia" w:ascii="仿宋" w:hAnsi="仿宋" w:eastAsia="仿宋" w:cs="仿宋"/>
                      <w:sz w:val="24"/>
                      <w:szCs w:val="24"/>
                    </w:rPr>
                    <w:t>设备质保期内故障处理方案</w:t>
                  </w:r>
                </w:p>
              </w:tc>
              <w:tc>
                <w:tcPr>
                  <w:tcW w:w="73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jc w:val="center"/>
                    <w:rPr>
                      <w:rFonts w:ascii="仿宋" w:hAnsi="仿宋" w:eastAsia="仿宋" w:cs="仿宋"/>
                      <w:sz w:val="24"/>
                      <w:szCs w:val="24"/>
                    </w:rPr>
                  </w:pPr>
                  <w:r>
                    <w:rPr>
                      <w:rFonts w:ascii="仿宋" w:hAnsi="仿宋" w:eastAsia="仿宋" w:cs="仿宋"/>
                      <w:sz w:val="24"/>
                      <w:szCs w:val="24"/>
                    </w:rPr>
                    <w:t>2</w:t>
                  </w:r>
                </w:p>
              </w:tc>
              <w:tc>
                <w:tcPr>
                  <w:tcW w:w="453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Style w:val="33"/>
                    <w:spacing w:line="360" w:lineRule="auto"/>
                    <w:rPr>
                      <w:rFonts w:ascii="仿宋" w:hAnsi="仿宋" w:eastAsia="仿宋" w:cs="仿宋"/>
                      <w:sz w:val="24"/>
                      <w:szCs w:val="24"/>
                    </w:rPr>
                  </w:pPr>
                  <w:r>
                    <w:rPr>
                      <w:rFonts w:hint="eastAsia" w:ascii="仿宋" w:hAnsi="仿宋" w:eastAsia="仿宋" w:cs="仿宋"/>
                      <w:sz w:val="24"/>
                      <w:szCs w:val="24"/>
                    </w:rPr>
                    <w:t>方案好得1.5-2.0分，较好0.8-1.4分，一般0.1-0.7分，未提供方案不得分</w:t>
                  </w:r>
                </w:p>
              </w:tc>
            </w:tr>
          </w:tbl>
          <w:p>
            <w:pPr>
              <w:spacing w:line="360" w:lineRule="exact"/>
              <w:rPr>
                <w:rFonts w:ascii="仿宋" w:hAnsi="仿宋" w:eastAsia="仿宋" w:cs="仿宋"/>
                <w:kern w:val="0"/>
                <w:sz w:val="24"/>
              </w:rPr>
            </w:pPr>
            <w:r>
              <w:rPr>
                <w:rFonts w:hint="eastAsia" w:ascii="仿宋" w:hAnsi="仿宋" w:eastAsia="仿宋" w:cs="仿宋"/>
                <w:kern w:val="0"/>
                <w:sz w:val="24"/>
              </w:rPr>
              <w:t>注：上述</w:t>
            </w:r>
            <w:r>
              <w:rPr>
                <w:rFonts w:ascii="仿宋" w:hAnsi="仿宋" w:eastAsia="仿宋" w:cs="仿宋"/>
                <w:kern w:val="0"/>
                <w:sz w:val="24"/>
              </w:rPr>
              <w:t>3</w:t>
            </w:r>
            <w:r>
              <w:rPr>
                <w:rFonts w:hint="eastAsia" w:ascii="仿宋" w:hAnsi="仿宋" w:eastAsia="仿宋" w:cs="仿宋"/>
                <w:kern w:val="0"/>
                <w:sz w:val="24"/>
              </w:rPr>
              <w:t>个方案（设备运输方案、设备安装调试方案</w:t>
            </w:r>
            <w:r>
              <w:rPr>
                <w:rFonts w:ascii="仿宋" w:hAnsi="仿宋" w:eastAsia="仿宋" w:cs="仿宋"/>
                <w:kern w:val="0"/>
                <w:sz w:val="24"/>
              </w:rPr>
              <w:t>、</w:t>
            </w:r>
            <w:r>
              <w:rPr>
                <w:rFonts w:hint="eastAsia" w:ascii="仿宋" w:hAnsi="仿宋" w:eastAsia="仿宋" w:cs="仿宋"/>
                <w:kern w:val="0"/>
                <w:sz w:val="24"/>
              </w:rPr>
              <w:t>设备质保期内故障处理方案）需要提供详细的方案文本，并加盖投标企业公章，不提供不得分。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271" w:type="dxa"/>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产品业绩</w:t>
            </w:r>
          </w:p>
        </w:tc>
        <w:tc>
          <w:tcPr>
            <w:tcW w:w="709" w:type="dxa"/>
            <w:vAlign w:val="center"/>
          </w:tcPr>
          <w:p>
            <w:pPr>
              <w:spacing w:line="360" w:lineRule="exact"/>
              <w:jc w:val="center"/>
              <w:rPr>
                <w:rFonts w:ascii="仿宋" w:hAnsi="仿宋" w:eastAsia="仿宋" w:cs="仿宋"/>
                <w:kern w:val="0"/>
                <w:sz w:val="24"/>
              </w:rPr>
            </w:pPr>
            <w:r>
              <w:rPr>
                <w:rFonts w:ascii="仿宋" w:hAnsi="仿宋" w:eastAsia="仿宋" w:cs="仿宋"/>
                <w:kern w:val="0"/>
                <w:sz w:val="24"/>
              </w:rPr>
              <w:t>3</w:t>
            </w:r>
          </w:p>
        </w:tc>
        <w:tc>
          <w:tcPr>
            <w:tcW w:w="7232" w:type="dxa"/>
            <w:vAlign w:val="center"/>
          </w:tcPr>
          <w:p>
            <w:pPr>
              <w:spacing w:line="360" w:lineRule="exact"/>
              <w:rPr>
                <w:rFonts w:ascii="仿宋" w:hAnsi="仿宋" w:eastAsia="仿宋" w:cs="仿宋"/>
                <w:kern w:val="0"/>
                <w:sz w:val="24"/>
              </w:rPr>
            </w:pPr>
            <w:r>
              <w:rPr>
                <w:rFonts w:hint="eastAsia" w:ascii="仿宋" w:hAnsi="仿宋" w:eastAsia="仿宋" w:cs="仿宋"/>
                <w:kern w:val="0"/>
                <w:sz w:val="24"/>
              </w:rPr>
              <w:t>提供2022年1月1日起（以合同签订日期为准）至今投标人投标产品同类型项目的使用案例（合同内容至少环境感知实训台、线控底盘实训台、智能座舱综合实训台中1项），每提供一个案例得</w:t>
            </w:r>
            <w:r>
              <w:rPr>
                <w:rFonts w:ascii="仿宋" w:hAnsi="仿宋" w:eastAsia="仿宋" w:cs="仿宋"/>
                <w:kern w:val="0"/>
                <w:sz w:val="24"/>
              </w:rPr>
              <w:t>1</w:t>
            </w:r>
            <w:r>
              <w:rPr>
                <w:rFonts w:hint="eastAsia" w:ascii="仿宋" w:hAnsi="仿宋" w:eastAsia="仿宋" w:cs="仿宋"/>
                <w:kern w:val="0"/>
                <w:sz w:val="24"/>
              </w:rPr>
              <w:t>.5分，最多得</w:t>
            </w:r>
            <w:r>
              <w:rPr>
                <w:rFonts w:ascii="仿宋" w:hAnsi="仿宋" w:eastAsia="仿宋" w:cs="仿宋"/>
                <w:kern w:val="0"/>
                <w:sz w:val="24"/>
              </w:rPr>
              <w:t>3</w:t>
            </w:r>
            <w:r>
              <w:rPr>
                <w:rFonts w:hint="eastAsia" w:ascii="仿宋" w:hAnsi="仿宋" w:eastAsia="仿宋" w:cs="仿宋"/>
                <w:kern w:val="0"/>
                <w:sz w:val="24"/>
              </w:rPr>
              <w:t>分（提供合同复印件并加盖投标企业公章）。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shd w:val="clear" w:color="auto" w:fill="auto"/>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售后服务方案</w:t>
            </w:r>
          </w:p>
        </w:tc>
        <w:tc>
          <w:tcPr>
            <w:tcW w:w="709" w:type="dxa"/>
            <w:shd w:val="clear" w:color="auto" w:fill="auto"/>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5</w:t>
            </w:r>
          </w:p>
        </w:tc>
        <w:tc>
          <w:tcPr>
            <w:tcW w:w="7232" w:type="dxa"/>
            <w:shd w:val="clear" w:color="auto" w:fill="auto"/>
            <w:vAlign w:val="center"/>
          </w:tcPr>
          <w:p>
            <w:pPr>
              <w:spacing w:line="360" w:lineRule="exact"/>
              <w:rPr>
                <w:rFonts w:ascii="仿宋" w:hAnsi="仿宋" w:eastAsia="仿宋" w:cs="仿宋"/>
                <w:kern w:val="0"/>
                <w:sz w:val="24"/>
              </w:rPr>
            </w:pP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根据各投标人提供的售后服务机构的设置和售后服务人员的配置进行综合评议（</w:t>
            </w:r>
            <w:r>
              <w:rPr>
                <w:rFonts w:ascii="仿宋" w:hAnsi="仿宋" w:eastAsia="仿宋" w:cs="仿宋"/>
                <w:kern w:val="0"/>
                <w:sz w:val="24"/>
              </w:rPr>
              <w:t>3</w:t>
            </w:r>
            <w:r>
              <w:rPr>
                <w:rFonts w:hint="eastAsia" w:ascii="仿宋" w:hAnsi="仿宋" w:eastAsia="仿宋" w:cs="仿宋"/>
                <w:kern w:val="0"/>
                <w:sz w:val="24"/>
              </w:rPr>
              <w:t>分）：售后服务机构的设置和售后服务人员的配置高于采购人需求的得2.1-</w:t>
            </w:r>
            <w:r>
              <w:rPr>
                <w:rFonts w:ascii="仿宋" w:hAnsi="仿宋" w:eastAsia="仿宋" w:cs="仿宋"/>
                <w:kern w:val="0"/>
                <w:sz w:val="24"/>
              </w:rPr>
              <w:t>3</w:t>
            </w:r>
            <w:r>
              <w:rPr>
                <w:rFonts w:hint="eastAsia" w:ascii="仿宋" w:hAnsi="仿宋" w:eastAsia="仿宋" w:cs="仿宋"/>
                <w:kern w:val="0"/>
                <w:sz w:val="24"/>
              </w:rPr>
              <w:t>分，售后服务机构的设置和售后服务人员的配置基本满足采购人需求的得1.1-2分，售后服务机构的设置和售后服务人员的配置不能满足采购人需求的得0.1-1分，未提供的不得分；</w:t>
            </w:r>
            <w:r>
              <w:rPr>
                <w:rFonts w:ascii="仿宋" w:hAnsi="仿宋" w:eastAsia="仿宋" w:cs="仿宋"/>
                <w:kern w:val="0"/>
                <w:sz w:val="24"/>
              </w:rPr>
              <w:t xml:space="preserve"> </w:t>
            </w:r>
          </w:p>
          <w:p>
            <w:pPr>
              <w:pStyle w:val="2"/>
              <w:spacing w:line="360" w:lineRule="exact"/>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w:t>
            </w:r>
            <w:r>
              <w:rPr>
                <w:rFonts w:hint="eastAsia" w:ascii="仿宋" w:hAnsi="仿宋" w:eastAsia="仿宋" w:cs="仿宋"/>
                <w:kern w:val="0"/>
                <w:sz w:val="24"/>
              </w:rPr>
              <w:t>根据投标人提供的详细培训计划进行综合评议（2分）：培训计划科学合理，能快速有效的协助采购人掌握产品特性的得1.6-2.0 分，培训计划较为科学合理，能较快有效的协助采购人掌握产品特性的得1.1-1.5分，培训计划安排的合理性一般，预计效果刚好达到采购人基本使用需求的得0.</w:t>
            </w:r>
            <w:r>
              <w:rPr>
                <w:rFonts w:ascii="仿宋" w:hAnsi="仿宋" w:eastAsia="仿宋" w:cs="仿宋"/>
                <w:kern w:val="0"/>
                <w:sz w:val="24"/>
              </w:rPr>
              <w:t>1</w:t>
            </w:r>
            <w:r>
              <w:rPr>
                <w:rFonts w:hint="eastAsia" w:ascii="仿宋" w:hAnsi="仿宋" w:eastAsia="仿宋" w:cs="仿宋"/>
                <w:kern w:val="0"/>
                <w:sz w:val="24"/>
              </w:rPr>
              <w:t>-1分；未提供不得分。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质保期</w:t>
            </w:r>
          </w:p>
        </w:tc>
        <w:tc>
          <w:tcPr>
            <w:tcW w:w="709" w:type="dxa"/>
            <w:vAlign w:val="center"/>
          </w:tcPr>
          <w:p>
            <w:pPr>
              <w:spacing w:line="360" w:lineRule="exact"/>
              <w:jc w:val="center"/>
              <w:rPr>
                <w:rFonts w:ascii="仿宋" w:hAnsi="仿宋" w:eastAsia="仿宋" w:cs="仿宋"/>
                <w:kern w:val="0"/>
                <w:sz w:val="24"/>
              </w:rPr>
            </w:pPr>
            <w:r>
              <w:rPr>
                <w:rFonts w:hint="eastAsia" w:ascii="仿宋" w:hAnsi="仿宋" w:eastAsia="仿宋" w:cs="仿宋"/>
                <w:kern w:val="0"/>
                <w:sz w:val="24"/>
              </w:rPr>
              <w:t>8</w:t>
            </w:r>
          </w:p>
        </w:tc>
        <w:tc>
          <w:tcPr>
            <w:tcW w:w="7232" w:type="dxa"/>
            <w:vAlign w:val="center"/>
          </w:tcPr>
          <w:p>
            <w:pPr>
              <w:spacing w:line="360" w:lineRule="exact"/>
              <w:rPr>
                <w:rFonts w:ascii="仿宋" w:hAnsi="仿宋" w:eastAsia="仿宋" w:cs="仿宋"/>
                <w:kern w:val="0"/>
                <w:sz w:val="24"/>
              </w:rPr>
            </w:pPr>
            <w:r>
              <w:rPr>
                <w:rFonts w:hint="eastAsia" w:ascii="仿宋" w:hAnsi="仿宋" w:eastAsia="仿宋" w:cs="仿宋"/>
                <w:kern w:val="0"/>
                <w:sz w:val="24"/>
              </w:rPr>
              <w:t>招标需求中的全部设备在满足基本保修期（3年）的前提下，免费保修期每延长一年增加</w:t>
            </w:r>
            <w:r>
              <w:rPr>
                <w:rFonts w:ascii="仿宋" w:hAnsi="仿宋" w:eastAsia="仿宋" w:cs="仿宋"/>
                <w:kern w:val="0"/>
                <w:sz w:val="24"/>
              </w:rPr>
              <w:t>2</w:t>
            </w:r>
            <w:r>
              <w:rPr>
                <w:rFonts w:hint="eastAsia" w:ascii="仿宋" w:hAnsi="仿宋" w:eastAsia="仿宋" w:cs="仿宋"/>
                <w:kern w:val="0"/>
                <w:sz w:val="24"/>
              </w:rPr>
              <w:t>分，最多得8分。</w:t>
            </w:r>
          </w:p>
          <w:p>
            <w:pPr>
              <w:spacing w:line="360" w:lineRule="exact"/>
              <w:rPr>
                <w:rFonts w:ascii="仿宋" w:hAnsi="仿宋" w:eastAsia="仿宋" w:cs="仿宋"/>
                <w:kern w:val="0"/>
                <w:sz w:val="24"/>
              </w:rPr>
            </w:pPr>
            <w:r>
              <w:rPr>
                <w:rFonts w:hint="eastAsia" w:ascii="仿宋" w:hAnsi="仿宋" w:eastAsia="仿宋" w:cs="仿宋"/>
                <w:kern w:val="0"/>
                <w:sz w:val="24"/>
              </w:rPr>
              <w:t>注：投标人或投标产品生产厂家出具的承诺书均有效，承诺书需要加盖投标企业公章。如两者均出具质保时间的承诺，但时间不一致的，按时间短的计分。</w:t>
            </w:r>
          </w:p>
        </w:tc>
      </w:tr>
    </w:tbl>
    <w:p>
      <w:pPr>
        <w:snapToGrid w:val="0"/>
        <w:spacing w:line="440" w:lineRule="exact"/>
        <w:rPr>
          <w:rFonts w:ascii="仿宋_GB2312" w:hAnsi="仿宋" w:eastAsia="仿宋_GB2312" w:cs="仿宋"/>
          <w:sz w:val="20"/>
          <w:szCs w:val="20"/>
          <w:shd w:val="clear" w:color="auto" w:fill="FFFFFF"/>
        </w:rPr>
      </w:pPr>
    </w:p>
    <w:p>
      <w:pPr>
        <w:snapToGrid w:val="0"/>
        <w:spacing w:line="440" w:lineRule="exact"/>
        <w:rPr>
          <w:rFonts w:ascii="仿宋_GB2312" w:hAnsi="仿宋" w:eastAsia="仿宋_GB2312" w:cs="仿宋"/>
          <w:sz w:val="24"/>
        </w:rPr>
      </w:pPr>
      <w:r>
        <w:rPr>
          <w:rFonts w:hint="eastAsia" w:ascii="仿宋_GB2312" w:hAnsi="仿宋" w:eastAsia="仿宋_GB2312" w:cs="仿宋"/>
          <w:sz w:val="20"/>
          <w:szCs w:val="20"/>
          <w:shd w:val="clear" w:color="auto" w:fill="FFFFFF"/>
        </w:rPr>
        <w:t> </w:t>
      </w: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即：投标报价得分=(评标基准价／投标报价)×30</w:t>
      </w:r>
    </w:p>
    <w:p>
      <w:pPr>
        <w:snapToGrid w:val="0"/>
        <w:rPr>
          <w:rFonts w:ascii="仿宋_GB2312" w:hAnsi="宋体" w:eastAsia="仿宋_GB2312"/>
          <w:b/>
          <w:sz w:val="24"/>
          <w:u w:val="single"/>
        </w:rPr>
      </w:pPr>
    </w:p>
    <w:bookmarkEnd w:id="5"/>
    <w:bookmarkEnd w:id="6"/>
    <w:bookmarkEnd w:id="7"/>
    <w:bookmarkEnd w:id="8"/>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宋体" w:eastAsia="仿宋_GB2312"/>
          <w:b/>
          <w:sz w:val="36"/>
          <w:szCs w:val="36"/>
        </w:rPr>
      </w:pPr>
    </w:p>
    <w:p>
      <w:pPr>
        <w:pStyle w:val="25"/>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浙江农业商贸职业学院、华诚工程咨询集团有限公司：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我方参与浙江农业商贸职业学院智能网联汽车实训基地教学设备采购项目（招标编号:HCNS-2024-002）政府采购活动，郑重承诺：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3"/>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1"/>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1"/>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8"/>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浙江农业商贸职业学院、华诚工程咨询集团有限公司</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5"/>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5"/>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8"/>
        <w:spacing w:after="120" w:line="336" w:lineRule="auto"/>
        <w:ind w:firstLine="480"/>
        <w:rPr>
          <w:rFonts w:ascii="仿宋_GB2312" w:hAnsi="仿宋" w:eastAsia="仿宋_GB2312" w:cs="仿宋"/>
          <w:szCs w:val="24"/>
        </w:rPr>
      </w:pPr>
    </w:p>
    <w:p>
      <w:pPr>
        <w:pStyle w:val="98"/>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浙江农业商贸职业学院、华诚工程咨询集团有限公司</w:t>
      </w:r>
      <w:r>
        <w:rPr>
          <w:rFonts w:hint="eastAsia" w:ascii="仿宋_GB2312" w:hAnsi="仿宋" w:eastAsia="仿宋_GB2312" w:cs="仿宋"/>
          <w:sz w:val="24"/>
        </w:rPr>
        <w:t>组织的</w:t>
      </w:r>
      <w:r>
        <w:rPr>
          <w:rFonts w:hint="eastAsia" w:ascii="仿宋_GB2312" w:hAnsi="仿宋" w:eastAsia="仿宋_GB2312" w:cs="仿宋"/>
          <w:sz w:val="24"/>
          <w:u w:val="single"/>
        </w:rPr>
        <w:t>浙江农业商贸职业学院智能网联汽车实训基地教学设备采购项目（招标编号:HCNS-2024-002）</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浙江农业商贸职业学院、华诚工程咨询集团有限公司</w:t>
      </w:r>
      <w:r>
        <w:rPr>
          <w:rFonts w:hint="eastAsia" w:ascii="仿宋_GB2312" w:hAnsi="仿宋" w:eastAsia="仿宋_GB2312" w:cs="仿宋"/>
          <w:sz w:val="24"/>
        </w:rPr>
        <w:t>组织的</w:t>
      </w:r>
      <w:r>
        <w:rPr>
          <w:rFonts w:hint="eastAsia" w:ascii="仿宋_GB2312" w:hAnsi="仿宋" w:eastAsia="仿宋_GB2312" w:cs="仿宋"/>
          <w:sz w:val="24"/>
          <w:u w:val="single"/>
        </w:rPr>
        <w:t>浙江农业商贸职业学院智能网联汽车实训基地教学设备采购项目（招标编号:HCNS-2024-002）</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浙江农业商贸职业学院、华诚工程咨询集团有限公司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3"/>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3"/>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3"/>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3"/>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3"/>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3"/>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浙江农业商贸职业学院、华诚工程咨询集团有限公司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按你方招标文件要求，我们，本投标文件签字方，谨此向你方发出要约如下：如你方接受本投标，我方承诺按照如下开标一览表（报价表）的价格完成浙江农业商贸职业学院智能网联汽车实训基地教学设备</w:t>
      </w:r>
      <w:r>
        <w:rPr>
          <w:rFonts w:hint="eastAsia" w:ascii="仿宋_GB2312" w:hAnsi="仿宋" w:eastAsia="仿宋_GB2312" w:cs="仿宋"/>
          <w:kern w:val="0"/>
          <w:sz w:val="24"/>
        </w:rPr>
        <w:t>采购</w:t>
      </w:r>
      <w:r>
        <w:rPr>
          <w:rFonts w:hint="eastAsia" w:ascii="仿宋_GB2312" w:hAnsi="仿宋" w:eastAsia="仿宋_GB2312" w:cs="仿宋"/>
          <w:kern w:val="0"/>
          <w:sz w:val="24"/>
          <w:lang w:val="zh-CN"/>
        </w:rPr>
        <w:t>项目</w:t>
      </w:r>
      <w:r>
        <w:rPr>
          <w:rFonts w:hint="eastAsia" w:ascii="仿宋_GB2312" w:hAnsi="仿宋" w:eastAsia="仿宋_GB2312" w:cs="仿宋"/>
          <w:sz w:val="24"/>
        </w:rPr>
        <w:t>（招标编号:HCNS-2024-002）的实施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60" w:name="_Hlk101259491"/>
      <w:r>
        <w:rPr>
          <w:rFonts w:hint="eastAsia" w:ascii="仿宋_GB2312" w:hAnsi="仿宋" w:eastAsia="仿宋_GB2312" w:cs="仿宋"/>
          <w:sz w:val="32"/>
          <w:szCs w:val="32"/>
        </w:rPr>
        <w:t>（如果有）</w:t>
      </w:r>
      <w:bookmarkEnd w:id="160"/>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3"/>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3"/>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3"/>
        <w:widowControl/>
        <w:spacing w:line="360" w:lineRule="auto"/>
        <w:ind w:firstLine="120" w:firstLineChars="50"/>
        <w:rPr>
          <w:rFonts w:hAnsi="仿宋" w:cs="仿宋"/>
          <w:b/>
          <w:color w:val="auto"/>
        </w:rPr>
      </w:pPr>
    </w:p>
    <w:p>
      <w:pPr>
        <w:pStyle w:val="315"/>
        <w:spacing w:line="360" w:lineRule="auto"/>
        <w:ind w:left="0" w:firstLine="120" w:firstLineChars="50"/>
        <w:jc w:val="left"/>
        <w:rPr>
          <w:rFonts w:ascii="仿宋_GB2312" w:hAnsi="仿宋" w:eastAsia="仿宋_GB2312" w:cs="仿宋"/>
          <w:b/>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1" w:name="_Toc465665161"/>
      <w:r>
        <w:rPr>
          <w:rFonts w:hint="eastAsia" w:ascii="仿宋_GB2312" w:hAnsi="仿宋" w:cs="仿宋"/>
        </w:rPr>
        <w:t>附件</w:t>
      </w:r>
      <w:bookmarkEnd w:id="161"/>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_GB2312" w:hAnsi="仿宋" w:eastAsia="仿宋_GB2312"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62"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62"/>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3"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3"/>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3"/>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3"/>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64" w:name="OLE_LINK13"/>
      <w:bookmarkStart w:id="165" w:name="OLE_LINK14"/>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4"/>
    <w:bookmarkEnd w:id="165"/>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NkYzE4YjFjNzc4MzRmNTIwOGFlZTFlOTYxY2E5OT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290"/>
    <w:rsid w:val="0018376B"/>
    <w:rsid w:val="001841D9"/>
    <w:rsid w:val="00184C15"/>
    <w:rsid w:val="00185F55"/>
    <w:rsid w:val="001873DB"/>
    <w:rsid w:val="00187AB1"/>
    <w:rsid w:val="0019064E"/>
    <w:rsid w:val="00190DB7"/>
    <w:rsid w:val="00191263"/>
    <w:rsid w:val="00191BE8"/>
    <w:rsid w:val="00191EE1"/>
    <w:rsid w:val="00193494"/>
    <w:rsid w:val="00193F1F"/>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ECF"/>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6072"/>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1986"/>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B3848"/>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619A"/>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2EFA"/>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08FA"/>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46082"/>
    <w:rsid w:val="06E96E11"/>
    <w:rsid w:val="08020E14"/>
    <w:rsid w:val="0B253438"/>
    <w:rsid w:val="19CF064A"/>
    <w:rsid w:val="20433871"/>
    <w:rsid w:val="266A2E3B"/>
    <w:rsid w:val="2989420F"/>
    <w:rsid w:val="29A83F96"/>
    <w:rsid w:val="2FA54326"/>
    <w:rsid w:val="32C84937"/>
    <w:rsid w:val="368054A0"/>
    <w:rsid w:val="398F350A"/>
    <w:rsid w:val="3AAD1246"/>
    <w:rsid w:val="4B703956"/>
    <w:rsid w:val="4D4D28DD"/>
    <w:rsid w:val="4FFD5912"/>
    <w:rsid w:val="549A5573"/>
    <w:rsid w:val="55B1238D"/>
    <w:rsid w:val="56DF3CA2"/>
    <w:rsid w:val="57052D09"/>
    <w:rsid w:val="580D25F6"/>
    <w:rsid w:val="60617BB3"/>
    <w:rsid w:val="65E40F1E"/>
    <w:rsid w:val="6A261A93"/>
    <w:rsid w:val="6EDB63E4"/>
    <w:rsid w:val="72E87C49"/>
    <w:rsid w:val="7341725F"/>
    <w:rsid w:val="76C96C40"/>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1"/>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87"/>
    <w:qFormat/>
    <w:uiPriority w:val="0"/>
    <w:pPr>
      <w:keepNext/>
      <w:widowControl/>
      <w:numPr>
        <w:ilvl w:val="0"/>
        <w:numId w:val="4"/>
      </w:numPr>
      <w:jc w:val="left"/>
      <w:outlineLvl w:val="4"/>
    </w:pPr>
    <w:rPr>
      <w:kern w:val="0"/>
      <w:sz w:val="24"/>
      <w:szCs w:val="20"/>
    </w:rPr>
  </w:style>
  <w:style w:type="paragraph" w:styleId="10">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3"/>
    <w:qFormat/>
    <w:uiPriority w:val="0"/>
    <w:pPr>
      <w:spacing w:line="360" w:lineRule="auto"/>
    </w:pPr>
    <w:rPr>
      <w:rFonts w:eastAsia="仿宋_GB2312"/>
      <w:sz w:val="28"/>
    </w:rPr>
  </w:style>
  <w:style w:type="paragraph" w:customStyle="1" w:styleId="3">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6">
    <w:name w:val="Normal Indent"/>
    <w:basedOn w:val="1"/>
    <w:link w:val="82"/>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100"/>
    <w:qFormat/>
    <w:uiPriority w:val="99"/>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1"/>
    <w:next w:val="21"/>
    <w:link w:val="229"/>
    <w:qFormat/>
    <w:uiPriority w:val="0"/>
    <w:pPr>
      <w:widowControl/>
      <w:spacing w:afterLines="50"/>
    </w:pPr>
    <w:rPr>
      <w:b/>
      <w:bCs/>
      <w:kern w:val="0"/>
      <w:sz w:val="24"/>
      <w:szCs w:val="20"/>
    </w:rPr>
  </w:style>
  <w:style w:type="paragraph" w:styleId="62">
    <w:name w:val="Body Text First Indent"/>
    <w:basedOn w:val="2"/>
    <w:link w:val="230"/>
    <w:qFormat/>
    <w:uiPriority w:val="0"/>
    <w:pPr>
      <w:spacing w:after="120" w:line="240" w:lineRule="auto"/>
      <w:ind w:firstLine="420" w:firstLineChars="100"/>
    </w:pPr>
    <w:rPr>
      <w:rFonts w:eastAsia="宋体"/>
      <w:sz w:val="21"/>
    </w:rPr>
  </w:style>
  <w:style w:type="paragraph" w:styleId="63">
    <w:name w:val="Body Text First Indent 2"/>
    <w:basedOn w:val="25"/>
    <w:link w:val="231"/>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autoRedefine/>
    <w:qFormat/>
    <w:uiPriority w:val="99"/>
    <w:rPr>
      <w:color w:val="800080"/>
      <w:u w:val="single"/>
    </w:rPr>
  </w:style>
  <w:style w:type="character" w:styleId="76">
    <w:name w:val="Emphasis"/>
    <w:autoRedefine/>
    <w:qFormat/>
    <w:uiPriority w:val="2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标题 1 Char"/>
    <w:link w:val="4"/>
    <w:autoRedefine/>
    <w:qFormat/>
    <w:uiPriority w:val="9"/>
    <w:rPr>
      <w:rFonts w:eastAsia="仿宋_GB2312"/>
      <w:b/>
      <w:kern w:val="44"/>
      <w:sz w:val="44"/>
      <w:lang w:val="en-US" w:eastAsia="zh-CN" w:bidi="ar-SA"/>
    </w:rPr>
  </w:style>
  <w:style w:type="character" w:customStyle="1" w:styleId="82">
    <w:name w:val="正文缩进 Char"/>
    <w:link w:val="6"/>
    <w:autoRedefine/>
    <w:qFormat/>
    <w:uiPriority w:val="0"/>
    <w:rPr>
      <w:rFonts w:eastAsia="宋体"/>
      <w:kern w:val="2"/>
      <w:sz w:val="21"/>
      <w:szCs w:val="24"/>
      <w:lang w:val="en-US" w:eastAsia="zh-CN" w:bidi="ar-SA"/>
    </w:rPr>
  </w:style>
  <w:style w:type="paragraph" w:customStyle="1" w:styleId="83">
    <w:name w:val="_Style 15"/>
    <w:basedOn w:val="1"/>
    <w:autoRedefine/>
    <w:qFormat/>
    <w:uiPriority w:val="0"/>
    <w:rPr>
      <w:rFonts w:ascii="Tahoma" w:hAnsi="Tahoma"/>
      <w:sz w:val="24"/>
      <w:szCs w:val="20"/>
    </w:rPr>
  </w:style>
  <w:style w:type="character" w:customStyle="1" w:styleId="84">
    <w:name w:val="标题 2 Char"/>
    <w:link w:val="5"/>
    <w:autoRedefine/>
    <w:qFormat/>
    <w:uiPriority w:val="0"/>
    <w:rPr>
      <w:rFonts w:ascii="Arial" w:hAnsi="Arial" w:eastAsia="黑体"/>
      <w:b/>
      <w:kern w:val="2"/>
      <w:sz w:val="32"/>
      <w:lang w:val="en-US" w:eastAsia="zh-CN" w:bidi="ar-SA"/>
    </w:rPr>
  </w:style>
  <w:style w:type="character" w:customStyle="1" w:styleId="85">
    <w:name w:val="标题 3 Char"/>
    <w:link w:val="7"/>
    <w:autoRedefine/>
    <w:qFormat/>
    <w:uiPriority w:val="0"/>
    <w:rPr>
      <w:rFonts w:eastAsia="仿宋_GB2312"/>
      <w:b/>
      <w:kern w:val="2"/>
      <w:sz w:val="32"/>
      <w:lang w:val="en-US" w:eastAsia="zh-CN" w:bidi="ar-SA"/>
    </w:rPr>
  </w:style>
  <w:style w:type="character" w:customStyle="1" w:styleId="86">
    <w:name w:val="标题 4 Char1"/>
    <w:link w:val="8"/>
    <w:autoRedefine/>
    <w:qFormat/>
    <w:uiPriority w:val="9"/>
    <w:rPr>
      <w:rFonts w:ascii="Arial" w:hAnsi="Arial" w:eastAsia="黑体"/>
      <w:b/>
      <w:kern w:val="2"/>
      <w:sz w:val="28"/>
      <w:lang w:val="en-US" w:eastAsia="zh-CN" w:bidi="ar-SA"/>
    </w:rPr>
  </w:style>
  <w:style w:type="character" w:customStyle="1" w:styleId="87">
    <w:name w:val="标题 5 Char1"/>
    <w:link w:val="9"/>
    <w:autoRedefine/>
    <w:qFormat/>
    <w:uiPriority w:val="0"/>
    <w:rPr>
      <w:rFonts w:eastAsia="宋体"/>
      <w:sz w:val="24"/>
      <w:lang w:val="en-US" w:eastAsia="zh-CN" w:bidi="ar-SA"/>
    </w:rPr>
  </w:style>
  <w:style w:type="character" w:customStyle="1" w:styleId="88">
    <w:name w:val="标题 6 Char1"/>
    <w:link w:val="10"/>
    <w:autoRedefine/>
    <w:qFormat/>
    <w:uiPriority w:val="0"/>
    <w:rPr>
      <w:rFonts w:ascii="宋体" w:hAnsi="Arial" w:eastAsia="宋体"/>
      <w:sz w:val="24"/>
      <w:lang w:val="en-US" w:eastAsia="zh-CN" w:bidi="ar-SA"/>
    </w:rPr>
  </w:style>
  <w:style w:type="character" w:customStyle="1" w:styleId="89">
    <w:name w:val="标题 7 Char1"/>
    <w:link w:val="11"/>
    <w:autoRedefine/>
    <w:qFormat/>
    <w:uiPriority w:val="0"/>
    <w:rPr>
      <w:rFonts w:ascii="宋体" w:hAnsi="Arial" w:eastAsia="宋体"/>
      <w:b/>
      <w:sz w:val="24"/>
      <w:lang w:val="en-US" w:eastAsia="zh-CN" w:bidi="ar-SA"/>
    </w:rPr>
  </w:style>
  <w:style w:type="character" w:customStyle="1" w:styleId="90">
    <w:name w:val="标题 8 Char1"/>
    <w:link w:val="12"/>
    <w:qFormat/>
    <w:uiPriority w:val="0"/>
    <w:rPr>
      <w:rFonts w:ascii="Arial" w:hAnsi="Arial" w:eastAsia="黑体"/>
      <w:sz w:val="24"/>
      <w:lang w:val="en-US" w:eastAsia="zh-CN" w:bidi="ar-SA"/>
    </w:rPr>
  </w:style>
  <w:style w:type="character" w:customStyle="1" w:styleId="91">
    <w:name w:val="标题 9 Char1"/>
    <w:link w:val="13"/>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autoRedefine/>
    <w:qFormat/>
    <w:uiPriority w:val="0"/>
    <w:rPr>
      <w:rFonts w:ascii="宋体" w:hAnsi="Courier New"/>
      <w:szCs w:val="20"/>
    </w:rPr>
  </w:style>
  <w:style w:type="character" w:customStyle="1" w:styleId="94">
    <w:name w:val="正文文本缩进 Char"/>
    <w:link w:val="25"/>
    <w:autoRedefine/>
    <w:qFormat/>
    <w:uiPriority w:val="0"/>
    <w:rPr>
      <w:rFonts w:eastAsia="宋体"/>
      <w:kern w:val="2"/>
      <w:sz w:val="21"/>
      <w:szCs w:val="24"/>
      <w:lang w:val="en-US" w:eastAsia="zh-CN" w:bidi="ar-SA"/>
    </w:rPr>
  </w:style>
  <w:style w:type="character" w:customStyle="1" w:styleId="95">
    <w:name w:val="日期 Char2"/>
    <w:link w:val="36"/>
    <w:autoRedefine/>
    <w:qFormat/>
    <w:uiPriority w:val="0"/>
    <w:rPr>
      <w:rFonts w:ascii="楷体_GB2312" w:eastAsia="楷体_GB2312"/>
      <w:b/>
      <w:kern w:val="2"/>
      <w:sz w:val="28"/>
      <w:lang w:val="en-US" w:eastAsia="zh-CN" w:bidi="ar-SA"/>
    </w:rPr>
  </w:style>
  <w:style w:type="character" w:customStyle="1" w:styleId="96">
    <w:name w:val="页眉 Char1"/>
    <w:link w:val="41"/>
    <w:autoRedefine/>
    <w:qFormat/>
    <w:uiPriority w:val="0"/>
    <w:rPr>
      <w:rFonts w:eastAsia="宋体"/>
      <w:kern w:val="2"/>
      <w:sz w:val="18"/>
      <w:szCs w:val="18"/>
      <w:lang w:val="en-US" w:eastAsia="zh-CN" w:bidi="ar-SA"/>
    </w:rPr>
  </w:style>
  <w:style w:type="character" w:customStyle="1" w:styleId="97">
    <w:name w:val="页脚 Char"/>
    <w:link w:val="40"/>
    <w:autoRedefine/>
    <w:qFormat/>
    <w:locked/>
    <w:uiPriority w:val="0"/>
    <w:rPr>
      <w:rFonts w:eastAsia="宋体"/>
      <w:kern w:val="2"/>
      <w:sz w:val="18"/>
      <w:szCs w:val="18"/>
      <w:lang w:val="en-US" w:eastAsia="zh-CN" w:bidi="ar-SA"/>
    </w:rPr>
  </w:style>
  <w:style w:type="paragraph" w:customStyle="1" w:styleId="98">
    <w:name w:val="正文段"/>
    <w:basedOn w:val="1"/>
    <w:link w:val="99"/>
    <w:autoRedefine/>
    <w:qFormat/>
    <w:uiPriority w:val="0"/>
    <w:pPr>
      <w:widowControl/>
      <w:snapToGrid w:val="0"/>
      <w:spacing w:afterLines="50"/>
      <w:ind w:firstLine="200" w:firstLineChars="200"/>
    </w:pPr>
    <w:rPr>
      <w:kern w:val="0"/>
      <w:sz w:val="24"/>
      <w:szCs w:val="20"/>
    </w:rPr>
  </w:style>
  <w:style w:type="character" w:customStyle="1" w:styleId="99">
    <w:name w:val="正文段 Char"/>
    <w:link w:val="98"/>
    <w:autoRedefine/>
    <w:qFormat/>
    <w:uiPriority w:val="0"/>
    <w:rPr>
      <w:rFonts w:eastAsia="宋体"/>
      <w:sz w:val="24"/>
      <w:lang w:val="en-US" w:eastAsia="zh-CN" w:bidi="ar-SA"/>
    </w:rPr>
  </w:style>
  <w:style w:type="character" w:customStyle="1" w:styleId="100">
    <w:name w:val="批注文字 Char1"/>
    <w:link w:val="21"/>
    <w:qFormat/>
    <w:uiPriority w:val="0"/>
    <w:rPr>
      <w:rFonts w:eastAsia="宋体"/>
      <w:kern w:val="2"/>
      <w:sz w:val="21"/>
      <w:szCs w:val="24"/>
      <w:lang w:val="en-US" w:eastAsia="zh-CN" w:bidi="ar-SA"/>
    </w:rPr>
  </w:style>
  <w:style w:type="character" w:customStyle="1" w:styleId="101">
    <w:name w:val="正文文本 2 Char1"/>
    <w:link w:val="56"/>
    <w:autoRedefine/>
    <w:qFormat/>
    <w:uiPriority w:val="0"/>
    <w:rPr>
      <w:rFonts w:ascii="隶书" w:eastAsia="隶书"/>
      <w:bCs/>
      <w:sz w:val="72"/>
      <w:szCs w:val="84"/>
      <w:lang w:val="en-US" w:eastAsia="zh-CN" w:bidi="ar-SA"/>
    </w:rPr>
  </w:style>
  <w:style w:type="paragraph" w:customStyle="1" w:styleId="102">
    <w:name w:val="Char"/>
    <w:basedOn w:val="1"/>
    <w:autoRedefine/>
    <w:qFormat/>
    <w:uiPriority w:val="0"/>
    <w:rPr>
      <w:rFonts w:ascii="仿宋_GB2312" w:eastAsia="仿宋_GB2312"/>
      <w:b/>
      <w:sz w:val="32"/>
      <w:szCs w:val="32"/>
    </w:rPr>
  </w:style>
  <w:style w:type="paragraph" w:customStyle="1" w:styleId="103">
    <w:name w:val="Table Text"/>
    <w:link w:val="104"/>
    <w:autoRedefine/>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autoRedefine/>
    <w:qFormat/>
    <w:uiPriority w:val="0"/>
    <w:rPr>
      <w:rFonts w:ascii="Arial" w:hAnsi="Arial"/>
      <w:sz w:val="18"/>
      <w:lang w:val="en-US" w:eastAsia="zh-CN" w:bidi="ar-SA"/>
    </w:rPr>
  </w:style>
  <w:style w:type="character" w:customStyle="1" w:styleId="105">
    <w:name w:val="正文（缩进2汉字） Char"/>
    <w:link w:val="106"/>
    <w:autoRedefine/>
    <w:qFormat/>
    <w:uiPriority w:val="0"/>
    <w:rPr>
      <w:rFonts w:ascii="宋体"/>
      <w:kern w:val="2"/>
      <w:sz w:val="21"/>
      <w:lang w:bidi="ar-SA"/>
    </w:rPr>
  </w:style>
  <w:style w:type="paragraph" w:customStyle="1" w:styleId="106">
    <w:name w:val="正文（缩进2汉字）"/>
    <w:basedOn w:val="1"/>
    <w:link w:val="105"/>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autoRedefine/>
    <w:qFormat/>
    <w:uiPriority w:val="0"/>
    <w:pPr>
      <w:tabs>
        <w:tab w:val="left" w:pos="432"/>
      </w:tabs>
      <w:spacing w:beforeLines="50" w:afterLines="50"/>
      <w:ind w:left="432" w:hanging="432"/>
      <w:jc w:val="center"/>
    </w:pPr>
    <w:rPr>
      <w:sz w:val="24"/>
    </w:rPr>
  </w:style>
  <w:style w:type="paragraph" w:customStyle="1" w:styleId="108">
    <w:name w:val="模板普通正文"/>
    <w:basedOn w:val="25"/>
    <w:autoRedefine/>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99"/>
    <w:rPr>
      <w:rFonts w:eastAsia="宋体"/>
      <w:kern w:val="2"/>
      <w:sz w:val="21"/>
      <w:szCs w:val="24"/>
      <w:lang w:val="en-US" w:eastAsia="zh-CN" w:bidi="ar-SA"/>
    </w:rPr>
  </w:style>
  <w:style w:type="paragraph" w:customStyle="1" w:styleId="110">
    <w:name w:val="缺省文本"/>
    <w:basedOn w:val="1"/>
    <w:autoRedefine/>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
    <w:qFormat/>
    <w:locked/>
    <w:uiPriority w:val="0"/>
    <w:rPr>
      <w:rFonts w:eastAsia="仿宋_GB2312"/>
      <w:kern w:val="2"/>
      <w:sz w:val="28"/>
      <w:szCs w:val="24"/>
      <w:lang w:val="en-US" w:eastAsia="zh-CN" w:bidi="ar-SA"/>
    </w:rPr>
  </w:style>
  <w:style w:type="paragraph" w:customStyle="1" w:styleId="114">
    <w:name w:val="项目排列"/>
    <w:basedOn w:val="1"/>
    <w:link w:val="115"/>
    <w:autoRedefine/>
    <w:qFormat/>
    <w:uiPriority w:val="0"/>
    <w:pPr>
      <w:tabs>
        <w:tab w:val="left" w:pos="900"/>
      </w:tabs>
      <w:spacing w:beforeLines="50" w:afterLines="50" w:line="300" w:lineRule="auto"/>
      <w:ind w:left="900" w:hanging="420"/>
    </w:pPr>
    <w:rPr>
      <w:sz w:val="24"/>
    </w:rPr>
  </w:style>
  <w:style w:type="character" w:customStyle="1" w:styleId="115">
    <w:name w:val="项目排列 Char"/>
    <w:link w:val="114"/>
    <w:autoRedefine/>
    <w:qFormat/>
    <w:uiPriority w:val="0"/>
    <w:rPr>
      <w:kern w:val="2"/>
      <w:sz w:val="24"/>
      <w:szCs w:val="24"/>
    </w:rPr>
  </w:style>
  <w:style w:type="character" w:customStyle="1" w:styleId="116">
    <w:name w:val="style21"/>
    <w:autoRedefine/>
    <w:qFormat/>
    <w:uiPriority w:val="0"/>
    <w:rPr>
      <w:sz w:val="15"/>
      <w:szCs w:val="15"/>
    </w:rPr>
  </w:style>
  <w:style w:type="paragraph" w:customStyle="1" w:styleId="117">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autoRedefine/>
    <w:qFormat/>
    <w:uiPriority w:val="0"/>
    <w:rPr>
      <w:szCs w:val="20"/>
    </w:rPr>
  </w:style>
  <w:style w:type="paragraph" w:customStyle="1" w:styleId="120">
    <w:name w:val="列出段落1"/>
    <w:basedOn w:val="1"/>
    <w:autoRedefine/>
    <w:qFormat/>
    <w:uiPriority w:val="0"/>
    <w:pPr>
      <w:ind w:firstLine="420" w:firstLineChars="200"/>
    </w:pPr>
    <w:rPr>
      <w:rFonts w:ascii="Calibri" w:hAnsi="Calibri"/>
      <w:szCs w:val="22"/>
    </w:rPr>
  </w:style>
  <w:style w:type="paragraph" w:customStyle="1" w:styleId="121">
    <w:name w:val="默认段落字体 Para Char Char Char Char"/>
    <w:basedOn w:val="1"/>
    <w:autoRedefine/>
    <w:qFormat/>
    <w:uiPriority w:val="0"/>
  </w:style>
  <w:style w:type="paragraph" w:customStyle="1" w:styleId="122">
    <w:name w:val="Char Char Char1 Char Char Char1 Char Char Char Char"/>
    <w:basedOn w:val="1"/>
    <w:autoRedefine/>
    <w:qFormat/>
    <w:uiPriority w:val="0"/>
  </w:style>
  <w:style w:type="character" w:customStyle="1" w:styleId="123">
    <w:name w:val="font1"/>
    <w:autoRedefine/>
    <w:qFormat/>
    <w:uiPriority w:val="0"/>
    <w:rPr>
      <w:color w:val="999999"/>
      <w:sz w:val="18"/>
      <w:szCs w:val="18"/>
      <w:u w:val="none"/>
    </w:rPr>
  </w:style>
  <w:style w:type="paragraph" w:customStyle="1" w:styleId="124">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autoRedefine/>
    <w:qFormat/>
    <w:uiPriority w:val="0"/>
    <w:rPr>
      <w:rFonts w:ascii="Tahoma" w:hAnsi="Tahoma"/>
      <w:sz w:val="24"/>
      <w:szCs w:val="20"/>
    </w:rPr>
  </w:style>
  <w:style w:type="character" w:customStyle="1" w:styleId="126">
    <w:name w:val="apple-style-span"/>
    <w:basedOn w:val="71"/>
    <w:autoRedefine/>
    <w:qFormat/>
    <w:uiPriority w:val="0"/>
  </w:style>
  <w:style w:type="paragraph" w:customStyle="1" w:styleId="127">
    <w:name w:val="正文无缩进"/>
    <w:basedOn w:val="1"/>
    <w:link w:val="128"/>
    <w:autoRedefine/>
    <w:qFormat/>
    <w:uiPriority w:val="0"/>
    <w:pPr>
      <w:spacing w:line="360" w:lineRule="auto"/>
    </w:pPr>
    <w:rPr>
      <w:rFonts w:ascii="宋体"/>
      <w:color w:val="000000"/>
      <w:sz w:val="24"/>
    </w:rPr>
  </w:style>
  <w:style w:type="character" w:customStyle="1" w:styleId="128">
    <w:name w:val="正文无缩进 Char"/>
    <w:link w:val="127"/>
    <w:autoRedefine/>
    <w:qFormat/>
    <w:uiPriority w:val="0"/>
    <w:rPr>
      <w:rFonts w:ascii="宋体" w:eastAsia="宋体"/>
      <w:color w:val="000000"/>
      <w:kern w:val="2"/>
      <w:sz w:val="24"/>
      <w:szCs w:val="24"/>
      <w:lang w:val="en-US" w:eastAsia="zh-CN" w:bidi="ar-SA"/>
    </w:rPr>
  </w:style>
  <w:style w:type="paragraph" w:customStyle="1" w:styleId="129">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autoRedefine/>
    <w:qFormat/>
    <w:uiPriority w:val="0"/>
  </w:style>
  <w:style w:type="paragraph" w:customStyle="1" w:styleId="131">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2">
    <w:name w:val="表格 Char Char"/>
    <w:link w:val="133"/>
    <w:autoRedefine/>
    <w:qFormat/>
    <w:locked/>
    <w:uiPriority w:val="0"/>
    <w:rPr>
      <w:rFonts w:ascii="宋体" w:hAnsi="宋体" w:eastAsia="宋体"/>
      <w:lang w:val="en-US" w:eastAsia="zh-CN" w:bidi="ar-SA"/>
    </w:rPr>
  </w:style>
  <w:style w:type="paragraph" w:customStyle="1" w:styleId="133">
    <w:name w:val="表格"/>
    <w:basedOn w:val="1"/>
    <w:link w:val="132"/>
    <w:autoRedefine/>
    <w:qFormat/>
    <w:uiPriority w:val="0"/>
    <w:pPr>
      <w:snapToGrid w:val="0"/>
      <w:ind w:firstLine="42" w:firstLineChars="21"/>
    </w:pPr>
    <w:rPr>
      <w:rFonts w:ascii="宋体" w:hAnsi="宋体"/>
      <w:kern w:val="0"/>
      <w:sz w:val="20"/>
      <w:szCs w:val="20"/>
    </w:rPr>
  </w:style>
  <w:style w:type="paragraph" w:customStyle="1" w:styleId="134">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autoRedefine/>
    <w:qFormat/>
    <w:uiPriority w:val="0"/>
    <w:pPr>
      <w:widowControl/>
      <w:spacing w:after="160" w:line="240" w:lineRule="exact"/>
      <w:jc w:val="left"/>
    </w:pPr>
  </w:style>
  <w:style w:type="character" w:customStyle="1" w:styleId="136">
    <w:name w:val="Char Char"/>
    <w:autoRedefine/>
    <w:qFormat/>
    <w:uiPriority w:val="0"/>
    <w:rPr>
      <w:rFonts w:hint="eastAsia" w:ascii="宋体" w:hAnsi="Courier New" w:eastAsia="宋体"/>
      <w:kern w:val="2"/>
      <w:sz w:val="21"/>
      <w:lang w:val="en-US" w:eastAsia="zh-CN" w:bidi="ar-SA"/>
    </w:rPr>
  </w:style>
  <w:style w:type="character" w:customStyle="1" w:styleId="137">
    <w:name w:val="style51"/>
    <w:autoRedefine/>
    <w:qFormat/>
    <w:uiPriority w:val="0"/>
    <w:rPr>
      <w:sz w:val="21"/>
      <w:szCs w:val="21"/>
    </w:rPr>
  </w:style>
  <w:style w:type="paragraph" w:customStyle="1" w:styleId="138">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autoRedefine/>
    <w:qFormat/>
    <w:uiPriority w:val="0"/>
    <w:pPr>
      <w:spacing w:line="360" w:lineRule="auto"/>
      <w:ind w:firstLine="480" w:firstLineChars="200"/>
    </w:pPr>
    <w:rPr>
      <w:rFonts w:cs="宋体"/>
      <w:sz w:val="24"/>
      <w:szCs w:val="20"/>
    </w:rPr>
  </w:style>
  <w:style w:type="character" w:customStyle="1" w:styleId="140">
    <w:name w:val="标准文本 Char"/>
    <w:link w:val="139"/>
    <w:autoRedefine/>
    <w:qFormat/>
    <w:uiPriority w:val="0"/>
    <w:rPr>
      <w:rFonts w:eastAsia="宋体" w:cs="宋体"/>
      <w:kern w:val="2"/>
      <w:sz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1"/>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1"/>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1"/>
    <w:link w:val="39"/>
    <w:qFormat/>
    <w:uiPriority w:val="0"/>
    <w:rPr>
      <w:kern w:val="2"/>
      <w:sz w:val="18"/>
      <w:szCs w:val="18"/>
    </w:rPr>
  </w:style>
  <w:style w:type="character" w:customStyle="1" w:styleId="227">
    <w:name w:val="正文文本缩进 3 Char"/>
    <w:basedOn w:val="71"/>
    <w:link w:val="53"/>
    <w:qFormat/>
    <w:uiPriority w:val="0"/>
    <w:rPr>
      <w:kern w:val="2"/>
      <w:sz w:val="16"/>
      <w:szCs w:val="16"/>
    </w:rPr>
  </w:style>
  <w:style w:type="character" w:customStyle="1" w:styleId="228">
    <w:name w:val="HTML 预设格式 Char"/>
    <w:basedOn w:val="71"/>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62"/>
    <w:qFormat/>
    <w:uiPriority w:val="0"/>
    <w:rPr>
      <w:rFonts w:eastAsia="仿宋_GB2312"/>
      <w:kern w:val="2"/>
      <w:sz w:val="21"/>
      <w:szCs w:val="24"/>
      <w:lang w:val="en-US" w:eastAsia="zh-CN" w:bidi="ar-SA"/>
    </w:rPr>
  </w:style>
  <w:style w:type="character" w:customStyle="1" w:styleId="231">
    <w:name w:val="正文首行缩进 2 Char"/>
    <w:basedOn w:val="94"/>
    <w:link w:val="63"/>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1"/>
    <w:qFormat/>
    <w:uiPriority w:val="0"/>
    <w:rPr>
      <w:rFonts w:hint="eastAsia" w:ascii="宋体" w:hAnsi="宋体" w:eastAsia="宋体" w:cs="宋体"/>
      <w:color w:val="000000"/>
      <w:sz w:val="22"/>
      <w:szCs w:val="22"/>
      <w:u w:val="none"/>
    </w:rPr>
  </w:style>
  <w:style w:type="character" w:customStyle="1" w:styleId="294">
    <w:name w:val="font11"/>
    <w:basedOn w:val="71"/>
    <w:qFormat/>
    <w:uiPriority w:val="0"/>
    <w:rPr>
      <w:rFonts w:hint="eastAsia" w:ascii="宋体" w:hAnsi="宋体" w:eastAsia="宋体" w:cs="宋体"/>
      <w:color w:val="FF0000"/>
      <w:sz w:val="22"/>
      <w:szCs w:val="22"/>
      <w:u w:val="none"/>
    </w:rPr>
  </w:style>
  <w:style w:type="character" w:customStyle="1" w:styleId="295">
    <w:name w:val="font41"/>
    <w:basedOn w:val="71"/>
    <w:qFormat/>
    <w:uiPriority w:val="0"/>
    <w:rPr>
      <w:rFonts w:hint="default" w:ascii="等线" w:hAnsi="等线" w:eastAsia="等线" w:cs="等线"/>
      <w:color w:val="FF0000"/>
      <w:sz w:val="22"/>
      <w:szCs w:val="22"/>
      <w:u w:val="none"/>
    </w:rPr>
  </w:style>
  <w:style w:type="character" w:customStyle="1" w:styleId="296">
    <w:name w:val="font21"/>
    <w:basedOn w:val="71"/>
    <w:qFormat/>
    <w:uiPriority w:val="0"/>
    <w:rPr>
      <w:rFonts w:hint="default" w:ascii="等线" w:hAnsi="等线" w:eastAsia="等线" w:cs="等线"/>
      <w:color w:val="000000"/>
      <w:sz w:val="22"/>
      <w:szCs w:val="22"/>
      <w:u w:val="none"/>
    </w:rPr>
  </w:style>
  <w:style w:type="character" w:customStyle="1" w:styleId="297">
    <w:name w:val="font51"/>
    <w:basedOn w:val="71"/>
    <w:qFormat/>
    <w:uiPriority w:val="0"/>
    <w:rPr>
      <w:rFonts w:hint="default" w:ascii="等线" w:hAnsi="等线" w:eastAsia="等线" w:cs="等线"/>
      <w:color w:val="FF0000"/>
      <w:sz w:val="22"/>
      <w:szCs w:val="22"/>
      <w:u w:val="none"/>
    </w:rPr>
  </w:style>
  <w:style w:type="character" w:customStyle="1" w:styleId="298">
    <w:name w:val="font61"/>
    <w:basedOn w:val="71"/>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1"/>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1"/>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3"/>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1"/>
    <w:link w:val="22"/>
    <w:qFormat/>
    <w:uiPriority w:val="0"/>
    <w:rPr>
      <w:rFonts w:ascii="仿宋_GB2312" w:eastAsia="仿宋_GB2312"/>
      <w:kern w:val="2"/>
      <w:sz w:val="28"/>
    </w:rPr>
  </w:style>
  <w:style w:type="character" w:customStyle="1" w:styleId="317">
    <w:name w:val="正文文本 3 Char"/>
    <w:basedOn w:val="71"/>
    <w:link w:val="23"/>
    <w:qFormat/>
    <w:uiPriority w:val="0"/>
    <w:rPr>
      <w:kern w:val="2"/>
      <w:sz w:val="21"/>
    </w:rPr>
  </w:style>
  <w:style w:type="character" w:customStyle="1" w:styleId="318">
    <w:name w:val="HTML 地址 Char"/>
    <w:basedOn w:val="71"/>
    <w:link w:val="30"/>
    <w:qFormat/>
    <w:uiPriority w:val="0"/>
    <w:rPr>
      <w:rFonts w:ascii="宋体" w:hAnsi="宋体"/>
      <w:i/>
      <w:iCs/>
      <w:sz w:val="24"/>
      <w:szCs w:val="24"/>
    </w:rPr>
  </w:style>
  <w:style w:type="character" w:customStyle="1" w:styleId="319">
    <w:name w:val="尾注文本 Char"/>
    <w:basedOn w:val="71"/>
    <w:link w:val="38"/>
    <w:qFormat/>
    <w:uiPriority w:val="0"/>
    <w:rPr>
      <w:kern w:val="2"/>
      <w:sz w:val="21"/>
      <w:szCs w:val="24"/>
      <w:lang w:val="zh-CN"/>
    </w:rPr>
  </w:style>
  <w:style w:type="character" w:customStyle="1" w:styleId="320">
    <w:name w:val="签名 Char"/>
    <w:basedOn w:val="71"/>
    <w:link w:val="42"/>
    <w:qFormat/>
    <w:uiPriority w:val="0"/>
    <w:rPr>
      <w:rFonts w:eastAsia="仿宋_GB2312"/>
      <w:sz w:val="24"/>
    </w:rPr>
  </w:style>
  <w:style w:type="character" w:customStyle="1" w:styleId="321">
    <w:name w:val="副标题 Char"/>
    <w:basedOn w:val="71"/>
    <w:link w:val="47"/>
    <w:qFormat/>
    <w:uiPriority w:val="0"/>
    <w:rPr>
      <w:rFonts w:ascii="Arial" w:hAnsi="Arial" w:eastAsia="隶书"/>
      <w:b/>
      <w:bCs/>
      <w:kern w:val="28"/>
      <w:sz w:val="44"/>
      <w:szCs w:val="32"/>
    </w:rPr>
  </w:style>
  <w:style w:type="character" w:customStyle="1" w:styleId="322">
    <w:name w:val="脚注文本 Char"/>
    <w:basedOn w:val="71"/>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1"/>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7"/>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1"/>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0"/>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1"/>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1"/>
    <w:qFormat/>
    <w:uiPriority w:val="0"/>
    <w:rPr>
      <w:rFonts w:ascii="Arial" w:hAnsi="Arial" w:eastAsia="黑体" w:cs="Arial"/>
      <w:snapToGrid w:val="0"/>
      <w:kern w:val="0"/>
      <w:szCs w:val="21"/>
    </w:rPr>
  </w:style>
  <w:style w:type="character" w:customStyle="1" w:styleId="593">
    <w:name w:val="hui"/>
    <w:basedOn w:val="71"/>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7"/>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7"/>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3"/>
    <w:next w:val="3"/>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3"/>
    <w:next w:val="3"/>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7"/>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7"/>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7"/>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7"/>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7"/>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7"/>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0"/>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1"/>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55105</Words>
  <Characters>62548</Characters>
  <Lines>520</Lines>
  <Paragraphs>146</Paragraphs>
  <TotalTime>25</TotalTime>
  <ScaleCrop>false</ScaleCrop>
  <LinksUpToDate>false</LinksUpToDate>
  <CharactersWithSpaces>70221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win10</cp:lastModifiedBy>
  <cp:lastPrinted>2023-07-24T23:14:00Z</cp:lastPrinted>
  <dcterms:modified xsi:type="dcterms:W3CDTF">2024-06-05T07:05:38Z</dcterms:modified>
  <dc:title>绍兴文理学院计算机机房设备及录播系统供货项目</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A633DDF073C6417FA6123749EEDD5953_12</vt:lpwstr>
  </property>
</Properties>
</file>