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textAlignment w:val="bottom"/>
        <w:rPr>
          <w:rStyle w:val="41"/>
          <w:rFonts w:ascii="宋体" w:hAnsi="宋体"/>
          <w:b/>
          <w:color w:val="auto"/>
          <w:sz w:val="30"/>
          <w:szCs w:val="30"/>
          <w:highlight w:val="none"/>
        </w:rPr>
      </w:pPr>
      <w:r>
        <w:rPr>
          <w:rStyle w:val="41"/>
          <w:rFonts w:ascii="宋体" w:hAnsi="宋体"/>
          <w:b/>
          <w:color w:val="auto"/>
          <w:sz w:val="30"/>
          <w:szCs w:val="30"/>
          <w:highlight w:val="none"/>
        </w:rPr>
        <w:t xml:space="preserve">                                                                                  </w:t>
      </w:r>
    </w:p>
    <w:p>
      <w:pPr>
        <w:tabs>
          <w:tab w:val="left" w:pos="0"/>
        </w:tabs>
        <w:snapToGrid w:val="0"/>
        <w:spacing w:line="300" w:lineRule="auto"/>
        <w:ind w:firstLine="201" w:firstLineChars="20"/>
        <w:jc w:val="center"/>
        <w:rPr>
          <w:rStyle w:val="41"/>
          <w:rFonts w:ascii="宋体" w:hAnsi="宋体"/>
          <w:b/>
          <w:color w:val="auto"/>
          <w:sz w:val="100"/>
          <w:szCs w:val="100"/>
          <w:highlight w:val="none"/>
        </w:rPr>
      </w:pPr>
      <w:r>
        <w:rPr>
          <w:rStyle w:val="41"/>
          <w:rFonts w:ascii="宋体" w:hAnsi="宋体"/>
          <w:b/>
          <w:color w:val="auto"/>
          <w:sz w:val="100"/>
          <w:szCs w:val="100"/>
          <w:highlight w:val="none"/>
        </w:rPr>
        <w:t xml:space="preserve">磋商文件 </w:t>
      </w:r>
    </w:p>
    <w:p>
      <w:pPr>
        <w:tabs>
          <w:tab w:val="left" w:pos="0"/>
        </w:tabs>
        <w:snapToGrid w:val="0"/>
        <w:spacing w:line="300" w:lineRule="auto"/>
        <w:ind w:firstLine="64" w:firstLineChars="20"/>
        <w:jc w:val="center"/>
        <w:rPr>
          <w:rStyle w:val="41"/>
          <w:rFonts w:ascii="宋体" w:hAnsi="宋体"/>
          <w:b/>
          <w:color w:val="auto"/>
          <w:sz w:val="100"/>
          <w:szCs w:val="100"/>
          <w:highlight w:val="none"/>
        </w:rPr>
      </w:pPr>
      <w:r>
        <w:rPr>
          <w:rStyle w:val="41"/>
          <w:rFonts w:ascii="宋体" w:hAnsi="宋体"/>
          <w:b/>
          <w:color w:val="auto"/>
          <w:kern w:val="0"/>
          <w:sz w:val="32"/>
          <w:highlight w:val="none"/>
        </w:rPr>
        <w:t>（线上电子招投标）</w:t>
      </w:r>
    </w:p>
    <w:p>
      <w:pPr>
        <w:snapToGrid w:val="0"/>
        <w:spacing w:line="360" w:lineRule="auto"/>
        <w:jc w:val="center"/>
        <w:rPr>
          <w:rStyle w:val="41"/>
          <w:rFonts w:ascii="宋体" w:hAnsi="宋体"/>
          <w:b/>
          <w:color w:val="auto"/>
          <w:sz w:val="30"/>
          <w:szCs w:val="30"/>
          <w:highlight w:val="none"/>
        </w:rPr>
      </w:pPr>
      <w:r>
        <w:rPr>
          <w:rStyle w:val="41"/>
          <w:rFonts w:ascii="宋体" w:hAnsi="宋体"/>
          <w:color w:val="auto"/>
          <w:kern w:val="0"/>
          <w:sz w:val="24"/>
          <w:highlight w:val="none"/>
        </w:rPr>
        <w:drawing>
          <wp:inline distT="0" distB="0" distL="114300" distR="114300">
            <wp:extent cx="1771650" cy="1352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1771650" cy="1352550"/>
                    </a:xfrm>
                    <a:prstGeom prst="rect">
                      <a:avLst/>
                    </a:prstGeom>
                    <a:noFill/>
                    <a:ln>
                      <a:noFill/>
                    </a:ln>
                  </pic:spPr>
                </pic:pic>
              </a:graphicData>
            </a:graphic>
          </wp:inline>
        </w:drawing>
      </w:r>
    </w:p>
    <w:p>
      <w:pPr>
        <w:snapToGrid w:val="0"/>
        <w:spacing w:line="360" w:lineRule="auto"/>
        <w:jc w:val="left"/>
        <w:rPr>
          <w:rStyle w:val="41"/>
          <w:rFonts w:ascii="宋体" w:hAnsi="宋体" w:cs="宋体"/>
          <w:b/>
          <w:bCs/>
          <w:color w:val="auto"/>
          <w:sz w:val="30"/>
          <w:szCs w:val="30"/>
          <w:highlight w:val="none"/>
        </w:rPr>
      </w:pPr>
    </w:p>
    <w:p>
      <w:pPr>
        <w:snapToGrid w:val="0"/>
        <w:spacing w:line="360" w:lineRule="auto"/>
        <w:jc w:val="left"/>
        <w:rPr>
          <w:rStyle w:val="41"/>
          <w:rFonts w:ascii="宋体" w:hAnsi="宋体" w:cs="宋体"/>
          <w:b/>
          <w:bCs/>
          <w:color w:val="auto"/>
          <w:sz w:val="30"/>
          <w:szCs w:val="30"/>
          <w:highlight w:val="none"/>
        </w:rPr>
      </w:pPr>
    </w:p>
    <w:p>
      <w:pPr>
        <w:snapToGrid w:val="0"/>
        <w:spacing w:line="360" w:lineRule="auto"/>
        <w:ind w:left="850" w:leftChars="405"/>
        <w:jc w:val="left"/>
        <w:outlineLvl w:val="0"/>
        <w:rPr>
          <w:rStyle w:val="41"/>
          <w:rFonts w:ascii="宋体" w:hAnsi="宋体" w:cs="宋体"/>
          <w:b/>
          <w:bCs/>
          <w:color w:val="auto"/>
          <w:sz w:val="30"/>
          <w:szCs w:val="30"/>
          <w:highlight w:val="none"/>
        </w:rPr>
      </w:pPr>
      <w:bookmarkStart w:id="0" w:name="_Toc721"/>
      <w:bookmarkStart w:id="1" w:name="_Toc27781"/>
      <w:r>
        <w:rPr>
          <w:rStyle w:val="41"/>
          <w:rFonts w:ascii="宋体" w:hAnsi="宋体" w:cs="宋体"/>
          <w:b/>
          <w:bCs/>
          <w:color w:val="auto"/>
          <w:sz w:val="30"/>
          <w:szCs w:val="30"/>
          <w:highlight w:val="none"/>
        </w:rPr>
        <w:t>采购</w:t>
      </w:r>
      <w:r>
        <w:rPr>
          <w:rStyle w:val="41"/>
          <w:rFonts w:ascii="宋体" w:hAnsi="宋体"/>
          <w:b/>
          <w:color w:val="auto"/>
          <w:sz w:val="30"/>
          <w:szCs w:val="30"/>
          <w:highlight w:val="none"/>
        </w:rPr>
        <w:t>方式</w:t>
      </w:r>
      <w:r>
        <w:rPr>
          <w:rStyle w:val="41"/>
          <w:rFonts w:ascii="宋体" w:hAnsi="宋体" w:cs="宋体"/>
          <w:b/>
          <w:bCs/>
          <w:color w:val="auto"/>
          <w:sz w:val="30"/>
          <w:szCs w:val="30"/>
          <w:highlight w:val="none"/>
        </w:rPr>
        <w:t>：竞争性磋商</w:t>
      </w:r>
      <w:bookmarkEnd w:id="0"/>
      <w:bookmarkEnd w:id="1"/>
    </w:p>
    <w:p>
      <w:pPr>
        <w:snapToGrid w:val="0"/>
        <w:spacing w:line="360" w:lineRule="auto"/>
        <w:ind w:left="850" w:leftChars="405"/>
        <w:jc w:val="left"/>
        <w:outlineLvl w:val="0"/>
        <w:rPr>
          <w:rStyle w:val="41"/>
          <w:rFonts w:ascii="宋体" w:hAnsi="宋体"/>
          <w:b/>
          <w:color w:val="auto"/>
          <w:sz w:val="30"/>
          <w:szCs w:val="30"/>
          <w:highlight w:val="none"/>
        </w:rPr>
      </w:pPr>
      <w:bookmarkStart w:id="2" w:name="_Toc2432"/>
      <w:bookmarkStart w:id="3" w:name="_Toc21200"/>
      <w:r>
        <w:rPr>
          <w:rStyle w:val="41"/>
          <w:rFonts w:ascii="宋体" w:hAnsi="宋体"/>
          <w:b/>
          <w:color w:val="auto"/>
          <w:sz w:val="30"/>
          <w:szCs w:val="30"/>
          <w:highlight w:val="none"/>
        </w:rPr>
        <w:t>项目编号：</w:t>
      </w:r>
      <w:bookmarkEnd w:id="2"/>
      <w:bookmarkEnd w:id="3"/>
      <w:r>
        <w:rPr>
          <w:rStyle w:val="41"/>
          <w:rFonts w:hint="eastAsia" w:ascii="宋体" w:hAnsi="宋体"/>
          <w:b/>
          <w:color w:val="auto"/>
          <w:sz w:val="30"/>
          <w:szCs w:val="30"/>
          <w:highlight w:val="none"/>
          <w:lang w:eastAsia="zh-CN"/>
        </w:rPr>
        <w:t>CTZB-2024050477</w:t>
      </w:r>
      <w:r>
        <w:rPr>
          <w:rStyle w:val="41"/>
          <w:rFonts w:ascii="宋体" w:hAnsi="宋体"/>
          <w:b/>
          <w:color w:val="auto"/>
          <w:sz w:val="30"/>
          <w:szCs w:val="30"/>
          <w:highlight w:val="none"/>
        </w:rPr>
        <w:t xml:space="preserve">  </w:t>
      </w:r>
    </w:p>
    <w:p>
      <w:pPr>
        <w:snapToGrid w:val="0"/>
        <w:spacing w:line="360" w:lineRule="auto"/>
        <w:ind w:left="2344" w:leftChars="405" w:hanging="1494"/>
        <w:outlineLvl w:val="0"/>
        <w:rPr>
          <w:rStyle w:val="41"/>
          <w:rFonts w:hint="eastAsia" w:ascii="宋体" w:hAnsi="宋体" w:eastAsia="宋体"/>
          <w:b/>
          <w:color w:val="auto"/>
          <w:sz w:val="30"/>
          <w:szCs w:val="30"/>
          <w:highlight w:val="none"/>
          <w:lang w:eastAsia="zh-CN"/>
        </w:rPr>
      </w:pPr>
      <w:bookmarkStart w:id="4" w:name="_Toc17737"/>
      <w:bookmarkStart w:id="5" w:name="_Toc8611"/>
      <w:r>
        <w:rPr>
          <w:rStyle w:val="41"/>
          <w:rFonts w:ascii="宋体" w:hAnsi="宋体"/>
          <w:b/>
          <w:color w:val="auto"/>
          <w:sz w:val="30"/>
          <w:szCs w:val="30"/>
          <w:highlight w:val="none"/>
        </w:rPr>
        <w:t>项目名称：</w:t>
      </w:r>
      <w:bookmarkEnd w:id="4"/>
      <w:bookmarkEnd w:id="5"/>
      <w:r>
        <w:rPr>
          <w:rStyle w:val="41"/>
          <w:rFonts w:hint="eastAsia" w:ascii="宋体" w:hAnsi="宋体" w:cs="宋体"/>
          <w:b/>
          <w:bCs/>
          <w:color w:val="auto"/>
          <w:sz w:val="30"/>
          <w:szCs w:val="30"/>
          <w:highlight w:val="none"/>
          <w:lang w:eastAsia="zh-CN"/>
        </w:rPr>
        <w:t>浙江理工大学下沙校区教学东区消防管网改造工程</w:t>
      </w:r>
    </w:p>
    <w:p>
      <w:pPr>
        <w:snapToGrid w:val="0"/>
        <w:spacing w:line="360" w:lineRule="auto"/>
        <w:rPr>
          <w:rStyle w:val="41"/>
          <w:rFonts w:ascii="宋体" w:hAnsi="宋体" w:cs="宋体"/>
          <w:bCs/>
          <w:color w:val="auto"/>
          <w:sz w:val="30"/>
          <w:szCs w:val="30"/>
          <w:highlight w:val="none"/>
        </w:rPr>
      </w:pPr>
      <w:r>
        <w:rPr>
          <w:rStyle w:val="41"/>
          <w:rFonts w:ascii="宋体" w:hAnsi="宋体" w:cs="宋体"/>
          <w:bCs/>
          <w:color w:val="auto"/>
          <w:sz w:val="30"/>
          <w:szCs w:val="30"/>
          <w:highlight w:val="none"/>
        </w:rPr>
        <w:t xml:space="preserve">                            </w:t>
      </w:r>
    </w:p>
    <w:p>
      <w:pPr>
        <w:snapToGrid w:val="0"/>
        <w:spacing w:line="360" w:lineRule="auto"/>
        <w:jc w:val="center"/>
        <w:rPr>
          <w:rStyle w:val="41"/>
          <w:rFonts w:ascii="宋体" w:hAnsi="宋体"/>
          <w:color w:val="auto"/>
          <w:sz w:val="30"/>
          <w:szCs w:val="30"/>
          <w:highlight w:val="none"/>
        </w:rPr>
      </w:pPr>
    </w:p>
    <w:p>
      <w:pPr>
        <w:snapToGrid w:val="0"/>
        <w:spacing w:line="360" w:lineRule="auto"/>
        <w:jc w:val="center"/>
        <w:rPr>
          <w:rStyle w:val="41"/>
          <w:rFonts w:ascii="宋体" w:hAnsi="宋体" w:cs="宋体"/>
          <w:bCs/>
          <w:color w:val="auto"/>
          <w:sz w:val="30"/>
          <w:szCs w:val="30"/>
          <w:highlight w:val="none"/>
        </w:rPr>
      </w:pPr>
    </w:p>
    <w:p>
      <w:pPr>
        <w:snapToGrid w:val="0"/>
        <w:spacing w:line="360" w:lineRule="auto"/>
        <w:jc w:val="center"/>
        <w:rPr>
          <w:rStyle w:val="41"/>
          <w:rFonts w:ascii="宋体" w:hAnsi="宋体" w:cs="宋体"/>
          <w:b/>
          <w:bCs/>
          <w:color w:val="auto"/>
          <w:sz w:val="30"/>
          <w:szCs w:val="30"/>
          <w:highlight w:val="none"/>
        </w:rPr>
      </w:pPr>
    </w:p>
    <w:tbl>
      <w:tblPr>
        <w:tblStyle w:val="21"/>
        <w:tblW w:w="6822" w:type="dxa"/>
        <w:jc w:val="center"/>
        <w:tblLayout w:type="fixed"/>
        <w:tblCellMar>
          <w:top w:w="0" w:type="dxa"/>
          <w:left w:w="0" w:type="dxa"/>
          <w:bottom w:w="0" w:type="dxa"/>
          <w:right w:w="0" w:type="dxa"/>
        </w:tblCellMar>
      </w:tblPr>
      <w:tblGrid>
        <w:gridCol w:w="2182"/>
        <w:gridCol w:w="4640"/>
      </w:tblGrid>
      <w:tr>
        <w:tblPrEx>
          <w:tblCellMar>
            <w:top w:w="0" w:type="dxa"/>
            <w:left w:w="0" w:type="dxa"/>
            <w:bottom w:w="0" w:type="dxa"/>
            <w:right w:w="0" w:type="dxa"/>
          </w:tblCellMar>
        </w:tblPrEx>
        <w:trPr>
          <w:jc w:val="center"/>
        </w:trPr>
        <w:tc>
          <w:tcPr>
            <w:tcW w:w="2182" w:type="dxa"/>
            <w:vAlign w:val="center"/>
          </w:tcPr>
          <w:p>
            <w:pPr>
              <w:snapToGrid w:val="0"/>
              <w:spacing w:line="360" w:lineRule="auto"/>
              <w:jc w:val="distribute"/>
              <w:rPr>
                <w:rStyle w:val="41"/>
                <w:rFonts w:ascii="宋体" w:hAnsi="宋体" w:cs="宋体"/>
                <w:b/>
                <w:bCs/>
                <w:color w:val="auto"/>
                <w:sz w:val="30"/>
                <w:szCs w:val="30"/>
                <w:highlight w:val="none"/>
              </w:rPr>
            </w:pPr>
            <w:r>
              <w:rPr>
                <w:rStyle w:val="41"/>
                <w:rFonts w:ascii="宋体" w:hAnsi="宋体"/>
                <w:b/>
                <w:color w:val="auto"/>
                <w:sz w:val="30"/>
                <w:szCs w:val="30"/>
                <w:highlight w:val="none"/>
              </w:rPr>
              <w:t>采   购  人 ：</w:t>
            </w:r>
          </w:p>
        </w:tc>
        <w:tc>
          <w:tcPr>
            <w:tcW w:w="4640" w:type="dxa"/>
            <w:vAlign w:val="center"/>
          </w:tcPr>
          <w:p>
            <w:pPr>
              <w:snapToGrid w:val="0"/>
              <w:spacing w:line="360" w:lineRule="auto"/>
              <w:jc w:val="left"/>
              <w:rPr>
                <w:rStyle w:val="41"/>
                <w:rFonts w:ascii="宋体" w:hAnsi="宋体"/>
                <w:b/>
                <w:color w:val="auto"/>
                <w:sz w:val="30"/>
                <w:szCs w:val="30"/>
                <w:highlight w:val="none"/>
              </w:rPr>
            </w:pPr>
            <w:r>
              <w:rPr>
                <w:rStyle w:val="41"/>
                <w:rFonts w:ascii="宋体" w:hAnsi="宋体"/>
                <w:b/>
                <w:color w:val="auto"/>
                <w:sz w:val="30"/>
                <w:szCs w:val="30"/>
                <w:highlight w:val="none"/>
              </w:rPr>
              <w:t xml:space="preserve">浙江理工大学 </w:t>
            </w:r>
          </w:p>
        </w:tc>
      </w:tr>
      <w:tr>
        <w:tblPrEx>
          <w:tblCellMar>
            <w:top w:w="0" w:type="dxa"/>
            <w:left w:w="0" w:type="dxa"/>
            <w:bottom w:w="0" w:type="dxa"/>
            <w:right w:w="0" w:type="dxa"/>
          </w:tblCellMar>
        </w:tblPrEx>
        <w:trPr>
          <w:jc w:val="center"/>
        </w:trPr>
        <w:tc>
          <w:tcPr>
            <w:tcW w:w="2182" w:type="dxa"/>
            <w:vAlign w:val="center"/>
          </w:tcPr>
          <w:p>
            <w:pPr>
              <w:snapToGrid w:val="0"/>
              <w:spacing w:line="360" w:lineRule="auto"/>
              <w:jc w:val="distribute"/>
              <w:rPr>
                <w:rStyle w:val="41"/>
                <w:rFonts w:ascii="宋体" w:hAnsi="宋体" w:cs="宋体"/>
                <w:b/>
                <w:bCs/>
                <w:color w:val="auto"/>
                <w:sz w:val="30"/>
                <w:szCs w:val="30"/>
                <w:highlight w:val="none"/>
              </w:rPr>
            </w:pPr>
            <w:r>
              <w:rPr>
                <w:rStyle w:val="41"/>
                <w:rFonts w:ascii="宋体" w:hAnsi="宋体"/>
                <w:b/>
                <w:color w:val="auto"/>
                <w:sz w:val="30"/>
                <w:szCs w:val="30"/>
                <w:highlight w:val="none"/>
              </w:rPr>
              <w:t>采购代理机构：</w:t>
            </w:r>
          </w:p>
        </w:tc>
        <w:tc>
          <w:tcPr>
            <w:tcW w:w="4640" w:type="dxa"/>
            <w:vAlign w:val="center"/>
          </w:tcPr>
          <w:p>
            <w:pPr>
              <w:snapToGrid w:val="0"/>
              <w:spacing w:line="360" w:lineRule="auto"/>
              <w:jc w:val="left"/>
              <w:rPr>
                <w:rStyle w:val="41"/>
                <w:rFonts w:ascii="宋体" w:hAnsi="宋体" w:cs="宋体"/>
                <w:b/>
                <w:bCs/>
                <w:color w:val="auto"/>
                <w:sz w:val="30"/>
                <w:szCs w:val="30"/>
                <w:highlight w:val="none"/>
              </w:rPr>
            </w:pPr>
            <w:r>
              <w:rPr>
                <w:rStyle w:val="41"/>
                <w:rFonts w:ascii="宋体" w:hAnsi="宋体"/>
                <w:b/>
                <w:color w:val="auto"/>
                <w:sz w:val="30"/>
                <w:szCs w:val="30"/>
                <w:highlight w:val="none"/>
              </w:rPr>
              <w:t>浙江省成套招标代理有限公司</w:t>
            </w:r>
          </w:p>
        </w:tc>
      </w:tr>
      <w:tr>
        <w:tblPrEx>
          <w:tblCellMar>
            <w:top w:w="0" w:type="dxa"/>
            <w:left w:w="0" w:type="dxa"/>
            <w:bottom w:w="0" w:type="dxa"/>
            <w:right w:w="0" w:type="dxa"/>
          </w:tblCellMar>
        </w:tblPrEx>
        <w:trPr>
          <w:jc w:val="center"/>
        </w:trPr>
        <w:tc>
          <w:tcPr>
            <w:tcW w:w="6822" w:type="dxa"/>
            <w:gridSpan w:val="2"/>
            <w:vAlign w:val="center"/>
          </w:tcPr>
          <w:p>
            <w:pPr>
              <w:snapToGrid w:val="0"/>
              <w:spacing w:line="360" w:lineRule="auto"/>
              <w:rPr>
                <w:rStyle w:val="41"/>
                <w:rFonts w:ascii="宋体" w:hAnsi="宋体"/>
                <w:b/>
                <w:color w:val="auto"/>
                <w:sz w:val="30"/>
                <w:szCs w:val="30"/>
                <w:highlight w:val="none"/>
              </w:rPr>
            </w:pPr>
            <w:r>
              <w:rPr>
                <w:rStyle w:val="41"/>
                <w:rFonts w:ascii="宋体" w:hAnsi="宋体"/>
                <w:b/>
                <w:color w:val="auto"/>
                <w:sz w:val="30"/>
                <w:szCs w:val="30"/>
                <w:highlight w:val="none"/>
              </w:rPr>
              <w:t>日        期：二〇二</w:t>
            </w:r>
            <w:r>
              <w:rPr>
                <w:rStyle w:val="41"/>
                <w:rFonts w:hint="eastAsia" w:ascii="宋体" w:hAnsi="宋体"/>
                <w:b/>
                <w:color w:val="auto"/>
                <w:sz w:val="30"/>
                <w:szCs w:val="30"/>
                <w:highlight w:val="none"/>
              </w:rPr>
              <w:t>四</w:t>
            </w:r>
            <w:r>
              <w:rPr>
                <w:rStyle w:val="41"/>
                <w:rFonts w:ascii="宋体" w:hAnsi="宋体"/>
                <w:b/>
                <w:color w:val="auto"/>
                <w:sz w:val="30"/>
                <w:szCs w:val="30"/>
                <w:highlight w:val="none"/>
              </w:rPr>
              <w:t>年</w:t>
            </w:r>
            <w:r>
              <w:rPr>
                <w:rStyle w:val="41"/>
                <w:rFonts w:hint="eastAsia" w:ascii="宋体" w:hAnsi="宋体"/>
                <w:b/>
                <w:color w:val="auto"/>
                <w:sz w:val="30"/>
                <w:szCs w:val="30"/>
                <w:highlight w:val="none"/>
              </w:rPr>
              <w:t>五</w:t>
            </w:r>
            <w:r>
              <w:rPr>
                <w:rStyle w:val="41"/>
                <w:rFonts w:ascii="宋体" w:hAnsi="宋体"/>
                <w:b/>
                <w:color w:val="auto"/>
                <w:sz w:val="30"/>
                <w:szCs w:val="30"/>
                <w:highlight w:val="none"/>
              </w:rPr>
              <w:t>月</w:t>
            </w:r>
          </w:p>
        </w:tc>
      </w:tr>
    </w:tbl>
    <w:p>
      <w:pPr>
        <w:snapToGrid w:val="0"/>
        <w:spacing w:line="360" w:lineRule="auto"/>
        <w:jc w:val="center"/>
        <w:rPr>
          <w:rStyle w:val="41"/>
          <w:rFonts w:ascii="宋体" w:hAnsi="宋体" w:cs="宋体"/>
          <w:b/>
          <w:bCs/>
          <w:color w:val="auto"/>
          <w:sz w:val="44"/>
          <w:szCs w:val="44"/>
          <w:highlight w:val="none"/>
        </w:rPr>
      </w:pPr>
      <w:r>
        <w:rPr>
          <w:rStyle w:val="41"/>
          <w:rFonts w:ascii="宋体" w:hAnsi="宋体" w:cs="宋体"/>
          <w:b/>
          <w:bCs/>
          <w:color w:val="auto"/>
          <w:sz w:val="44"/>
          <w:szCs w:val="44"/>
          <w:highlight w:val="none"/>
        </w:rPr>
        <w:br w:type="page"/>
      </w:r>
    </w:p>
    <w:p>
      <w:pPr>
        <w:snapToGrid w:val="0"/>
        <w:spacing w:line="360" w:lineRule="auto"/>
        <w:jc w:val="center"/>
        <w:rPr>
          <w:rStyle w:val="41"/>
          <w:rFonts w:ascii="宋体" w:hAnsi="宋体" w:cs="宋体"/>
          <w:b/>
          <w:bCs/>
          <w:color w:val="auto"/>
          <w:sz w:val="44"/>
          <w:szCs w:val="44"/>
          <w:highlight w:val="none"/>
        </w:rPr>
      </w:pPr>
      <w:r>
        <w:rPr>
          <w:rStyle w:val="41"/>
          <w:rFonts w:ascii="宋体" w:hAnsi="宋体" w:cs="宋体"/>
          <w:b/>
          <w:bCs/>
          <w:color w:val="auto"/>
          <w:sz w:val="44"/>
          <w:szCs w:val="44"/>
          <w:highlight w:val="none"/>
        </w:rPr>
        <w:t>目  录</w:t>
      </w:r>
    </w:p>
    <w:p>
      <w:pPr>
        <w:jc w:val="center"/>
        <w:rPr>
          <w:color w:val="auto"/>
          <w:highlight w:val="none"/>
        </w:rPr>
      </w:pPr>
    </w:p>
    <w:p>
      <w:pPr>
        <w:pStyle w:val="2"/>
        <w:tabs>
          <w:tab w:val="right" w:leader="dot" w:pos="8312"/>
        </w:tabs>
        <w:rPr>
          <w:color w:val="auto"/>
          <w:highlight w:val="none"/>
        </w:rPr>
      </w:pPr>
      <w:r>
        <w:rPr>
          <w:rStyle w:val="41"/>
          <w:color w:val="auto"/>
          <w:highlight w:val="none"/>
        </w:rPr>
        <w:fldChar w:fldCharType="begin"/>
      </w:r>
      <w:r>
        <w:rPr>
          <w:rStyle w:val="41"/>
          <w:color w:val="auto"/>
          <w:highlight w:val="none"/>
        </w:rPr>
        <w:instrText xml:space="preserve">TOC \o "1-1" \h \u </w:instrText>
      </w:r>
      <w:r>
        <w:rPr>
          <w:rStyle w:val="41"/>
          <w:color w:val="auto"/>
          <w:highlight w:val="none"/>
        </w:rPr>
        <w:fldChar w:fldCharType="separate"/>
      </w:r>
    </w:p>
    <w:p>
      <w:pPr>
        <w:pStyle w:val="2"/>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"_Toc28582" </w:instrText>
      </w:r>
      <w:r>
        <w:rPr>
          <w:color w:val="auto"/>
          <w:highlight w:val="none"/>
        </w:rPr>
        <w:fldChar w:fldCharType="separate"/>
      </w:r>
      <w:r>
        <w:rPr>
          <w:rFonts w:hint="eastAsia" w:ascii="宋体" w:hAnsi="宋体" w:cs="宋体"/>
          <w:b/>
          <w:bCs/>
          <w:color w:val="auto"/>
          <w:highlight w:val="none"/>
        </w:rPr>
        <w:t>第一章  竞争性磋商公告</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_Toc28582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3</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2"/>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"_Toc12631" </w:instrText>
      </w:r>
      <w:r>
        <w:rPr>
          <w:color w:val="auto"/>
          <w:highlight w:val="none"/>
        </w:rPr>
        <w:fldChar w:fldCharType="separate"/>
      </w:r>
      <w:r>
        <w:rPr>
          <w:rFonts w:hint="eastAsia" w:ascii="宋体" w:hAnsi="宋体" w:cs="宋体"/>
          <w:b/>
          <w:bCs/>
          <w:color w:val="auto"/>
          <w:highlight w:val="none"/>
        </w:rPr>
        <w:t>第二章  采购内容及技术要求</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_Toc12631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7</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2"/>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"_Toc6024" </w:instrText>
      </w:r>
      <w:r>
        <w:rPr>
          <w:color w:val="auto"/>
          <w:highlight w:val="none"/>
        </w:rPr>
        <w:fldChar w:fldCharType="separate"/>
      </w:r>
      <w:r>
        <w:rPr>
          <w:rFonts w:hint="eastAsia" w:ascii="宋体" w:hAnsi="宋体" w:cs="宋体"/>
          <w:b/>
          <w:bCs/>
          <w:color w:val="auto"/>
          <w:highlight w:val="none"/>
        </w:rPr>
        <w:t>第三章  评审办法</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_Toc6024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14</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2"/>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"_Toc6100" </w:instrText>
      </w:r>
      <w:r>
        <w:rPr>
          <w:color w:val="auto"/>
          <w:highlight w:val="none"/>
        </w:rPr>
        <w:fldChar w:fldCharType="separate"/>
      </w:r>
      <w:r>
        <w:rPr>
          <w:rFonts w:hint="eastAsia" w:ascii="宋体" w:hAnsi="宋体" w:cs="宋体"/>
          <w:b/>
          <w:bCs/>
          <w:color w:val="auto"/>
          <w:highlight w:val="none"/>
        </w:rPr>
        <w:t>第四章  合同</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_Toc6100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20</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2"/>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"_Toc14935" </w:instrText>
      </w:r>
      <w:r>
        <w:rPr>
          <w:color w:val="auto"/>
          <w:highlight w:val="none"/>
        </w:rPr>
        <w:fldChar w:fldCharType="separate"/>
      </w:r>
      <w:r>
        <w:rPr>
          <w:rFonts w:hint="eastAsia" w:ascii="宋体" w:hAnsi="宋体" w:cs="宋体"/>
          <w:b/>
          <w:bCs/>
          <w:color w:val="auto"/>
          <w:highlight w:val="none"/>
        </w:rPr>
        <w:t>第五章  供应商须知前附表</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_Toc14935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46</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2"/>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"_Toc6119" </w:instrText>
      </w:r>
      <w:r>
        <w:rPr>
          <w:color w:val="auto"/>
          <w:highlight w:val="none"/>
        </w:rPr>
        <w:fldChar w:fldCharType="separate"/>
      </w:r>
      <w:r>
        <w:rPr>
          <w:rFonts w:hint="eastAsia" w:ascii="宋体" w:hAnsi="宋体" w:cs="宋体"/>
          <w:b/>
          <w:bCs/>
          <w:color w:val="auto"/>
          <w:highlight w:val="none"/>
        </w:rPr>
        <w:t>第六章  供应商须知</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_Toc6119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51</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2"/>
        <w:tabs>
          <w:tab w:val="right" w:leader="dot" w:pos="8312"/>
        </w:tabs>
        <w:spacing w:line="480" w:lineRule="auto"/>
        <w:rPr>
          <w:rFonts w:ascii="宋体" w:hAnsi="宋体" w:cs="宋体"/>
          <w:b/>
          <w:bCs/>
          <w:color w:val="auto"/>
          <w:highlight w:val="none"/>
        </w:rPr>
      </w:pPr>
      <w:r>
        <w:rPr>
          <w:color w:val="auto"/>
          <w:highlight w:val="none"/>
        </w:rPr>
        <w:fldChar w:fldCharType="begin"/>
      </w:r>
      <w:r>
        <w:rPr>
          <w:color w:val="auto"/>
          <w:highlight w:val="none"/>
        </w:rPr>
        <w:instrText xml:space="preserve"> HYPERLINK \l "_Toc1498" </w:instrText>
      </w:r>
      <w:r>
        <w:rPr>
          <w:color w:val="auto"/>
          <w:highlight w:val="none"/>
        </w:rPr>
        <w:fldChar w:fldCharType="separate"/>
      </w:r>
      <w:r>
        <w:rPr>
          <w:rFonts w:hint="eastAsia" w:ascii="宋体" w:hAnsi="宋体" w:cs="宋体"/>
          <w:b/>
          <w:bCs/>
          <w:color w:val="auto"/>
          <w:highlight w:val="none"/>
        </w:rPr>
        <w:t>第七章  响应文件格式</w:t>
      </w:r>
      <w:r>
        <w:rPr>
          <w:rFonts w:hint="eastAsia" w:ascii="宋体" w:hAnsi="宋体" w:cs="宋体"/>
          <w:b/>
          <w:bCs/>
          <w:color w:val="auto"/>
          <w:highlight w:val="none"/>
        </w:rPr>
        <w:tab/>
      </w:r>
      <w:r>
        <w:rPr>
          <w:rFonts w:hint="eastAsia" w:ascii="宋体" w:hAnsi="宋体" w:cs="宋体"/>
          <w:b/>
          <w:bCs/>
          <w:color w:val="auto"/>
          <w:highlight w:val="none"/>
        </w:rPr>
        <w:fldChar w:fldCharType="begin"/>
      </w:r>
      <w:r>
        <w:rPr>
          <w:rFonts w:hint="eastAsia" w:ascii="宋体" w:hAnsi="宋体" w:cs="宋体"/>
          <w:b/>
          <w:bCs/>
          <w:color w:val="auto"/>
          <w:highlight w:val="none"/>
        </w:rPr>
        <w:instrText xml:space="preserve"> PAGEREF _Toc1498 \h </w:instrText>
      </w:r>
      <w:r>
        <w:rPr>
          <w:rFonts w:hint="eastAsia" w:ascii="宋体" w:hAnsi="宋体" w:cs="宋体"/>
          <w:b/>
          <w:bCs/>
          <w:color w:val="auto"/>
          <w:highlight w:val="none"/>
        </w:rPr>
        <w:fldChar w:fldCharType="separate"/>
      </w:r>
      <w:r>
        <w:rPr>
          <w:rFonts w:hint="eastAsia" w:ascii="宋体" w:hAnsi="宋体" w:cs="宋体"/>
          <w:b/>
          <w:bCs/>
          <w:color w:val="auto"/>
          <w:highlight w:val="none"/>
        </w:rPr>
        <w:t>63</w:t>
      </w:r>
      <w:r>
        <w:rPr>
          <w:rFonts w:hint="eastAsia" w:ascii="宋体" w:hAnsi="宋体" w:cs="宋体"/>
          <w:b/>
          <w:bCs/>
          <w:color w:val="auto"/>
          <w:highlight w:val="none"/>
        </w:rPr>
        <w:fldChar w:fldCharType="end"/>
      </w:r>
      <w:r>
        <w:rPr>
          <w:rFonts w:hint="eastAsia" w:ascii="宋体" w:hAnsi="宋体" w:cs="宋体"/>
          <w:b/>
          <w:bCs/>
          <w:color w:val="auto"/>
          <w:highlight w:val="none"/>
        </w:rPr>
        <w:fldChar w:fldCharType="end"/>
      </w:r>
    </w:p>
    <w:p>
      <w:pPr>
        <w:pStyle w:val="2"/>
        <w:tabs>
          <w:tab w:val="right" w:leader="dot" w:pos="8312"/>
        </w:tabs>
        <w:spacing w:line="480" w:lineRule="auto"/>
        <w:rPr>
          <w:rFonts w:ascii="宋体" w:hAnsi="宋体" w:cs="宋体"/>
          <w:b/>
          <w:bCs/>
          <w:color w:val="auto"/>
          <w:highlight w:val="none"/>
        </w:rPr>
      </w:pPr>
    </w:p>
    <w:p>
      <w:pPr>
        <w:pStyle w:val="412"/>
        <w:tabs>
          <w:tab w:val="right" w:leader="dot" w:pos="8313"/>
        </w:tabs>
        <w:ind w:firstLine="420"/>
        <w:rPr>
          <w:rStyle w:val="41"/>
          <w:color w:val="auto"/>
          <w:highlight w:val="none"/>
        </w:rPr>
      </w:pPr>
      <w:r>
        <w:rPr>
          <w:color w:val="auto"/>
          <w:highlight w:val="none"/>
        </w:rPr>
        <w:fldChar w:fldCharType="end"/>
      </w:r>
    </w:p>
    <w:p>
      <w:pPr>
        <w:snapToGrid w:val="0"/>
        <w:spacing w:line="360" w:lineRule="auto"/>
        <w:rPr>
          <w:rStyle w:val="41"/>
          <w:rFonts w:ascii="宋体" w:hAnsi="宋体" w:cs="宋体"/>
          <w:b/>
          <w:bCs/>
          <w:color w:val="auto"/>
          <w:sz w:val="24"/>
          <w:highlight w:val="none"/>
        </w:rPr>
      </w:pPr>
    </w:p>
    <w:p>
      <w:pPr>
        <w:snapToGrid w:val="0"/>
        <w:spacing w:line="360" w:lineRule="auto"/>
        <w:rPr>
          <w:rStyle w:val="41"/>
          <w:rFonts w:ascii="宋体" w:hAnsi="宋体" w:cs="宋体"/>
          <w:b/>
          <w:bCs/>
          <w:color w:val="auto"/>
          <w:sz w:val="24"/>
          <w:highlight w:val="none"/>
        </w:rPr>
      </w:pPr>
    </w:p>
    <w:p>
      <w:pPr>
        <w:snapToGrid w:val="0"/>
        <w:spacing w:line="360" w:lineRule="auto"/>
        <w:rPr>
          <w:rStyle w:val="41"/>
          <w:rFonts w:ascii="宋体" w:hAnsi="宋体" w:cs="宋体"/>
          <w:b/>
          <w:bCs/>
          <w:color w:val="auto"/>
          <w:sz w:val="24"/>
          <w:highlight w:val="none"/>
        </w:rPr>
      </w:pPr>
    </w:p>
    <w:p>
      <w:pPr>
        <w:snapToGrid w:val="0"/>
        <w:spacing w:line="360" w:lineRule="auto"/>
        <w:rPr>
          <w:rStyle w:val="41"/>
          <w:rFonts w:ascii="宋体" w:hAnsi="宋体" w:cs="宋体"/>
          <w:b/>
          <w:bCs/>
          <w:color w:val="auto"/>
          <w:sz w:val="24"/>
          <w:highlight w:val="none"/>
        </w:rPr>
      </w:pPr>
    </w:p>
    <w:p>
      <w:pPr>
        <w:snapToGrid w:val="0"/>
        <w:spacing w:line="360" w:lineRule="auto"/>
        <w:rPr>
          <w:rStyle w:val="41"/>
          <w:rFonts w:ascii="宋体" w:hAnsi="宋体" w:cs="宋体"/>
          <w:b/>
          <w:bCs/>
          <w:color w:val="auto"/>
          <w:sz w:val="24"/>
          <w:highlight w:val="none"/>
        </w:rPr>
      </w:pPr>
      <w:r>
        <w:rPr>
          <w:rStyle w:val="41"/>
          <w:rFonts w:ascii="宋体" w:hAnsi="宋体" w:cs="宋体"/>
          <w:b/>
          <w:bCs/>
          <w:color w:val="auto"/>
          <w:sz w:val="24"/>
          <w:highlight w:val="none"/>
        </w:rPr>
        <w:br w:type="page"/>
      </w:r>
    </w:p>
    <w:p>
      <w:pPr>
        <w:snapToGrid w:val="0"/>
        <w:spacing w:line="360" w:lineRule="auto"/>
        <w:rPr>
          <w:rStyle w:val="41"/>
          <w:rFonts w:ascii="宋体" w:hAnsi="宋体" w:cs="宋体"/>
          <w:b/>
          <w:bCs/>
          <w:color w:val="auto"/>
          <w:sz w:val="24"/>
          <w:highlight w:val="none"/>
        </w:rPr>
      </w:pPr>
    </w:p>
    <w:p>
      <w:pPr>
        <w:pStyle w:val="32"/>
        <w:snapToGrid w:val="0"/>
        <w:outlineLvl w:val="0"/>
        <w:rPr>
          <w:rStyle w:val="41"/>
          <w:rFonts w:ascii="宋体" w:hAnsi="宋体"/>
          <w:color w:val="auto"/>
          <w:highlight w:val="none"/>
        </w:rPr>
      </w:pPr>
      <w:bookmarkStart w:id="6" w:name="_Toc28582"/>
      <w:r>
        <w:rPr>
          <w:rStyle w:val="41"/>
          <w:rFonts w:ascii="宋体" w:hAnsi="宋体"/>
          <w:color w:val="auto"/>
          <w:highlight w:val="none"/>
        </w:rPr>
        <w:t>第一章  竞争性磋商公告</w:t>
      </w:r>
      <w:bookmarkEnd w:id="6"/>
    </w:p>
    <w:p>
      <w:pPr>
        <w:pBdr>
          <w:top w:val="single" w:color="000000" w:sz="4" w:space="1"/>
          <w:left w:val="single" w:color="000000" w:sz="4" w:space="4"/>
          <w:bottom w:val="single" w:color="000000" w:sz="4" w:space="1"/>
          <w:right w:val="single" w:color="000000" w:sz="4" w:space="4"/>
        </w:pBdr>
        <w:snapToGrid w:val="0"/>
        <w:ind w:firstLine="420" w:firstLineChars="200"/>
        <w:rPr>
          <w:rStyle w:val="41"/>
          <w:rFonts w:ascii="宋体" w:hAnsi="宋体"/>
          <w:color w:val="auto"/>
          <w:highlight w:val="none"/>
        </w:rPr>
      </w:pPr>
      <w:r>
        <w:rPr>
          <w:rStyle w:val="41"/>
          <w:rFonts w:ascii="宋体" w:hAnsi="宋体"/>
          <w:color w:val="auto"/>
          <w:highlight w:val="none"/>
        </w:rPr>
        <w:t>项目概况</w:t>
      </w:r>
    </w:p>
    <w:p>
      <w:pPr>
        <w:pBdr>
          <w:top w:val="single" w:color="000000" w:sz="4" w:space="1"/>
          <w:left w:val="single" w:color="000000" w:sz="4" w:space="4"/>
          <w:bottom w:val="single" w:color="000000" w:sz="4" w:space="1"/>
          <w:right w:val="single" w:color="000000" w:sz="4" w:space="4"/>
        </w:pBdr>
        <w:snapToGrid w:val="0"/>
        <w:ind w:firstLine="420" w:firstLineChars="200"/>
        <w:rPr>
          <w:rStyle w:val="41"/>
          <w:rFonts w:ascii="宋体" w:hAnsi="宋体"/>
          <w:color w:val="auto"/>
          <w:highlight w:val="none"/>
        </w:rPr>
      </w:pPr>
      <w:r>
        <w:rPr>
          <w:rStyle w:val="41"/>
          <w:rFonts w:hint="eastAsia" w:ascii="宋体" w:hAnsi="宋体"/>
          <w:color w:val="auto"/>
          <w:highlight w:val="none"/>
          <w:u w:val="single" w:color="000000"/>
          <w:lang w:eastAsia="zh-CN"/>
        </w:rPr>
        <w:t>浙江理工大学下沙校区教学东区消防管网改造工程</w:t>
      </w:r>
      <w:r>
        <w:rPr>
          <w:rStyle w:val="41"/>
          <w:rFonts w:ascii="宋体" w:hAnsi="宋体"/>
          <w:color w:val="auto"/>
          <w:highlight w:val="none"/>
          <w:u w:val="single" w:color="000000"/>
        </w:rPr>
        <w:t>采购项目的潜在供应商应在浙江政府采购网（</w:t>
      </w:r>
      <w:r>
        <w:rPr>
          <w:rStyle w:val="28"/>
          <w:rFonts w:ascii="宋体" w:hAnsi="宋体"/>
          <w:color w:val="auto"/>
          <w:highlight w:val="none"/>
          <w:u w:color="000000"/>
        </w:rPr>
        <w:t>http://zfcg.czt.zj.gov.cn/）</w:t>
      </w:r>
      <w:r>
        <w:rPr>
          <w:rStyle w:val="28"/>
          <w:rFonts w:ascii="宋体" w:hAnsi="宋体"/>
          <w:color w:val="auto"/>
          <w:highlight w:val="none"/>
          <w:u w:val="single" w:color="auto"/>
        </w:rPr>
        <w:t>获取磋商文件，并于</w:t>
      </w:r>
      <w:r>
        <w:rPr>
          <w:rStyle w:val="41"/>
          <w:rFonts w:hint="eastAsia" w:ascii="宋体" w:hAnsi="宋体"/>
          <w:color w:val="auto"/>
          <w:szCs w:val="21"/>
          <w:highlight w:val="none"/>
          <w:u w:val="single" w:color="auto"/>
        </w:rPr>
        <w:t>2024</w:t>
      </w:r>
      <w:r>
        <w:rPr>
          <w:rStyle w:val="41"/>
          <w:rFonts w:ascii="宋体" w:hAnsi="宋体"/>
          <w:color w:val="auto"/>
          <w:szCs w:val="21"/>
          <w:highlight w:val="none"/>
          <w:u w:val="single" w:color="auto"/>
        </w:rPr>
        <w:t>年</w:t>
      </w:r>
      <w:r>
        <w:rPr>
          <w:rStyle w:val="41"/>
          <w:rFonts w:hint="eastAsia" w:ascii="宋体" w:hAnsi="宋体"/>
          <w:color w:val="auto"/>
          <w:highlight w:val="none"/>
          <w:u w:val="single" w:color="auto"/>
          <w:lang w:val="en-US" w:eastAsia="zh-CN"/>
        </w:rPr>
        <w:t>6</w:t>
      </w:r>
      <w:r>
        <w:rPr>
          <w:rStyle w:val="41"/>
          <w:rFonts w:ascii="宋体" w:hAnsi="宋体"/>
          <w:color w:val="auto"/>
          <w:highlight w:val="none"/>
          <w:u w:val="single" w:color="auto"/>
        </w:rPr>
        <w:t>月</w:t>
      </w:r>
      <w:r>
        <w:rPr>
          <w:rStyle w:val="41"/>
          <w:rFonts w:hint="eastAsia" w:ascii="宋体" w:hAnsi="宋体"/>
          <w:color w:val="auto"/>
          <w:highlight w:val="none"/>
          <w:u w:val="single" w:color="auto"/>
          <w:lang w:val="en-US" w:eastAsia="zh-CN"/>
        </w:rPr>
        <w:t>12</w:t>
      </w:r>
      <w:r>
        <w:rPr>
          <w:rStyle w:val="41"/>
          <w:rFonts w:ascii="宋体" w:hAnsi="宋体"/>
          <w:color w:val="auto"/>
          <w:highlight w:val="none"/>
          <w:u w:val="single" w:color="auto"/>
        </w:rPr>
        <w:t>日</w:t>
      </w:r>
      <w:r>
        <w:rPr>
          <w:rStyle w:val="41"/>
          <w:rFonts w:hint="eastAsia" w:ascii="宋体" w:hAnsi="宋体"/>
          <w:color w:val="auto"/>
          <w:highlight w:val="none"/>
          <w:u w:val="single" w:color="auto"/>
          <w:lang w:val="en-US" w:eastAsia="zh-CN"/>
        </w:rPr>
        <w:t>14</w:t>
      </w:r>
      <w:r>
        <w:rPr>
          <w:rStyle w:val="41"/>
          <w:rFonts w:ascii="宋体" w:hAnsi="宋体"/>
          <w:color w:val="auto"/>
          <w:highlight w:val="none"/>
          <w:u w:val="single" w:color="auto"/>
        </w:rPr>
        <w:t>点</w:t>
      </w:r>
      <w:r>
        <w:rPr>
          <w:rStyle w:val="41"/>
          <w:rFonts w:hint="eastAsia" w:ascii="宋体" w:hAnsi="宋体"/>
          <w:color w:val="auto"/>
          <w:highlight w:val="none"/>
          <w:u w:val="single" w:color="auto"/>
          <w:lang w:val="en-US" w:eastAsia="zh-CN"/>
        </w:rPr>
        <w:t>00</w:t>
      </w:r>
      <w:r>
        <w:rPr>
          <w:rStyle w:val="41"/>
          <w:rFonts w:ascii="宋体" w:hAnsi="宋体"/>
          <w:color w:val="auto"/>
          <w:highlight w:val="none"/>
          <w:u w:val="single" w:color="auto"/>
        </w:rPr>
        <w:t>分</w:t>
      </w:r>
      <w:r>
        <w:rPr>
          <w:rStyle w:val="41"/>
          <w:rFonts w:ascii="宋体" w:hAnsi="宋体"/>
          <w:color w:val="auto"/>
          <w:highlight w:val="none"/>
          <w:u w:val="single" w:color="auto"/>
        </w:rPr>
        <w:t>（北京时间）前提交响应文件。</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highlight w:val="none"/>
        </w:rPr>
      </w:pPr>
      <w:r>
        <w:rPr>
          <w:rStyle w:val="41"/>
          <w:rFonts w:ascii="宋体" w:hAnsi="宋体"/>
          <w:color w:val="auto"/>
          <w:kern w:val="0"/>
          <w:highlight w:val="none"/>
        </w:rPr>
        <w:t>一、项目基本情况</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highlight w:val="none"/>
        </w:rPr>
      </w:pPr>
      <w:r>
        <w:rPr>
          <w:rStyle w:val="41"/>
          <w:rFonts w:ascii="宋体" w:hAnsi="宋体"/>
          <w:color w:val="auto"/>
          <w:kern w:val="0"/>
          <w:highlight w:val="none"/>
        </w:rPr>
        <w:t>项目编号：</w:t>
      </w:r>
      <w:r>
        <w:rPr>
          <w:rStyle w:val="41"/>
          <w:rFonts w:hint="eastAsia" w:ascii="宋体" w:hAnsi="宋体"/>
          <w:color w:val="auto"/>
          <w:kern w:val="0"/>
          <w:highlight w:val="none"/>
          <w:lang w:eastAsia="zh-CN"/>
        </w:rPr>
        <w:t>CTZB-2024050477</w:t>
      </w:r>
      <w:r>
        <w:rPr>
          <w:rStyle w:val="41"/>
          <w:rFonts w:ascii="宋体" w:hAnsi="宋体"/>
          <w:color w:val="auto"/>
          <w:kern w:val="0"/>
          <w:highlight w:val="none"/>
        </w:rPr>
        <w:t xml:space="preserve"> </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hint="eastAsia" w:ascii="宋体" w:hAnsi="宋体" w:eastAsia="宋体"/>
          <w:color w:val="auto"/>
          <w:kern w:val="0"/>
          <w:highlight w:val="none"/>
          <w:lang w:eastAsia="zh-CN"/>
        </w:rPr>
      </w:pPr>
      <w:r>
        <w:rPr>
          <w:rStyle w:val="41"/>
          <w:rFonts w:ascii="宋体" w:hAnsi="宋体"/>
          <w:color w:val="auto"/>
          <w:kern w:val="0"/>
          <w:highlight w:val="none"/>
        </w:rPr>
        <w:t>项目名称：</w:t>
      </w:r>
      <w:r>
        <w:rPr>
          <w:rStyle w:val="41"/>
          <w:rFonts w:hint="eastAsia" w:ascii="宋体" w:hAnsi="宋体"/>
          <w:color w:val="auto"/>
          <w:highlight w:val="none"/>
          <w:lang w:eastAsia="zh-CN"/>
        </w:rPr>
        <w:t>浙江理工大学下沙校区教学东区消防管网改造工程</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highlight w:val="none"/>
        </w:rPr>
      </w:pPr>
      <w:r>
        <w:rPr>
          <w:rStyle w:val="41"/>
          <w:rFonts w:ascii="宋体" w:hAnsi="宋体"/>
          <w:color w:val="auto"/>
          <w:kern w:val="0"/>
          <w:highlight w:val="none"/>
        </w:rPr>
        <w:t>采购方式：竞争性磋商</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hint="eastAsia" w:ascii="宋体" w:hAnsi="宋体" w:eastAsia="宋体"/>
          <w:color w:val="auto"/>
          <w:kern w:val="0"/>
          <w:highlight w:val="none"/>
          <w:lang w:eastAsia="zh-CN"/>
        </w:rPr>
      </w:pPr>
      <w:r>
        <w:rPr>
          <w:rStyle w:val="41"/>
          <w:rFonts w:ascii="宋体" w:hAnsi="宋体"/>
          <w:color w:val="auto"/>
          <w:kern w:val="0"/>
          <w:highlight w:val="none"/>
        </w:rPr>
        <w:t>预算金额（元）：</w:t>
      </w:r>
      <w:r>
        <w:rPr>
          <w:rStyle w:val="41"/>
          <w:rFonts w:hint="eastAsia" w:ascii="宋体" w:hAnsi="宋体"/>
          <w:color w:val="auto"/>
          <w:kern w:val="0"/>
          <w:highlight w:val="none"/>
          <w:lang w:eastAsia="zh-CN"/>
        </w:rPr>
        <w:t>3626000</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hint="eastAsia" w:ascii="宋体" w:hAnsi="宋体" w:eastAsia="宋体"/>
          <w:color w:val="auto"/>
          <w:kern w:val="0"/>
          <w:highlight w:val="none"/>
          <w:lang w:eastAsia="zh-CN"/>
        </w:rPr>
      </w:pPr>
      <w:r>
        <w:rPr>
          <w:rStyle w:val="41"/>
          <w:rFonts w:ascii="宋体" w:hAnsi="宋体"/>
          <w:color w:val="auto"/>
          <w:kern w:val="0"/>
          <w:highlight w:val="none"/>
        </w:rPr>
        <w:t>最高限价（元）：</w:t>
      </w:r>
      <w:r>
        <w:rPr>
          <w:rStyle w:val="41"/>
          <w:rFonts w:hint="eastAsia" w:ascii="宋体" w:hAnsi="宋体"/>
          <w:color w:val="auto"/>
          <w:kern w:val="0"/>
          <w:highlight w:val="none"/>
          <w:lang w:eastAsia="zh-CN"/>
        </w:rPr>
        <w:t>3</w:t>
      </w:r>
      <w:r>
        <w:rPr>
          <w:rStyle w:val="41"/>
          <w:rFonts w:hint="eastAsia" w:ascii="宋体" w:hAnsi="宋体"/>
          <w:color w:val="auto"/>
          <w:kern w:val="0"/>
          <w:highlight w:val="none"/>
          <w:lang w:val="en-US" w:eastAsia="zh-CN"/>
        </w:rPr>
        <w:t>5640</w:t>
      </w:r>
      <w:r>
        <w:rPr>
          <w:rStyle w:val="41"/>
          <w:rFonts w:hint="eastAsia" w:ascii="宋体" w:hAnsi="宋体"/>
          <w:color w:val="auto"/>
          <w:kern w:val="0"/>
          <w:highlight w:val="none"/>
          <w:lang w:eastAsia="zh-CN"/>
        </w:rPr>
        <w:t>0</w:t>
      </w:r>
      <w:r>
        <w:rPr>
          <w:rStyle w:val="41"/>
          <w:rFonts w:hint="eastAsia" w:ascii="宋体" w:hAnsi="宋体"/>
          <w:color w:val="auto"/>
          <w:kern w:val="0"/>
          <w:highlight w:val="none"/>
          <w:lang w:val="en-US" w:eastAsia="zh-CN"/>
        </w:rPr>
        <w:t>1</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szCs w:val="21"/>
          <w:highlight w:val="none"/>
        </w:rPr>
      </w:pPr>
      <w:r>
        <w:rPr>
          <w:rStyle w:val="41"/>
          <w:rFonts w:ascii="宋体" w:hAnsi="宋体"/>
          <w:color w:val="auto"/>
          <w:kern w:val="0"/>
          <w:highlight w:val="none"/>
        </w:rPr>
        <w:t>采购需求：</w:t>
      </w:r>
      <w:r>
        <w:rPr>
          <w:rStyle w:val="41"/>
          <w:rFonts w:hint="eastAsia" w:ascii="宋体" w:hAnsi="宋体"/>
          <w:color w:val="auto"/>
          <w:kern w:val="0"/>
          <w:szCs w:val="21"/>
          <w:highlight w:val="none"/>
          <w:lang w:eastAsia="zh-CN"/>
        </w:rPr>
        <w:t>浙江理工大学下沙校区教学东区消防管网改造工程</w:t>
      </w:r>
      <w:r>
        <w:rPr>
          <w:rStyle w:val="41"/>
          <w:rFonts w:ascii="宋体" w:hAnsi="宋体"/>
          <w:color w:val="auto"/>
          <w:kern w:val="0"/>
          <w:szCs w:val="21"/>
          <w:highlight w:val="none"/>
        </w:rPr>
        <w:t>，</w:t>
      </w:r>
      <w:r>
        <w:rPr>
          <w:rFonts w:hint="eastAsia" w:ascii="宋体" w:hAnsi="宋体" w:cs="宋体"/>
          <w:color w:val="auto"/>
          <w:kern w:val="0"/>
          <w:szCs w:val="21"/>
          <w:highlight w:val="none"/>
        </w:rPr>
        <w:t>见采购内容及技术要求、工程量清单及图纸</w:t>
      </w:r>
      <w:r>
        <w:rPr>
          <w:rStyle w:val="41"/>
          <w:rFonts w:ascii="宋体" w:hAnsi="宋体"/>
          <w:color w:val="auto"/>
          <w:kern w:val="0"/>
          <w:szCs w:val="21"/>
          <w:highlight w:val="none"/>
        </w:rPr>
        <w:t>。</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highlight w:val="none"/>
        </w:rPr>
      </w:pPr>
      <w:r>
        <w:rPr>
          <w:rStyle w:val="41"/>
          <w:rFonts w:ascii="宋体" w:hAnsi="宋体"/>
          <w:color w:val="auto"/>
          <w:kern w:val="0"/>
          <w:szCs w:val="21"/>
          <w:highlight w:val="none"/>
        </w:rPr>
        <w:t>备注：/</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highlight w:val="none"/>
        </w:rPr>
      </w:pPr>
      <w:r>
        <w:rPr>
          <w:rStyle w:val="41"/>
          <w:rFonts w:ascii="宋体" w:hAnsi="宋体"/>
          <w:color w:val="auto"/>
          <w:kern w:val="0"/>
          <w:highlight w:val="none"/>
        </w:rPr>
        <w:t>合同履行期：</w:t>
      </w:r>
      <w:r>
        <w:rPr>
          <w:rStyle w:val="41"/>
          <w:rFonts w:hint="eastAsia" w:ascii="宋体" w:hAnsi="宋体"/>
          <w:color w:val="auto"/>
          <w:kern w:val="0"/>
          <w:highlight w:val="none"/>
        </w:rPr>
        <w:t>60日历天</w:t>
      </w:r>
      <w:r>
        <w:rPr>
          <w:rStyle w:val="41"/>
          <w:rFonts w:ascii="宋体" w:hAnsi="宋体"/>
          <w:color w:val="auto"/>
          <w:kern w:val="0"/>
          <w:highlight w:val="none"/>
        </w:rPr>
        <w:t>。</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highlight w:val="none"/>
        </w:rPr>
      </w:pPr>
      <w:r>
        <w:rPr>
          <w:rStyle w:val="41"/>
          <w:rFonts w:ascii="宋体" w:hAnsi="宋体"/>
          <w:color w:val="auto"/>
          <w:kern w:val="0"/>
          <w:highlight w:val="none"/>
        </w:rPr>
        <w:t>本项目（</w:t>
      </w:r>
      <w:r>
        <w:rPr>
          <w:rStyle w:val="41"/>
          <w:rFonts w:hint="eastAsia" w:ascii="宋体" w:hAnsi="宋体"/>
          <w:color w:val="auto"/>
          <w:kern w:val="0"/>
          <w:highlight w:val="none"/>
        </w:rPr>
        <w:t>是</w:t>
      </w:r>
      <w:r>
        <w:rPr>
          <w:rStyle w:val="41"/>
          <w:rFonts w:ascii="宋体" w:hAnsi="宋体"/>
          <w:color w:val="auto"/>
          <w:kern w:val="0"/>
          <w:highlight w:val="none"/>
        </w:rPr>
        <w:t>）接受联合体投标。</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highlight w:val="none"/>
        </w:rPr>
      </w:pPr>
      <w:r>
        <w:rPr>
          <w:rStyle w:val="41"/>
          <w:rFonts w:ascii="宋体" w:hAnsi="宋体"/>
          <w:color w:val="auto"/>
          <w:kern w:val="0"/>
          <w:highlight w:val="none"/>
        </w:rPr>
        <w:t>二、申请人的资格要求</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szCs w:val="21"/>
          <w:highlight w:val="none"/>
        </w:rPr>
      </w:pPr>
      <w:r>
        <w:rPr>
          <w:rStyle w:val="41"/>
          <w:rFonts w:ascii="宋体" w:hAnsi="宋体"/>
          <w:color w:val="auto"/>
          <w:kern w:val="0"/>
          <w:szCs w:val="21"/>
          <w:highlight w:val="none"/>
        </w:rPr>
        <w:t>1</w:t>
      </w:r>
      <w:r>
        <w:rPr>
          <w:rStyle w:val="41"/>
          <w:rFonts w:ascii="宋体" w:hAnsi="宋体"/>
          <w:color w:val="auto"/>
          <w:kern w:val="0"/>
          <w:highlight w:val="none"/>
        </w:rPr>
        <w:t>、</w:t>
      </w:r>
      <w:r>
        <w:rPr>
          <w:rStyle w:val="41"/>
          <w:rFonts w:ascii="宋体" w:hAnsi="宋体"/>
          <w:color w:val="auto"/>
          <w:szCs w:val="21"/>
          <w:highlight w:val="none"/>
        </w:rPr>
        <w:t>满足《中华人民共和国政府采购法》第二十二条规定</w:t>
      </w:r>
      <w:r>
        <w:rPr>
          <w:rStyle w:val="41"/>
          <w:rFonts w:ascii="宋体" w:hAnsi="宋体"/>
          <w:color w:val="auto"/>
          <w:kern w:val="0"/>
          <w:szCs w:val="21"/>
          <w:highlight w:val="none"/>
        </w:rPr>
        <w:t>；</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highlight w:val="none"/>
        </w:rPr>
      </w:pPr>
      <w:r>
        <w:rPr>
          <w:rStyle w:val="41"/>
          <w:rFonts w:ascii="宋体" w:hAnsi="宋体"/>
          <w:color w:val="auto"/>
          <w:kern w:val="0"/>
          <w:highlight w:val="none"/>
        </w:rPr>
        <w:t>未被“信用中国”（www.creditchina.gov.cn）、中国政府采购网（www.ccgp.gov.cn）列入失信被执行人、重大税收违法案件当事人名单、政府采购严重违法失信行为记录名单；</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highlight w:val="none"/>
        </w:rPr>
      </w:pPr>
      <w:r>
        <w:rPr>
          <w:rStyle w:val="41"/>
          <w:rFonts w:ascii="宋体" w:hAnsi="宋体"/>
          <w:color w:val="auto"/>
          <w:kern w:val="0"/>
          <w:highlight w:val="none"/>
        </w:rPr>
        <w:t>2、落实政府采购政策需满足的资格要求：</w:t>
      </w:r>
    </w:p>
    <w:p>
      <w:pPr>
        <w:pageBreakBefore w:val="0"/>
        <w:widowControl/>
        <w:kinsoku/>
        <w:wordWrap/>
        <w:overflowPunct/>
        <w:topLinePunct w:val="0"/>
        <w:autoSpaceDE/>
        <w:autoSpaceDN/>
        <w:bidi w:val="0"/>
        <w:spacing w:line="360" w:lineRule="auto"/>
        <w:ind w:firstLine="630" w:firstLineChars="300"/>
        <w:textAlignment w:val="baseline"/>
        <w:rPr>
          <w:rFonts w:ascii="宋体" w:hAnsi="宋体" w:cs="宋体"/>
          <w:color w:val="auto"/>
          <w:szCs w:val="21"/>
          <w:highlight w:val="none"/>
        </w:rPr>
      </w:pPr>
      <w:r>
        <w:rPr>
          <w:rFonts w:hint="eastAsia" w:ascii="宋体" w:hAnsi="宋体" w:cs="宋体"/>
          <w:color w:val="auto"/>
          <w:szCs w:val="21"/>
          <w:highlight w:val="none"/>
        </w:rPr>
        <w:sym w:font="Wingdings" w:char="F0FE"/>
      </w:r>
      <w:r>
        <w:rPr>
          <w:rFonts w:hint="eastAsia" w:ascii="宋体" w:hAnsi="宋体" w:cs="宋体"/>
          <w:color w:val="auto"/>
          <w:szCs w:val="21"/>
          <w:highlight w:val="none"/>
        </w:rPr>
        <w:t>专门面向中小企业（</w:t>
      </w:r>
      <w:r>
        <w:rPr>
          <w:rFonts w:hint="eastAsia" w:ascii="宋体" w:hAnsi="宋体" w:cs="宋体"/>
          <w:color w:val="auto"/>
          <w:kern w:val="0"/>
          <w:szCs w:val="21"/>
          <w:highlight w:val="none"/>
        </w:rPr>
        <w:t>监狱企业，残疾人福利性企业视同为小微企业</w:t>
      </w:r>
      <w:r>
        <w:rPr>
          <w:rFonts w:hint="eastAsia" w:ascii="宋体" w:hAnsi="宋体" w:cs="宋体"/>
          <w:color w:val="auto"/>
          <w:szCs w:val="21"/>
          <w:highlight w:val="none"/>
        </w:rPr>
        <w:t>）；</w:t>
      </w:r>
    </w:p>
    <w:p>
      <w:pPr>
        <w:pageBreakBefore w:val="0"/>
        <w:widowControl/>
        <w:kinsoku/>
        <w:wordWrap/>
        <w:overflowPunct/>
        <w:topLinePunct w:val="0"/>
        <w:autoSpaceDE/>
        <w:autoSpaceDN/>
        <w:bidi w:val="0"/>
        <w:spacing w:line="360" w:lineRule="auto"/>
        <w:ind w:firstLine="630" w:firstLineChars="300"/>
        <w:textAlignment w:val="baseline"/>
        <w:rPr>
          <w:rStyle w:val="41"/>
          <w:rFonts w:ascii="宋体" w:hAnsi="宋体"/>
          <w:color w:val="auto"/>
          <w:kern w:val="0"/>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工程全部由符合政策要求的中小企业承接，提供中小企业声明函；</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highlight w:val="none"/>
        </w:rPr>
      </w:pPr>
      <w:r>
        <w:rPr>
          <w:rStyle w:val="41"/>
          <w:rFonts w:hint="eastAsia" w:ascii="宋体" w:hAnsi="宋体"/>
          <w:color w:val="auto"/>
          <w:kern w:val="0"/>
          <w:highlight w:val="none"/>
        </w:rPr>
        <w:t>3、</w:t>
      </w:r>
      <w:r>
        <w:rPr>
          <w:rStyle w:val="41"/>
          <w:rFonts w:ascii="宋体" w:hAnsi="宋体"/>
          <w:color w:val="auto"/>
          <w:kern w:val="0"/>
          <w:highlight w:val="none"/>
        </w:rPr>
        <w:t>本项目的特定资格要求：</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kern w:val="0"/>
          <w:szCs w:val="21"/>
          <w:highlight w:val="none"/>
        </w:rPr>
        <w:t>3.</w:t>
      </w:r>
      <w:r>
        <w:rPr>
          <w:rStyle w:val="41"/>
          <w:rFonts w:hint="eastAsia" w:ascii="宋体" w:hAnsi="宋体"/>
          <w:color w:val="auto"/>
          <w:kern w:val="0"/>
          <w:szCs w:val="21"/>
          <w:highlight w:val="none"/>
        </w:rPr>
        <w:t>1供应商具有消防设施</w:t>
      </w:r>
      <w:r>
        <w:rPr>
          <w:rStyle w:val="41"/>
          <w:rFonts w:hint="eastAsia" w:ascii="宋体" w:hAnsi="宋体"/>
          <w:color w:val="auto"/>
          <w:kern w:val="0"/>
          <w:szCs w:val="21"/>
          <w:highlight w:val="none"/>
          <w:lang w:val="en-US" w:eastAsia="zh-CN"/>
        </w:rPr>
        <w:t>工程专业承包资质</w:t>
      </w:r>
      <w:r>
        <w:rPr>
          <w:rStyle w:val="41"/>
          <w:rFonts w:hint="eastAsia" w:ascii="宋体" w:hAnsi="宋体"/>
          <w:color w:val="auto"/>
          <w:kern w:val="0"/>
          <w:szCs w:val="21"/>
          <w:highlight w:val="none"/>
        </w:rPr>
        <w:t>二级及以上资质</w:t>
      </w:r>
      <w:r>
        <w:rPr>
          <w:rStyle w:val="41"/>
          <w:rFonts w:ascii="宋体" w:hAnsi="宋体"/>
          <w:color w:val="auto"/>
          <w:kern w:val="0"/>
          <w:szCs w:val="21"/>
          <w:highlight w:val="none"/>
        </w:rPr>
        <w:t>；</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hint="eastAsia" w:ascii="宋体" w:hAnsi="宋体"/>
          <w:color w:val="auto"/>
          <w:kern w:val="0"/>
          <w:szCs w:val="21"/>
          <w:highlight w:val="none"/>
        </w:rPr>
      </w:pPr>
      <w:r>
        <w:rPr>
          <w:rStyle w:val="41"/>
          <w:rFonts w:ascii="宋体" w:hAnsi="宋体"/>
          <w:color w:val="auto"/>
          <w:kern w:val="0"/>
          <w:szCs w:val="21"/>
          <w:highlight w:val="none"/>
        </w:rPr>
        <w:t>3.</w:t>
      </w:r>
      <w:r>
        <w:rPr>
          <w:rStyle w:val="41"/>
          <w:rFonts w:hint="eastAsia" w:ascii="宋体" w:hAnsi="宋体"/>
          <w:color w:val="auto"/>
          <w:kern w:val="0"/>
          <w:szCs w:val="21"/>
          <w:highlight w:val="none"/>
        </w:rPr>
        <w:t>2</w:t>
      </w:r>
      <w:r>
        <w:rPr>
          <w:rFonts w:hint="eastAsia"/>
          <w:color w:val="auto"/>
          <w:highlight w:val="none"/>
          <w:lang w:val="en-US" w:eastAsia="zh-CN"/>
        </w:rPr>
        <w:t>供应商</w:t>
      </w:r>
      <w:r>
        <w:rPr>
          <w:rFonts w:hint="eastAsia"/>
          <w:color w:val="auto"/>
          <w:highlight w:val="none"/>
        </w:rPr>
        <w:t>具有有效的安全生产许可证；</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hint="eastAsia" w:ascii="宋体" w:hAnsi="宋体"/>
          <w:color w:val="auto"/>
          <w:szCs w:val="21"/>
          <w:highlight w:val="none"/>
          <w:lang w:val="en-US" w:eastAsia="zh-CN"/>
        </w:rPr>
        <w:t>3.3</w:t>
      </w:r>
      <w:r>
        <w:rPr>
          <w:rStyle w:val="41"/>
          <w:rFonts w:ascii="宋体" w:hAnsi="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highlight w:val="none"/>
        </w:rPr>
      </w:pPr>
      <w:r>
        <w:rPr>
          <w:rStyle w:val="41"/>
          <w:color w:val="auto"/>
          <w:highlight w:val="none"/>
        </w:rPr>
        <w:t>三、获取磋商文件</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szCs w:val="21"/>
          <w:highlight w:val="none"/>
          <w:u w:val="single"/>
        </w:rPr>
      </w:pPr>
      <w:r>
        <w:rPr>
          <w:rStyle w:val="41"/>
          <w:rFonts w:ascii="宋体" w:hAnsi="宋体"/>
          <w:color w:val="auto"/>
          <w:szCs w:val="21"/>
          <w:highlight w:val="none"/>
        </w:rPr>
        <w:t>1、时间：/至</w:t>
      </w:r>
      <w:r>
        <w:rPr>
          <w:rStyle w:val="41"/>
          <w:rFonts w:hint="eastAsia" w:ascii="宋体" w:hAnsi="宋体"/>
          <w:color w:val="auto"/>
          <w:szCs w:val="21"/>
          <w:highlight w:val="none"/>
        </w:rPr>
        <w:t>2024</w:t>
      </w:r>
      <w:r>
        <w:rPr>
          <w:rStyle w:val="41"/>
          <w:rFonts w:ascii="宋体" w:hAnsi="宋体"/>
          <w:color w:val="auto"/>
          <w:szCs w:val="21"/>
          <w:highlight w:val="none"/>
        </w:rPr>
        <w:t>年</w:t>
      </w:r>
      <w:r>
        <w:rPr>
          <w:rStyle w:val="41"/>
          <w:rFonts w:hint="eastAsia" w:ascii="宋体" w:hAnsi="宋体"/>
          <w:color w:val="auto"/>
          <w:szCs w:val="21"/>
          <w:highlight w:val="none"/>
          <w:lang w:val="en-US" w:eastAsia="zh-CN"/>
        </w:rPr>
        <w:t>6</w:t>
      </w:r>
      <w:r>
        <w:rPr>
          <w:rStyle w:val="41"/>
          <w:rFonts w:ascii="宋体" w:hAnsi="宋体"/>
          <w:color w:val="auto"/>
          <w:szCs w:val="21"/>
          <w:highlight w:val="none"/>
        </w:rPr>
        <w:t>月</w:t>
      </w:r>
      <w:r>
        <w:rPr>
          <w:rStyle w:val="41"/>
          <w:rFonts w:hint="eastAsia" w:ascii="宋体" w:hAnsi="宋体"/>
          <w:color w:val="auto"/>
          <w:szCs w:val="21"/>
          <w:highlight w:val="none"/>
          <w:lang w:val="en-US" w:eastAsia="zh-CN"/>
        </w:rPr>
        <w:t>12</w:t>
      </w:r>
      <w:r>
        <w:rPr>
          <w:rStyle w:val="41"/>
          <w:rFonts w:ascii="宋体" w:hAnsi="宋体"/>
          <w:color w:val="auto"/>
          <w:szCs w:val="21"/>
          <w:highlight w:val="none"/>
        </w:rPr>
        <w:t>日，每天上午00:00至12:00，下午12:00至23:59（北京时间，线上获取法定节假日均可，线下获取文件法定节假日除外）；</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szCs w:val="21"/>
          <w:highlight w:val="none"/>
          <w:u w:val="single"/>
        </w:rPr>
      </w:pPr>
      <w:r>
        <w:rPr>
          <w:rStyle w:val="41"/>
          <w:rFonts w:ascii="宋体" w:hAnsi="宋体"/>
          <w:color w:val="auto"/>
          <w:szCs w:val="21"/>
          <w:highlight w:val="none"/>
        </w:rPr>
        <w:t>2、地点（网址）：政采云平台（https://www.zcygov.cn/）；</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szCs w:val="21"/>
          <w:highlight w:val="none"/>
          <w:u w:val="single"/>
        </w:rPr>
      </w:pPr>
      <w:r>
        <w:rPr>
          <w:rStyle w:val="41"/>
          <w:rFonts w:ascii="宋体" w:hAnsi="宋体"/>
          <w:color w:val="auto"/>
          <w:szCs w:val="21"/>
          <w:highlight w:val="none"/>
        </w:rPr>
        <w:t>3、方式：</w:t>
      </w:r>
      <w:r>
        <w:rPr>
          <w:rStyle w:val="41"/>
          <w:rFonts w:ascii="宋体" w:hAnsi="宋体"/>
          <w:color w:val="auto"/>
          <w:kern w:val="0"/>
          <w:szCs w:val="21"/>
          <w:highlight w:val="none"/>
        </w:rPr>
        <w:t>供应商登录政采云平台https://www.zcygov.cn/在线申请获取采购文件（进入“项目采购”应用，在获取采购文件菜单中选择项目，申请获取采购文件）</w:t>
      </w:r>
      <w:r>
        <w:rPr>
          <w:rStyle w:val="41"/>
          <w:rFonts w:ascii="宋体" w:hAnsi="宋体"/>
          <w:color w:val="auto"/>
          <w:szCs w:val="21"/>
          <w:highlight w:val="none"/>
        </w:rPr>
        <w:t>；</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szCs w:val="21"/>
          <w:highlight w:val="none"/>
        </w:rPr>
      </w:pPr>
      <w:r>
        <w:rPr>
          <w:rStyle w:val="41"/>
          <w:rFonts w:ascii="宋体" w:hAnsi="宋体"/>
          <w:color w:val="auto"/>
          <w:szCs w:val="21"/>
          <w:highlight w:val="none"/>
        </w:rPr>
        <w:t>4、售价（元）：0元。</w:t>
      </w:r>
    </w:p>
    <w:p>
      <w:pPr>
        <w:pStyle w:val="33"/>
        <w:pageBreakBefore w:val="0"/>
        <w:widowControl/>
        <w:kinsoku/>
        <w:wordWrap/>
        <w:overflowPunct/>
        <w:topLinePunct w:val="0"/>
        <w:autoSpaceDE/>
        <w:autoSpaceDN/>
        <w:bidi w:val="0"/>
        <w:snapToGrid w:val="0"/>
        <w:spacing w:line="360" w:lineRule="auto"/>
        <w:ind w:firstLine="422"/>
        <w:textAlignment w:val="baseline"/>
        <w:rPr>
          <w:rStyle w:val="41"/>
          <w:rFonts w:ascii="宋体" w:hAnsi="宋体"/>
          <w:bCs w:val="0"/>
          <w:color w:val="auto"/>
          <w:szCs w:val="21"/>
          <w:highlight w:val="none"/>
        </w:rPr>
      </w:pPr>
      <w:r>
        <w:rPr>
          <w:rStyle w:val="41"/>
          <w:rFonts w:ascii="宋体" w:hAnsi="宋体"/>
          <w:bCs w:val="0"/>
          <w:color w:val="auto"/>
          <w:szCs w:val="21"/>
          <w:highlight w:val="none"/>
        </w:rPr>
        <w:t>四、响应文件提交（上传）</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szCs w:val="21"/>
          <w:highlight w:val="none"/>
        </w:rPr>
      </w:pPr>
      <w:r>
        <w:rPr>
          <w:rStyle w:val="41"/>
          <w:rFonts w:ascii="宋体" w:hAnsi="宋体"/>
          <w:color w:val="auto"/>
          <w:szCs w:val="21"/>
          <w:highlight w:val="none"/>
        </w:rPr>
        <w:t>1、截止时间：</w:t>
      </w:r>
      <w:r>
        <w:rPr>
          <w:rStyle w:val="41"/>
          <w:rFonts w:hint="eastAsia" w:ascii="宋体" w:hAnsi="宋体"/>
          <w:color w:val="auto"/>
          <w:szCs w:val="21"/>
          <w:highlight w:val="none"/>
        </w:rPr>
        <w:t>2024</w:t>
      </w:r>
      <w:r>
        <w:rPr>
          <w:rStyle w:val="41"/>
          <w:rFonts w:ascii="宋体" w:hAnsi="宋体"/>
          <w:color w:val="auto"/>
          <w:szCs w:val="21"/>
          <w:highlight w:val="none"/>
        </w:rPr>
        <w:t>年</w:t>
      </w:r>
      <w:r>
        <w:rPr>
          <w:rStyle w:val="41"/>
          <w:rFonts w:hint="eastAsia" w:ascii="宋体" w:hAnsi="宋体"/>
          <w:color w:val="auto"/>
          <w:highlight w:val="none"/>
          <w:lang w:val="en-US" w:eastAsia="zh-CN"/>
        </w:rPr>
        <w:t>6</w:t>
      </w:r>
      <w:r>
        <w:rPr>
          <w:rStyle w:val="41"/>
          <w:rFonts w:ascii="宋体" w:hAnsi="宋体"/>
          <w:color w:val="auto"/>
          <w:highlight w:val="none"/>
        </w:rPr>
        <w:t>月</w:t>
      </w:r>
      <w:r>
        <w:rPr>
          <w:rStyle w:val="41"/>
          <w:rFonts w:hint="eastAsia" w:ascii="宋体" w:hAnsi="宋体"/>
          <w:color w:val="auto"/>
          <w:highlight w:val="none"/>
          <w:lang w:val="en-US" w:eastAsia="zh-CN"/>
        </w:rPr>
        <w:t>12</w:t>
      </w:r>
      <w:r>
        <w:rPr>
          <w:rStyle w:val="41"/>
          <w:rFonts w:hint="eastAsia" w:ascii="宋体" w:hAnsi="宋体"/>
          <w:color w:val="auto"/>
          <w:highlight w:val="none"/>
        </w:rPr>
        <w:t xml:space="preserve"> </w:t>
      </w:r>
      <w:r>
        <w:rPr>
          <w:rStyle w:val="41"/>
          <w:rFonts w:ascii="宋体" w:hAnsi="宋体"/>
          <w:color w:val="auto"/>
          <w:highlight w:val="none"/>
        </w:rPr>
        <w:t>日</w:t>
      </w:r>
      <w:r>
        <w:rPr>
          <w:rStyle w:val="41"/>
          <w:rFonts w:hint="eastAsia" w:ascii="宋体" w:hAnsi="宋体"/>
          <w:color w:val="auto"/>
          <w:highlight w:val="none"/>
          <w:lang w:val="en-US" w:eastAsia="zh-CN"/>
        </w:rPr>
        <w:t>14</w:t>
      </w:r>
      <w:r>
        <w:rPr>
          <w:rStyle w:val="41"/>
          <w:rFonts w:ascii="宋体" w:hAnsi="宋体"/>
          <w:color w:val="auto"/>
          <w:highlight w:val="none"/>
        </w:rPr>
        <w:t>点</w:t>
      </w:r>
      <w:r>
        <w:rPr>
          <w:rStyle w:val="41"/>
          <w:rFonts w:hint="eastAsia" w:ascii="宋体" w:hAnsi="宋体"/>
          <w:color w:val="auto"/>
          <w:highlight w:val="none"/>
          <w:lang w:val="en-US" w:eastAsia="zh-CN"/>
        </w:rPr>
        <w:t>00</w:t>
      </w:r>
      <w:r>
        <w:rPr>
          <w:rStyle w:val="41"/>
          <w:rFonts w:ascii="宋体" w:hAnsi="宋体"/>
          <w:color w:val="auto"/>
          <w:highlight w:val="none"/>
        </w:rPr>
        <w:t>分</w:t>
      </w:r>
      <w:r>
        <w:rPr>
          <w:rStyle w:val="41"/>
          <w:rFonts w:ascii="宋体" w:hAnsi="宋体"/>
          <w:color w:val="auto"/>
          <w:szCs w:val="21"/>
          <w:highlight w:val="none"/>
        </w:rPr>
        <w:t>（北京时间）；</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szCs w:val="21"/>
          <w:highlight w:val="none"/>
        </w:rPr>
      </w:pPr>
      <w:r>
        <w:rPr>
          <w:rStyle w:val="41"/>
          <w:rFonts w:ascii="宋体" w:hAnsi="宋体"/>
          <w:color w:val="auto"/>
          <w:szCs w:val="21"/>
          <w:highlight w:val="none"/>
        </w:rPr>
        <w:t>2、地点（网址）：政采云平台（https://www.zcygov.cn/）。</w:t>
      </w:r>
    </w:p>
    <w:p>
      <w:pPr>
        <w:pStyle w:val="33"/>
        <w:pageBreakBefore w:val="0"/>
        <w:widowControl/>
        <w:kinsoku/>
        <w:wordWrap/>
        <w:overflowPunct/>
        <w:topLinePunct w:val="0"/>
        <w:autoSpaceDE/>
        <w:autoSpaceDN/>
        <w:bidi w:val="0"/>
        <w:snapToGrid w:val="0"/>
        <w:spacing w:line="360" w:lineRule="auto"/>
        <w:ind w:firstLine="422"/>
        <w:textAlignment w:val="baseline"/>
        <w:rPr>
          <w:rStyle w:val="41"/>
          <w:rFonts w:ascii="宋体" w:hAnsi="宋体"/>
          <w:bCs w:val="0"/>
          <w:color w:val="auto"/>
          <w:szCs w:val="21"/>
          <w:highlight w:val="none"/>
        </w:rPr>
      </w:pPr>
      <w:r>
        <w:rPr>
          <w:rStyle w:val="41"/>
          <w:rFonts w:ascii="宋体" w:hAnsi="宋体"/>
          <w:bCs w:val="0"/>
          <w:color w:val="auto"/>
          <w:szCs w:val="21"/>
          <w:highlight w:val="none"/>
        </w:rPr>
        <w:t>五、</w:t>
      </w:r>
      <w:r>
        <w:rPr>
          <w:rStyle w:val="41"/>
          <w:rFonts w:ascii="宋体" w:hAnsi="宋体" w:cs="宋体"/>
          <w:color w:val="auto"/>
          <w:szCs w:val="21"/>
          <w:highlight w:val="none"/>
        </w:rPr>
        <w:t>响应文件</w:t>
      </w:r>
      <w:r>
        <w:rPr>
          <w:rStyle w:val="41"/>
          <w:rFonts w:ascii="宋体" w:hAnsi="宋体"/>
          <w:bCs w:val="0"/>
          <w:color w:val="auto"/>
          <w:szCs w:val="21"/>
          <w:highlight w:val="none"/>
        </w:rPr>
        <w:t>开启</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szCs w:val="21"/>
          <w:highlight w:val="none"/>
        </w:rPr>
      </w:pPr>
      <w:r>
        <w:rPr>
          <w:rStyle w:val="41"/>
          <w:rFonts w:ascii="宋体" w:hAnsi="宋体"/>
          <w:color w:val="auto"/>
          <w:szCs w:val="21"/>
          <w:highlight w:val="none"/>
        </w:rPr>
        <w:t>1、开启时间：</w:t>
      </w:r>
      <w:r>
        <w:rPr>
          <w:rStyle w:val="41"/>
          <w:rFonts w:hint="eastAsia" w:ascii="宋体" w:hAnsi="宋体"/>
          <w:color w:val="auto"/>
          <w:szCs w:val="21"/>
          <w:highlight w:val="none"/>
        </w:rPr>
        <w:t>2024</w:t>
      </w:r>
      <w:r>
        <w:rPr>
          <w:rStyle w:val="41"/>
          <w:rFonts w:ascii="宋体" w:hAnsi="宋体"/>
          <w:color w:val="auto"/>
          <w:szCs w:val="21"/>
          <w:highlight w:val="none"/>
        </w:rPr>
        <w:t>年</w:t>
      </w:r>
      <w:r>
        <w:rPr>
          <w:rStyle w:val="41"/>
          <w:rFonts w:hint="eastAsia" w:ascii="宋体" w:hAnsi="宋体"/>
          <w:color w:val="auto"/>
          <w:highlight w:val="none"/>
          <w:lang w:val="en-US" w:eastAsia="zh-CN"/>
        </w:rPr>
        <w:t>6</w:t>
      </w:r>
      <w:r>
        <w:rPr>
          <w:rStyle w:val="41"/>
          <w:rFonts w:ascii="宋体" w:hAnsi="宋体"/>
          <w:color w:val="auto"/>
          <w:highlight w:val="none"/>
        </w:rPr>
        <w:t>月</w:t>
      </w:r>
      <w:r>
        <w:rPr>
          <w:rStyle w:val="41"/>
          <w:rFonts w:hint="eastAsia" w:ascii="宋体" w:hAnsi="宋体"/>
          <w:color w:val="auto"/>
          <w:highlight w:val="none"/>
          <w:lang w:val="en-US" w:eastAsia="zh-CN"/>
        </w:rPr>
        <w:t>12</w:t>
      </w:r>
      <w:r>
        <w:rPr>
          <w:rStyle w:val="41"/>
          <w:rFonts w:hint="eastAsia" w:ascii="宋体" w:hAnsi="宋体"/>
          <w:color w:val="auto"/>
          <w:highlight w:val="none"/>
        </w:rPr>
        <w:t xml:space="preserve"> </w:t>
      </w:r>
      <w:r>
        <w:rPr>
          <w:rStyle w:val="41"/>
          <w:rFonts w:ascii="宋体" w:hAnsi="宋体"/>
          <w:color w:val="auto"/>
          <w:highlight w:val="none"/>
        </w:rPr>
        <w:t>日</w:t>
      </w:r>
      <w:r>
        <w:rPr>
          <w:rStyle w:val="41"/>
          <w:rFonts w:hint="eastAsia" w:ascii="宋体" w:hAnsi="宋体"/>
          <w:color w:val="auto"/>
          <w:highlight w:val="none"/>
          <w:lang w:val="en-US" w:eastAsia="zh-CN"/>
        </w:rPr>
        <w:t>14</w:t>
      </w:r>
      <w:r>
        <w:rPr>
          <w:rStyle w:val="41"/>
          <w:rFonts w:ascii="宋体" w:hAnsi="宋体"/>
          <w:color w:val="auto"/>
          <w:highlight w:val="none"/>
        </w:rPr>
        <w:t>点</w:t>
      </w:r>
      <w:r>
        <w:rPr>
          <w:rStyle w:val="41"/>
          <w:rFonts w:hint="eastAsia" w:ascii="宋体" w:hAnsi="宋体"/>
          <w:color w:val="auto"/>
          <w:highlight w:val="none"/>
          <w:lang w:val="en-US" w:eastAsia="zh-CN"/>
        </w:rPr>
        <w:t>00</w:t>
      </w:r>
      <w:r>
        <w:rPr>
          <w:rStyle w:val="41"/>
          <w:rFonts w:ascii="宋体" w:hAnsi="宋体"/>
          <w:color w:val="auto"/>
          <w:highlight w:val="none"/>
        </w:rPr>
        <w:t>分</w:t>
      </w:r>
      <w:r>
        <w:rPr>
          <w:rStyle w:val="41"/>
          <w:rFonts w:ascii="宋体" w:hAnsi="宋体"/>
          <w:color w:val="auto"/>
          <w:szCs w:val="21"/>
          <w:highlight w:val="none"/>
        </w:rPr>
        <w:t>（北京时间）；</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szCs w:val="21"/>
          <w:highlight w:val="none"/>
        </w:rPr>
      </w:pPr>
      <w:r>
        <w:rPr>
          <w:rStyle w:val="41"/>
          <w:rFonts w:ascii="宋体" w:hAnsi="宋体"/>
          <w:color w:val="auto"/>
          <w:szCs w:val="21"/>
          <w:highlight w:val="none"/>
        </w:rPr>
        <w:t>2、地点（网址）：政采云平台（https://www.zcygov.cn/）。</w:t>
      </w:r>
    </w:p>
    <w:p>
      <w:pPr>
        <w:pStyle w:val="33"/>
        <w:pageBreakBefore w:val="0"/>
        <w:widowControl/>
        <w:kinsoku/>
        <w:wordWrap/>
        <w:overflowPunct/>
        <w:topLinePunct w:val="0"/>
        <w:autoSpaceDE/>
        <w:autoSpaceDN/>
        <w:bidi w:val="0"/>
        <w:snapToGrid w:val="0"/>
        <w:spacing w:line="360" w:lineRule="auto"/>
        <w:ind w:firstLine="422"/>
        <w:jc w:val="left"/>
        <w:textAlignment w:val="baseline"/>
        <w:rPr>
          <w:rStyle w:val="41"/>
          <w:rFonts w:ascii="宋体" w:hAnsi="宋体"/>
          <w:bCs w:val="0"/>
          <w:color w:val="auto"/>
          <w:szCs w:val="21"/>
          <w:highlight w:val="none"/>
        </w:rPr>
      </w:pPr>
      <w:r>
        <w:rPr>
          <w:rStyle w:val="41"/>
          <w:rFonts w:ascii="宋体" w:hAnsi="宋体"/>
          <w:bCs w:val="0"/>
          <w:color w:val="auto"/>
          <w:szCs w:val="21"/>
          <w:highlight w:val="none"/>
        </w:rPr>
        <w:t>六、公告期限</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kern w:val="0"/>
          <w:szCs w:val="21"/>
          <w:highlight w:val="none"/>
        </w:rPr>
        <w:t>自本公告发布之日起3个工作日。</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color w:val="auto"/>
          <w:highlight w:val="none"/>
        </w:rPr>
      </w:pPr>
      <w:r>
        <w:rPr>
          <w:rStyle w:val="41"/>
          <w:color w:val="auto"/>
          <w:highlight w:val="none"/>
        </w:rPr>
        <w:t>七、其他补充事宜</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szCs w:val="21"/>
          <w:highlight w:val="none"/>
        </w:rPr>
        <w:t>3、</w:t>
      </w:r>
      <w:r>
        <w:rPr>
          <w:rStyle w:val="41"/>
          <w:rFonts w:ascii="宋体" w:hAnsi="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4、其他事项：</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szCs w:val="21"/>
          <w:highlight w:val="none"/>
        </w:rPr>
      </w:pPr>
      <w:r>
        <w:rPr>
          <w:rStyle w:val="41"/>
          <w:rFonts w:ascii="宋体" w:hAnsi="宋体"/>
          <w:color w:val="auto"/>
          <w:szCs w:val="21"/>
          <w:highlight w:val="none"/>
        </w:rPr>
        <w:t>4.1磋商保证金：不需缴纳磋商保证金。</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kern w:val="0"/>
          <w:szCs w:val="21"/>
          <w:highlight w:val="none"/>
        </w:rPr>
        <w:t>4.2未按采购</w:t>
      </w:r>
      <w:r>
        <w:rPr>
          <w:rStyle w:val="41"/>
          <w:rFonts w:ascii="宋体" w:hAnsi="宋体"/>
          <w:color w:val="auto"/>
          <w:szCs w:val="21"/>
          <w:highlight w:val="none"/>
        </w:rPr>
        <w:t>公告</w:t>
      </w:r>
      <w:r>
        <w:rPr>
          <w:rStyle w:val="41"/>
          <w:rFonts w:ascii="宋体" w:hAnsi="宋体"/>
          <w:color w:val="auto"/>
          <w:kern w:val="0"/>
          <w:szCs w:val="21"/>
          <w:highlight w:val="none"/>
        </w:rPr>
        <w:t>规定获取采购文件的潜在供应商不得对采购文件提出质疑，其投标将被拒绝；</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kern w:val="0"/>
          <w:szCs w:val="21"/>
          <w:highlight w:val="none"/>
        </w:rPr>
        <w:t>4.3采购项目需要落实的政府采购政策：本项目对符合《政府采购促进中小企业发展管理办法》规定的中小企业、监狱企业、残疾人福利性单位给予政策扶持；执行节能产品政府强制采购和优先采购政策，执行环境标志产品政府优先采购政策。</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kern w:val="0"/>
          <w:szCs w:val="21"/>
          <w:highlight w:val="none"/>
        </w:rPr>
        <w:t>4.4在线</w:t>
      </w:r>
      <w:r>
        <w:rPr>
          <w:rStyle w:val="41"/>
          <w:rFonts w:ascii="宋体" w:hAnsi="宋体"/>
          <w:color w:val="auto"/>
          <w:szCs w:val="21"/>
          <w:highlight w:val="none"/>
        </w:rPr>
        <w:t>投标</w:t>
      </w:r>
      <w:r>
        <w:rPr>
          <w:rStyle w:val="41"/>
          <w:rFonts w:ascii="宋体" w:hAnsi="宋体"/>
          <w:color w:val="auto"/>
          <w:kern w:val="0"/>
          <w:szCs w:val="21"/>
          <w:highlight w:val="none"/>
        </w:rPr>
        <w:t>响应（电子投标）说明</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szCs w:val="21"/>
          <w:highlight w:val="none"/>
        </w:rPr>
      </w:pPr>
      <w:r>
        <w:rPr>
          <w:rStyle w:val="41"/>
          <w:rFonts w:ascii="宋体" w:hAnsi="宋体"/>
          <w:color w:val="auto"/>
          <w:szCs w:val="21"/>
          <w:highlight w:val="none"/>
        </w:rPr>
        <w:t>4.4.1本项目采用政府采购电子化交易；</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szCs w:val="21"/>
          <w:highlight w:val="none"/>
        </w:rPr>
      </w:pPr>
      <w:r>
        <w:rPr>
          <w:rStyle w:val="41"/>
          <w:rFonts w:ascii="宋体" w:hAnsi="宋体"/>
          <w:color w:val="auto"/>
          <w:szCs w:val="21"/>
          <w:highlight w:val="none"/>
        </w:rPr>
        <w:t>4.4.2供应商应在投标前完成CA数字证书办理。（办理流程详见http://zfcg.czt.zj.gov.cn/bidClientTemplate/2019-05-27/12945.html）；</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szCs w:val="21"/>
          <w:highlight w:val="none"/>
        </w:rPr>
      </w:pPr>
      <w:r>
        <w:rPr>
          <w:rStyle w:val="41"/>
          <w:rFonts w:ascii="宋体" w:hAnsi="宋体"/>
          <w:color w:val="auto"/>
          <w:szCs w:val="21"/>
          <w:highlight w:val="none"/>
        </w:rPr>
        <w:t>4.4.3供应商应安装“政采云投标客户端”，电子投标工具请供应商自行前往浙江政府采购网下载并安装，（下载网址：http://zfcg.czt.zj.gov.cn/bidClientTemplate/2019-09-24/12975.html）；</w:t>
      </w: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szCs w:val="21"/>
          <w:highlight w:val="none"/>
        </w:rPr>
      </w:pPr>
      <w:r>
        <w:rPr>
          <w:rStyle w:val="41"/>
          <w:rFonts w:ascii="宋体" w:hAnsi="宋体"/>
          <w:color w:val="auto"/>
          <w:szCs w:val="21"/>
          <w:highlight w:val="none"/>
        </w:rPr>
        <w:t>4.4.4电子交易具体流程详见操作指南：登录政府采购云平台（https://www.zcygov.cn/），从首页-服务中心-帮助文档-项目采购-电子招投标，查看文档和视频；</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szCs w:val="21"/>
          <w:highlight w:val="none"/>
        </w:rPr>
        <w:t>4.4.5如有疑问，可致电政府采购云平台技术支持热线咨询，联系方式：400-881-7190。</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4.5其他</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kern w:val="0"/>
          <w:szCs w:val="21"/>
          <w:highlight w:val="none"/>
        </w:rPr>
        <w:t>4.5.1成交人应在合同签订前完成</w:t>
      </w:r>
      <w:r>
        <w:rPr>
          <w:rStyle w:val="41"/>
          <w:rFonts w:ascii="宋体" w:hAnsi="宋体"/>
          <w:color w:val="auto"/>
          <w:szCs w:val="21"/>
          <w:highlight w:val="none"/>
        </w:rPr>
        <w:t>政府采购云平台（https://www.zcygov.cn/）</w:t>
      </w:r>
      <w:r>
        <w:rPr>
          <w:rStyle w:val="41"/>
          <w:rFonts w:ascii="宋体" w:hAnsi="宋体"/>
          <w:color w:val="auto"/>
          <w:kern w:val="0"/>
          <w:szCs w:val="21"/>
          <w:highlight w:val="none"/>
        </w:rPr>
        <w:t>全部注册步骤并成为正式注册入库供应商，否则将导致合同款无法正常支付，责任由成交人承担。请供应商尽早完成注册。</w:t>
      </w:r>
      <w:r>
        <w:rPr>
          <w:rStyle w:val="41"/>
          <w:rFonts w:ascii="宋体" w:hAnsi="宋体" w:cs="宋体"/>
          <w:bCs/>
          <w:color w:val="auto"/>
          <w:highlight w:val="none"/>
        </w:rPr>
        <w:t>https://middle.zcygov.cn/settle-front/#/registry。（供应商</w:t>
      </w:r>
      <w:r>
        <w:rPr>
          <w:rStyle w:val="41"/>
          <w:rFonts w:ascii="宋体" w:hAnsi="宋体"/>
          <w:color w:val="auto"/>
          <w:kern w:val="0"/>
          <w:szCs w:val="21"/>
          <w:highlight w:val="none"/>
        </w:rPr>
        <w:t>注册页面）</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r>
        <w:rPr>
          <w:rStyle w:val="41"/>
          <w:rFonts w:ascii="宋体" w:hAnsi="宋体"/>
          <w:color w:val="auto"/>
          <w:kern w:val="0"/>
          <w:szCs w:val="21"/>
          <w:highlight w:val="none"/>
        </w:rPr>
        <w:t>4.5.2采购信息发布媒介：政采云平台（https://www.zcygov.cn/）。</w:t>
      </w:r>
    </w:p>
    <w:p>
      <w:pPr>
        <w:pageBreakBefore w:val="0"/>
        <w:widowControl/>
        <w:kinsoku/>
        <w:wordWrap/>
        <w:overflowPunct/>
        <w:topLinePunct w:val="0"/>
        <w:autoSpaceDE/>
        <w:autoSpaceDN/>
        <w:bidi w:val="0"/>
        <w:snapToGrid w:val="0"/>
        <w:spacing w:line="360" w:lineRule="auto"/>
        <w:ind w:firstLine="422" w:firstLineChars="200"/>
        <w:textAlignment w:val="baseline"/>
        <w:rPr>
          <w:rStyle w:val="41"/>
          <w:rFonts w:ascii="宋体" w:hAnsi="宋体" w:cs="Arial"/>
          <w:b/>
          <w:bCs/>
          <w:color w:val="auto"/>
          <w:kern w:val="0"/>
          <w:highlight w:val="none"/>
        </w:rPr>
      </w:pPr>
      <w:r>
        <w:rPr>
          <w:rStyle w:val="41"/>
          <w:b/>
          <w:bCs/>
          <w:color w:val="auto"/>
          <w:highlight w:val="none"/>
        </w:rPr>
        <w:t>八、对本次采购提出询问、质疑、投诉，请按以下方式联系。</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1.采购人信息</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名称：浙江理工大学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地址：杭州市钱塘区2号大街928号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传真：/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项目联系人（询问）：</w:t>
      </w:r>
      <w:r>
        <w:rPr>
          <w:rStyle w:val="41"/>
          <w:rFonts w:hint="eastAsia" w:ascii="宋体" w:hAnsi="宋体" w:cs="宋体"/>
          <w:bCs/>
          <w:color w:val="auto"/>
          <w:kern w:val="0"/>
          <w:szCs w:val="21"/>
          <w:highlight w:val="none"/>
        </w:rPr>
        <w:t>来老师</w:t>
      </w:r>
      <w:r>
        <w:rPr>
          <w:rStyle w:val="41"/>
          <w:rFonts w:ascii="宋体" w:hAnsi="宋体" w:cs="宋体"/>
          <w:bCs/>
          <w:color w:val="auto"/>
          <w:kern w:val="0"/>
          <w:szCs w:val="21"/>
          <w:highlight w:val="none"/>
        </w:rPr>
        <w:t>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项目联系方式（询问）：</w:t>
      </w:r>
      <w:r>
        <w:rPr>
          <w:rStyle w:val="41"/>
          <w:rFonts w:hint="eastAsia" w:ascii="宋体" w:hAnsi="宋体" w:cs="宋体"/>
          <w:bCs/>
          <w:color w:val="auto"/>
          <w:kern w:val="0"/>
          <w:szCs w:val="21"/>
          <w:highlight w:val="none"/>
        </w:rPr>
        <w:t>0571-86843097</w:t>
      </w:r>
      <w:r>
        <w:rPr>
          <w:rStyle w:val="41"/>
          <w:rFonts w:ascii="宋体" w:hAnsi="宋体" w:cs="宋体"/>
          <w:bCs/>
          <w:color w:val="auto"/>
          <w:kern w:val="0"/>
          <w:szCs w:val="21"/>
          <w:highlight w:val="none"/>
        </w:rPr>
        <w:t>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质疑联系人：王老师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质疑联系方式：0571-86843950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2.采购代理机构信息</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名称：浙江省成套招标代理有限公司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地址：浙江省杭州市文晖路42号现代置业大厦1801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传真：4008-266-163转07285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项目联系人（询问）：汪利锋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项目联系方式（询问）：15168318003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质疑联系人：冯东东 </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质疑联系方式：0571-85331293     </w:t>
      </w:r>
    </w:p>
    <w:p>
      <w:pPr>
        <w:pageBreakBefore w:val="0"/>
        <w:widowControl/>
        <w:kinsoku/>
        <w:wordWrap/>
        <w:overflowPunct/>
        <w:topLinePunct w:val="0"/>
        <w:autoSpaceDE/>
        <w:autoSpaceDN/>
        <w:bidi w:val="0"/>
        <w:snapToGrid w:val="0"/>
        <w:spacing w:line="360" w:lineRule="auto"/>
        <w:ind w:firstLine="420" w:firstLineChars="200"/>
        <w:textAlignment w:val="baseline"/>
        <w:rPr>
          <w:rFonts w:ascii="宋体" w:hAnsi="宋体" w:cs="宋体"/>
          <w:color w:val="auto"/>
          <w:kern w:val="0"/>
          <w:szCs w:val="21"/>
          <w:highlight w:val="none"/>
        </w:rPr>
      </w:pPr>
      <w:r>
        <w:rPr>
          <w:rStyle w:val="41"/>
          <w:rFonts w:ascii="宋体" w:hAnsi="宋体"/>
          <w:color w:val="auto"/>
          <w:kern w:val="0"/>
          <w:szCs w:val="21"/>
          <w:highlight w:val="none"/>
        </w:rPr>
        <w:t>3</w:t>
      </w:r>
      <w:r>
        <w:rPr>
          <w:rStyle w:val="41"/>
          <w:rFonts w:hint="eastAsia" w:ascii="宋体" w:hAnsi="宋体"/>
          <w:color w:val="auto"/>
          <w:kern w:val="0"/>
          <w:szCs w:val="21"/>
          <w:highlight w:val="none"/>
        </w:rPr>
        <w:t>.</w:t>
      </w:r>
      <w:r>
        <w:rPr>
          <w:rFonts w:hint="eastAsia" w:ascii="宋体" w:hAnsi="宋体" w:cs="宋体"/>
          <w:color w:val="auto"/>
          <w:kern w:val="0"/>
          <w:szCs w:val="21"/>
          <w:highlight w:val="none"/>
        </w:rPr>
        <w:t>同级政府采购监督管理部门</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浙江省财政厅政府采购监管处、浙江省政府采购行政裁决服务中心（杭州）</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ascii="宋体" w:hAnsi="宋体" w:cs="宋体"/>
          <w:color w:val="auto"/>
          <w:kern w:val="0"/>
          <w:szCs w:val="21"/>
          <w:highlight w:val="none"/>
        </w:rPr>
        <w:t>杭州市上城区四季青街道新业路市民之家G03办公室</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联系人：</w:t>
      </w:r>
      <w:r>
        <w:rPr>
          <w:rFonts w:ascii="宋体" w:hAnsi="宋体" w:cs="宋体"/>
          <w:color w:val="auto"/>
          <w:kern w:val="0"/>
          <w:szCs w:val="21"/>
          <w:highlight w:val="none"/>
        </w:rPr>
        <w:t>朱女士、王女士</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bCs/>
          <w:color w:val="auto"/>
          <w:kern w:val="0"/>
          <w:highlight w:val="none"/>
        </w:rPr>
      </w:pPr>
      <w:r>
        <w:rPr>
          <w:rFonts w:hint="eastAsia" w:ascii="宋体" w:hAnsi="宋体" w:cs="宋体"/>
          <w:color w:val="auto"/>
          <w:kern w:val="0"/>
          <w:szCs w:val="21"/>
          <w:highlight w:val="none"/>
        </w:rPr>
        <w:t>监督投诉电话：</w:t>
      </w:r>
      <w:r>
        <w:rPr>
          <w:rFonts w:ascii="宋体" w:hAnsi="宋体" w:cs="宋体"/>
          <w:color w:val="auto"/>
          <w:kern w:val="0"/>
          <w:szCs w:val="21"/>
          <w:highlight w:val="none"/>
        </w:rPr>
        <w:t>0571-85252453</w:t>
      </w:r>
    </w:p>
    <w:p>
      <w:pPr>
        <w:pageBreakBefore w:val="0"/>
        <w:widowControl/>
        <w:kinsoku/>
        <w:wordWrap/>
        <w:overflowPunct/>
        <w:topLinePunct w:val="0"/>
        <w:autoSpaceDE/>
        <w:autoSpaceDN/>
        <w:bidi w:val="0"/>
        <w:snapToGrid w:val="0"/>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政策咨询：何一平、冯华，0571-87058424、87055741</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color w:val="auto"/>
          <w:kern w:val="0"/>
          <w:szCs w:val="21"/>
          <w:highlight w:val="none"/>
        </w:rPr>
      </w:pPr>
    </w:p>
    <w:p>
      <w:pPr>
        <w:pageBreakBefore w:val="0"/>
        <w:widowControl/>
        <w:kinsoku/>
        <w:wordWrap/>
        <w:overflowPunct/>
        <w:topLinePunct w:val="0"/>
        <w:autoSpaceDE/>
        <w:autoSpaceDN/>
        <w:bidi w:val="0"/>
        <w:snapToGrid w:val="0"/>
        <w:spacing w:line="360" w:lineRule="auto"/>
        <w:ind w:firstLine="420" w:firstLineChars="200"/>
        <w:jc w:val="left"/>
        <w:textAlignment w:val="baseline"/>
        <w:rPr>
          <w:rStyle w:val="41"/>
          <w:rFonts w:ascii="宋体" w:hAnsi="宋体"/>
          <w:color w:val="auto"/>
          <w:kern w:val="0"/>
          <w:szCs w:val="21"/>
          <w:highlight w:val="none"/>
        </w:rPr>
      </w:pPr>
      <w:r>
        <w:rPr>
          <w:rStyle w:val="41"/>
          <w:rFonts w:ascii="宋体" w:hAnsi="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pageBreakBefore w:val="0"/>
        <w:widowControl/>
        <w:kinsoku/>
        <w:wordWrap/>
        <w:overflowPunct/>
        <w:topLinePunct w:val="0"/>
        <w:autoSpaceDE/>
        <w:autoSpaceDN/>
        <w:bidi w:val="0"/>
        <w:snapToGrid w:val="0"/>
        <w:spacing w:line="360" w:lineRule="auto"/>
        <w:ind w:firstLine="420" w:firstLineChars="200"/>
        <w:textAlignment w:val="baseline"/>
        <w:rPr>
          <w:rStyle w:val="41"/>
          <w:rFonts w:ascii="宋体" w:hAnsi="宋体"/>
          <w:b/>
          <w:color w:val="auto"/>
          <w:highlight w:val="none"/>
        </w:rPr>
      </w:pPr>
      <w:r>
        <w:rPr>
          <w:rStyle w:val="41"/>
          <w:rFonts w:ascii="宋体" w:hAnsi="宋体"/>
          <w:color w:val="auto"/>
          <w:kern w:val="0"/>
          <w:szCs w:val="21"/>
          <w:highlight w:val="none"/>
        </w:rPr>
        <w:t>CA问题联系电话（人工）：汇信CA 400-888-4636；天谷CA 400-087-8198。</w:t>
      </w:r>
    </w:p>
    <w:p>
      <w:pPr>
        <w:snapToGrid w:val="0"/>
        <w:spacing w:line="360" w:lineRule="auto"/>
        <w:ind w:firstLine="422" w:firstLineChars="200"/>
        <w:rPr>
          <w:rStyle w:val="41"/>
          <w:rFonts w:ascii="宋体" w:hAnsi="宋体"/>
          <w:b/>
          <w:color w:val="auto"/>
          <w:highlight w:val="none"/>
        </w:rPr>
      </w:pPr>
    </w:p>
    <w:p>
      <w:pPr>
        <w:snapToGrid w:val="0"/>
        <w:spacing w:line="300" w:lineRule="auto"/>
        <w:jc w:val="left"/>
        <w:rPr>
          <w:rStyle w:val="41"/>
          <w:rFonts w:ascii="宋体" w:hAnsi="宋体"/>
          <w:color w:val="auto"/>
          <w:kern w:val="0"/>
          <w:szCs w:val="21"/>
          <w:highlight w:val="none"/>
        </w:rPr>
      </w:pPr>
      <w:r>
        <w:rPr>
          <w:rStyle w:val="41"/>
          <w:rFonts w:ascii="宋体" w:hAnsi="宋体"/>
          <w:color w:val="auto"/>
          <w:kern w:val="0"/>
          <w:szCs w:val="21"/>
          <w:highlight w:val="none"/>
        </w:rPr>
        <w:br w:type="page"/>
      </w:r>
    </w:p>
    <w:p>
      <w:pPr>
        <w:snapToGrid w:val="0"/>
        <w:spacing w:line="300" w:lineRule="auto"/>
        <w:jc w:val="left"/>
        <w:rPr>
          <w:rStyle w:val="41"/>
          <w:rFonts w:ascii="宋体" w:hAnsi="宋体"/>
          <w:color w:val="auto"/>
          <w:kern w:val="0"/>
          <w:szCs w:val="21"/>
          <w:highlight w:val="none"/>
        </w:rPr>
      </w:pPr>
    </w:p>
    <w:p>
      <w:pPr>
        <w:pStyle w:val="32"/>
        <w:snapToGrid w:val="0"/>
        <w:outlineLvl w:val="0"/>
        <w:rPr>
          <w:rStyle w:val="41"/>
          <w:rFonts w:ascii="宋体" w:hAnsi="宋体"/>
          <w:color w:val="auto"/>
          <w:highlight w:val="none"/>
        </w:rPr>
      </w:pPr>
      <w:bookmarkStart w:id="7" w:name="_Toc12631"/>
      <w:r>
        <w:rPr>
          <w:rStyle w:val="41"/>
          <w:rFonts w:ascii="宋体" w:hAnsi="宋体"/>
          <w:color w:val="auto"/>
          <w:highlight w:val="none"/>
        </w:rPr>
        <w:t>第二章  采购内容及技术要求</w:t>
      </w:r>
      <w:bookmarkEnd w:id="7"/>
    </w:p>
    <w:p>
      <w:pPr>
        <w:pageBreakBefore w:val="0"/>
        <w:kinsoku/>
        <w:wordWrap/>
        <w:overflowPunct/>
        <w:bidi w:val="0"/>
        <w:spacing w:line="360" w:lineRule="auto"/>
        <w:ind w:firstLine="420" w:firstLineChars="200"/>
        <w:rPr>
          <w:rFonts w:hint="eastAsia"/>
          <w:color w:val="auto"/>
          <w:highlight w:val="none"/>
          <w:lang w:val="en-US" w:eastAsia="zh-CN"/>
        </w:rPr>
      </w:pPr>
      <w:bookmarkStart w:id="8" w:name="_Toc42511924"/>
      <w:bookmarkStart w:id="9" w:name="_Toc442102512"/>
      <w:bookmarkStart w:id="10" w:name="_Toc420505109"/>
      <w:bookmarkStart w:id="11" w:name="_Toc72857696"/>
      <w:bookmarkStart w:id="12" w:name="_Toc10409"/>
      <w:r>
        <w:rPr>
          <w:rFonts w:hint="eastAsia"/>
          <w:color w:val="auto"/>
          <w:highlight w:val="none"/>
        </w:rPr>
        <w:t>（一）</w:t>
      </w:r>
      <w:bookmarkEnd w:id="8"/>
      <w:bookmarkEnd w:id="9"/>
      <w:bookmarkEnd w:id="10"/>
      <w:r>
        <w:rPr>
          <w:rFonts w:hint="eastAsia"/>
          <w:color w:val="auto"/>
          <w:highlight w:val="none"/>
          <w:lang w:val="en-US" w:eastAsia="zh-CN"/>
        </w:rPr>
        <w:t>工程概况</w:t>
      </w:r>
    </w:p>
    <w:p>
      <w:pPr>
        <w:pageBreakBefore w:val="0"/>
        <w:kinsoku/>
        <w:wordWrap/>
        <w:overflowPunct/>
        <w:bidi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1、本项目为</w:t>
      </w:r>
      <w:r>
        <w:rPr>
          <w:rFonts w:hint="eastAsia" w:ascii="宋体" w:hAnsi="宋体" w:cs="宋体"/>
          <w:color w:val="auto"/>
          <w:highlight w:val="none"/>
          <w:lang w:eastAsia="zh-CN"/>
        </w:rPr>
        <w:t>浙江理工大学</w:t>
      </w:r>
      <w:r>
        <w:rPr>
          <w:rFonts w:hint="eastAsia" w:ascii="宋体" w:hAnsi="宋体" w:cs="宋体"/>
          <w:color w:val="auto"/>
          <w:highlight w:val="none"/>
          <w:lang w:val="en-US" w:eastAsia="zh-CN"/>
        </w:rPr>
        <w:t>下沙校区教学东区</w:t>
      </w:r>
      <w:r>
        <w:rPr>
          <w:rFonts w:hint="eastAsia" w:ascii="宋体" w:hAnsi="宋体" w:cs="宋体"/>
          <w:color w:val="auto"/>
          <w:highlight w:val="none"/>
          <w:lang w:eastAsia="zh-CN"/>
        </w:rPr>
        <w:t>消防管网改造工程</w:t>
      </w:r>
      <w:r>
        <w:rPr>
          <w:rFonts w:hint="eastAsia" w:ascii="宋体" w:hAnsi="宋体" w:cs="宋体"/>
          <w:color w:val="auto"/>
          <w:highlight w:val="none"/>
        </w:rPr>
        <w:t>，供应商需根据采购人提供的</w:t>
      </w:r>
      <w:r>
        <w:rPr>
          <w:rFonts w:hint="eastAsia" w:ascii="宋体" w:hAnsi="宋体" w:cs="宋体"/>
          <w:color w:val="auto"/>
          <w:highlight w:val="none"/>
          <w:lang w:eastAsia="zh-Hans"/>
        </w:rPr>
        <w:t>采购需求</w:t>
      </w:r>
      <w:r>
        <w:rPr>
          <w:rFonts w:ascii="宋体" w:hAnsi="宋体" w:cs="宋体"/>
          <w:color w:val="auto"/>
          <w:highlight w:val="none"/>
          <w:lang w:eastAsia="zh-Hans"/>
        </w:rPr>
        <w:t>、</w:t>
      </w:r>
      <w:r>
        <w:rPr>
          <w:rFonts w:hint="eastAsia" w:ascii="宋体" w:hAnsi="宋体" w:cs="宋体"/>
          <w:color w:val="auto"/>
          <w:highlight w:val="none"/>
          <w:lang w:eastAsia="zh-Hans"/>
        </w:rPr>
        <w:t>工程量清单</w:t>
      </w:r>
      <w:r>
        <w:rPr>
          <w:rFonts w:ascii="宋体" w:hAnsi="宋体" w:cs="宋体"/>
          <w:color w:val="auto"/>
          <w:highlight w:val="none"/>
          <w:lang w:eastAsia="zh-Hans"/>
        </w:rPr>
        <w:t>、</w:t>
      </w:r>
      <w:r>
        <w:rPr>
          <w:rFonts w:hint="eastAsia" w:ascii="宋体" w:hAnsi="宋体" w:cs="宋体"/>
          <w:color w:val="auto"/>
          <w:highlight w:val="none"/>
          <w:lang w:eastAsia="zh-Hans"/>
        </w:rPr>
        <w:t>图纸</w:t>
      </w:r>
      <w:r>
        <w:rPr>
          <w:rFonts w:hint="eastAsia" w:ascii="宋体" w:hAnsi="宋体" w:cs="宋体"/>
          <w:color w:val="auto"/>
          <w:highlight w:val="none"/>
        </w:rPr>
        <w:t>及现场实际情况进行综合考虑及报价。</w:t>
      </w:r>
    </w:p>
    <w:p>
      <w:pPr>
        <w:pageBreakBefore w:val="0"/>
        <w:kinsoku/>
        <w:wordWrap/>
        <w:overflowPunct/>
        <w:bidi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工程地点：浙江</w:t>
      </w:r>
      <w:r>
        <w:rPr>
          <w:rFonts w:hint="eastAsia" w:ascii="宋体" w:hAnsi="宋体" w:cs="宋体"/>
          <w:color w:val="auto"/>
          <w:highlight w:val="none"/>
          <w:lang w:val="en-US" w:eastAsia="zh-CN"/>
        </w:rPr>
        <w:t>理工大学下沙校区教学东区</w:t>
      </w:r>
      <w:r>
        <w:rPr>
          <w:rFonts w:hint="eastAsia" w:ascii="宋体" w:hAnsi="宋体" w:cs="宋体"/>
          <w:color w:val="auto"/>
          <w:highlight w:val="none"/>
        </w:rPr>
        <w:t>。</w:t>
      </w:r>
    </w:p>
    <w:p>
      <w:pPr>
        <w:pageBreakBefore w:val="0"/>
        <w:kinsoku/>
        <w:wordWrap/>
        <w:overflowPunct/>
        <w:bidi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2、现场条件</w:t>
      </w:r>
    </w:p>
    <w:p>
      <w:pPr>
        <w:pageBreakBefore w:val="0"/>
        <w:kinsoku/>
        <w:wordWrap/>
        <w:overflowPunct/>
        <w:bidi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（1）已具备施工条件，但施工不能</w:t>
      </w:r>
      <w:r>
        <w:rPr>
          <w:rFonts w:hint="eastAsia" w:ascii="宋体" w:hAnsi="宋体" w:cs="宋体"/>
          <w:color w:val="auto"/>
          <w:highlight w:val="none"/>
          <w:lang w:val="en-US" w:eastAsia="zh-CN"/>
        </w:rPr>
        <w:t>严重</w:t>
      </w:r>
      <w:r>
        <w:rPr>
          <w:rFonts w:hint="eastAsia" w:ascii="宋体" w:hAnsi="宋体" w:cs="宋体"/>
          <w:color w:val="auto"/>
          <w:highlight w:val="none"/>
        </w:rPr>
        <w:t>影响正常的教学、科研</w:t>
      </w:r>
      <w:r>
        <w:rPr>
          <w:rFonts w:hint="eastAsia" w:ascii="宋体" w:hAnsi="宋体" w:cs="宋体"/>
          <w:color w:val="auto"/>
          <w:highlight w:val="none"/>
          <w:lang w:val="en-US" w:eastAsia="zh-CN"/>
        </w:rPr>
        <w:t>和生活秩序</w:t>
      </w:r>
      <w:r>
        <w:rPr>
          <w:rFonts w:hint="eastAsia" w:ascii="宋体" w:hAnsi="宋体" w:cs="宋体"/>
          <w:color w:val="auto"/>
          <w:highlight w:val="none"/>
        </w:rPr>
        <w:t>。</w:t>
      </w:r>
    </w:p>
    <w:p>
      <w:pPr>
        <w:pageBreakBefore w:val="0"/>
        <w:kinsoku/>
        <w:wordWrap/>
        <w:overflowPunct/>
        <w:bidi w:val="0"/>
        <w:spacing w:line="360" w:lineRule="auto"/>
        <w:ind w:firstLine="420" w:firstLineChars="200"/>
        <w:rPr>
          <w:rFonts w:hint="eastAsia" w:ascii="宋体" w:hAnsi="宋体" w:cs="宋体"/>
          <w:color w:val="auto"/>
          <w:highlight w:val="none"/>
          <w:u w:val="none"/>
        </w:rPr>
      </w:pPr>
      <w:r>
        <w:rPr>
          <w:rFonts w:hint="eastAsia" w:ascii="宋体" w:hAnsi="宋体" w:cs="宋体"/>
          <w:color w:val="auto"/>
          <w:highlight w:val="none"/>
        </w:rPr>
        <w:t>（2）采购人不</w:t>
      </w:r>
      <w:r>
        <w:rPr>
          <w:rFonts w:hint="eastAsia" w:ascii="宋体" w:hAnsi="宋体" w:cs="宋体"/>
          <w:color w:val="auto"/>
          <w:highlight w:val="none"/>
          <w:lang w:val="en-US" w:eastAsia="zh-CN"/>
        </w:rPr>
        <w:t>集中</w:t>
      </w:r>
      <w:r>
        <w:rPr>
          <w:rFonts w:hint="eastAsia" w:ascii="宋体" w:hAnsi="宋体" w:cs="宋体"/>
          <w:color w:val="auto"/>
          <w:highlight w:val="none"/>
        </w:rPr>
        <w:t>组织现场踏勘，</w:t>
      </w:r>
      <w:r>
        <w:rPr>
          <w:rFonts w:hint="eastAsia" w:ascii="宋体" w:hAnsi="宋体" w:cs="宋体"/>
          <w:color w:val="auto"/>
          <w:highlight w:val="none"/>
          <w:u w:val="non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要求，若有此类要求，采购人将不作任何答复与考虑，供应商应承担</w:t>
      </w:r>
      <w:r>
        <w:rPr>
          <w:rFonts w:hint="eastAsia" w:ascii="宋体" w:hAnsi="宋体" w:cs="宋体"/>
          <w:color w:val="auto"/>
          <w:highlight w:val="none"/>
          <w:u w:val="none"/>
          <w:lang w:val="en-US" w:eastAsia="zh-CN"/>
        </w:rPr>
        <w:t>未</w:t>
      </w:r>
      <w:r>
        <w:rPr>
          <w:rFonts w:hint="eastAsia" w:ascii="宋体" w:hAnsi="宋体" w:cs="宋体"/>
          <w:color w:val="auto"/>
          <w:highlight w:val="none"/>
          <w:u w:val="none"/>
        </w:rPr>
        <w:t>踏勘现场</w:t>
      </w:r>
      <w:r>
        <w:rPr>
          <w:rFonts w:hint="eastAsia" w:ascii="宋体" w:hAnsi="宋体" w:cs="宋体"/>
          <w:color w:val="auto"/>
          <w:highlight w:val="none"/>
          <w:u w:val="none"/>
          <w:lang w:val="en-US" w:eastAsia="zh-CN"/>
        </w:rPr>
        <w:t>或</w:t>
      </w:r>
      <w:r>
        <w:rPr>
          <w:rFonts w:hint="eastAsia" w:ascii="宋体" w:hAnsi="宋体" w:cs="宋体"/>
          <w:color w:val="auto"/>
          <w:highlight w:val="none"/>
          <w:u w:val="none"/>
        </w:rPr>
        <w:t>踏勘现场</w:t>
      </w:r>
      <w:r>
        <w:rPr>
          <w:rFonts w:hint="eastAsia" w:ascii="宋体" w:hAnsi="宋体" w:cs="宋体"/>
          <w:color w:val="auto"/>
          <w:highlight w:val="none"/>
          <w:u w:val="none"/>
          <w:lang w:val="en-US" w:eastAsia="zh-CN"/>
        </w:rPr>
        <w:t>不足导致的</w:t>
      </w:r>
      <w:r>
        <w:rPr>
          <w:rFonts w:hint="eastAsia" w:ascii="宋体" w:hAnsi="宋体" w:cs="宋体"/>
          <w:color w:val="auto"/>
          <w:highlight w:val="none"/>
          <w:u w:val="none"/>
        </w:rPr>
        <w:t>责任和风险，踏勘现场的费用由供应商自行承担。</w:t>
      </w:r>
    </w:p>
    <w:p>
      <w:pPr>
        <w:pageBreakBefore w:val="0"/>
        <w:kinsoku/>
        <w:wordWrap/>
        <w:overflowPunct/>
        <w:bidi w:val="0"/>
        <w:spacing w:line="360" w:lineRule="auto"/>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none"/>
        </w:rPr>
        <w:t>现场实地勘察，联系人：</w:t>
      </w:r>
      <w:r>
        <w:rPr>
          <w:rFonts w:hint="eastAsia" w:ascii="宋体" w:hAnsi="宋体" w:cs="宋体"/>
          <w:b/>
          <w:bCs/>
          <w:color w:val="auto"/>
          <w:highlight w:val="none"/>
          <w:u w:val="none"/>
          <w:lang w:val="en-US" w:eastAsia="zh-CN"/>
        </w:rPr>
        <w:t>来老师</w:t>
      </w:r>
      <w:r>
        <w:rPr>
          <w:rFonts w:hint="eastAsia" w:ascii="宋体" w:hAnsi="宋体" w:cs="宋体"/>
          <w:b/>
          <w:bCs/>
          <w:color w:val="auto"/>
          <w:highlight w:val="none"/>
          <w:u w:val="none"/>
        </w:rPr>
        <w:t>（电话：0571-8</w:t>
      </w:r>
      <w:r>
        <w:rPr>
          <w:rFonts w:hint="eastAsia" w:ascii="宋体" w:hAnsi="宋体" w:cs="宋体"/>
          <w:b/>
          <w:bCs/>
          <w:color w:val="auto"/>
          <w:highlight w:val="none"/>
          <w:u w:val="none"/>
          <w:lang w:val="en-US" w:eastAsia="zh-CN"/>
        </w:rPr>
        <w:t>6843097</w:t>
      </w:r>
      <w:r>
        <w:rPr>
          <w:rFonts w:hint="eastAsia" w:ascii="宋体" w:hAnsi="宋体" w:cs="宋体"/>
          <w:b/>
          <w:bCs/>
          <w:color w:val="auto"/>
          <w:highlight w:val="none"/>
          <w:u w:val="none"/>
        </w:rPr>
        <w:t>）。</w:t>
      </w:r>
    </w:p>
    <w:p>
      <w:pPr>
        <w:pageBreakBefore w:val="0"/>
        <w:kinsoku/>
        <w:wordWrap/>
        <w:overflowPunct/>
        <w:bidi w:val="0"/>
        <w:spacing w:line="360" w:lineRule="auto"/>
        <w:ind w:firstLine="420" w:firstLineChars="200"/>
        <w:rPr>
          <w:rFonts w:hint="default" w:ascii="宋体" w:hAnsi="宋体" w:cs="宋体"/>
          <w:color w:val="auto"/>
          <w:highlight w:val="none"/>
          <w:u w:val="none"/>
          <w:lang w:val="en-US" w:eastAsia="zh-CN"/>
        </w:rPr>
      </w:pPr>
      <w:r>
        <w:rPr>
          <w:rFonts w:hint="eastAsia" w:ascii="宋体" w:hAnsi="宋体" w:cs="宋体"/>
          <w:color w:val="auto"/>
          <w:highlight w:val="none"/>
          <w:u w:val="none"/>
          <w:lang w:eastAsia="zh-CN"/>
        </w:rPr>
        <w:t>（</w:t>
      </w:r>
      <w:r>
        <w:rPr>
          <w:rFonts w:hint="eastAsia" w:ascii="宋体" w:hAnsi="宋体" w:cs="宋体"/>
          <w:color w:val="auto"/>
          <w:highlight w:val="none"/>
          <w:u w:val="none"/>
          <w:lang w:val="en-US" w:eastAsia="zh-CN"/>
        </w:rPr>
        <w:t>3</w:t>
      </w:r>
      <w:r>
        <w:rPr>
          <w:rFonts w:hint="eastAsia" w:ascii="宋体" w:hAnsi="宋体" w:cs="宋体"/>
          <w:color w:val="auto"/>
          <w:highlight w:val="none"/>
          <w:u w:val="none"/>
          <w:lang w:eastAsia="zh-CN"/>
        </w:rPr>
        <w:t>）</w:t>
      </w:r>
      <w:r>
        <w:rPr>
          <w:rFonts w:hint="eastAsia" w:ascii="宋体" w:hAnsi="宋体" w:cs="宋体"/>
          <w:color w:val="auto"/>
          <w:highlight w:val="none"/>
          <w:u w:val="none"/>
        </w:rPr>
        <w:t>供应商施工应服从采购人的现场管理。为减少改造工程对采购人正常工作的影响，需要间断施工或按采购人管理需要临时调整施工时间，施工作业环境</w:t>
      </w:r>
      <w:r>
        <w:rPr>
          <w:rFonts w:hint="eastAsia" w:ascii="宋体" w:hAnsi="宋体" w:cs="宋体"/>
          <w:color w:val="auto"/>
          <w:highlight w:val="none"/>
          <w:u w:val="none"/>
          <w:lang w:val="en-US" w:eastAsia="zh-CN"/>
        </w:rPr>
        <w:t>等</w:t>
      </w:r>
      <w:r>
        <w:rPr>
          <w:rFonts w:hint="eastAsia" w:ascii="宋体" w:hAnsi="宋体" w:cs="宋体"/>
          <w:color w:val="auto"/>
          <w:highlight w:val="none"/>
          <w:u w:val="none"/>
        </w:rPr>
        <w:t>的种种不利因素如夜间施工、垃圾装袋外运等，均需由供应商考虑，并将所需费用包含在磋商报价中。</w:t>
      </w:r>
    </w:p>
    <w:p>
      <w:pPr>
        <w:pStyle w:val="3"/>
        <w:keepNext w:val="0"/>
        <w:keepLines w:val="0"/>
        <w:ind w:firstLine="420"/>
        <w:jc w:val="left"/>
        <w:rPr>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规范要求</w:t>
      </w:r>
      <w:bookmarkEnd w:id="11"/>
      <w:bookmarkEnd w:id="12"/>
    </w:p>
    <w:p>
      <w:pPr>
        <w:pStyle w:val="3"/>
        <w:keepNext w:val="0"/>
        <w:keepLines w:val="0"/>
        <w:ind w:firstLine="420"/>
        <w:jc w:val="left"/>
        <w:rPr>
          <w:rFonts w:ascii="宋体" w:hAnsi="宋体"/>
          <w:b w:val="0"/>
          <w:bCs w:val="0"/>
          <w:color w:val="auto"/>
          <w:szCs w:val="21"/>
          <w:highlight w:val="none"/>
        </w:rPr>
      </w:pPr>
      <w:bookmarkStart w:id="13" w:name="_Toc42511925"/>
      <w:bookmarkStart w:id="14" w:name="_Toc17234"/>
      <w:bookmarkStart w:id="15" w:name="_Toc420505110"/>
      <w:bookmarkStart w:id="16" w:name="_Toc66769195"/>
      <w:bookmarkStart w:id="17" w:name="_Toc229386804"/>
      <w:bookmarkStart w:id="18" w:name="_Toc42511926"/>
      <w:bookmarkStart w:id="19" w:name="_Toc442102513"/>
      <w:bookmarkStart w:id="20" w:name="_Toc72857698"/>
      <w:r>
        <w:rPr>
          <w:rFonts w:hint="eastAsia" w:ascii="宋体" w:hAnsi="宋体"/>
          <w:b w:val="0"/>
          <w:bCs w:val="0"/>
          <w:color w:val="auto"/>
          <w:szCs w:val="21"/>
          <w:highlight w:val="none"/>
        </w:rPr>
        <w:t>1、本工程项目的材料、设备、施工必须达到以下现行中华人民共和国及省、市、行业的一切有关法规、规范的要求，如下述标准及规范要求有出入则以较严格者为准。</w:t>
      </w:r>
      <w:bookmarkEnd w:id="13"/>
      <w:bookmarkEnd w:id="14"/>
    </w:p>
    <w:p>
      <w:pPr>
        <w:pStyle w:val="3"/>
        <w:keepNext w:val="0"/>
        <w:keepLines w:val="0"/>
        <w:ind w:firstLine="422" w:firstLineChars="200"/>
        <w:jc w:val="left"/>
        <w:rPr>
          <w:rFonts w:ascii="宋体" w:hAnsi="宋体"/>
          <w:b w:val="0"/>
          <w:bCs w:val="0"/>
          <w:color w:val="auto"/>
          <w:szCs w:val="21"/>
          <w:highlight w:val="none"/>
        </w:rPr>
      </w:pPr>
      <w:bookmarkStart w:id="21" w:name="_Toc29692"/>
      <w:r>
        <w:rPr>
          <w:rFonts w:hint="eastAsia" w:ascii="宋体" w:hAnsi="宋体"/>
          <w:color w:val="auto"/>
          <w:highlight w:val="none"/>
        </w:rPr>
        <w:t>（</w:t>
      </w:r>
      <w:r>
        <w:rPr>
          <w:rFonts w:hint="eastAsia" w:ascii="宋体" w:hAnsi="宋体"/>
          <w:color w:val="auto"/>
          <w:highlight w:val="none"/>
          <w:lang w:val="en-US" w:eastAsia="zh-CN"/>
        </w:rPr>
        <w:t>三</w:t>
      </w:r>
      <w:r>
        <w:rPr>
          <w:rFonts w:hint="eastAsia" w:ascii="宋体" w:hAnsi="宋体"/>
          <w:color w:val="auto"/>
          <w:highlight w:val="none"/>
        </w:rPr>
        <w:t>）施工要求</w:t>
      </w:r>
      <w:bookmarkEnd w:id="15"/>
      <w:bookmarkEnd w:id="16"/>
      <w:bookmarkEnd w:id="17"/>
      <w:bookmarkEnd w:id="18"/>
      <w:bookmarkEnd w:id="19"/>
      <w:bookmarkEnd w:id="20"/>
      <w:bookmarkEnd w:id="21"/>
    </w:p>
    <w:p>
      <w:pPr>
        <w:pStyle w:val="664"/>
        <w:spacing w:line="360" w:lineRule="auto"/>
        <w:ind w:firstLine="420"/>
        <w:rPr>
          <w:rFonts w:ascii="宋体" w:hAnsi="宋体"/>
          <w:color w:val="auto"/>
          <w:highlight w:val="none"/>
        </w:rPr>
      </w:pPr>
      <w:bookmarkStart w:id="22" w:name="_Toc42511927"/>
      <w:bookmarkStart w:id="23" w:name="_Toc420505111"/>
      <w:bookmarkStart w:id="24" w:name="_Toc72857699"/>
      <w:bookmarkStart w:id="25" w:name="_Toc229386805"/>
      <w:bookmarkStart w:id="26" w:name="_Toc66769196"/>
      <w:bookmarkStart w:id="27" w:name="_Toc442102514"/>
      <w:r>
        <w:rPr>
          <w:rFonts w:hint="eastAsia" w:ascii="宋体" w:hAnsi="宋体"/>
          <w:color w:val="auto"/>
          <w:highlight w:val="none"/>
        </w:rPr>
        <w:t>1、本工程施工严格按照规范要求进行施工，达到各项拟定的设计指标。</w:t>
      </w:r>
    </w:p>
    <w:p>
      <w:pPr>
        <w:spacing w:after="0" w:line="360" w:lineRule="auto"/>
        <w:ind w:firstLine="420" w:firstLineChars="200"/>
        <w:rPr>
          <w:rFonts w:ascii="宋体" w:hAnsi="宋体"/>
          <w:color w:val="auto"/>
          <w:szCs w:val="21"/>
          <w:highlight w:val="none"/>
        </w:rPr>
      </w:pPr>
      <w:r>
        <w:rPr>
          <w:rFonts w:hint="eastAsia" w:ascii="宋体" w:hAnsi="宋体"/>
          <w:color w:val="auto"/>
          <w:highlight w:val="none"/>
        </w:rPr>
        <w:t>2、</w:t>
      </w:r>
      <w:r>
        <w:rPr>
          <w:rFonts w:hint="eastAsia" w:ascii="宋体" w:hAnsi="宋体"/>
          <w:color w:val="auto"/>
          <w:szCs w:val="21"/>
          <w:highlight w:val="none"/>
        </w:rPr>
        <w:t>供应商必须严格按合同条款、施工验收规范、国家和省市的有关质量验收标准，精心组织施工，确保工程质量达到国家合格验收标准。供应商应详细编制施工方案，详细叙述关键部位的质量保证措施，并在响应文件中对质量目标进行承诺。</w:t>
      </w:r>
    </w:p>
    <w:p>
      <w:pPr>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3、有关施工和工程质量要求，须按照最新</w:t>
      </w:r>
      <w:r>
        <w:rPr>
          <w:rFonts w:hint="eastAsia" w:ascii="宋体" w:hAnsi="宋体" w:cs="宋体"/>
          <w:color w:val="auto"/>
          <w:kern w:val="0"/>
          <w:szCs w:val="21"/>
          <w:highlight w:val="none"/>
        </w:rPr>
        <w:t>国家《工程质量验收规范》</w:t>
      </w:r>
      <w:r>
        <w:rPr>
          <w:rFonts w:hint="eastAsia" w:ascii="宋体" w:hAnsi="宋体" w:cs="宋体"/>
          <w:color w:val="auto"/>
          <w:szCs w:val="21"/>
          <w:highlight w:val="none"/>
        </w:rPr>
        <w:t>规定执行。</w:t>
      </w:r>
    </w:p>
    <w:p>
      <w:pPr>
        <w:spacing w:after="0" w:line="360" w:lineRule="auto"/>
        <w:ind w:firstLine="420" w:firstLineChars="200"/>
        <w:rPr>
          <w:rFonts w:ascii="宋体" w:hAnsi="宋体"/>
          <w:color w:val="auto"/>
          <w:highlight w:val="none"/>
        </w:rPr>
      </w:pPr>
      <w:r>
        <w:rPr>
          <w:rFonts w:hint="eastAsia" w:ascii="宋体" w:hAnsi="宋体"/>
          <w:color w:val="auto"/>
          <w:highlight w:val="none"/>
        </w:rPr>
        <w:t>4、在免费保修期内，成交供应商对有缺陷的部位必须无偿地给予修理与更换，并承担一切由此</w:t>
      </w:r>
      <w:r>
        <w:rPr>
          <w:rFonts w:hint="eastAsia" w:ascii="宋体" w:hAnsi="宋体"/>
          <w:color w:val="auto"/>
          <w:highlight w:val="none"/>
          <w:lang w:val="en-US" w:eastAsia="zh-CN"/>
        </w:rPr>
        <w:t>造成</w:t>
      </w:r>
      <w:r>
        <w:rPr>
          <w:rFonts w:hint="eastAsia" w:ascii="宋体" w:hAnsi="宋体"/>
          <w:color w:val="auto"/>
          <w:highlight w:val="none"/>
        </w:rPr>
        <w:t>的对采购人或第三者的直接损失，除非该缺陷是由于人为破坏或合同规定的不可抗</w:t>
      </w:r>
      <w:r>
        <w:rPr>
          <w:rFonts w:hint="eastAsia" w:ascii="宋体" w:hAnsi="宋体"/>
          <w:color w:val="auto"/>
          <w:highlight w:val="none"/>
          <w:lang w:val="en-US" w:eastAsia="zh-CN"/>
        </w:rPr>
        <w:t>力</w:t>
      </w:r>
      <w:r>
        <w:rPr>
          <w:rFonts w:hint="eastAsia" w:ascii="宋体" w:hAnsi="宋体"/>
          <w:color w:val="auto"/>
          <w:highlight w:val="none"/>
        </w:rPr>
        <w:t>因素造成的损坏。</w:t>
      </w:r>
    </w:p>
    <w:p>
      <w:pPr>
        <w:spacing w:after="0" w:line="360" w:lineRule="auto"/>
        <w:ind w:firstLine="420" w:firstLineChars="200"/>
        <w:rPr>
          <w:rFonts w:ascii="宋体" w:hAnsi="宋体"/>
          <w:color w:val="auto"/>
          <w:highlight w:val="none"/>
        </w:rPr>
      </w:pPr>
      <w:r>
        <w:rPr>
          <w:rFonts w:hint="eastAsia" w:ascii="宋体" w:hAnsi="宋体"/>
          <w:color w:val="auto"/>
          <w:highlight w:val="none"/>
        </w:rPr>
        <w:t>5、成交供应商必须对所承包的工程的质量负全部责任，其责任不因其他材料生产商提供的保证书而减轻或更改。</w:t>
      </w:r>
    </w:p>
    <w:p>
      <w:pPr>
        <w:pStyle w:val="664"/>
        <w:spacing w:line="360" w:lineRule="auto"/>
        <w:ind w:firstLine="420"/>
        <w:rPr>
          <w:rFonts w:hint="eastAsia" w:ascii="宋体" w:hAnsi="宋体"/>
          <w:color w:val="auto"/>
          <w:highlight w:val="none"/>
        </w:rPr>
      </w:pPr>
      <w:r>
        <w:rPr>
          <w:rFonts w:hint="eastAsia" w:ascii="宋体" w:hAnsi="宋体"/>
          <w:color w:val="auto"/>
          <w:highlight w:val="none"/>
        </w:rPr>
        <w:t>6、施工时注意做好必要的劳动保护工作。</w:t>
      </w:r>
    </w:p>
    <w:p>
      <w:pPr>
        <w:pStyle w:val="664"/>
        <w:spacing w:line="360" w:lineRule="auto"/>
        <w:ind w:firstLine="420"/>
        <w:rPr>
          <w:rFonts w:ascii="宋体" w:hAnsi="宋体"/>
          <w:b/>
          <w:bCs/>
          <w:color w:val="auto"/>
          <w:szCs w:val="32"/>
          <w:highlight w:val="none"/>
        </w:rPr>
      </w:pPr>
      <w:r>
        <w:rPr>
          <w:rFonts w:hint="eastAsia" w:ascii="宋体" w:hAnsi="宋体"/>
          <w:b/>
          <w:bCs/>
          <w:color w:val="auto"/>
          <w:szCs w:val="32"/>
          <w:highlight w:val="none"/>
        </w:rPr>
        <w:t>（</w:t>
      </w:r>
      <w:r>
        <w:rPr>
          <w:rFonts w:hint="eastAsia" w:ascii="宋体" w:hAnsi="宋体"/>
          <w:b/>
          <w:bCs/>
          <w:color w:val="auto"/>
          <w:szCs w:val="32"/>
          <w:highlight w:val="none"/>
          <w:lang w:val="en-US" w:eastAsia="zh-CN"/>
        </w:rPr>
        <w:t>四</w:t>
      </w:r>
      <w:r>
        <w:rPr>
          <w:rFonts w:hint="eastAsia" w:ascii="宋体" w:hAnsi="宋体"/>
          <w:b/>
          <w:bCs/>
          <w:color w:val="auto"/>
          <w:szCs w:val="32"/>
          <w:highlight w:val="none"/>
        </w:rPr>
        <w:t>）材料质量要求</w:t>
      </w:r>
      <w:bookmarkEnd w:id="22"/>
      <w:bookmarkEnd w:id="23"/>
      <w:bookmarkEnd w:id="24"/>
      <w:bookmarkEnd w:id="25"/>
      <w:bookmarkEnd w:id="26"/>
      <w:bookmarkEnd w:id="27"/>
    </w:p>
    <w:p>
      <w:pPr>
        <w:pStyle w:val="664"/>
        <w:spacing w:line="360" w:lineRule="auto"/>
        <w:ind w:firstLine="420"/>
        <w:rPr>
          <w:rFonts w:ascii="宋体" w:hAnsi="宋体"/>
          <w:color w:val="auto"/>
          <w:highlight w:val="none"/>
        </w:rPr>
      </w:pPr>
      <w:r>
        <w:rPr>
          <w:rFonts w:hint="eastAsia" w:ascii="宋体" w:hAnsi="宋体"/>
          <w:color w:val="auto"/>
          <w:highlight w:val="none"/>
        </w:rPr>
        <w:t>1、</w:t>
      </w:r>
      <w:bookmarkStart w:id="28" w:name="_Toc66769197"/>
      <w:r>
        <w:rPr>
          <w:rFonts w:hint="eastAsia" w:ascii="宋体" w:hAnsi="宋体"/>
          <w:color w:val="auto"/>
          <w:highlight w:val="none"/>
        </w:rPr>
        <w:t>材料选择</w:t>
      </w:r>
      <w:bookmarkEnd w:id="28"/>
    </w:p>
    <w:p>
      <w:pPr>
        <w:pStyle w:val="664"/>
        <w:numPr>
          <w:ilvl w:val="1"/>
          <w:numId w:val="0"/>
        </w:numPr>
        <w:tabs>
          <w:tab w:val="left" w:pos="780"/>
        </w:tabs>
        <w:spacing w:line="360" w:lineRule="auto"/>
        <w:ind w:firstLine="420" w:firstLineChars="200"/>
        <w:rPr>
          <w:rFonts w:ascii="宋体" w:hAnsi="宋体"/>
          <w:color w:val="auto"/>
          <w:highlight w:val="none"/>
        </w:rPr>
      </w:pPr>
      <w:r>
        <w:rPr>
          <w:rFonts w:hint="eastAsia" w:ascii="宋体" w:hAnsi="宋体"/>
          <w:color w:val="auto"/>
          <w:highlight w:val="none"/>
        </w:rPr>
        <w:t>本工程使用的原材料必须符合设计要求和施工规范的规定。</w:t>
      </w:r>
    </w:p>
    <w:p>
      <w:pPr>
        <w:pStyle w:val="664"/>
        <w:numPr>
          <w:ilvl w:val="1"/>
          <w:numId w:val="0"/>
        </w:numPr>
        <w:tabs>
          <w:tab w:val="left" w:pos="780"/>
        </w:tabs>
        <w:spacing w:line="360" w:lineRule="auto"/>
        <w:ind w:firstLine="420" w:firstLineChars="200"/>
        <w:rPr>
          <w:rFonts w:ascii="宋体" w:hAnsi="宋体"/>
          <w:color w:val="auto"/>
          <w:highlight w:val="none"/>
        </w:rPr>
      </w:pPr>
      <w:r>
        <w:rPr>
          <w:rFonts w:hint="eastAsia" w:ascii="宋体" w:hAnsi="宋体"/>
          <w:color w:val="auto"/>
          <w:highlight w:val="none"/>
        </w:rPr>
        <w:t>实际施工过程中，采购人将委托监理单位严格检查验收进场原材料的合格证及质保书，如发现实样与质保书不符，应立即取样进行复查，不合格材料及与招标文件品牌不符</w:t>
      </w:r>
      <w:r>
        <w:rPr>
          <w:rFonts w:hint="eastAsia" w:ascii="宋体" w:hAnsi="宋体"/>
          <w:color w:val="auto"/>
          <w:highlight w:val="none"/>
          <w:lang w:val="en-US" w:eastAsia="zh-CN"/>
        </w:rPr>
        <w:t>的</w:t>
      </w:r>
      <w:r>
        <w:rPr>
          <w:rFonts w:hint="eastAsia" w:ascii="宋体" w:hAnsi="宋体"/>
          <w:color w:val="auto"/>
          <w:highlight w:val="none"/>
        </w:rPr>
        <w:t>材料严禁用于本工程。</w:t>
      </w:r>
    </w:p>
    <w:p>
      <w:pPr>
        <w:pStyle w:val="664"/>
        <w:spacing w:line="360" w:lineRule="auto"/>
        <w:ind w:firstLine="420"/>
        <w:rPr>
          <w:rFonts w:ascii="宋体" w:hAnsi="宋体"/>
          <w:color w:val="auto"/>
          <w:highlight w:val="none"/>
        </w:rPr>
      </w:pPr>
      <w:r>
        <w:rPr>
          <w:rFonts w:hint="eastAsia" w:ascii="宋体" w:hAnsi="宋体"/>
          <w:color w:val="auto"/>
          <w:highlight w:val="none"/>
        </w:rPr>
        <w:t>本工程涉及的主要材料及零星材料，供应商须根据采购人要求及规范进行选材并报价，所有材料要求采用在行业内有一定知名度的品牌(工程量清单编制说明已定品牌的按工程量清单编制说明约定)，材料生产厂家必须通过</w:t>
      </w:r>
      <w:r>
        <w:rPr>
          <w:rFonts w:ascii="宋体" w:hAnsi="宋体"/>
          <w:color w:val="auto"/>
          <w:highlight w:val="none"/>
        </w:rPr>
        <w:t>ISO</w:t>
      </w:r>
      <w:r>
        <w:rPr>
          <w:rFonts w:hint="eastAsia" w:ascii="宋体" w:hAnsi="宋体"/>
          <w:color w:val="auto"/>
          <w:highlight w:val="none"/>
        </w:rPr>
        <w:t>质量认证，并符合环保要求，严禁选择不合设计要求的低档材料进行投标报价及组织施工实施。</w:t>
      </w:r>
    </w:p>
    <w:p>
      <w:pPr>
        <w:pStyle w:val="664"/>
        <w:spacing w:line="360" w:lineRule="auto"/>
        <w:ind w:firstLine="420"/>
        <w:rPr>
          <w:rFonts w:ascii="宋体" w:hAnsi="宋体" w:cs="Arial"/>
          <w:b/>
          <w:color w:val="auto"/>
          <w:szCs w:val="24"/>
          <w:highlight w:val="none"/>
        </w:rPr>
      </w:pPr>
      <w:r>
        <w:rPr>
          <w:rFonts w:hint="eastAsia" w:ascii="宋体" w:hAnsi="宋体" w:cs="Arial"/>
          <w:b/>
          <w:color w:val="auto"/>
          <w:szCs w:val="24"/>
          <w:highlight w:val="none"/>
        </w:rPr>
        <w:t>根据工程量清单中提供的</w:t>
      </w:r>
      <w:r>
        <w:rPr>
          <w:rFonts w:hint="eastAsia" w:ascii="宋体" w:hAnsi="宋体" w:cs="Arial"/>
          <w:b/>
          <w:color w:val="auto"/>
          <w:highlight w:val="none"/>
        </w:rPr>
        <w:t>工程量清单编制说明</w:t>
      </w:r>
      <w:r>
        <w:rPr>
          <w:rFonts w:hint="eastAsia" w:ascii="宋体" w:hAnsi="宋体" w:cs="Arial"/>
          <w:b/>
          <w:color w:val="auto"/>
          <w:szCs w:val="24"/>
          <w:highlight w:val="none"/>
        </w:rPr>
        <w:t>中的推荐品牌，供应商可在此范围内任选一种，也可选择与采购文件推荐品牌同档次及以上的产品，并将所选择的品牌及相关特性在响应文件中明确。如供应商在响应文件中未明确品牌的，项目实施时采购人有权在推荐品牌中任选一种，费用不作任何调整。如供应商在推荐品牌之外选择的，则须同时在响应文件中提供相当于或优于采购人推荐品牌产品的证明材料，否则将导致</w:t>
      </w:r>
      <w:r>
        <w:rPr>
          <w:rFonts w:hint="eastAsia" w:ascii="宋体" w:hAnsi="宋体" w:cs="Arial"/>
          <w:b/>
          <w:color w:val="auto"/>
          <w:szCs w:val="24"/>
          <w:highlight w:val="none"/>
          <w:lang w:val="en-US" w:eastAsia="zh-CN"/>
        </w:rPr>
        <w:t>投</w:t>
      </w:r>
      <w:r>
        <w:rPr>
          <w:rFonts w:hint="eastAsia" w:ascii="宋体" w:hAnsi="宋体" w:cs="Arial"/>
          <w:b/>
          <w:color w:val="auto"/>
          <w:szCs w:val="24"/>
          <w:highlight w:val="none"/>
        </w:rPr>
        <w:t>标无效。</w:t>
      </w:r>
    </w:p>
    <w:p>
      <w:pPr>
        <w:pStyle w:val="664"/>
        <w:spacing w:line="360" w:lineRule="auto"/>
        <w:ind w:firstLine="420"/>
        <w:rPr>
          <w:rFonts w:ascii="宋体" w:hAnsi="宋体" w:cs="Arial"/>
          <w:b/>
          <w:color w:val="auto"/>
          <w:szCs w:val="24"/>
          <w:highlight w:val="none"/>
          <w:u w:val="thick"/>
        </w:rPr>
      </w:pPr>
      <w:r>
        <w:rPr>
          <w:rFonts w:hint="eastAsia" w:ascii="宋体" w:hAnsi="宋体" w:cs="Arial"/>
          <w:b/>
          <w:color w:val="auto"/>
          <w:szCs w:val="24"/>
          <w:highlight w:val="none"/>
          <w:u w:val="thick"/>
        </w:rPr>
        <w:t>清单中计量单位为“项”的条目请投标单位自行踏勘现场慎重报价，作为专业承包商投标时有义务和责任认真踏勘施工现场，认真核对工程量清单中施工内容和工程量，对文件中存在的缺陷和不足进行深化、细化、完善和调整，成交后任何因现场勘查不足、工程量清单等不足而造成的额外工程量变更均不得调整</w:t>
      </w:r>
      <w:r>
        <w:rPr>
          <w:rFonts w:hint="eastAsia" w:ascii="宋体" w:hAnsi="宋体" w:cs="Arial"/>
          <w:b/>
          <w:color w:val="auto"/>
          <w:szCs w:val="24"/>
          <w:highlight w:val="none"/>
          <w:u w:val="thick"/>
          <w:lang w:val="en-US" w:eastAsia="zh-CN"/>
        </w:rPr>
        <w:t>成交</w:t>
      </w:r>
      <w:r>
        <w:rPr>
          <w:rFonts w:hint="eastAsia" w:ascii="宋体" w:hAnsi="宋体" w:cs="Arial"/>
          <w:b/>
          <w:color w:val="auto"/>
          <w:szCs w:val="24"/>
          <w:highlight w:val="none"/>
          <w:u w:val="thick"/>
        </w:rPr>
        <w:t>金额。</w:t>
      </w:r>
    </w:p>
    <w:p>
      <w:pPr>
        <w:pStyle w:val="664"/>
        <w:spacing w:line="360" w:lineRule="auto"/>
        <w:ind w:firstLine="420"/>
        <w:rPr>
          <w:rFonts w:ascii="宋体" w:hAnsi="宋体"/>
          <w:color w:val="auto"/>
          <w:highlight w:val="none"/>
        </w:rPr>
      </w:pPr>
      <w:r>
        <w:rPr>
          <w:rFonts w:hint="eastAsia" w:ascii="宋体" w:hAnsi="宋体"/>
          <w:color w:val="auto"/>
          <w:highlight w:val="none"/>
        </w:rPr>
        <w:t>2、</w:t>
      </w:r>
      <w:bookmarkStart w:id="29" w:name="_Toc66769198"/>
      <w:r>
        <w:rPr>
          <w:rFonts w:hint="eastAsia" w:ascii="宋体" w:hAnsi="宋体"/>
          <w:color w:val="auto"/>
          <w:highlight w:val="none"/>
        </w:rPr>
        <w:t>材料的质量保证</w:t>
      </w:r>
      <w:bookmarkEnd w:id="29"/>
    </w:p>
    <w:p>
      <w:pPr>
        <w:pStyle w:val="664"/>
        <w:spacing w:line="360" w:lineRule="auto"/>
        <w:ind w:firstLine="420"/>
        <w:rPr>
          <w:rFonts w:ascii="宋体" w:hAnsi="宋体"/>
          <w:color w:val="auto"/>
          <w:highlight w:val="none"/>
        </w:rPr>
      </w:pPr>
      <w:r>
        <w:rPr>
          <w:rFonts w:hint="eastAsia" w:ascii="宋体" w:hAnsi="宋体"/>
          <w:color w:val="auto"/>
          <w:highlight w:val="none"/>
        </w:rPr>
        <w:t>（1）在免费保修期内，成交供应商对有缺陷的部位必须无偿地给予修理与更换，并承担一切由此</w:t>
      </w:r>
      <w:r>
        <w:rPr>
          <w:rFonts w:hint="eastAsia" w:ascii="宋体" w:hAnsi="宋体"/>
          <w:color w:val="auto"/>
          <w:highlight w:val="none"/>
          <w:lang w:val="en-US" w:eastAsia="zh-CN"/>
        </w:rPr>
        <w:t>造成</w:t>
      </w:r>
      <w:r>
        <w:rPr>
          <w:rFonts w:hint="eastAsia" w:ascii="宋体" w:hAnsi="宋体"/>
          <w:color w:val="auto"/>
          <w:highlight w:val="none"/>
        </w:rPr>
        <w:t>的对采购人或第三者的直接损失，除非该缺陷是由于人为破坏或合同规定的不可抗</w:t>
      </w:r>
      <w:r>
        <w:rPr>
          <w:rFonts w:hint="eastAsia" w:ascii="宋体" w:hAnsi="宋体"/>
          <w:color w:val="auto"/>
          <w:highlight w:val="none"/>
          <w:lang w:val="en-US" w:eastAsia="zh-CN"/>
        </w:rPr>
        <w:t>力</w:t>
      </w:r>
      <w:r>
        <w:rPr>
          <w:rFonts w:hint="eastAsia" w:ascii="宋体" w:hAnsi="宋体"/>
          <w:color w:val="auto"/>
          <w:highlight w:val="none"/>
        </w:rPr>
        <w:t>因素造成的损坏。</w:t>
      </w:r>
    </w:p>
    <w:p>
      <w:pPr>
        <w:pStyle w:val="664"/>
        <w:spacing w:line="360" w:lineRule="auto"/>
        <w:ind w:firstLine="420"/>
        <w:rPr>
          <w:rFonts w:ascii="宋体" w:hAnsi="宋体"/>
          <w:color w:val="auto"/>
          <w:highlight w:val="none"/>
        </w:rPr>
      </w:pPr>
      <w:r>
        <w:rPr>
          <w:rFonts w:hint="eastAsia" w:ascii="宋体" w:hAnsi="宋体"/>
          <w:color w:val="auto"/>
          <w:highlight w:val="none"/>
        </w:rPr>
        <w:t>（2）成交供应商必须对所承包工程的质量负全部责任，其责任不因其他材料生产商提供的保证书而减轻或更改。</w:t>
      </w:r>
    </w:p>
    <w:p>
      <w:pPr>
        <w:pStyle w:val="3"/>
        <w:keepNext w:val="0"/>
        <w:keepLines w:val="0"/>
        <w:ind w:firstLine="420"/>
        <w:jc w:val="left"/>
        <w:rPr>
          <w:rFonts w:ascii="宋体" w:hAnsi="宋体"/>
          <w:color w:val="auto"/>
          <w:highlight w:val="none"/>
        </w:rPr>
      </w:pPr>
      <w:bookmarkStart w:id="30" w:name="_Toc42511928"/>
      <w:bookmarkStart w:id="31" w:name="_Toc229386806"/>
      <w:bookmarkStart w:id="32" w:name="_Toc12025"/>
      <w:bookmarkStart w:id="33" w:name="_Toc91422889"/>
      <w:bookmarkStart w:id="34" w:name="_Toc420505112"/>
      <w:bookmarkStart w:id="35" w:name="_Toc72857700"/>
      <w:bookmarkStart w:id="36" w:name="_Toc442102515"/>
      <w:r>
        <w:rPr>
          <w:rFonts w:hint="eastAsia" w:ascii="宋体" w:hAnsi="宋体"/>
          <w:color w:val="auto"/>
          <w:highlight w:val="none"/>
        </w:rPr>
        <w:t>（</w:t>
      </w:r>
      <w:r>
        <w:rPr>
          <w:rFonts w:hint="eastAsia" w:ascii="宋体" w:hAnsi="宋体"/>
          <w:color w:val="auto"/>
          <w:highlight w:val="none"/>
          <w:lang w:val="en-US" w:eastAsia="zh-CN"/>
        </w:rPr>
        <w:t>五</w:t>
      </w:r>
      <w:r>
        <w:rPr>
          <w:rFonts w:hint="eastAsia" w:ascii="宋体" w:hAnsi="宋体"/>
          <w:color w:val="auto"/>
          <w:highlight w:val="none"/>
        </w:rPr>
        <w:t>）工程管理的要求</w:t>
      </w:r>
      <w:bookmarkEnd w:id="30"/>
      <w:bookmarkEnd w:id="31"/>
      <w:bookmarkEnd w:id="32"/>
      <w:bookmarkEnd w:id="33"/>
      <w:bookmarkEnd w:id="34"/>
      <w:bookmarkEnd w:id="35"/>
      <w:bookmarkEnd w:id="36"/>
    </w:p>
    <w:p>
      <w:pPr>
        <w:pStyle w:val="664"/>
        <w:spacing w:line="360" w:lineRule="auto"/>
        <w:ind w:firstLine="420" w:firstLineChars="200"/>
        <w:rPr>
          <w:rFonts w:ascii="宋体" w:hAnsi="宋体"/>
          <w:color w:val="auto"/>
          <w:highlight w:val="none"/>
        </w:rPr>
      </w:pPr>
      <w:r>
        <w:rPr>
          <w:rFonts w:hint="eastAsia" w:ascii="宋体" w:hAnsi="宋体"/>
          <w:color w:val="auto"/>
          <w:highlight w:val="none"/>
        </w:rPr>
        <w:t>1、本工程发包范围内的工程项目，未经采购人同意一律不得分包。一经发现立即取消承包资格，作违约处理，并承担由此引起的一切经济损失。</w:t>
      </w:r>
    </w:p>
    <w:p>
      <w:pPr>
        <w:pStyle w:val="664"/>
        <w:spacing w:line="360" w:lineRule="auto"/>
        <w:ind w:firstLine="420" w:firstLineChars="200"/>
        <w:rPr>
          <w:rFonts w:ascii="宋体" w:hAnsi="宋体"/>
          <w:color w:val="auto"/>
          <w:highlight w:val="none"/>
        </w:rPr>
      </w:pPr>
      <w:r>
        <w:rPr>
          <w:rFonts w:hint="eastAsia" w:ascii="宋体" w:hAnsi="宋体"/>
          <w:color w:val="auto"/>
          <w:highlight w:val="none"/>
        </w:rPr>
        <w:t>2、成交供应商应严格按已确认施工技术方案组织施工，并无条件地接受采购人代表和监理人对施工质量的监督和管理。</w:t>
      </w:r>
    </w:p>
    <w:p>
      <w:pPr>
        <w:pStyle w:val="664"/>
        <w:spacing w:line="360" w:lineRule="auto"/>
        <w:ind w:firstLine="420" w:firstLineChars="200"/>
        <w:rPr>
          <w:rFonts w:ascii="宋体" w:hAnsi="宋体"/>
          <w:color w:val="auto"/>
          <w:highlight w:val="none"/>
        </w:rPr>
      </w:pPr>
      <w:r>
        <w:rPr>
          <w:rFonts w:hint="eastAsia" w:ascii="宋体" w:hAnsi="宋体"/>
          <w:color w:val="auto"/>
          <w:highlight w:val="none"/>
        </w:rPr>
        <w:t>3、成交供应商在工程施工全过程中要认真做好产品保护。因失窃或失火等造成的损失均由承包方负责，凡由此而损及采购人利益时，采购人将向成交供应商索赔。</w:t>
      </w:r>
    </w:p>
    <w:p>
      <w:pPr>
        <w:pStyle w:val="3"/>
        <w:keepNext w:val="0"/>
        <w:keepLines w:val="0"/>
        <w:ind w:firstLine="422" w:firstLineChars="200"/>
        <w:rPr>
          <w:rFonts w:ascii="宋体" w:hAnsi="宋体" w:cs="Arial"/>
          <w:color w:val="auto"/>
          <w:highlight w:val="none"/>
        </w:rPr>
      </w:pPr>
      <w:bookmarkStart w:id="37" w:name="_Toc72857701"/>
      <w:bookmarkStart w:id="38" w:name="_Toc42511929"/>
      <w:bookmarkStart w:id="39" w:name="_Toc27201"/>
      <w:r>
        <w:rPr>
          <w:rFonts w:hint="eastAsia" w:ascii="宋体" w:hAnsi="宋体" w:cs="Arial"/>
          <w:color w:val="auto"/>
          <w:highlight w:val="none"/>
        </w:rPr>
        <w:t>（</w:t>
      </w:r>
      <w:r>
        <w:rPr>
          <w:rFonts w:hint="eastAsia" w:ascii="宋体" w:hAnsi="宋体" w:cs="Arial"/>
          <w:color w:val="auto"/>
          <w:highlight w:val="none"/>
          <w:lang w:val="en-US" w:eastAsia="zh-CN"/>
        </w:rPr>
        <w:t>六</w:t>
      </w:r>
      <w:r>
        <w:rPr>
          <w:rFonts w:hint="eastAsia" w:ascii="宋体" w:hAnsi="宋体" w:cs="Arial"/>
          <w:color w:val="auto"/>
          <w:highlight w:val="none"/>
        </w:rPr>
        <w:t>）</w:t>
      </w:r>
      <w:r>
        <w:rPr>
          <w:rFonts w:ascii="宋体" w:hAnsi="宋体" w:cs="Arial"/>
          <w:color w:val="auto"/>
          <w:highlight w:val="none"/>
        </w:rPr>
        <w:t>落实政府采购政策要求</w:t>
      </w:r>
      <w:bookmarkEnd w:id="37"/>
      <w:bookmarkEnd w:id="38"/>
      <w:bookmarkEnd w:id="39"/>
    </w:p>
    <w:p>
      <w:pPr>
        <w:snapToGrid w:val="0"/>
        <w:spacing w:line="360" w:lineRule="auto"/>
        <w:ind w:firstLine="420" w:firstLineChars="200"/>
        <w:rPr>
          <w:rFonts w:ascii="宋体" w:hAnsi="宋体" w:cs="Arial"/>
          <w:color w:val="auto"/>
          <w:szCs w:val="21"/>
          <w:highlight w:val="none"/>
        </w:rPr>
      </w:pPr>
      <w:r>
        <w:rPr>
          <w:rFonts w:hint="eastAsia" w:ascii="宋体" w:hAnsi="宋体" w:cs="Arial"/>
          <w:color w:val="auto"/>
          <w:kern w:val="0"/>
          <w:highlight w:val="none"/>
        </w:rPr>
        <w:t>1、本项目专门面向中小企业采购</w:t>
      </w:r>
      <w:r>
        <w:rPr>
          <w:rFonts w:ascii="宋体" w:hAnsi="宋体" w:cs="Arial"/>
          <w:color w:val="auto"/>
          <w:szCs w:val="21"/>
          <w:highlight w:val="none"/>
        </w:rPr>
        <w:t>。</w:t>
      </w:r>
    </w:p>
    <w:p>
      <w:pPr>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供应商需满足财</w:t>
      </w:r>
      <w:r>
        <w:rPr>
          <w:rFonts w:hint="eastAsia" w:ascii="宋体" w:hAnsi="宋体" w:cs="宋体"/>
          <w:color w:val="auto"/>
          <w:kern w:val="0"/>
          <w:szCs w:val="21"/>
          <w:highlight w:val="none"/>
        </w:rPr>
        <w:t>政部发布的《政府采购促进中小企业发展管理办法》财库（2020）46号</w:t>
      </w:r>
      <w:r>
        <w:rPr>
          <w:rFonts w:hint="eastAsia" w:ascii="宋体" w:hAnsi="宋体" w:cs="Arial"/>
          <w:color w:val="auto"/>
          <w:szCs w:val="21"/>
          <w:highlight w:val="none"/>
        </w:rPr>
        <w:t>的</w:t>
      </w:r>
      <w:r>
        <w:rPr>
          <w:rFonts w:ascii="宋体" w:hAnsi="宋体" w:cs="Arial"/>
          <w:color w:val="auto"/>
          <w:szCs w:val="21"/>
          <w:highlight w:val="none"/>
        </w:rPr>
        <w:t>要求。</w:t>
      </w:r>
    </w:p>
    <w:p>
      <w:pPr>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监狱企业</w:t>
      </w:r>
      <w:r>
        <w:rPr>
          <w:rFonts w:hint="eastAsia" w:ascii="宋体" w:hAnsi="宋体" w:cs="Arial"/>
          <w:color w:val="auto"/>
          <w:szCs w:val="21"/>
          <w:highlight w:val="none"/>
        </w:rPr>
        <w:t>、</w:t>
      </w:r>
      <w:r>
        <w:rPr>
          <w:rFonts w:ascii="宋体" w:hAnsi="宋体" w:cs="Arial"/>
          <w:color w:val="auto"/>
          <w:szCs w:val="21"/>
          <w:highlight w:val="none"/>
        </w:rPr>
        <w:t>残疾人福利性企业等同于中小企业</w:t>
      </w:r>
      <w:r>
        <w:rPr>
          <w:rFonts w:hint="eastAsia" w:ascii="宋体" w:hAnsi="宋体" w:cs="Arial"/>
          <w:color w:val="auto"/>
          <w:szCs w:val="21"/>
          <w:highlight w:val="none"/>
        </w:rPr>
        <w:t>。</w:t>
      </w:r>
    </w:p>
    <w:p>
      <w:pPr>
        <w:snapToGrid w:val="0"/>
        <w:spacing w:line="360" w:lineRule="auto"/>
        <w:ind w:firstLine="420" w:firstLineChars="200"/>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、政府采购节能产品、环境标志产品的</w:t>
      </w:r>
      <w:r>
        <w:rPr>
          <w:rFonts w:ascii="宋体" w:hAnsi="宋体" w:cs="Arial"/>
          <w:color w:val="auto"/>
          <w:szCs w:val="21"/>
          <w:highlight w:val="none"/>
        </w:rPr>
        <w:t>采购政策</w:t>
      </w:r>
    </w:p>
    <w:p>
      <w:pPr>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本次采购对属于节能产品政府采购品目清单规定的政府强制采购产品范围内的产品实施强制采购。供应商应当在响应文件中提供国家确定的认证机构出具的、处于有效期之内的节能产品认证证书（复制件）。不能提供上述证书的，响应文件无效。</w:t>
      </w:r>
    </w:p>
    <w:p>
      <w:pPr>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本次采购对属于品目清单范围但不属于政府强制采购产品的，实施优先采购，具体按评审办法。供应商在响应文件中提供国家确定的认证机构出具的、处于有效期之内的节能产品或环境标志产品认证证书（复制件）。</w:t>
      </w:r>
    </w:p>
    <w:p>
      <w:pPr>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pPr>
        <w:pStyle w:val="3"/>
        <w:keepNext w:val="0"/>
        <w:keepLines w:val="0"/>
        <w:tabs>
          <w:tab w:val="left" w:pos="0"/>
        </w:tabs>
        <w:ind w:firstLine="422" w:firstLineChars="200"/>
        <w:rPr>
          <w:rFonts w:ascii="宋体" w:hAnsi="宋体" w:cs="Arial"/>
          <w:color w:val="auto"/>
          <w:szCs w:val="24"/>
          <w:highlight w:val="none"/>
        </w:rPr>
      </w:pPr>
      <w:bookmarkStart w:id="40" w:name="_Toc14876"/>
      <w:bookmarkStart w:id="41" w:name="_Toc42511676"/>
      <w:bookmarkStart w:id="42" w:name="_Toc72857702"/>
      <w:r>
        <w:rPr>
          <w:rFonts w:hint="eastAsia" w:ascii="宋体" w:hAnsi="宋体"/>
          <w:color w:val="auto"/>
          <w:highlight w:val="none"/>
        </w:rPr>
        <w:t>（</w:t>
      </w:r>
      <w:r>
        <w:rPr>
          <w:rFonts w:hint="eastAsia" w:ascii="宋体" w:hAnsi="宋体"/>
          <w:color w:val="auto"/>
          <w:highlight w:val="none"/>
          <w:lang w:val="en-US" w:eastAsia="zh-CN"/>
        </w:rPr>
        <w:t>七</w:t>
      </w:r>
      <w:r>
        <w:rPr>
          <w:rFonts w:hint="eastAsia" w:ascii="宋体" w:hAnsi="宋体"/>
          <w:color w:val="auto"/>
          <w:highlight w:val="none"/>
        </w:rPr>
        <w:t>）</w:t>
      </w:r>
      <w:bookmarkStart w:id="43" w:name="_Toc143059331"/>
      <w:bookmarkStart w:id="44" w:name="_Toc228173012"/>
      <w:r>
        <w:rPr>
          <w:rFonts w:ascii="宋体" w:hAnsi="宋体" w:cs="Arial"/>
          <w:color w:val="auto"/>
          <w:szCs w:val="24"/>
          <w:highlight w:val="none"/>
        </w:rPr>
        <w:t>保修的要求</w:t>
      </w:r>
      <w:bookmarkEnd w:id="40"/>
      <w:bookmarkEnd w:id="41"/>
      <w:bookmarkEnd w:id="42"/>
      <w:bookmarkEnd w:id="43"/>
      <w:bookmarkEnd w:id="44"/>
    </w:p>
    <w:p>
      <w:pPr>
        <w:spacing w:line="360" w:lineRule="auto"/>
        <w:ind w:firstLine="420" w:firstLineChars="200"/>
        <w:rPr>
          <w:rFonts w:ascii="宋体" w:hAnsi="宋体" w:cs="Arial"/>
          <w:color w:val="auto"/>
          <w:highlight w:val="none"/>
        </w:rPr>
      </w:pPr>
      <w:r>
        <w:rPr>
          <w:rFonts w:ascii="宋体" w:hAnsi="宋体" w:cs="Arial"/>
          <w:color w:val="auto"/>
          <w:highlight w:val="none"/>
        </w:rPr>
        <w:t>1、</w:t>
      </w:r>
      <w:r>
        <w:rPr>
          <w:rFonts w:hint="eastAsia" w:ascii="宋体" w:hAnsi="宋体"/>
          <w:color w:val="auto"/>
          <w:highlight w:val="none"/>
        </w:rPr>
        <w:t>成交供应商</w:t>
      </w:r>
      <w:r>
        <w:rPr>
          <w:rFonts w:ascii="宋体" w:hAnsi="宋体" w:cs="Arial"/>
          <w:color w:val="auto"/>
          <w:highlight w:val="none"/>
        </w:rPr>
        <w:t>施工完毕，并在工程竣工验收合格办理移交手续之日</w:t>
      </w:r>
      <w:r>
        <w:rPr>
          <w:rFonts w:hint="eastAsia" w:ascii="宋体" w:hAnsi="宋体" w:cs="Arial"/>
          <w:color w:val="auto"/>
          <w:highlight w:val="none"/>
        </w:rPr>
        <w:t>，在签订的工程质量保修书期限内</w:t>
      </w:r>
      <w:r>
        <w:rPr>
          <w:rFonts w:ascii="宋体" w:hAnsi="宋体" w:cs="Arial"/>
          <w:color w:val="auto"/>
          <w:highlight w:val="none"/>
        </w:rPr>
        <w:t>，为</w:t>
      </w:r>
      <w:r>
        <w:rPr>
          <w:rFonts w:hint="eastAsia" w:ascii="宋体" w:hAnsi="宋体" w:cs="Arial"/>
          <w:color w:val="auto"/>
          <w:highlight w:val="none"/>
        </w:rPr>
        <w:t>采购</w:t>
      </w:r>
      <w:r>
        <w:rPr>
          <w:rFonts w:ascii="宋体" w:hAnsi="宋体" w:cs="Arial"/>
          <w:color w:val="auto"/>
          <w:highlight w:val="none"/>
        </w:rPr>
        <w:t>人提供免费服务。</w:t>
      </w:r>
    </w:p>
    <w:p>
      <w:pPr>
        <w:spacing w:line="360" w:lineRule="auto"/>
        <w:ind w:firstLine="420" w:firstLineChars="200"/>
        <w:rPr>
          <w:rFonts w:ascii="宋体" w:hAnsi="宋体"/>
          <w:color w:val="auto"/>
          <w:szCs w:val="21"/>
          <w:highlight w:val="none"/>
        </w:rPr>
      </w:pPr>
      <w:r>
        <w:rPr>
          <w:rFonts w:hint="eastAsia" w:ascii="宋体" w:hAnsi="宋体" w:cs="Arial"/>
          <w:color w:val="auto"/>
          <w:highlight w:val="none"/>
        </w:rPr>
        <w:t>2</w:t>
      </w:r>
      <w:r>
        <w:rPr>
          <w:rFonts w:ascii="宋体" w:hAnsi="宋体" w:cs="Arial"/>
          <w:color w:val="auto"/>
          <w:highlight w:val="none"/>
        </w:rPr>
        <w:t>、</w:t>
      </w:r>
      <w:r>
        <w:rPr>
          <w:rFonts w:hint="eastAsia" w:ascii="宋体" w:hAnsi="宋体"/>
          <w:color w:val="auto"/>
          <w:highlight w:val="none"/>
        </w:rPr>
        <w:t>成交供应商</w:t>
      </w:r>
      <w:r>
        <w:rPr>
          <w:rFonts w:hint="eastAsia" w:ascii="宋体" w:hAnsi="宋体" w:cs="Arial"/>
          <w:color w:val="auto"/>
          <w:highlight w:val="none"/>
        </w:rPr>
        <w:t>应与采购人签订</w:t>
      </w:r>
      <w:r>
        <w:rPr>
          <w:rFonts w:hint="eastAsia" w:ascii="宋体" w:hAnsi="宋体"/>
          <w:color w:val="auto"/>
          <w:highlight w:val="none"/>
        </w:rPr>
        <w:t>工程质量保修书，</w:t>
      </w:r>
      <w:r>
        <w:rPr>
          <w:rFonts w:hint="eastAsia" w:ascii="宋体" w:hAnsi="宋体"/>
          <w:color w:val="auto"/>
          <w:szCs w:val="21"/>
          <w:highlight w:val="none"/>
        </w:rPr>
        <w:t>承包人在质量保修期内，按照有关法律、法规、规章的管理规定和双方约定，承担本工程质量保修责任。</w:t>
      </w:r>
    </w:p>
    <w:p>
      <w:pPr>
        <w:spacing w:line="360" w:lineRule="auto"/>
        <w:ind w:firstLine="420" w:firstLineChars="200"/>
        <w:rPr>
          <w:rFonts w:ascii="宋体" w:hAnsi="宋体" w:cs="Arial"/>
          <w:color w:val="auto"/>
          <w:highlight w:val="none"/>
        </w:rPr>
      </w:pPr>
      <w:r>
        <w:rPr>
          <w:rFonts w:hint="eastAsia" w:ascii="宋体" w:hAnsi="宋体" w:cs="Arial"/>
          <w:color w:val="auto"/>
          <w:highlight w:val="none"/>
        </w:rPr>
        <w:t>3</w:t>
      </w:r>
      <w:r>
        <w:rPr>
          <w:rFonts w:ascii="宋体" w:hAnsi="宋体" w:cs="Arial"/>
          <w:color w:val="auto"/>
          <w:highlight w:val="none"/>
        </w:rPr>
        <w:t>、承包方要对其所提供的施工、材料、设备及其内在工程质量负全部责任。</w:t>
      </w:r>
    </w:p>
    <w:p>
      <w:pPr>
        <w:spacing w:line="360" w:lineRule="auto"/>
        <w:ind w:firstLine="422" w:firstLineChars="200"/>
        <w:rPr>
          <w:rFonts w:ascii="宋体" w:hAnsi="宋体" w:cs="Arial"/>
          <w:b/>
          <w:color w:val="auto"/>
          <w:highlight w:val="none"/>
        </w:rPr>
      </w:pPr>
      <w:r>
        <w:rPr>
          <w:rFonts w:hint="eastAsia" w:ascii="宋体" w:hAnsi="宋体" w:cs="Arial"/>
          <w:b/>
          <w:color w:val="auto"/>
          <w:highlight w:val="none"/>
        </w:rPr>
        <w:t>（</w:t>
      </w:r>
      <w:r>
        <w:rPr>
          <w:rFonts w:hint="eastAsia" w:ascii="宋体" w:hAnsi="宋体" w:cs="Arial"/>
          <w:b/>
          <w:color w:val="auto"/>
          <w:highlight w:val="none"/>
          <w:lang w:val="en-US" w:eastAsia="zh-CN"/>
        </w:rPr>
        <w:t>八</w:t>
      </w:r>
      <w:r>
        <w:rPr>
          <w:rFonts w:hint="eastAsia" w:ascii="宋体" w:hAnsi="宋体" w:cs="Arial"/>
          <w:b/>
          <w:color w:val="auto"/>
          <w:highlight w:val="none"/>
        </w:rPr>
        <w:t>）工程特别要求</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1、本工程施工地点在浙江理工大学下沙校区</w:t>
      </w:r>
      <w:r>
        <w:rPr>
          <w:rFonts w:hint="eastAsia" w:ascii="宋体" w:hAnsi="宋体" w:cs="Arial"/>
          <w:b/>
          <w:color w:val="auto"/>
          <w:kern w:val="0"/>
          <w:szCs w:val="21"/>
          <w:highlight w:val="none"/>
          <w:lang w:val="en-US" w:eastAsia="zh-CN"/>
        </w:rPr>
        <w:t>教学区</w:t>
      </w:r>
      <w:r>
        <w:rPr>
          <w:rFonts w:hint="eastAsia" w:ascii="宋体" w:hAnsi="宋体" w:cs="Arial"/>
          <w:b/>
          <w:color w:val="auto"/>
          <w:kern w:val="0"/>
          <w:szCs w:val="21"/>
          <w:highlight w:val="none"/>
        </w:rPr>
        <w:t>，采购人将提供部分住宿场地，水电费自理，若有不足，须由供应商自行解决，相关费用包含在投标报价中；若施工场地无法满足供应商临时设施布置需求，由供应商自行就近解决（场地租赁费用及场地到施工现场间的人材机的短驳转运在组织措施费考虑包干）。施工期间，施工人员进出校园应按学校相关规定执行。</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2、施工期间，需注意安全文明施工，做好安全防护工作，对开挖部位和危险区域等施工区域，要进行充分的安全隔离</w:t>
      </w:r>
      <w:r>
        <w:rPr>
          <w:rFonts w:hint="eastAsia" w:ascii="宋体" w:hAnsi="宋体" w:cs="Arial"/>
          <w:b/>
          <w:color w:val="auto"/>
          <w:kern w:val="0"/>
          <w:szCs w:val="21"/>
          <w:highlight w:val="none"/>
          <w:lang w:val="en-US" w:eastAsia="zh-CN"/>
        </w:rPr>
        <w:t>并</w:t>
      </w:r>
      <w:r>
        <w:rPr>
          <w:rFonts w:hint="eastAsia" w:ascii="宋体" w:hAnsi="宋体" w:cs="Arial"/>
          <w:b/>
          <w:color w:val="auto"/>
          <w:kern w:val="0"/>
          <w:szCs w:val="21"/>
          <w:highlight w:val="none"/>
        </w:rPr>
        <w:t>设置醒目的警示标志，特别是做好夜间警示（警示灯），以防造成人员坠落伤亡等事故。施工期间，如发生安全事故，由供应商承担全部责任，所产生的费用由供应商全部承担，因供应商管理不善或使用不当造成的损失，由供应商负责</w:t>
      </w:r>
      <w:r>
        <w:rPr>
          <w:rFonts w:hint="eastAsia" w:ascii="宋体" w:hAnsi="宋体" w:cs="Arial"/>
          <w:b/>
          <w:color w:val="auto"/>
          <w:kern w:val="0"/>
          <w:szCs w:val="21"/>
          <w:highlight w:val="none"/>
          <w:lang w:val="en-US" w:eastAsia="zh-CN"/>
        </w:rPr>
        <w:t>全部</w:t>
      </w:r>
      <w:r>
        <w:rPr>
          <w:rFonts w:hint="eastAsia" w:ascii="宋体" w:hAnsi="宋体" w:cs="Arial"/>
          <w:b/>
          <w:color w:val="auto"/>
          <w:kern w:val="0"/>
          <w:szCs w:val="21"/>
          <w:highlight w:val="none"/>
        </w:rPr>
        <w:t>赔偿。施工安全隔栏统一样式为：</w:t>
      </w:r>
      <w:r>
        <w:rPr>
          <w:rFonts w:hint="eastAsia" w:ascii="宋体" w:hAnsi="宋体" w:cs="Arial"/>
          <w:b/>
          <w:color w:val="auto"/>
          <w:kern w:val="0"/>
          <w:szCs w:val="21"/>
          <w:highlight w:val="none"/>
          <w:lang w:val="en-US" w:eastAsia="zh-CN"/>
        </w:rPr>
        <w:t>金属材质，</w:t>
      </w:r>
      <w:r>
        <w:rPr>
          <w:rFonts w:hint="eastAsia" w:ascii="宋体" w:hAnsi="宋体" w:cs="Arial"/>
          <w:b/>
          <w:color w:val="auto"/>
          <w:kern w:val="0"/>
          <w:szCs w:val="21"/>
          <w:highlight w:val="none"/>
        </w:rPr>
        <w:t>外管直径38mm、内管直径22mm、管壁厚≥1.5mm，Logo牌上刻涂醒目的“浙理校建”字样；根据现场情况配备，数量不少于20个（工程竣工交付后，由成交供应商收回）。以上费用请供应商在投标报价时考虑计入措施费，一次性包干，今后不再调整。参考样式见下图：</w:t>
      </w:r>
    </w:p>
    <w:p>
      <w:pPr>
        <w:spacing w:line="360" w:lineRule="auto"/>
        <w:jc w:val="left"/>
        <w:rPr>
          <w:rFonts w:ascii="宋体" w:hAnsi="宋体" w:cs="Arial"/>
          <w:b/>
          <w:color w:val="auto"/>
          <w:kern w:val="0"/>
          <w:szCs w:val="21"/>
          <w:highlight w:val="none"/>
        </w:rPr>
      </w:pPr>
      <w:r>
        <w:rPr>
          <w:rFonts w:hint="eastAsia" w:ascii="宋体" w:hAnsi="宋体" w:cs="Arial"/>
          <w:b/>
          <w:color w:val="auto"/>
          <w:kern w:val="0"/>
          <w:szCs w:val="21"/>
          <w:highlight w:val="none"/>
        </w:rPr>
        <w:drawing>
          <wp:inline distT="0" distB="0" distL="114300" distR="114300">
            <wp:extent cx="5272405" cy="2381885"/>
            <wp:effectExtent l="0" t="0" r="63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5272405" cy="2381885"/>
                    </a:xfrm>
                    <a:prstGeom prst="rect">
                      <a:avLst/>
                    </a:prstGeom>
                    <a:noFill/>
                    <a:ln>
                      <a:noFill/>
                    </a:ln>
                  </pic:spPr>
                </pic:pic>
              </a:graphicData>
            </a:graphic>
          </wp:inline>
        </w:drawing>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3、部分建筑因原图纸缺失，存在消防管道实际位置与设计施工图纸不符等情况，在成交供应商进场正式施工前，需对本</w:t>
      </w:r>
      <w:r>
        <w:rPr>
          <w:rFonts w:hint="eastAsia" w:ascii="宋体" w:hAnsi="宋体" w:cs="Arial"/>
          <w:b/>
          <w:color w:val="auto"/>
          <w:kern w:val="0"/>
          <w:szCs w:val="21"/>
          <w:highlight w:val="none"/>
          <w:lang w:val="en-US" w:eastAsia="zh-CN"/>
        </w:rPr>
        <w:t>项目</w:t>
      </w:r>
      <w:r>
        <w:rPr>
          <w:rFonts w:hint="eastAsia" w:ascii="宋体" w:hAnsi="宋体" w:cs="Arial"/>
          <w:b/>
          <w:color w:val="auto"/>
          <w:kern w:val="0"/>
          <w:szCs w:val="21"/>
          <w:highlight w:val="none"/>
        </w:rPr>
        <w:t>内各楼接入管道等进行充分的现场探测踏勘摸排，以保证后期施工顺利进行，上述探测等相关费用请供应商在投标报价时考虑计入措施费，一次性包干，今后不再调整。如确有与设计不符等情况，所发生的工程量按实计取，以决算审计为准，工期不予调整。</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4、供应商应充分踏勘现场，了解掌握现场情况，如工地位置、情况、道路、储存空间、装卸限制、市政、交通及任何其它足以影响投标报价的情况，预计施工过程中各种不利因素，可将处理所需费用单列，汇入措施费中，计入投标报价内。</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5、本工程工期非常紧张，供应商须编制合理的施工方案及进度计划安排，保证施工人员及机械措施等数量，并考虑夜间施工等情况，保证在合同工期内竣工并交付投用，由此造成的人员、机械增加</w:t>
      </w:r>
      <w:r>
        <w:rPr>
          <w:rFonts w:hint="eastAsia" w:ascii="宋体" w:hAnsi="宋体" w:cs="Arial"/>
          <w:b/>
          <w:color w:val="auto"/>
          <w:kern w:val="0"/>
          <w:szCs w:val="21"/>
          <w:highlight w:val="none"/>
          <w:lang w:val="en-US" w:eastAsia="zh-CN"/>
        </w:rPr>
        <w:t>和</w:t>
      </w:r>
      <w:r>
        <w:rPr>
          <w:rFonts w:hint="eastAsia" w:ascii="宋体" w:hAnsi="宋体" w:cs="Arial"/>
          <w:b/>
          <w:color w:val="auto"/>
          <w:kern w:val="0"/>
          <w:szCs w:val="21"/>
          <w:highlight w:val="none"/>
        </w:rPr>
        <w:t>窝工等相关费用综合考虑在投标报价中。</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6、对本工程实施范围存在的如光纤、电缆、路灯、燃气等各类管线和设施，供应商应充分踏勘现场，必须确保在不被破坏的前提下再进行施工作业。为此，采购人提出如下特别要求：在开挖的直线距离内，每间隔20-30米，人工开挖一个标准作业面，不足30米的，两端进行人工开挖，以判断该区域内是否存在其它各类管线，无误后，进行机械开挖作业；在高压电缆、燃气管道周边区域，须进行人工开挖。所涉及的相关费用等考虑在组织措施费用内，今后不做调整。如遇相关的管道、线路必须移位的，则报请采购人同意后予以处理，相关费用亦考虑在投标报价中。如施工过程中，造成损坏的，供应商应负责修复，工期和合同价不予调整。</w:t>
      </w:r>
    </w:p>
    <w:p>
      <w:pPr>
        <w:pStyle w:val="8"/>
        <w:adjustRightInd/>
        <w:spacing w:line="360" w:lineRule="auto"/>
        <w:ind w:firstLine="422" w:firstLineChars="200"/>
        <w:rPr>
          <w:rFonts w:ascii="宋体" w:hAnsi="宋体" w:eastAsia="宋体" w:cs="Arial"/>
          <w:b/>
          <w:color w:val="auto"/>
          <w:sz w:val="21"/>
          <w:szCs w:val="21"/>
          <w:highlight w:val="none"/>
        </w:rPr>
      </w:pPr>
      <w:r>
        <w:rPr>
          <w:rFonts w:hint="eastAsia" w:ascii="宋体" w:hAnsi="宋体" w:eastAsia="宋体" w:cs="Arial"/>
          <w:b/>
          <w:color w:val="auto"/>
          <w:sz w:val="21"/>
          <w:szCs w:val="21"/>
          <w:highlight w:val="none"/>
        </w:rPr>
        <w:t>7、为尽量减少对校园交通秩序的影响，开挖区域涉及主要通行道路的，在开挖埋管完成后，路面恢复前，应铺设厚15-20mm的钢（铁）板，以保障车辆及人员通行。数量依据现场实际和采购人要求而定，所涉及的相关费用考虑在组织措施费用内，今后不做调整。</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8、严格按照已确认的设计图纸和施工技术方案组织实施，并无条件接受采购人和采购人委托的监理人员的管理。室外消防管线施工完成后，成交供应商需在监理单位见证下，对新换的管道进行水压试验（试压要求：试压压力1.6Mpa，试压压力下保持10分钟，稳压24小时，压力降小于0.05Mpa），提供合格的水压试验和冲洗合格报告，并办理隐蔽工程验收或中间验收记录。</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9、施工期间由于</w:t>
      </w:r>
      <w:r>
        <w:rPr>
          <w:rFonts w:hint="eastAsia" w:ascii="宋体" w:hAnsi="宋体" w:cs="Arial"/>
          <w:b/>
          <w:color w:val="auto"/>
          <w:kern w:val="0"/>
          <w:szCs w:val="21"/>
          <w:highlight w:val="none"/>
          <w:lang w:val="en-US" w:eastAsia="zh-CN"/>
        </w:rPr>
        <w:t>供应商</w:t>
      </w:r>
      <w:r>
        <w:rPr>
          <w:rFonts w:hint="eastAsia" w:ascii="宋体" w:hAnsi="宋体" w:cs="Arial"/>
          <w:b/>
          <w:color w:val="auto"/>
          <w:kern w:val="0"/>
          <w:szCs w:val="21"/>
          <w:highlight w:val="none"/>
        </w:rPr>
        <w:t>原因单独决定施工方案或造成施工方案的更改，所产生的工程费用或增加费用和工期一律不予调整，属施工技术组织措施失误造成的费用和延误工期均由成交供应商承担，对于施工组织</w:t>
      </w:r>
      <w:r>
        <w:rPr>
          <w:rFonts w:hint="eastAsia" w:ascii="宋体" w:hAnsi="宋体" w:cs="Arial"/>
          <w:b/>
          <w:color w:val="auto"/>
          <w:kern w:val="0"/>
          <w:szCs w:val="21"/>
          <w:highlight w:val="none"/>
          <w:lang w:val="en-US" w:eastAsia="zh-CN"/>
        </w:rPr>
        <w:t>涉及</w:t>
      </w:r>
      <w:r>
        <w:rPr>
          <w:rFonts w:hint="eastAsia" w:ascii="宋体" w:hAnsi="宋体" w:cs="Arial"/>
          <w:b/>
          <w:color w:val="auto"/>
          <w:kern w:val="0"/>
          <w:szCs w:val="21"/>
          <w:highlight w:val="none"/>
        </w:rPr>
        <w:t>的内容未</w:t>
      </w:r>
      <w:r>
        <w:rPr>
          <w:rFonts w:hint="eastAsia" w:ascii="宋体" w:hAnsi="宋体" w:cs="Arial"/>
          <w:b/>
          <w:color w:val="auto"/>
          <w:kern w:val="0"/>
          <w:szCs w:val="21"/>
          <w:highlight w:val="none"/>
          <w:lang w:val="en-US" w:eastAsia="zh-CN"/>
        </w:rPr>
        <w:t>在</w:t>
      </w:r>
      <w:r>
        <w:rPr>
          <w:rFonts w:hint="eastAsia" w:ascii="宋体" w:hAnsi="宋体" w:cs="Arial"/>
          <w:b/>
          <w:color w:val="auto"/>
          <w:kern w:val="0"/>
          <w:szCs w:val="21"/>
          <w:highlight w:val="none"/>
        </w:rPr>
        <w:t>投标报价中体现的均视同优惠。</w:t>
      </w:r>
    </w:p>
    <w:p>
      <w:pPr>
        <w:pStyle w:val="8"/>
        <w:adjustRightInd/>
        <w:spacing w:line="360" w:lineRule="auto"/>
        <w:ind w:firstLine="422" w:firstLineChars="200"/>
        <w:rPr>
          <w:rFonts w:ascii="宋体" w:hAnsi="宋体" w:eastAsia="宋体" w:cs="Arial"/>
          <w:b/>
          <w:color w:val="auto"/>
          <w:sz w:val="21"/>
          <w:szCs w:val="21"/>
          <w:highlight w:val="none"/>
        </w:rPr>
      </w:pPr>
      <w:r>
        <w:rPr>
          <w:rFonts w:hint="eastAsia" w:ascii="宋体" w:hAnsi="宋体" w:eastAsia="宋体" w:cs="Arial"/>
          <w:b/>
          <w:color w:val="auto"/>
          <w:sz w:val="21"/>
          <w:szCs w:val="21"/>
          <w:highlight w:val="none"/>
        </w:rPr>
        <w:t>10、施工期间，存在与其它</w:t>
      </w:r>
      <w:r>
        <w:rPr>
          <w:rFonts w:hint="eastAsia" w:ascii="宋体" w:hAnsi="宋体" w:eastAsia="宋体" w:cs="Arial"/>
          <w:b/>
          <w:color w:val="auto"/>
          <w:sz w:val="21"/>
          <w:szCs w:val="21"/>
          <w:highlight w:val="none"/>
          <w:lang w:val="en-US" w:eastAsia="zh-CN"/>
        </w:rPr>
        <w:t>工程项目</w:t>
      </w:r>
      <w:r>
        <w:rPr>
          <w:rFonts w:hint="eastAsia" w:ascii="宋体" w:hAnsi="宋体" w:eastAsia="宋体" w:cs="Arial"/>
          <w:b/>
          <w:color w:val="auto"/>
          <w:sz w:val="21"/>
          <w:szCs w:val="21"/>
          <w:highlight w:val="none"/>
        </w:rPr>
        <w:t>施工同步或穿插进行的情况，供应商应服从采购人及监理人管理，并承诺不因该原因而要求采购人增加任何费用，工期不予顺延。</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11、在本工程项目未竣工验收交付采购人前，本工程成品或半成品及设备均由供应商负责保护，费用请综合考虑到报价中。</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12、供应商的投标报价中须包含各项各类检验（检测）试验费用。</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13、施工现场应做到“落手清”，工程施工中产生的废建筑材料、建筑施工垃圾，不能随意堆放，应及时清运、妥善处理，做到工完料尽场地清；工程完工后，成交供应商需在验收前进行一次精细保洁（范围包含地面、墙面、门窗等所有施工区域、部位），高标准交付</w:t>
      </w:r>
      <w:r>
        <w:rPr>
          <w:rFonts w:hint="eastAsia" w:ascii="宋体" w:hAnsi="宋体" w:cs="Arial"/>
          <w:b/>
          <w:color w:val="auto"/>
          <w:kern w:val="0"/>
          <w:szCs w:val="21"/>
          <w:highlight w:val="none"/>
          <w:lang w:eastAsia="zh-CN"/>
        </w:rPr>
        <w:t>。</w:t>
      </w:r>
      <w:r>
        <w:rPr>
          <w:rFonts w:hint="eastAsia" w:ascii="宋体" w:hAnsi="宋体" w:cs="Arial"/>
          <w:b/>
          <w:color w:val="auto"/>
          <w:kern w:val="0"/>
          <w:szCs w:val="21"/>
          <w:highlight w:val="none"/>
          <w:lang w:val="en-US" w:eastAsia="zh-CN"/>
        </w:rPr>
        <w:t>上述相关费用包含在投标报价中</w:t>
      </w:r>
      <w:r>
        <w:rPr>
          <w:rFonts w:hint="eastAsia" w:ascii="宋体" w:hAnsi="宋体" w:cs="Arial"/>
          <w:b/>
          <w:color w:val="auto"/>
          <w:kern w:val="0"/>
          <w:szCs w:val="21"/>
          <w:highlight w:val="none"/>
        </w:rPr>
        <w:t>。</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14、凡采购文件中要求进入报价的费用若在</w:t>
      </w:r>
      <w:r>
        <w:rPr>
          <w:rFonts w:hint="eastAsia" w:ascii="宋体" w:hAnsi="宋体" w:cs="Arial"/>
          <w:b/>
          <w:color w:val="auto"/>
          <w:kern w:val="0"/>
          <w:szCs w:val="21"/>
          <w:highlight w:val="none"/>
          <w:lang w:val="en-US" w:eastAsia="zh-CN"/>
        </w:rPr>
        <w:t>供应商</w:t>
      </w:r>
      <w:r>
        <w:rPr>
          <w:rFonts w:hint="eastAsia" w:ascii="宋体" w:hAnsi="宋体" w:cs="Arial"/>
          <w:b/>
          <w:color w:val="auto"/>
          <w:kern w:val="0"/>
          <w:szCs w:val="21"/>
          <w:highlight w:val="none"/>
        </w:rPr>
        <w:t>响应文件中不体现，均视同已进入投标总价或作为优惠不计入投标价，</w:t>
      </w:r>
      <w:r>
        <w:rPr>
          <w:rFonts w:hint="eastAsia" w:ascii="宋体" w:hAnsi="宋体" w:cs="Arial"/>
          <w:b/>
          <w:color w:val="auto"/>
          <w:kern w:val="0"/>
          <w:szCs w:val="21"/>
          <w:highlight w:val="none"/>
          <w:lang w:val="en-US" w:eastAsia="zh-CN"/>
        </w:rPr>
        <w:t>成交</w:t>
      </w:r>
      <w:r>
        <w:rPr>
          <w:rFonts w:hint="eastAsia" w:ascii="宋体" w:hAnsi="宋体" w:cs="Arial"/>
          <w:b/>
          <w:color w:val="auto"/>
          <w:kern w:val="0"/>
          <w:szCs w:val="21"/>
          <w:highlight w:val="none"/>
        </w:rPr>
        <w:t>后，不再另行支付与之相关的费用。</w:t>
      </w:r>
    </w:p>
    <w:p>
      <w:pPr>
        <w:snapToGrid w:val="0"/>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15、因重大活动、会议或其它特殊情况，采购人发布相关停工通知的，项目必须无条件服从通知要求进行停工，供应商应充分考虑组织措施增加费、技术措施增加费，人员、机械窝工及相关全部费用，请供应商在报价中综合考虑。后期，上述相关费用不予以签证，不再调整费用，工期予以顺延。</w:t>
      </w:r>
    </w:p>
    <w:p>
      <w:pPr>
        <w:snapToGrid w:val="0"/>
        <w:spacing w:line="360" w:lineRule="auto"/>
        <w:ind w:firstLine="422" w:firstLineChars="200"/>
        <w:rPr>
          <w:rFonts w:hint="eastAsia" w:ascii="宋体" w:hAnsi="宋体" w:cs="Arial"/>
          <w:b/>
          <w:color w:val="auto"/>
          <w:kern w:val="0"/>
          <w:szCs w:val="21"/>
          <w:highlight w:val="none"/>
        </w:rPr>
      </w:pPr>
      <w:r>
        <w:rPr>
          <w:rFonts w:hint="eastAsia" w:ascii="宋体" w:hAnsi="宋体" w:cs="Arial"/>
          <w:b/>
          <w:color w:val="auto"/>
          <w:kern w:val="0"/>
          <w:szCs w:val="21"/>
          <w:highlight w:val="none"/>
        </w:rPr>
        <w:t>16、工程验收合格之日起5日内，供应商应清除所有与现场无关的任何多余物品（建筑材料、设备等）及（建筑、生活）垃圾等，达到工程正常使用要求。如供应商不履行，采购人可自行清除，发生的费用由供应商承担，并在最近一次结算的工程款中予以扣除。</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baseline"/>
        <w:rPr>
          <w:rFonts w:hint="eastAsia" w:ascii="宋体" w:hAnsi="宋体" w:eastAsia="宋体" w:cs="Arial"/>
          <w:b/>
          <w:color w:val="auto"/>
          <w:kern w:val="0"/>
          <w:sz w:val="21"/>
          <w:szCs w:val="21"/>
          <w:highlight w:val="none"/>
          <w:lang w:val="en-US" w:eastAsia="zh-CN" w:bidi="ar-SA"/>
        </w:rPr>
      </w:pPr>
      <w:r>
        <w:rPr>
          <w:rFonts w:hint="eastAsia" w:ascii="宋体" w:hAnsi="宋体" w:eastAsia="宋体" w:cs="Arial"/>
          <w:b/>
          <w:color w:val="auto"/>
          <w:kern w:val="0"/>
          <w:sz w:val="21"/>
          <w:szCs w:val="21"/>
          <w:highlight w:val="none"/>
          <w:lang w:val="en-US" w:eastAsia="zh-CN" w:bidi="ar-SA"/>
        </w:rPr>
        <w:t>17、因项目施工在暑假高温季节，绿化恢复可延后进行。消防管网施工结束后，可先进行工程竣工验收，供应商应承诺在2024年9月底前完成绿化恢复施工，并单独组织专项验收，绿化维保期自该专项验收通过后起算一年。二次进场等增加的机械措施、人工等费用纳入组织措施费内，请供应商在报价中综合考虑。后期，上述相关费用不予以签证，不做调整。</w:t>
      </w:r>
    </w:p>
    <w:p>
      <w:pPr>
        <w:pStyle w:val="30"/>
        <w:keepNext w:val="0"/>
        <w:keepLines w:val="0"/>
        <w:pageBreakBefore w:val="0"/>
        <w:widowControl/>
        <w:kinsoku/>
        <w:wordWrap/>
        <w:overflowPunct/>
        <w:topLinePunct w:val="0"/>
        <w:autoSpaceDE/>
        <w:autoSpaceDN/>
        <w:bidi w:val="0"/>
        <w:snapToGrid/>
        <w:spacing w:line="360" w:lineRule="auto"/>
        <w:ind w:firstLine="422"/>
        <w:textAlignment w:val="baseline"/>
        <w:rPr>
          <w:rFonts w:hint="eastAsia" w:ascii="宋体" w:hAnsi="宋体" w:eastAsia="宋体" w:cs="Arial"/>
          <w:b/>
          <w:color w:val="auto"/>
          <w:kern w:val="0"/>
          <w:sz w:val="21"/>
          <w:szCs w:val="21"/>
          <w:highlight w:val="none"/>
          <w:lang w:val="en-US" w:eastAsia="zh-CN" w:bidi="ar-SA"/>
        </w:rPr>
      </w:pPr>
      <w:r>
        <w:rPr>
          <w:rFonts w:hint="eastAsia" w:ascii="宋体" w:hAnsi="宋体" w:eastAsia="宋体" w:cs="Arial"/>
          <w:b/>
          <w:color w:val="auto"/>
          <w:kern w:val="0"/>
          <w:sz w:val="21"/>
          <w:szCs w:val="21"/>
          <w:highlight w:val="none"/>
          <w:lang w:val="en-US" w:eastAsia="zh-CN" w:bidi="ar-SA"/>
        </w:rPr>
        <w:t>18、民工工资必须按时支付，否则采购人有权暂扣工程款直到供应商付清民工工资，并根据上级主管部门的相关规定进行处罚。</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w:t>
      </w:r>
      <w:r>
        <w:rPr>
          <w:rFonts w:hint="eastAsia" w:ascii="宋体" w:hAnsi="宋体" w:cs="Arial"/>
          <w:b/>
          <w:color w:val="auto"/>
          <w:kern w:val="0"/>
          <w:szCs w:val="21"/>
          <w:highlight w:val="none"/>
          <w:lang w:val="en-US" w:eastAsia="zh-CN"/>
        </w:rPr>
        <w:t>9</w:t>
      </w:r>
      <w:r>
        <w:rPr>
          <w:rFonts w:hint="eastAsia" w:ascii="宋体" w:hAnsi="宋体" w:cs="Arial"/>
          <w:b/>
          <w:color w:val="auto"/>
          <w:kern w:val="0"/>
          <w:szCs w:val="21"/>
          <w:highlight w:val="none"/>
        </w:rPr>
        <w:t>、竣工（归档）资料产生的费用由成交供应商承担，请在投标报价中考虑，不再另行支付与之相关的费用。竣工（归档）资料应符合建设行政主管部门、档案管理机构及采购人有关施工资料的各项要求，竣工（归档）资料一式5份，于工程竣工验收通过后30日内提交采购人。</w:t>
      </w:r>
    </w:p>
    <w:p>
      <w:pPr>
        <w:pStyle w:val="17"/>
        <w:spacing w:before="0" w:beforeAutospacing="0" w:after="0" w:afterAutospacing="0" w:line="360" w:lineRule="auto"/>
        <w:ind w:firstLine="422" w:firstLineChars="200"/>
        <w:rPr>
          <w:rFonts w:cs="Arial"/>
          <w:b/>
          <w:color w:val="auto"/>
          <w:sz w:val="21"/>
          <w:szCs w:val="21"/>
          <w:highlight w:val="none"/>
        </w:rPr>
      </w:pPr>
      <w:r>
        <w:rPr>
          <w:rFonts w:hint="eastAsia" w:cs="Arial"/>
          <w:b/>
          <w:color w:val="auto"/>
          <w:sz w:val="21"/>
          <w:szCs w:val="21"/>
          <w:highlight w:val="none"/>
          <w:lang w:val="en-US" w:eastAsia="zh-CN"/>
        </w:rPr>
        <w:t>20</w:t>
      </w:r>
      <w:r>
        <w:rPr>
          <w:rFonts w:hint="eastAsia" w:cs="Arial"/>
          <w:b/>
          <w:color w:val="auto"/>
          <w:sz w:val="21"/>
          <w:szCs w:val="21"/>
          <w:highlight w:val="none"/>
        </w:rPr>
        <w:t>、本项目施工用水、用电按工程结算造价0.6%计取，在结算审计时一并扣除，请在投标报价中考虑此费用。</w:t>
      </w:r>
    </w:p>
    <w:p>
      <w:pPr>
        <w:snapToGrid w:val="0"/>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2</w:t>
      </w:r>
      <w:r>
        <w:rPr>
          <w:rFonts w:hint="eastAsia" w:ascii="宋体" w:hAnsi="宋体" w:cs="Arial"/>
          <w:b/>
          <w:color w:val="auto"/>
          <w:kern w:val="0"/>
          <w:szCs w:val="21"/>
          <w:highlight w:val="none"/>
          <w:lang w:val="en-US" w:eastAsia="zh-CN"/>
        </w:rPr>
        <w:t>1</w:t>
      </w:r>
      <w:r>
        <w:rPr>
          <w:rFonts w:hint="eastAsia" w:ascii="宋体" w:hAnsi="宋体" w:cs="Arial"/>
          <w:b/>
          <w:color w:val="auto"/>
          <w:kern w:val="0"/>
          <w:szCs w:val="21"/>
          <w:highlight w:val="none"/>
        </w:rPr>
        <w:t>、本项目需外送结算审计，审计价增减总额超过5%的审计费由成交供应商支付。</w:t>
      </w:r>
    </w:p>
    <w:p>
      <w:pPr>
        <w:snapToGrid w:val="0"/>
        <w:spacing w:line="360" w:lineRule="auto"/>
        <w:ind w:firstLine="422" w:firstLineChars="200"/>
        <w:rPr>
          <w:rFonts w:hint="eastAsia" w:ascii="宋体" w:hAnsi="宋体" w:eastAsia="宋体" w:cs="Arial"/>
          <w:b/>
          <w:color w:val="auto"/>
          <w:kern w:val="0"/>
          <w:szCs w:val="21"/>
          <w:highlight w:val="none"/>
          <w:lang w:eastAsia="zh-CN"/>
        </w:rPr>
      </w:pPr>
      <w:r>
        <w:rPr>
          <w:rFonts w:hint="eastAsia" w:ascii="宋体" w:hAnsi="宋体" w:cs="Arial"/>
          <w:b/>
          <w:color w:val="auto"/>
          <w:kern w:val="0"/>
          <w:szCs w:val="21"/>
          <w:highlight w:val="none"/>
        </w:rPr>
        <w:t>▲2</w:t>
      </w:r>
      <w:r>
        <w:rPr>
          <w:rFonts w:hint="eastAsia" w:ascii="宋体" w:hAnsi="宋体" w:cs="Arial"/>
          <w:b/>
          <w:color w:val="auto"/>
          <w:kern w:val="0"/>
          <w:szCs w:val="21"/>
          <w:highlight w:val="none"/>
          <w:lang w:val="en-US" w:eastAsia="zh-CN"/>
        </w:rPr>
        <w:t>2</w:t>
      </w:r>
      <w:r>
        <w:rPr>
          <w:rFonts w:hint="eastAsia" w:ascii="宋体" w:hAnsi="宋体" w:cs="Arial"/>
          <w:b/>
          <w:color w:val="auto"/>
          <w:kern w:val="0"/>
          <w:szCs w:val="21"/>
          <w:highlight w:val="none"/>
        </w:rPr>
        <w:t>、供应商拟派的项目经理具有机电工程二级及以上建造师注册证书，并应符合《注册建造师管理规定》，不得同时在两个及两个以上的建设工程项目上担任施工单位项目负责人。请在商务技术文件中提供项目经理的</w:t>
      </w:r>
      <w:r>
        <w:rPr>
          <w:rFonts w:hint="default" w:ascii="宋体" w:hAnsi="宋体" w:cs="Arial"/>
          <w:b/>
          <w:color w:val="auto"/>
          <w:kern w:val="0"/>
          <w:szCs w:val="21"/>
          <w:highlight w:val="none"/>
          <w:lang w:val="en-US"/>
        </w:rPr>
        <w:t>机电工程二级及以上的建造师注册证书</w:t>
      </w:r>
      <w:r>
        <w:rPr>
          <w:rFonts w:hint="eastAsia" w:ascii="宋体" w:hAnsi="宋体" w:cs="Arial"/>
          <w:b/>
          <w:color w:val="auto"/>
          <w:kern w:val="0"/>
          <w:szCs w:val="21"/>
          <w:highlight w:val="none"/>
          <w:lang w:val="en-US" w:eastAsia="zh-CN"/>
        </w:rPr>
        <w:t>。</w:t>
      </w:r>
    </w:p>
    <w:p>
      <w:pPr>
        <w:pageBreakBefore w:val="0"/>
        <w:kinsoku/>
        <w:wordWrap/>
        <w:overflowPunct/>
        <w:bidi w:val="0"/>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主要材料</w:t>
      </w:r>
      <w:r>
        <w:rPr>
          <w:rFonts w:hint="eastAsia" w:ascii="宋体" w:hAnsi="宋体" w:cs="宋体"/>
          <w:b/>
          <w:bCs/>
          <w:color w:val="auto"/>
          <w:highlight w:val="none"/>
          <w:lang w:eastAsia="zh-Hans"/>
        </w:rPr>
        <w:t>参考</w:t>
      </w:r>
      <w:r>
        <w:rPr>
          <w:rFonts w:hint="eastAsia" w:ascii="宋体" w:hAnsi="宋体" w:cs="宋体"/>
          <w:b/>
          <w:bCs/>
          <w:color w:val="auto"/>
          <w:highlight w:val="none"/>
        </w:rPr>
        <w:t>品牌</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13"/>
        <w:gridCol w:w="3969"/>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b/>
                <w:bCs/>
                <w:color w:val="auto"/>
                <w:highlight w:val="none"/>
              </w:rPr>
            </w:pPr>
            <w:r>
              <w:rPr>
                <w:rFonts w:hint="eastAsia" w:ascii="宋体" w:hAnsi="宋体" w:cs="宋体"/>
                <w:b/>
                <w:bCs/>
                <w:color w:val="auto"/>
                <w:highlight w:val="none"/>
              </w:rPr>
              <w:t>材料名称</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b/>
                <w:bCs/>
                <w:color w:val="auto"/>
                <w:highlight w:val="none"/>
              </w:rPr>
            </w:pPr>
            <w:r>
              <w:rPr>
                <w:rFonts w:hint="eastAsia" w:ascii="宋体" w:hAnsi="宋体" w:cs="宋体"/>
                <w:b/>
                <w:bCs/>
                <w:color w:val="auto"/>
                <w:highlight w:val="none"/>
              </w:rPr>
              <w:t>参考品牌/厂家</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b/>
                <w:bCs/>
                <w:color w:val="auto"/>
                <w:highlight w:val="none"/>
              </w:rPr>
            </w:pPr>
            <w:r>
              <w:rPr>
                <w:rFonts w:hint="eastAsia" w:ascii="宋体" w:hAnsi="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ascii="宋体" w:hAnsi="宋体" w:cs="宋体"/>
                <w:color w:val="auto"/>
                <w:highlight w:val="none"/>
              </w:rPr>
            </w:pPr>
            <w:r>
              <w:rPr>
                <w:rFonts w:hint="eastAsia" w:ascii="宋体" w:hAnsi="宋体" w:cs="宋体"/>
                <w:color w:val="auto"/>
                <w:szCs w:val="21"/>
                <w:highlight w:val="none"/>
              </w:rPr>
              <w:t>钢丝网骨架</w:t>
            </w:r>
            <w:r>
              <w:rPr>
                <w:rFonts w:hint="eastAsia" w:ascii="宋体" w:hAnsi="宋体" w:cs="宋体"/>
                <w:color w:val="auto"/>
                <w:highlight w:val="none"/>
              </w:rPr>
              <w:t>P</w:t>
            </w:r>
            <w:r>
              <w:rPr>
                <w:rFonts w:ascii="宋体" w:hAnsi="宋体" w:cs="宋体"/>
                <w:color w:val="auto"/>
                <w:highlight w:val="none"/>
              </w:rPr>
              <w:t>E</w:t>
            </w:r>
            <w:r>
              <w:rPr>
                <w:rFonts w:hint="eastAsia" w:ascii="宋体" w:hAnsi="宋体" w:cs="宋体"/>
                <w:color w:val="auto"/>
                <w:highlight w:val="none"/>
              </w:rPr>
              <w:t>管</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伟星、中财、公元</w:t>
            </w:r>
            <w:r>
              <w:rPr>
                <w:rFonts w:hint="eastAsia" w:ascii="宋体" w:hAnsi="宋体" w:cs="宋体"/>
                <w:b/>
                <w:bCs/>
                <w:color w:val="auto"/>
                <w:highlight w:val="none"/>
              </w:rPr>
              <w:t>或同档次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48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阀门</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春江、冠龙、埃美柯</w:t>
            </w:r>
            <w:r>
              <w:rPr>
                <w:rFonts w:hint="eastAsia" w:ascii="宋体" w:hAnsi="宋体" w:cs="宋体"/>
                <w:b/>
                <w:bCs/>
                <w:color w:val="auto"/>
                <w:highlight w:val="none"/>
                <w:lang w:val="en-US" w:eastAsia="zh-CN"/>
              </w:rPr>
              <w:t>或</w:t>
            </w:r>
            <w:r>
              <w:rPr>
                <w:rFonts w:hint="eastAsia" w:ascii="宋体" w:hAnsi="宋体" w:cs="宋体"/>
                <w:b/>
                <w:bCs/>
                <w:color w:val="auto"/>
                <w:highlight w:val="none"/>
              </w:rPr>
              <w:t>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内外热镀锌钢管</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鞍钢、武钢、宝钢</w:t>
            </w:r>
            <w:r>
              <w:rPr>
                <w:rFonts w:hint="eastAsia" w:ascii="宋体" w:hAnsi="宋体" w:cs="宋体"/>
                <w:b/>
                <w:bCs/>
                <w:color w:val="auto"/>
                <w:highlight w:val="none"/>
              </w:rPr>
              <w:t>或同档次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沟槽件卡箍件</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安徽禹王、上海威逊、大连哈特利</w:t>
            </w:r>
            <w:r>
              <w:rPr>
                <w:rFonts w:hint="eastAsia" w:ascii="宋体" w:hAnsi="宋体" w:cs="宋体"/>
                <w:b/>
                <w:bCs/>
                <w:color w:val="auto"/>
                <w:highlight w:val="none"/>
              </w:rPr>
              <w:t>或同档次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水表</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埃美柯、</w:t>
            </w:r>
            <w:r>
              <w:rPr>
                <w:rFonts w:hint="eastAsia" w:ascii="宋体" w:hAnsi="宋体" w:cs="宋体"/>
                <w:color w:val="auto"/>
                <w:highlight w:val="none"/>
                <w:lang w:val="en-US" w:eastAsia="zh-CN"/>
              </w:rPr>
              <w:t>杭水</w:t>
            </w:r>
            <w:r>
              <w:rPr>
                <w:rFonts w:hint="eastAsia" w:ascii="宋体" w:hAnsi="宋体" w:cs="宋体"/>
                <w:color w:val="auto"/>
                <w:highlight w:val="none"/>
              </w:rPr>
              <w:t>、 宁波水表（集团）股份有限公司</w:t>
            </w:r>
            <w:r>
              <w:rPr>
                <w:rFonts w:hint="eastAsia" w:ascii="宋体" w:hAnsi="宋体" w:cs="宋体"/>
                <w:b/>
                <w:bCs/>
                <w:color w:val="auto"/>
                <w:highlight w:val="none"/>
              </w:rPr>
              <w:t>或同档次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消火栓</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金盾、龙威、</w:t>
            </w:r>
            <w:r>
              <w:rPr>
                <w:rFonts w:hint="eastAsia" w:ascii="宋体" w:hAnsi="宋体" w:cs="宋体"/>
                <w:color w:val="auto"/>
                <w:highlight w:val="none"/>
                <w:lang w:val="en-US" w:eastAsia="zh-CN"/>
              </w:rPr>
              <w:t>双龙</w:t>
            </w:r>
            <w:r>
              <w:rPr>
                <w:rFonts w:hint="eastAsia" w:ascii="宋体" w:hAnsi="宋体" w:cs="宋体"/>
                <w:b/>
                <w:bCs/>
                <w:color w:val="auto"/>
                <w:highlight w:val="none"/>
              </w:rPr>
              <w:t>或同档次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抗震支架</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固耐达、雅仕格、航鑫、迅杰、浙江斯登特</w:t>
            </w:r>
            <w:r>
              <w:rPr>
                <w:rFonts w:hint="eastAsia" w:ascii="宋体" w:hAnsi="宋体" w:cs="宋体"/>
                <w:b/>
                <w:bCs/>
                <w:color w:val="auto"/>
                <w:highlight w:val="none"/>
              </w:rPr>
              <w:t>或同档次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default"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配电箱</w:t>
            </w:r>
            <w:r>
              <w:rPr>
                <w:rFonts w:hint="eastAsia" w:ascii="宋体" w:hAnsi="宋体" w:cs="宋体"/>
                <w:color w:val="auto"/>
                <w:highlight w:val="none"/>
                <w:lang w:val="en-US" w:eastAsia="zh-CN"/>
              </w:rPr>
              <w:t>及</w:t>
            </w:r>
            <w:r>
              <w:rPr>
                <w:rFonts w:hint="eastAsia" w:ascii="宋体" w:hAnsi="宋体" w:cs="宋体"/>
                <w:color w:val="auto"/>
                <w:highlight w:val="none"/>
              </w:rPr>
              <w:t>内元器件</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ABB、西门子、施耐德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富士</w:t>
            </w:r>
            <w:r>
              <w:rPr>
                <w:rFonts w:hint="eastAsia" w:ascii="宋体" w:hAnsi="宋体" w:cs="宋体"/>
                <w:b/>
                <w:bCs/>
                <w:color w:val="auto"/>
                <w:highlight w:val="none"/>
              </w:rPr>
              <w:t>或同档次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水泵（生活水泵）</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420" w:firstLineChars="20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青岛三利、威乐、ITT</w:t>
            </w:r>
            <w:r>
              <w:rPr>
                <w:rFonts w:hint="eastAsia" w:ascii="宋体" w:hAnsi="宋体" w:cs="宋体"/>
                <w:b/>
                <w:bCs/>
                <w:color w:val="auto"/>
                <w:highlight w:val="none"/>
              </w:rPr>
              <w:t>或同档次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水泵（消防水泵）</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420" w:firstLineChars="20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南方、凯泉、连成</w:t>
            </w:r>
            <w:r>
              <w:rPr>
                <w:rFonts w:hint="eastAsia" w:ascii="宋体" w:hAnsi="宋体" w:cs="宋体"/>
                <w:b/>
                <w:bCs/>
                <w:color w:val="auto"/>
                <w:highlight w:val="none"/>
              </w:rPr>
              <w:t>或同档次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2" w:type="pc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1356"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消防水泵接合器</w:t>
            </w:r>
          </w:p>
        </w:tc>
        <w:tc>
          <w:tcPr>
            <w:tcW w:w="2327"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埃美柯、闽山消防、川消</w:t>
            </w:r>
            <w:r>
              <w:rPr>
                <w:rFonts w:hint="eastAsia" w:ascii="宋体" w:hAnsi="宋体" w:cs="宋体"/>
                <w:b/>
                <w:bCs/>
                <w:color w:val="auto"/>
                <w:highlight w:val="none"/>
              </w:rPr>
              <w:t>或同档次</w:t>
            </w:r>
          </w:p>
        </w:tc>
        <w:tc>
          <w:tcPr>
            <w:tcW w:w="864" w:type="pct"/>
            <w:tcBorders>
              <w:top w:val="single" w:color="auto" w:sz="4" w:space="0"/>
              <w:left w:val="nil"/>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bidi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备注：</w:t>
            </w:r>
          </w:p>
          <w:p>
            <w:pPr>
              <w:pageBreakBefore w:val="0"/>
              <w:kinsoku/>
              <w:wordWrap/>
              <w:overflowPunct/>
              <w:bidi w:val="0"/>
              <w:spacing w:line="240" w:lineRule="auto"/>
              <w:ind w:firstLine="480"/>
              <w:jc w:val="left"/>
              <w:rPr>
                <w:rFonts w:ascii="宋体" w:hAnsi="宋体" w:cs="宋体"/>
                <w:color w:val="auto"/>
                <w:highlight w:val="none"/>
              </w:rPr>
            </w:pPr>
            <w:r>
              <w:rPr>
                <w:rFonts w:hint="eastAsia" w:ascii="宋体" w:hAnsi="宋体" w:cs="宋体"/>
                <w:color w:val="auto"/>
                <w:highlight w:val="none"/>
              </w:rPr>
              <w:t>1.响应文件项目实施方案中应列明施工材料选用的品牌；</w:t>
            </w:r>
          </w:p>
          <w:p>
            <w:pPr>
              <w:pageBreakBefore w:val="0"/>
              <w:kinsoku/>
              <w:wordWrap/>
              <w:overflowPunct/>
              <w:bidi w:val="0"/>
              <w:spacing w:line="240" w:lineRule="auto"/>
              <w:ind w:firstLine="480"/>
              <w:jc w:val="left"/>
              <w:rPr>
                <w:rFonts w:ascii="宋体" w:hAnsi="宋体" w:cs="宋体"/>
                <w:color w:val="auto"/>
                <w:highlight w:val="none"/>
              </w:rPr>
            </w:pPr>
            <w:r>
              <w:rPr>
                <w:rFonts w:hint="eastAsia" w:ascii="宋体" w:hAnsi="宋体" w:cs="宋体"/>
                <w:color w:val="auto"/>
                <w:highlight w:val="none"/>
              </w:rPr>
              <w:t>2.如供应商投标时未选择填报的，采购人有权要求供应商签订合同时在上述推荐品牌（或厂家）中选取并供货，价格不作调整。</w:t>
            </w:r>
          </w:p>
          <w:p>
            <w:pPr>
              <w:pageBreakBefore w:val="0"/>
              <w:kinsoku/>
              <w:wordWrap/>
              <w:overflowPunct/>
              <w:bidi w:val="0"/>
              <w:spacing w:line="240" w:lineRule="auto"/>
              <w:ind w:firstLine="480"/>
              <w:jc w:val="left"/>
              <w:rPr>
                <w:rFonts w:ascii="宋体" w:hAnsi="宋体" w:cs="宋体"/>
                <w:color w:val="auto"/>
                <w:szCs w:val="21"/>
                <w:highlight w:val="none"/>
              </w:rPr>
            </w:pPr>
            <w:r>
              <w:rPr>
                <w:rFonts w:hint="eastAsia" w:ascii="宋体" w:hAnsi="宋体" w:cs="宋体"/>
                <w:color w:val="auto"/>
                <w:szCs w:val="21"/>
                <w:highlight w:val="none"/>
              </w:rPr>
              <w:t>3.合同服务期内供应商选用品牌/厂家因停产或不能满足技术要求的，采购人有权要求供应商在上述推荐品牌（或厂家）中重新选取并供货，价格不作调整。</w:t>
            </w:r>
          </w:p>
        </w:tc>
      </w:tr>
    </w:tbl>
    <w:p>
      <w:pPr>
        <w:pStyle w:val="2"/>
        <w:snapToGrid w:val="0"/>
        <w:spacing w:line="360" w:lineRule="auto"/>
        <w:ind w:firstLine="422" w:firstLineChars="200"/>
        <w:rPr>
          <w:rFonts w:ascii="宋体" w:hAnsi="宋体" w:cs="Arial"/>
          <w:b/>
          <w:bCs/>
          <w:color w:val="auto"/>
          <w:szCs w:val="32"/>
          <w:highlight w:val="none"/>
        </w:rPr>
      </w:pPr>
    </w:p>
    <w:p>
      <w:pPr>
        <w:pStyle w:val="32"/>
        <w:snapToGrid w:val="0"/>
        <w:ind w:left="0" w:leftChars="0" w:firstLine="0" w:firstLineChars="0"/>
        <w:jc w:val="both"/>
        <w:rPr>
          <w:rStyle w:val="41"/>
          <w:rFonts w:ascii="宋体" w:hAnsi="宋体"/>
          <w:b w:val="0"/>
          <w:color w:val="auto"/>
          <w:kern w:val="0"/>
          <w:sz w:val="21"/>
          <w:szCs w:val="21"/>
          <w:highlight w:val="none"/>
        </w:rPr>
      </w:pPr>
      <w:r>
        <w:rPr>
          <w:rStyle w:val="41"/>
          <w:rFonts w:ascii="宋体" w:hAnsi="宋体"/>
          <w:b w:val="0"/>
          <w:color w:val="auto"/>
          <w:kern w:val="0"/>
          <w:sz w:val="21"/>
          <w:szCs w:val="21"/>
          <w:highlight w:val="none"/>
        </w:rPr>
        <w:br w:type="page"/>
      </w:r>
    </w:p>
    <w:p>
      <w:pPr>
        <w:pStyle w:val="32"/>
        <w:snapToGrid w:val="0"/>
        <w:ind w:left="-559" w:leftChars="-266" w:firstLine="643" w:firstLineChars="200"/>
        <w:outlineLvl w:val="0"/>
        <w:rPr>
          <w:rStyle w:val="41"/>
          <w:rFonts w:ascii="宋体" w:hAnsi="宋体"/>
          <w:color w:val="auto"/>
          <w:highlight w:val="none"/>
        </w:rPr>
      </w:pPr>
      <w:bookmarkStart w:id="45" w:name="_Toc6024"/>
      <w:r>
        <w:rPr>
          <w:rStyle w:val="41"/>
          <w:rFonts w:ascii="宋体" w:hAnsi="宋体"/>
          <w:color w:val="auto"/>
          <w:highlight w:val="none"/>
        </w:rPr>
        <w:t>第三章  评审办法</w:t>
      </w:r>
      <w:bookmarkEnd w:id="45"/>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本评审办法根据《中华人民共和国政府采购法》</w:t>
      </w:r>
      <w:r>
        <w:rPr>
          <w:rStyle w:val="41"/>
          <w:rFonts w:ascii="宋体" w:hAnsi="宋体"/>
          <w:color w:val="auto"/>
          <w:kern w:val="0"/>
          <w:szCs w:val="21"/>
          <w:highlight w:val="none"/>
        </w:rPr>
        <w:t>、《政府采购竞争性磋商采购方式管理暂行办法》</w:t>
      </w:r>
      <w:r>
        <w:rPr>
          <w:rStyle w:val="41"/>
          <w:rFonts w:ascii="宋体" w:hAnsi="宋体"/>
          <w:color w:val="auto"/>
          <w:highlight w:val="none"/>
        </w:rPr>
        <w:t>等有关规定，并结合本项目的具体情况制定。</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一、总则</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磋商小组成员应当按照客观、公正、审慎的原则，根据磋商文件规定的评审程序、评审方法和评审标准进行独立评审。</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二、评审组织</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评审工作由采购人依法组建的磋商小组负责。磋商小组负责审标、询标、评审等工作，并向采购人提出评审意见和评审报告。</w:t>
      </w:r>
    </w:p>
    <w:p>
      <w:pPr>
        <w:tabs>
          <w:tab w:val="left" w:pos="3219"/>
        </w:tabs>
        <w:snapToGrid w:val="0"/>
        <w:spacing w:line="360" w:lineRule="auto"/>
        <w:ind w:firstLine="420" w:firstLineChars="200"/>
        <w:rPr>
          <w:rStyle w:val="41"/>
          <w:rFonts w:ascii="宋体" w:hAnsi="宋体" w:cs="宋体"/>
          <w:b/>
          <w:bCs/>
          <w:color w:val="auto"/>
          <w:highlight w:val="none"/>
        </w:rPr>
      </w:pPr>
      <w:r>
        <w:rPr>
          <w:rStyle w:val="41"/>
          <w:rFonts w:ascii="宋体" w:hAnsi="宋体"/>
          <w:color w:val="auto"/>
          <w:highlight w:val="none"/>
        </w:rPr>
        <w:t>三、</w:t>
      </w:r>
      <w:r>
        <w:rPr>
          <w:rStyle w:val="41"/>
          <w:rFonts w:ascii="宋体" w:hAnsi="宋体" w:cs="宋体"/>
          <w:b/>
          <w:bCs/>
          <w:color w:val="auto"/>
          <w:highlight w:val="none"/>
        </w:rPr>
        <w:t>评标程序</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本次评审程序如下：</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第一步：磋商小组根据评审原则和评审办法，对商务技术标进行资格、符合性审查；</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第二步：磋商小组对资格、符合性通过的供应商的商务技术标进行磋商、评分并汇总；</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第三步：汇总完毕后开启报价文件，磋商小组对报价文件进行符合性审查；</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第四步：磋商小组与报价文件符合性审查通过的供应商进行在线磋商（供应商需在30分钟内完成磋商、报价），确定最终报价。</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第五步：磋商小组以商务技术标和报价标合计分值由高到低的顺序依次推荐得分第一名的为第一成交候选人，推荐得分第二名的为第二成交候选人，推荐得分第三名的为</w:t>
      </w:r>
      <w:r>
        <w:rPr>
          <w:rStyle w:val="41"/>
          <w:rFonts w:hint="eastAsia" w:ascii="宋体" w:hAnsi="宋体"/>
          <w:color w:val="auto"/>
          <w:highlight w:val="none"/>
        </w:rPr>
        <w:t>第三</w:t>
      </w:r>
      <w:r>
        <w:rPr>
          <w:rStyle w:val="41"/>
          <w:rFonts w:ascii="宋体" w:hAnsi="宋体"/>
          <w:color w:val="auto"/>
          <w:highlight w:val="none"/>
        </w:rPr>
        <w:t>成交候选人，并提交书面评标报告。合计分值相同时以报价标得分高为先，合计分值、报价标得分均相同时由磋商小组全体成员记名投票按少数服从多数的原则确定中标候选顺序。</w:t>
      </w:r>
    </w:p>
    <w:p>
      <w:pPr>
        <w:tabs>
          <w:tab w:val="left" w:pos="3219"/>
        </w:tabs>
        <w:snapToGrid w:val="0"/>
        <w:spacing w:line="360" w:lineRule="auto"/>
        <w:ind w:firstLine="420" w:firstLineChars="200"/>
        <w:rPr>
          <w:rStyle w:val="41"/>
          <w:rFonts w:ascii="宋体" w:hAnsi="宋体" w:cs="宋体"/>
          <w:b/>
          <w:bCs/>
          <w:color w:val="auto"/>
          <w:highlight w:val="none"/>
        </w:rPr>
      </w:pPr>
      <w:r>
        <w:rPr>
          <w:rStyle w:val="41"/>
          <w:rFonts w:ascii="宋体" w:hAnsi="宋体"/>
          <w:color w:val="auto"/>
          <w:highlight w:val="none"/>
        </w:rPr>
        <w:t>四、</w:t>
      </w:r>
      <w:r>
        <w:rPr>
          <w:rStyle w:val="41"/>
          <w:rFonts w:ascii="宋体" w:hAnsi="宋体" w:cs="宋体"/>
          <w:b/>
          <w:bCs/>
          <w:color w:val="auto"/>
          <w:highlight w:val="none"/>
        </w:rPr>
        <w:t>磋商要求</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磋商小组将按竞争性磋商有关规定与供应商进行在线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在线方式进行最终确认，在线形成最终承诺书。磋商小组对供应商的磋商最多不超过3轮。在磋商过程中，采购人及磋商小组有权变更相关要求，不对因此而受影响的供应商承担责任。磋商中如有实质性变动，磋商小组将用在线形式通知参加磋商的供应商。</w:t>
      </w:r>
    </w:p>
    <w:p>
      <w:pPr>
        <w:snapToGrid w:val="0"/>
        <w:spacing w:line="360" w:lineRule="auto"/>
        <w:ind w:firstLine="420" w:firstLineChars="200"/>
        <w:rPr>
          <w:rStyle w:val="41"/>
          <w:rFonts w:ascii="宋体" w:hAnsi="宋体" w:cs="宋体"/>
          <w:bCs/>
          <w:color w:val="auto"/>
          <w:highlight w:val="none"/>
        </w:rPr>
      </w:pPr>
      <w:r>
        <w:rPr>
          <w:rStyle w:val="41"/>
          <w:rFonts w:ascii="宋体" w:hAnsi="宋体"/>
          <w:color w:val="auto"/>
          <w:highlight w:val="none"/>
        </w:rPr>
        <w:t>2、</w:t>
      </w:r>
      <w:r>
        <w:rPr>
          <w:rStyle w:val="41"/>
          <w:rFonts w:ascii="宋体" w:hAnsi="宋体" w:cs="宋体"/>
          <w:bCs/>
          <w:color w:val="auto"/>
          <w:highlight w:val="none"/>
        </w:rPr>
        <w:t>磋商结束后，</w:t>
      </w:r>
      <w:r>
        <w:rPr>
          <w:rStyle w:val="41"/>
          <w:rFonts w:ascii="宋体" w:hAnsi="宋体"/>
          <w:color w:val="auto"/>
          <w:highlight w:val="none"/>
        </w:rPr>
        <w:t>磋商小组将要求所有</w:t>
      </w:r>
      <w:r>
        <w:rPr>
          <w:rStyle w:val="41"/>
          <w:rFonts w:ascii="宋体" w:hAnsi="宋体" w:cs="宋体"/>
          <w:bCs/>
          <w:color w:val="auto"/>
          <w:highlight w:val="none"/>
        </w:rPr>
        <w:t>实质性响应</w:t>
      </w:r>
      <w:r>
        <w:rPr>
          <w:rStyle w:val="41"/>
          <w:rFonts w:ascii="宋体" w:hAnsi="宋体"/>
          <w:color w:val="auto"/>
          <w:highlight w:val="none"/>
        </w:rPr>
        <w:t>的供应商按磋商小组提出的要求并在规定时间内分别进行最终报价，各供应商在规定时间之后的报价将被视为无效。</w:t>
      </w:r>
      <w:r>
        <w:rPr>
          <w:rStyle w:val="41"/>
          <w:rFonts w:ascii="宋体" w:hAnsi="宋体" w:cs="宋体"/>
          <w:bCs/>
          <w:color w:val="auto"/>
          <w:highlight w:val="none"/>
        </w:rPr>
        <w:t>提交最后报价的供应商一般不得少于3家。</w:t>
      </w:r>
    </w:p>
    <w:p>
      <w:pPr>
        <w:snapToGrid w:val="0"/>
        <w:spacing w:line="360" w:lineRule="auto"/>
        <w:ind w:firstLine="420" w:firstLineChars="200"/>
        <w:rPr>
          <w:rStyle w:val="41"/>
          <w:rFonts w:ascii="宋体" w:hAnsi="宋体" w:cs="宋体"/>
          <w:bCs/>
          <w:color w:val="auto"/>
          <w:highlight w:val="none"/>
        </w:rPr>
      </w:pPr>
      <w:r>
        <w:rPr>
          <w:rStyle w:val="41"/>
          <w:rFonts w:ascii="宋体" w:hAnsi="宋体" w:cs="宋体"/>
          <w:bCs/>
          <w:color w:val="auto"/>
          <w:highlight w:val="none"/>
        </w:rPr>
        <w:t>3、最后报价是供应商响应文件的有效组成部分。符合《政府采购竞争性磋商采购方式管理暂行办法》第三条第四项情形的，提交最后报价的供应商可以为2家。</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4、错误的修正：磋商小组将对确定为实质上响应竞争性磋商文件要求的响应文件进行校核，看其在磋商报价方面是否有计算、累计或表达上的错误，</w:t>
      </w:r>
      <w:r>
        <w:rPr>
          <w:rStyle w:val="41"/>
          <w:rFonts w:ascii="宋体" w:hAnsi="宋体" w:cs="宋体"/>
          <w:bCs/>
          <w:color w:val="auto"/>
          <w:highlight w:val="none"/>
        </w:rPr>
        <w:t>修正错误的原则及顺序如下：</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（1）</w:t>
      </w:r>
      <w:r>
        <w:rPr>
          <w:rStyle w:val="41"/>
          <w:rFonts w:ascii="宋体" w:hAnsi="宋体"/>
          <w:color w:val="auto"/>
          <w:szCs w:val="21"/>
          <w:highlight w:val="none"/>
        </w:rPr>
        <w:t>响应文件中初次报价一览表与响应文件中报价清单不一致的，以初次报价一览表为准。</w:t>
      </w:r>
    </w:p>
    <w:p>
      <w:pPr>
        <w:pStyle w:val="180"/>
        <w:snapToGrid w:val="0"/>
        <w:spacing w:line="360" w:lineRule="auto"/>
        <w:ind w:firstLine="420"/>
        <w:rPr>
          <w:rStyle w:val="41"/>
          <w:rFonts w:ascii="宋体" w:hAnsi="宋体"/>
          <w:color w:val="auto"/>
          <w:szCs w:val="21"/>
          <w:highlight w:val="none"/>
        </w:rPr>
      </w:pPr>
      <w:r>
        <w:rPr>
          <w:rStyle w:val="41"/>
          <w:rFonts w:ascii="宋体" w:hAnsi="宋体"/>
          <w:color w:val="auto"/>
          <w:highlight w:val="none"/>
        </w:rPr>
        <w:t>（2）</w:t>
      </w:r>
      <w:r>
        <w:rPr>
          <w:rStyle w:val="41"/>
          <w:rFonts w:ascii="宋体" w:hAnsi="宋体"/>
          <w:color w:val="auto"/>
          <w:szCs w:val="21"/>
          <w:highlight w:val="none"/>
        </w:rPr>
        <w:t>响应文件的大写金额和小写金额不一致的，以大写金额为准；</w:t>
      </w:r>
    </w:p>
    <w:p>
      <w:pPr>
        <w:pStyle w:val="180"/>
        <w:snapToGrid w:val="0"/>
        <w:spacing w:line="360" w:lineRule="auto"/>
        <w:ind w:firstLine="420"/>
        <w:rPr>
          <w:rStyle w:val="41"/>
          <w:rFonts w:ascii="宋体" w:hAnsi="宋体"/>
          <w:color w:val="auto"/>
          <w:szCs w:val="21"/>
          <w:highlight w:val="none"/>
        </w:rPr>
      </w:pPr>
      <w:r>
        <w:rPr>
          <w:rStyle w:val="41"/>
          <w:rFonts w:ascii="宋体" w:hAnsi="宋体"/>
          <w:color w:val="auto"/>
          <w:highlight w:val="none"/>
        </w:rPr>
        <w:t>（3）</w:t>
      </w:r>
      <w:r>
        <w:rPr>
          <w:rStyle w:val="41"/>
          <w:rFonts w:ascii="宋体" w:hAnsi="宋体"/>
          <w:color w:val="auto"/>
          <w:szCs w:val="21"/>
          <w:highlight w:val="none"/>
        </w:rPr>
        <w:t xml:space="preserve">单价金额小数点有明显错位的，应以初次报价一览表总价为准，并修改单价； </w:t>
      </w:r>
    </w:p>
    <w:p>
      <w:pPr>
        <w:pStyle w:val="180"/>
        <w:snapToGrid w:val="0"/>
        <w:spacing w:line="360" w:lineRule="auto"/>
        <w:ind w:firstLine="420"/>
        <w:rPr>
          <w:rStyle w:val="41"/>
          <w:rFonts w:ascii="宋体" w:hAnsi="宋体"/>
          <w:color w:val="auto"/>
          <w:szCs w:val="21"/>
          <w:highlight w:val="none"/>
        </w:rPr>
      </w:pPr>
      <w:r>
        <w:rPr>
          <w:rStyle w:val="41"/>
          <w:rFonts w:ascii="宋体" w:hAnsi="宋体"/>
          <w:color w:val="auto"/>
          <w:szCs w:val="21"/>
          <w:highlight w:val="none"/>
        </w:rPr>
        <w:t>（4）</w:t>
      </w:r>
      <w:r>
        <w:rPr>
          <w:rStyle w:val="41"/>
          <w:rFonts w:ascii="宋体" w:hAnsi="宋体"/>
          <w:color w:val="auto"/>
          <w:highlight w:val="none"/>
        </w:rPr>
        <w:t>报价</w:t>
      </w:r>
      <w:r>
        <w:rPr>
          <w:rStyle w:val="41"/>
          <w:rFonts w:ascii="宋体" w:hAnsi="宋体"/>
          <w:color w:val="auto"/>
          <w:szCs w:val="21"/>
          <w:highlight w:val="none"/>
        </w:rPr>
        <w:t>总金额与按单价汇总金额不一致的，以单价金额计算结果为准；</w:t>
      </w:r>
    </w:p>
    <w:p>
      <w:pPr>
        <w:pStyle w:val="180"/>
        <w:snapToGrid w:val="0"/>
        <w:spacing w:line="360" w:lineRule="auto"/>
        <w:ind w:firstLine="420"/>
        <w:rPr>
          <w:rStyle w:val="41"/>
          <w:color w:val="auto"/>
          <w:szCs w:val="21"/>
          <w:highlight w:val="none"/>
        </w:rPr>
      </w:pPr>
      <w:r>
        <w:rPr>
          <w:rStyle w:val="41"/>
          <w:color w:val="auto"/>
          <w:szCs w:val="21"/>
          <w:highlight w:val="none"/>
        </w:rPr>
        <w:t>同时出现两种以上不</w:t>
      </w:r>
      <w:r>
        <w:rPr>
          <w:rStyle w:val="41"/>
          <w:color w:val="auto"/>
          <w:highlight w:val="none"/>
        </w:rPr>
        <w:t>一致</w:t>
      </w:r>
      <w:r>
        <w:rPr>
          <w:rStyle w:val="41"/>
          <w:color w:val="auto"/>
          <w:szCs w:val="21"/>
          <w:highlight w:val="none"/>
        </w:rPr>
        <w:t>的，按照前款规定的顺序修正。按前款规定修正时，顺序在后的修正可能引起顺序在前的其他修正的，该项修正不再执行。修正后的报价经供应商确认后产生约束力，供应商不确认的，其投标无效。</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五、评审细则</w:t>
      </w:r>
    </w:p>
    <w:p>
      <w:pPr>
        <w:pStyle w:val="220"/>
        <w:snapToGrid w:val="0"/>
        <w:spacing w:line="360" w:lineRule="auto"/>
        <w:ind w:firstLine="420" w:firstLineChars="200"/>
        <w:jc w:val="left"/>
        <w:rPr>
          <w:rStyle w:val="41"/>
          <w:rFonts w:hAnsi="宋体"/>
          <w:color w:val="auto"/>
          <w:sz w:val="21"/>
          <w:szCs w:val="21"/>
          <w:highlight w:val="none"/>
        </w:rPr>
      </w:pPr>
      <w:r>
        <w:rPr>
          <w:rStyle w:val="41"/>
          <w:rFonts w:hAnsi="宋体"/>
          <w:color w:val="auto"/>
          <w:sz w:val="21"/>
          <w:szCs w:val="21"/>
          <w:highlight w:val="none"/>
        </w:rPr>
        <w:t>评标采用综合评分法，磋商小组从最终投标报价、供应商的资信、业绩、技术方案、服务承诺、等方面进行评审。磋商小组根据评审情况，对各供应商的商务报价方面在分值范围内进行统一打分，对各供应商的资信商务方面在分值范围内进行统一打分，对各供应商的技术方面在分值范围内进行独立打分。</w:t>
      </w:r>
    </w:p>
    <w:p>
      <w:pPr>
        <w:pStyle w:val="220"/>
        <w:snapToGrid w:val="0"/>
        <w:spacing w:line="360" w:lineRule="auto"/>
        <w:ind w:firstLine="422" w:firstLineChars="200"/>
        <w:jc w:val="left"/>
        <w:rPr>
          <w:rStyle w:val="41"/>
          <w:rFonts w:hAnsi="宋体" w:cs="宋体"/>
          <w:b/>
          <w:bCs/>
          <w:color w:val="auto"/>
          <w:sz w:val="21"/>
          <w:szCs w:val="21"/>
          <w:highlight w:val="none"/>
        </w:rPr>
      </w:pPr>
      <w:r>
        <w:rPr>
          <w:rStyle w:val="41"/>
          <w:rFonts w:hAnsi="宋体" w:cs="宋体"/>
          <w:b/>
          <w:bCs/>
          <w:color w:val="auto"/>
          <w:sz w:val="21"/>
          <w:szCs w:val="21"/>
          <w:highlight w:val="none"/>
        </w:rPr>
        <w:t>每个供应商最终得分=报价分+商务技术分</w:t>
      </w:r>
    </w:p>
    <w:p>
      <w:pPr>
        <w:snapToGrid w:val="0"/>
        <w:spacing w:line="360" w:lineRule="auto"/>
        <w:ind w:firstLine="413" w:firstLineChars="196"/>
        <w:rPr>
          <w:rStyle w:val="41"/>
          <w:rFonts w:ascii="宋体" w:hAnsi="宋体"/>
          <w:b/>
          <w:color w:val="auto"/>
          <w:highlight w:val="none"/>
        </w:rPr>
      </w:pPr>
      <w:r>
        <w:rPr>
          <w:rStyle w:val="41"/>
          <w:rFonts w:ascii="宋体" w:hAnsi="宋体"/>
          <w:b/>
          <w:color w:val="auto"/>
          <w:szCs w:val="21"/>
          <w:highlight w:val="none"/>
        </w:rPr>
        <w:t>1、</w:t>
      </w:r>
      <w:r>
        <w:rPr>
          <w:rStyle w:val="41"/>
          <w:rFonts w:ascii="Arial" w:hAnsi="Arial"/>
          <w:b/>
          <w:color w:val="auto"/>
          <w:highlight w:val="none"/>
        </w:rPr>
        <w:t>商务、技术文件符合性审查：</w:t>
      </w:r>
    </w:p>
    <w:p>
      <w:pPr>
        <w:snapToGrid w:val="0"/>
        <w:spacing w:line="360" w:lineRule="auto"/>
        <w:ind w:firstLine="413" w:firstLineChars="196"/>
        <w:rPr>
          <w:rStyle w:val="41"/>
          <w:rFonts w:ascii="Arial" w:hAnsi="Arial"/>
          <w:b/>
          <w:color w:val="auto"/>
          <w:highlight w:val="none"/>
          <w:u w:val="thick"/>
        </w:rPr>
      </w:pPr>
      <w:r>
        <w:rPr>
          <w:rStyle w:val="41"/>
          <w:rFonts w:ascii="Arial" w:hAnsi="Arial"/>
          <w:b/>
          <w:color w:val="auto"/>
          <w:highlight w:val="none"/>
          <w:u w:val="thick" w:color="000000"/>
        </w:rPr>
        <w:t>商务、技术文件符合性审查中，存在下列情形之一的，经磋商小组认定后作无效标处理：</w:t>
      </w:r>
    </w:p>
    <w:p>
      <w:pPr>
        <w:pStyle w:val="114"/>
        <w:snapToGrid w:val="0"/>
        <w:spacing w:line="360" w:lineRule="auto"/>
        <w:ind w:firstLine="210" w:firstLineChars="100"/>
        <w:rPr>
          <w:rStyle w:val="41"/>
          <w:rFonts w:hAnsi="宋体"/>
          <w:color w:val="auto"/>
          <w:szCs w:val="21"/>
          <w:highlight w:val="none"/>
        </w:rPr>
      </w:pPr>
      <w:r>
        <w:rPr>
          <w:rStyle w:val="41"/>
          <w:color w:val="auto"/>
          <w:highlight w:val="none"/>
        </w:rPr>
        <w:t>（1）仅提交“备份响应文件”的；</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szCs w:val="21"/>
          <w:highlight w:val="none"/>
        </w:rPr>
        <w:t>（2）供应商不符合磋商资格条件的；</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highlight w:val="none"/>
        </w:rPr>
        <w:t>（3）响应文件存在一个或一个以上备选（替代）响应方案的；</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szCs w:val="21"/>
          <w:highlight w:val="none"/>
        </w:rPr>
        <w:t>（4）获取文件的供应商与参加磋商的供应商发生实质性变更的且未提供有效证明的；</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szCs w:val="24"/>
          <w:highlight w:val="none"/>
        </w:rPr>
        <w:t>（5）响应文件未有效授权，</w:t>
      </w:r>
      <w:r>
        <w:rPr>
          <w:rStyle w:val="41"/>
          <w:rFonts w:hAnsi="宋体"/>
          <w:color w:val="auto"/>
          <w:szCs w:val="21"/>
          <w:highlight w:val="none"/>
        </w:rPr>
        <w:t>未提供或提供无效的法定代表人资格证明书或附法定代表人资格证明书的法定代表人授权书；</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szCs w:val="21"/>
          <w:highlight w:val="none"/>
        </w:rPr>
        <w:t>（6）响应文件内容未按竞争性磋商文件规定签字或盖章的；</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szCs w:val="21"/>
          <w:highlight w:val="none"/>
        </w:rPr>
        <w:t>（7）响应文件组成漏项或未按规定的格式编制，内容不全或内容字迹模糊辨认不清的而导致评审活动无法正常进行；</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szCs w:val="21"/>
          <w:highlight w:val="none"/>
        </w:rPr>
        <w:t>（8）供应商未按竞争性磋商文件变更公告通知更改响应文件的；</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szCs w:val="21"/>
          <w:highlight w:val="none"/>
        </w:rPr>
        <w:t>（9）未实质性响应竞争性磋商文件中带“▲”条款要求的响应文件；</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szCs w:val="21"/>
          <w:highlight w:val="none"/>
        </w:rPr>
        <w:t>（10）不符合磋商范围、技术规格、技术标准的要求无法满足采购人使用要求；</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szCs w:val="21"/>
          <w:highlight w:val="none"/>
        </w:rPr>
        <w:t>（11）响应文件附有采购人不能接受的条款；</w:t>
      </w:r>
    </w:p>
    <w:p>
      <w:pPr>
        <w:pStyle w:val="114"/>
        <w:snapToGrid w:val="0"/>
        <w:spacing w:line="360" w:lineRule="auto"/>
        <w:ind w:firstLine="210" w:firstLineChars="100"/>
        <w:rPr>
          <w:rStyle w:val="41"/>
          <w:rFonts w:hAnsi="宋体"/>
          <w:color w:val="auto"/>
          <w:szCs w:val="21"/>
          <w:highlight w:val="none"/>
        </w:rPr>
      </w:pPr>
      <w:r>
        <w:rPr>
          <w:rStyle w:val="41"/>
          <w:rFonts w:hAnsi="宋体"/>
          <w:color w:val="auto"/>
          <w:szCs w:val="21"/>
          <w:highlight w:val="none"/>
        </w:rPr>
        <w:t>（12）存在串标、抬标或弄虚作假情况的；</w:t>
      </w:r>
    </w:p>
    <w:p>
      <w:pPr>
        <w:pStyle w:val="114"/>
        <w:snapToGrid w:val="0"/>
        <w:spacing w:line="360" w:lineRule="auto"/>
        <w:ind w:firstLine="210" w:firstLineChars="100"/>
        <w:rPr>
          <w:rStyle w:val="41"/>
          <w:rFonts w:hAnsi="宋体"/>
          <w:color w:val="auto"/>
          <w:szCs w:val="21"/>
          <w:highlight w:val="none"/>
        </w:rPr>
      </w:pPr>
      <w:r>
        <w:rPr>
          <w:rStyle w:val="41"/>
          <w:rFonts w:hAnsi="宋体" w:cs="Arial"/>
          <w:bCs/>
          <w:color w:val="auto"/>
          <w:szCs w:val="24"/>
          <w:highlight w:val="none"/>
        </w:rPr>
        <w:t>（13）采购人拟采购的产品如属于品目清单范围内的强制采购品目的，供应商未能在响应文件中提供国家确定的认证机构出具的、处于有效期之内的该产品节能产品认证证书；</w:t>
      </w:r>
    </w:p>
    <w:p>
      <w:pPr>
        <w:pStyle w:val="114"/>
        <w:snapToGrid w:val="0"/>
        <w:spacing w:line="360" w:lineRule="auto"/>
        <w:ind w:firstLine="210" w:firstLineChars="100"/>
        <w:rPr>
          <w:rStyle w:val="41"/>
          <w:rFonts w:hAnsi="宋体"/>
          <w:color w:val="auto"/>
          <w:highlight w:val="none"/>
        </w:rPr>
      </w:pPr>
      <w:r>
        <w:rPr>
          <w:rStyle w:val="41"/>
          <w:rFonts w:hAnsi="宋体"/>
          <w:color w:val="auto"/>
          <w:szCs w:val="21"/>
          <w:highlight w:val="none"/>
        </w:rPr>
        <w:t>（14）违反国家及</w:t>
      </w:r>
      <w:r>
        <w:rPr>
          <w:rStyle w:val="41"/>
          <w:rFonts w:hAnsi="宋体"/>
          <w:color w:val="auto"/>
          <w:highlight w:val="none"/>
        </w:rPr>
        <w:t>政府部门相关法律、法规、文件规定或经磋商小组认定的其他属于重大偏离。</w:t>
      </w:r>
    </w:p>
    <w:p>
      <w:pPr>
        <w:snapToGrid w:val="0"/>
        <w:spacing w:before="240" w:line="360" w:lineRule="auto"/>
        <w:ind w:right="210" w:firstLine="422" w:firstLineChars="200"/>
        <w:rPr>
          <w:rStyle w:val="41"/>
          <w:rFonts w:ascii="宋体" w:hAnsi="宋体"/>
          <w:b/>
          <w:color w:val="auto"/>
          <w:szCs w:val="21"/>
          <w:highlight w:val="none"/>
        </w:rPr>
      </w:pPr>
      <w:r>
        <w:rPr>
          <w:rStyle w:val="41"/>
          <w:rFonts w:ascii="宋体" w:hAnsi="宋体"/>
          <w:b/>
          <w:color w:val="auto"/>
          <w:szCs w:val="21"/>
          <w:highlight w:val="none"/>
        </w:rPr>
        <w:t>2、商务技术分   总分</w:t>
      </w:r>
      <w:r>
        <w:rPr>
          <w:rStyle w:val="41"/>
          <w:rFonts w:ascii="宋体" w:hAnsi="宋体"/>
          <w:b/>
          <w:color w:val="auto"/>
          <w:szCs w:val="21"/>
          <w:highlight w:val="none"/>
          <w:u w:val="single" w:color="000000"/>
        </w:rPr>
        <w:t xml:space="preserve"> 70 </w:t>
      </w:r>
      <w:r>
        <w:rPr>
          <w:rStyle w:val="41"/>
          <w:rFonts w:ascii="宋体" w:hAnsi="宋体"/>
          <w:b/>
          <w:color w:val="auto"/>
          <w:szCs w:val="21"/>
          <w:highlight w:val="none"/>
        </w:rPr>
        <w:t>分</w:t>
      </w:r>
    </w:p>
    <w:p>
      <w:pPr>
        <w:pStyle w:val="102"/>
        <w:snapToGrid w:val="0"/>
        <w:spacing w:line="360" w:lineRule="auto"/>
        <w:ind w:right="210" w:firstLine="420"/>
        <w:rPr>
          <w:rStyle w:val="41"/>
          <w:rFonts w:ascii="宋体" w:hAnsi="宋体" w:eastAsia="宋体"/>
          <w:color w:val="auto"/>
          <w:sz w:val="21"/>
          <w:szCs w:val="21"/>
          <w:highlight w:val="none"/>
        </w:rPr>
      </w:pPr>
      <w:r>
        <w:rPr>
          <w:rStyle w:val="41"/>
          <w:rFonts w:ascii="宋体" w:hAnsi="宋体" w:eastAsia="宋体"/>
          <w:color w:val="auto"/>
          <w:sz w:val="21"/>
          <w:szCs w:val="21"/>
          <w:highlight w:val="none"/>
        </w:rPr>
        <w:t>该评分分值由磋商小组根据评审情况在分值范围内独立打分（具体分值设定详见表格），小数点后保留一位小数。每个供应商的最终技术分为磋商小组打分汇总后的算术平均值</w:t>
      </w:r>
      <w:r>
        <w:rPr>
          <w:rStyle w:val="41"/>
          <w:rFonts w:ascii="宋体" w:hAnsi="宋体" w:eastAsia="宋体"/>
          <w:color w:val="auto"/>
          <w:kern w:val="0"/>
          <w:sz w:val="21"/>
          <w:szCs w:val="21"/>
          <w:highlight w:val="none"/>
        </w:rPr>
        <w:t>（小数点后保留二位小数，第三位四舍五入）</w:t>
      </w:r>
      <w:r>
        <w:rPr>
          <w:rStyle w:val="41"/>
          <w:rFonts w:ascii="宋体" w:hAnsi="宋体" w:eastAsia="宋体"/>
          <w:color w:val="auto"/>
          <w:sz w:val="21"/>
          <w:szCs w:val="21"/>
          <w:highlight w:val="none"/>
        </w:rPr>
        <w:t>。</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676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blHeader/>
        </w:trPr>
        <w:tc>
          <w:tcPr>
            <w:tcW w:w="359" w:type="pct"/>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3970" w:type="pct"/>
            <w:vAlign w:val="center"/>
          </w:tcPr>
          <w:p>
            <w:pPr>
              <w:jc w:val="center"/>
              <w:rPr>
                <w:rFonts w:ascii="宋体" w:hAnsi="宋体" w:cs="宋体"/>
                <w:color w:val="auto"/>
                <w:highlight w:val="none"/>
              </w:rPr>
            </w:pPr>
            <w:r>
              <w:rPr>
                <w:rFonts w:hint="eastAsia" w:ascii="宋体" w:hAnsi="宋体" w:cs="宋体"/>
                <w:color w:val="auto"/>
                <w:highlight w:val="none"/>
              </w:rPr>
              <w:t>评分内容</w:t>
            </w:r>
          </w:p>
        </w:tc>
        <w:tc>
          <w:tcPr>
            <w:tcW w:w="671" w:type="pct"/>
            <w:vAlign w:val="center"/>
          </w:tcPr>
          <w:p>
            <w:pPr>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970" w:type="pct"/>
            <w:vAlign w:val="center"/>
          </w:tcPr>
          <w:p>
            <w:pPr>
              <w:pStyle w:val="10"/>
              <w:adjustRightInd w:val="0"/>
              <w:snapToGrid w:val="0"/>
              <w:rPr>
                <w:rFonts w:hint="eastAsia" w:hAnsi="宋体" w:cs="宋体"/>
                <w:color w:val="auto"/>
                <w:szCs w:val="21"/>
                <w:highlight w:val="none"/>
              </w:rPr>
            </w:pPr>
            <w:r>
              <w:rPr>
                <w:rFonts w:hint="eastAsia" w:hAnsi="宋体" w:cs="宋体"/>
                <w:color w:val="auto"/>
                <w:szCs w:val="21"/>
                <w:highlight w:val="none"/>
              </w:rPr>
              <w:t>供应商具备有效质量体系认证证书得1分，具备有效环境管理体系认证证书得1分，具备有效职业安全健康管理体系认证证书得1分。</w:t>
            </w:r>
          </w:p>
          <w:p>
            <w:pPr>
              <w:pStyle w:val="10"/>
              <w:adjustRightInd w:val="0"/>
              <w:snapToGrid w:val="0"/>
              <w:rPr>
                <w:rFonts w:hAnsi="宋体" w:cs="宋体"/>
                <w:color w:val="auto"/>
                <w:szCs w:val="21"/>
                <w:highlight w:val="none"/>
              </w:rPr>
            </w:pPr>
            <w:r>
              <w:rPr>
                <w:rFonts w:hint="eastAsia" w:hAnsi="宋体" w:cs="宋体"/>
                <w:b/>
                <w:color w:val="auto"/>
                <w:highlight w:val="none"/>
              </w:rPr>
              <w:t>注：提供证书复印件，</w:t>
            </w:r>
            <w:r>
              <w:rPr>
                <w:rFonts w:hint="eastAsia" w:hAnsi="宋体" w:cs="宋体"/>
                <w:b/>
                <w:color w:val="auto"/>
                <w:szCs w:val="21"/>
                <w:highlight w:val="none"/>
              </w:rPr>
              <w:t>提供全国认证认可信息公共服务平台查询截图（显示有效），不提供不得分</w:t>
            </w:r>
            <w:r>
              <w:rPr>
                <w:rFonts w:hint="eastAsia" w:hAnsi="宋体" w:cs="宋体"/>
                <w:b/>
                <w:color w:val="auto"/>
                <w:highlight w:val="none"/>
              </w:rPr>
              <w:t>。</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970" w:type="pct"/>
            <w:vAlign w:val="center"/>
          </w:tcPr>
          <w:p>
            <w:pPr>
              <w:pStyle w:val="9"/>
              <w:spacing w:line="240" w:lineRule="auto"/>
              <w:ind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供应商拟派项目经理具有工程师职称</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具有国家一级注册消防工程师的得2分；本项最高得2分；其余不得分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提供相关</w:t>
            </w:r>
            <w:r>
              <w:rPr>
                <w:rFonts w:hint="eastAsia" w:ascii="宋体" w:hAnsi="宋体" w:eastAsia="宋体" w:cs="宋体"/>
                <w:color w:val="auto"/>
                <w:sz w:val="21"/>
                <w:szCs w:val="21"/>
                <w:highlight w:val="none"/>
              </w:rPr>
              <w:t>证书复印件）。</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970" w:type="pct"/>
            <w:vAlign w:val="center"/>
          </w:tcPr>
          <w:p>
            <w:pPr>
              <w:pStyle w:val="9"/>
              <w:spacing w:line="24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供应商自2021年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月1日（以合同签订时间为准）至今承担过</w:t>
            </w:r>
            <w:r>
              <w:rPr>
                <w:rFonts w:hint="eastAsia" w:ascii="宋体" w:hAnsi="宋体" w:eastAsia="宋体" w:cs="宋体"/>
                <w:color w:val="auto"/>
                <w:sz w:val="21"/>
                <w:szCs w:val="21"/>
                <w:highlight w:val="none"/>
                <w:lang w:val="en-US" w:eastAsia="zh-CN"/>
              </w:rPr>
              <w:t>消防工程</w:t>
            </w:r>
            <w:r>
              <w:rPr>
                <w:rFonts w:hint="eastAsia" w:ascii="宋体" w:hAnsi="宋体" w:eastAsia="宋体" w:cs="宋体"/>
                <w:color w:val="auto"/>
                <w:sz w:val="21"/>
                <w:szCs w:val="21"/>
                <w:highlight w:val="none"/>
              </w:rPr>
              <w:t>项目业绩，每项得0.5分，最高得1.5分。（业绩证明材料：合同复印件，如未提供业绩证明材料，则该项业绩不得分。）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1"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3970" w:type="pct"/>
            <w:vAlign w:val="center"/>
          </w:tcPr>
          <w:p>
            <w:pPr>
              <w:pStyle w:val="9"/>
              <w:spacing w:line="24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工程量大，施工区域较分散，整体施工方案</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全面、科学、合理。施工方案全面、合理，具有明确的针对性及可操作性的得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施工方案全面性及合理性一般，针对性及可操作性基本满足要求，各项施工措施可基本保障项目实施的得3分；施工技术方案内容较差，方案无针对性，可操作性差，各项施工措施不明确且不到位的得1分；未提供的不得分。</w:t>
            </w:r>
          </w:p>
        </w:tc>
        <w:tc>
          <w:tcPr>
            <w:tcW w:w="671" w:type="pct"/>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3970" w:type="pct"/>
            <w:vAlign w:val="center"/>
          </w:tcPr>
          <w:p>
            <w:pPr>
              <w:rPr>
                <w:rFonts w:ascii="宋体" w:hAnsi="宋体" w:cs="宋体"/>
                <w:color w:val="auto"/>
                <w:szCs w:val="21"/>
                <w:highlight w:val="none"/>
              </w:rPr>
            </w:pPr>
            <w:r>
              <w:rPr>
                <w:rFonts w:hint="eastAsia" w:ascii="宋体" w:hAnsi="宋体" w:cs="宋体"/>
                <w:color w:val="auto"/>
                <w:szCs w:val="21"/>
                <w:highlight w:val="none"/>
              </w:rPr>
              <w:t>本工程的特点难点分析及针对性的施工方案与措施。工程特点、难点分析到位，施工方案与措施完善的得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分；工程特点、难点分析基本到位，施工方案与措施基本完善的得3分；工程特点、难点分析存在不足，施工方案与措施不够完善的得1分；未提供的不得分。</w:t>
            </w:r>
          </w:p>
        </w:tc>
        <w:tc>
          <w:tcPr>
            <w:tcW w:w="671" w:type="pct"/>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3970" w:type="pct"/>
            <w:vAlign w:val="center"/>
          </w:tcPr>
          <w:p>
            <w:pPr>
              <w:rPr>
                <w:rFonts w:ascii="宋体" w:hAnsi="宋体" w:cs="宋体"/>
                <w:color w:val="auto"/>
                <w:szCs w:val="21"/>
                <w:highlight w:val="none"/>
              </w:rPr>
            </w:pPr>
            <w:r>
              <w:rPr>
                <w:rFonts w:hint="eastAsia" w:ascii="宋体" w:hAnsi="宋体" w:cs="宋体"/>
                <w:color w:val="auto"/>
                <w:szCs w:val="21"/>
                <w:highlight w:val="none"/>
              </w:rPr>
              <w:t>关键工序、复杂环节的相应技术措施是否周全、有针对性、可实施性。技术措施周全、有针对性</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可实施性的得4分；技术措施一般、针对性</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可实施性基本可行的得3分；技术措施较差，无针对性及可实施性的得1分；未提供的不得分。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3970" w:type="pct"/>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消除施工对师生安全、交通秩序及校园环境带来的隐患及负面影响的专项控制方案及措施。专项</w:t>
            </w:r>
            <w:r>
              <w:rPr>
                <w:rFonts w:hint="eastAsia" w:ascii="宋体" w:hAnsi="宋体" w:eastAsia="宋体" w:cs="宋体"/>
                <w:color w:val="auto"/>
                <w:sz w:val="21"/>
                <w:szCs w:val="21"/>
                <w:highlight w:val="none"/>
              </w:rPr>
              <w:t>方案全面、合理，具有明确的针对性及可操作性的得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专项</w:t>
            </w:r>
            <w:r>
              <w:rPr>
                <w:rFonts w:hint="eastAsia" w:ascii="宋体" w:hAnsi="宋体" w:eastAsia="宋体" w:cs="宋体"/>
                <w:color w:val="auto"/>
                <w:sz w:val="21"/>
                <w:szCs w:val="21"/>
                <w:highlight w:val="none"/>
              </w:rPr>
              <w:t>方案全面性及合理性一般，针对性及可操作性基本满足要求，各项施工措施可基本保障</w:t>
            </w:r>
            <w:r>
              <w:rPr>
                <w:rFonts w:hint="eastAsia" w:ascii="宋体" w:hAnsi="宋体" w:cs="宋体"/>
                <w:color w:val="auto"/>
                <w:szCs w:val="21"/>
                <w:highlight w:val="none"/>
                <w:lang w:val="en-US" w:eastAsia="zh-CN"/>
              </w:rPr>
              <w:t>消除隐患及负面影响</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专项</w:t>
            </w:r>
            <w:r>
              <w:rPr>
                <w:rFonts w:hint="eastAsia" w:ascii="宋体" w:hAnsi="宋体" w:eastAsia="宋体" w:cs="宋体"/>
                <w:color w:val="auto"/>
                <w:sz w:val="21"/>
                <w:szCs w:val="21"/>
                <w:highlight w:val="none"/>
              </w:rPr>
              <w:t>方案内容较差，方案无针对性，可操作性差，各项施工措施不明确且不到位的得1分；未提供的不得分。</w:t>
            </w:r>
          </w:p>
        </w:tc>
        <w:tc>
          <w:tcPr>
            <w:tcW w:w="671" w:type="pct"/>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3970" w:type="pct"/>
            <w:vAlign w:val="center"/>
          </w:tcPr>
          <w:p>
            <w:pPr>
              <w:rPr>
                <w:rFonts w:ascii="宋体" w:hAnsi="宋体" w:cs="宋体"/>
                <w:color w:val="auto"/>
                <w:szCs w:val="21"/>
                <w:highlight w:val="none"/>
              </w:rPr>
            </w:pPr>
            <w:r>
              <w:rPr>
                <w:rFonts w:hint="eastAsia" w:ascii="宋体" w:hAnsi="宋体" w:cs="宋体"/>
                <w:color w:val="auto"/>
                <w:szCs w:val="21"/>
                <w:highlight w:val="none"/>
              </w:rPr>
              <w:t>施工总进度计划安排的完善合理性，各主要施工工序劳动力安排计划的详细周密性。施工总进度计划安排科学、合理、符合</w:t>
            </w:r>
            <w:r>
              <w:rPr>
                <w:rFonts w:hint="eastAsia" w:ascii="宋体" w:hAnsi="宋体" w:cs="宋体"/>
                <w:color w:val="auto"/>
                <w:szCs w:val="21"/>
                <w:highlight w:val="none"/>
                <w:lang w:val="en-US" w:eastAsia="zh-CN"/>
              </w:rPr>
              <w:t>暑</w:t>
            </w:r>
            <w:r>
              <w:rPr>
                <w:rFonts w:hint="eastAsia" w:ascii="宋体" w:hAnsi="宋体" w:cs="宋体"/>
                <w:color w:val="auto"/>
                <w:szCs w:val="21"/>
                <w:highlight w:val="none"/>
              </w:rPr>
              <w:t>假期间施工条件的得4分；施工总进度计划安排情况基本满足要求的得3分；施工总进度计划安排情况不够完善的得1分；未提供的不得分。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3970" w:type="pct"/>
            <w:vAlign w:val="center"/>
          </w:tcPr>
          <w:p>
            <w:pPr>
              <w:rPr>
                <w:rFonts w:ascii="宋体" w:hAnsi="宋体" w:cs="宋体"/>
                <w:color w:val="auto"/>
                <w:sz w:val="24"/>
                <w:szCs w:val="21"/>
                <w:highlight w:val="none"/>
              </w:rPr>
            </w:pPr>
            <w:r>
              <w:rPr>
                <w:rFonts w:hint="eastAsia" w:ascii="宋体" w:hAnsi="宋体" w:cs="宋体"/>
                <w:color w:val="auto"/>
                <w:szCs w:val="21"/>
                <w:highlight w:val="none"/>
              </w:rPr>
              <w:t>确保本项目工程工期的技术组织措施</w:t>
            </w:r>
            <w:r>
              <w:rPr>
                <w:rFonts w:hint="eastAsia" w:ascii="宋体" w:hAnsi="宋体" w:cs="宋体"/>
                <w:b/>
                <w:bCs/>
                <w:color w:val="auto"/>
                <w:szCs w:val="21"/>
                <w:highlight w:val="none"/>
              </w:rPr>
              <w:t>（需提出针对性措施及应急保障）</w:t>
            </w:r>
            <w:r>
              <w:rPr>
                <w:rFonts w:hint="eastAsia" w:ascii="宋体" w:hAnsi="宋体" w:cs="宋体"/>
                <w:color w:val="auto"/>
                <w:szCs w:val="21"/>
                <w:highlight w:val="none"/>
              </w:rPr>
              <w:t>。确保工程工期的技术组织措施科学合理可行的得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分；确保工程工期的技术组织措施基本完善的得3分；确保工程工期的技术组织措施一般的得1分；未提供的不得分。</w:t>
            </w:r>
          </w:p>
        </w:tc>
        <w:tc>
          <w:tcPr>
            <w:tcW w:w="671" w:type="pct"/>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6"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3970" w:type="pct"/>
            <w:vAlign w:val="center"/>
          </w:tcPr>
          <w:p>
            <w:pPr>
              <w:rPr>
                <w:rFonts w:ascii="宋体" w:hAnsi="宋体" w:cs="宋体"/>
                <w:color w:val="auto"/>
                <w:szCs w:val="21"/>
                <w:highlight w:val="none"/>
              </w:rPr>
            </w:pPr>
            <w:r>
              <w:rPr>
                <w:rFonts w:hint="eastAsia" w:ascii="宋体" w:hAnsi="宋体" w:cs="宋体"/>
                <w:color w:val="auto"/>
                <w:szCs w:val="21"/>
                <w:highlight w:val="none"/>
              </w:rPr>
              <w:t>拟投入本工程管理人员岗位配置、专业配置的满足性及管理人员的专业能力（管理人员的经验、职称、所学专业）。管理人员配置科学合理的得3分；基本满足工程需求的得2分；存在缺陷的得1分，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3970" w:type="pct"/>
            <w:vAlign w:val="center"/>
          </w:tcPr>
          <w:p>
            <w:pPr>
              <w:rPr>
                <w:rFonts w:ascii="宋体" w:hAnsi="宋体" w:cs="宋体"/>
                <w:color w:val="auto"/>
                <w:szCs w:val="21"/>
                <w:highlight w:val="none"/>
              </w:rPr>
            </w:pPr>
            <w:r>
              <w:rPr>
                <w:rFonts w:hint="eastAsia" w:ascii="宋体" w:hAnsi="宋体" w:cs="宋体"/>
                <w:color w:val="auto"/>
                <w:szCs w:val="21"/>
                <w:highlight w:val="none"/>
              </w:rPr>
              <w:t>派驻现场的工程施工人员配置情况：人员配置数量、结构、内部管理制度以及如何满足本工程施工要求。人员配置完全满足工程施工要求的得3分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基本满足工程施工要求的得2分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工程施工要求满足</w:t>
            </w:r>
            <w:r>
              <w:rPr>
                <w:rFonts w:hint="eastAsia" w:ascii="宋体" w:hAnsi="宋体" w:cs="宋体"/>
                <w:color w:val="auto"/>
                <w:szCs w:val="21"/>
                <w:highlight w:val="none"/>
                <w:lang w:val="en-US" w:eastAsia="zh-CN"/>
              </w:rPr>
              <w:t>性</w:t>
            </w:r>
            <w:r>
              <w:rPr>
                <w:rFonts w:hint="eastAsia" w:ascii="宋体" w:hAnsi="宋体" w:cs="宋体"/>
                <w:color w:val="auto"/>
                <w:szCs w:val="21"/>
                <w:highlight w:val="none"/>
              </w:rPr>
              <w:t>一般的得1分；未提供的不得分。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3970" w:type="pct"/>
            <w:vAlign w:val="center"/>
          </w:tcPr>
          <w:p>
            <w:pPr>
              <w:rPr>
                <w:rFonts w:ascii="宋体" w:hAnsi="宋体" w:cs="宋体"/>
                <w:color w:val="auto"/>
                <w:szCs w:val="21"/>
                <w:highlight w:val="none"/>
              </w:rPr>
            </w:pPr>
            <w:r>
              <w:rPr>
                <w:rFonts w:hint="eastAsia" w:ascii="宋体" w:hAnsi="宋体" w:cs="宋体"/>
                <w:color w:val="auto"/>
                <w:szCs w:val="21"/>
                <w:highlight w:val="none"/>
              </w:rPr>
              <w:t>供应商材料设备进场计划及施工计划情况：具有详细的材料设备进场计划且计划周密，材料数量、质量控制、时间安排合理</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满足施工需要。材料设备进场计划及施工计划科学合理详细的得3分；材料设备进场计划及施工计划基本完善的得2分；材料设备进场计划及施工计划一般的得1分；未提供的不得分。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3970" w:type="pct"/>
            <w:vAlign w:val="center"/>
          </w:tcPr>
          <w:p>
            <w:pPr>
              <w:rPr>
                <w:rFonts w:ascii="宋体" w:hAnsi="宋体" w:cs="宋体"/>
                <w:color w:val="auto"/>
                <w:szCs w:val="21"/>
                <w:highlight w:val="none"/>
              </w:rPr>
            </w:pPr>
            <w:r>
              <w:rPr>
                <w:rFonts w:hint="eastAsia" w:ascii="宋体" w:hAnsi="宋体" w:cs="宋体"/>
                <w:color w:val="auto"/>
                <w:szCs w:val="21"/>
                <w:highlight w:val="none"/>
              </w:rPr>
              <w:t>供应商拟投入的主要机械设备满足施工需要。施工机具和检验仪器的投入</w:t>
            </w:r>
            <w:r>
              <w:rPr>
                <w:rFonts w:hint="eastAsia" w:ascii="宋体" w:hAnsi="宋体" w:cs="宋体"/>
                <w:color w:val="auto"/>
                <w:szCs w:val="21"/>
                <w:highlight w:val="none"/>
                <w:lang w:val="en-US" w:eastAsia="zh-CN"/>
              </w:rPr>
              <w:t>完全</w:t>
            </w:r>
            <w:r>
              <w:rPr>
                <w:rFonts w:hint="eastAsia" w:ascii="宋体" w:hAnsi="宋体" w:cs="宋体"/>
                <w:color w:val="auto"/>
                <w:szCs w:val="21"/>
                <w:highlight w:val="none"/>
              </w:rPr>
              <w:t>满足工程实施需求的得3分；施工机具和检验仪器</w:t>
            </w:r>
            <w:r>
              <w:rPr>
                <w:rFonts w:hint="eastAsia" w:ascii="宋体" w:hAnsi="宋体" w:cs="宋体"/>
                <w:color w:val="auto"/>
                <w:szCs w:val="21"/>
                <w:highlight w:val="none"/>
                <w:lang w:val="en-US" w:eastAsia="zh-CN"/>
              </w:rPr>
              <w:t>投入</w:t>
            </w:r>
            <w:r>
              <w:rPr>
                <w:rFonts w:hint="eastAsia" w:ascii="宋体" w:hAnsi="宋体" w:cs="宋体"/>
                <w:color w:val="auto"/>
                <w:szCs w:val="21"/>
                <w:highlight w:val="none"/>
              </w:rPr>
              <w:t>基本满足工程实施需求的得2分；施工机具和检验仪器</w:t>
            </w:r>
            <w:r>
              <w:rPr>
                <w:rFonts w:hint="eastAsia" w:ascii="宋体" w:hAnsi="宋体" w:cs="宋体"/>
                <w:color w:val="auto"/>
                <w:szCs w:val="21"/>
                <w:highlight w:val="none"/>
                <w:lang w:val="en-US" w:eastAsia="zh-CN"/>
              </w:rPr>
              <w:t>投入</w:t>
            </w:r>
            <w:r>
              <w:rPr>
                <w:rFonts w:hint="eastAsia" w:ascii="宋体" w:hAnsi="宋体" w:cs="宋体"/>
                <w:color w:val="auto"/>
                <w:szCs w:val="21"/>
                <w:highlight w:val="none"/>
              </w:rPr>
              <w:t>存在缺陷的得1分；不满足</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3970" w:type="pct"/>
            <w:vAlign w:val="center"/>
          </w:tcPr>
          <w:p>
            <w:pPr>
              <w:rPr>
                <w:rFonts w:ascii="宋体" w:hAnsi="宋体" w:cs="宋体"/>
                <w:color w:val="auto"/>
                <w:szCs w:val="21"/>
                <w:highlight w:val="none"/>
              </w:rPr>
            </w:pPr>
            <w:r>
              <w:rPr>
                <w:rFonts w:hint="eastAsia" w:ascii="宋体" w:hAnsi="宋体" w:cs="宋体"/>
                <w:color w:val="auto"/>
                <w:szCs w:val="21"/>
                <w:highlight w:val="none"/>
              </w:rPr>
              <w:t>供应商提供的安全、文明施工及市容、环保、消防等的保障措施。保障措施完善且到位的得3分；保障措施基本完善的得2分；保障措施</w:t>
            </w:r>
            <w:r>
              <w:rPr>
                <w:rFonts w:hint="eastAsia" w:ascii="宋体" w:hAnsi="宋体" w:cs="宋体"/>
                <w:color w:val="auto"/>
                <w:szCs w:val="21"/>
                <w:highlight w:val="none"/>
                <w:lang w:val="en-US" w:eastAsia="zh-CN"/>
              </w:rPr>
              <w:t>存在不足</w:t>
            </w:r>
            <w:r>
              <w:rPr>
                <w:rFonts w:hint="eastAsia" w:ascii="宋体" w:hAnsi="宋体" w:cs="宋体"/>
                <w:color w:val="auto"/>
                <w:szCs w:val="21"/>
                <w:highlight w:val="none"/>
              </w:rPr>
              <w:t>的得1分；未提供的不得分。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exact"/>
          <w:tblHeader/>
        </w:trPr>
        <w:tc>
          <w:tcPr>
            <w:tcW w:w="359"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3970" w:type="pct"/>
            <w:vAlign w:val="center"/>
          </w:tcPr>
          <w:p>
            <w:pPr>
              <w:rPr>
                <w:rFonts w:ascii="宋体" w:hAnsi="宋体" w:cs="宋体"/>
                <w:color w:val="auto"/>
                <w:szCs w:val="21"/>
                <w:highlight w:val="none"/>
              </w:rPr>
            </w:pPr>
            <w:r>
              <w:rPr>
                <w:rFonts w:hint="eastAsia" w:ascii="宋体" w:hAnsi="宋体" w:cs="宋体"/>
                <w:color w:val="auto"/>
                <w:szCs w:val="21"/>
                <w:highlight w:val="none"/>
              </w:rPr>
              <w:t>供应商施工阶段提供的降低对师生学习工作生活影响措施（包括降噪、减轻油漆气味、调整作业时间等）。措施完善且到位的得3分；措施基本完善的得2分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存在不足</w:t>
            </w:r>
            <w:r>
              <w:rPr>
                <w:rFonts w:hint="eastAsia" w:ascii="宋体" w:hAnsi="宋体" w:cs="宋体"/>
                <w:color w:val="auto"/>
                <w:szCs w:val="21"/>
                <w:highlight w:val="none"/>
              </w:rPr>
              <w:t>的得1分；未提供的不得分。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tblHeader/>
        </w:trPr>
        <w:tc>
          <w:tcPr>
            <w:tcW w:w="359" w:type="pct"/>
            <w:vAlign w:val="center"/>
          </w:tcPr>
          <w:p>
            <w:pPr>
              <w:jc w:val="center"/>
              <w:rPr>
                <w:rFonts w:ascii="宋体" w:hAnsi="宋体" w:cs="宋体"/>
                <w:color w:val="auto"/>
                <w:szCs w:val="18"/>
                <w:highlight w:val="none"/>
              </w:rPr>
            </w:pPr>
            <w:r>
              <w:rPr>
                <w:rFonts w:hint="eastAsia" w:ascii="宋体" w:hAnsi="宋体" w:cs="宋体"/>
                <w:color w:val="auto"/>
                <w:szCs w:val="18"/>
                <w:highlight w:val="none"/>
              </w:rPr>
              <w:t>16</w:t>
            </w:r>
          </w:p>
        </w:tc>
        <w:tc>
          <w:tcPr>
            <w:tcW w:w="3970" w:type="pct"/>
            <w:vAlign w:val="center"/>
          </w:tcPr>
          <w:p>
            <w:pPr>
              <w:rPr>
                <w:rFonts w:ascii="宋体" w:hAnsi="宋体" w:cs="宋体"/>
                <w:color w:val="auto"/>
                <w:szCs w:val="21"/>
                <w:highlight w:val="none"/>
              </w:rPr>
            </w:pPr>
            <w:r>
              <w:rPr>
                <w:rFonts w:hint="eastAsia" w:ascii="宋体" w:hAnsi="宋体" w:cs="宋体"/>
                <w:color w:val="auto"/>
                <w:szCs w:val="21"/>
                <w:highlight w:val="none"/>
              </w:rPr>
              <w:t>本项目确保施工过程成品</w:t>
            </w:r>
            <w:r>
              <w:rPr>
                <w:rFonts w:hint="eastAsia" w:ascii="宋体" w:hAnsi="宋体" w:cs="宋体"/>
                <w:color w:val="auto"/>
                <w:szCs w:val="21"/>
                <w:highlight w:val="none"/>
                <w:lang w:val="en-US" w:eastAsia="zh-CN"/>
              </w:rPr>
              <w:t>/半成品</w:t>
            </w:r>
            <w:r>
              <w:rPr>
                <w:rFonts w:hint="eastAsia" w:ascii="宋体" w:hAnsi="宋体" w:cs="宋体"/>
                <w:color w:val="auto"/>
                <w:szCs w:val="21"/>
                <w:highlight w:val="none"/>
              </w:rPr>
              <w:t>保护的工作方案进行打分（需提出针对性措施）。保护工作方案科学合理的得4分；保护工作方案基本完善的得</w:t>
            </w:r>
            <w:r>
              <w:rPr>
                <w:rFonts w:hint="eastAsia" w:ascii="宋体" w:hAnsi="宋体" w:cs="宋体"/>
                <w:color w:val="auto"/>
                <w:szCs w:val="21"/>
                <w:highlight w:val="none"/>
                <w:lang w:val="en-US" w:eastAsia="zh-CN"/>
              </w:rPr>
              <w:t>3</w:t>
            </w:r>
            <w:bookmarkStart w:id="823" w:name="_GoBack"/>
            <w:bookmarkEnd w:id="823"/>
            <w:r>
              <w:rPr>
                <w:rFonts w:hint="eastAsia" w:ascii="宋体" w:hAnsi="宋体" w:cs="宋体"/>
                <w:color w:val="auto"/>
                <w:szCs w:val="21"/>
                <w:highlight w:val="none"/>
              </w:rPr>
              <w:t>分；保护工作方案</w:t>
            </w:r>
            <w:r>
              <w:rPr>
                <w:rFonts w:hint="eastAsia" w:ascii="宋体" w:hAnsi="宋体" w:cs="宋体"/>
                <w:color w:val="auto"/>
                <w:szCs w:val="21"/>
                <w:highlight w:val="none"/>
                <w:lang w:val="en-US" w:eastAsia="zh-CN"/>
              </w:rPr>
              <w:t>存在不足</w:t>
            </w:r>
            <w:r>
              <w:rPr>
                <w:rFonts w:hint="eastAsia" w:ascii="宋体" w:hAnsi="宋体" w:cs="宋体"/>
                <w:color w:val="auto"/>
                <w:szCs w:val="21"/>
                <w:highlight w:val="none"/>
              </w:rPr>
              <w:t>的得1分；未提供的不得分。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exact"/>
          <w:tblHeader/>
        </w:trPr>
        <w:tc>
          <w:tcPr>
            <w:tcW w:w="359" w:type="pct"/>
            <w:vAlign w:val="center"/>
          </w:tcPr>
          <w:p>
            <w:pPr>
              <w:jc w:val="center"/>
              <w:rPr>
                <w:rFonts w:ascii="宋体" w:hAnsi="宋体" w:cs="宋体"/>
                <w:color w:val="auto"/>
                <w:szCs w:val="18"/>
                <w:highlight w:val="none"/>
              </w:rPr>
            </w:pPr>
            <w:r>
              <w:rPr>
                <w:rFonts w:hint="eastAsia" w:ascii="宋体" w:hAnsi="宋体" w:cs="宋体"/>
                <w:color w:val="auto"/>
                <w:szCs w:val="18"/>
                <w:highlight w:val="none"/>
              </w:rPr>
              <w:t>17</w:t>
            </w:r>
          </w:p>
        </w:tc>
        <w:tc>
          <w:tcPr>
            <w:tcW w:w="3970" w:type="pct"/>
            <w:vAlign w:val="center"/>
          </w:tcPr>
          <w:p>
            <w:pPr>
              <w:rPr>
                <w:rFonts w:ascii="宋体" w:hAnsi="宋体" w:cs="宋体"/>
                <w:color w:val="auto"/>
                <w:szCs w:val="21"/>
                <w:highlight w:val="none"/>
              </w:rPr>
            </w:pPr>
            <w:r>
              <w:rPr>
                <w:rFonts w:hint="eastAsia" w:ascii="宋体" w:hAnsi="宋体" w:eastAsia="宋体" w:cs="宋体"/>
                <w:color w:val="auto"/>
                <w:sz w:val="21"/>
                <w:szCs w:val="21"/>
                <w:highlight w:val="none"/>
              </w:rPr>
              <w:t>保修期内服务情况</w:t>
            </w:r>
            <w:r>
              <w:rPr>
                <w:rFonts w:hint="eastAsia" w:ascii="宋体" w:hAnsi="宋体" w:eastAsia="宋体" w:cs="宋体"/>
                <w:color w:val="auto"/>
                <w:sz w:val="21"/>
                <w:szCs w:val="21"/>
                <w:highlight w:val="none"/>
                <w:lang w:eastAsia="zh-CN"/>
              </w:rPr>
              <w:t>、</w:t>
            </w:r>
            <w:r>
              <w:rPr>
                <w:rFonts w:hint="eastAsia" w:ascii="宋体" w:hAnsi="宋体" w:cs="宋体"/>
                <w:color w:val="auto"/>
                <w:highlight w:val="none"/>
              </w:rPr>
              <w:t>售后服务方案（包括服务机构、服务内容、服务承诺、响应时间、服务方式、人员配备、应急服务等）：全面、针对采购需求及实际特点、有利于采购标的实现及合同履约。</w:t>
            </w:r>
            <w:r>
              <w:rPr>
                <w:rFonts w:hint="eastAsia" w:ascii="宋体" w:hAnsi="宋体" w:eastAsia="宋体" w:cs="宋体"/>
                <w:color w:val="auto"/>
                <w:sz w:val="21"/>
                <w:szCs w:val="21"/>
                <w:highlight w:val="none"/>
              </w:rPr>
              <w:t>人员配备充足服务到位、响应及时、方案全面具有针对性完全能保证合同履约实现的得3分；人员配备较充足服务较到位、响应较及时、方案全面具有针对性基本能保证合同履约实现的得2分；服务方案有缺陷的得1分；</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不得分。</w:t>
            </w:r>
          </w:p>
          <w:p>
            <w:pPr>
              <w:rPr>
                <w:rFonts w:ascii="宋体" w:hAnsi="宋体" w:cs="宋体"/>
                <w:color w:val="auto"/>
                <w:highlight w:val="none"/>
              </w:rPr>
            </w:pP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tblHeader/>
        </w:trPr>
        <w:tc>
          <w:tcPr>
            <w:tcW w:w="359" w:type="pct"/>
            <w:vAlign w:val="center"/>
          </w:tcPr>
          <w:p>
            <w:pPr>
              <w:jc w:val="center"/>
              <w:rPr>
                <w:rFonts w:ascii="宋体" w:hAnsi="宋体" w:cs="宋体"/>
                <w:color w:val="auto"/>
                <w:szCs w:val="18"/>
                <w:highlight w:val="none"/>
              </w:rPr>
            </w:pPr>
            <w:r>
              <w:rPr>
                <w:rFonts w:hint="eastAsia" w:ascii="宋体" w:hAnsi="宋体" w:cs="宋体"/>
                <w:color w:val="auto"/>
                <w:szCs w:val="18"/>
                <w:highlight w:val="none"/>
              </w:rPr>
              <w:t>18</w:t>
            </w:r>
          </w:p>
        </w:tc>
        <w:tc>
          <w:tcPr>
            <w:tcW w:w="3970" w:type="pct"/>
            <w:vAlign w:val="center"/>
          </w:tcPr>
          <w:p>
            <w:pPr>
              <w:rPr>
                <w:rFonts w:hint="eastAsia" w:ascii="宋体" w:hAnsi="宋体" w:eastAsia="宋体" w:cs="宋体"/>
                <w:color w:val="auto"/>
                <w:highlight w:val="none"/>
                <w:lang w:eastAsia="zh-CN"/>
              </w:rPr>
            </w:pPr>
            <w:r>
              <w:rPr>
                <w:rFonts w:hint="eastAsia" w:ascii="宋体" w:hAnsi="宋体" w:cs="宋体"/>
                <w:color w:val="auto"/>
                <w:highlight w:val="none"/>
              </w:rPr>
              <w:t>突发事件应急措施及</w:t>
            </w:r>
            <w:r>
              <w:rPr>
                <w:rFonts w:hint="eastAsia" w:ascii="宋体" w:hAnsi="宋体" w:cs="宋体"/>
                <w:color w:val="auto"/>
                <w:highlight w:val="none"/>
                <w:lang w:val="en-US" w:eastAsia="zh-CN"/>
              </w:rPr>
              <w:t>处置</w:t>
            </w:r>
            <w:r>
              <w:rPr>
                <w:rFonts w:hint="eastAsia" w:ascii="宋体" w:hAnsi="宋体" w:cs="宋体"/>
                <w:color w:val="auto"/>
                <w:highlight w:val="none"/>
              </w:rPr>
              <w:t>方案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对可能出现的突发事件进行分析，并提出有针对性的应急措施和处置方案。</w:t>
            </w:r>
            <w:r>
              <w:rPr>
                <w:rStyle w:val="29"/>
                <w:rFonts w:hint="eastAsia"/>
                <w:color w:val="auto"/>
                <w:highlight w:val="none"/>
                <w:lang w:val="en-US" w:eastAsia="zh-CN"/>
              </w:rPr>
              <w:t>分析全面、</w:t>
            </w:r>
            <w:r>
              <w:rPr>
                <w:rFonts w:hint="eastAsia" w:ascii="宋体" w:hAnsi="宋体" w:cs="宋体"/>
                <w:color w:val="auto"/>
                <w:highlight w:val="none"/>
                <w:lang w:val="en-US" w:eastAsia="zh-CN"/>
              </w:rPr>
              <w:t>应急</w:t>
            </w:r>
            <w:r>
              <w:rPr>
                <w:rStyle w:val="29"/>
                <w:rFonts w:hint="eastAsia"/>
                <w:color w:val="auto"/>
                <w:highlight w:val="none"/>
                <w:lang w:val="en-US" w:eastAsia="zh-CN"/>
              </w:rPr>
              <w:t>措施和处置方案合理完善的得2.5分；分析、</w:t>
            </w:r>
            <w:r>
              <w:rPr>
                <w:rFonts w:hint="eastAsia" w:ascii="宋体" w:hAnsi="宋体" w:cs="宋体"/>
                <w:color w:val="auto"/>
                <w:highlight w:val="none"/>
                <w:lang w:val="en-US" w:eastAsia="zh-CN"/>
              </w:rPr>
              <w:t>应急</w:t>
            </w:r>
            <w:r>
              <w:rPr>
                <w:rStyle w:val="29"/>
                <w:rFonts w:hint="eastAsia"/>
                <w:color w:val="auto"/>
                <w:highlight w:val="none"/>
                <w:lang w:val="en-US" w:eastAsia="zh-CN"/>
              </w:rPr>
              <w:t>措施、处置方案基本到位的得1.5分；分析、</w:t>
            </w:r>
            <w:r>
              <w:rPr>
                <w:rFonts w:hint="eastAsia" w:ascii="宋体" w:hAnsi="宋体" w:cs="宋体"/>
                <w:color w:val="auto"/>
                <w:highlight w:val="none"/>
                <w:lang w:val="en-US" w:eastAsia="zh-CN"/>
              </w:rPr>
              <w:t>应急</w:t>
            </w:r>
            <w:r>
              <w:rPr>
                <w:rStyle w:val="29"/>
                <w:rFonts w:hint="eastAsia"/>
                <w:color w:val="auto"/>
                <w:highlight w:val="none"/>
                <w:lang w:val="en-US" w:eastAsia="zh-CN"/>
              </w:rPr>
              <w:t>措施、处置方案较差的得0.5分；未提供的不得分。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exact"/>
          <w:tblHeader/>
        </w:trPr>
        <w:tc>
          <w:tcPr>
            <w:tcW w:w="359" w:type="pct"/>
            <w:vAlign w:val="center"/>
          </w:tcPr>
          <w:p>
            <w:pPr>
              <w:jc w:val="center"/>
              <w:rPr>
                <w:rFonts w:ascii="宋体" w:hAnsi="宋体" w:cs="宋体"/>
                <w:color w:val="auto"/>
                <w:szCs w:val="18"/>
                <w:highlight w:val="none"/>
              </w:rPr>
            </w:pPr>
            <w:r>
              <w:rPr>
                <w:rFonts w:hint="eastAsia" w:ascii="宋体" w:hAnsi="宋体" w:cs="宋体"/>
                <w:color w:val="auto"/>
                <w:szCs w:val="18"/>
                <w:highlight w:val="none"/>
              </w:rPr>
              <w:t>19</w:t>
            </w:r>
          </w:p>
        </w:tc>
        <w:tc>
          <w:tcPr>
            <w:tcW w:w="3970" w:type="pct"/>
            <w:vAlign w:val="center"/>
          </w:tcPr>
          <w:p>
            <w:pPr>
              <w:pStyle w:val="9"/>
              <w:spacing w:line="24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主要材料表所选用材料的品质、性能、档次满足磋商文件要求的程度。材料品牌选用完全满足采购文件要求的得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分；材料品牌选用基本满足采购文件要求的得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分；材料品牌选用一般的得1分；未提供的不得分。</w:t>
            </w:r>
          </w:p>
        </w:tc>
        <w:tc>
          <w:tcPr>
            <w:tcW w:w="671" w:type="pct"/>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blHeader/>
        </w:trPr>
        <w:tc>
          <w:tcPr>
            <w:tcW w:w="359" w:type="pct"/>
            <w:vAlign w:val="center"/>
          </w:tcPr>
          <w:p>
            <w:pPr>
              <w:jc w:val="center"/>
              <w:rPr>
                <w:rFonts w:ascii="宋体" w:hAnsi="宋体" w:cs="宋体"/>
                <w:color w:val="auto"/>
                <w:szCs w:val="18"/>
                <w:highlight w:val="none"/>
              </w:rPr>
            </w:pPr>
            <w:r>
              <w:rPr>
                <w:rFonts w:hint="eastAsia" w:ascii="宋体" w:hAnsi="宋体" w:cs="宋体"/>
                <w:color w:val="auto"/>
                <w:szCs w:val="18"/>
                <w:highlight w:val="none"/>
              </w:rPr>
              <w:t>20</w:t>
            </w:r>
          </w:p>
        </w:tc>
        <w:tc>
          <w:tcPr>
            <w:tcW w:w="3970" w:type="pct"/>
            <w:vAlign w:val="center"/>
          </w:tcPr>
          <w:p>
            <w:pPr>
              <w:pStyle w:val="9"/>
              <w:spacing w:line="24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供应商针对本项目配合调试、验收方案等情况。配合调试、验收方案科学合理的得</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分；配合调试、验收方案基本完善的得</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分；配合调试、验收方案欠缺的得1分；未提供的不得分。</w:t>
            </w:r>
          </w:p>
        </w:tc>
        <w:tc>
          <w:tcPr>
            <w:tcW w:w="671" w:type="pct"/>
            <w:vAlign w:val="center"/>
          </w:tcPr>
          <w:p>
            <w:pPr>
              <w:jc w:val="center"/>
              <w:rPr>
                <w:rFonts w:ascii="宋体" w:hAnsi="宋体" w:cs="宋体"/>
                <w:color w:val="auto"/>
                <w:szCs w:val="21"/>
                <w:highlight w:val="none"/>
              </w:rPr>
            </w:pPr>
            <w:r>
              <w:rPr>
                <w:rFonts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blHeader/>
        </w:trPr>
        <w:tc>
          <w:tcPr>
            <w:tcW w:w="359" w:type="pct"/>
            <w:vAlign w:val="center"/>
          </w:tcPr>
          <w:p>
            <w:pPr>
              <w:jc w:val="center"/>
              <w:rPr>
                <w:rFonts w:ascii="宋体" w:hAnsi="宋体" w:cs="宋体"/>
                <w:color w:val="auto"/>
                <w:szCs w:val="18"/>
                <w:highlight w:val="none"/>
              </w:rPr>
            </w:pPr>
            <w:r>
              <w:rPr>
                <w:rFonts w:hint="eastAsia" w:ascii="宋体" w:hAnsi="宋体" w:cs="宋体"/>
                <w:color w:val="auto"/>
                <w:szCs w:val="18"/>
                <w:highlight w:val="none"/>
              </w:rPr>
              <w:t>21</w:t>
            </w:r>
          </w:p>
        </w:tc>
        <w:tc>
          <w:tcPr>
            <w:tcW w:w="3970" w:type="pct"/>
            <w:vAlign w:val="center"/>
          </w:tcPr>
          <w:p>
            <w:pPr>
              <w:pStyle w:val="9"/>
              <w:spacing w:line="24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供应商针对本工程的渣土处置方案。方案科学合理的得3分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方案基本完善的得2分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存在不足的</w:t>
            </w:r>
            <w:r>
              <w:rPr>
                <w:rFonts w:hint="eastAsia" w:ascii="宋体" w:hAnsi="宋体" w:eastAsia="宋体" w:cs="宋体"/>
                <w:color w:val="auto"/>
                <w:sz w:val="21"/>
                <w:szCs w:val="21"/>
                <w:highlight w:val="none"/>
              </w:rPr>
              <w:t>得1分；未提供的不得分。</w:t>
            </w:r>
          </w:p>
        </w:tc>
        <w:tc>
          <w:tcPr>
            <w:tcW w:w="671"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tblHeader/>
        </w:trPr>
        <w:tc>
          <w:tcPr>
            <w:tcW w:w="359" w:type="pct"/>
            <w:vAlign w:val="center"/>
          </w:tcPr>
          <w:p>
            <w:pPr>
              <w:jc w:val="center"/>
              <w:rPr>
                <w:rFonts w:hint="default" w:ascii="宋体" w:hAnsi="宋体" w:eastAsia="宋体" w:cs="宋体"/>
                <w:color w:val="auto"/>
                <w:szCs w:val="18"/>
                <w:highlight w:val="none"/>
                <w:lang w:val="en-US" w:eastAsia="zh-CN"/>
              </w:rPr>
            </w:pPr>
            <w:r>
              <w:rPr>
                <w:rFonts w:hint="eastAsia" w:ascii="宋体" w:hAnsi="宋体" w:cs="宋体"/>
                <w:color w:val="auto"/>
                <w:szCs w:val="18"/>
                <w:highlight w:val="none"/>
                <w:lang w:val="en-US" w:eastAsia="zh-CN"/>
              </w:rPr>
              <w:t>22</w:t>
            </w:r>
          </w:p>
        </w:tc>
        <w:tc>
          <w:tcPr>
            <w:tcW w:w="3970" w:type="pct"/>
            <w:vAlign w:val="center"/>
          </w:tcPr>
          <w:p>
            <w:pPr>
              <w:pStyle w:val="9"/>
              <w:spacing w:line="240" w:lineRule="auto"/>
              <w:ind w:firstLine="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供应商提供的质保期承诺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在要求的2年质保期的基础上，每增加1年得2分，本项最高得2分（绿化工程质保期为1年，不因此而调整）。（提供承诺书，格式自拟）</w:t>
            </w:r>
          </w:p>
        </w:tc>
        <w:tc>
          <w:tcPr>
            <w:tcW w:w="671" w:type="pct"/>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exact"/>
          <w:tblHeader/>
        </w:trPr>
        <w:tc>
          <w:tcPr>
            <w:tcW w:w="359" w:type="pct"/>
            <w:vAlign w:val="center"/>
          </w:tcPr>
          <w:p>
            <w:pPr>
              <w:jc w:val="center"/>
              <w:rPr>
                <w:rFonts w:hint="eastAsia" w:ascii="宋体" w:hAnsi="宋体" w:eastAsia="宋体" w:cs="宋体"/>
                <w:color w:val="auto"/>
                <w:szCs w:val="18"/>
                <w:highlight w:val="none"/>
                <w:lang w:eastAsia="zh-CN"/>
              </w:rPr>
            </w:pPr>
            <w:r>
              <w:rPr>
                <w:rFonts w:hint="eastAsia" w:ascii="宋体" w:hAnsi="宋体" w:cs="宋体"/>
                <w:color w:val="auto"/>
                <w:szCs w:val="18"/>
                <w:highlight w:val="none"/>
              </w:rPr>
              <w:t>2</w:t>
            </w:r>
            <w:r>
              <w:rPr>
                <w:rFonts w:hint="eastAsia" w:ascii="宋体" w:hAnsi="宋体" w:cs="宋体"/>
                <w:color w:val="auto"/>
                <w:szCs w:val="18"/>
                <w:highlight w:val="none"/>
                <w:lang w:val="en-US" w:eastAsia="zh-CN"/>
              </w:rPr>
              <w:t>3</w:t>
            </w:r>
          </w:p>
        </w:tc>
        <w:tc>
          <w:tcPr>
            <w:tcW w:w="3970" w:type="pct"/>
            <w:vAlign w:val="center"/>
          </w:tcPr>
          <w:p>
            <w:pPr>
              <w:jc w:val="left"/>
              <w:rPr>
                <w:rFonts w:ascii="宋体" w:hAnsi="宋体" w:cs="宋体"/>
                <w:color w:val="auto"/>
                <w:szCs w:val="18"/>
                <w:highlight w:val="none"/>
              </w:rPr>
            </w:pPr>
            <w:r>
              <w:rPr>
                <w:rFonts w:hint="eastAsia" w:ascii="宋体" w:hAnsi="宋体" w:cs="宋体"/>
                <w:color w:val="auto"/>
                <w:szCs w:val="21"/>
                <w:highlight w:val="none"/>
              </w:rPr>
              <w:t>节能环保：所投材料列入财政部、环境保护部发布有效期内环境标志产品政府采购清单的得0.5分，列入财政部、国家发展和改革委员会联合发布有效期内节能产品政府采购清单的得0.5分（根据最新政府采购节能产品、环境标志产品品目清单进行评分，供应商应在响应文件中提供相关依据国家确定的认证机构出具的、处于有效期之内的节能产品、环境标志产品认证证书证明材料，否则不得分）。</w:t>
            </w:r>
          </w:p>
        </w:tc>
        <w:tc>
          <w:tcPr>
            <w:tcW w:w="671" w:type="pct"/>
            <w:vAlign w:val="center"/>
          </w:tcPr>
          <w:p>
            <w:pPr>
              <w:pStyle w:val="665"/>
              <w:spacing w:before="0" w:line="240" w:lineRule="auto"/>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r>
    </w:tbl>
    <w:p>
      <w:pPr>
        <w:pStyle w:val="663"/>
        <w:spacing w:line="360" w:lineRule="auto"/>
        <w:ind w:firstLine="422"/>
        <w:rPr>
          <w:rStyle w:val="41"/>
          <w:rFonts w:ascii="宋体" w:hAnsi="宋体" w:cs="宋体"/>
          <w:b/>
          <w:bCs/>
          <w:color w:val="auto"/>
          <w:szCs w:val="21"/>
          <w:highlight w:val="none"/>
        </w:rPr>
      </w:pPr>
      <w:r>
        <w:rPr>
          <w:rStyle w:val="41"/>
          <w:rFonts w:hint="eastAsia" w:ascii="宋体" w:hAnsi="宋体"/>
          <w:b/>
          <w:color w:val="auto"/>
          <w:szCs w:val="21"/>
          <w:highlight w:val="none"/>
        </w:rPr>
        <w:t>说明：</w:t>
      </w:r>
      <w:r>
        <w:rPr>
          <w:rFonts w:hint="eastAsia" w:ascii="宋体" w:hAnsi="宋体" w:cs="宋体"/>
          <w:color w:val="auto"/>
          <w:highlight w:val="none"/>
        </w:rPr>
        <w:t>如为联合体参与政府采购活动的，联合体双方任一方提供的证明材料均有效。</w:t>
      </w:r>
    </w:p>
    <w:p>
      <w:pPr>
        <w:pStyle w:val="102"/>
        <w:snapToGrid w:val="0"/>
        <w:spacing w:line="360" w:lineRule="auto"/>
        <w:ind w:firstLine="310" w:firstLineChars="147"/>
        <w:rPr>
          <w:rStyle w:val="41"/>
          <w:rFonts w:ascii="宋体" w:hAnsi="宋体" w:eastAsia="宋体"/>
          <w:b/>
          <w:color w:val="auto"/>
          <w:sz w:val="21"/>
          <w:szCs w:val="21"/>
          <w:highlight w:val="none"/>
        </w:rPr>
      </w:pPr>
      <w:r>
        <w:rPr>
          <w:rStyle w:val="41"/>
          <w:rFonts w:ascii="宋体" w:hAnsi="宋体" w:eastAsia="宋体"/>
          <w:b/>
          <w:color w:val="auto"/>
          <w:sz w:val="21"/>
          <w:szCs w:val="21"/>
          <w:highlight w:val="none"/>
        </w:rPr>
        <w:t>3、报价文件符合性审查：</w:t>
      </w:r>
    </w:p>
    <w:p>
      <w:pPr>
        <w:snapToGrid w:val="0"/>
        <w:spacing w:line="360" w:lineRule="auto"/>
        <w:ind w:firstLine="413" w:firstLineChars="196"/>
        <w:rPr>
          <w:rStyle w:val="41"/>
          <w:rFonts w:ascii="宋体" w:hAnsi="宋体"/>
          <w:b/>
          <w:color w:val="auto"/>
          <w:highlight w:val="none"/>
          <w:u w:val="thick"/>
        </w:rPr>
      </w:pPr>
      <w:r>
        <w:rPr>
          <w:rStyle w:val="41"/>
          <w:rFonts w:ascii="宋体" w:hAnsi="宋体"/>
          <w:b/>
          <w:color w:val="auto"/>
          <w:highlight w:val="none"/>
          <w:u w:val="thick" w:color="000000"/>
        </w:rPr>
        <w:t>报价文件符合性审查中，存在下列情形之一的，经磋商小组认定后作无效标处理：</w:t>
      </w:r>
    </w:p>
    <w:p>
      <w:pPr>
        <w:snapToGrid w:val="0"/>
        <w:spacing w:line="360" w:lineRule="auto"/>
        <w:ind w:firstLine="200"/>
        <w:rPr>
          <w:rStyle w:val="41"/>
          <w:rFonts w:ascii="宋体" w:hAnsi="宋体" w:cs="宋体"/>
          <w:color w:val="auto"/>
          <w:highlight w:val="none"/>
        </w:rPr>
      </w:pPr>
      <w:r>
        <w:rPr>
          <w:rStyle w:val="41"/>
          <w:rFonts w:hint="eastAsia" w:ascii="宋体" w:hAnsi="宋体" w:cs="宋体"/>
          <w:color w:val="auto"/>
          <w:highlight w:val="none"/>
        </w:rPr>
        <w:t>（1）仅提交“备份响应文件”的；</w:t>
      </w:r>
    </w:p>
    <w:p>
      <w:pPr>
        <w:pStyle w:val="114"/>
        <w:tabs>
          <w:tab w:val="left" w:pos="454"/>
        </w:tabs>
        <w:snapToGrid w:val="0"/>
        <w:spacing w:line="360" w:lineRule="auto"/>
        <w:ind w:firstLine="200"/>
        <w:rPr>
          <w:rStyle w:val="41"/>
          <w:rFonts w:hAnsi="宋体" w:cs="宋体"/>
          <w:color w:val="auto"/>
          <w:szCs w:val="21"/>
          <w:highlight w:val="none"/>
        </w:rPr>
      </w:pPr>
      <w:r>
        <w:rPr>
          <w:rStyle w:val="41"/>
          <w:rFonts w:hint="eastAsia" w:hAnsi="宋体" w:cs="宋体"/>
          <w:color w:val="auto"/>
          <w:highlight w:val="none"/>
        </w:rPr>
        <w:t>（2）响应文件存在一个或一个以上备选（替代）投标方案的；</w:t>
      </w:r>
    </w:p>
    <w:p>
      <w:pPr>
        <w:pStyle w:val="114"/>
        <w:tabs>
          <w:tab w:val="left" w:pos="454"/>
        </w:tabs>
        <w:snapToGrid w:val="0"/>
        <w:spacing w:line="360" w:lineRule="auto"/>
        <w:ind w:firstLine="200"/>
        <w:rPr>
          <w:rStyle w:val="41"/>
          <w:rFonts w:hAnsi="宋体" w:cs="宋体"/>
          <w:color w:val="auto"/>
          <w:highlight w:val="none"/>
        </w:rPr>
      </w:pPr>
      <w:r>
        <w:rPr>
          <w:rStyle w:val="41"/>
          <w:rFonts w:hint="eastAsia" w:hAnsi="宋体" w:cs="宋体"/>
          <w:color w:val="auto"/>
          <w:highlight w:val="none"/>
        </w:rPr>
        <w:t>（3）未按照磋商文件标明的币种报价的，或者投标报价涵盖的内容不符合磋商文件要</w:t>
      </w:r>
    </w:p>
    <w:p>
      <w:pPr>
        <w:pStyle w:val="114"/>
        <w:tabs>
          <w:tab w:val="left" w:pos="454"/>
        </w:tabs>
        <w:snapToGrid w:val="0"/>
        <w:spacing w:line="360" w:lineRule="auto"/>
        <w:ind w:firstLine="200"/>
        <w:rPr>
          <w:rStyle w:val="41"/>
          <w:rFonts w:hAnsi="宋体" w:cs="宋体"/>
          <w:color w:val="auto"/>
          <w:highlight w:val="none"/>
        </w:rPr>
      </w:pPr>
      <w:r>
        <w:rPr>
          <w:rStyle w:val="41"/>
          <w:rFonts w:hint="eastAsia" w:hAnsi="宋体" w:cs="宋体"/>
          <w:color w:val="auto"/>
          <w:highlight w:val="none"/>
        </w:rPr>
        <w:t>求的；</w:t>
      </w:r>
    </w:p>
    <w:p>
      <w:pPr>
        <w:snapToGrid w:val="0"/>
        <w:spacing w:line="360" w:lineRule="auto"/>
        <w:ind w:firstLine="200"/>
        <w:rPr>
          <w:rStyle w:val="41"/>
          <w:rFonts w:ascii="宋体" w:hAnsi="宋体" w:cs="宋体"/>
          <w:color w:val="auto"/>
          <w:highlight w:val="none"/>
        </w:rPr>
      </w:pPr>
      <w:r>
        <w:rPr>
          <w:rStyle w:val="41"/>
          <w:rFonts w:hint="eastAsia" w:ascii="宋体" w:hAnsi="宋体" w:cs="宋体"/>
          <w:color w:val="auto"/>
          <w:szCs w:val="21"/>
          <w:highlight w:val="none"/>
        </w:rPr>
        <w:t>（4）《报价一览表》和《投标价格组成明细表》内容不一致且不接受修正的；</w:t>
      </w:r>
    </w:p>
    <w:p>
      <w:pPr>
        <w:snapToGrid w:val="0"/>
        <w:spacing w:line="360" w:lineRule="auto"/>
        <w:ind w:firstLine="200"/>
        <w:rPr>
          <w:rStyle w:val="41"/>
          <w:rFonts w:ascii="宋体" w:hAnsi="宋体" w:cs="宋体"/>
          <w:color w:val="auto"/>
          <w:highlight w:val="none"/>
        </w:rPr>
      </w:pPr>
      <w:r>
        <w:rPr>
          <w:rStyle w:val="41"/>
          <w:rFonts w:hint="eastAsia" w:ascii="宋体" w:hAnsi="宋体" w:cs="宋体"/>
          <w:color w:val="auto"/>
          <w:szCs w:val="21"/>
          <w:highlight w:val="none"/>
        </w:rPr>
        <w:t>（5）响应文件内容未按竞争性磋商文件规定签字或盖章的；</w:t>
      </w:r>
    </w:p>
    <w:p>
      <w:pPr>
        <w:pStyle w:val="114"/>
        <w:tabs>
          <w:tab w:val="left" w:pos="454"/>
        </w:tabs>
        <w:snapToGrid w:val="0"/>
        <w:spacing w:line="360" w:lineRule="auto"/>
        <w:ind w:firstLine="200"/>
        <w:rPr>
          <w:rStyle w:val="41"/>
          <w:rFonts w:hAnsi="宋体" w:cs="宋体"/>
          <w:color w:val="auto"/>
          <w:szCs w:val="21"/>
          <w:highlight w:val="none"/>
        </w:rPr>
      </w:pPr>
      <w:r>
        <w:rPr>
          <w:rStyle w:val="41"/>
          <w:rFonts w:hint="eastAsia" w:hAnsi="宋体" w:cs="宋体"/>
          <w:color w:val="auto"/>
          <w:szCs w:val="21"/>
          <w:highlight w:val="none"/>
        </w:rPr>
        <w:t>（6）响应文件组成漏项或未按规定的格式编制，内容不全或内容字迹模糊辨认不清的</w:t>
      </w:r>
    </w:p>
    <w:p>
      <w:pPr>
        <w:pStyle w:val="114"/>
        <w:tabs>
          <w:tab w:val="left" w:pos="454"/>
        </w:tabs>
        <w:snapToGrid w:val="0"/>
        <w:spacing w:line="360" w:lineRule="auto"/>
        <w:ind w:firstLine="200"/>
        <w:rPr>
          <w:rStyle w:val="41"/>
          <w:rFonts w:hAnsi="宋体" w:cs="宋体"/>
          <w:color w:val="auto"/>
          <w:szCs w:val="21"/>
          <w:highlight w:val="none"/>
        </w:rPr>
      </w:pPr>
      <w:r>
        <w:rPr>
          <w:rStyle w:val="41"/>
          <w:rFonts w:hint="eastAsia" w:hAnsi="宋体" w:cs="宋体"/>
          <w:color w:val="auto"/>
          <w:szCs w:val="21"/>
          <w:highlight w:val="none"/>
        </w:rPr>
        <w:t>而导致评审活动无法正常进行；</w:t>
      </w:r>
    </w:p>
    <w:p>
      <w:pPr>
        <w:pStyle w:val="114"/>
        <w:tabs>
          <w:tab w:val="left" w:pos="454"/>
        </w:tabs>
        <w:snapToGrid w:val="0"/>
        <w:spacing w:line="360" w:lineRule="auto"/>
        <w:ind w:firstLine="200"/>
        <w:rPr>
          <w:rStyle w:val="41"/>
          <w:rFonts w:hAnsi="宋体" w:cs="宋体"/>
          <w:color w:val="auto"/>
          <w:szCs w:val="21"/>
          <w:highlight w:val="none"/>
        </w:rPr>
      </w:pPr>
      <w:r>
        <w:rPr>
          <w:rStyle w:val="41"/>
          <w:rFonts w:hint="eastAsia" w:hAnsi="宋体" w:cs="宋体"/>
          <w:color w:val="auto"/>
          <w:szCs w:val="21"/>
          <w:highlight w:val="none"/>
        </w:rPr>
        <w:t>（7）供应商未按竞争性磋商文件变更公告通知更改响应文件的；</w:t>
      </w:r>
    </w:p>
    <w:p>
      <w:pPr>
        <w:snapToGrid w:val="0"/>
        <w:spacing w:line="360" w:lineRule="auto"/>
        <w:ind w:firstLine="200"/>
        <w:rPr>
          <w:rStyle w:val="41"/>
          <w:rFonts w:ascii="宋体" w:hAnsi="宋体" w:cs="宋体"/>
          <w:color w:val="auto"/>
          <w:highlight w:val="none"/>
        </w:rPr>
      </w:pPr>
      <w:r>
        <w:rPr>
          <w:rStyle w:val="41"/>
          <w:rFonts w:hint="eastAsia" w:ascii="宋体" w:hAnsi="宋体" w:cs="宋体"/>
          <w:color w:val="auto"/>
          <w:szCs w:val="21"/>
          <w:highlight w:val="none"/>
        </w:rPr>
        <w:t>（8）磋商最终报价超过</w:t>
      </w:r>
      <w:r>
        <w:rPr>
          <w:rStyle w:val="41"/>
          <w:rFonts w:hint="eastAsia" w:ascii="宋体" w:hAnsi="宋体" w:cs="宋体"/>
          <w:color w:val="auto"/>
          <w:highlight w:val="none"/>
        </w:rPr>
        <w:t>最高限价</w:t>
      </w:r>
      <w:r>
        <w:rPr>
          <w:rStyle w:val="41"/>
          <w:rFonts w:hint="eastAsia" w:ascii="宋体" w:hAnsi="宋体" w:cs="宋体"/>
          <w:color w:val="auto"/>
          <w:szCs w:val="21"/>
          <w:highlight w:val="none"/>
        </w:rPr>
        <w:t>的；</w:t>
      </w:r>
    </w:p>
    <w:p>
      <w:pPr>
        <w:tabs>
          <w:tab w:val="left" w:pos="454"/>
        </w:tabs>
        <w:snapToGrid w:val="0"/>
        <w:spacing w:line="360" w:lineRule="auto"/>
        <w:ind w:firstLine="200"/>
        <w:rPr>
          <w:rFonts w:ascii="宋体" w:hAnsi="宋体" w:cs="宋体"/>
          <w:color w:val="auto"/>
          <w:highlight w:val="none"/>
        </w:rPr>
      </w:pPr>
      <w:r>
        <w:rPr>
          <w:rStyle w:val="41"/>
          <w:rFonts w:hint="eastAsia" w:ascii="宋体" w:hAnsi="宋体" w:cs="宋体"/>
          <w:color w:val="auto"/>
          <w:highlight w:val="none"/>
        </w:rPr>
        <w:t>（9）评审小组认为供应商报价明显低于其他合格供应商的报价，有可能影响产品质量或者不能诚信履约的，应当要求其在30分钟内在线提供说明，必要时提供相关证明材料；供应商不能证明其报价合理性的，磋商小组应当将其作为无效投标或者无效响应处理；</w:t>
      </w:r>
    </w:p>
    <w:p>
      <w:pPr>
        <w:tabs>
          <w:tab w:val="left" w:pos="454"/>
        </w:tabs>
        <w:snapToGrid w:val="0"/>
        <w:spacing w:line="360" w:lineRule="auto"/>
        <w:ind w:firstLine="200"/>
        <w:rPr>
          <w:rFonts w:ascii="宋体" w:hAnsi="宋体" w:cs="宋体"/>
          <w:color w:val="auto"/>
          <w:highlight w:val="none"/>
        </w:rPr>
      </w:pPr>
      <w:r>
        <w:rPr>
          <w:rFonts w:hint="eastAsia" w:ascii="宋体" w:hAnsi="宋体" w:cs="宋体"/>
          <w:color w:val="auto"/>
          <w:highlight w:val="none"/>
        </w:rPr>
        <w:t>（10）供应商报价低于项目预算50%的，未在报价文件中详细阐述不影响产品质量或者诚信履约的具体原因的；</w:t>
      </w:r>
    </w:p>
    <w:p>
      <w:pPr>
        <w:pStyle w:val="114"/>
        <w:tabs>
          <w:tab w:val="left" w:pos="454"/>
        </w:tabs>
        <w:snapToGrid w:val="0"/>
        <w:spacing w:line="360" w:lineRule="auto"/>
        <w:ind w:firstLine="200"/>
        <w:rPr>
          <w:rStyle w:val="41"/>
          <w:rFonts w:hAnsi="宋体" w:cs="宋体"/>
          <w:color w:val="auto"/>
          <w:szCs w:val="21"/>
          <w:highlight w:val="none"/>
        </w:rPr>
      </w:pPr>
      <w:r>
        <w:rPr>
          <w:rStyle w:val="41"/>
          <w:rFonts w:hint="eastAsia" w:hAnsi="宋体" w:cs="宋体"/>
          <w:color w:val="auto"/>
          <w:szCs w:val="21"/>
          <w:highlight w:val="none"/>
        </w:rPr>
        <w:t>（11）未实质性响应竞争性磋商文件中带“▲”条款要求的响应文件；</w:t>
      </w:r>
    </w:p>
    <w:p>
      <w:pPr>
        <w:pStyle w:val="114"/>
        <w:tabs>
          <w:tab w:val="left" w:pos="454"/>
        </w:tabs>
        <w:snapToGrid w:val="0"/>
        <w:spacing w:line="360" w:lineRule="auto"/>
        <w:ind w:firstLine="200"/>
        <w:rPr>
          <w:rStyle w:val="41"/>
          <w:rFonts w:hAnsi="宋体" w:cs="宋体"/>
          <w:color w:val="auto"/>
          <w:szCs w:val="21"/>
          <w:highlight w:val="none"/>
        </w:rPr>
      </w:pPr>
      <w:r>
        <w:rPr>
          <w:rStyle w:val="41"/>
          <w:rFonts w:hint="eastAsia" w:hAnsi="宋体" w:cs="宋体"/>
          <w:color w:val="auto"/>
          <w:szCs w:val="21"/>
          <w:highlight w:val="none"/>
        </w:rPr>
        <w:t>（12）不符合磋商范围、技术规格、技术标准的要求无法满足采购人使用要求；</w:t>
      </w:r>
    </w:p>
    <w:p>
      <w:pPr>
        <w:pStyle w:val="114"/>
        <w:tabs>
          <w:tab w:val="left" w:pos="454"/>
        </w:tabs>
        <w:snapToGrid w:val="0"/>
        <w:spacing w:line="360" w:lineRule="auto"/>
        <w:ind w:firstLine="200"/>
        <w:rPr>
          <w:rStyle w:val="41"/>
          <w:rFonts w:hAnsi="宋体" w:cs="宋体"/>
          <w:color w:val="auto"/>
          <w:szCs w:val="21"/>
          <w:highlight w:val="none"/>
        </w:rPr>
      </w:pPr>
      <w:r>
        <w:rPr>
          <w:rStyle w:val="41"/>
          <w:rFonts w:hint="eastAsia" w:hAnsi="宋体" w:cs="宋体"/>
          <w:color w:val="auto"/>
          <w:szCs w:val="21"/>
          <w:highlight w:val="none"/>
        </w:rPr>
        <w:t>（13）响应文件附有采购人不能接受的条款；</w:t>
      </w:r>
    </w:p>
    <w:p>
      <w:pPr>
        <w:pStyle w:val="114"/>
        <w:tabs>
          <w:tab w:val="left" w:pos="454"/>
        </w:tabs>
        <w:snapToGrid w:val="0"/>
        <w:spacing w:line="360" w:lineRule="auto"/>
        <w:ind w:firstLine="200"/>
        <w:rPr>
          <w:rStyle w:val="41"/>
          <w:rFonts w:hAnsi="宋体" w:cs="宋体"/>
          <w:color w:val="auto"/>
          <w:szCs w:val="21"/>
          <w:highlight w:val="none"/>
        </w:rPr>
      </w:pPr>
      <w:r>
        <w:rPr>
          <w:rStyle w:val="41"/>
          <w:rFonts w:hint="eastAsia" w:hAnsi="宋体" w:cs="宋体"/>
          <w:color w:val="auto"/>
          <w:szCs w:val="21"/>
          <w:highlight w:val="none"/>
        </w:rPr>
        <w:t>（14）存在串标、抬标或弄虚作假情况的；</w:t>
      </w:r>
    </w:p>
    <w:p>
      <w:pPr>
        <w:pStyle w:val="114"/>
        <w:tabs>
          <w:tab w:val="left" w:pos="454"/>
        </w:tabs>
        <w:snapToGrid w:val="0"/>
        <w:spacing w:line="360" w:lineRule="auto"/>
        <w:ind w:firstLine="200"/>
        <w:rPr>
          <w:rStyle w:val="41"/>
          <w:rFonts w:hAnsi="宋体" w:cs="宋体"/>
          <w:color w:val="auto"/>
          <w:highlight w:val="none"/>
        </w:rPr>
      </w:pPr>
      <w:r>
        <w:rPr>
          <w:rStyle w:val="41"/>
          <w:rFonts w:hint="eastAsia" w:hAnsi="宋体" w:cs="宋体"/>
          <w:color w:val="auto"/>
          <w:szCs w:val="21"/>
          <w:highlight w:val="none"/>
        </w:rPr>
        <w:t>（15）违反国家及</w:t>
      </w:r>
      <w:r>
        <w:rPr>
          <w:rStyle w:val="41"/>
          <w:rFonts w:hint="eastAsia" w:hAnsi="宋体" w:cs="宋体"/>
          <w:color w:val="auto"/>
          <w:highlight w:val="none"/>
        </w:rPr>
        <w:t>政府部门相关法律、法规、文件规定。</w:t>
      </w:r>
    </w:p>
    <w:p>
      <w:pPr>
        <w:pStyle w:val="102"/>
        <w:snapToGrid w:val="0"/>
        <w:spacing w:line="360" w:lineRule="auto"/>
        <w:ind w:firstLine="422"/>
        <w:rPr>
          <w:rStyle w:val="41"/>
          <w:rFonts w:ascii="宋体" w:hAnsi="宋体" w:eastAsia="宋体"/>
          <w:b/>
          <w:color w:val="auto"/>
          <w:sz w:val="21"/>
          <w:szCs w:val="21"/>
          <w:highlight w:val="none"/>
        </w:rPr>
      </w:pPr>
      <w:r>
        <w:rPr>
          <w:rStyle w:val="41"/>
          <w:rFonts w:ascii="宋体" w:hAnsi="宋体" w:eastAsia="宋体"/>
          <w:b/>
          <w:color w:val="auto"/>
          <w:sz w:val="21"/>
          <w:szCs w:val="21"/>
          <w:highlight w:val="none"/>
        </w:rPr>
        <w:t>4、报价分   总分</w:t>
      </w:r>
      <w:r>
        <w:rPr>
          <w:rStyle w:val="41"/>
          <w:rFonts w:ascii="宋体" w:hAnsi="宋体" w:eastAsia="宋体"/>
          <w:b/>
          <w:color w:val="auto"/>
          <w:sz w:val="21"/>
          <w:szCs w:val="21"/>
          <w:highlight w:val="none"/>
          <w:u w:val="single" w:color="000000"/>
        </w:rPr>
        <w:t xml:space="preserve"> 30 </w:t>
      </w:r>
      <w:r>
        <w:rPr>
          <w:rStyle w:val="41"/>
          <w:rFonts w:ascii="宋体" w:hAnsi="宋体" w:eastAsia="宋体"/>
          <w:b/>
          <w:color w:val="auto"/>
          <w:sz w:val="21"/>
          <w:szCs w:val="21"/>
          <w:highlight w:val="none"/>
        </w:rPr>
        <w:t>分</w:t>
      </w:r>
    </w:p>
    <w:p>
      <w:pPr>
        <w:snapToGrid w:val="0"/>
        <w:spacing w:line="360" w:lineRule="auto"/>
        <w:ind w:firstLine="420" w:firstLineChars="200"/>
        <w:rPr>
          <w:rStyle w:val="41"/>
          <w:rFonts w:ascii="宋体" w:hAnsi="宋体"/>
          <w:color w:val="auto"/>
          <w:kern w:val="0"/>
          <w:szCs w:val="21"/>
          <w:highlight w:val="none"/>
        </w:rPr>
      </w:pPr>
      <w:r>
        <w:rPr>
          <w:rStyle w:val="41"/>
          <w:rFonts w:ascii="宋体" w:hAnsi="宋体"/>
          <w:color w:val="auto"/>
          <w:kern w:val="0"/>
          <w:szCs w:val="21"/>
          <w:highlight w:val="none"/>
        </w:rPr>
        <w:t>报价评分将在有效供应商范围内进行，最高得</w:t>
      </w:r>
      <w:r>
        <w:rPr>
          <w:rStyle w:val="41"/>
          <w:rFonts w:ascii="宋体" w:hAnsi="宋体"/>
          <w:color w:val="auto"/>
          <w:kern w:val="0"/>
          <w:szCs w:val="21"/>
          <w:highlight w:val="none"/>
          <w:u w:val="single" w:color="000000"/>
        </w:rPr>
        <w:t xml:space="preserve"> 30 </w:t>
      </w:r>
      <w:r>
        <w:rPr>
          <w:rStyle w:val="41"/>
          <w:rFonts w:ascii="宋体" w:hAnsi="宋体"/>
          <w:color w:val="auto"/>
          <w:kern w:val="0"/>
          <w:szCs w:val="21"/>
          <w:highlight w:val="none"/>
        </w:rPr>
        <w:t>分，最低得</w:t>
      </w:r>
      <w:r>
        <w:rPr>
          <w:rStyle w:val="41"/>
          <w:rFonts w:ascii="宋体" w:hAnsi="宋体"/>
          <w:color w:val="auto"/>
          <w:kern w:val="0"/>
          <w:szCs w:val="21"/>
          <w:highlight w:val="none"/>
          <w:u w:val="single" w:color="000000"/>
        </w:rPr>
        <w:t xml:space="preserve"> 0 </w:t>
      </w:r>
      <w:r>
        <w:rPr>
          <w:rStyle w:val="41"/>
          <w:rFonts w:ascii="宋体" w:hAnsi="宋体"/>
          <w:color w:val="auto"/>
          <w:kern w:val="0"/>
          <w:szCs w:val="21"/>
          <w:highlight w:val="none"/>
        </w:rPr>
        <w:t>分（小数点后保留二位小数，第三位四舍五入）。满足竞争性磋商文件要求且最后报价最低的</w:t>
      </w:r>
      <w:r>
        <w:rPr>
          <w:rStyle w:val="41"/>
          <w:rFonts w:ascii="宋体" w:hAnsi="宋体"/>
          <w:b/>
          <w:color w:val="auto"/>
          <w:kern w:val="0"/>
          <w:szCs w:val="21"/>
          <w:highlight w:val="none"/>
          <w:u w:val="thick" w:color="000000"/>
        </w:rPr>
        <w:t>磋商报价</w:t>
      </w:r>
      <w:r>
        <w:rPr>
          <w:rStyle w:val="41"/>
          <w:rFonts w:ascii="宋体" w:hAnsi="宋体"/>
          <w:color w:val="auto"/>
          <w:kern w:val="0"/>
          <w:szCs w:val="21"/>
          <w:highlight w:val="none"/>
        </w:rPr>
        <w:t>为</w:t>
      </w:r>
      <w:r>
        <w:rPr>
          <w:rStyle w:val="41"/>
          <w:rFonts w:ascii="宋体" w:hAnsi="宋体"/>
          <w:b/>
          <w:color w:val="auto"/>
          <w:kern w:val="0"/>
          <w:szCs w:val="21"/>
          <w:highlight w:val="none"/>
          <w:u w:val="thick" w:color="000000"/>
        </w:rPr>
        <w:t>磋商基准价</w:t>
      </w:r>
      <w:r>
        <w:rPr>
          <w:rStyle w:val="41"/>
          <w:rFonts w:ascii="宋体" w:hAnsi="宋体"/>
          <w:color w:val="auto"/>
          <w:kern w:val="0"/>
          <w:szCs w:val="21"/>
          <w:highlight w:val="none"/>
        </w:rPr>
        <w:t>，供应商的价格分统一按照下列公式计算：</w:t>
      </w:r>
    </w:p>
    <w:p>
      <w:pPr>
        <w:snapToGrid w:val="0"/>
        <w:spacing w:line="360" w:lineRule="auto"/>
        <w:ind w:firstLine="420" w:firstLineChars="200"/>
        <w:rPr>
          <w:rStyle w:val="41"/>
          <w:rFonts w:ascii="宋体" w:hAnsi="宋体"/>
          <w:color w:val="auto"/>
          <w:kern w:val="0"/>
          <w:szCs w:val="21"/>
          <w:highlight w:val="none"/>
        </w:rPr>
      </w:pPr>
      <w:r>
        <w:rPr>
          <w:rStyle w:val="41"/>
          <w:rFonts w:ascii="宋体" w:hAnsi="宋体"/>
          <w:color w:val="auto"/>
          <w:kern w:val="0"/>
          <w:szCs w:val="21"/>
          <w:highlight w:val="none"/>
        </w:rPr>
        <w:t>磋商报价得分=（磋商基准价/最后磋商报价）×价格权值×100</w:t>
      </w:r>
    </w:p>
    <w:p>
      <w:pPr>
        <w:snapToGrid w:val="0"/>
        <w:spacing w:line="360" w:lineRule="auto"/>
        <w:ind w:firstLine="420" w:firstLineChars="200"/>
        <w:rPr>
          <w:rStyle w:val="41"/>
          <w:rFonts w:ascii="宋体" w:hAnsi="宋体"/>
          <w:b/>
          <w:color w:val="auto"/>
          <w:kern w:val="0"/>
          <w:szCs w:val="21"/>
          <w:highlight w:val="none"/>
        </w:rPr>
      </w:pPr>
      <w:r>
        <w:rPr>
          <w:rStyle w:val="41"/>
          <w:rFonts w:ascii="宋体" w:hAnsi="宋体"/>
          <w:color w:val="auto"/>
          <w:kern w:val="0"/>
          <w:szCs w:val="21"/>
          <w:highlight w:val="none"/>
        </w:rPr>
        <w:t>（1）根据财政部发布的《政府采购促进中小企业发展管理办法》财库（2020）46号。</w:t>
      </w:r>
      <w:r>
        <w:rPr>
          <w:rStyle w:val="41"/>
          <w:rFonts w:ascii="宋体" w:hAnsi="宋体"/>
          <w:b/>
          <w:color w:val="auto"/>
          <w:kern w:val="0"/>
          <w:szCs w:val="21"/>
          <w:highlight w:val="none"/>
        </w:rPr>
        <w:t>本项目专门面向中小企业采购，小型、微型、监狱及残疾人福利性企业价格不予扣除。</w:t>
      </w:r>
    </w:p>
    <w:p>
      <w:pPr>
        <w:pStyle w:val="102"/>
        <w:snapToGrid w:val="0"/>
        <w:spacing w:line="360" w:lineRule="auto"/>
        <w:ind w:firstLine="422"/>
        <w:rPr>
          <w:rStyle w:val="41"/>
          <w:rFonts w:ascii="Arial" w:hAnsi="Arial" w:eastAsia="宋体" w:cs="Arial"/>
          <w:b/>
          <w:bCs/>
          <w:color w:val="auto"/>
          <w:sz w:val="21"/>
          <w:highlight w:val="none"/>
        </w:rPr>
      </w:pPr>
      <w:r>
        <w:rPr>
          <w:rStyle w:val="41"/>
          <w:rFonts w:ascii="Arial" w:hAnsi="宋体" w:eastAsia="宋体" w:cs="Arial"/>
          <w:b/>
          <w:bCs/>
          <w:color w:val="auto"/>
          <w:sz w:val="21"/>
          <w:highlight w:val="none"/>
        </w:rPr>
        <w:t>六、询</w:t>
      </w:r>
      <w:r>
        <w:rPr>
          <w:rStyle w:val="41"/>
          <w:rFonts w:ascii="Arial" w:hAnsi="Arial" w:eastAsia="宋体" w:cs="Arial"/>
          <w:b/>
          <w:bCs/>
          <w:color w:val="auto"/>
          <w:sz w:val="21"/>
          <w:highlight w:val="none"/>
        </w:rPr>
        <w:t xml:space="preserve"> </w:t>
      </w:r>
      <w:r>
        <w:rPr>
          <w:rStyle w:val="41"/>
          <w:rFonts w:ascii="Arial" w:hAnsi="宋体" w:eastAsia="宋体" w:cs="Arial"/>
          <w:b/>
          <w:bCs/>
          <w:color w:val="auto"/>
          <w:sz w:val="21"/>
          <w:highlight w:val="none"/>
        </w:rPr>
        <w:t>标</w:t>
      </w:r>
    </w:p>
    <w:p>
      <w:pPr>
        <w:pStyle w:val="102"/>
        <w:snapToGrid w:val="0"/>
        <w:spacing w:line="360" w:lineRule="auto"/>
        <w:ind w:firstLine="420"/>
        <w:rPr>
          <w:rStyle w:val="41"/>
          <w:rFonts w:ascii="宋体" w:hAnsi="宋体" w:eastAsia="宋体"/>
          <w:color w:val="auto"/>
          <w:sz w:val="21"/>
          <w:highlight w:val="none"/>
        </w:rPr>
      </w:pPr>
      <w:r>
        <w:rPr>
          <w:rStyle w:val="41"/>
          <w:rFonts w:ascii="宋体" w:hAnsi="宋体" w:eastAsia="宋体"/>
          <w:color w:val="auto"/>
          <w:sz w:val="21"/>
          <w:highlight w:val="none"/>
        </w:rPr>
        <w:t>对响应文件中存在含义不清楚的内容，必要时磋商小组要求供应商作必要的澄清、说明或补正。磋商小组和供应商应当通过政采云平台交换数据电文。给予供应商提交澄清说明或补正的时间为30分钟以内，供应商已经明确表示澄清说明或补正完毕的除外。询标记录将作为响应文件的一部分。</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 xml:space="preserve">七、成交办法 </w:t>
      </w:r>
    </w:p>
    <w:p>
      <w:pPr>
        <w:snapToGrid w:val="0"/>
        <w:spacing w:line="360" w:lineRule="auto"/>
        <w:ind w:firstLine="420" w:firstLineChars="200"/>
        <w:textAlignment w:val="bottom"/>
        <w:rPr>
          <w:rStyle w:val="41"/>
          <w:rFonts w:ascii="宋体" w:hAnsi="宋体"/>
          <w:color w:val="auto"/>
          <w:highlight w:val="none"/>
        </w:rPr>
      </w:pPr>
      <w:r>
        <w:rPr>
          <w:rStyle w:val="41"/>
          <w:rFonts w:ascii="宋体" w:hAnsi="宋体"/>
          <w:color w:val="auto"/>
          <w:highlight w:val="none"/>
        </w:rPr>
        <w:t xml:space="preserve">采购人将根据磋商小组提交的评审报告及推荐的成交候选人，按有关规定确定成交人。 </w:t>
      </w:r>
    </w:p>
    <w:p>
      <w:pPr>
        <w:snapToGrid w:val="0"/>
        <w:spacing w:line="360" w:lineRule="auto"/>
        <w:ind w:firstLine="422" w:firstLineChars="200"/>
        <w:jc w:val="left"/>
        <w:rPr>
          <w:rStyle w:val="41"/>
          <w:rFonts w:ascii="Arial" w:hAnsi="Arial" w:cs="Arial"/>
          <w:b/>
          <w:bCs/>
          <w:color w:val="auto"/>
          <w:highlight w:val="none"/>
        </w:rPr>
      </w:pPr>
      <w:r>
        <w:rPr>
          <w:rStyle w:val="41"/>
          <w:rFonts w:ascii="Arial" w:hAnsi="宋体" w:cs="Arial"/>
          <w:b/>
          <w:bCs/>
          <w:color w:val="auto"/>
          <w:highlight w:val="none"/>
        </w:rPr>
        <w:t>八、供应商义务</w:t>
      </w:r>
    </w:p>
    <w:p>
      <w:pPr>
        <w:snapToGrid w:val="0"/>
        <w:spacing w:line="360" w:lineRule="auto"/>
        <w:ind w:firstLine="420" w:firstLineChars="200"/>
        <w:jc w:val="left"/>
        <w:rPr>
          <w:rStyle w:val="41"/>
          <w:rFonts w:ascii="Arial" w:hAnsi="宋体"/>
          <w:color w:val="auto"/>
          <w:highlight w:val="none"/>
        </w:rPr>
      </w:pPr>
      <w:r>
        <w:rPr>
          <w:rStyle w:val="41"/>
          <w:rFonts w:ascii="Arial" w:hAnsi="宋体"/>
          <w:color w:val="auto"/>
          <w:highlight w:val="none"/>
        </w:rPr>
        <w:t>评审期间，供应商应随时在线答复磋商小组的询标，解答包括有关的商务、技术问题等。</w:t>
      </w:r>
    </w:p>
    <w:p>
      <w:pPr>
        <w:pStyle w:val="114"/>
        <w:snapToGrid w:val="0"/>
        <w:spacing w:line="360" w:lineRule="auto"/>
        <w:rPr>
          <w:rStyle w:val="41"/>
          <w:rFonts w:ascii="Arial" w:hAnsi="宋体"/>
          <w:color w:val="auto"/>
          <w:highlight w:val="none"/>
        </w:rPr>
      </w:pPr>
      <w:r>
        <w:rPr>
          <w:rStyle w:val="41"/>
          <w:rFonts w:ascii="Arial" w:hAnsi="宋体"/>
          <w:color w:val="auto"/>
          <w:highlight w:val="none"/>
        </w:rPr>
        <w:br w:type="page"/>
      </w:r>
    </w:p>
    <w:p>
      <w:pPr>
        <w:pStyle w:val="114"/>
        <w:snapToGrid w:val="0"/>
        <w:spacing w:line="360" w:lineRule="auto"/>
        <w:ind w:firstLine="422" w:firstLineChars="200"/>
        <w:rPr>
          <w:rStyle w:val="41"/>
          <w:rFonts w:hAnsi="宋体"/>
          <w:b/>
          <w:color w:val="auto"/>
          <w:szCs w:val="21"/>
          <w:highlight w:val="none"/>
        </w:rPr>
      </w:pPr>
    </w:p>
    <w:p>
      <w:pPr>
        <w:pStyle w:val="32"/>
        <w:numPr>
          <w:ilvl w:val="0"/>
          <w:numId w:val="6"/>
        </w:numPr>
        <w:snapToGrid w:val="0"/>
        <w:outlineLvl w:val="0"/>
        <w:rPr>
          <w:rStyle w:val="41"/>
          <w:rFonts w:ascii="宋体" w:hAnsi="宋体"/>
          <w:color w:val="auto"/>
          <w:highlight w:val="none"/>
        </w:rPr>
      </w:pPr>
      <w:r>
        <w:rPr>
          <w:rStyle w:val="41"/>
          <w:rFonts w:ascii="宋体" w:hAnsi="宋体"/>
          <w:color w:val="auto"/>
          <w:highlight w:val="none"/>
        </w:rPr>
        <w:t xml:space="preserve"> </w:t>
      </w:r>
      <w:bookmarkStart w:id="46" w:name="_Toc6100"/>
      <w:r>
        <w:rPr>
          <w:rStyle w:val="41"/>
          <w:rFonts w:ascii="宋体" w:hAnsi="宋体"/>
          <w:color w:val="auto"/>
          <w:highlight w:val="none"/>
        </w:rPr>
        <w:t>合同</w:t>
      </w:r>
      <w:bookmarkEnd w:id="46"/>
    </w:p>
    <w:p>
      <w:pPr>
        <w:jc w:val="right"/>
        <w:rPr>
          <w:color w:val="auto"/>
          <w:highlight w:val="none"/>
        </w:rPr>
      </w:pPr>
      <w:r>
        <w:rPr>
          <w:rFonts w:hint="eastAsia"/>
          <w:color w:val="auto"/>
          <w:szCs w:val="21"/>
          <w:highlight w:val="none"/>
        </w:rPr>
        <w:t>合同编号：BF-2024</w:t>
      </w:r>
      <w:r>
        <w:rPr>
          <w:rFonts w:hint="eastAsia"/>
          <w:color w:val="auto"/>
          <w:szCs w:val="21"/>
          <w:highlight w:val="none"/>
          <w:lang w:val="en-US" w:eastAsia="zh-CN"/>
        </w:rPr>
        <w:t>0</w:t>
      </w:r>
      <w:r>
        <w:rPr>
          <w:rFonts w:hint="eastAsia"/>
          <w:color w:val="auto"/>
          <w:szCs w:val="21"/>
          <w:highlight w:val="none"/>
        </w:rPr>
        <w:t>xx</w:t>
      </w:r>
      <w:r>
        <w:rPr>
          <w:color w:val="auto"/>
          <w:highlight w:val="none"/>
        </w:rPr>
        <w:fldChar w:fldCharType="begin"/>
      </w:r>
      <w:r>
        <w:rPr>
          <w:color w:val="auto"/>
          <w:highlight w:val="none"/>
        </w:rPr>
        <w:instrText xml:space="preserve"> HYPERLINK "https://pay.zcygov.cn/purchaseplan_front/" \l "/plan/list/detail?id=1000000000007939580&amp;encrypt=3409fe55dffdf667efdf4b8d253ac42f" \t "https://www.zcygov.cn/delegation-order/order/orderList/_blank" </w:instrText>
      </w:r>
      <w:r>
        <w:rPr>
          <w:color w:val="auto"/>
          <w:highlight w:val="none"/>
        </w:rPr>
        <w:fldChar w:fldCharType="separate"/>
      </w:r>
      <w:r>
        <w:rPr>
          <w:color w:val="auto"/>
          <w:highlight w:val="none"/>
        </w:rPr>
        <w:fldChar w:fldCharType="end"/>
      </w:r>
    </w:p>
    <w:p>
      <w:pPr>
        <w:pStyle w:val="4"/>
        <w:jc w:val="center"/>
        <w:rPr>
          <w:rFonts w:ascii="宋体" w:hAnsi="宋体" w:cs="Arial"/>
          <w:b/>
          <w:color w:val="auto"/>
          <w:sz w:val="32"/>
          <w:szCs w:val="24"/>
          <w:highlight w:val="none"/>
        </w:rPr>
      </w:pPr>
      <w:r>
        <w:rPr>
          <w:rFonts w:hint="eastAsia" w:ascii="宋体" w:hAnsi="宋体" w:cs="Arial"/>
          <w:b/>
          <w:color w:val="auto"/>
          <w:sz w:val="32"/>
          <w:szCs w:val="24"/>
          <w:highlight w:val="none"/>
        </w:rPr>
        <w:t>一、</w:t>
      </w:r>
      <w:r>
        <w:rPr>
          <w:rFonts w:ascii="宋体" w:hAnsi="宋体" w:cs="Arial"/>
          <w:b/>
          <w:color w:val="auto"/>
          <w:sz w:val="32"/>
          <w:szCs w:val="24"/>
          <w:highlight w:val="none"/>
        </w:rPr>
        <w:t>合同协议书</w:t>
      </w:r>
    </w:p>
    <w:p>
      <w:pPr>
        <w:jc w:val="center"/>
        <w:rPr>
          <w:color w:val="auto"/>
          <w:highlight w:val="none"/>
        </w:rPr>
      </w:pPr>
      <w:r>
        <w:rPr>
          <w:rFonts w:hint="eastAsia"/>
          <w:color w:val="auto"/>
          <w:szCs w:val="21"/>
          <w:highlight w:val="none"/>
        </w:rPr>
        <w:t xml:space="preserve">                                                 </w:t>
      </w:r>
      <w:r>
        <w:rPr>
          <w:color w:val="auto"/>
          <w:szCs w:val="21"/>
          <w:highlight w:val="none"/>
        </w:rPr>
        <w:t>浙财采确：</w:t>
      </w:r>
      <w:r>
        <w:rPr>
          <w:rFonts w:hint="eastAsia"/>
          <w:color w:val="auto"/>
          <w:szCs w:val="21"/>
          <w:highlight w:val="none"/>
        </w:rPr>
        <w:t>[2024]25142</w:t>
      </w:r>
      <w:r>
        <w:rPr>
          <w:rFonts w:hint="eastAsia"/>
          <w:color w:val="auto"/>
          <w:szCs w:val="21"/>
          <w:highlight w:val="none"/>
          <w:lang w:eastAsia="zh-CN"/>
        </w:rPr>
        <w:t>、</w:t>
      </w:r>
      <w:r>
        <w:rPr>
          <w:rFonts w:hint="eastAsia"/>
          <w:color w:val="auto"/>
          <w:szCs w:val="21"/>
          <w:highlight w:val="none"/>
        </w:rPr>
        <w:t>2514</w:t>
      </w:r>
      <w:r>
        <w:rPr>
          <w:rFonts w:hint="eastAsia"/>
          <w:color w:val="auto"/>
          <w:szCs w:val="21"/>
          <w:highlight w:val="none"/>
          <w:lang w:val="en-US" w:eastAsia="zh-CN"/>
        </w:rPr>
        <w:t>3</w:t>
      </w:r>
      <w:r>
        <w:rPr>
          <w:rFonts w:hint="eastAsia"/>
          <w:color w:val="auto"/>
          <w:szCs w:val="21"/>
          <w:highlight w:val="none"/>
        </w:rPr>
        <w:t>号</w:t>
      </w:r>
    </w:p>
    <w:p>
      <w:pPr>
        <w:snapToGrid w:val="0"/>
        <w:spacing w:line="360" w:lineRule="auto"/>
        <w:ind w:firstLine="420" w:firstLineChars="200"/>
        <w:rPr>
          <w:rFonts w:ascii="宋体" w:hAnsi="宋体" w:cs="Courier New"/>
          <w:bCs/>
          <w:color w:val="auto"/>
          <w:kern w:val="0"/>
          <w:szCs w:val="21"/>
          <w:highlight w:val="none"/>
        </w:rPr>
      </w:pPr>
      <w:r>
        <w:rPr>
          <w:rFonts w:hint="eastAsia" w:ascii="宋体" w:hAnsi="宋体" w:cs="Courier New"/>
          <w:bCs/>
          <w:color w:val="auto"/>
          <w:kern w:val="0"/>
          <w:szCs w:val="21"/>
          <w:highlight w:val="none"/>
        </w:rPr>
        <w:t>甲方</w:t>
      </w:r>
      <w:r>
        <w:rPr>
          <w:rFonts w:ascii="宋体" w:hAnsi="宋体" w:cs="Courier New"/>
          <w:bCs/>
          <w:color w:val="auto"/>
          <w:kern w:val="0"/>
          <w:szCs w:val="21"/>
          <w:highlight w:val="none"/>
        </w:rPr>
        <w:t>（发包人全称）</w:t>
      </w:r>
      <w:r>
        <w:rPr>
          <w:rFonts w:hint="eastAsia" w:ascii="宋体" w:hAnsi="宋体" w:cs="Courier New"/>
          <w:bCs/>
          <w:color w:val="auto"/>
          <w:kern w:val="0"/>
          <w:szCs w:val="21"/>
          <w:highlight w:val="none"/>
        </w:rPr>
        <w:t>：</w:t>
      </w:r>
      <w:r>
        <w:rPr>
          <w:rFonts w:hint="eastAsia" w:ascii="宋体" w:hAnsi="宋体"/>
          <w:color w:val="auto"/>
          <w:szCs w:val="21"/>
          <w:highlight w:val="none"/>
          <w:u w:val="single"/>
        </w:rPr>
        <w:t xml:space="preserve">                            </w:t>
      </w:r>
      <w:r>
        <w:rPr>
          <w:rFonts w:ascii="宋体" w:hAnsi="宋体" w:cs="Courier New"/>
          <w:bCs/>
          <w:color w:val="auto"/>
          <w:kern w:val="0"/>
          <w:szCs w:val="21"/>
          <w:highlight w:val="none"/>
        </w:rPr>
        <w:t></w:t>
      </w:r>
    </w:p>
    <w:p>
      <w:pPr>
        <w:snapToGrid w:val="0"/>
        <w:spacing w:line="360" w:lineRule="auto"/>
        <w:ind w:firstLine="420" w:firstLineChars="200"/>
        <w:rPr>
          <w:rFonts w:ascii="宋体" w:hAnsi="宋体"/>
          <w:color w:val="auto"/>
          <w:szCs w:val="21"/>
          <w:highlight w:val="none"/>
          <w:u w:val="single"/>
        </w:rPr>
      </w:pPr>
      <w:r>
        <w:rPr>
          <w:rFonts w:hint="eastAsia" w:ascii="宋体" w:hAnsi="宋体" w:cs="Courier New"/>
          <w:bCs/>
          <w:color w:val="auto"/>
          <w:kern w:val="0"/>
          <w:szCs w:val="21"/>
          <w:highlight w:val="none"/>
        </w:rPr>
        <w:t>乙方</w:t>
      </w:r>
      <w:r>
        <w:rPr>
          <w:rFonts w:ascii="宋体" w:hAnsi="宋体" w:cs="Courier New"/>
          <w:bCs/>
          <w:color w:val="auto"/>
          <w:kern w:val="0"/>
          <w:szCs w:val="21"/>
          <w:highlight w:val="none"/>
        </w:rPr>
        <w:t>（</w:t>
      </w:r>
      <w:bookmarkStart w:id="47" w:name="_Hlk134387942"/>
      <w:r>
        <w:rPr>
          <w:rFonts w:ascii="宋体" w:hAnsi="宋体" w:cs="Courier New"/>
          <w:bCs/>
          <w:color w:val="auto"/>
          <w:kern w:val="0"/>
          <w:szCs w:val="21"/>
          <w:highlight w:val="none"/>
        </w:rPr>
        <w:t>承包人</w:t>
      </w:r>
      <w:bookmarkEnd w:id="47"/>
      <w:r>
        <w:rPr>
          <w:rFonts w:ascii="宋体" w:hAnsi="宋体" w:cs="Courier New"/>
          <w:bCs/>
          <w:color w:val="auto"/>
          <w:kern w:val="0"/>
          <w:szCs w:val="21"/>
          <w:highlight w:val="none"/>
        </w:rPr>
        <w:t>全称）：</w:t>
      </w:r>
      <w:r>
        <w:rPr>
          <w:rFonts w:hint="eastAsia" w:ascii="宋体" w:hAnsi="宋体"/>
          <w:color w:val="auto"/>
          <w:szCs w:val="21"/>
          <w:highlight w:val="none"/>
          <w:u w:val="single"/>
        </w:rPr>
        <w:t xml:space="preserve">                            </w:t>
      </w:r>
    </w:p>
    <w:p>
      <w:pPr>
        <w:snapToGrid w:val="0"/>
        <w:spacing w:line="360" w:lineRule="auto"/>
        <w:ind w:firstLine="420" w:firstLineChars="200"/>
        <w:rPr>
          <w:bCs/>
          <w:color w:val="auto"/>
          <w:szCs w:val="21"/>
          <w:highlight w:val="none"/>
        </w:rPr>
      </w:pPr>
      <w:r>
        <w:rPr>
          <w:bCs/>
          <w:color w:val="auto"/>
          <w:szCs w:val="21"/>
          <w:highlight w:val="none"/>
        </w:rPr>
        <w:t>鉴证方：浙江省成套招标代理有限公司</w:t>
      </w:r>
    </w:p>
    <w:p>
      <w:pPr>
        <w:widowControl w:val="0"/>
        <w:snapToGrid w:val="0"/>
        <w:spacing w:line="360" w:lineRule="auto"/>
        <w:ind w:firstLine="420" w:firstLineChars="200"/>
        <w:textAlignment w:val="auto"/>
        <w:rPr>
          <w:color w:val="auto"/>
          <w:szCs w:val="21"/>
          <w:highlight w:val="none"/>
        </w:rPr>
      </w:pPr>
      <w:r>
        <w:rPr>
          <w:color w:val="auto"/>
          <w:kern w:val="0"/>
          <w:szCs w:val="21"/>
          <w:highlight w:val="none"/>
        </w:rPr>
        <w:t>按照《中华人民共和国政府采购法》、《政府采购竞争性磋商采购方式管理暂行办法》等有关规定，经浙江省成套招标代理有限公司进行竞争性磋商评审，确定</w:t>
      </w:r>
      <w:r>
        <w:rPr>
          <w:color w:val="auto"/>
          <w:kern w:val="0"/>
          <w:szCs w:val="21"/>
          <w:highlight w:val="none"/>
          <w:u w:val="single"/>
        </w:rPr>
        <w:t xml:space="preserve"> </w:t>
      </w:r>
      <w:r>
        <w:rPr>
          <w:rStyle w:val="41"/>
          <w:rFonts w:hint="eastAsia"/>
          <w:color w:val="auto"/>
          <w:kern w:val="0"/>
          <w:szCs w:val="22"/>
          <w:highlight w:val="none"/>
          <w:u w:val="single" w:color="000000"/>
        </w:rPr>
        <w:t xml:space="preserve">       </w:t>
      </w:r>
      <w:r>
        <w:rPr>
          <w:rStyle w:val="41"/>
          <w:color w:val="auto"/>
          <w:kern w:val="0"/>
          <w:szCs w:val="21"/>
          <w:highlight w:val="none"/>
          <w:u w:val="single" w:color="000000"/>
        </w:rPr>
        <w:t xml:space="preserve"> </w:t>
      </w:r>
      <w:r>
        <w:rPr>
          <w:color w:val="auto"/>
          <w:kern w:val="0"/>
          <w:szCs w:val="21"/>
          <w:highlight w:val="none"/>
        </w:rPr>
        <w:t>为</w:t>
      </w:r>
      <w:r>
        <w:rPr>
          <w:color w:val="auto"/>
          <w:szCs w:val="21"/>
          <w:highlight w:val="none"/>
          <w:u w:val="single"/>
        </w:rPr>
        <w:t xml:space="preserve"> </w:t>
      </w:r>
      <w:r>
        <w:rPr>
          <w:rFonts w:hint="eastAsia"/>
          <w:color w:val="auto"/>
          <w:szCs w:val="21"/>
          <w:highlight w:val="none"/>
          <w:u w:val="single"/>
          <w:lang w:eastAsia="zh-CN"/>
        </w:rPr>
        <w:t>浙江理工大学下沙校区教学东区消防管网改造工程</w:t>
      </w:r>
      <w:r>
        <w:rPr>
          <w:color w:val="auto"/>
          <w:szCs w:val="21"/>
          <w:highlight w:val="none"/>
          <w:u w:val="single"/>
        </w:rPr>
        <w:t>（</w:t>
      </w:r>
      <w:r>
        <w:rPr>
          <w:rFonts w:hint="eastAsia"/>
          <w:color w:val="auto"/>
          <w:szCs w:val="21"/>
          <w:highlight w:val="none"/>
          <w:u w:val="single"/>
          <w:lang w:eastAsia="zh-CN"/>
        </w:rPr>
        <w:t>CTZB-2024050477</w:t>
      </w:r>
      <w:r>
        <w:rPr>
          <w:color w:val="auto"/>
          <w:szCs w:val="21"/>
          <w:highlight w:val="none"/>
          <w:u w:val="single"/>
        </w:rPr>
        <w:t>）</w:t>
      </w:r>
      <w:r>
        <w:rPr>
          <w:color w:val="auto"/>
          <w:szCs w:val="21"/>
          <w:highlight w:val="none"/>
        </w:rPr>
        <w:t>的</w:t>
      </w:r>
      <w:r>
        <w:rPr>
          <w:color w:val="auto"/>
          <w:kern w:val="0"/>
          <w:szCs w:val="21"/>
          <w:highlight w:val="none"/>
        </w:rPr>
        <w:t>成交人</w:t>
      </w:r>
      <w:r>
        <w:rPr>
          <w:color w:val="auto"/>
          <w:szCs w:val="21"/>
          <w:highlight w:val="none"/>
        </w:rPr>
        <w:t>。根据《中华人民共和国民法典》和</w:t>
      </w:r>
      <w:r>
        <w:rPr>
          <w:rStyle w:val="41"/>
          <w:bCs/>
          <w:color w:val="auto"/>
          <w:kern w:val="0"/>
          <w:szCs w:val="21"/>
          <w:highlight w:val="none"/>
        </w:rPr>
        <w:t>《中华人民共和国建筑法》</w:t>
      </w:r>
      <w:r>
        <w:rPr>
          <w:color w:val="auto"/>
          <w:szCs w:val="21"/>
          <w:highlight w:val="none"/>
        </w:rPr>
        <w:t>及相关法律、行政法规，以及本工程的采购文件、响应文件、询标记录、竞争性磋商结果及其它有关协定，遵循平等、自愿、公平和诚信原则，双方就本工程施工</w:t>
      </w:r>
      <w:r>
        <w:rPr>
          <w:rStyle w:val="41"/>
          <w:bCs/>
          <w:color w:val="auto"/>
          <w:kern w:val="0"/>
          <w:szCs w:val="21"/>
          <w:highlight w:val="none"/>
        </w:rPr>
        <w:t>及有关事项</w:t>
      </w:r>
      <w:r>
        <w:rPr>
          <w:color w:val="auto"/>
          <w:szCs w:val="21"/>
          <w:highlight w:val="none"/>
        </w:rPr>
        <w:t>事宜经协商一致，订立本合同。</w:t>
      </w:r>
      <w:r>
        <w:rPr>
          <w:b/>
          <w:bCs/>
          <w:color w:val="auto"/>
          <w:szCs w:val="21"/>
          <w:highlight w:val="none"/>
        </w:rPr>
        <w:t>本合同为中小企业预留合同。</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一、工程概况</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1.工程名称：</w:t>
      </w:r>
      <w:r>
        <w:rPr>
          <w:rStyle w:val="41"/>
          <w:rFonts w:ascii="宋体" w:hAnsi="宋体"/>
          <w:color w:val="auto"/>
          <w:szCs w:val="21"/>
          <w:highlight w:val="none"/>
          <w:u w:val="single" w:color="000000"/>
        </w:rPr>
        <w:t xml:space="preserve">                                    </w:t>
      </w:r>
      <w:r>
        <w:rPr>
          <w:rStyle w:val="41"/>
          <w:rFonts w:ascii="宋体" w:hAnsi="宋体" w:cs="Courier New"/>
          <w:bCs/>
          <w:color w:val="auto"/>
          <w:kern w:val="0"/>
          <w:szCs w:val="21"/>
          <w:highlight w:val="none"/>
        </w:rPr>
        <w:t>。</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2.工程地点：</w:t>
      </w:r>
      <w:r>
        <w:rPr>
          <w:rStyle w:val="41"/>
          <w:rFonts w:ascii="宋体" w:hAnsi="宋体"/>
          <w:color w:val="auto"/>
          <w:szCs w:val="21"/>
          <w:highlight w:val="none"/>
          <w:u w:val="single" w:color="000000"/>
        </w:rPr>
        <w:t xml:space="preserve">                          </w:t>
      </w:r>
      <w:r>
        <w:rPr>
          <w:rStyle w:val="41"/>
          <w:rFonts w:ascii="宋体" w:hAnsi="宋体" w:cs="Courier New"/>
          <w:bCs/>
          <w:color w:val="auto"/>
          <w:kern w:val="0"/>
          <w:szCs w:val="21"/>
          <w:highlight w:val="none"/>
        </w:rPr>
        <w:t>。</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3.工程立项批准文号</w:t>
      </w:r>
      <w:r>
        <w:rPr>
          <w:rStyle w:val="41"/>
          <w:rFonts w:ascii="宋体" w:hAnsi="宋体"/>
          <w:color w:val="auto"/>
          <w:szCs w:val="21"/>
          <w:highlight w:val="none"/>
        </w:rPr>
        <w:t>：</w:t>
      </w:r>
      <w:r>
        <w:rPr>
          <w:rStyle w:val="41"/>
          <w:rFonts w:ascii="宋体" w:hAnsi="宋体"/>
          <w:color w:val="auto"/>
          <w:szCs w:val="21"/>
          <w:highlight w:val="none"/>
          <w:u w:val="single" w:color="000000"/>
        </w:rPr>
        <w:t xml:space="preserve">                          </w:t>
      </w:r>
      <w:r>
        <w:rPr>
          <w:rStyle w:val="41"/>
          <w:rFonts w:ascii="宋体" w:hAnsi="宋体" w:cs="Courier New"/>
          <w:bCs/>
          <w:color w:val="auto"/>
          <w:kern w:val="0"/>
          <w:szCs w:val="21"/>
          <w:highlight w:val="none"/>
        </w:rPr>
        <w:t>。</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4.资金来源：</w:t>
      </w:r>
      <w:r>
        <w:rPr>
          <w:rStyle w:val="41"/>
          <w:rFonts w:ascii="宋体" w:hAnsi="宋体" w:cs="Courier New"/>
          <w:bCs/>
          <w:color w:val="auto"/>
          <w:kern w:val="0"/>
          <w:szCs w:val="21"/>
          <w:highlight w:val="none"/>
          <w:u w:val="single" w:color="000000"/>
        </w:rPr>
        <w:t xml:space="preserve">            </w:t>
      </w:r>
      <w:r>
        <w:rPr>
          <w:rStyle w:val="41"/>
          <w:rFonts w:ascii="宋体" w:hAnsi="宋体" w:cs="Courier New"/>
          <w:bCs/>
          <w:color w:val="auto"/>
          <w:kern w:val="0"/>
          <w:szCs w:val="21"/>
          <w:highlight w:val="none"/>
        </w:rPr>
        <w:t>。</w:t>
      </w:r>
    </w:p>
    <w:p>
      <w:pPr>
        <w:pStyle w:val="114"/>
        <w:snapToGrid w:val="0"/>
        <w:spacing w:line="360" w:lineRule="auto"/>
        <w:ind w:firstLine="420" w:firstLineChars="200"/>
        <w:rPr>
          <w:rStyle w:val="41"/>
          <w:rFonts w:hAnsi="宋体"/>
          <w:color w:val="auto"/>
          <w:szCs w:val="21"/>
          <w:highlight w:val="none"/>
          <w:u w:val="single"/>
        </w:rPr>
      </w:pPr>
      <w:r>
        <w:rPr>
          <w:rStyle w:val="41"/>
          <w:rFonts w:hAnsi="宋体"/>
          <w:bCs/>
          <w:color w:val="auto"/>
          <w:kern w:val="0"/>
          <w:szCs w:val="21"/>
          <w:highlight w:val="none"/>
        </w:rPr>
        <w:t>5.工程内容：</w:t>
      </w:r>
      <w:r>
        <w:rPr>
          <w:rStyle w:val="41"/>
          <w:rFonts w:hAnsi="宋体"/>
          <w:color w:val="auto"/>
          <w:szCs w:val="21"/>
          <w:highlight w:val="none"/>
          <w:u w:val="single" w:color="000000"/>
        </w:rPr>
        <w:t xml:space="preserve">               </w:t>
      </w:r>
      <w:r>
        <w:rPr>
          <w:rStyle w:val="41"/>
          <w:rFonts w:hAnsi="宋体"/>
          <w:color w:val="auto"/>
          <w:szCs w:val="21"/>
          <w:highlight w:val="none"/>
        </w:rPr>
        <w:t>。</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6.工程承包范围：采购文件、工程量清单中包括的所有工程等。</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二、合同工期</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计划开工日期：    年月  日。</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计划竣工日期：年月日。</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工期总日历天数：</w:t>
      </w:r>
      <w:r>
        <w:rPr>
          <w:rStyle w:val="41"/>
          <w:rFonts w:ascii="宋体" w:hAnsi="宋体" w:cs="Courier New"/>
          <w:bCs/>
          <w:color w:val="auto"/>
          <w:kern w:val="0"/>
          <w:szCs w:val="21"/>
          <w:highlight w:val="none"/>
          <w:u w:val="single" w:color="000000"/>
        </w:rPr>
        <w:t xml:space="preserve">    </w:t>
      </w:r>
      <w:r>
        <w:rPr>
          <w:rStyle w:val="41"/>
          <w:rFonts w:ascii="宋体" w:hAnsi="宋体" w:cs="Courier New"/>
          <w:bCs/>
          <w:color w:val="auto"/>
          <w:kern w:val="0"/>
          <w:szCs w:val="21"/>
          <w:highlight w:val="none"/>
        </w:rPr>
        <w:t>天。工期总日历天数与根据前述计划开竣工日期计算的工期天数不一致的，以工期总日历天数为准。</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三、质量标准</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工程质量符合（工程施工质量验收规范）合格标准。</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四、签约合同价与合同价格形式</w:t>
      </w:r>
      <w:r>
        <w:rPr>
          <w:rStyle w:val="41"/>
          <w:rFonts w:ascii="宋体" w:hAnsi="宋体" w:cs="Courier New"/>
          <w:b w:val="0"/>
          <w:color w:val="auto"/>
          <w:kern w:val="0"/>
          <w:sz w:val="21"/>
          <w:szCs w:val="21"/>
          <w:highlight w:val="none"/>
        </w:rPr>
        <w:tab/>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1.签约合同价为：</w:t>
      </w:r>
      <w:r>
        <w:rPr>
          <w:rStyle w:val="41"/>
          <w:rFonts w:ascii="宋体" w:hAnsi="宋体" w:cs="Courier New"/>
          <w:bCs/>
          <w:color w:val="auto"/>
          <w:kern w:val="0"/>
          <w:szCs w:val="21"/>
          <w:highlight w:val="none"/>
          <w:u w:val="single" w:color="000000"/>
        </w:rPr>
        <w:t xml:space="preserve">            </w:t>
      </w:r>
      <w:r>
        <w:rPr>
          <w:rStyle w:val="41"/>
          <w:rFonts w:ascii="宋体" w:hAnsi="宋体" w:cs="Courier New"/>
          <w:bCs/>
          <w:color w:val="auto"/>
          <w:kern w:val="0"/>
          <w:szCs w:val="21"/>
          <w:highlight w:val="none"/>
        </w:rPr>
        <w:t xml:space="preserve">   </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人民币（大写）</w:t>
      </w:r>
      <w:r>
        <w:rPr>
          <w:rStyle w:val="41"/>
          <w:rFonts w:ascii="宋体" w:hAnsi="宋体" w:cs="Courier New"/>
          <w:bCs/>
          <w:color w:val="auto"/>
          <w:kern w:val="0"/>
          <w:szCs w:val="21"/>
          <w:highlight w:val="none"/>
          <w:u w:val="single" w:color="000000"/>
        </w:rPr>
        <w:t xml:space="preserve">                       </w:t>
      </w:r>
      <w:r>
        <w:rPr>
          <w:rStyle w:val="41"/>
          <w:rFonts w:ascii="宋体" w:hAnsi="宋体" w:cs="Courier New"/>
          <w:bCs/>
          <w:color w:val="auto"/>
          <w:kern w:val="0"/>
          <w:szCs w:val="21"/>
          <w:highlight w:val="none"/>
        </w:rPr>
        <w:t>元  (¥             元)；</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2.合同价格形式：</w:t>
      </w:r>
      <w:r>
        <w:rPr>
          <w:rStyle w:val="41"/>
          <w:rFonts w:ascii="宋体" w:hAnsi="宋体" w:cs="Courier New"/>
          <w:bCs/>
          <w:color w:val="auto"/>
          <w:kern w:val="0"/>
          <w:szCs w:val="21"/>
          <w:highlight w:val="none"/>
          <w:u w:val="single" w:color="000000"/>
        </w:rPr>
        <w:t></w:t>
      </w:r>
      <w:r>
        <w:rPr>
          <w:rStyle w:val="41"/>
          <w:rFonts w:hint="eastAsia" w:ascii="宋体" w:hAnsi="宋体"/>
          <w:color w:val="auto"/>
          <w:highlight w:val="none"/>
          <w:u w:val="single" w:color="000000"/>
        </w:rPr>
        <w:t xml:space="preserve">      </w:t>
      </w:r>
      <w:r>
        <w:rPr>
          <w:rStyle w:val="41"/>
          <w:rFonts w:ascii="宋体" w:hAnsi="宋体" w:cs="Courier New"/>
          <w:bCs/>
          <w:color w:val="auto"/>
          <w:kern w:val="0"/>
          <w:szCs w:val="21"/>
          <w:highlight w:val="none"/>
          <w:u w:val="single" w:color="000000"/>
        </w:rPr>
        <w:t xml:space="preserve">   </w:t>
      </w:r>
      <w:r>
        <w:rPr>
          <w:rStyle w:val="41"/>
          <w:rFonts w:ascii="宋体" w:hAnsi="宋体" w:cs="Courier New"/>
          <w:bCs/>
          <w:color w:val="auto"/>
          <w:kern w:val="0"/>
          <w:szCs w:val="21"/>
          <w:highlight w:val="none"/>
        </w:rPr>
        <w:t>。</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五、项目负责人</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承包人项目负责人：</w:t>
      </w:r>
      <w:r>
        <w:rPr>
          <w:rStyle w:val="41"/>
          <w:rFonts w:ascii="宋体" w:hAnsi="宋体" w:cs="Courier New"/>
          <w:bCs/>
          <w:color w:val="auto"/>
          <w:kern w:val="0"/>
          <w:szCs w:val="21"/>
          <w:highlight w:val="none"/>
          <w:u w:val="single" w:color="000000"/>
        </w:rPr>
        <w:t xml:space="preserve">          </w:t>
      </w:r>
      <w:r>
        <w:rPr>
          <w:color w:val="auto"/>
          <w:szCs w:val="21"/>
          <w:highlight w:val="none"/>
        </w:rPr>
        <w:t>，</w:t>
      </w:r>
      <w:r>
        <w:rPr>
          <w:rFonts w:hint="eastAsia"/>
          <w:color w:val="auto"/>
          <w:szCs w:val="21"/>
          <w:highlight w:val="none"/>
        </w:rPr>
        <w:t xml:space="preserve">联系电话：          </w:t>
      </w:r>
      <w:r>
        <w:rPr>
          <w:rStyle w:val="41"/>
          <w:rFonts w:ascii="宋体" w:hAnsi="宋体" w:cs="Courier New"/>
          <w:bCs/>
          <w:color w:val="auto"/>
          <w:kern w:val="0"/>
          <w:szCs w:val="21"/>
          <w:highlight w:val="none"/>
        </w:rPr>
        <w:t xml:space="preserve"> 。</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六、合同文件构成</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本协议书与下列文件一起构成合同文件：</w:t>
      </w:r>
    </w:p>
    <w:p>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（1）成交通知书；</w:t>
      </w:r>
    </w:p>
    <w:p>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 xml:space="preserve">（2）投标函及其附录； </w:t>
      </w:r>
    </w:p>
    <w:p>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（3）专用合同条款及其附件；</w:t>
      </w:r>
    </w:p>
    <w:p>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（4）通用合同条款；</w:t>
      </w:r>
    </w:p>
    <w:p>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（5）技术标准和要求；</w:t>
      </w:r>
    </w:p>
    <w:p>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（6）图纸；</w:t>
      </w:r>
    </w:p>
    <w:p>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（7）已标价工程量清单或预算书；</w:t>
      </w:r>
    </w:p>
    <w:p>
      <w:pPr>
        <w:snapToGrid w:val="0"/>
        <w:spacing w:line="360" w:lineRule="auto"/>
        <w:ind w:firstLine="420" w:firstLineChars="200"/>
        <w:rPr>
          <w:rFonts w:ascii="宋体" w:hAnsi="宋体" w:cs="Arial"/>
          <w:color w:val="auto"/>
          <w:highlight w:val="none"/>
        </w:rPr>
      </w:pPr>
      <w:r>
        <w:rPr>
          <w:rFonts w:ascii="宋体" w:hAnsi="宋体" w:cs="Arial"/>
          <w:color w:val="auto"/>
          <w:highlight w:val="none"/>
        </w:rPr>
        <w:t>（8）其他合同文件。</w:t>
      </w:r>
    </w:p>
    <w:p>
      <w:pPr>
        <w:snapToGrid w:val="0"/>
        <w:spacing w:line="360" w:lineRule="auto"/>
        <w:ind w:firstLine="420" w:firstLineChars="200"/>
        <w:jc w:val="left"/>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在合同订立及履行过程中形成的与合同有关的文件均构成合同文件组成部分。</w:t>
      </w:r>
    </w:p>
    <w:p>
      <w:pPr>
        <w:snapToGrid w:val="0"/>
        <w:spacing w:line="360" w:lineRule="auto"/>
        <w:ind w:firstLine="420" w:firstLineChars="200"/>
        <w:jc w:val="left"/>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ind w:firstLine="420" w:firstLineChars="200"/>
        <w:jc w:val="left"/>
        <w:rPr>
          <w:rStyle w:val="41"/>
          <w:rFonts w:ascii="宋体" w:hAnsi="宋体"/>
          <w:color w:val="auto"/>
          <w:kern w:val="0"/>
          <w:szCs w:val="21"/>
          <w:highlight w:val="none"/>
        </w:rPr>
      </w:pPr>
      <w:r>
        <w:rPr>
          <w:rStyle w:val="41"/>
          <w:rFonts w:ascii="宋体" w:hAnsi="宋体"/>
          <w:color w:val="auto"/>
          <w:kern w:val="0"/>
          <w:szCs w:val="21"/>
          <w:highlight w:val="none"/>
        </w:rPr>
        <w:t>七、承诺</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1.发包人承诺按照法律规定履行项目审批手续、筹集工程建设资金并按照合同约定的期限和方式支付合同价款。</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3.发包人和承包人通过招投标形式签订合同的，双方理解并承诺不再就同一工程另行签订与合同实质性内容相背离的协议。</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八、词语含义</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本协议书中词语含义与第二部分通用合同条款中赋予的含义相同。</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九、签订时间</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 xml:space="preserve">本合同于 </w:t>
      </w:r>
      <w:r>
        <w:rPr>
          <w:rStyle w:val="41"/>
          <w:rFonts w:hint="eastAsia" w:ascii="宋体" w:hAnsi="宋体" w:cs="Courier New"/>
          <w:bCs/>
          <w:color w:val="auto"/>
          <w:kern w:val="0"/>
          <w:szCs w:val="21"/>
          <w:highlight w:val="none"/>
        </w:rPr>
        <w:t>2024</w:t>
      </w:r>
      <w:r>
        <w:rPr>
          <w:rStyle w:val="41"/>
          <w:rFonts w:ascii="宋体" w:hAnsi="宋体" w:cs="Courier New"/>
          <w:bCs/>
          <w:color w:val="auto"/>
          <w:kern w:val="0"/>
          <w:szCs w:val="21"/>
          <w:highlight w:val="none"/>
        </w:rPr>
        <w:t>年    月    日签订。</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十、签订地点</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 xml:space="preserve">本合同在 </w:t>
      </w:r>
      <w:r>
        <w:rPr>
          <w:rStyle w:val="41"/>
          <w:rFonts w:ascii="宋体" w:hAnsi="宋体" w:cs="Courier New"/>
          <w:bCs/>
          <w:color w:val="auto"/>
          <w:kern w:val="0"/>
          <w:szCs w:val="21"/>
          <w:highlight w:val="none"/>
          <w:u w:val="single" w:color="000000"/>
        </w:rPr>
        <w:t xml:space="preserve">                       </w:t>
      </w:r>
      <w:r>
        <w:rPr>
          <w:rStyle w:val="41"/>
          <w:rFonts w:ascii="宋体" w:hAnsi="宋体" w:cs="Courier New"/>
          <w:bCs/>
          <w:color w:val="auto"/>
          <w:kern w:val="0"/>
          <w:szCs w:val="21"/>
          <w:highlight w:val="none"/>
        </w:rPr>
        <w:t>签订。</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十一、补充协议</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合同未尽事宜，合同当事人另行签订补充协议，补充协议是合同的组成部分。</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十二、合同生效</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本合同自</w:t>
      </w:r>
      <w:r>
        <w:rPr>
          <w:rStyle w:val="41"/>
          <w:rFonts w:hint="eastAsia" w:ascii="宋体" w:hAnsi="宋体" w:cs="Courier New"/>
          <w:bCs/>
          <w:color w:val="auto"/>
          <w:kern w:val="0"/>
          <w:szCs w:val="21"/>
          <w:highlight w:val="none"/>
        </w:rPr>
        <w:t>2024</w:t>
      </w:r>
      <w:r>
        <w:rPr>
          <w:rStyle w:val="41"/>
          <w:rFonts w:ascii="宋体" w:hAnsi="宋体" w:cs="Courier New"/>
          <w:bCs/>
          <w:color w:val="auto"/>
          <w:kern w:val="0"/>
          <w:szCs w:val="21"/>
          <w:highlight w:val="none"/>
        </w:rPr>
        <w:t>年  月  日生效。</w:t>
      </w:r>
    </w:p>
    <w:p>
      <w:pPr>
        <w:pStyle w:val="35"/>
        <w:snapToGrid w:val="0"/>
        <w:spacing w:before="0" w:after="0" w:line="360" w:lineRule="auto"/>
        <w:ind w:firstLine="420" w:firstLineChars="200"/>
        <w:rPr>
          <w:rStyle w:val="41"/>
          <w:rFonts w:ascii="宋体" w:hAnsi="宋体" w:cs="Courier New"/>
          <w:b w:val="0"/>
          <w:color w:val="auto"/>
          <w:kern w:val="0"/>
          <w:sz w:val="21"/>
          <w:szCs w:val="21"/>
          <w:highlight w:val="none"/>
        </w:rPr>
      </w:pPr>
      <w:r>
        <w:rPr>
          <w:rStyle w:val="41"/>
          <w:rFonts w:ascii="宋体" w:hAnsi="宋体" w:cs="Courier New"/>
          <w:b w:val="0"/>
          <w:color w:val="auto"/>
          <w:kern w:val="0"/>
          <w:sz w:val="21"/>
          <w:szCs w:val="21"/>
          <w:highlight w:val="none"/>
        </w:rPr>
        <w:t>十三、合同份数</w:t>
      </w:r>
    </w:p>
    <w:p>
      <w:pPr>
        <w:snapToGrid w:val="0"/>
        <w:spacing w:line="360" w:lineRule="auto"/>
        <w:ind w:firstLine="420" w:firstLineChars="200"/>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t>本合同一式    份，均具有同等法律效力，发包人执    份，承包人执    份。</w:t>
      </w:r>
    </w:p>
    <w:tbl>
      <w:tblPr>
        <w:tblStyle w:val="22"/>
        <w:tblpPr w:leftFromText="180" w:rightFromText="180" w:vertAnchor="text" w:horzAnchor="page" w:tblpX="1537" w:tblpY="373"/>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snapToGrid w:val="0"/>
              <w:rPr>
                <w:b/>
                <w:bCs/>
                <w:color w:val="auto"/>
                <w:szCs w:val="21"/>
                <w:highlight w:val="none"/>
              </w:rPr>
            </w:pPr>
            <w:r>
              <w:rPr>
                <w:b/>
                <w:bCs/>
                <w:color w:val="auto"/>
                <w:szCs w:val="21"/>
                <w:highlight w:val="none"/>
              </w:rPr>
              <w:t>甲方</w:t>
            </w:r>
            <w:r>
              <w:rPr>
                <w:b/>
                <w:bCs/>
                <w:color w:val="auto"/>
                <w:kern w:val="0"/>
                <w:szCs w:val="21"/>
                <w:highlight w:val="none"/>
              </w:rPr>
              <w:t>（盖章）</w:t>
            </w:r>
            <w:r>
              <w:rPr>
                <w:b/>
                <w:bCs/>
                <w:color w:val="auto"/>
                <w:szCs w:val="21"/>
                <w:highlight w:val="none"/>
              </w:rPr>
              <w:t>：浙江理工大学</w:t>
            </w:r>
          </w:p>
          <w:p>
            <w:pPr>
              <w:widowControl w:val="0"/>
              <w:snapToGrid w:val="0"/>
              <w:rPr>
                <w:b/>
                <w:bCs/>
                <w:color w:val="auto"/>
                <w:szCs w:val="21"/>
                <w:highlight w:val="none"/>
              </w:rPr>
            </w:pPr>
          </w:p>
          <w:p>
            <w:pPr>
              <w:widowControl w:val="0"/>
              <w:snapToGrid w:val="0"/>
              <w:rPr>
                <w:b/>
                <w:bCs/>
                <w:color w:val="auto"/>
                <w:szCs w:val="21"/>
                <w:highlight w:val="none"/>
              </w:rPr>
            </w:pPr>
          </w:p>
          <w:p>
            <w:pPr>
              <w:widowControl w:val="0"/>
              <w:snapToGrid w:val="0"/>
              <w:rPr>
                <w:b/>
                <w:bCs/>
                <w:color w:val="auto"/>
                <w:szCs w:val="21"/>
                <w:highlight w:val="none"/>
              </w:rPr>
            </w:pPr>
          </w:p>
        </w:tc>
        <w:tc>
          <w:tcPr>
            <w:tcW w:w="4102" w:type="dxa"/>
          </w:tcPr>
          <w:p>
            <w:pPr>
              <w:widowControl w:val="0"/>
              <w:snapToGrid w:val="0"/>
              <w:rPr>
                <w:b/>
                <w:bCs/>
                <w:color w:val="auto"/>
                <w:szCs w:val="21"/>
                <w:highlight w:val="none"/>
              </w:rPr>
            </w:pPr>
            <w:r>
              <w:rPr>
                <w:b/>
                <w:bCs/>
                <w:color w:val="auto"/>
                <w:szCs w:val="21"/>
                <w:highlight w:val="none"/>
              </w:rPr>
              <w:t>乙方</w:t>
            </w:r>
            <w:r>
              <w:rPr>
                <w:b/>
                <w:bCs/>
                <w:color w:val="auto"/>
                <w:kern w:val="0"/>
                <w:szCs w:val="21"/>
                <w:highlight w:val="none"/>
              </w:rPr>
              <w:t>（盖章）</w:t>
            </w:r>
            <w:r>
              <w:rPr>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snapToGrid w:val="0"/>
              <w:rPr>
                <w:bCs/>
                <w:color w:val="auto"/>
                <w:kern w:val="0"/>
                <w:szCs w:val="21"/>
                <w:highlight w:val="none"/>
              </w:rPr>
            </w:pPr>
            <w:r>
              <w:rPr>
                <w:bCs/>
                <w:color w:val="auto"/>
                <w:kern w:val="0"/>
                <w:szCs w:val="21"/>
                <w:highlight w:val="none"/>
              </w:rPr>
              <w:t>法定代表人或其委托代理人：</w:t>
            </w:r>
          </w:p>
          <w:p>
            <w:pPr>
              <w:widowControl w:val="0"/>
              <w:snapToGrid w:val="0"/>
              <w:rPr>
                <w:color w:val="auto"/>
                <w:szCs w:val="21"/>
                <w:highlight w:val="none"/>
              </w:rPr>
            </w:pPr>
            <w:r>
              <w:rPr>
                <w:bCs/>
                <w:color w:val="auto"/>
                <w:kern w:val="0"/>
                <w:szCs w:val="21"/>
                <w:highlight w:val="none"/>
              </w:rPr>
              <w:t>（签字）</w:t>
            </w:r>
          </w:p>
        </w:tc>
        <w:tc>
          <w:tcPr>
            <w:tcW w:w="4102" w:type="dxa"/>
            <w:vAlign w:val="center"/>
          </w:tcPr>
          <w:p>
            <w:pPr>
              <w:widowControl w:val="0"/>
              <w:snapToGrid w:val="0"/>
              <w:rPr>
                <w:bCs/>
                <w:color w:val="auto"/>
                <w:kern w:val="0"/>
                <w:szCs w:val="21"/>
                <w:highlight w:val="none"/>
              </w:rPr>
            </w:pPr>
            <w:r>
              <w:rPr>
                <w:bCs/>
                <w:color w:val="auto"/>
                <w:kern w:val="0"/>
                <w:szCs w:val="21"/>
                <w:highlight w:val="none"/>
              </w:rPr>
              <w:t>法定代表人或其委托代理人：</w:t>
            </w:r>
          </w:p>
          <w:p>
            <w:pPr>
              <w:widowControl w:val="0"/>
              <w:snapToGrid w:val="0"/>
              <w:rPr>
                <w:color w:val="auto"/>
                <w:szCs w:val="21"/>
                <w:highlight w:val="none"/>
              </w:rPr>
            </w:pPr>
            <w:r>
              <w:rPr>
                <w:bCs/>
                <w:color w:val="auto"/>
                <w:kern w:val="0"/>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snapToGrid w:val="0"/>
              <w:rPr>
                <w:color w:val="auto"/>
                <w:szCs w:val="21"/>
                <w:highlight w:val="none"/>
              </w:rPr>
            </w:pPr>
            <w:r>
              <w:rPr>
                <w:bCs/>
                <w:color w:val="auto"/>
                <w:kern w:val="0"/>
                <w:szCs w:val="21"/>
                <w:highlight w:val="none"/>
              </w:rPr>
              <w:t>组织机构代码：</w:t>
            </w:r>
            <w:r>
              <w:rPr>
                <w:color w:val="auto"/>
                <w:kern w:val="0"/>
                <w:szCs w:val="21"/>
                <w:highlight w:val="none"/>
              </w:rPr>
              <w:t>12330000470009034M</w:t>
            </w:r>
          </w:p>
        </w:tc>
        <w:tc>
          <w:tcPr>
            <w:tcW w:w="4102" w:type="dxa"/>
            <w:vAlign w:val="center"/>
          </w:tcPr>
          <w:p>
            <w:pPr>
              <w:widowControl w:val="0"/>
              <w:snapToGrid w:val="0"/>
              <w:rPr>
                <w:color w:val="auto"/>
                <w:szCs w:val="21"/>
                <w:highlight w:val="none"/>
              </w:rPr>
            </w:pPr>
            <w:r>
              <w:rPr>
                <w:color w:val="auto"/>
                <w:kern w:val="0"/>
                <w:szCs w:val="21"/>
                <w:highlight w:val="none"/>
              </w:rPr>
              <w:t>统一社会信用代码</w:t>
            </w:r>
            <w:r>
              <w:rPr>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snapToGrid w:val="0"/>
              <w:rPr>
                <w:color w:val="auto"/>
                <w:szCs w:val="21"/>
                <w:highlight w:val="none"/>
              </w:rPr>
            </w:pPr>
            <w:r>
              <w:rPr>
                <w:bCs/>
                <w:color w:val="auto"/>
                <w:kern w:val="0"/>
                <w:szCs w:val="21"/>
                <w:highlight w:val="none"/>
              </w:rPr>
              <w:t>地址：</w:t>
            </w:r>
            <w:r>
              <w:rPr>
                <w:color w:val="auto"/>
                <w:kern w:val="0"/>
                <w:szCs w:val="21"/>
                <w:highlight w:val="none"/>
              </w:rPr>
              <w:t>杭州</w:t>
            </w:r>
            <w:r>
              <w:rPr>
                <w:rFonts w:hint="eastAsia"/>
                <w:color w:val="auto"/>
                <w:kern w:val="0"/>
                <w:szCs w:val="21"/>
                <w:highlight w:val="none"/>
              </w:rPr>
              <w:t>市钱塘</w:t>
            </w:r>
            <w:r>
              <w:rPr>
                <w:color w:val="auto"/>
                <w:kern w:val="0"/>
                <w:szCs w:val="21"/>
                <w:highlight w:val="none"/>
              </w:rPr>
              <w:t>区2号大街928号</w:t>
            </w:r>
          </w:p>
        </w:tc>
        <w:tc>
          <w:tcPr>
            <w:tcW w:w="4102" w:type="dxa"/>
            <w:vAlign w:val="center"/>
          </w:tcPr>
          <w:p>
            <w:pPr>
              <w:widowControl w:val="0"/>
              <w:snapToGrid w:val="0"/>
              <w:rPr>
                <w:color w:val="auto"/>
                <w:szCs w:val="21"/>
                <w:highlight w:val="none"/>
              </w:rPr>
            </w:pPr>
            <w:r>
              <w:rPr>
                <w:bCs/>
                <w:color w:val="auto"/>
                <w:kern w:val="0"/>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snapToGrid w:val="0"/>
              <w:spacing w:line="240" w:lineRule="auto"/>
              <w:rPr>
                <w:color w:val="auto"/>
                <w:szCs w:val="21"/>
                <w:highlight w:val="none"/>
              </w:rPr>
            </w:pPr>
            <w:r>
              <w:rPr>
                <w:bCs/>
                <w:color w:val="auto"/>
                <w:kern w:val="0"/>
                <w:szCs w:val="21"/>
                <w:highlight w:val="none"/>
              </w:rPr>
              <w:t>电话：</w:t>
            </w:r>
            <w:r>
              <w:rPr>
                <w:rFonts w:hint="eastAsia"/>
                <w:bCs/>
                <w:color w:val="auto"/>
                <w:kern w:val="0"/>
                <w:szCs w:val="21"/>
                <w:highlight w:val="none"/>
              </w:rPr>
              <w:t>0571-86843097</w:t>
            </w:r>
          </w:p>
        </w:tc>
        <w:tc>
          <w:tcPr>
            <w:tcW w:w="4102" w:type="dxa"/>
            <w:vAlign w:val="center"/>
          </w:tcPr>
          <w:p>
            <w:pPr>
              <w:widowControl w:val="0"/>
              <w:snapToGrid w:val="0"/>
              <w:spacing w:line="240" w:lineRule="auto"/>
              <w:rPr>
                <w:bCs/>
                <w:color w:val="auto"/>
                <w:kern w:val="0"/>
                <w:szCs w:val="21"/>
                <w:highlight w:val="none"/>
              </w:rPr>
            </w:pPr>
            <w:r>
              <w:rPr>
                <w:bCs/>
                <w:color w:val="auto"/>
                <w:kern w:val="0"/>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snapToGrid w:val="0"/>
              <w:rPr>
                <w:color w:val="auto"/>
                <w:szCs w:val="21"/>
                <w:highlight w:val="none"/>
              </w:rPr>
            </w:pPr>
            <w:r>
              <w:rPr>
                <w:bCs/>
                <w:color w:val="auto"/>
                <w:kern w:val="0"/>
                <w:szCs w:val="21"/>
                <w:highlight w:val="none"/>
              </w:rPr>
              <w:t>传真：0571-86843156</w:t>
            </w:r>
          </w:p>
        </w:tc>
        <w:tc>
          <w:tcPr>
            <w:tcW w:w="4102" w:type="dxa"/>
            <w:vAlign w:val="center"/>
          </w:tcPr>
          <w:p>
            <w:pPr>
              <w:widowControl w:val="0"/>
              <w:snapToGrid w:val="0"/>
              <w:spacing w:line="240" w:lineRule="auto"/>
              <w:rPr>
                <w:bCs/>
                <w:color w:val="auto"/>
                <w:kern w:val="0"/>
                <w:szCs w:val="21"/>
                <w:highlight w:val="none"/>
              </w:rPr>
            </w:pPr>
            <w:r>
              <w:rPr>
                <w:bCs/>
                <w:color w:val="auto"/>
                <w:kern w:val="0"/>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0" w:type="dxa"/>
            <w:vAlign w:val="center"/>
          </w:tcPr>
          <w:p>
            <w:pPr>
              <w:widowControl w:val="0"/>
              <w:snapToGrid w:val="0"/>
              <w:rPr>
                <w:color w:val="auto"/>
                <w:szCs w:val="21"/>
                <w:highlight w:val="none"/>
              </w:rPr>
            </w:pPr>
            <w:r>
              <w:rPr>
                <w:bCs/>
                <w:color w:val="auto"/>
                <w:kern w:val="0"/>
                <w:szCs w:val="21"/>
                <w:highlight w:val="none"/>
              </w:rPr>
              <w:t>开户银行：</w:t>
            </w:r>
            <w:r>
              <w:rPr>
                <w:color w:val="auto"/>
                <w:kern w:val="0"/>
                <w:szCs w:val="21"/>
                <w:highlight w:val="none"/>
              </w:rPr>
              <w:t>中国农业银行杭州枫华支行</w:t>
            </w:r>
          </w:p>
        </w:tc>
        <w:tc>
          <w:tcPr>
            <w:tcW w:w="4102" w:type="dxa"/>
            <w:vAlign w:val="center"/>
          </w:tcPr>
          <w:p>
            <w:pPr>
              <w:widowControl w:val="0"/>
              <w:snapToGrid w:val="0"/>
              <w:rPr>
                <w:color w:val="auto"/>
                <w:szCs w:val="21"/>
                <w:highlight w:val="none"/>
              </w:rPr>
            </w:pPr>
            <w:r>
              <w:rPr>
                <w:bCs/>
                <w:color w:val="auto"/>
                <w:kern w:val="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snapToGrid w:val="0"/>
              <w:rPr>
                <w:bCs/>
                <w:color w:val="auto"/>
                <w:kern w:val="0"/>
                <w:szCs w:val="21"/>
                <w:highlight w:val="none"/>
              </w:rPr>
            </w:pPr>
            <w:r>
              <w:rPr>
                <w:color w:val="auto"/>
                <w:kern w:val="0"/>
                <w:szCs w:val="21"/>
                <w:highlight w:val="none"/>
              </w:rPr>
              <w:t>户名：浙江理工大学</w:t>
            </w:r>
          </w:p>
        </w:tc>
        <w:tc>
          <w:tcPr>
            <w:tcW w:w="4102" w:type="dxa"/>
            <w:vAlign w:val="center"/>
          </w:tcPr>
          <w:p>
            <w:pPr>
              <w:widowControl w:val="0"/>
              <w:snapToGrid w:val="0"/>
              <w:rPr>
                <w:bCs/>
                <w:color w:val="auto"/>
                <w:kern w:val="0"/>
                <w:szCs w:val="21"/>
                <w:highlight w:val="none"/>
              </w:rPr>
            </w:pPr>
            <w:r>
              <w:rPr>
                <w:color w:val="auto"/>
                <w:kern w:val="0"/>
                <w:szCs w:val="21"/>
                <w:highlight w:val="none"/>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snapToGrid w:val="0"/>
              <w:rPr>
                <w:color w:val="auto"/>
                <w:szCs w:val="21"/>
                <w:highlight w:val="none"/>
              </w:rPr>
            </w:pPr>
            <w:r>
              <w:rPr>
                <w:bCs/>
                <w:color w:val="auto"/>
                <w:kern w:val="0"/>
                <w:szCs w:val="21"/>
                <w:highlight w:val="none"/>
              </w:rPr>
              <w:t>账号：</w:t>
            </w:r>
            <w:r>
              <w:rPr>
                <w:color w:val="auto"/>
                <w:kern w:val="0"/>
                <w:szCs w:val="21"/>
                <w:highlight w:val="none"/>
              </w:rPr>
              <w:t>19001401040051897</w:t>
            </w:r>
          </w:p>
        </w:tc>
        <w:tc>
          <w:tcPr>
            <w:tcW w:w="4102" w:type="dxa"/>
            <w:vAlign w:val="center"/>
          </w:tcPr>
          <w:p>
            <w:pPr>
              <w:widowControl w:val="0"/>
              <w:snapToGrid w:val="0"/>
              <w:rPr>
                <w:color w:val="auto"/>
                <w:szCs w:val="21"/>
                <w:highlight w:val="none"/>
              </w:rPr>
            </w:pPr>
            <w:r>
              <w:rPr>
                <w:bCs/>
                <w:color w:val="auto"/>
                <w:kern w:val="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200" w:type="dxa"/>
            <w:vAlign w:val="center"/>
          </w:tcPr>
          <w:p>
            <w:pPr>
              <w:widowControl/>
              <w:snapToGrid w:val="0"/>
              <w:spacing w:line="240" w:lineRule="auto"/>
              <w:rPr>
                <w:b/>
                <w:color w:val="auto"/>
                <w:kern w:val="0"/>
                <w:szCs w:val="21"/>
                <w:highlight w:val="none"/>
              </w:rPr>
            </w:pPr>
            <w:r>
              <w:rPr>
                <w:b/>
                <w:color w:val="auto"/>
                <w:kern w:val="0"/>
                <w:szCs w:val="21"/>
                <w:highlight w:val="none"/>
              </w:rPr>
              <w:t>鉴证方（盖章）：浙江省成套招标代理有限公司</w:t>
            </w:r>
          </w:p>
          <w:p>
            <w:pPr>
              <w:widowControl w:val="0"/>
              <w:snapToGrid w:val="0"/>
              <w:rPr>
                <w:b/>
                <w:color w:val="auto"/>
                <w:szCs w:val="21"/>
                <w:highlight w:val="none"/>
              </w:rPr>
            </w:pPr>
          </w:p>
        </w:tc>
        <w:tc>
          <w:tcPr>
            <w:tcW w:w="4102" w:type="dxa"/>
            <w:vAlign w:val="center"/>
          </w:tcPr>
          <w:p>
            <w:pPr>
              <w:widowControl w:val="0"/>
              <w:snapToGrid w:val="0"/>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0" w:type="dxa"/>
            <w:vAlign w:val="center"/>
          </w:tcPr>
          <w:p>
            <w:pPr>
              <w:widowControl w:val="0"/>
              <w:snapToGrid w:val="0"/>
              <w:rPr>
                <w:bCs/>
                <w:color w:val="auto"/>
                <w:kern w:val="0"/>
                <w:szCs w:val="21"/>
                <w:highlight w:val="none"/>
              </w:rPr>
            </w:pPr>
            <w:r>
              <w:rPr>
                <w:bCs/>
                <w:color w:val="auto"/>
                <w:kern w:val="0"/>
                <w:szCs w:val="21"/>
                <w:highlight w:val="none"/>
              </w:rPr>
              <w:t>法定代表人或其委托代理人：</w:t>
            </w:r>
          </w:p>
          <w:p>
            <w:pPr>
              <w:widowControl w:val="0"/>
              <w:snapToGrid w:val="0"/>
              <w:rPr>
                <w:bCs/>
                <w:color w:val="auto"/>
                <w:kern w:val="0"/>
                <w:szCs w:val="21"/>
                <w:highlight w:val="none"/>
              </w:rPr>
            </w:pPr>
            <w:r>
              <w:rPr>
                <w:bCs/>
                <w:color w:val="auto"/>
                <w:kern w:val="0"/>
                <w:szCs w:val="21"/>
                <w:highlight w:val="none"/>
              </w:rPr>
              <w:t>（签字）</w:t>
            </w:r>
          </w:p>
        </w:tc>
        <w:tc>
          <w:tcPr>
            <w:tcW w:w="4102" w:type="dxa"/>
            <w:vAlign w:val="center"/>
          </w:tcPr>
          <w:p>
            <w:pPr>
              <w:widowControl w:val="0"/>
              <w:snapToGrid w:val="0"/>
              <w:rPr>
                <w:color w:val="auto"/>
                <w:szCs w:val="21"/>
                <w:highlight w:val="none"/>
              </w:rPr>
            </w:pPr>
          </w:p>
        </w:tc>
      </w:tr>
    </w:tbl>
    <w:p>
      <w:pPr>
        <w:rPr>
          <w:rStyle w:val="41"/>
          <w:rFonts w:ascii="宋体" w:hAnsi="宋体" w:cs="Courier New"/>
          <w:bCs/>
          <w:color w:val="auto"/>
          <w:kern w:val="0"/>
          <w:szCs w:val="21"/>
          <w:highlight w:val="none"/>
        </w:rPr>
      </w:pPr>
      <w:r>
        <w:rPr>
          <w:rStyle w:val="41"/>
          <w:rFonts w:ascii="宋体" w:hAnsi="宋体" w:cs="Courier New"/>
          <w:bCs/>
          <w:color w:val="auto"/>
          <w:kern w:val="0"/>
          <w:szCs w:val="21"/>
          <w:highlight w:val="none"/>
        </w:rPr>
        <w:br w:type="page"/>
      </w:r>
    </w:p>
    <w:p>
      <w:pPr>
        <w:pStyle w:val="2"/>
        <w:rPr>
          <w:color w:val="auto"/>
          <w:highlight w:val="none"/>
        </w:rPr>
      </w:pPr>
    </w:p>
    <w:p>
      <w:pPr>
        <w:snapToGrid w:val="0"/>
        <w:spacing w:line="400" w:lineRule="exact"/>
        <w:rPr>
          <w:rStyle w:val="41"/>
          <w:rFonts w:ascii="宋体" w:hAnsi="宋体"/>
          <w:b/>
          <w:color w:val="auto"/>
          <w:sz w:val="32"/>
          <w:highlight w:val="none"/>
        </w:rPr>
      </w:pPr>
    </w:p>
    <w:p>
      <w:pPr>
        <w:snapToGrid w:val="0"/>
        <w:spacing w:line="400" w:lineRule="exact"/>
        <w:ind w:firstLine="2891" w:firstLineChars="900"/>
        <w:rPr>
          <w:rStyle w:val="41"/>
          <w:color w:val="auto"/>
          <w:szCs w:val="18"/>
          <w:highlight w:val="none"/>
        </w:rPr>
      </w:pPr>
      <w:r>
        <w:rPr>
          <w:rStyle w:val="41"/>
          <w:rFonts w:ascii="宋体" w:hAnsi="宋体"/>
          <w:b/>
          <w:color w:val="auto"/>
          <w:sz w:val="32"/>
          <w:highlight w:val="none"/>
        </w:rPr>
        <w:t>二、通用条款（略）</w:t>
      </w:r>
    </w:p>
    <w:p>
      <w:pPr>
        <w:pStyle w:val="114"/>
        <w:snapToGrid w:val="0"/>
        <w:ind w:left="5250"/>
        <w:rPr>
          <w:rStyle w:val="41"/>
          <w:color w:val="auto"/>
          <w:szCs w:val="21"/>
          <w:highlight w:val="none"/>
        </w:rPr>
      </w:pPr>
    </w:p>
    <w:p>
      <w:pPr>
        <w:snapToGrid w:val="0"/>
        <w:spacing w:line="400" w:lineRule="exact"/>
        <w:ind w:firstLine="2821" w:firstLineChars="878"/>
        <w:rPr>
          <w:rStyle w:val="41"/>
          <w:color w:val="auto"/>
          <w:szCs w:val="18"/>
          <w:highlight w:val="none"/>
        </w:rPr>
      </w:pPr>
      <w:r>
        <w:rPr>
          <w:rStyle w:val="41"/>
          <w:rFonts w:ascii="宋体" w:hAnsi="宋体"/>
          <w:b/>
          <w:color w:val="auto"/>
          <w:sz w:val="32"/>
          <w:highlight w:val="none"/>
        </w:rPr>
        <w:t>三、专用合同条款</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1</w:t>
      </w:r>
      <w:r>
        <w:rPr>
          <w:rStyle w:val="41"/>
          <w:rFonts w:ascii="宋体" w:hAnsi="宋体"/>
          <w:color w:val="auto"/>
          <w:szCs w:val="21"/>
          <w:highlight w:val="none"/>
        </w:rPr>
        <w:t xml:space="preserve">  一般约定</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1.1</w:t>
      </w:r>
      <w:r>
        <w:rPr>
          <w:rStyle w:val="41"/>
          <w:rFonts w:ascii="宋体" w:hAnsi="宋体"/>
          <w:color w:val="auto"/>
          <w:szCs w:val="21"/>
          <w:highlight w:val="none"/>
        </w:rPr>
        <w:t xml:space="preserve">  词语定义</w:t>
      </w:r>
    </w:p>
    <w:p>
      <w:pPr>
        <w:snapToGrid w:val="0"/>
        <w:spacing w:line="288" w:lineRule="auto"/>
        <w:ind w:firstLine="422" w:firstLineChars="200"/>
        <w:rPr>
          <w:rStyle w:val="41"/>
          <w:rFonts w:ascii="宋体" w:hAnsi="宋体"/>
          <w:color w:val="auto"/>
          <w:kern w:val="0"/>
          <w:szCs w:val="21"/>
          <w:highlight w:val="none"/>
        </w:rPr>
      </w:pPr>
      <w:r>
        <w:rPr>
          <w:rStyle w:val="41"/>
          <w:rFonts w:ascii="宋体" w:hAnsi="宋体"/>
          <w:b/>
          <w:color w:val="auto"/>
          <w:szCs w:val="21"/>
          <w:highlight w:val="none"/>
        </w:rPr>
        <w:t>1.1.1</w:t>
      </w:r>
      <w:r>
        <w:rPr>
          <w:rStyle w:val="41"/>
          <w:rFonts w:ascii="宋体" w:hAnsi="宋体"/>
          <w:color w:val="auto"/>
          <w:kern w:val="0"/>
          <w:szCs w:val="21"/>
          <w:highlight w:val="none"/>
        </w:rPr>
        <w:t xml:space="preserve">  </w:t>
      </w:r>
      <w:r>
        <w:rPr>
          <w:rStyle w:val="41"/>
          <w:rFonts w:ascii="宋体" w:hAnsi="宋体"/>
          <w:color w:val="auto"/>
          <w:szCs w:val="21"/>
          <w:highlight w:val="none"/>
        </w:rPr>
        <w:t>合同</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 xml:space="preserve">1.1.1.10  </w:t>
      </w:r>
      <w:r>
        <w:rPr>
          <w:rStyle w:val="41"/>
          <w:rFonts w:ascii="宋体" w:hAnsi="宋体"/>
          <w:color w:val="auto"/>
          <w:kern w:val="0"/>
          <w:szCs w:val="21"/>
          <w:highlight w:val="none"/>
        </w:rPr>
        <w:t>其他合同文件包括：</w:t>
      </w:r>
    </w:p>
    <w:p>
      <w:pPr>
        <w:snapToGrid w:val="0"/>
        <w:spacing w:line="288" w:lineRule="auto"/>
        <w:ind w:firstLine="422" w:firstLineChars="200"/>
        <w:rPr>
          <w:rStyle w:val="41"/>
          <w:rFonts w:ascii="宋体" w:hAnsi="宋体"/>
          <w:b/>
          <w:color w:val="auto"/>
          <w:szCs w:val="21"/>
          <w:highlight w:val="none"/>
          <w:u w:val="single"/>
        </w:rPr>
      </w:pPr>
      <w:r>
        <w:rPr>
          <w:rStyle w:val="41"/>
          <w:rFonts w:ascii="宋体" w:hAnsi="宋体"/>
          <w:b/>
          <w:color w:val="auto"/>
          <w:szCs w:val="21"/>
          <w:highlight w:val="none"/>
          <w:u w:val="single" w:color="000000"/>
        </w:rPr>
        <w:t>施工组织设计：施工组织设计是用来指导施工项目全过程各项活动的技术、经济和组织的综合性文件。</w:t>
      </w:r>
    </w:p>
    <w:p>
      <w:pPr>
        <w:snapToGrid w:val="0"/>
        <w:spacing w:line="288" w:lineRule="auto"/>
        <w:ind w:firstLine="422" w:firstLineChars="200"/>
        <w:rPr>
          <w:rStyle w:val="41"/>
          <w:rFonts w:ascii="宋体" w:hAnsi="宋体"/>
          <w:color w:val="auto"/>
          <w:kern w:val="0"/>
          <w:szCs w:val="21"/>
          <w:highlight w:val="none"/>
        </w:rPr>
      </w:pPr>
      <w:r>
        <w:rPr>
          <w:rStyle w:val="41"/>
          <w:rFonts w:ascii="宋体" w:hAnsi="宋体"/>
          <w:b/>
          <w:color w:val="auto"/>
          <w:szCs w:val="21"/>
          <w:highlight w:val="none"/>
        </w:rPr>
        <w:t>1.1.2</w:t>
      </w:r>
      <w:r>
        <w:rPr>
          <w:rStyle w:val="41"/>
          <w:rFonts w:ascii="宋体" w:hAnsi="宋体"/>
          <w:color w:val="auto"/>
          <w:szCs w:val="21"/>
          <w:highlight w:val="none"/>
        </w:rPr>
        <w:t xml:space="preserve">  </w:t>
      </w:r>
      <w:r>
        <w:rPr>
          <w:rStyle w:val="41"/>
          <w:rFonts w:ascii="宋体" w:hAnsi="宋体"/>
          <w:color w:val="auto"/>
          <w:kern w:val="0"/>
          <w:szCs w:val="21"/>
          <w:highlight w:val="none"/>
        </w:rPr>
        <w:t>合同当事人及其他相关方</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 xml:space="preserve">1.1.2.4  </w:t>
      </w:r>
      <w:r>
        <w:rPr>
          <w:rStyle w:val="41"/>
          <w:rFonts w:ascii="宋体" w:hAnsi="宋体"/>
          <w:color w:val="auto"/>
          <w:szCs w:val="21"/>
          <w:highlight w:val="none"/>
        </w:rPr>
        <w:t>监理人：</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szCs w:val="21"/>
          <w:highlight w:val="none"/>
        </w:rPr>
        <w:t>名    称：</w:t>
      </w:r>
      <w:r>
        <w:rPr>
          <w:rStyle w:val="41"/>
          <w:rFonts w:ascii="宋体" w:hAnsi="宋体"/>
          <w:color w:val="auto"/>
          <w:szCs w:val="21"/>
          <w:highlight w:val="none"/>
          <w:u w:val="single" w:color="000000"/>
        </w:rPr>
        <w:t xml:space="preserve">            </w:t>
      </w:r>
      <w:r>
        <w:rPr>
          <w:rStyle w:val="41"/>
          <w:rFonts w:ascii="宋体" w:hAnsi="宋体"/>
          <w:color w:val="auto"/>
          <w:szCs w:val="21"/>
          <w:highlight w:val="none"/>
        </w:rPr>
        <w:t>；</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szCs w:val="21"/>
          <w:highlight w:val="none"/>
        </w:rPr>
        <w:t>资质类别和等级：</w:t>
      </w:r>
      <w:r>
        <w:rPr>
          <w:rStyle w:val="41"/>
          <w:rFonts w:ascii="宋体" w:hAnsi="宋体"/>
          <w:color w:val="auto"/>
          <w:szCs w:val="21"/>
          <w:highlight w:val="none"/>
          <w:u w:val="single" w:color="000000"/>
        </w:rPr>
        <w:t xml:space="preserve">      </w:t>
      </w:r>
      <w:r>
        <w:rPr>
          <w:rStyle w:val="41"/>
          <w:rFonts w:ascii="宋体" w:hAnsi="宋体"/>
          <w:color w:val="auto"/>
          <w:szCs w:val="21"/>
          <w:highlight w:val="none"/>
        </w:rPr>
        <w:t>；</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szCs w:val="21"/>
          <w:highlight w:val="none"/>
        </w:rPr>
        <w:t>联系电话：</w:t>
      </w:r>
      <w:r>
        <w:rPr>
          <w:rStyle w:val="41"/>
          <w:rFonts w:ascii="宋体" w:hAnsi="宋体"/>
          <w:color w:val="auto"/>
          <w:szCs w:val="21"/>
          <w:highlight w:val="none"/>
          <w:u w:val="single" w:color="000000"/>
        </w:rPr>
        <w:t xml:space="preserve">     </w:t>
      </w:r>
      <w:r>
        <w:rPr>
          <w:rStyle w:val="41"/>
          <w:rFonts w:ascii="宋体" w:hAnsi="宋体"/>
          <w:color w:val="auto"/>
          <w:szCs w:val="21"/>
          <w:highlight w:val="none"/>
        </w:rPr>
        <w:t>；</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szCs w:val="21"/>
          <w:highlight w:val="none"/>
        </w:rPr>
        <w:t>电子信箱：</w:t>
      </w:r>
      <w:r>
        <w:rPr>
          <w:rStyle w:val="41"/>
          <w:rFonts w:ascii="宋体" w:hAnsi="宋体"/>
          <w:color w:val="auto"/>
          <w:szCs w:val="21"/>
          <w:highlight w:val="none"/>
          <w:u w:val="single" w:color="000000"/>
        </w:rPr>
        <w:t xml:space="preserve">     </w:t>
      </w:r>
      <w:r>
        <w:rPr>
          <w:rStyle w:val="41"/>
          <w:rFonts w:ascii="宋体" w:hAnsi="宋体"/>
          <w:color w:val="auto"/>
          <w:szCs w:val="21"/>
          <w:highlight w:val="none"/>
        </w:rPr>
        <w:t>；</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szCs w:val="21"/>
          <w:highlight w:val="none"/>
        </w:rPr>
        <w:t>通信地址：</w:t>
      </w:r>
      <w:r>
        <w:rPr>
          <w:rStyle w:val="41"/>
          <w:rFonts w:ascii="宋体" w:hAnsi="宋体"/>
          <w:color w:val="auto"/>
          <w:szCs w:val="21"/>
          <w:highlight w:val="none"/>
          <w:u w:val="single" w:color="000000"/>
        </w:rPr>
        <w:t xml:space="preserve">     </w:t>
      </w:r>
      <w:r>
        <w:rPr>
          <w:rStyle w:val="41"/>
          <w:rFonts w:ascii="宋体" w:hAnsi="宋体"/>
          <w:color w:val="auto"/>
          <w:szCs w:val="21"/>
          <w:highlight w:val="none"/>
        </w:rPr>
        <w:t>。</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1.1.2.5</w:t>
      </w:r>
      <w:r>
        <w:rPr>
          <w:rStyle w:val="41"/>
          <w:rFonts w:ascii="宋体" w:hAnsi="宋体"/>
          <w:color w:val="auto"/>
          <w:szCs w:val="21"/>
          <w:highlight w:val="none"/>
        </w:rPr>
        <w:t xml:space="preserve">  设计人：</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szCs w:val="21"/>
          <w:highlight w:val="none"/>
        </w:rPr>
        <w:t>名    称：</w:t>
      </w:r>
      <w:r>
        <w:rPr>
          <w:rStyle w:val="41"/>
          <w:rFonts w:ascii="宋体" w:hAnsi="宋体"/>
          <w:color w:val="auto"/>
          <w:szCs w:val="21"/>
          <w:highlight w:val="none"/>
          <w:u w:val="single" w:color="000000"/>
        </w:rPr>
        <w:t xml:space="preserve">     </w:t>
      </w:r>
      <w:r>
        <w:rPr>
          <w:rStyle w:val="41"/>
          <w:rFonts w:ascii="宋体" w:hAnsi="宋体"/>
          <w:color w:val="auto"/>
          <w:szCs w:val="21"/>
          <w:highlight w:val="none"/>
        </w:rPr>
        <w:t>；</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szCs w:val="21"/>
          <w:highlight w:val="none"/>
        </w:rPr>
        <w:t>资质类别和等级：</w:t>
      </w:r>
      <w:r>
        <w:rPr>
          <w:rStyle w:val="41"/>
          <w:rFonts w:ascii="宋体" w:hAnsi="宋体"/>
          <w:color w:val="auto"/>
          <w:szCs w:val="21"/>
          <w:highlight w:val="none"/>
          <w:u w:val="single" w:color="000000"/>
        </w:rPr>
        <w:t xml:space="preserve">      </w:t>
      </w:r>
      <w:r>
        <w:rPr>
          <w:rStyle w:val="41"/>
          <w:rFonts w:ascii="宋体" w:hAnsi="宋体"/>
          <w:color w:val="auto"/>
          <w:szCs w:val="21"/>
          <w:highlight w:val="none"/>
        </w:rPr>
        <w:t>；</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szCs w:val="21"/>
          <w:highlight w:val="none"/>
        </w:rPr>
        <w:t>联系电话：</w:t>
      </w:r>
      <w:r>
        <w:rPr>
          <w:rStyle w:val="41"/>
          <w:rFonts w:ascii="宋体" w:hAnsi="宋体"/>
          <w:color w:val="auto"/>
          <w:szCs w:val="21"/>
          <w:highlight w:val="none"/>
          <w:u w:val="single" w:color="000000"/>
        </w:rPr>
        <w:t xml:space="preserve">     </w:t>
      </w:r>
      <w:r>
        <w:rPr>
          <w:rStyle w:val="41"/>
          <w:rFonts w:ascii="宋体" w:hAnsi="宋体"/>
          <w:color w:val="auto"/>
          <w:szCs w:val="21"/>
          <w:highlight w:val="none"/>
        </w:rPr>
        <w:t>；</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szCs w:val="21"/>
          <w:highlight w:val="none"/>
        </w:rPr>
        <w:t>电子信箱：</w:t>
      </w:r>
      <w:r>
        <w:rPr>
          <w:rStyle w:val="41"/>
          <w:rFonts w:ascii="宋体" w:hAnsi="宋体"/>
          <w:color w:val="auto"/>
          <w:szCs w:val="21"/>
          <w:highlight w:val="none"/>
          <w:u w:val="single" w:color="000000"/>
        </w:rPr>
        <w:t xml:space="preserve">   </w:t>
      </w:r>
      <w:r>
        <w:rPr>
          <w:rStyle w:val="41"/>
          <w:rFonts w:ascii="宋体" w:hAnsi="宋体"/>
          <w:color w:val="auto"/>
          <w:szCs w:val="21"/>
          <w:highlight w:val="none"/>
        </w:rPr>
        <w:t>；</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szCs w:val="21"/>
          <w:highlight w:val="none"/>
        </w:rPr>
        <w:t>通信地址：</w:t>
      </w:r>
      <w:r>
        <w:rPr>
          <w:rStyle w:val="41"/>
          <w:rFonts w:ascii="宋体" w:hAnsi="宋体"/>
          <w:color w:val="auto"/>
          <w:szCs w:val="21"/>
          <w:highlight w:val="none"/>
          <w:u w:val="single" w:color="000000"/>
        </w:rPr>
        <w:t xml:space="preserve">         </w:t>
      </w:r>
      <w:r>
        <w:rPr>
          <w:rStyle w:val="41"/>
          <w:rFonts w:ascii="宋体" w:hAnsi="宋体"/>
          <w:color w:val="auto"/>
          <w:szCs w:val="21"/>
          <w:highlight w:val="none"/>
        </w:rPr>
        <w:t>。</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1.1.3</w:t>
      </w:r>
      <w:r>
        <w:rPr>
          <w:rStyle w:val="41"/>
          <w:rFonts w:ascii="宋体" w:hAnsi="宋体"/>
          <w:color w:val="auto"/>
          <w:szCs w:val="21"/>
          <w:highlight w:val="none"/>
        </w:rPr>
        <w:t xml:space="preserve">  工程和设备</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1.1.3.7</w:t>
      </w:r>
      <w:r>
        <w:rPr>
          <w:rStyle w:val="41"/>
          <w:rFonts w:ascii="宋体" w:hAnsi="宋体"/>
          <w:color w:val="auto"/>
          <w:szCs w:val="21"/>
          <w:highlight w:val="none"/>
        </w:rPr>
        <w:t xml:space="preserve">  作为施工现场组成部分的其他场所包括：</w:t>
      </w:r>
      <w:r>
        <w:rPr>
          <w:rStyle w:val="41"/>
          <w:rFonts w:ascii="宋体" w:hAnsi="宋体"/>
          <w:color w:val="auto"/>
          <w:szCs w:val="21"/>
          <w:highlight w:val="none"/>
          <w:u w:val="single" w:color="000000"/>
        </w:rPr>
        <w:t xml:space="preserve">  /  </w:t>
      </w:r>
      <w:r>
        <w:rPr>
          <w:rStyle w:val="41"/>
          <w:rFonts w:ascii="宋体" w:hAnsi="宋体"/>
          <w:color w:val="auto"/>
          <w:szCs w:val="21"/>
          <w:highlight w:val="none"/>
        </w:rPr>
        <w:t>。</w:t>
      </w:r>
    </w:p>
    <w:p>
      <w:pPr>
        <w:snapToGrid w:val="0"/>
        <w:spacing w:line="288" w:lineRule="auto"/>
        <w:ind w:firstLine="422" w:firstLineChars="200"/>
        <w:jc w:val="left"/>
        <w:rPr>
          <w:rStyle w:val="41"/>
          <w:rFonts w:ascii="宋体" w:hAnsi="宋体"/>
          <w:color w:val="auto"/>
          <w:kern w:val="0"/>
          <w:szCs w:val="21"/>
          <w:highlight w:val="none"/>
        </w:rPr>
      </w:pPr>
      <w:r>
        <w:rPr>
          <w:rStyle w:val="41"/>
          <w:rFonts w:ascii="宋体" w:hAnsi="宋体"/>
          <w:b/>
          <w:color w:val="auto"/>
          <w:szCs w:val="21"/>
          <w:highlight w:val="none"/>
        </w:rPr>
        <w:t>1.1.3.9</w:t>
      </w:r>
      <w:r>
        <w:rPr>
          <w:rStyle w:val="41"/>
          <w:rFonts w:ascii="宋体" w:hAnsi="宋体"/>
          <w:color w:val="auto"/>
          <w:kern w:val="0"/>
          <w:szCs w:val="21"/>
          <w:highlight w:val="none"/>
        </w:rPr>
        <w:t xml:space="preserve">  永久占地包括：</w:t>
      </w:r>
      <w:r>
        <w:rPr>
          <w:rStyle w:val="41"/>
          <w:rFonts w:ascii="宋体" w:hAnsi="宋体"/>
          <w:color w:val="auto"/>
          <w:szCs w:val="21"/>
          <w:highlight w:val="none"/>
          <w:u w:val="single" w:color="000000"/>
        </w:rPr>
        <w:t>用地红线范围内</w:t>
      </w:r>
      <w:r>
        <w:rPr>
          <w:rStyle w:val="41"/>
          <w:rFonts w:ascii="宋体" w:hAnsi="宋体"/>
          <w:color w:val="auto"/>
          <w:kern w:val="0"/>
          <w:szCs w:val="21"/>
          <w:highlight w:val="none"/>
        </w:rPr>
        <w:t>。</w:t>
      </w:r>
    </w:p>
    <w:p>
      <w:pPr>
        <w:snapToGrid w:val="0"/>
        <w:spacing w:line="288" w:lineRule="auto"/>
        <w:ind w:firstLine="422" w:firstLineChars="200"/>
        <w:jc w:val="left"/>
        <w:rPr>
          <w:rStyle w:val="41"/>
          <w:rFonts w:ascii="宋体" w:hAnsi="宋体"/>
          <w:color w:val="auto"/>
          <w:szCs w:val="21"/>
          <w:highlight w:val="none"/>
        </w:rPr>
      </w:pPr>
      <w:r>
        <w:rPr>
          <w:rStyle w:val="41"/>
          <w:rFonts w:ascii="宋体" w:hAnsi="宋体"/>
          <w:b/>
          <w:color w:val="auto"/>
          <w:szCs w:val="21"/>
          <w:highlight w:val="none"/>
        </w:rPr>
        <w:t xml:space="preserve">1.1.3.10 </w:t>
      </w:r>
      <w:r>
        <w:rPr>
          <w:rStyle w:val="41"/>
          <w:rFonts w:ascii="宋体" w:hAnsi="宋体"/>
          <w:color w:val="auto"/>
          <w:kern w:val="0"/>
          <w:szCs w:val="21"/>
          <w:highlight w:val="none"/>
        </w:rPr>
        <w:t xml:space="preserve"> 临时占地包括：</w:t>
      </w:r>
      <w:r>
        <w:rPr>
          <w:rStyle w:val="41"/>
          <w:rFonts w:ascii="宋体" w:hAnsi="宋体"/>
          <w:color w:val="auto"/>
          <w:szCs w:val="21"/>
          <w:highlight w:val="none"/>
          <w:u w:val="single" w:color="000000"/>
        </w:rPr>
        <w:t>用地红线范围外</w:t>
      </w:r>
      <w:r>
        <w:rPr>
          <w:rStyle w:val="41"/>
          <w:rFonts w:ascii="宋体" w:hAnsi="宋体"/>
          <w:color w:val="auto"/>
          <w:kern w:val="0"/>
          <w:szCs w:val="21"/>
          <w:highlight w:val="none"/>
        </w:rPr>
        <w:t>。</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 xml:space="preserve">1.3  </w:t>
      </w:r>
      <w:r>
        <w:rPr>
          <w:rStyle w:val="41"/>
          <w:rFonts w:ascii="宋体" w:hAnsi="宋体"/>
          <w:color w:val="auto"/>
          <w:szCs w:val="21"/>
          <w:highlight w:val="none"/>
        </w:rPr>
        <w:t>法律</w:t>
      </w:r>
    </w:p>
    <w:p>
      <w:pPr>
        <w:snapToGrid w:val="0"/>
        <w:spacing w:line="288" w:lineRule="auto"/>
        <w:ind w:firstLine="420" w:firstLineChars="200"/>
        <w:jc w:val="left"/>
        <w:rPr>
          <w:rStyle w:val="41"/>
          <w:rFonts w:ascii="宋体" w:hAnsi="宋体"/>
          <w:color w:val="auto"/>
          <w:szCs w:val="21"/>
          <w:highlight w:val="none"/>
        </w:rPr>
      </w:pPr>
      <w:r>
        <w:rPr>
          <w:rStyle w:val="41"/>
          <w:rFonts w:ascii="宋体" w:hAnsi="宋体"/>
          <w:color w:val="auto"/>
          <w:szCs w:val="21"/>
          <w:highlight w:val="none"/>
        </w:rPr>
        <w:t>适用于合同的其他规范性文件：</w:t>
      </w:r>
    </w:p>
    <w:p>
      <w:pPr>
        <w:snapToGrid w:val="0"/>
        <w:spacing w:line="288" w:lineRule="auto"/>
        <w:ind w:firstLine="420" w:firstLineChars="200"/>
        <w:rPr>
          <w:rStyle w:val="41"/>
          <w:rFonts w:ascii="宋体" w:hAnsi="宋体"/>
          <w:color w:val="auto"/>
          <w:szCs w:val="21"/>
          <w:highlight w:val="none"/>
          <w:u w:val="single"/>
        </w:rPr>
      </w:pPr>
      <w:r>
        <w:rPr>
          <w:rStyle w:val="41"/>
          <w:rFonts w:ascii="宋体" w:hAnsi="宋体"/>
          <w:color w:val="auto"/>
          <w:szCs w:val="21"/>
          <w:highlight w:val="none"/>
          <w:u w:val="single" w:color="000000"/>
        </w:rPr>
        <w:t>《中华人民共和国建筑法》、《中华人民共和国民法典》、《中华人民共和国</w:t>
      </w:r>
      <w:r>
        <w:rPr>
          <w:rStyle w:val="41"/>
          <w:rFonts w:hint="eastAsia" w:ascii="宋体" w:hAnsi="宋体"/>
          <w:color w:val="auto"/>
          <w:szCs w:val="21"/>
          <w:highlight w:val="none"/>
          <w:u w:val="single" w:color="000000"/>
        </w:rPr>
        <w:t>政府采购法</w:t>
      </w:r>
      <w:r>
        <w:rPr>
          <w:rStyle w:val="41"/>
          <w:rFonts w:ascii="宋体" w:hAnsi="宋体"/>
          <w:color w:val="auto"/>
          <w:szCs w:val="21"/>
          <w:highlight w:val="none"/>
          <w:u w:val="single" w:color="000000"/>
        </w:rPr>
        <w:t>》《中华人民共和国</w:t>
      </w:r>
      <w:r>
        <w:rPr>
          <w:rStyle w:val="41"/>
          <w:rFonts w:hint="eastAsia" w:ascii="宋体" w:hAnsi="宋体"/>
          <w:color w:val="auto"/>
          <w:szCs w:val="21"/>
          <w:highlight w:val="none"/>
          <w:u w:val="single" w:color="000000"/>
        </w:rPr>
        <w:t>招标投标法</w:t>
      </w:r>
      <w:r>
        <w:rPr>
          <w:rStyle w:val="41"/>
          <w:rFonts w:ascii="宋体" w:hAnsi="宋体"/>
          <w:color w:val="auto"/>
          <w:szCs w:val="21"/>
          <w:highlight w:val="none"/>
          <w:u w:val="single" w:color="000000"/>
        </w:rPr>
        <w:t>》、《中华人民共和国安全生产法》、《建筑工程质量管理条例》、《建设工程安全生产管理条例》、《中华人民共和国工程建设标准强制性条文（房屋建筑部分）》、《建筑工程设计文件编制深度规定》、《建筑内部装修设计防火规范》、《建筑装修工程质量验收规范》及现行相关法律、法规。</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1.4</w:t>
      </w:r>
      <w:r>
        <w:rPr>
          <w:rStyle w:val="41"/>
          <w:rFonts w:ascii="宋体" w:hAnsi="宋体"/>
          <w:color w:val="auto"/>
          <w:szCs w:val="21"/>
          <w:highlight w:val="none"/>
        </w:rPr>
        <w:t xml:space="preserve">  标准和规范</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 xml:space="preserve">1.4.1  </w:t>
      </w:r>
      <w:r>
        <w:rPr>
          <w:rStyle w:val="41"/>
          <w:rFonts w:ascii="宋体" w:hAnsi="宋体"/>
          <w:color w:val="auto"/>
          <w:szCs w:val="21"/>
          <w:highlight w:val="none"/>
        </w:rPr>
        <w:t>适用于工程的标准规范包括：</w:t>
      </w:r>
      <w:r>
        <w:rPr>
          <w:rStyle w:val="41"/>
          <w:rFonts w:ascii="宋体" w:hAnsi="宋体"/>
          <w:b/>
          <w:color w:val="auto"/>
          <w:szCs w:val="21"/>
          <w:highlight w:val="none"/>
          <w:u w:val="single" w:color="000000"/>
        </w:rPr>
        <w:t>（1）按通用条款约定</w:t>
      </w:r>
    </w:p>
    <w:p>
      <w:pPr>
        <w:snapToGrid w:val="0"/>
        <w:spacing w:line="288" w:lineRule="auto"/>
        <w:ind w:firstLine="422" w:firstLineChars="200"/>
        <w:rPr>
          <w:rStyle w:val="41"/>
          <w:rFonts w:ascii="宋体" w:hAnsi="宋体"/>
          <w:color w:val="auto"/>
          <w:kern w:val="0"/>
          <w:szCs w:val="21"/>
          <w:highlight w:val="none"/>
        </w:rPr>
      </w:pPr>
      <w:r>
        <w:rPr>
          <w:rStyle w:val="41"/>
          <w:rFonts w:ascii="宋体" w:hAnsi="宋体"/>
          <w:b/>
          <w:color w:val="auto"/>
          <w:szCs w:val="21"/>
          <w:highlight w:val="none"/>
        </w:rPr>
        <w:t>1.4.2</w:t>
      </w:r>
      <w:r>
        <w:rPr>
          <w:rStyle w:val="41"/>
          <w:rFonts w:ascii="宋体" w:hAnsi="宋体"/>
          <w:color w:val="auto"/>
          <w:kern w:val="0"/>
          <w:szCs w:val="21"/>
          <w:highlight w:val="none"/>
        </w:rPr>
        <w:t xml:space="preserve">  发包人提供国外标准、规范的名称：</w:t>
      </w:r>
      <w:r>
        <w:rPr>
          <w:rStyle w:val="41"/>
          <w:rFonts w:ascii="宋体" w:hAnsi="宋体"/>
          <w:color w:val="auto"/>
          <w:kern w:val="0"/>
          <w:szCs w:val="21"/>
          <w:highlight w:val="none"/>
          <w:u w:val="single" w:color="000000"/>
        </w:rPr>
        <w:t xml:space="preserve"> </w:t>
      </w:r>
      <w:r>
        <w:rPr>
          <w:rStyle w:val="41"/>
          <w:rFonts w:ascii="宋体" w:hAnsi="宋体"/>
          <w:color w:val="auto"/>
          <w:szCs w:val="21"/>
          <w:highlight w:val="none"/>
          <w:u w:val="single" w:color="000000"/>
        </w:rPr>
        <w:t xml:space="preserve"> /  </w:t>
      </w:r>
      <w:r>
        <w:rPr>
          <w:rStyle w:val="41"/>
          <w:rFonts w:ascii="宋体" w:hAnsi="宋体"/>
          <w:color w:val="auto"/>
          <w:kern w:val="0"/>
          <w:szCs w:val="21"/>
          <w:highlight w:val="none"/>
          <w:u w:val="single" w:color="000000"/>
        </w:rPr>
        <w:t xml:space="preserve">  </w:t>
      </w:r>
      <w:r>
        <w:rPr>
          <w:rStyle w:val="41"/>
          <w:rFonts w:ascii="宋体" w:hAnsi="宋体"/>
          <w:color w:val="auto"/>
          <w:kern w:val="0"/>
          <w:szCs w:val="21"/>
          <w:highlight w:val="none"/>
        </w:rPr>
        <w:t>；</w:t>
      </w:r>
    </w:p>
    <w:p>
      <w:pPr>
        <w:snapToGrid w:val="0"/>
        <w:spacing w:line="288" w:lineRule="auto"/>
        <w:ind w:firstLine="420" w:firstLineChars="200"/>
        <w:rPr>
          <w:rStyle w:val="41"/>
          <w:rFonts w:ascii="宋体" w:hAnsi="宋体"/>
          <w:color w:val="auto"/>
          <w:kern w:val="0"/>
          <w:szCs w:val="21"/>
          <w:highlight w:val="none"/>
        </w:rPr>
      </w:pPr>
      <w:r>
        <w:rPr>
          <w:rStyle w:val="41"/>
          <w:rFonts w:ascii="宋体" w:hAnsi="宋体"/>
          <w:color w:val="auto"/>
          <w:kern w:val="0"/>
          <w:szCs w:val="21"/>
          <w:highlight w:val="none"/>
        </w:rPr>
        <w:t>发包人提供国外标准、规范的份数：</w:t>
      </w:r>
      <w:r>
        <w:rPr>
          <w:rStyle w:val="41"/>
          <w:rFonts w:ascii="宋体" w:hAnsi="宋体"/>
          <w:color w:val="auto"/>
          <w:kern w:val="0"/>
          <w:szCs w:val="21"/>
          <w:highlight w:val="none"/>
          <w:u w:val="single" w:color="000000"/>
        </w:rPr>
        <w:t xml:space="preserve"> </w:t>
      </w:r>
      <w:r>
        <w:rPr>
          <w:rStyle w:val="41"/>
          <w:rFonts w:ascii="宋体" w:hAnsi="宋体"/>
          <w:color w:val="auto"/>
          <w:szCs w:val="21"/>
          <w:highlight w:val="none"/>
          <w:u w:val="single" w:color="000000"/>
        </w:rPr>
        <w:t xml:space="preserve"> /  </w:t>
      </w:r>
      <w:r>
        <w:rPr>
          <w:rStyle w:val="41"/>
          <w:rFonts w:ascii="宋体" w:hAnsi="宋体"/>
          <w:color w:val="auto"/>
          <w:kern w:val="0"/>
          <w:szCs w:val="21"/>
          <w:highlight w:val="none"/>
          <w:u w:val="single" w:color="000000"/>
        </w:rPr>
        <w:t xml:space="preserve"> </w:t>
      </w:r>
      <w:r>
        <w:rPr>
          <w:rStyle w:val="41"/>
          <w:rFonts w:ascii="宋体" w:hAnsi="宋体"/>
          <w:color w:val="auto"/>
          <w:kern w:val="0"/>
          <w:szCs w:val="21"/>
          <w:highlight w:val="none"/>
        </w:rPr>
        <w:t>；</w:t>
      </w:r>
    </w:p>
    <w:p>
      <w:pPr>
        <w:snapToGrid w:val="0"/>
        <w:spacing w:line="288" w:lineRule="auto"/>
        <w:ind w:firstLine="420" w:firstLineChars="200"/>
        <w:rPr>
          <w:rStyle w:val="41"/>
          <w:rFonts w:ascii="宋体" w:hAnsi="宋体"/>
          <w:color w:val="auto"/>
          <w:szCs w:val="21"/>
          <w:highlight w:val="none"/>
        </w:rPr>
      </w:pPr>
      <w:r>
        <w:rPr>
          <w:rStyle w:val="41"/>
          <w:rFonts w:ascii="宋体" w:hAnsi="宋体"/>
          <w:color w:val="auto"/>
          <w:kern w:val="0"/>
          <w:szCs w:val="21"/>
          <w:highlight w:val="none"/>
        </w:rPr>
        <w:t>发包人提供国外标准、规范的名称：</w:t>
      </w:r>
      <w:r>
        <w:rPr>
          <w:rStyle w:val="41"/>
          <w:rFonts w:ascii="宋体" w:hAnsi="宋体"/>
          <w:color w:val="auto"/>
          <w:kern w:val="0"/>
          <w:szCs w:val="21"/>
          <w:highlight w:val="none"/>
          <w:u w:val="single" w:color="000000"/>
        </w:rPr>
        <w:t xml:space="preserve"> </w:t>
      </w:r>
      <w:r>
        <w:rPr>
          <w:rStyle w:val="41"/>
          <w:rFonts w:ascii="宋体" w:hAnsi="宋体"/>
          <w:color w:val="auto"/>
          <w:szCs w:val="21"/>
          <w:highlight w:val="none"/>
          <w:u w:val="single" w:color="000000"/>
        </w:rPr>
        <w:t xml:space="preserve"> /  </w:t>
      </w:r>
      <w:r>
        <w:rPr>
          <w:rStyle w:val="41"/>
          <w:rFonts w:ascii="宋体" w:hAnsi="宋体"/>
          <w:color w:val="auto"/>
          <w:kern w:val="0"/>
          <w:szCs w:val="21"/>
          <w:highlight w:val="none"/>
          <w:u w:val="single" w:color="000000"/>
        </w:rPr>
        <w:t xml:space="preserve"> </w:t>
      </w:r>
      <w:r>
        <w:rPr>
          <w:rStyle w:val="41"/>
          <w:rFonts w:ascii="宋体" w:hAnsi="宋体"/>
          <w:color w:val="auto"/>
          <w:kern w:val="0"/>
          <w:szCs w:val="21"/>
          <w:highlight w:val="none"/>
        </w:rPr>
        <w:t>。</w:t>
      </w:r>
    </w:p>
    <w:p>
      <w:pPr>
        <w:snapToGrid w:val="0"/>
        <w:spacing w:line="288" w:lineRule="auto"/>
        <w:ind w:firstLine="422" w:firstLineChars="200"/>
        <w:rPr>
          <w:rStyle w:val="41"/>
          <w:rFonts w:ascii="宋体" w:hAnsi="宋体"/>
          <w:color w:val="auto"/>
          <w:szCs w:val="21"/>
          <w:highlight w:val="none"/>
        </w:rPr>
      </w:pPr>
      <w:r>
        <w:rPr>
          <w:rStyle w:val="41"/>
          <w:rFonts w:ascii="宋体" w:hAnsi="宋体"/>
          <w:b/>
          <w:color w:val="auto"/>
          <w:szCs w:val="21"/>
          <w:highlight w:val="none"/>
        </w:rPr>
        <w:t xml:space="preserve">1.4.3  </w:t>
      </w:r>
      <w:r>
        <w:rPr>
          <w:rStyle w:val="41"/>
          <w:rFonts w:ascii="宋体" w:hAnsi="宋体"/>
          <w:color w:val="auto"/>
          <w:szCs w:val="21"/>
          <w:highlight w:val="none"/>
        </w:rPr>
        <w:t>发包人对工程的技术标准和功能要求的特殊要求：</w:t>
      </w:r>
      <w:r>
        <w:rPr>
          <w:rStyle w:val="41"/>
          <w:rFonts w:ascii="宋体" w:hAnsi="宋体"/>
          <w:color w:val="auto"/>
          <w:szCs w:val="21"/>
          <w:highlight w:val="none"/>
          <w:u w:val="single" w:color="000000"/>
        </w:rPr>
        <w:t>详见设计文件和招标技术要求。如本项目存在国内没有相应标准、规范的情况，则由发包人、监理以及相关部门协商而定</w:t>
      </w:r>
      <w:r>
        <w:rPr>
          <w:rStyle w:val="41"/>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48" w:name="_Toc8258"/>
      <w:bookmarkStart w:id="49" w:name="_Toc22187"/>
      <w:r>
        <w:rPr>
          <w:rFonts w:ascii="宋体" w:hAnsi="宋体"/>
          <w:b/>
          <w:color w:val="auto"/>
          <w:szCs w:val="21"/>
          <w:highlight w:val="none"/>
        </w:rPr>
        <w:t>1.5</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合同文件的优先顺序</w:t>
      </w:r>
      <w:bookmarkEnd w:id="48"/>
      <w:bookmarkEnd w:id="49"/>
    </w:p>
    <w:p>
      <w:pPr>
        <w:spacing w:line="288" w:lineRule="auto"/>
        <w:ind w:firstLine="420" w:firstLineChars="200"/>
        <w:rPr>
          <w:rFonts w:ascii="宋体" w:hAnsi="宋体"/>
          <w:color w:val="auto"/>
          <w:szCs w:val="21"/>
          <w:highlight w:val="none"/>
        </w:rPr>
      </w:pPr>
      <w:r>
        <w:rPr>
          <w:rFonts w:ascii="宋体" w:hAnsi="宋体"/>
          <w:color w:val="auto"/>
          <w:szCs w:val="21"/>
          <w:highlight w:val="none"/>
        </w:rPr>
        <w:t>合同文件组成及优先顺序为：</w:t>
      </w:r>
      <w:r>
        <w:rPr>
          <w:rFonts w:hint="eastAsia" w:ascii="宋体" w:hAnsi="宋体"/>
          <w:color w:val="auto"/>
          <w:szCs w:val="21"/>
          <w:highlight w:val="none"/>
        </w:rPr>
        <w:t xml:space="preserve"> </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（1）本合同协议书；</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（2）中标通知书；</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（3）投标函及其附录（如果有）；</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（4）本合同专用条款及其附件；</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（5）本合同通用条款；</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（6）标准、规范及有关技术文件;</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（7）图纸及设计说明；</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（8）询标纪要及承诺书</w:t>
      </w:r>
      <w:r>
        <w:rPr>
          <w:rFonts w:hint="eastAsia" w:hAnsi="宋体" w:cs="宋体"/>
          <w:b/>
          <w:color w:val="auto"/>
          <w:szCs w:val="21"/>
          <w:highlight w:val="none"/>
          <w:u w:val="single"/>
        </w:rPr>
        <w:t>（如果有）</w:t>
      </w:r>
      <w:r>
        <w:rPr>
          <w:rFonts w:hint="eastAsia" w:hAnsi="宋体"/>
          <w:b/>
          <w:color w:val="auto"/>
          <w:szCs w:val="21"/>
          <w:highlight w:val="none"/>
          <w:u w:val="single"/>
        </w:rPr>
        <w:t>；</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（9）投标书（含商务标书及技术标书）及附件；</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（10）采购文件（含招标工程量清单）及招标答疑；</w:t>
      </w:r>
    </w:p>
    <w:p>
      <w:pPr>
        <w:pStyle w:val="10"/>
        <w:spacing w:line="288" w:lineRule="auto"/>
        <w:ind w:firstLine="422" w:firstLineChars="200"/>
        <w:rPr>
          <w:rFonts w:hAnsi="宋体"/>
          <w:b/>
          <w:color w:val="auto"/>
          <w:szCs w:val="21"/>
          <w:highlight w:val="none"/>
          <w:u w:val="single"/>
        </w:rPr>
      </w:pPr>
      <w:r>
        <w:rPr>
          <w:rFonts w:hint="eastAsia" w:hAnsi="宋体"/>
          <w:b/>
          <w:color w:val="auto"/>
          <w:szCs w:val="21"/>
          <w:highlight w:val="none"/>
          <w:u w:val="single"/>
        </w:rPr>
        <w:t>（11）其他合同文件：在合同订立及履行过程中形成的与合同有关的文件均构成合同文件组成部分。</w:t>
      </w:r>
    </w:p>
    <w:p>
      <w:pPr>
        <w:pStyle w:val="10"/>
        <w:spacing w:line="288" w:lineRule="auto"/>
        <w:ind w:firstLine="420" w:firstLineChars="200"/>
        <w:rPr>
          <w:rStyle w:val="41"/>
          <w:rFonts w:hAnsi="宋体" w:cs="Courier New"/>
          <w:bCs/>
          <w:color w:val="auto"/>
          <w:kern w:val="0"/>
          <w:szCs w:val="21"/>
          <w:highlight w:val="none"/>
        </w:rPr>
      </w:pPr>
      <w:r>
        <w:rPr>
          <w:rStyle w:val="41"/>
          <w:rFonts w:hAnsi="宋体" w:cs="Courier New"/>
          <w:bCs/>
          <w:color w:val="auto"/>
          <w:kern w:val="0"/>
          <w:szCs w:val="21"/>
          <w:highlight w:val="none"/>
        </w:rPr>
        <w:t>上述各项合同文件包括合同当事人就该项合同文件所作出的补充和修改，属于同一类内容的文件，应以最新签署的为准。专用合同条款及其附件须经合同当事人签字或盖章。</w:t>
      </w:r>
    </w:p>
    <w:p>
      <w:pPr>
        <w:spacing w:line="288" w:lineRule="auto"/>
        <w:ind w:firstLine="422" w:firstLineChars="200"/>
        <w:outlineLvl w:val="0"/>
        <w:rPr>
          <w:rFonts w:ascii="宋体" w:hAnsi="宋体"/>
          <w:color w:val="auto"/>
          <w:szCs w:val="21"/>
          <w:highlight w:val="none"/>
        </w:rPr>
      </w:pPr>
      <w:bookmarkStart w:id="50" w:name="_Toc31129"/>
      <w:bookmarkStart w:id="51" w:name="_Toc17718"/>
      <w:r>
        <w:rPr>
          <w:rFonts w:ascii="宋体" w:hAnsi="宋体"/>
          <w:b/>
          <w:color w:val="auto"/>
          <w:szCs w:val="21"/>
          <w:highlight w:val="none"/>
        </w:rPr>
        <w:t>1.6</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图纸和承包人文件</w:t>
      </w:r>
      <w:bookmarkEnd w:id="50"/>
      <w:bookmarkEnd w:id="51"/>
    </w:p>
    <w:p>
      <w:pPr>
        <w:spacing w:line="288" w:lineRule="auto"/>
        <w:ind w:firstLine="422" w:firstLineChars="200"/>
        <w:outlineLvl w:val="0"/>
        <w:rPr>
          <w:rFonts w:ascii="宋体" w:hAnsi="宋体"/>
          <w:color w:val="auto"/>
          <w:szCs w:val="21"/>
          <w:highlight w:val="none"/>
        </w:rPr>
      </w:pPr>
      <w:bookmarkStart w:id="52" w:name="_Toc5803"/>
      <w:bookmarkStart w:id="53" w:name="_Toc19729"/>
      <w:r>
        <w:rPr>
          <w:rFonts w:ascii="宋体" w:hAnsi="宋体"/>
          <w:b/>
          <w:color w:val="auto"/>
          <w:szCs w:val="21"/>
          <w:highlight w:val="none"/>
        </w:rPr>
        <w:t>1.6.1</w:t>
      </w:r>
      <w:r>
        <w:rPr>
          <w:rFonts w:hint="eastAsia" w:ascii="宋体" w:hAnsi="宋体"/>
          <w:b/>
          <w:color w:val="auto"/>
          <w:szCs w:val="21"/>
          <w:highlight w:val="none"/>
        </w:rPr>
        <w:t xml:space="preserve"> </w:t>
      </w:r>
      <w:r>
        <w:rPr>
          <w:rFonts w:ascii="宋体" w:hAnsi="宋体"/>
          <w:color w:val="auto"/>
          <w:szCs w:val="21"/>
          <w:highlight w:val="none"/>
        </w:rPr>
        <w:t xml:space="preserve"> 图纸的提供</w:t>
      </w:r>
      <w:bookmarkEnd w:id="52"/>
      <w:bookmarkEnd w:id="53"/>
    </w:p>
    <w:p>
      <w:pPr>
        <w:spacing w:line="288" w:lineRule="auto"/>
        <w:ind w:firstLine="420" w:firstLineChars="200"/>
        <w:rPr>
          <w:rFonts w:ascii="宋体" w:hAnsi="宋体"/>
          <w:bCs/>
          <w:color w:val="auto"/>
          <w:szCs w:val="21"/>
          <w:highlight w:val="none"/>
        </w:rPr>
      </w:pPr>
      <w:r>
        <w:rPr>
          <w:rFonts w:ascii="宋体" w:hAnsi="宋体"/>
          <w:bCs/>
          <w:color w:val="auto"/>
          <w:szCs w:val="21"/>
          <w:highlight w:val="none"/>
        </w:rPr>
        <w:t>发包人向承包人提供图纸的期限：</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line="288" w:lineRule="auto"/>
        <w:ind w:firstLine="420" w:firstLineChars="200"/>
        <w:rPr>
          <w:rFonts w:ascii="宋体" w:hAnsi="宋体"/>
          <w:bCs/>
          <w:color w:val="auto"/>
          <w:szCs w:val="21"/>
          <w:highlight w:val="none"/>
        </w:rPr>
      </w:pPr>
      <w:r>
        <w:rPr>
          <w:rFonts w:ascii="宋体" w:hAnsi="宋体"/>
          <w:bCs/>
          <w:color w:val="auto"/>
          <w:szCs w:val="21"/>
          <w:highlight w:val="none"/>
        </w:rPr>
        <w:t>发包人向承包人提供图纸的数量：</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line="288" w:lineRule="auto"/>
        <w:ind w:firstLine="420" w:firstLineChars="200"/>
        <w:rPr>
          <w:rFonts w:ascii="宋体" w:hAnsi="宋体"/>
          <w:bCs/>
          <w:color w:val="auto"/>
          <w:szCs w:val="21"/>
          <w:highlight w:val="none"/>
        </w:rPr>
      </w:pPr>
      <w:r>
        <w:rPr>
          <w:rFonts w:ascii="宋体" w:hAnsi="宋体"/>
          <w:bCs/>
          <w:color w:val="auto"/>
          <w:szCs w:val="21"/>
          <w:highlight w:val="none"/>
        </w:rPr>
        <w:t>发包人向承包人提供图纸的内容：</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line="288" w:lineRule="auto"/>
        <w:ind w:firstLine="422" w:firstLineChars="200"/>
        <w:outlineLvl w:val="0"/>
        <w:rPr>
          <w:rFonts w:ascii="宋体" w:hAnsi="宋体"/>
          <w:color w:val="auto"/>
          <w:szCs w:val="21"/>
          <w:highlight w:val="none"/>
        </w:rPr>
      </w:pPr>
      <w:bookmarkStart w:id="54" w:name="_Toc8978"/>
      <w:bookmarkStart w:id="55" w:name="_Toc32010"/>
      <w:r>
        <w:rPr>
          <w:rFonts w:ascii="宋体" w:hAnsi="宋体"/>
          <w:b/>
          <w:color w:val="auto"/>
          <w:szCs w:val="21"/>
          <w:highlight w:val="none"/>
        </w:rPr>
        <w:t>1.6.4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承包人文件</w:t>
      </w:r>
      <w:bookmarkEnd w:id="54"/>
      <w:bookmarkEnd w:id="55"/>
    </w:p>
    <w:p>
      <w:pPr>
        <w:spacing w:line="288"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需要由承包人提供的文件，包括：</w:t>
      </w:r>
      <w:r>
        <w:rPr>
          <w:rFonts w:hint="eastAsia" w:ascii="宋体" w:hAnsi="宋体"/>
          <w:bCs/>
          <w:color w:val="auto"/>
          <w:szCs w:val="21"/>
          <w:highlight w:val="none"/>
          <w:u w:val="single"/>
        </w:rPr>
        <w:t xml:space="preserve">提供符合监理工程师要求的施工组织设计、工程进度计划、专项施工方案等与工程施工有关的文件 </w:t>
      </w:r>
      <w:r>
        <w:rPr>
          <w:rFonts w:hint="eastAsia" w:ascii="宋体" w:hAnsi="宋体"/>
          <w:bCs/>
          <w:color w:val="auto"/>
          <w:szCs w:val="21"/>
          <w:highlight w:val="none"/>
        </w:rPr>
        <w:t>；</w:t>
      </w:r>
    </w:p>
    <w:p>
      <w:pPr>
        <w:spacing w:line="288"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承包人提供的文件的期限为：</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line="288"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承包人提供的文件的数量为：</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line="288"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承包人提供的文件的形式为：</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line="288" w:lineRule="auto"/>
        <w:ind w:firstLine="420" w:firstLineChars="200"/>
        <w:rPr>
          <w:rFonts w:ascii="宋体" w:hAnsi="宋体"/>
          <w:bCs/>
          <w:color w:val="auto"/>
          <w:szCs w:val="21"/>
          <w:highlight w:val="none"/>
        </w:rPr>
      </w:pPr>
      <w:r>
        <w:rPr>
          <w:rFonts w:hint="eastAsia" w:ascii="宋体" w:hAnsi="宋体"/>
          <w:bCs/>
          <w:color w:val="auto"/>
          <w:szCs w:val="21"/>
          <w:highlight w:val="none"/>
        </w:rPr>
        <w:t>发包人审批承包人文件的期限：</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pPr>
        <w:spacing w:line="288" w:lineRule="auto"/>
        <w:ind w:firstLine="422" w:firstLineChars="200"/>
        <w:outlineLvl w:val="0"/>
        <w:rPr>
          <w:rFonts w:ascii="宋体" w:hAnsi="宋体"/>
          <w:color w:val="auto"/>
          <w:szCs w:val="21"/>
          <w:highlight w:val="none"/>
        </w:rPr>
      </w:pPr>
      <w:bookmarkStart w:id="56" w:name="_Toc13174"/>
      <w:bookmarkStart w:id="57" w:name="_Toc21359"/>
      <w:r>
        <w:rPr>
          <w:rFonts w:ascii="宋体" w:hAnsi="宋体"/>
          <w:b/>
          <w:color w:val="auto"/>
          <w:szCs w:val="21"/>
          <w:highlight w:val="none"/>
        </w:rPr>
        <w:t>1.6.5</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现场图纸准备</w:t>
      </w:r>
      <w:bookmarkEnd w:id="56"/>
      <w:bookmarkEnd w:id="57"/>
    </w:p>
    <w:p>
      <w:pPr>
        <w:spacing w:line="288" w:lineRule="auto"/>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ascii="宋体" w:hAnsi="宋体"/>
          <w:color w:val="auto"/>
          <w:szCs w:val="21"/>
          <w:highlight w:val="none"/>
          <w:u w:val="single"/>
        </w:rPr>
        <w:t></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58" w:name="_Toc51"/>
      <w:bookmarkStart w:id="59" w:name="_Toc9856"/>
      <w:r>
        <w:rPr>
          <w:rFonts w:ascii="宋体" w:hAnsi="宋体"/>
          <w:b/>
          <w:color w:val="auto"/>
          <w:szCs w:val="21"/>
          <w:highlight w:val="none"/>
        </w:rPr>
        <w:t>1.7</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联络</w:t>
      </w:r>
      <w:bookmarkEnd w:id="58"/>
      <w:bookmarkEnd w:id="59"/>
    </w:p>
    <w:p>
      <w:pPr>
        <w:spacing w:line="288" w:lineRule="auto"/>
        <w:ind w:firstLine="422" w:firstLineChars="200"/>
        <w:rPr>
          <w:rFonts w:ascii="宋体" w:hAnsi="宋体"/>
          <w:color w:val="auto"/>
          <w:kern w:val="0"/>
          <w:szCs w:val="21"/>
          <w:highlight w:val="none"/>
        </w:rPr>
      </w:pPr>
      <w:r>
        <w:rPr>
          <w:rFonts w:ascii="宋体" w:hAnsi="宋体"/>
          <w:b/>
          <w:color w:val="auto"/>
          <w:szCs w:val="21"/>
          <w:highlight w:val="none"/>
        </w:rPr>
        <w:t>1.7.1</w:t>
      </w:r>
      <w:r>
        <w:rPr>
          <w:rFonts w:hint="eastAsia" w:ascii="宋体" w:hAnsi="宋体"/>
          <w:b/>
          <w:color w:val="auto"/>
          <w:szCs w:val="21"/>
          <w:highlight w:val="none"/>
        </w:rPr>
        <w:t xml:space="preserve">  </w:t>
      </w:r>
      <w:r>
        <w:rPr>
          <w:rFonts w:ascii="宋体" w:hAnsi="宋体"/>
          <w:color w:val="auto"/>
          <w:kern w:val="0"/>
          <w:szCs w:val="21"/>
          <w:highlight w:val="none"/>
        </w:rPr>
        <w:t>发包人和承包人应当在</w:t>
      </w:r>
      <w:r>
        <w:rPr>
          <w:rFonts w:hint="eastAsia" w:ascii="宋体" w:hAnsi="宋体"/>
          <w:color w:val="auto"/>
          <w:szCs w:val="21"/>
          <w:highlight w:val="none"/>
          <w:u w:val="single"/>
        </w:rPr>
        <w:t>3</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pPr>
        <w:spacing w:line="288" w:lineRule="auto"/>
        <w:ind w:firstLine="422" w:firstLineChars="200"/>
        <w:rPr>
          <w:rFonts w:ascii="宋体" w:hAnsi="宋体"/>
          <w:color w:val="auto"/>
          <w:kern w:val="0"/>
          <w:szCs w:val="21"/>
          <w:highlight w:val="none"/>
        </w:rPr>
      </w:pPr>
      <w:r>
        <w:rPr>
          <w:rFonts w:ascii="宋体" w:hAnsi="宋体"/>
          <w:b/>
          <w:color w:val="auto"/>
          <w:szCs w:val="21"/>
          <w:highlight w:val="none"/>
        </w:rPr>
        <w:t>1.7.2</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发包人接收文件的地点：</w:t>
      </w:r>
      <w:r>
        <w:rPr>
          <w:rFonts w:hint="eastAsia" w:ascii="宋体" w:hAnsi="宋体"/>
          <w:bCs/>
          <w:color w:val="auto"/>
          <w:szCs w:val="21"/>
          <w:highlight w:val="none"/>
          <w:u w:val="single"/>
        </w:rPr>
        <w:t>施工现场</w:t>
      </w:r>
      <w:r>
        <w:rPr>
          <w:rFonts w:ascii="宋体" w:hAnsi="宋体"/>
          <w:color w:val="auto"/>
          <w:kern w:val="0"/>
          <w:szCs w:val="21"/>
          <w:highlight w:val="none"/>
        </w:rPr>
        <w:t>；</w:t>
      </w:r>
    </w:p>
    <w:p>
      <w:pPr>
        <w:spacing w:line="288" w:lineRule="auto"/>
        <w:ind w:firstLine="420" w:firstLineChars="200"/>
        <w:rPr>
          <w:rFonts w:ascii="宋体" w:hAnsi="宋体"/>
          <w:bCs/>
          <w:color w:val="auto"/>
          <w:kern w:val="0"/>
          <w:szCs w:val="21"/>
          <w:highlight w:val="none"/>
        </w:rPr>
      </w:pPr>
      <w:r>
        <w:rPr>
          <w:rFonts w:ascii="宋体" w:hAnsi="宋体"/>
          <w:bCs/>
          <w:color w:val="auto"/>
          <w:kern w:val="0"/>
          <w:szCs w:val="21"/>
          <w:highlight w:val="none"/>
        </w:rPr>
        <w:t>发包人指定的接收人为：</w:t>
      </w:r>
      <w:r>
        <w:rPr>
          <w:rFonts w:hint="eastAsia" w:ascii="宋体" w:hAnsi="宋体"/>
          <w:bCs/>
          <w:color w:val="auto"/>
          <w:kern w:val="0"/>
          <w:szCs w:val="21"/>
          <w:highlight w:val="none"/>
          <w:u w:val="single"/>
        </w:rPr>
        <w:t xml:space="preserve"> 另行约定 </w:t>
      </w:r>
      <w:r>
        <w:rPr>
          <w:rFonts w:ascii="宋体" w:hAnsi="宋体"/>
          <w:bCs/>
          <w:color w:val="auto"/>
          <w:kern w:val="0"/>
          <w:szCs w:val="21"/>
          <w:highlight w:val="none"/>
        </w:rPr>
        <w:t>。</w:t>
      </w:r>
    </w:p>
    <w:p>
      <w:pPr>
        <w:spacing w:line="288" w:lineRule="auto"/>
        <w:ind w:firstLine="420" w:firstLineChars="200"/>
        <w:rPr>
          <w:rFonts w:ascii="宋体" w:hAnsi="宋体"/>
          <w:bCs/>
          <w:color w:val="auto"/>
          <w:kern w:val="0"/>
          <w:szCs w:val="21"/>
          <w:highlight w:val="none"/>
        </w:rPr>
      </w:pPr>
      <w:r>
        <w:rPr>
          <w:rFonts w:ascii="宋体" w:hAnsi="宋体"/>
          <w:bCs/>
          <w:color w:val="auto"/>
          <w:kern w:val="0"/>
          <w:szCs w:val="21"/>
          <w:highlight w:val="none"/>
        </w:rPr>
        <w:t>承包人接收文件的地点：</w:t>
      </w:r>
      <w:r>
        <w:rPr>
          <w:rFonts w:hint="eastAsia" w:ascii="宋体" w:hAnsi="宋体"/>
          <w:bCs/>
          <w:color w:val="auto"/>
          <w:kern w:val="0"/>
          <w:szCs w:val="21"/>
          <w:highlight w:val="none"/>
          <w:u w:val="single"/>
        </w:rPr>
        <w:t xml:space="preserve"> 施工现场  </w:t>
      </w:r>
      <w:r>
        <w:rPr>
          <w:rFonts w:ascii="宋体" w:hAnsi="宋体"/>
          <w:bCs/>
          <w:color w:val="auto"/>
          <w:kern w:val="0"/>
          <w:szCs w:val="21"/>
          <w:highlight w:val="none"/>
        </w:rPr>
        <w:t>；</w:t>
      </w:r>
    </w:p>
    <w:p>
      <w:pPr>
        <w:spacing w:line="288" w:lineRule="auto"/>
        <w:ind w:firstLine="420" w:firstLineChars="200"/>
        <w:rPr>
          <w:rFonts w:ascii="宋体" w:hAnsi="宋体"/>
          <w:bCs/>
          <w:color w:val="auto"/>
          <w:kern w:val="0"/>
          <w:szCs w:val="21"/>
          <w:highlight w:val="none"/>
        </w:rPr>
      </w:pPr>
      <w:r>
        <w:rPr>
          <w:rFonts w:ascii="宋体" w:hAnsi="宋体"/>
          <w:bCs/>
          <w:color w:val="auto"/>
          <w:kern w:val="0"/>
          <w:szCs w:val="21"/>
          <w:highlight w:val="none"/>
        </w:rPr>
        <w:t>承包人指定的接收人为：</w:t>
      </w:r>
      <w:r>
        <w:rPr>
          <w:rFonts w:hint="eastAsia" w:ascii="宋体" w:hAnsi="宋体"/>
          <w:bCs/>
          <w:color w:val="auto"/>
          <w:kern w:val="0"/>
          <w:szCs w:val="21"/>
          <w:highlight w:val="none"/>
          <w:u w:val="single"/>
        </w:rPr>
        <w:t xml:space="preserve"> 另行约定</w:t>
      </w:r>
      <w:r>
        <w:rPr>
          <w:rFonts w:ascii="宋体" w:hAnsi="宋体"/>
          <w:bCs/>
          <w:color w:val="auto"/>
          <w:kern w:val="0"/>
          <w:szCs w:val="21"/>
          <w:highlight w:val="none"/>
        </w:rPr>
        <w:t>。</w:t>
      </w:r>
    </w:p>
    <w:p>
      <w:pPr>
        <w:spacing w:line="288" w:lineRule="auto"/>
        <w:ind w:firstLine="420" w:firstLineChars="200"/>
        <w:rPr>
          <w:rFonts w:ascii="宋体" w:hAnsi="宋体"/>
          <w:bCs/>
          <w:color w:val="auto"/>
          <w:kern w:val="0"/>
          <w:szCs w:val="21"/>
          <w:highlight w:val="none"/>
        </w:rPr>
      </w:pPr>
      <w:r>
        <w:rPr>
          <w:rFonts w:ascii="宋体" w:hAnsi="宋体"/>
          <w:bCs/>
          <w:color w:val="auto"/>
          <w:kern w:val="0"/>
          <w:szCs w:val="21"/>
          <w:highlight w:val="none"/>
        </w:rPr>
        <w:t>监理人接收文件的地点：</w:t>
      </w:r>
      <w:r>
        <w:rPr>
          <w:rFonts w:hint="eastAsia" w:ascii="宋体" w:hAnsi="宋体"/>
          <w:bCs/>
          <w:color w:val="auto"/>
          <w:kern w:val="0"/>
          <w:szCs w:val="21"/>
          <w:highlight w:val="none"/>
          <w:u w:val="single"/>
        </w:rPr>
        <w:t>施工现场</w:t>
      </w:r>
      <w:r>
        <w:rPr>
          <w:rFonts w:ascii="宋体" w:hAnsi="宋体"/>
          <w:bCs/>
          <w:color w:val="auto"/>
          <w:kern w:val="0"/>
          <w:szCs w:val="21"/>
          <w:highlight w:val="none"/>
        </w:rPr>
        <w:t>；</w:t>
      </w:r>
    </w:p>
    <w:p>
      <w:pPr>
        <w:spacing w:line="288" w:lineRule="auto"/>
        <w:ind w:firstLine="420" w:firstLineChars="200"/>
        <w:rPr>
          <w:rFonts w:ascii="宋体" w:hAnsi="宋体"/>
          <w:bCs/>
          <w:color w:val="auto"/>
          <w:kern w:val="0"/>
          <w:szCs w:val="21"/>
          <w:highlight w:val="none"/>
        </w:rPr>
      </w:pPr>
      <w:r>
        <w:rPr>
          <w:rFonts w:ascii="宋体" w:hAnsi="宋体"/>
          <w:bCs/>
          <w:color w:val="auto"/>
          <w:kern w:val="0"/>
          <w:szCs w:val="21"/>
          <w:highlight w:val="none"/>
        </w:rPr>
        <w:t>监理人指定的接收人为：</w:t>
      </w:r>
      <w:r>
        <w:rPr>
          <w:rFonts w:hint="eastAsia" w:ascii="宋体" w:hAnsi="宋体"/>
          <w:bCs/>
          <w:color w:val="auto"/>
          <w:kern w:val="0"/>
          <w:szCs w:val="21"/>
          <w:highlight w:val="none"/>
          <w:u w:val="single"/>
        </w:rPr>
        <w:t>另行约定</w:t>
      </w:r>
      <w:r>
        <w:rPr>
          <w:rFonts w:ascii="宋体" w:hAnsi="宋体"/>
          <w:bCs/>
          <w:color w:val="auto"/>
          <w:kern w:val="0"/>
          <w:szCs w:val="21"/>
          <w:highlight w:val="none"/>
        </w:rPr>
        <w:t>。</w:t>
      </w:r>
    </w:p>
    <w:p>
      <w:pPr>
        <w:spacing w:line="288" w:lineRule="auto"/>
        <w:ind w:firstLine="422" w:firstLineChars="200"/>
        <w:outlineLvl w:val="0"/>
        <w:rPr>
          <w:rFonts w:ascii="宋体" w:hAnsi="宋体"/>
          <w:color w:val="auto"/>
          <w:szCs w:val="21"/>
          <w:highlight w:val="none"/>
        </w:rPr>
      </w:pPr>
      <w:bookmarkStart w:id="60" w:name="_Toc20225"/>
      <w:bookmarkStart w:id="61" w:name="_Toc1074"/>
      <w:r>
        <w:rPr>
          <w:rFonts w:ascii="宋体" w:hAnsi="宋体"/>
          <w:b/>
          <w:color w:val="auto"/>
          <w:szCs w:val="21"/>
          <w:highlight w:val="none"/>
        </w:rPr>
        <w:t>1.10</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交通运输</w:t>
      </w:r>
      <w:bookmarkEnd w:id="60"/>
      <w:bookmarkEnd w:id="61"/>
    </w:p>
    <w:p>
      <w:pPr>
        <w:spacing w:line="288" w:lineRule="auto"/>
        <w:ind w:firstLine="422" w:firstLineChars="200"/>
        <w:rPr>
          <w:rFonts w:ascii="宋体" w:hAnsi="宋体"/>
          <w:color w:val="auto"/>
          <w:szCs w:val="21"/>
          <w:highlight w:val="none"/>
        </w:rPr>
      </w:pPr>
      <w:r>
        <w:rPr>
          <w:rFonts w:ascii="宋体" w:hAnsi="宋体"/>
          <w:b/>
          <w:color w:val="auto"/>
          <w:szCs w:val="21"/>
          <w:highlight w:val="none"/>
        </w:rPr>
        <w:t>1</w:t>
      </w:r>
      <w:bookmarkStart w:id="62" w:name="_Toc300934943"/>
      <w:bookmarkStart w:id="63" w:name="_Toc304295521"/>
      <w:bookmarkStart w:id="64" w:name="_Toc318581155"/>
      <w:bookmarkStart w:id="65" w:name="_Toc312677986"/>
      <w:bookmarkStart w:id="66" w:name="_Toc303539100"/>
      <w:r>
        <w:rPr>
          <w:rFonts w:ascii="宋体" w:hAnsi="宋体"/>
          <w:b/>
          <w:color w:val="auto"/>
          <w:szCs w:val="21"/>
          <w:highlight w:val="none"/>
        </w:rPr>
        <w:t>.10.1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出入现场的权利</w:t>
      </w:r>
    </w:p>
    <w:p>
      <w:pPr>
        <w:spacing w:line="288" w:lineRule="auto"/>
        <w:ind w:firstLine="420" w:firstLineChars="200"/>
        <w:rPr>
          <w:rFonts w:ascii="宋体" w:hAnsi="宋体"/>
          <w:bCs/>
          <w:color w:val="auto"/>
          <w:szCs w:val="21"/>
          <w:highlight w:val="none"/>
          <w:u w:val="single"/>
        </w:rPr>
      </w:pPr>
      <w:r>
        <w:rPr>
          <w:rFonts w:ascii="宋体" w:hAnsi="宋体"/>
          <w:color w:val="auto"/>
          <w:szCs w:val="21"/>
          <w:highlight w:val="none"/>
        </w:rPr>
        <w:t>关于出入现场的权利的约定：</w:t>
      </w:r>
      <w:r>
        <w:rPr>
          <w:rFonts w:ascii="宋体" w:hAnsi="宋体"/>
          <w:bCs/>
          <w:color w:val="auto"/>
          <w:szCs w:val="21"/>
          <w:highlight w:val="none"/>
          <w:u w:val="single"/>
        </w:rPr>
        <w:t>承包人按</w:t>
      </w:r>
      <w:r>
        <w:rPr>
          <w:rFonts w:hint="eastAsia" w:ascii="宋体" w:hAnsi="宋体"/>
          <w:bCs/>
          <w:color w:val="auto"/>
          <w:szCs w:val="21"/>
          <w:highlight w:val="none"/>
          <w:u w:val="single"/>
        </w:rPr>
        <w:t>发包人</w:t>
      </w:r>
      <w:r>
        <w:rPr>
          <w:rFonts w:ascii="宋体" w:hAnsi="宋体"/>
          <w:bCs/>
          <w:color w:val="auto"/>
          <w:szCs w:val="21"/>
          <w:highlight w:val="none"/>
          <w:u w:val="single"/>
        </w:rPr>
        <w:t>规定办理出入学校的手续</w:t>
      </w:r>
      <w:r>
        <w:rPr>
          <w:rFonts w:hint="eastAsia" w:ascii="宋体" w:hAnsi="宋体"/>
          <w:bCs/>
          <w:color w:val="auto"/>
          <w:szCs w:val="21"/>
          <w:highlight w:val="none"/>
          <w:u w:val="single"/>
        </w:rPr>
        <w:t>，由承包人负责建设</w:t>
      </w:r>
      <w:r>
        <w:rPr>
          <w:rFonts w:ascii="宋体" w:hAnsi="宋体"/>
          <w:bCs/>
          <w:color w:val="auto"/>
          <w:szCs w:val="21"/>
          <w:highlight w:val="none"/>
          <w:u w:val="single"/>
        </w:rPr>
        <w:t>场内交通</w:t>
      </w:r>
      <w:r>
        <w:rPr>
          <w:rFonts w:hint="eastAsia" w:ascii="宋体" w:hAnsi="宋体"/>
          <w:bCs/>
          <w:color w:val="auto"/>
          <w:szCs w:val="21"/>
          <w:highlight w:val="none"/>
          <w:u w:val="single"/>
        </w:rPr>
        <w:t>，费用纳入措施项目费中</w:t>
      </w:r>
      <w:r>
        <w:rPr>
          <w:rFonts w:ascii="宋体" w:hAnsi="宋体"/>
          <w:bCs/>
          <w:color w:val="auto"/>
          <w:szCs w:val="21"/>
          <w:highlight w:val="none"/>
          <w:u w:val="single"/>
        </w:rPr>
        <w:t>。</w:t>
      </w:r>
    </w:p>
    <w:bookmarkEnd w:id="62"/>
    <w:bookmarkEnd w:id="63"/>
    <w:bookmarkEnd w:id="64"/>
    <w:bookmarkEnd w:id="65"/>
    <w:bookmarkEnd w:id="66"/>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1</w:t>
      </w:r>
      <w:bookmarkStart w:id="67" w:name="_Toc303539101"/>
      <w:bookmarkStart w:id="68" w:name="_Toc318581156"/>
      <w:bookmarkStart w:id="69" w:name="_Toc312677987"/>
      <w:bookmarkStart w:id="70" w:name="_Toc304295522"/>
      <w:bookmarkStart w:id="71" w:name="_Toc300934944"/>
      <w:r>
        <w:rPr>
          <w:rFonts w:ascii="宋体" w:hAnsi="宋体"/>
          <w:b/>
          <w:color w:val="auto"/>
          <w:szCs w:val="21"/>
          <w:highlight w:val="none"/>
        </w:rPr>
        <w:t>.10.3</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场内交通</w:t>
      </w:r>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ascii="宋体" w:hAnsi="宋体"/>
          <w:bCs/>
          <w:color w:val="auto"/>
          <w:szCs w:val="21"/>
          <w:highlight w:val="none"/>
          <w:u w:val="single"/>
        </w:rPr>
        <w:t>按</w:t>
      </w:r>
      <w:r>
        <w:rPr>
          <w:rFonts w:hint="eastAsia" w:ascii="宋体" w:hAnsi="宋体"/>
          <w:bCs/>
          <w:color w:val="auto"/>
          <w:szCs w:val="21"/>
          <w:highlight w:val="none"/>
          <w:u w:val="single"/>
        </w:rPr>
        <w:t>发包人</w:t>
      </w:r>
      <w:r>
        <w:rPr>
          <w:rFonts w:ascii="宋体" w:hAnsi="宋体"/>
          <w:bCs/>
          <w:color w:val="auto"/>
          <w:szCs w:val="21"/>
          <w:highlight w:val="none"/>
          <w:u w:val="single"/>
        </w:rPr>
        <w:t>规定办理</w:t>
      </w:r>
      <w:r>
        <w:rPr>
          <w:rFonts w:ascii="宋体" w:hAnsi="宋体"/>
          <w:color w:val="auto"/>
          <w:szCs w:val="21"/>
          <w:highlight w:val="none"/>
        </w:rPr>
        <w:t>。</w:t>
      </w:r>
    </w:p>
    <w:p>
      <w:pPr>
        <w:spacing w:line="288" w:lineRule="auto"/>
        <w:ind w:firstLine="420" w:firstLineChars="200"/>
        <w:jc w:val="left"/>
        <w:rPr>
          <w:rFonts w:ascii="宋体" w:hAnsi="宋体"/>
          <w:bCs/>
          <w:color w:val="auto"/>
          <w:szCs w:val="21"/>
          <w:highlight w:val="none"/>
          <w:u w:val="single"/>
        </w:rPr>
      </w:pPr>
      <w:r>
        <w:rPr>
          <w:rFonts w:ascii="宋体" w:hAnsi="宋体"/>
          <w:color w:val="auto"/>
          <w:szCs w:val="21"/>
          <w:highlight w:val="none"/>
        </w:rPr>
        <w:t>关于发包人向承包人免费提供满足工程施工需要的场内道路和交通设施的约定：</w:t>
      </w:r>
      <w:r>
        <w:rPr>
          <w:rFonts w:hint="eastAsia" w:ascii="宋体" w:hAnsi="宋体"/>
          <w:bCs/>
          <w:color w:val="auto"/>
          <w:szCs w:val="21"/>
          <w:highlight w:val="none"/>
          <w:u w:val="single"/>
        </w:rPr>
        <w:t>由承</w:t>
      </w:r>
    </w:p>
    <w:p>
      <w:pPr>
        <w:spacing w:line="288" w:lineRule="auto"/>
        <w:ind w:firstLine="420" w:firstLineChars="200"/>
        <w:jc w:val="left"/>
        <w:rPr>
          <w:rFonts w:ascii="宋体" w:hAnsi="宋体"/>
          <w:color w:val="auto"/>
          <w:szCs w:val="21"/>
          <w:highlight w:val="none"/>
        </w:rPr>
      </w:pPr>
      <w:r>
        <w:rPr>
          <w:rFonts w:hint="eastAsia" w:ascii="宋体" w:hAnsi="宋体"/>
          <w:bCs/>
          <w:color w:val="auto"/>
          <w:szCs w:val="21"/>
          <w:highlight w:val="none"/>
          <w:u w:val="single"/>
        </w:rPr>
        <w:t>包人负责建设</w:t>
      </w:r>
      <w:r>
        <w:rPr>
          <w:rFonts w:ascii="宋体" w:hAnsi="宋体"/>
          <w:bCs/>
          <w:color w:val="auto"/>
          <w:szCs w:val="21"/>
          <w:highlight w:val="none"/>
          <w:u w:val="single"/>
        </w:rPr>
        <w:t>场内交通</w:t>
      </w:r>
      <w:r>
        <w:rPr>
          <w:rFonts w:hint="eastAsia" w:ascii="宋体" w:hAnsi="宋体"/>
          <w:bCs/>
          <w:color w:val="auto"/>
          <w:szCs w:val="21"/>
          <w:highlight w:val="none"/>
          <w:u w:val="single"/>
        </w:rPr>
        <w:t>，费用纳入措施项目费中，土地征用由发包人负责</w:t>
      </w:r>
      <w:r>
        <w:rPr>
          <w:rFonts w:ascii="宋体" w:hAnsi="宋体"/>
          <w:color w:val="auto"/>
          <w:szCs w:val="21"/>
          <w:highlight w:val="none"/>
        </w:rPr>
        <w:t>。</w:t>
      </w:r>
      <w:bookmarkEnd w:id="67"/>
      <w:bookmarkEnd w:id="68"/>
      <w:bookmarkEnd w:id="69"/>
      <w:bookmarkEnd w:id="70"/>
      <w:bookmarkEnd w:id="71"/>
      <w:bookmarkStart w:id="72" w:name="_Toc318581157"/>
    </w:p>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1.10.4</w:t>
      </w:r>
      <w:r>
        <w:rPr>
          <w:rFonts w:hint="eastAsia" w:ascii="宋体" w:hAnsi="宋体"/>
          <w:b/>
          <w:color w:val="auto"/>
          <w:szCs w:val="21"/>
          <w:highlight w:val="none"/>
        </w:rPr>
        <w:t xml:space="preserve">  </w:t>
      </w:r>
      <w:r>
        <w:rPr>
          <w:rFonts w:ascii="宋体" w:hAnsi="宋体"/>
          <w:color w:val="auto"/>
          <w:szCs w:val="21"/>
          <w:highlight w:val="none"/>
        </w:rPr>
        <w:t>超大件和超重件的运输</w:t>
      </w:r>
      <w:r>
        <w:rPr>
          <w:rFonts w:hint="eastAsia" w:ascii="宋体" w:hAnsi="宋体"/>
          <w:color w:val="auto"/>
          <w:szCs w:val="21"/>
          <w:highlight w:val="none"/>
        </w:rPr>
        <w:t xml:space="preserve"> </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ascii="宋体" w:hAnsi="宋体"/>
          <w:color w:val="auto"/>
          <w:szCs w:val="21"/>
          <w:highlight w:val="none"/>
        </w:rPr>
        <w:t>承担。</w:t>
      </w:r>
    </w:p>
    <w:p>
      <w:pPr>
        <w:spacing w:line="288" w:lineRule="auto"/>
        <w:ind w:firstLine="422" w:firstLineChars="200"/>
        <w:jc w:val="left"/>
        <w:rPr>
          <w:rFonts w:ascii="宋体" w:hAnsi="宋体"/>
          <w:color w:val="auto"/>
          <w:szCs w:val="21"/>
          <w:highlight w:val="none"/>
        </w:rPr>
      </w:pPr>
      <w:r>
        <w:rPr>
          <w:rFonts w:hint="eastAsia" w:ascii="宋体" w:hAnsi="宋体"/>
          <w:b/>
          <w:color w:val="auto"/>
          <w:szCs w:val="21"/>
          <w:highlight w:val="none"/>
        </w:rPr>
        <w:t>本工程的超大件：</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288" w:lineRule="auto"/>
        <w:ind w:firstLine="422" w:firstLineChars="200"/>
        <w:jc w:val="left"/>
        <w:rPr>
          <w:rFonts w:ascii="宋体" w:hAnsi="宋体"/>
          <w:color w:val="auto"/>
          <w:szCs w:val="21"/>
          <w:highlight w:val="none"/>
        </w:rPr>
      </w:pPr>
      <w:r>
        <w:rPr>
          <w:rFonts w:hint="eastAsia" w:ascii="宋体" w:hAnsi="宋体"/>
          <w:b/>
          <w:color w:val="auto"/>
          <w:szCs w:val="21"/>
          <w:highlight w:val="none"/>
        </w:rPr>
        <w:t>本工程的超重件：</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72"/>
    <w:p>
      <w:pPr>
        <w:spacing w:line="288" w:lineRule="auto"/>
        <w:ind w:firstLine="422" w:firstLineChars="200"/>
        <w:outlineLvl w:val="0"/>
        <w:rPr>
          <w:rFonts w:ascii="宋体" w:hAnsi="宋体"/>
          <w:color w:val="auto"/>
          <w:szCs w:val="21"/>
          <w:highlight w:val="none"/>
        </w:rPr>
      </w:pPr>
      <w:bookmarkStart w:id="73" w:name="_Toc19905"/>
      <w:bookmarkStart w:id="74" w:name="_Toc17167"/>
      <w:r>
        <w:rPr>
          <w:rFonts w:ascii="宋体" w:hAnsi="宋体"/>
          <w:b/>
          <w:color w:val="auto"/>
          <w:szCs w:val="21"/>
          <w:highlight w:val="none"/>
        </w:rPr>
        <w:t>1.11</w:t>
      </w:r>
      <w:r>
        <w:rPr>
          <w:rFonts w:hint="eastAsia" w:ascii="宋体" w:hAnsi="宋体"/>
          <w:b/>
          <w:color w:val="auto"/>
          <w:szCs w:val="21"/>
          <w:highlight w:val="none"/>
        </w:rPr>
        <w:t xml:space="preserve"> </w:t>
      </w:r>
      <w:r>
        <w:rPr>
          <w:rFonts w:ascii="宋体" w:hAnsi="宋体"/>
          <w:color w:val="auto"/>
          <w:szCs w:val="21"/>
          <w:highlight w:val="none"/>
        </w:rPr>
        <w:t xml:space="preserve"> 知识产权</w:t>
      </w:r>
      <w:bookmarkEnd w:id="73"/>
      <w:bookmarkEnd w:id="74"/>
    </w:p>
    <w:p>
      <w:pPr>
        <w:spacing w:line="288" w:lineRule="auto"/>
        <w:ind w:firstLine="422" w:firstLineChars="200"/>
        <w:rPr>
          <w:rFonts w:ascii="宋体" w:hAnsi="宋体"/>
          <w:color w:val="auto"/>
          <w:szCs w:val="21"/>
          <w:highlight w:val="none"/>
        </w:rPr>
      </w:pPr>
      <w:r>
        <w:rPr>
          <w:rFonts w:ascii="宋体" w:hAnsi="宋体"/>
          <w:b/>
          <w:color w:val="auto"/>
          <w:szCs w:val="21"/>
          <w:highlight w:val="none"/>
        </w:rPr>
        <w:t>1.11.1</w:t>
      </w:r>
      <w:r>
        <w:rPr>
          <w:rFonts w:hint="eastAsia" w:ascii="宋体" w:hAnsi="宋体"/>
          <w:b/>
          <w:color w:val="auto"/>
          <w:szCs w:val="21"/>
          <w:highlight w:val="none"/>
        </w:rPr>
        <w:t xml:space="preserve">  </w:t>
      </w:r>
      <w:r>
        <w:rPr>
          <w:rFonts w:ascii="宋体"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 xml:space="preserve">   /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rPr>
          <w:rFonts w:ascii="宋体" w:hAnsi="宋体"/>
          <w:color w:val="auto"/>
          <w:szCs w:val="21"/>
          <w:highlight w:val="none"/>
          <w:u w:val="single"/>
        </w:rPr>
      </w:pPr>
      <w:r>
        <w:rPr>
          <w:rFonts w:ascii="宋体" w:hAnsi="宋体"/>
          <w:b/>
          <w:color w:val="auto"/>
          <w:szCs w:val="21"/>
          <w:highlight w:val="none"/>
        </w:rPr>
        <w:t>1.11.2</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ascii="宋体" w:hAnsi="宋体"/>
          <w:color w:val="auto"/>
          <w:szCs w:val="21"/>
          <w:highlight w:val="none"/>
        </w:rPr>
        <w:t>关于承包人为实施工程所编制文件的著作权的归属：</w:t>
      </w:r>
      <w:r>
        <w:rPr>
          <w:rFonts w:ascii="宋体" w:hAnsi="宋体"/>
          <w:color w:val="auto"/>
          <w:szCs w:val="21"/>
          <w:highlight w:val="none"/>
          <w:u w:val="single"/>
        </w:rPr>
        <w:t></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关于承包人提供的上述文件的使用限制的要求：</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b/>
          <w:color w:val="auto"/>
          <w:szCs w:val="21"/>
          <w:highlight w:val="none"/>
          <w:u w:val="single"/>
        </w:rPr>
      </w:pPr>
      <w:bookmarkStart w:id="75" w:name="_Toc26147"/>
      <w:bookmarkStart w:id="76" w:name="_Toc29669"/>
      <w:r>
        <w:rPr>
          <w:rFonts w:ascii="宋体" w:hAnsi="宋体"/>
          <w:b/>
          <w:color w:val="auto"/>
          <w:szCs w:val="21"/>
          <w:highlight w:val="none"/>
        </w:rPr>
        <w:t>1.11.4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承包人在施工过程中所采用的专利、专有技术、技术秘密的使用费的承担方式：</w:t>
      </w:r>
      <w:r>
        <w:rPr>
          <w:rFonts w:hint="eastAsia" w:ascii="宋体" w:hAnsi="宋体"/>
          <w:b/>
          <w:color w:val="auto"/>
          <w:szCs w:val="21"/>
          <w:highlight w:val="none"/>
          <w:u w:val="single"/>
        </w:rPr>
        <w:t>（除发包人指明外）承包人在施工过程中所采用的专利、专有技术、技术秘密的使用费包含在合同价款内   。</w:t>
      </w:r>
      <w:bookmarkEnd w:id="75"/>
      <w:bookmarkEnd w:id="76"/>
    </w:p>
    <w:p>
      <w:pPr>
        <w:spacing w:line="288" w:lineRule="auto"/>
        <w:ind w:firstLine="422" w:firstLineChars="200"/>
        <w:outlineLvl w:val="0"/>
        <w:rPr>
          <w:rFonts w:ascii="宋体" w:hAnsi="宋体"/>
          <w:color w:val="auto"/>
          <w:szCs w:val="21"/>
          <w:highlight w:val="none"/>
        </w:rPr>
      </w:pPr>
      <w:bookmarkStart w:id="77" w:name="_Toc11956"/>
      <w:bookmarkStart w:id="78" w:name="_Toc26464"/>
      <w:r>
        <w:rPr>
          <w:rFonts w:ascii="宋体" w:hAnsi="宋体"/>
          <w:b/>
          <w:color w:val="auto"/>
          <w:szCs w:val="21"/>
          <w:highlight w:val="none"/>
        </w:rPr>
        <w:t>1.13</w:t>
      </w:r>
      <w:r>
        <w:rPr>
          <w:rFonts w:hint="eastAsia" w:ascii="宋体" w:hAnsi="宋体"/>
          <w:b/>
          <w:color w:val="auto"/>
          <w:szCs w:val="21"/>
          <w:highlight w:val="none"/>
        </w:rPr>
        <w:t xml:space="preserve">  </w:t>
      </w:r>
      <w:r>
        <w:rPr>
          <w:rFonts w:ascii="宋体" w:hAnsi="宋体"/>
          <w:color w:val="auto"/>
          <w:szCs w:val="21"/>
          <w:highlight w:val="none"/>
        </w:rPr>
        <w:t>工程量清单错误的修正</w:t>
      </w:r>
      <w:bookmarkEnd w:id="77"/>
      <w:bookmarkEnd w:id="78"/>
    </w:p>
    <w:p>
      <w:pPr>
        <w:spacing w:line="288" w:lineRule="auto"/>
        <w:ind w:firstLine="420" w:firstLineChars="200"/>
        <w:rPr>
          <w:rFonts w:ascii="宋体" w:hAnsi="宋体"/>
          <w:color w:val="auto"/>
          <w:kern w:val="0"/>
          <w:szCs w:val="21"/>
          <w:highlight w:val="none"/>
        </w:rPr>
      </w:pPr>
      <w:r>
        <w:rPr>
          <w:rFonts w:hint="eastAsia" w:ascii="宋体" w:hAnsi="宋体"/>
          <w:color w:val="auto"/>
          <w:szCs w:val="21"/>
          <w:highlight w:val="none"/>
          <w:u w:val="single"/>
        </w:rPr>
        <w:t>出现工程量清单错误时</w:t>
      </w:r>
      <w:r>
        <w:rPr>
          <w:rFonts w:hint="eastAsia" w:ascii="宋体" w:hAnsi="宋体"/>
          <w:color w:val="auto"/>
          <w:szCs w:val="21"/>
          <w:highlight w:val="none"/>
        </w:rPr>
        <w:t>，是否调整合同价格：</w:t>
      </w:r>
      <w:r>
        <w:rPr>
          <w:rFonts w:hint="eastAsia" w:ascii="宋体" w:hAnsi="宋体"/>
          <w:b/>
          <w:color w:val="auto"/>
          <w:szCs w:val="21"/>
          <w:highlight w:val="none"/>
          <w:u w:val="single"/>
        </w:rPr>
        <w:t>是 。</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允许调整合同价格的工程量偏差范围：</w:t>
      </w:r>
      <w:r>
        <w:rPr>
          <w:rFonts w:hint="eastAsia" w:ascii="宋体" w:hAnsi="宋体"/>
          <w:b/>
          <w:color w:val="auto"/>
          <w:szCs w:val="21"/>
          <w:highlight w:val="none"/>
          <w:u w:val="single"/>
        </w:rPr>
        <w:t>（1）固定单价合同的工程量在结算时按实结算，调整的原则参照10.4变更估价。</w:t>
      </w:r>
    </w:p>
    <w:p>
      <w:pPr>
        <w:spacing w:line="288" w:lineRule="auto"/>
        <w:ind w:firstLine="422" w:firstLineChars="200"/>
        <w:outlineLvl w:val="0"/>
        <w:rPr>
          <w:rFonts w:ascii="宋体" w:hAnsi="宋体"/>
          <w:color w:val="auto"/>
          <w:szCs w:val="21"/>
          <w:highlight w:val="none"/>
        </w:rPr>
      </w:pPr>
      <w:bookmarkStart w:id="79" w:name="_Toc11177"/>
      <w:bookmarkStart w:id="80" w:name="_Toc361220563"/>
      <w:bookmarkStart w:id="81" w:name="_Toc5508"/>
      <w:r>
        <w:rPr>
          <w:rFonts w:ascii="宋体" w:hAnsi="宋体"/>
          <w:b/>
          <w:color w:val="auto"/>
          <w:szCs w:val="21"/>
          <w:highlight w:val="none"/>
        </w:rPr>
        <w:t>2</w:t>
      </w:r>
      <w:bookmarkStart w:id="82" w:name="_Toc296347156"/>
      <w:bookmarkStart w:id="83" w:name="_Toc296503157"/>
      <w:bookmarkStart w:id="84" w:name="_Toc292559362"/>
      <w:bookmarkStart w:id="85" w:name="_Toc296346658"/>
      <w:bookmarkStart w:id="86" w:name="_Toc296890985"/>
      <w:bookmarkStart w:id="87" w:name="_Toc296891197"/>
      <w:bookmarkStart w:id="88" w:name="_Toc292559867"/>
      <w:bookmarkStart w:id="89" w:name="_Toc296944496"/>
      <w:bookmarkStart w:id="90" w:name="_Toc297120457"/>
      <w:bookmarkStart w:id="91" w:name="_Toc297048343"/>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发包人</w:t>
      </w:r>
      <w:bookmarkEnd w:id="79"/>
      <w:bookmarkEnd w:id="80"/>
      <w:bookmarkEnd w:id="81"/>
    </w:p>
    <w:p>
      <w:pPr>
        <w:spacing w:line="288" w:lineRule="auto"/>
        <w:ind w:firstLine="422" w:firstLineChars="200"/>
        <w:rPr>
          <w:rFonts w:ascii="宋体" w:hAnsi="宋体"/>
          <w:b/>
          <w:color w:val="auto"/>
          <w:szCs w:val="21"/>
          <w:highlight w:val="none"/>
        </w:rPr>
      </w:pPr>
      <w:r>
        <w:rPr>
          <w:rFonts w:hint="eastAsia" w:ascii="宋体" w:hAnsi="宋体"/>
          <w:b/>
          <w:color w:val="auto"/>
          <w:szCs w:val="21"/>
          <w:highlight w:val="none"/>
        </w:rPr>
        <w:t>发包人应根据工程所需配备发包人代表，同时配备1-2名相关人员到岗履职。</w:t>
      </w:r>
    </w:p>
    <w:bookmarkEnd w:id="82"/>
    <w:bookmarkEnd w:id="83"/>
    <w:bookmarkEnd w:id="84"/>
    <w:bookmarkEnd w:id="85"/>
    <w:bookmarkEnd w:id="86"/>
    <w:bookmarkEnd w:id="87"/>
    <w:bookmarkEnd w:id="88"/>
    <w:bookmarkEnd w:id="89"/>
    <w:bookmarkEnd w:id="90"/>
    <w:bookmarkEnd w:id="91"/>
    <w:p>
      <w:pPr>
        <w:spacing w:line="288" w:lineRule="auto"/>
        <w:ind w:firstLine="422" w:firstLineChars="200"/>
        <w:rPr>
          <w:rFonts w:ascii="宋体" w:hAnsi="宋体"/>
          <w:color w:val="auto"/>
          <w:szCs w:val="21"/>
          <w:highlight w:val="none"/>
        </w:rPr>
      </w:pPr>
      <w:r>
        <w:rPr>
          <w:rFonts w:ascii="宋体" w:hAnsi="宋体"/>
          <w:b/>
          <w:color w:val="auto"/>
          <w:szCs w:val="21"/>
          <w:highlight w:val="none"/>
        </w:rPr>
        <w:t>2.2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发包人代表</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发包人代表：</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发包人对发包人代表的授权范围如下：</w:t>
      </w:r>
      <w:r>
        <w:rPr>
          <w:rFonts w:hint="eastAsia" w:ascii="宋体" w:hAnsi="宋体"/>
          <w:bCs/>
          <w:color w:val="auto"/>
          <w:szCs w:val="21"/>
          <w:highlight w:val="none"/>
          <w:u w:val="single"/>
        </w:rPr>
        <w:t>开工前另行通知</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92" w:name="_Toc32392"/>
      <w:bookmarkStart w:id="93" w:name="_Toc12419"/>
      <w:r>
        <w:rPr>
          <w:rFonts w:ascii="宋体" w:hAnsi="宋体"/>
          <w:b/>
          <w:color w:val="auto"/>
          <w:szCs w:val="21"/>
          <w:highlight w:val="none"/>
        </w:rPr>
        <w:t>2.4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施工现场、施工条件和基础资料的提供</w:t>
      </w:r>
      <w:bookmarkEnd w:id="92"/>
      <w:bookmarkEnd w:id="93"/>
    </w:p>
    <w:p>
      <w:pPr>
        <w:spacing w:line="288" w:lineRule="auto"/>
        <w:ind w:firstLine="422" w:firstLineChars="200"/>
        <w:outlineLvl w:val="0"/>
        <w:rPr>
          <w:rFonts w:ascii="宋体" w:hAnsi="宋体"/>
          <w:color w:val="auto"/>
          <w:szCs w:val="21"/>
          <w:highlight w:val="none"/>
        </w:rPr>
      </w:pPr>
      <w:bookmarkStart w:id="94" w:name="_Toc28616"/>
      <w:bookmarkStart w:id="95" w:name="_Toc404"/>
      <w:r>
        <w:rPr>
          <w:rFonts w:ascii="宋体" w:hAnsi="宋体"/>
          <w:b/>
          <w:color w:val="auto"/>
          <w:szCs w:val="21"/>
          <w:highlight w:val="none"/>
        </w:rPr>
        <w:t>2.4.1</w:t>
      </w:r>
      <w:r>
        <w:rPr>
          <w:rFonts w:hint="eastAsia" w:ascii="宋体" w:hAnsi="宋体"/>
          <w:b/>
          <w:color w:val="auto"/>
          <w:szCs w:val="21"/>
          <w:highlight w:val="none"/>
        </w:rPr>
        <w:t xml:space="preserve"> </w:t>
      </w:r>
      <w:r>
        <w:rPr>
          <w:rFonts w:ascii="宋体" w:hAnsi="宋体"/>
          <w:color w:val="auto"/>
          <w:szCs w:val="21"/>
          <w:highlight w:val="none"/>
        </w:rPr>
        <w:t xml:space="preserve"> 提供施工现场</w:t>
      </w:r>
      <w:bookmarkEnd w:id="94"/>
      <w:bookmarkEnd w:id="95"/>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关于发包人移交施工现场的期限要求：</w:t>
      </w:r>
      <w:r>
        <w:rPr>
          <w:rFonts w:hint="eastAsia" w:ascii="宋体" w:hAnsi="宋体"/>
          <w:bCs/>
          <w:color w:val="auto"/>
          <w:szCs w:val="21"/>
          <w:highlight w:val="none"/>
          <w:u w:val="single"/>
        </w:rPr>
        <w:t>按通用合同条款约定</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96" w:name="_Toc15066"/>
      <w:bookmarkStart w:id="97" w:name="_Toc16301"/>
      <w:r>
        <w:rPr>
          <w:rFonts w:ascii="宋体" w:hAnsi="宋体"/>
          <w:b/>
          <w:color w:val="auto"/>
          <w:szCs w:val="21"/>
          <w:highlight w:val="none"/>
        </w:rPr>
        <w:t>2.4.2</w:t>
      </w:r>
      <w:r>
        <w:rPr>
          <w:rFonts w:hint="eastAsia" w:ascii="宋体" w:hAnsi="宋体"/>
          <w:b/>
          <w:color w:val="auto"/>
          <w:szCs w:val="21"/>
          <w:highlight w:val="none"/>
        </w:rPr>
        <w:t xml:space="preserve"> </w:t>
      </w:r>
      <w:r>
        <w:rPr>
          <w:rFonts w:ascii="宋体" w:hAnsi="宋体"/>
          <w:color w:val="auto"/>
          <w:szCs w:val="21"/>
          <w:highlight w:val="none"/>
        </w:rPr>
        <w:t xml:space="preserve"> 提供施工条件</w:t>
      </w:r>
      <w:bookmarkEnd w:id="96"/>
      <w:bookmarkEnd w:id="97"/>
    </w:p>
    <w:p>
      <w:pPr>
        <w:spacing w:line="288" w:lineRule="auto"/>
        <w:ind w:firstLine="420" w:firstLineChars="200"/>
        <w:rPr>
          <w:rFonts w:ascii="宋体" w:hAnsi="宋体"/>
          <w:color w:val="auto"/>
          <w:szCs w:val="21"/>
          <w:highlight w:val="none"/>
          <w:u w:val="single"/>
        </w:rPr>
      </w:pPr>
      <w:r>
        <w:rPr>
          <w:rFonts w:ascii="宋体" w:hAnsi="宋体"/>
          <w:color w:val="auto"/>
          <w:szCs w:val="21"/>
          <w:highlight w:val="none"/>
        </w:rPr>
        <w:t>关于发包人应负责提供施工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hint="eastAsia" w:ascii="宋体" w:hAnsi="宋体"/>
          <w:bCs/>
          <w:color w:val="auto"/>
          <w:szCs w:val="21"/>
          <w:highlight w:val="none"/>
          <w:u w:val="single"/>
        </w:rPr>
        <w:t>除招标文件另有约定外，按通用合同条款约定</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98" w:name="_Toc337"/>
      <w:bookmarkStart w:id="99" w:name="_Toc4537"/>
      <w:r>
        <w:rPr>
          <w:rFonts w:ascii="宋体" w:hAnsi="宋体"/>
          <w:b/>
          <w:color w:val="auto"/>
          <w:szCs w:val="21"/>
          <w:highlight w:val="none"/>
        </w:rPr>
        <w:t>2.5</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资金来源证明及支付担保</w:t>
      </w:r>
      <w:bookmarkEnd w:id="98"/>
      <w:bookmarkEnd w:id="99"/>
    </w:p>
    <w:p>
      <w:pPr>
        <w:spacing w:line="288" w:lineRule="auto"/>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bCs/>
          <w:color w:val="auto"/>
          <w:szCs w:val="21"/>
          <w:highlight w:val="none"/>
          <w:u w:val="single"/>
        </w:rPr>
        <w:t>财政资金，已安排</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ascii="宋体" w:hAnsi="宋体"/>
          <w:color w:val="auto"/>
          <w:szCs w:val="21"/>
          <w:highlight w:val="none"/>
          <w:u w:val="single"/>
        </w:rPr>
        <w:t></w:t>
      </w:r>
      <w:r>
        <w:rPr>
          <w:rFonts w:ascii="宋体" w:hAnsi="宋体"/>
          <w:bCs/>
          <w:color w:val="auto"/>
          <w:szCs w:val="21"/>
          <w:highlight w:val="none"/>
          <w:u w:val="single"/>
        </w:rPr>
        <w:t>否</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u w:val="single"/>
        </w:rPr>
      </w:pPr>
      <w:r>
        <w:rPr>
          <w:rFonts w:ascii="宋体" w:hAnsi="宋体"/>
          <w:color w:val="auto"/>
          <w:szCs w:val="21"/>
          <w:highlight w:val="none"/>
        </w:rPr>
        <w:t>发包人提供支付担保的形式：</w:t>
      </w:r>
      <w:r>
        <w:rPr>
          <w:rFonts w:ascii="宋体" w:hAnsi="宋体"/>
          <w:color w:val="auto"/>
          <w:szCs w:val="21"/>
          <w:highlight w:val="none"/>
          <w:u w:val="single"/>
        </w:rPr>
        <w:t></w:t>
      </w:r>
      <w:r>
        <w:rPr>
          <w:rFonts w:ascii="宋体" w:hAnsi="宋体"/>
          <w:bCs/>
          <w:color w:val="auto"/>
          <w:szCs w:val="21"/>
          <w:highlight w:val="none"/>
          <w:u w:val="single"/>
        </w:rPr>
        <w:t>否</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100" w:name="_Toc22809"/>
      <w:bookmarkStart w:id="101" w:name="_Toc361220564"/>
      <w:bookmarkStart w:id="102" w:name="_Toc26420"/>
      <w:r>
        <w:rPr>
          <w:rFonts w:ascii="宋体" w:hAnsi="宋体"/>
          <w:b/>
          <w:color w:val="auto"/>
          <w:szCs w:val="21"/>
          <w:highlight w:val="none"/>
        </w:rPr>
        <w:t>3</w:t>
      </w:r>
      <w:bookmarkStart w:id="103" w:name="_Toc292559363"/>
      <w:bookmarkStart w:id="104" w:name="_Toc296891198"/>
      <w:bookmarkStart w:id="105" w:name="_Toc297120458"/>
      <w:bookmarkStart w:id="106" w:name="_Toc296346659"/>
      <w:bookmarkStart w:id="107" w:name="_Toc296347157"/>
      <w:bookmarkStart w:id="108" w:name="_Toc296503158"/>
      <w:bookmarkStart w:id="109" w:name="_Toc296944497"/>
      <w:bookmarkStart w:id="110" w:name="_Toc296890986"/>
      <w:bookmarkStart w:id="111" w:name="_Toc292559868"/>
      <w:bookmarkStart w:id="112" w:name="_Toc297048344"/>
      <w:r>
        <w:rPr>
          <w:rFonts w:hint="eastAsia" w:ascii="宋体" w:hAnsi="宋体"/>
          <w:b/>
          <w:color w:val="auto"/>
          <w:szCs w:val="21"/>
          <w:highlight w:val="none"/>
        </w:rPr>
        <w:t xml:space="preserve"> </w:t>
      </w:r>
      <w:r>
        <w:rPr>
          <w:rFonts w:ascii="宋体" w:hAnsi="宋体"/>
          <w:color w:val="auto"/>
          <w:szCs w:val="21"/>
          <w:highlight w:val="none"/>
        </w:rPr>
        <w:t xml:space="preserve"> 承包人</w:t>
      </w:r>
      <w:bookmarkEnd w:id="100"/>
      <w:bookmarkEnd w:id="101"/>
      <w:bookmarkEnd w:id="102"/>
    </w:p>
    <w:bookmarkEnd w:id="103"/>
    <w:bookmarkEnd w:id="104"/>
    <w:bookmarkEnd w:id="105"/>
    <w:bookmarkEnd w:id="106"/>
    <w:bookmarkEnd w:id="107"/>
    <w:bookmarkEnd w:id="108"/>
    <w:bookmarkEnd w:id="109"/>
    <w:bookmarkEnd w:id="110"/>
    <w:bookmarkEnd w:id="111"/>
    <w:bookmarkEnd w:id="112"/>
    <w:p>
      <w:pPr>
        <w:spacing w:line="288" w:lineRule="auto"/>
        <w:ind w:firstLine="422" w:firstLineChars="200"/>
        <w:outlineLvl w:val="0"/>
        <w:rPr>
          <w:rFonts w:ascii="宋体" w:hAnsi="宋体"/>
          <w:color w:val="auto"/>
          <w:szCs w:val="21"/>
          <w:highlight w:val="none"/>
        </w:rPr>
      </w:pPr>
      <w:bookmarkStart w:id="113" w:name="_Toc10650"/>
      <w:bookmarkStart w:id="114" w:name="_Toc29165"/>
      <w:r>
        <w:rPr>
          <w:rFonts w:ascii="宋体" w:hAnsi="宋体"/>
          <w:b/>
          <w:color w:val="auto"/>
          <w:szCs w:val="21"/>
          <w:highlight w:val="none"/>
        </w:rPr>
        <w:t>3.1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承包人的一般义务</w:t>
      </w:r>
      <w:bookmarkEnd w:id="113"/>
      <w:bookmarkEnd w:id="114"/>
    </w:p>
    <w:p>
      <w:pPr>
        <w:spacing w:line="288" w:lineRule="auto"/>
        <w:ind w:firstLine="420" w:firstLineChars="200"/>
        <w:jc w:val="left"/>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w:t>
      </w:r>
      <w:r>
        <w:rPr>
          <w:rFonts w:ascii="宋体" w:hAnsi="宋体"/>
          <w:color w:val="auto"/>
          <w:szCs w:val="21"/>
          <w:highlight w:val="none"/>
        </w:rPr>
        <w:t>承包人提交的竣工资料的内容：</w:t>
      </w:r>
      <w:r>
        <w:rPr>
          <w:rFonts w:hint="eastAsia" w:ascii="宋体" w:hAnsi="宋体"/>
          <w:bCs/>
          <w:color w:val="auto"/>
          <w:szCs w:val="21"/>
          <w:highlight w:val="none"/>
          <w:u w:val="single"/>
        </w:rPr>
        <w:t>符合杭州市城建档案馆、发包人、监理</w:t>
      </w:r>
      <w:r>
        <w:rPr>
          <w:rFonts w:ascii="宋体" w:hAnsi="宋体"/>
          <w:bCs/>
          <w:color w:val="auto"/>
          <w:szCs w:val="21"/>
          <w:highlight w:val="none"/>
          <w:u w:val="single"/>
        </w:rPr>
        <w:t>单位</w:t>
      </w:r>
      <w:r>
        <w:rPr>
          <w:rFonts w:hint="eastAsia" w:ascii="宋体" w:hAnsi="宋体"/>
          <w:bCs/>
          <w:color w:val="auto"/>
          <w:szCs w:val="21"/>
          <w:highlight w:val="none"/>
          <w:u w:val="single"/>
        </w:rPr>
        <w:t>及其他有关部门要求</w:t>
      </w:r>
      <w:r>
        <w:rPr>
          <w:rFonts w:ascii="宋体" w:hAnsi="宋体"/>
          <w:color w:val="auto"/>
          <w:szCs w:val="21"/>
          <w:highlight w:val="none"/>
        </w:rPr>
        <w:t>。</w:t>
      </w:r>
    </w:p>
    <w:p>
      <w:pPr>
        <w:spacing w:line="288" w:lineRule="auto"/>
        <w:ind w:firstLine="420" w:firstLineChars="200"/>
        <w:jc w:val="left"/>
        <w:rPr>
          <w:rFonts w:ascii="宋体" w:hAnsi="宋体"/>
          <w:bCs/>
          <w:color w:val="auto"/>
          <w:szCs w:val="21"/>
          <w:highlight w:val="none"/>
        </w:rPr>
      </w:pPr>
      <w:r>
        <w:rPr>
          <w:rFonts w:ascii="宋体" w:hAnsi="宋体"/>
          <w:bCs/>
          <w:color w:val="auto"/>
          <w:szCs w:val="21"/>
          <w:highlight w:val="none"/>
        </w:rPr>
        <w:t>承包人需要提交的竣工资料套数：</w:t>
      </w:r>
      <w:r>
        <w:rPr>
          <w:rFonts w:hint="eastAsia" w:ascii="宋体" w:hAnsi="宋体"/>
          <w:bCs/>
          <w:color w:val="auto"/>
          <w:szCs w:val="21"/>
          <w:highlight w:val="none"/>
          <w:u w:val="single"/>
        </w:rPr>
        <w:t xml:space="preserve">伍套 </w:t>
      </w:r>
      <w:r>
        <w:rPr>
          <w:rFonts w:ascii="宋体" w:hAnsi="宋体"/>
          <w:bCs/>
          <w:color w:val="auto"/>
          <w:szCs w:val="21"/>
          <w:highlight w:val="none"/>
        </w:rPr>
        <w:t>。</w:t>
      </w:r>
    </w:p>
    <w:p>
      <w:pPr>
        <w:spacing w:line="288" w:lineRule="auto"/>
        <w:ind w:firstLine="420" w:firstLineChars="200"/>
        <w:jc w:val="left"/>
        <w:rPr>
          <w:rFonts w:ascii="宋体" w:hAnsi="宋体"/>
          <w:bCs/>
          <w:color w:val="auto"/>
          <w:szCs w:val="21"/>
          <w:highlight w:val="none"/>
          <w:u w:val="single"/>
        </w:rPr>
      </w:pPr>
      <w:r>
        <w:rPr>
          <w:rFonts w:ascii="宋体" w:hAnsi="宋体"/>
          <w:bCs/>
          <w:color w:val="auto"/>
          <w:szCs w:val="21"/>
          <w:highlight w:val="none"/>
        </w:rPr>
        <w:t>承包人提交的竣工资料的费用承担：</w:t>
      </w:r>
      <w:r>
        <w:rPr>
          <w:rFonts w:hint="eastAsia" w:ascii="宋体" w:hAnsi="宋体"/>
          <w:bCs/>
          <w:color w:val="auto"/>
          <w:szCs w:val="21"/>
          <w:highlight w:val="none"/>
          <w:u w:val="single"/>
        </w:rPr>
        <w:t>由承包人承担</w:t>
      </w:r>
      <w:r>
        <w:rPr>
          <w:rFonts w:ascii="宋体" w:hAnsi="宋体"/>
          <w:bCs/>
          <w:color w:val="auto"/>
          <w:szCs w:val="21"/>
          <w:highlight w:val="none"/>
        </w:rPr>
        <w:t>。</w:t>
      </w:r>
    </w:p>
    <w:p>
      <w:pPr>
        <w:spacing w:line="288" w:lineRule="auto"/>
        <w:ind w:firstLine="420" w:firstLineChars="200"/>
        <w:jc w:val="left"/>
        <w:rPr>
          <w:rFonts w:ascii="宋体" w:hAnsi="宋体"/>
          <w:bCs/>
          <w:color w:val="auto"/>
          <w:szCs w:val="21"/>
          <w:highlight w:val="none"/>
        </w:rPr>
      </w:pPr>
      <w:r>
        <w:rPr>
          <w:rFonts w:ascii="宋体" w:hAnsi="宋体"/>
          <w:bCs/>
          <w:color w:val="auto"/>
          <w:szCs w:val="21"/>
          <w:highlight w:val="none"/>
        </w:rPr>
        <w:t>承包人提交的竣工资料移交时间：</w:t>
      </w:r>
      <w:r>
        <w:rPr>
          <w:rFonts w:hint="eastAsia" w:ascii="宋体" w:hAnsi="宋体"/>
          <w:bCs/>
          <w:color w:val="auto"/>
          <w:szCs w:val="21"/>
          <w:highlight w:val="none"/>
          <w:u w:val="single"/>
        </w:rPr>
        <w:t xml:space="preserve">工程竣工验收前5天 </w:t>
      </w:r>
      <w:r>
        <w:rPr>
          <w:rFonts w:hint="eastAsia" w:ascii="宋体" w:hAnsi="宋体"/>
          <w:bCs/>
          <w:color w:val="auto"/>
          <w:szCs w:val="21"/>
          <w:highlight w:val="none"/>
        </w:rPr>
        <w:t>。</w:t>
      </w:r>
      <w:r>
        <w:rPr>
          <w:rFonts w:ascii="宋体" w:hAnsi="宋体"/>
          <w:bCs/>
          <w:color w:val="auto"/>
          <w:szCs w:val="21"/>
          <w:highlight w:val="none"/>
        </w:rPr>
        <w:t xml:space="preserve"> </w:t>
      </w:r>
    </w:p>
    <w:p>
      <w:pPr>
        <w:spacing w:line="288" w:lineRule="auto"/>
        <w:ind w:firstLine="420" w:firstLineChars="200"/>
        <w:jc w:val="left"/>
        <w:rPr>
          <w:rFonts w:ascii="宋体" w:hAnsi="宋体"/>
          <w:bCs/>
          <w:color w:val="auto"/>
          <w:szCs w:val="21"/>
          <w:highlight w:val="none"/>
          <w:u w:val="single"/>
        </w:rPr>
      </w:pPr>
      <w:r>
        <w:rPr>
          <w:rFonts w:ascii="宋体" w:hAnsi="宋体"/>
          <w:bCs/>
          <w:color w:val="auto"/>
          <w:szCs w:val="21"/>
          <w:highlight w:val="none"/>
        </w:rPr>
        <w:t>承包人提交的竣工资料形式要求：书面竣工资料</w:t>
      </w:r>
      <w:r>
        <w:rPr>
          <w:rFonts w:hint="eastAsia" w:ascii="宋体" w:hAnsi="宋体"/>
          <w:bCs/>
          <w:color w:val="auto"/>
          <w:szCs w:val="21"/>
          <w:highlight w:val="none"/>
        </w:rPr>
        <w:t>5套含</w:t>
      </w:r>
      <w:r>
        <w:rPr>
          <w:rFonts w:hint="eastAsia" w:ascii="宋体" w:hAnsi="宋体"/>
          <w:bCs/>
          <w:color w:val="auto"/>
          <w:szCs w:val="21"/>
          <w:highlight w:val="none"/>
          <w:u w:val="single"/>
        </w:rPr>
        <w:t>竣工图纸、</w:t>
      </w:r>
      <w:r>
        <w:rPr>
          <w:rFonts w:ascii="宋体" w:hAnsi="宋体"/>
          <w:bCs/>
          <w:color w:val="auto"/>
          <w:szCs w:val="21"/>
          <w:highlight w:val="none"/>
          <w:u w:val="single"/>
        </w:rPr>
        <w:t>竣工结算资料等所有</w:t>
      </w:r>
      <w:r>
        <w:rPr>
          <w:rFonts w:hint="eastAsia" w:ascii="宋体" w:hAnsi="宋体"/>
          <w:bCs/>
          <w:color w:val="auto"/>
          <w:szCs w:val="21"/>
          <w:highlight w:val="none"/>
          <w:u w:val="single"/>
        </w:rPr>
        <w:t>竣工资料（包括照片），光盘2套（内容：竣工图和照片）。</w:t>
      </w:r>
    </w:p>
    <w:p>
      <w:pPr>
        <w:spacing w:line="288" w:lineRule="auto"/>
        <w:ind w:firstLine="420" w:firstLineChars="200"/>
        <w:jc w:val="left"/>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10</w:t>
      </w:r>
      <w:r>
        <w:rPr>
          <w:rFonts w:ascii="宋体" w:hAnsi="宋体"/>
          <w:color w:val="auto"/>
          <w:kern w:val="0"/>
          <w:szCs w:val="21"/>
          <w:highlight w:val="none"/>
        </w:rPr>
        <w:t>）承包人应履行的其他义务：</w:t>
      </w:r>
      <w:r>
        <w:rPr>
          <w:rFonts w:hint="eastAsia" w:ascii="宋体" w:hAnsi="宋体"/>
          <w:b/>
          <w:color w:val="auto"/>
          <w:szCs w:val="21"/>
          <w:highlight w:val="none"/>
          <w:u w:val="single"/>
        </w:rPr>
        <w:t>按约定时间和要求，完成以下工作（费用列入投标总价）</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s="Arial"/>
          <w:color w:val="auto"/>
          <w:szCs w:val="21"/>
          <w:highlight w:val="none"/>
          <w:u w:val="single"/>
        </w:rPr>
        <w:t>在工程通过竣工验收前，对已完工程成品的所有保护及费用均由承包人负责；</w:t>
      </w:r>
      <w:r>
        <w:rPr>
          <w:rFonts w:hint="eastAsia" w:ascii="宋体" w:hAnsi="宋体"/>
          <w:color w:val="auto"/>
          <w:szCs w:val="21"/>
          <w:highlight w:val="none"/>
          <w:u w:val="single"/>
        </w:rPr>
        <w:t>按《杭州市建筑工程施工场地文明管理规定》等省市有关规定实施标化管理和现场公共部位的清洁绿化工作并承担费用。工程完工交付5天内现场应清除所有不再需要的临时工程、承包人的设备和多余材料、全部建筑和生活垃圾，达到监理工程师满意的使用状态，如承包人不履行，发包人可自行清除，发生的费用由承包人承担；</w:t>
      </w:r>
      <w:r>
        <w:rPr>
          <w:rFonts w:hint="eastAsia" w:ascii="宋体" w:hAnsi="宋体" w:cs="Arial"/>
          <w:color w:val="auto"/>
          <w:szCs w:val="21"/>
          <w:highlight w:val="none"/>
          <w:u w:val="single"/>
        </w:rPr>
        <w:t>在施工区域内做好各项安全保卫工作。</w:t>
      </w:r>
      <w:r>
        <w:rPr>
          <w:rFonts w:ascii="宋体" w:hAnsi="宋体"/>
          <w:color w:val="auto"/>
          <w:szCs w:val="21"/>
          <w:highlight w:val="none"/>
          <w:u w:val="single"/>
        </w:rPr>
        <w:t xml:space="preserve">    </w:t>
      </w:r>
    </w:p>
    <w:p>
      <w:pPr>
        <w:spacing w:line="288" w:lineRule="auto"/>
        <w:ind w:firstLine="422" w:firstLineChars="200"/>
        <w:outlineLvl w:val="0"/>
        <w:rPr>
          <w:rFonts w:ascii="宋体" w:hAnsi="宋体"/>
          <w:color w:val="auto"/>
          <w:szCs w:val="21"/>
          <w:highlight w:val="none"/>
        </w:rPr>
      </w:pPr>
      <w:bookmarkStart w:id="115" w:name="_Toc9205"/>
      <w:bookmarkStart w:id="116" w:name="_Toc26303"/>
      <w:r>
        <w:rPr>
          <w:rFonts w:ascii="宋体" w:hAnsi="宋体"/>
          <w:b/>
          <w:color w:val="auto"/>
          <w:szCs w:val="21"/>
          <w:highlight w:val="none"/>
        </w:rPr>
        <w:t>3.2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项目经理</w:t>
      </w:r>
      <w:bookmarkEnd w:id="115"/>
      <w:bookmarkEnd w:id="116"/>
    </w:p>
    <w:p>
      <w:pPr>
        <w:spacing w:line="288" w:lineRule="auto"/>
        <w:ind w:firstLine="422" w:firstLineChars="200"/>
        <w:outlineLvl w:val="0"/>
        <w:rPr>
          <w:rFonts w:ascii="宋体" w:hAnsi="宋体"/>
          <w:color w:val="auto"/>
          <w:szCs w:val="21"/>
          <w:highlight w:val="none"/>
        </w:rPr>
      </w:pPr>
      <w:bookmarkStart w:id="117" w:name="_Toc31793"/>
      <w:bookmarkStart w:id="118" w:name="_Toc16580"/>
      <w:r>
        <w:rPr>
          <w:rFonts w:ascii="宋体" w:hAnsi="宋体"/>
          <w:b/>
          <w:color w:val="auto"/>
          <w:szCs w:val="21"/>
          <w:highlight w:val="none"/>
        </w:rPr>
        <w:t>3.2.1</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szCs w:val="21"/>
          <w:highlight w:val="none"/>
        </w:rPr>
        <w:t>项目经理：</w:t>
      </w:r>
      <w:bookmarkEnd w:id="117"/>
      <w:bookmarkEnd w:id="118"/>
    </w:p>
    <w:p>
      <w:pPr>
        <w:spacing w:line="288"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承包人对项目经理的授权范围如下：</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hint="eastAsia" w:ascii="宋体" w:hAnsi="宋体"/>
          <w:bCs/>
          <w:color w:val="auto"/>
          <w:szCs w:val="21"/>
          <w:highlight w:val="none"/>
          <w:u w:val="single"/>
        </w:rPr>
        <w:t>不得少于24日历天，每天至少到岗8个小时</w:t>
      </w:r>
      <w:r>
        <w:rPr>
          <w:rFonts w:ascii="宋体" w:hAnsi="宋体"/>
          <w:color w:val="auto"/>
          <w:szCs w:val="21"/>
          <w:highlight w:val="none"/>
        </w:rPr>
        <w:t>。</w:t>
      </w:r>
    </w:p>
    <w:p>
      <w:pPr>
        <w:spacing w:line="288"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承包人未提交劳动合同，以及没有为项目经理缴纳社会保险证明的违约责任：</w:t>
      </w:r>
      <w:r>
        <w:rPr>
          <w:rFonts w:hint="eastAsia" w:ascii="宋体" w:hAnsi="宋体"/>
          <w:bCs/>
          <w:color w:val="auto"/>
          <w:szCs w:val="21"/>
          <w:highlight w:val="none"/>
          <w:u w:val="single"/>
        </w:rPr>
        <w:t>按有关规定处理</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hint="eastAsia" w:ascii="宋体" w:hAnsi="宋体"/>
          <w:bCs/>
          <w:color w:val="auto"/>
          <w:szCs w:val="21"/>
          <w:highlight w:val="none"/>
          <w:u w:val="single"/>
          <w:lang w:eastAsia="zh-CN"/>
        </w:rPr>
        <w:t>处以</w:t>
      </w:r>
      <w:r>
        <w:rPr>
          <w:rFonts w:hint="eastAsia" w:ascii="宋体" w:hAnsi="宋体"/>
          <w:bCs/>
          <w:color w:val="auto"/>
          <w:szCs w:val="21"/>
          <w:highlight w:val="none"/>
          <w:u w:val="single"/>
        </w:rPr>
        <w:t>1000元/天的违约金</w:t>
      </w:r>
      <w:r>
        <w:rPr>
          <w:rFonts w:hint="eastAsia" w:ascii="宋体" w:hAnsi="宋体"/>
          <w:color w:val="auto"/>
          <w:szCs w:val="21"/>
          <w:highlight w:val="none"/>
        </w:rPr>
        <w:t>。</w:t>
      </w:r>
    </w:p>
    <w:p>
      <w:pPr>
        <w:spacing w:line="288" w:lineRule="auto"/>
        <w:ind w:firstLine="422" w:firstLineChars="200"/>
        <w:rPr>
          <w:rFonts w:ascii="宋体" w:hAnsi="宋体"/>
          <w:color w:val="auto"/>
          <w:szCs w:val="21"/>
          <w:highlight w:val="none"/>
        </w:rPr>
      </w:pPr>
      <w:r>
        <w:rPr>
          <w:rFonts w:ascii="宋体" w:hAnsi="宋体"/>
          <w:b/>
          <w:color w:val="auto"/>
          <w:szCs w:val="21"/>
          <w:highlight w:val="none"/>
        </w:rPr>
        <w:t>3.2.3</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承包人擅自更换项目经理的违约责任：</w:t>
      </w:r>
    </w:p>
    <w:p>
      <w:pPr>
        <w:spacing w:line="288" w:lineRule="auto"/>
        <w:ind w:firstLine="422" w:firstLineChars="200"/>
        <w:rPr>
          <w:rFonts w:ascii="宋体" w:hAnsi="宋体"/>
          <w:b/>
          <w:color w:val="auto"/>
          <w:kern w:val="0"/>
          <w:szCs w:val="21"/>
          <w:highlight w:val="none"/>
          <w:u w:val="single"/>
        </w:rPr>
      </w:pPr>
      <w:r>
        <w:rPr>
          <w:rFonts w:hint="eastAsia" w:ascii="宋体" w:hAnsi="宋体"/>
          <w:b/>
          <w:color w:val="auto"/>
          <w:kern w:val="0"/>
          <w:szCs w:val="21"/>
          <w:highlight w:val="none"/>
          <w:u w:val="single"/>
        </w:rPr>
        <w:t>（1）承包人确需更换项目经理的，继任项目经理注册执业资格、管理经验的约定：</w:t>
      </w:r>
      <w:r>
        <w:rPr>
          <w:rFonts w:hint="eastAsia" w:ascii="宋体" w:hAnsi="宋体"/>
          <w:b/>
          <w:bCs/>
          <w:color w:val="auto"/>
          <w:kern w:val="0"/>
          <w:szCs w:val="21"/>
          <w:highlight w:val="none"/>
          <w:u w:val="single"/>
        </w:rPr>
        <w:t>不得低于现任项目经理，且须经发包人书面审核同意，否则作擅自更换的违约处理</w:t>
      </w:r>
      <w:r>
        <w:rPr>
          <w:rFonts w:hint="eastAsia" w:ascii="宋体" w:hAnsi="宋体"/>
          <w:b/>
          <w:color w:val="auto"/>
          <w:kern w:val="0"/>
          <w:szCs w:val="21"/>
          <w:highlight w:val="none"/>
          <w:u w:val="single"/>
        </w:rPr>
        <w:t>。</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承包人擅自更换项目经理的违约责任</w:t>
      </w:r>
      <w:r>
        <w:rPr>
          <w:rFonts w:ascii="宋体" w:hAnsi="宋体"/>
          <w:color w:val="auto"/>
          <w:szCs w:val="21"/>
          <w:highlight w:val="none"/>
          <w:u w:val="single"/>
        </w:rPr>
        <w:t>：</w:t>
      </w:r>
      <w:r>
        <w:rPr>
          <w:rFonts w:ascii="宋体" w:hAnsi="宋体"/>
          <w:bCs/>
          <w:color w:val="auto"/>
          <w:szCs w:val="21"/>
          <w:highlight w:val="none"/>
          <w:u w:val="single"/>
        </w:rPr>
        <w:t>违约</w:t>
      </w:r>
      <w:r>
        <w:rPr>
          <w:rFonts w:hint="eastAsia" w:ascii="宋体" w:hAnsi="宋体"/>
          <w:bCs/>
          <w:color w:val="auto"/>
          <w:szCs w:val="21"/>
          <w:highlight w:val="none"/>
          <w:u w:val="single"/>
        </w:rPr>
        <w:t>金2万元</w:t>
      </w:r>
      <w:r>
        <w:rPr>
          <w:rFonts w:hint="eastAsia" w:ascii="宋体" w:hAnsi="宋体"/>
          <w:color w:val="auto"/>
          <w:szCs w:val="21"/>
          <w:highlight w:val="none"/>
        </w:rPr>
        <w:t>。</w:t>
      </w:r>
    </w:p>
    <w:p>
      <w:pPr>
        <w:spacing w:line="288" w:lineRule="auto"/>
        <w:ind w:firstLine="422" w:firstLineChars="200"/>
        <w:rPr>
          <w:rFonts w:ascii="宋体" w:hAnsi="宋体"/>
          <w:color w:val="auto"/>
          <w:szCs w:val="21"/>
          <w:highlight w:val="none"/>
          <w:u w:val="single"/>
        </w:rPr>
      </w:pPr>
      <w:r>
        <w:rPr>
          <w:rFonts w:ascii="宋体" w:hAnsi="宋体"/>
          <w:b/>
          <w:color w:val="auto"/>
          <w:szCs w:val="21"/>
          <w:highlight w:val="none"/>
        </w:rPr>
        <w:t>3.2.4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承包人无正当理由拒绝更换项目经理的违约责任：</w:t>
      </w:r>
      <w:r>
        <w:rPr>
          <w:rFonts w:ascii="宋体" w:hAnsi="宋体"/>
          <w:bCs/>
          <w:color w:val="auto"/>
          <w:szCs w:val="21"/>
          <w:highlight w:val="none"/>
          <w:u w:val="single"/>
        </w:rPr>
        <w:t>违约</w:t>
      </w:r>
      <w:r>
        <w:rPr>
          <w:rFonts w:hint="eastAsia" w:ascii="宋体" w:hAnsi="宋体"/>
          <w:bCs/>
          <w:color w:val="auto"/>
          <w:szCs w:val="21"/>
          <w:highlight w:val="none"/>
          <w:u w:val="single"/>
        </w:rPr>
        <w:t>金2万元</w:t>
      </w:r>
      <w:r>
        <w:rPr>
          <w:rFonts w:hint="eastAsia"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119" w:name="_Toc14773"/>
      <w:bookmarkStart w:id="120" w:name="_Toc26115"/>
      <w:r>
        <w:rPr>
          <w:rFonts w:ascii="宋体" w:hAnsi="宋体"/>
          <w:b/>
          <w:color w:val="auto"/>
          <w:szCs w:val="21"/>
          <w:highlight w:val="none"/>
        </w:rPr>
        <w:t>3.3</w:t>
      </w:r>
      <w:r>
        <w:rPr>
          <w:rFonts w:hint="eastAsia" w:ascii="宋体" w:hAnsi="宋体"/>
          <w:b/>
          <w:color w:val="auto"/>
          <w:szCs w:val="21"/>
          <w:highlight w:val="none"/>
        </w:rPr>
        <w:t xml:space="preserve"> </w:t>
      </w:r>
      <w:r>
        <w:rPr>
          <w:rFonts w:ascii="宋体" w:hAnsi="宋体"/>
          <w:color w:val="auto"/>
          <w:szCs w:val="21"/>
          <w:highlight w:val="none"/>
        </w:rPr>
        <w:t xml:space="preserve"> 承包人人员</w:t>
      </w:r>
      <w:bookmarkEnd w:id="119"/>
      <w:bookmarkEnd w:id="120"/>
    </w:p>
    <w:p>
      <w:pPr>
        <w:spacing w:line="288" w:lineRule="auto"/>
        <w:ind w:firstLine="422" w:firstLineChars="200"/>
        <w:rPr>
          <w:rFonts w:ascii="宋体" w:hAnsi="宋体"/>
          <w:color w:val="auto"/>
          <w:szCs w:val="21"/>
          <w:highlight w:val="none"/>
        </w:rPr>
      </w:pPr>
      <w:r>
        <w:rPr>
          <w:rFonts w:ascii="宋体" w:hAnsi="宋体"/>
          <w:b/>
          <w:color w:val="auto"/>
          <w:szCs w:val="21"/>
          <w:highlight w:val="none"/>
        </w:rPr>
        <w:t>3.3.1</w:t>
      </w:r>
      <w:r>
        <w:rPr>
          <w:rFonts w:hint="eastAsia" w:ascii="宋体" w:hAnsi="宋体"/>
          <w:b/>
          <w:color w:val="auto"/>
          <w:szCs w:val="21"/>
          <w:highlight w:val="none"/>
        </w:rPr>
        <w:t xml:space="preserve"> </w:t>
      </w:r>
      <w:r>
        <w:rPr>
          <w:rFonts w:ascii="宋体" w:hAnsi="宋体"/>
          <w:color w:val="auto"/>
          <w:szCs w:val="21"/>
          <w:highlight w:val="none"/>
        </w:rPr>
        <w:t xml:space="preserve"> 承包人提交项目管理机构及施工现场管理人员安排报告的期限：</w:t>
      </w:r>
      <w:r>
        <w:rPr>
          <w:rFonts w:hint="eastAsia" w:ascii="宋体" w:hAnsi="宋体"/>
          <w:bCs/>
          <w:color w:val="auto"/>
          <w:szCs w:val="21"/>
          <w:highlight w:val="none"/>
          <w:u w:val="single"/>
        </w:rPr>
        <w:t>中标通知书发出后7天内</w:t>
      </w:r>
      <w:r>
        <w:rPr>
          <w:rFonts w:hint="eastAsia" w:ascii="宋体" w:hAnsi="宋体"/>
          <w:color w:val="auto"/>
          <w:szCs w:val="21"/>
          <w:highlight w:val="none"/>
        </w:rPr>
        <w:t xml:space="preserve">。 </w:t>
      </w:r>
    </w:p>
    <w:p>
      <w:pPr>
        <w:spacing w:line="288"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3.3.2 </w:t>
      </w:r>
      <w:r>
        <w:rPr>
          <w:rFonts w:hint="eastAsia" w:ascii="宋体" w:hAnsi="宋体"/>
          <w:color w:val="auto"/>
          <w:szCs w:val="21"/>
          <w:highlight w:val="none"/>
        </w:rPr>
        <w:t>承包人需更换主要施工管理人员的，继任人员的数量、注册执业资格、管理经验的约定</w:t>
      </w:r>
      <w:r>
        <w:rPr>
          <w:rFonts w:hint="eastAsia" w:ascii="宋体" w:hAnsi="宋体"/>
          <w:color w:val="auto"/>
          <w:szCs w:val="21"/>
          <w:highlight w:val="none"/>
          <w:u w:val="single"/>
        </w:rPr>
        <w:t>：</w:t>
      </w:r>
      <w:r>
        <w:rPr>
          <w:rFonts w:hint="eastAsia" w:ascii="宋体" w:hAnsi="宋体"/>
          <w:bCs/>
          <w:color w:val="auto"/>
          <w:szCs w:val="21"/>
          <w:highlight w:val="none"/>
          <w:u w:val="single"/>
        </w:rPr>
        <w:t>不得低于现任施工管理人员</w:t>
      </w:r>
      <w:r>
        <w:rPr>
          <w:rFonts w:hint="eastAsia" w:ascii="宋体" w:hAnsi="宋体"/>
          <w:b/>
          <w:bCs/>
          <w:color w:val="auto"/>
          <w:kern w:val="0"/>
          <w:szCs w:val="21"/>
          <w:highlight w:val="none"/>
          <w:u w:val="single"/>
        </w:rPr>
        <w:t>，且须经发包人书面审核同意，否则作擅自更换的违约处理</w:t>
      </w:r>
      <w:r>
        <w:rPr>
          <w:rFonts w:hint="eastAsia" w:ascii="宋体" w:hAnsi="宋体"/>
          <w:color w:val="auto"/>
          <w:szCs w:val="21"/>
          <w:highlight w:val="none"/>
          <w:u w:val="single"/>
        </w:rPr>
        <w:t>。</w:t>
      </w:r>
    </w:p>
    <w:p>
      <w:pPr>
        <w:spacing w:line="288" w:lineRule="auto"/>
        <w:ind w:firstLine="422" w:firstLineChars="200"/>
        <w:rPr>
          <w:rFonts w:ascii="宋体" w:hAnsi="宋体"/>
          <w:color w:val="auto"/>
          <w:szCs w:val="21"/>
          <w:highlight w:val="none"/>
          <w:u w:val="single"/>
        </w:rPr>
      </w:pPr>
      <w:r>
        <w:rPr>
          <w:rFonts w:ascii="宋体" w:hAnsi="宋体"/>
          <w:b/>
          <w:color w:val="auto"/>
          <w:szCs w:val="21"/>
          <w:highlight w:val="none"/>
        </w:rPr>
        <w:t>3.3.3</w:t>
      </w:r>
      <w:r>
        <w:rPr>
          <w:rFonts w:hint="eastAsia" w:ascii="宋体" w:hAnsi="宋体"/>
          <w:b/>
          <w:color w:val="auto"/>
          <w:szCs w:val="21"/>
          <w:highlight w:val="none"/>
        </w:rPr>
        <w:t xml:space="preserve"> </w:t>
      </w:r>
      <w:r>
        <w:rPr>
          <w:rFonts w:ascii="宋体" w:hAnsi="宋体"/>
          <w:color w:val="auto"/>
          <w:szCs w:val="21"/>
          <w:highlight w:val="none"/>
        </w:rPr>
        <w:t xml:space="preserve"> 承包人无正当理由拒绝撤换主要施工管理人员的违约责任：</w:t>
      </w:r>
      <w:r>
        <w:rPr>
          <w:rFonts w:ascii="宋体" w:hAnsi="宋体"/>
          <w:bCs/>
          <w:color w:val="auto"/>
          <w:szCs w:val="21"/>
          <w:highlight w:val="none"/>
          <w:u w:val="single"/>
        </w:rPr>
        <w:t>违约</w:t>
      </w:r>
      <w:r>
        <w:rPr>
          <w:rFonts w:hint="eastAsia" w:ascii="宋体" w:hAnsi="宋体"/>
          <w:bCs/>
          <w:color w:val="auto"/>
          <w:szCs w:val="21"/>
          <w:highlight w:val="none"/>
          <w:u w:val="single"/>
        </w:rPr>
        <w:t>金2万元</w:t>
      </w:r>
      <w:r>
        <w:rPr>
          <w:rFonts w:hint="eastAsia" w:ascii="宋体" w:hAnsi="宋体"/>
          <w:color w:val="auto"/>
          <w:szCs w:val="21"/>
          <w:highlight w:val="none"/>
        </w:rPr>
        <w:t>。</w:t>
      </w:r>
    </w:p>
    <w:p>
      <w:pPr>
        <w:spacing w:line="288" w:lineRule="auto"/>
        <w:ind w:firstLine="422" w:firstLineChars="200"/>
        <w:rPr>
          <w:rFonts w:ascii="宋体" w:hAnsi="宋体"/>
          <w:color w:val="auto"/>
          <w:szCs w:val="21"/>
          <w:highlight w:val="none"/>
          <w:u w:val="single"/>
        </w:rPr>
      </w:pPr>
      <w:r>
        <w:rPr>
          <w:rFonts w:ascii="宋体" w:hAnsi="宋体"/>
          <w:b/>
          <w:color w:val="auto"/>
          <w:szCs w:val="21"/>
          <w:highlight w:val="none"/>
        </w:rPr>
        <w:t>3.3.4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承包人主要施工管理人员离开施工现场的批准要求：</w:t>
      </w:r>
      <w:r>
        <w:rPr>
          <w:rFonts w:hint="eastAsia" w:ascii="宋体" w:hAnsi="宋体"/>
          <w:bCs/>
          <w:color w:val="auto"/>
          <w:szCs w:val="21"/>
          <w:highlight w:val="none"/>
          <w:u w:val="single"/>
        </w:rPr>
        <w:t>由监理工程师批准，发包人同意</w:t>
      </w:r>
      <w:r>
        <w:rPr>
          <w:rFonts w:hint="eastAsia" w:ascii="宋体" w:hAnsi="宋体"/>
          <w:color w:val="auto"/>
          <w:szCs w:val="21"/>
          <w:highlight w:val="none"/>
        </w:rPr>
        <w:t>。</w:t>
      </w:r>
    </w:p>
    <w:p>
      <w:pPr>
        <w:numPr>
          <w:ilvl w:val="2"/>
          <w:numId w:val="7"/>
        </w:numPr>
        <w:spacing w:line="288" w:lineRule="auto"/>
        <w:ind w:left="0" w:firstLine="420" w:firstLineChars="200"/>
        <w:rPr>
          <w:rFonts w:ascii="宋体" w:hAnsi="宋体"/>
          <w:color w:val="auto"/>
          <w:szCs w:val="21"/>
          <w:highlight w:val="none"/>
          <w:u w:val="single"/>
        </w:rPr>
      </w:pPr>
      <w:r>
        <w:rPr>
          <w:rFonts w:ascii="宋体" w:hAnsi="宋体"/>
          <w:color w:val="auto"/>
          <w:szCs w:val="21"/>
          <w:highlight w:val="none"/>
        </w:rPr>
        <w:t>承包人擅自更换主要施工管理人员的违约责任：</w:t>
      </w:r>
      <w:r>
        <w:rPr>
          <w:rFonts w:ascii="宋体" w:hAnsi="宋体"/>
          <w:bCs/>
          <w:color w:val="auto"/>
          <w:szCs w:val="21"/>
          <w:highlight w:val="none"/>
          <w:u w:val="single"/>
        </w:rPr>
        <w:t>违约</w:t>
      </w:r>
      <w:r>
        <w:rPr>
          <w:rFonts w:hint="eastAsia" w:ascii="宋体" w:hAnsi="宋体"/>
          <w:bCs/>
          <w:color w:val="auto"/>
          <w:szCs w:val="21"/>
          <w:highlight w:val="none"/>
          <w:u w:val="single"/>
        </w:rPr>
        <w:t>金2万元</w:t>
      </w:r>
      <w:r>
        <w:rPr>
          <w:rFonts w:hint="eastAsia" w:ascii="宋体" w:hAnsi="宋体"/>
          <w:color w:val="auto"/>
          <w:szCs w:val="21"/>
          <w:highlight w:val="none"/>
        </w:rPr>
        <w:t>。</w:t>
      </w:r>
    </w:p>
    <w:p>
      <w:pPr>
        <w:spacing w:line="288" w:lineRule="auto"/>
        <w:ind w:firstLine="420" w:firstLineChars="200"/>
        <w:rPr>
          <w:rFonts w:ascii="宋体" w:hAnsi="宋体"/>
          <w:color w:val="auto"/>
          <w:szCs w:val="21"/>
          <w:highlight w:val="none"/>
          <w:u w:val="single"/>
        </w:rPr>
      </w:pPr>
      <w:r>
        <w:rPr>
          <w:rFonts w:ascii="宋体" w:hAnsi="宋体"/>
          <w:color w:val="auto"/>
          <w:szCs w:val="21"/>
          <w:highlight w:val="none"/>
        </w:rPr>
        <w:t>承包人主要施工管理人员擅自离开施工现场的违约责任：</w:t>
      </w:r>
      <w:r>
        <w:rPr>
          <w:rFonts w:hint="eastAsia" w:ascii="宋体" w:hAnsi="宋体"/>
          <w:bCs/>
          <w:color w:val="auto"/>
          <w:szCs w:val="21"/>
          <w:highlight w:val="none"/>
          <w:u w:val="single"/>
        </w:rPr>
        <w:t>处</w:t>
      </w:r>
      <w:r>
        <w:rPr>
          <w:rFonts w:hint="eastAsia" w:ascii="宋体" w:hAnsi="宋体"/>
          <w:bCs/>
          <w:color w:val="auto"/>
          <w:szCs w:val="21"/>
          <w:highlight w:val="none"/>
          <w:u w:val="single"/>
          <w:lang w:val="en-US" w:eastAsia="zh-CN"/>
        </w:rPr>
        <w:t>以</w:t>
      </w:r>
      <w:r>
        <w:rPr>
          <w:rFonts w:hint="eastAsia" w:ascii="宋体" w:hAnsi="宋体"/>
          <w:bCs/>
          <w:color w:val="auto"/>
          <w:szCs w:val="21"/>
          <w:highlight w:val="none"/>
          <w:u w:val="single"/>
        </w:rPr>
        <w:t>500元/天的违约金</w:t>
      </w:r>
      <w:r>
        <w:rPr>
          <w:rFonts w:hint="eastAsia" w:ascii="宋体" w:hAnsi="宋体"/>
          <w:color w:val="auto"/>
          <w:szCs w:val="21"/>
          <w:highlight w:val="none"/>
        </w:rPr>
        <w:t xml:space="preserve">。 </w:t>
      </w:r>
    </w:p>
    <w:p>
      <w:pPr>
        <w:spacing w:line="288" w:lineRule="auto"/>
        <w:ind w:firstLine="422" w:firstLineChars="200"/>
        <w:outlineLvl w:val="0"/>
        <w:rPr>
          <w:rFonts w:ascii="宋体" w:hAnsi="宋体"/>
          <w:color w:val="auto"/>
          <w:szCs w:val="21"/>
          <w:highlight w:val="none"/>
        </w:rPr>
      </w:pPr>
      <w:bookmarkStart w:id="121" w:name="_Toc25936"/>
      <w:bookmarkStart w:id="122" w:name="_Toc15088"/>
      <w:r>
        <w:rPr>
          <w:rFonts w:ascii="宋体" w:hAnsi="宋体"/>
          <w:b/>
          <w:color w:val="auto"/>
          <w:szCs w:val="21"/>
          <w:highlight w:val="none"/>
        </w:rPr>
        <w:t>3</w:t>
      </w:r>
      <w:bookmarkStart w:id="123" w:name="_Toc296891199"/>
      <w:bookmarkStart w:id="124" w:name="_Toc296503159"/>
      <w:bookmarkStart w:id="125" w:name="_Toc304295523"/>
      <w:bookmarkStart w:id="126" w:name="_Toc312677988"/>
      <w:bookmarkStart w:id="127" w:name="_Toc303539102"/>
      <w:bookmarkStart w:id="128" w:name="_Toc292559364"/>
      <w:bookmarkStart w:id="129" w:name="_Toc297120459"/>
      <w:bookmarkStart w:id="130" w:name="_Toc296346660"/>
      <w:bookmarkStart w:id="131" w:name="_Toc292559869"/>
      <w:bookmarkStart w:id="132" w:name="_Toc297216151"/>
      <w:bookmarkStart w:id="133" w:name="_Toc300934945"/>
      <w:bookmarkStart w:id="134" w:name="_Toc297123492"/>
      <w:bookmarkStart w:id="135" w:name="_Toc296890987"/>
      <w:bookmarkStart w:id="136" w:name="_Toc297048345"/>
      <w:bookmarkStart w:id="137" w:name="_Toc296944498"/>
      <w:bookmarkStart w:id="138" w:name="_Toc296347158"/>
      <w:r>
        <w:rPr>
          <w:rFonts w:ascii="宋体" w:hAnsi="宋体"/>
          <w:b/>
          <w:color w:val="auto"/>
          <w:szCs w:val="21"/>
          <w:highlight w:val="none"/>
        </w:rPr>
        <w:t>.5</w:t>
      </w:r>
      <w:r>
        <w:rPr>
          <w:rFonts w:hint="eastAsia" w:ascii="宋体" w:hAnsi="宋体"/>
          <w:b/>
          <w:color w:val="auto"/>
          <w:szCs w:val="21"/>
          <w:highlight w:val="none"/>
        </w:rPr>
        <w:t xml:space="preserve"> </w:t>
      </w:r>
      <w:r>
        <w:rPr>
          <w:rFonts w:ascii="宋体" w:hAnsi="宋体"/>
          <w:color w:val="auto"/>
          <w:szCs w:val="21"/>
          <w:highlight w:val="none"/>
        </w:rPr>
        <w:t xml:space="preserve"> 分包</w:t>
      </w:r>
      <w:bookmarkEnd w:id="121"/>
      <w:bookmarkEnd w:id="122"/>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Pr>
        <w:spacing w:line="288" w:lineRule="auto"/>
        <w:ind w:firstLine="422" w:firstLineChars="200"/>
        <w:outlineLvl w:val="0"/>
        <w:rPr>
          <w:rFonts w:ascii="宋体" w:hAnsi="宋体"/>
          <w:color w:val="auto"/>
          <w:szCs w:val="21"/>
          <w:highlight w:val="none"/>
        </w:rPr>
      </w:pPr>
      <w:bookmarkStart w:id="139" w:name="_Toc16258"/>
      <w:bookmarkStart w:id="140" w:name="_Toc9371"/>
      <w:r>
        <w:rPr>
          <w:rFonts w:ascii="宋体" w:hAnsi="宋体"/>
          <w:b/>
          <w:color w:val="auto"/>
          <w:szCs w:val="21"/>
          <w:highlight w:val="none"/>
        </w:rPr>
        <w:t>3</w:t>
      </w:r>
      <w:bookmarkStart w:id="141" w:name="_Toc296944499"/>
      <w:bookmarkStart w:id="142" w:name="_Toc292559365"/>
      <w:bookmarkStart w:id="143" w:name="_Toc303539103"/>
      <w:bookmarkStart w:id="144" w:name="_Toc297048346"/>
      <w:bookmarkStart w:id="145" w:name="_Toc296346661"/>
      <w:bookmarkStart w:id="146" w:name="_Toc296503160"/>
      <w:bookmarkStart w:id="147" w:name="_Toc297120460"/>
      <w:bookmarkStart w:id="148" w:name="_Toc296891200"/>
      <w:bookmarkStart w:id="149" w:name="_Toc297216152"/>
      <w:bookmarkStart w:id="150" w:name="_Toc296890988"/>
      <w:bookmarkStart w:id="151" w:name="_Toc304295524"/>
      <w:bookmarkStart w:id="152" w:name="_Toc296347159"/>
      <w:bookmarkStart w:id="153" w:name="_Toc300934946"/>
      <w:bookmarkStart w:id="154" w:name="_Toc297123493"/>
      <w:bookmarkStart w:id="155" w:name="_Toc292559870"/>
      <w:bookmarkStart w:id="156" w:name="_Toc318581158"/>
      <w:bookmarkStart w:id="157" w:name="_Toc312677989"/>
      <w:r>
        <w:rPr>
          <w:rFonts w:ascii="宋体" w:hAnsi="宋体"/>
          <w:b/>
          <w:color w:val="auto"/>
          <w:szCs w:val="21"/>
          <w:highlight w:val="none"/>
        </w:rPr>
        <w:t xml:space="preserve">.5.1 </w:t>
      </w:r>
      <w:r>
        <w:rPr>
          <w:rFonts w:hint="eastAsia" w:ascii="宋体" w:hAnsi="宋体"/>
          <w:b/>
          <w:color w:val="auto"/>
          <w:szCs w:val="21"/>
          <w:highlight w:val="none"/>
        </w:rPr>
        <w:t xml:space="preserve"> </w:t>
      </w:r>
      <w:r>
        <w:rPr>
          <w:rFonts w:ascii="宋体" w:hAnsi="宋体"/>
          <w:color w:val="auto"/>
          <w:szCs w:val="21"/>
          <w:highlight w:val="none"/>
        </w:rPr>
        <w:t>分包的一般约定</w:t>
      </w:r>
      <w:bookmarkEnd w:id="139"/>
      <w:bookmarkEnd w:id="140"/>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bCs/>
          <w:color w:val="auto"/>
          <w:szCs w:val="21"/>
          <w:highlight w:val="none"/>
          <w:u w:val="single"/>
        </w:rPr>
        <w:t>承包人资质范围以内的工程未经发包人同意不得分包，如果承包人未经发包人同意而自行分包、转包，一经发现并查实，发包人有权解除合同并由承包人承担由此造成的一切责任和损失，并没收全额履约保证金。</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主体结构、关键性工作的范围：</w:t>
      </w:r>
      <w:r>
        <w:rPr>
          <w:rFonts w:hint="eastAsia" w:ascii="宋体" w:hAnsi="宋体"/>
          <w:bCs/>
          <w:color w:val="auto"/>
          <w:szCs w:val="21"/>
          <w:highlight w:val="none"/>
          <w:u w:val="single"/>
        </w:rPr>
        <w:t>根据工程项目情况由监理工程师和发包人开工后确认</w:t>
      </w:r>
      <w:r>
        <w:rPr>
          <w:rFonts w:hint="eastAsia" w:ascii="宋体" w:hAnsi="宋体"/>
          <w:color w:val="auto"/>
          <w:szCs w:val="21"/>
          <w:highlight w:val="none"/>
        </w:rPr>
        <w: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Start w:id="158" w:name="_Toc296890989"/>
      <w:bookmarkStart w:id="159" w:name="_Toc296891201"/>
      <w:bookmarkStart w:id="160" w:name="_Toc297048347"/>
      <w:bookmarkStart w:id="161" w:name="_Toc297120461"/>
      <w:bookmarkStart w:id="162" w:name="_Toc297216153"/>
      <w:bookmarkStart w:id="163" w:name="_Toc300934947"/>
      <w:bookmarkStart w:id="164" w:name="_Toc296503161"/>
      <w:bookmarkStart w:id="165" w:name="_Toc296346662"/>
      <w:bookmarkStart w:id="166" w:name="_Toc296347160"/>
      <w:bookmarkStart w:id="167" w:name="_Toc304295525"/>
      <w:bookmarkStart w:id="168" w:name="_Toc303539104"/>
      <w:bookmarkStart w:id="169" w:name="_Toc297123494"/>
      <w:bookmarkStart w:id="170" w:name="_Toc296944500"/>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Pr>
        <w:spacing w:line="288" w:lineRule="auto"/>
        <w:ind w:firstLine="422" w:firstLineChars="200"/>
        <w:outlineLvl w:val="0"/>
        <w:rPr>
          <w:rFonts w:ascii="宋体" w:hAnsi="宋体"/>
          <w:color w:val="auto"/>
          <w:szCs w:val="21"/>
          <w:highlight w:val="none"/>
        </w:rPr>
      </w:pPr>
      <w:bookmarkStart w:id="171" w:name="_Toc30992"/>
      <w:bookmarkStart w:id="172" w:name="_Toc3960"/>
      <w:r>
        <w:rPr>
          <w:rFonts w:ascii="宋体" w:hAnsi="宋体"/>
          <w:b/>
          <w:color w:val="auto"/>
          <w:szCs w:val="21"/>
          <w:highlight w:val="none"/>
        </w:rPr>
        <w:t>3</w:t>
      </w:r>
      <w:bookmarkStart w:id="173" w:name="_Toc312677990"/>
      <w:bookmarkStart w:id="174" w:name="_Toc318581159"/>
      <w:r>
        <w:rPr>
          <w:rFonts w:ascii="宋体" w:hAnsi="宋体"/>
          <w:b/>
          <w:color w:val="auto"/>
          <w:szCs w:val="21"/>
          <w:highlight w:val="none"/>
        </w:rPr>
        <w:t>.5.2</w:t>
      </w:r>
      <w:r>
        <w:rPr>
          <w:rFonts w:hint="eastAsia" w:ascii="宋体" w:hAnsi="宋体"/>
          <w:b/>
          <w:color w:val="auto"/>
          <w:szCs w:val="21"/>
          <w:highlight w:val="none"/>
        </w:rPr>
        <w:t xml:space="preserve">  </w:t>
      </w:r>
      <w:r>
        <w:rPr>
          <w:rFonts w:ascii="宋体" w:hAnsi="宋体"/>
          <w:color w:val="auto"/>
          <w:szCs w:val="21"/>
          <w:highlight w:val="none"/>
        </w:rPr>
        <w:t>分包的确定</w:t>
      </w:r>
      <w:bookmarkEnd w:id="171"/>
      <w:bookmarkEnd w:id="172"/>
      <w:r>
        <w:rPr>
          <w:rFonts w:hint="eastAsia" w:ascii="宋体" w:hAnsi="宋体"/>
          <w:color w:val="auto"/>
          <w:szCs w:val="21"/>
          <w:highlight w:val="none"/>
        </w:rPr>
        <w:t xml:space="preserve"> </w:t>
      </w:r>
    </w:p>
    <w:p>
      <w:pPr>
        <w:spacing w:line="288" w:lineRule="auto"/>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bCs/>
          <w:color w:val="auto"/>
          <w:szCs w:val="21"/>
          <w:highlight w:val="none"/>
          <w:u w:val="single"/>
        </w:rPr>
        <w:t>监理工程师和发包人开工后确认</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u w:val="single"/>
        </w:rPr>
      </w:pPr>
      <w:r>
        <w:rPr>
          <w:rFonts w:ascii="宋体" w:hAnsi="宋体"/>
          <w:color w:val="auto"/>
          <w:szCs w:val="21"/>
          <w:highlight w:val="none"/>
        </w:rPr>
        <w:t>其他关于分包的约定：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175" w:name="_Toc18293"/>
      <w:bookmarkStart w:id="176" w:name="_Toc17066"/>
      <w:r>
        <w:rPr>
          <w:rFonts w:ascii="宋体" w:hAnsi="宋体"/>
          <w:b/>
          <w:color w:val="auto"/>
          <w:szCs w:val="21"/>
          <w:highlight w:val="none"/>
        </w:rPr>
        <w:t>3.5.4</w:t>
      </w:r>
      <w:r>
        <w:rPr>
          <w:rFonts w:hint="eastAsia" w:ascii="宋体" w:hAnsi="宋体"/>
          <w:b/>
          <w:color w:val="auto"/>
          <w:szCs w:val="21"/>
          <w:highlight w:val="none"/>
        </w:rPr>
        <w:t xml:space="preserve"> </w:t>
      </w:r>
      <w:r>
        <w:rPr>
          <w:rFonts w:ascii="宋体" w:hAnsi="宋体"/>
          <w:color w:val="auto"/>
          <w:szCs w:val="21"/>
          <w:highlight w:val="none"/>
        </w:rPr>
        <w:t xml:space="preserve"> 分包合同价款</w:t>
      </w:r>
      <w:bookmarkEnd w:id="175"/>
      <w:bookmarkEnd w:id="176"/>
    </w:p>
    <w:p>
      <w:pPr>
        <w:spacing w:line="288" w:lineRule="auto"/>
        <w:ind w:firstLine="420" w:firstLineChars="200"/>
        <w:rPr>
          <w:rFonts w:ascii="宋体" w:hAnsi="宋体"/>
          <w:color w:val="auto"/>
          <w:szCs w:val="21"/>
          <w:highlight w:val="none"/>
        </w:rPr>
      </w:pPr>
      <w:r>
        <w:rPr>
          <w:rFonts w:ascii="宋体" w:hAnsi="宋体"/>
          <w:color w:val="auto"/>
          <w:szCs w:val="21"/>
          <w:highlight w:val="none"/>
        </w:rPr>
        <w:t>关于分包合同价款支付的约定：</w:t>
      </w:r>
      <w:r>
        <w:rPr>
          <w:rFonts w:hint="eastAsia" w:ascii="宋体" w:hAnsi="宋体"/>
          <w:bCs/>
          <w:color w:val="auto"/>
          <w:szCs w:val="21"/>
          <w:highlight w:val="none"/>
          <w:u w:val="single"/>
        </w:rPr>
        <w:t>按通用合同条款约定</w:t>
      </w:r>
      <w:r>
        <w:rPr>
          <w:rFonts w:ascii="宋体" w:hAnsi="宋体"/>
          <w:color w:val="auto"/>
          <w:szCs w:val="21"/>
          <w:highlight w:val="none"/>
        </w:rPr>
        <w:t>。</w:t>
      </w:r>
    </w:p>
    <w:bookmarkEnd w:id="173"/>
    <w:bookmarkEnd w:id="174"/>
    <w:p>
      <w:pPr>
        <w:spacing w:line="288" w:lineRule="auto"/>
        <w:ind w:firstLine="422" w:firstLineChars="200"/>
        <w:outlineLvl w:val="0"/>
        <w:rPr>
          <w:rFonts w:ascii="宋体" w:hAnsi="宋体"/>
          <w:color w:val="auto"/>
          <w:szCs w:val="21"/>
          <w:highlight w:val="none"/>
        </w:rPr>
      </w:pPr>
      <w:bookmarkStart w:id="177" w:name="_Toc9520"/>
      <w:bookmarkStart w:id="178" w:name="_Toc22270"/>
      <w:r>
        <w:rPr>
          <w:rFonts w:ascii="宋体" w:hAnsi="宋体"/>
          <w:b/>
          <w:color w:val="auto"/>
          <w:szCs w:val="21"/>
          <w:highlight w:val="none"/>
        </w:rPr>
        <w:t>3.6</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工程照管与成品、半成品保护</w:t>
      </w:r>
      <w:bookmarkEnd w:id="177"/>
      <w:bookmarkEnd w:id="178"/>
    </w:p>
    <w:p>
      <w:pPr>
        <w:spacing w:line="288" w:lineRule="auto"/>
        <w:ind w:firstLine="420" w:firstLineChars="200"/>
        <w:rPr>
          <w:rFonts w:ascii="宋体" w:hAnsi="宋体"/>
          <w:color w:val="auto"/>
          <w:kern w:val="0"/>
          <w:szCs w:val="21"/>
          <w:highlight w:val="none"/>
          <w:u w:val="single"/>
        </w:rPr>
      </w:pPr>
      <w:r>
        <w:rPr>
          <w:rFonts w:ascii="宋体" w:hAnsi="宋体"/>
          <w:color w:val="auto"/>
          <w:kern w:val="0"/>
          <w:szCs w:val="21"/>
          <w:highlight w:val="none"/>
        </w:rPr>
        <w:t>承包人负责照管工程及工程相关的材料、工程设备的起始时间：</w:t>
      </w:r>
      <w:r>
        <w:rPr>
          <w:rFonts w:hint="eastAsia" w:ascii="宋体" w:hAnsi="宋体"/>
          <w:bCs/>
          <w:color w:val="auto"/>
          <w:kern w:val="0"/>
          <w:szCs w:val="21"/>
          <w:highlight w:val="none"/>
          <w:u w:val="single"/>
        </w:rPr>
        <w:t>按通用合同条款约定</w:t>
      </w:r>
      <w:r>
        <w:rPr>
          <w:rFonts w:ascii="宋体" w:hAnsi="宋体"/>
          <w:color w:val="auto"/>
          <w:kern w:val="0"/>
          <w:szCs w:val="21"/>
          <w:highlight w:val="none"/>
        </w:rPr>
        <w:t>。</w:t>
      </w:r>
    </w:p>
    <w:p>
      <w:pPr>
        <w:spacing w:line="288" w:lineRule="auto"/>
        <w:ind w:firstLine="422" w:firstLineChars="200"/>
        <w:outlineLvl w:val="0"/>
        <w:rPr>
          <w:rFonts w:ascii="宋体" w:hAnsi="宋体"/>
          <w:color w:val="auto"/>
          <w:szCs w:val="21"/>
          <w:highlight w:val="none"/>
        </w:rPr>
      </w:pPr>
      <w:bookmarkStart w:id="179" w:name="_Toc2760"/>
      <w:bookmarkStart w:id="180" w:name="_Toc27804"/>
      <w:r>
        <w:rPr>
          <w:rFonts w:ascii="宋体" w:hAnsi="宋体"/>
          <w:b/>
          <w:color w:val="auto"/>
          <w:szCs w:val="21"/>
          <w:highlight w:val="none"/>
        </w:rPr>
        <w:t>3.7</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履约担保</w:t>
      </w:r>
      <w:bookmarkEnd w:id="179"/>
      <w:bookmarkEnd w:id="180"/>
    </w:p>
    <w:p>
      <w:pPr>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承包人是否提供履约担保：</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是</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bCs/>
          <w:color w:val="auto"/>
          <w:szCs w:val="21"/>
          <w:highlight w:val="none"/>
          <w:u w:val="single"/>
        </w:rPr>
      </w:pPr>
      <w:r>
        <w:rPr>
          <w:rFonts w:ascii="宋体" w:hAnsi="宋体"/>
          <w:color w:val="auto"/>
          <w:szCs w:val="21"/>
          <w:highlight w:val="none"/>
        </w:rPr>
        <w:t>承包人提供履约担保的形式</w:t>
      </w:r>
      <w:r>
        <w:rPr>
          <w:rFonts w:hint="eastAsia" w:ascii="宋体" w:hAnsi="宋体"/>
          <w:color w:val="auto"/>
          <w:szCs w:val="21"/>
          <w:highlight w:val="none"/>
        </w:rPr>
        <w:t>、金额及期限的</w:t>
      </w:r>
      <w:r>
        <w:rPr>
          <w:rFonts w:ascii="宋体" w:hAnsi="宋体"/>
          <w:color w:val="auto"/>
          <w:szCs w:val="21"/>
          <w:highlight w:val="none"/>
        </w:rPr>
        <w:t>：</w:t>
      </w:r>
      <w:r>
        <w:rPr>
          <w:rFonts w:hint="eastAsia" w:ascii="宋体" w:hAnsi="宋体"/>
          <w:bCs/>
          <w:color w:val="auto"/>
          <w:szCs w:val="21"/>
          <w:highlight w:val="none"/>
          <w:u w:val="single"/>
        </w:rPr>
        <w:t>承包人在合同签订后，按招标文件规定的格式和金额向发包人提交</w:t>
      </w:r>
      <w:r>
        <w:rPr>
          <w:rFonts w:hint="eastAsia" w:ascii="宋体" w:hAnsi="宋体"/>
          <w:bCs/>
          <w:color w:val="auto"/>
          <w:szCs w:val="21"/>
          <w:highlight w:val="none"/>
          <w:u w:val="single"/>
          <w:lang w:val="en-US" w:eastAsia="zh-CN"/>
        </w:rPr>
        <w:t>成交</w:t>
      </w:r>
      <w:r>
        <w:rPr>
          <w:rFonts w:hint="eastAsia" w:ascii="宋体" w:hAnsi="宋体"/>
          <w:bCs/>
          <w:color w:val="auto"/>
          <w:szCs w:val="21"/>
          <w:highlight w:val="none"/>
          <w:u w:val="single"/>
        </w:rPr>
        <w:t>金额2％的履约保证金，待工程竣工验收通过后7个工作日内退还。</w:t>
      </w:r>
    </w:p>
    <w:p>
      <w:pPr>
        <w:spacing w:line="288" w:lineRule="auto"/>
        <w:ind w:firstLine="422" w:firstLineChars="200"/>
        <w:outlineLvl w:val="0"/>
        <w:rPr>
          <w:rFonts w:ascii="宋体" w:hAnsi="宋体"/>
          <w:color w:val="auto"/>
          <w:szCs w:val="21"/>
          <w:highlight w:val="none"/>
        </w:rPr>
      </w:pPr>
      <w:bookmarkStart w:id="181" w:name="_Toc4231"/>
      <w:bookmarkStart w:id="182" w:name="_Toc361220565"/>
      <w:bookmarkStart w:id="183" w:name="_Toc24429"/>
      <w:r>
        <w:rPr>
          <w:rFonts w:ascii="宋体" w:hAnsi="宋体"/>
          <w:b/>
          <w:color w:val="auto"/>
          <w:szCs w:val="21"/>
          <w:highlight w:val="none"/>
        </w:rPr>
        <w:t>4</w:t>
      </w:r>
      <w:bookmarkStart w:id="184" w:name="_Toc296503162"/>
      <w:bookmarkStart w:id="185" w:name="_Toc297048348"/>
      <w:bookmarkStart w:id="186" w:name="_Toc297120462"/>
      <w:bookmarkStart w:id="187" w:name="_Toc296346663"/>
      <w:bookmarkStart w:id="188" w:name="_Toc296891202"/>
      <w:bookmarkStart w:id="189" w:name="_Toc292559366"/>
      <w:bookmarkStart w:id="190" w:name="_Toc296347161"/>
      <w:bookmarkStart w:id="191" w:name="_Toc292559871"/>
      <w:bookmarkStart w:id="192" w:name="_Toc296890990"/>
      <w:bookmarkStart w:id="193" w:name="_Toc296944501"/>
      <w:bookmarkStart w:id="194" w:name="_Toc267251413"/>
      <w:r>
        <w:rPr>
          <w:rFonts w:hint="eastAsia" w:ascii="宋体" w:hAnsi="宋体"/>
          <w:color w:val="auto"/>
          <w:szCs w:val="21"/>
          <w:highlight w:val="none"/>
        </w:rPr>
        <w:t xml:space="preserve"> </w:t>
      </w:r>
      <w:r>
        <w:rPr>
          <w:rFonts w:ascii="宋体" w:hAnsi="宋体"/>
          <w:color w:val="auto"/>
          <w:szCs w:val="21"/>
          <w:highlight w:val="none"/>
        </w:rPr>
        <w:t xml:space="preserve"> 监</w:t>
      </w:r>
      <w:bookmarkEnd w:id="184"/>
      <w:bookmarkEnd w:id="185"/>
      <w:bookmarkEnd w:id="186"/>
      <w:bookmarkEnd w:id="187"/>
      <w:bookmarkEnd w:id="188"/>
      <w:bookmarkEnd w:id="189"/>
      <w:bookmarkEnd w:id="190"/>
      <w:bookmarkEnd w:id="191"/>
      <w:bookmarkEnd w:id="192"/>
      <w:bookmarkEnd w:id="193"/>
      <w:bookmarkEnd w:id="194"/>
      <w:r>
        <w:rPr>
          <w:rFonts w:ascii="宋体" w:hAnsi="宋体"/>
          <w:color w:val="auto"/>
          <w:szCs w:val="21"/>
          <w:highlight w:val="none"/>
        </w:rPr>
        <w:t>理人</w:t>
      </w:r>
      <w:bookmarkEnd w:id="181"/>
      <w:bookmarkEnd w:id="182"/>
      <w:bookmarkEnd w:id="183"/>
    </w:p>
    <w:p>
      <w:pPr>
        <w:spacing w:line="288" w:lineRule="auto"/>
        <w:ind w:firstLine="422" w:firstLineChars="200"/>
        <w:outlineLvl w:val="0"/>
        <w:rPr>
          <w:rFonts w:ascii="宋体" w:hAnsi="宋体"/>
          <w:color w:val="auto"/>
          <w:szCs w:val="21"/>
          <w:highlight w:val="none"/>
        </w:rPr>
      </w:pPr>
      <w:bookmarkStart w:id="195" w:name="_Toc419"/>
      <w:bookmarkStart w:id="196" w:name="_Toc10984"/>
      <w:r>
        <w:rPr>
          <w:rFonts w:ascii="宋体" w:hAnsi="宋体"/>
          <w:b/>
          <w:color w:val="auto"/>
          <w:szCs w:val="21"/>
          <w:highlight w:val="none"/>
        </w:rPr>
        <w:t>4.1</w:t>
      </w:r>
      <w:r>
        <w:rPr>
          <w:rFonts w:hint="eastAsia" w:ascii="宋体" w:hAnsi="宋体"/>
          <w:b/>
          <w:color w:val="auto"/>
          <w:szCs w:val="21"/>
          <w:highlight w:val="none"/>
        </w:rPr>
        <w:t xml:space="preserve">  </w:t>
      </w:r>
      <w:r>
        <w:rPr>
          <w:rFonts w:ascii="宋体" w:hAnsi="宋体"/>
          <w:color w:val="auto"/>
          <w:szCs w:val="21"/>
          <w:highlight w:val="none"/>
        </w:rPr>
        <w:t>监理人的一般规定</w:t>
      </w:r>
      <w:bookmarkEnd w:id="195"/>
      <w:bookmarkEnd w:id="196"/>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r>
        <w:rPr>
          <w:rFonts w:hint="eastAsia" w:ascii="宋体" w:hAnsi="宋体"/>
          <w:bCs/>
          <w:color w:val="auto"/>
          <w:szCs w:val="21"/>
          <w:highlight w:val="none"/>
          <w:u w:val="single"/>
        </w:rPr>
        <w:t xml:space="preserve">        /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关于监理人的监理权限：</w:t>
      </w:r>
      <w:r>
        <w:rPr>
          <w:rFonts w:hint="eastAsia" w:ascii="宋体" w:hAnsi="宋体"/>
          <w:bCs/>
          <w:color w:val="auto"/>
          <w:szCs w:val="21"/>
          <w:highlight w:val="none"/>
          <w:u w:val="single"/>
        </w:rPr>
        <w:t xml:space="preserve">        /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u w:val="single"/>
        </w:rPr>
      </w:pPr>
      <w:r>
        <w:rPr>
          <w:rFonts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197" w:name="_Toc13882"/>
      <w:bookmarkStart w:id="198" w:name="_Toc7966"/>
      <w:r>
        <w:rPr>
          <w:rFonts w:ascii="宋体" w:hAnsi="宋体"/>
          <w:b/>
          <w:color w:val="auto"/>
          <w:szCs w:val="21"/>
          <w:highlight w:val="none"/>
        </w:rPr>
        <w:t>4.2</w:t>
      </w:r>
      <w:r>
        <w:rPr>
          <w:rFonts w:hint="eastAsia" w:ascii="宋体" w:hAnsi="宋体"/>
          <w:b/>
          <w:color w:val="auto"/>
          <w:szCs w:val="21"/>
          <w:highlight w:val="none"/>
        </w:rPr>
        <w:t xml:space="preserve"> </w:t>
      </w:r>
      <w:r>
        <w:rPr>
          <w:rFonts w:ascii="宋体" w:hAnsi="宋体"/>
          <w:color w:val="auto"/>
          <w:szCs w:val="21"/>
          <w:highlight w:val="none"/>
        </w:rPr>
        <w:t xml:space="preserve"> 监理人员</w:t>
      </w:r>
      <w:bookmarkEnd w:id="197"/>
      <w:bookmarkEnd w:id="198"/>
    </w:p>
    <w:p>
      <w:pPr>
        <w:spacing w:line="288" w:lineRule="auto"/>
        <w:ind w:firstLine="420" w:firstLineChars="200"/>
        <w:rPr>
          <w:rFonts w:ascii="宋体" w:hAnsi="宋体"/>
          <w:color w:val="auto"/>
          <w:szCs w:val="21"/>
          <w:highlight w:val="none"/>
        </w:rPr>
      </w:pPr>
      <w:r>
        <w:rPr>
          <w:rFonts w:ascii="宋体" w:hAnsi="宋体"/>
          <w:color w:val="auto"/>
          <w:szCs w:val="21"/>
          <w:highlight w:val="none"/>
        </w:rPr>
        <w:t>总监理工程师：</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w:t>
      </w:r>
      <w:r>
        <w:rPr>
          <w:rFonts w:hint="eastAsia" w:ascii="宋体" w:hAnsi="宋体"/>
          <w:bCs/>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w:t>
      </w:r>
      <w:r>
        <w:rPr>
          <w:rFonts w:hint="eastAsia" w:ascii="宋体" w:hAnsi="宋体"/>
          <w:bCs/>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ascii="宋体" w:hAnsi="宋体"/>
          <w:color w:val="auto"/>
          <w:szCs w:val="21"/>
          <w:highlight w:val="none"/>
          <w:u w:val="single"/>
        </w:rPr>
        <w:t></w:t>
      </w:r>
      <w:r>
        <w:rPr>
          <w:rFonts w:hint="eastAsia" w:ascii="宋体" w:hAnsi="宋体"/>
          <w:bCs/>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w:t>
      </w:r>
      <w:r>
        <w:rPr>
          <w:rFonts w:hint="eastAsia" w:ascii="宋体" w:hAnsi="宋体"/>
          <w:bCs/>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w:t>
      </w:r>
      <w:r>
        <w:rPr>
          <w:rFonts w:hint="eastAsia" w:ascii="宋体" w:hAnsi="宋体"/>
          <w:bCs/>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w:t>
      </w:r>
      <w:r>
        <w:rPr>
          <w:rFonts w:hint="eastAsia" w:ascii="宋体" w:hAnsi="宋体"/>
          <w:bCs/>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288" w:lineRule="auto"/>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ascii="宋体" w:hAnsi="宋体"/>
          <w:color w:val="auto"/>
          <w:szCs w:val="21"/>
          <w:highlight w:val="none"/>
          <w:u w:val="single"/>
        </w:rPr>
        <w:t></w:t>
      </w:r>
      <w:r>
        <w:rPr>
          <w:rFonts w:hint="eastAsia" w:ascii="宋体" w:hAnsi="宋体"/>
          <w:bCs/>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199" w:name="_Toc5092"/>
      <w:bookmarkStart w:id="200" w:name="_Toc14136"/>
      <w:r>
        <w:rPr>
          <w:rFonts w:ascii="宋体" w:hAnsi="宋体"/>
          <w:b/>
          <w:color w:val="auto"/>
          <w:szCs w:val="21"/>
          <w:highlight w:val="none"/>
        </w:rPr>
        <w:t>4.4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商定或确定</w:t>
      </w:r>
      <w:bookmarkEnd w:id="199"/>
      <w:bookmarkEnd w:id="200"/>
    </w:p>
    <w:p>
      <w:pPr>
        <w:spacing w:line="288" w:lineRule="auto"/>
        <w:ind w:firstLine="420" w:firstLineChars="200"/>
        <w:rPr>
          <w:rFonts w:ascii="宋体" w:hAnsi="宋体"/>
          <w:color w:val="auto"/>
          <w:szCs w:val="21"/>
          <w:highlight w:val="none"/>
        </w:rPr>
      </w:pPr>
      <w:bookmarkStart w:id="201" w:name="_Toc267251418"/>
      <w:r>
        <w:rPr>
          <w:rFonts w:ascii="宋体" w:hAnsi="宋体"/>
          <w:color w:val="auto"/>
          <w:szCs w:val="21"/>
          <w:highlight w:val="none"/>
        </w:rPr>
        <w:t>在发包人和承包人不能通过协商达成一致意见时，发包人授权监理人对以下事项进行确定：</w:t>
      </w:r>
      <w:r>
        <w:rPr>
          <w:rFonts w:hint="eastAsia" w:ascii="宋体" w:hAnsi="宋体"/>
          <w:color w:val="auto"/>
          <w:szCs w:val="21"/>
          <w:highlight w:val="none"/>
        </w:rPr>
        <w:t xml:space="preserve"> </w:t>
      </w:r>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288" w:lineRule="auto"/>
        <w:ind w:firstLine="420" w:firstLineChars="200"/>
        <w:jc w:val="left"/>
        <w:rPr>
          <w:rFonts w:ascii="宋体" w:hAnsi="宋体"/>
          <w:color w:val="auto"/>
          <w:szCs w:val="21"/>
          <w:highlight w:val="none"/>
        </w:rPr>
      </w:pPr>
      <w:r>
        <w:rPr>
          <w:rFonts w:ascii="宋体" w:hAnsi="宋体"/>
          <w:color w:val="auto"/>
          <w:kern w:val="0"/>
          <w:szCs w:val="21"/>
          <w:highlight w:val="none"/>
        </w:rPr>
        <w:t>（3）</w:t>
      </w:r>
      <w:r>
        <w:rPr>
          <w:rFonts w:ascii="宋体" w:hAnsi="宋体"/>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202" w:name="_Toc3849"/>
      <w:bookmarkStart w:id="203" w:name="_Toc26276"/>
      <w:bookmarkStart w:id="204" w:name="_Toc361220566"/>
      <w:r>
        <w:rPr>
          <w:rFonts w:ascii="宋体" w:hAnsi="宋体"/>
          <w:b/>
          <w:color w:val="auto"/>
          <w:szCs w:val="21"/>
          <w:highlight w:val="none"/>
        </w:rPr>
        <w:t>5</w:t>
      </w:r>
      <w:bookmarkEnd w:id="201"/>
      <w:bookmarkStart w:id="205" w:name="_Toc297120463"/>
      <w:bookmarkStart w:id="206" w:name="_Toc296503163"/>
      <w:bookmarkStart w:id="207" w:name="_Toc296347162"/>
      <w:bookmarkStart w:id="208" w:name="_Toc292559872"/>
      <w:bookmarkStart w:id="209" w:name="_Toc296891203"/>
      <w:bookmarkStart w:id="210" w:name="_Toc296890991"/>
      <w:bookmarkStart w:id="211" w:name="_Toc296944502"/>
      <w:bookmarkStart w:id="212" w:name="_Toc292559367"/>
      <w:bookmarkStart w:id="213" w:name="_Toc297048349"/>
      <w:bookmarkStart w:id="214" w:name="_Toc296346664"/>
      <w:r>
        <w:rPr>
          <w:rFonts w:hint="eastAsia" w:ascii="宋体" w:hAnsi="宋体"/>
          <w:color w:val="auto"/>
          <w:szCs w:val="21"/>
          <w:highlight w:val="none"/>
        </w:rPr>
        <w:t xml:space="preserve"> </w:t>
      </w:r>
      <w:r>
        <w:rPr>
          <w:rFonts w:ascii="宋体" w:hAnsi="宋体"/>
          <w:color w:val="auto"/>
          <w:szCs w:val="21"/>
          <w:highlight w:val="none"/>
        </w:rPr>
        <w:t xml:space="preserve"> 工程质量</w:t>
      </w:r>
      <w:bookmarkEnd w:id="202"/>
      <w:bookmarkEnd w:id="203"/>
      <w:bookmarkEnd w:id="204"/>
    </w:p>
    <w:p>
      <w:pPr>
        <w:spacing w:line="288" w:lineRule="auto"/>
        <w:ind w:firstLine="422" w:firstLineChars="200"/>
        <w:outlineLvl w:val="0"/>
        <w:rPr>
          <w:rFonts w:ascii="宋体" w:hAnsi="宋体"/>
          <w:color w:val="auto"/>
          <w:szCs w:val="21"/>
          <w:highlight w:val="none"/>
        </w:rPr>
      </w:pPr>
      <w:bookmarkStart w:id="215" w:name="_Toc12133"/>
      <w:bookmarkStart w:id="216" w:name="_Toc3550"/>
      <w:r>
        <w:rPr>
          <w:rFonts w:ascii="宋体" w:hAnsi="宋体"/>
          <w:b/>
          <w:color w:val="auto"/>
          <w:szCs w:val="21"/>
          <w:highlight w:val="none"/>
        </w:rPr>
        <w:t>5.1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质量要求</w:t>
      </w:r>
      <w:bookmarkEnd w:id="215"/>
      <w:bookmarkEnd w:id="216"/>
    </w:p>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5</w:t>
      </w:r>
      <w:bookmarkStart w:id="217" w:name="_Toc304295527"/>
      <w:bookmarkStart w:id="218" w:name="_Toc312677997"/>
      <w:bookmarkStart w:id="219" w:name="_Toc300934949"/>
      <w:bookmarkStart w:id="220" w:name="_Toc303539106"/>
      <w:bookmarkStart w:id="221" w:name="_Toc297123496"/>
      <w:bookmarkStart w:id="222" w:name="_Toc318581164"/>
      <w:bookmarkStart w:id="223" w:name="_Toc297216155"/>
      <w:r>
        <w:rPr>
          <w:rFonts w:ascii="宋体" w:hAnsi="宋体"/>
          <w:b/>
          <w:color w:val="auto"/>
          <w:szCs w:val="21"/>
          <w:highlight w:val="none"/>
        </w:rPr>
        <w:t>.1.1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特殊质量标准和要求：</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关于工程奖项的约定：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224" w:name="_Toc21898"/>
      <w:bookmarkStart w:id="225" w:name="_Toc31358"/>
      <w:r>
        <w:rPr>
          <w:rFonts w:ascii="宋体" w:hAnsi="宋体"/>
          <w:b/>
          <w:color w:val="auto"/>
          <w:szCs w:val="21"/>
          <w:highlight w:val="none"/>
        </w:rPr>
        <w:t>5.3</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隐蔽工程检查</w:t>
      </w:r>
      <w:bookmarkEnd w:id="224"/>
      <w:bookmarkEnd w:id="225"/>
    </w:p>
    <w:p>
      <w:pPr>
        <w:spacing w:line="288" w:lineRule="auto"/>
        <w:ind w:firstLine="422" w:firstLineChars="200"/>
        <w:jc w:val="left"/>
        <w:outlineLvl w:val="0"/>
        <w:rPr>
          <w:rFonts w:ascii="宋体" w:hAnsi="宋体"/>
          <w:color w:val="auto"/>
          <w:szCs w:val="21"/>
          <w:highlight w:val="none"/>
          <w:u w:val="single"/>
        </w:rPr>
      </w:pPr>
      <w:bookmarkStart w:id="226" w:name="_Toc4496"/>
      <w:bookmarkStart w:id="227" w:name="_Toc2932"/>
      <w:r>
        <w:rPr>
          <w:rFonts w:ascii="宋体" w:hAnsi="宋体"/>
          <w:b/>
          <w:color w:val="auto"/>
          <w:szCs w:val="21"/>
          <w:highlight w:val="none"/>
        </w:rPr>
        <w:t>5.3.2</w:t>
      </w:r>
      <w:r>
        <w:rPr>
          <w:rFonts w:hint="eastAsia" w:ascii="宋体" w:hAnsi="宋体"/>
          <w:b/>
          <w:color w:val="auto"/>
          <w:szCs w:val="21"/>
          <w:highlight w:val="none"/>
        </w:rPr>
        <w:t xml:space="preserve">  </w:t>
      </w:r>
      <w:r>
        <w:rPr>
          <w:rFonts w:ascii="宋体" w:hAnsi="宋体"/>
          <w:color w:val="auto"/>
          <w:szCs w:val="21"/>
          <w:highlight w:val="none"/>
        </w:rPr>
        <w:t>承包人提前通知监理人隐蔽工程检查的期限的约定：</w:t>
      </w:r>
      <w:r>
        <w:rPr>
          <w:rFonts w:hint="eastAsia" w:ascii="宋体" w:hAnsi="宋体"/>
          <w:bCs/>
          <w:color w:val="auto"/>
          <w:szCs w:val="21"/>
          <w:highlight w:val="none"/>
          <w:u w:val="single"/>
        </w:rPr>
        <w:t>按通用合同条款约定</w:t>
      </w:r>
      <w:r>
        <w:rPr>
          <w:rFonts w:ascii="宋体" w:hAnsi="宋体"/>
          <w:color w:val="auto"/>
          <w:szCs w:val="21"/>
          <w:highlight w:val="none"/>
        </w:rPr>
        <w:t>。</w:t>
      </w:r>
      <w:bookmarkEnd w:id="226"/>
      <w:bookmarkEnd w:id="227"/>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监理人不能按时进行检查时，应提前</w:t>
      </w:r>
      <w:r>
        <w:rPr>
          <w:rFonts w:hint="eastAsia" w:ascii="宋体" w:hAnsi="宋体"/>
          <w:color w:val="auto"/>
          <w:szCs w:val="21"/>
          <w:highlight w:val="none"/>
          <w:u w:val="single"/>
        </w:rPr>
        <w:t xml:space="preserve">  24  </w:t>
      </w:r>
      <w:r>
        <w:rPr>
          <w:rFonts w:ascii="宋体" w:hAnsi="宋体"/>
          <w:color w:val="auto"/>
          <w:szCs w:val="21"/>
          <w:highlight w:val="none"/>
        </w:rPr>
        <w:t>小时提交书面延期要求。</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48   </w:t>
      </w:r>
      <w:r>
        <w:rPr>
          <w:rFonts w:ascii="宋体" w:hAnsi="宋体"/>
          <w:color w:val="auto"/>
          <w:szCs w:val="21"/>
          <w:highlight w:val="none"/>
          <w:u w:val="single"/>
        </w:rPr>
        <w:t xml:space="preserve"> </w:t>
      </w:r>
      <w:r>
        <w:rPr>
          <w:rFonts w:ascii="宋体" w:hAnsi="宋体"/>
          <w:color w:val="auto"/>
          <w:szCs w:val="21"/>
          <w:highlight w:val="none"/>
        </w:rPr>
        <w:t>小时。</w:t>
      </w:r>
    </w:p>
    <w:p>
      <w:pPr>
        <w:spacing w:line="288" w:lineRule="auto"/>
        <w:ind w:firstLine="422" w:firstLineChars="200"/>
        <w:outlineLvl w:val="0"/>
        <w:rPr>
          <w:rFonts w:ascii="宋体" w:hAnsi="宋体"/>
          <w:color w:val="auto"/>
          <w:szCs w:val="21"/>
          <w:highlight w:val="none"/>
        </w:rPr>
      </w:pPr>
      <w:bookmarkStart w:id="228" w:name="_Toc361220567"/>
      <w:bookmarkStart w:id="229" w:name="_Toc776"/>
      <w:bookmarkStart w:id="230" w:name="_Toc23942"/>
      <w:r>
        <w:rPr>
          <w:rFonts w:ascii="宋体" w:hAnsi="宋体"/>
          <w:b/>
          <w:color w:val="auto"/>
          <w:szCs w:val="21"/>
          <w:highlight w:val="none"/>
        </w:rPr>
        <w:t>6</w:t>
      </w:r>
      <w:r>
        <w:rPr>
          <w:rFonts w:hint="eastAsia" w:ascii="宋体" w:hAnsi="宋体"/>
          <w:b/>
          <w:color w:val="auto"/>
          <w:szCs w:val="21"/>
          <w:highlight w:val="none"/>
        </w:rPr>
        <w:t xml:space="preserve"> </w:t>
      </w:r>
      <w:r>
        <w:rPr>
          <w:rFonts w:ascii="宋体" w:hAnsi="宋体"/>
          <w:color w:val="auto"/>
          <w:szCs w:val="21"/>
          <w:highlight w:val="none"/>
        </w:rPr>
        <w:t xml:space="preserve"> 安全文明施工与环境保护</w:t>
      </w:r>
      <w:bookmarkEnd w:id="228"/>
      <w:bookmarkEnd w:id="229"/>
      <w:bookmarkEnd w:id="230"/>
    </w:p>
    <w:p>
      <w:pPr>
        <w:spacing w:line="288" w:lineRule="auto"/>
        <w:ind w:firstLine="422" w:firstLineChars="200"/>
        <w:outlineLvl w:val="0"/>
        <w:rPr>
          <w:rFonts w:ascii="宋体" w:hAnsi="宋体"/>
          <w:color w:val="auto"/>
          <w:szCs w:val="21"/>
          <w:highlight w:val="none"/>
        </w:rPr>
      </w:pPr>
      <w:bookmarkStart w:id="231" w:name="_Toc31777"/>
      <w:bookmarkStart w:id="232" w:name="_Toc27444"/>
      <w:r>
        <w:rPr>
          <w:rFonts w:ascii="宋体" w:hAnsi="宋体"/>
          <w:b/>
          <w:color w:val="auto"/>
          <w:szCs w:val="21"/>
          <w:highlight w:val="none"/>
        </w:rPr>
        <w:t>6.1</w:t>
      </w:r>
      <w:r>
        <w:rPr>
          <w:rFonts w:hint="eastAsia" w:ascii="宋体" w:hAnsi="宋体"/>
          <w:b/>
          <w:color w:val="auto"/>
          <w:szCs w:val="21"/>
          <w:highlight w:val="none"/>
        </w:rPr>
        <w:t xml:space="preserve">  </w:t>
      </w:r>
      <w:r>
        <w:rPr>
          <w:rFonts w:ascii="宋体" w:hAnsi="宋体"/>
          <w:color w:val="auto"/>
          <w:szCs w:val="21"/>
          <w:highlight w:val="none"/>
        </w:rPr>
        <w:t>安全文明施工</w:t>
      </w:r>
      <w:bookmarkEnd w:id="231"/>
      <w:bookmarkEnd w:id="232"/>
    </w:p>
    <w:p>
      <w:pPr>
        <w:spacing w:line="288" w:lineRule="auto"/>
        <w:ind w:firstLine="422" w:firstLineChars="200"/>
        <w:jc w:val="left"/>
        <w:outlineLvl w:val="0"/>
        <w:rPr>
          <w:rFonts w:ascii="宋体" w:hAnsi="宋体"/>
          <w:b/>
          <w:color w:val="auto"/>
          <w:szCs w:val="21"/>
          <w:highlight w:val="none"/>
          <w:u w:val="single"/>
        </w:rPr>
      </w:pPr>
      <w:bookmarkStart w:id="233" w:name="_Toc14029"/>
      <w:bookmarkStart w:id="234" w:name="_Toc13671"/>
      <w:r>
        <w:rPr>
          <w:rFonts w:ascii="宋体" w:hAnsi="宋体"/>
          <w:b/>
          <w:color w:val="auto"/>
          <w:szCs w:val="21"/>
          <w:highlight w:val="none"/>
        </w:rPr>
        <w:t>6.1.1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项目安全生产的达标目标及相应事项的约定：</w:t>
      </w:r>
      <w:r>
        <w:rPr>
          <w:rFonts w:hint="eastAsia" w:ascii="宋体" w:hAnsi="宋体"/>
          <w:b/>
          <w:color w:val="auto"/>
          <w:szCs w:val="21"/>
          <w:highlight w:val="none"/>
          <w:u w:val="single"/>
        </w:rPr>
        <w:t>施工现场按照《建筑施工安全检查标准》（JGJ59-2011）评定达到 “合格”标准。</w:t>
      </w:r>
      <w:bookmarkEnd w:id="233"/>
      <w:bookmarkEnd w:id="234"/>
    </w:p>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6.1.4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关于治安保卫的特别约定：</w:t>
      </w:r>
      <w:r>
        <w:rPr>
          <w:rFonts w:hint="eastAsia" w:ascii="宋体" w:hAnsi="宋体"/>
          <w:bCs/>
          <w:color w:val="auto"/>
          <w:szCs w:val="21"/>
          <w:highlight w:val="none"/>
          <w:u w:val="single"/>
        </w:rPr>
        <w:t>由承包人负责，发包人配合，费用包含在报价中</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关于编制施工场地治安管理计划的约定：</w:t>
      </w:r>
      <w:r>
        <w:rPr>
          <w:rFonts w:hint="eastAsia" w:ascii="宋体" w:hAnsi="宋体"/>
          <w:bCs/>
          <w:color w:val="auto"/>
          <w:szCs w:val="21"/>
          <w:highlight w:val="none"/>
          <w:u w:val="single"/>
        </w:rPr>
        <w:t>由承包人负责，发包人配合，费用包含在报价中</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235" w:name="_Toc25947"/>
      <w:bookmarkStart w:id="236" w:name="_Toc1150"/>
      <w:r>
        <w:rPr>
          <w:rFonts w:hint="eastAsia" w:ascii="宋体" w:hAnsi="宋体"/>
          <w:b/>
          <w:color w:val="auto"/>
          <w:szCs w:val="21"/>
          <w:highlight w:val="none"/>
        </w:rPr>
        <w:t>6.1.5</w:t>
      </w:r>
      <w:r>
        <w:rPr>
          <w:rFonts w:hint="eastAsia" w:ascii="宋体" w:hAnsi="宋体"/>
          <w:color w:val="auto"/>
          <w:szCs w:val="21"/>
          <w:highlight w:val="none"/>
        </w:rPr>
        <w:t xml:space="preserve">  文明施工</w:t>
      </w:r>
      <w:bookmarkEnd w:id="235"/>
      <w:bookmarkEnd w:id="236"/>
    </w:p>
    <w:p>
      <w:pPr>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合同当事人对文明施工的要求： </w:t>
      </w:r>
    </w:p>
    <w:p>
      <w:pPr>
        <w:numPr>
          <w:ilvl w:val="0"/>
          <w:numId w:val="8"/>
        </w:numPr>
        <w:spacing w:line="288" w:lineRule="auto"/>
        <w:ind w:left="0" w:firstLine="420" w:firstLineChars="200"/>
        <w:jc w:val="left"/>
        <w:outlineLvl w:val="0"/>
        <w:rPr>
          <w:rFonts w:ascii="宋体" w:hAnsi="宋体"/>
          <w:color w:val="auto"/>
          <w:szCs w:val="21"/>
          <w:highlight w:val="none"/>
        </w:rPr>
      </w:pPr>
      <w:bookmarkStart w:id="237" w:name="_Toc7870"/>
      <w:bookmarkStart w:id="238" w:name="_Toc9669"/>
      <w:r>
        <w:rPr>
          <w:rFonts w:hint="eastAsia" w:ascii="宋体" w:hAnsi="宋体"/>
          <w:color w:val="auto"/>
          <w:szCs w:val="21"/>
          <w:highlight w:val="none"/>
        </w:rPr>
        <w:t>遵守地方政府和有关部门对施工场地交通、环卫、安全和施工噪音等管理规定，并办理相关审批手续。</w:t>
      </w:r>
      <w:bookmarkEnd w:id="237"/>
      <w:bookmarkEnd w:id="238"/>
    </w:p>
    <w:p>
      <w:pPr>
        <w:numPr>
          <w:ilvl w:val="0"/>
          <w:numId w:val="8"/>
        </w:numPr>
        <w:spacing w:line="288" w:lineRule="auto"/>
        <w:ind w:left="0" w:firstLine="420" w:firstLineChars="200"/>
        <w:jc w:val="left"/>
        <w:rPr>
          <w:rFonts w:ascii="宋体" w:hAnsi="宋体"/>
          <w:color w:val="auto"/>
          <w:szCs w:val="21"/>
          <w:highlight w:val="none"/>
        </w:rPr>
      </w:pPr>
      <w:r>
        <w:rPr>
          <w:rFonts w:hint="eastAsia" w:ascii="宋体" w:hAnsi="宋体"/>
          <w:color w:val="auto"/>
          <w:szCs w:val="21"/>
          <w:highlight w:val="none"/>
        </w:rPr>
        <w:t>承包人应采取有效措施尽量减小尘土和噪音污染，需要进行夜间作业时应经有关部门批准。</w:t>
      </w:r>
    </w:p>
    <w:p>
      <w:pPr>
        <w:numPr>
          <w:ilvl w:val="0"/>
          <w:numId w:val="8"/>
        </w:numPr>
        <w:spacing w:line="288" w:lineRule="auto"/>
        <w:ind w:left="0" w:firstLine="420" w:firstLineChars="200"/>
        <w:jc w:val="left"/>
        <w:rPr>
          <w:rFonts w:ascii="宋体" w:hAnsi="宋体"/>
          <w:color w:val="auto"/>
          <w:szCs w:val="21"/>
          <w:highlight w:val="none"/>
        </w:rPr>
      </w:pPr>
      <w:r>
        <w:rPr>
          <w:rFonts w:hint="eastAsia" w:ascii="宋体" w:hAnsi="宋体"/>
          <w:color w:val="auto"/>
          <w:szCs w:val="21"/>
          <w:highlight w:val="none"/>
        </w:rPr>
        <w:t>其他：</w:t>
      </w:r>
    </w:p>
    <w:p>
      <w:pPr>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①承包人应严格按照“杭州市双标化工地”的要求组织施工，遵守工程建设安全文明施工的有关规定，认真落实各项安全保护措施，并随时接受发包人或监理工程师及有关部门的监督检查。   </w:t>
      </w:r>
    </w:p>
    <w:p>
      <w:pPr>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②承包人应对进入施工现场的施工人员进行人员安全文明施工教育，配备必须的劳动保护用具，保证工程的施工安全和人身安全。</w:t>
      </w:r>
    </w:p>
    <w:p>
      <w:pPr>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③承包人应强化安全意识，抓好安全生产，杜绝事故发生，施工中若发生安全及人身事故均由承包人自行负责处理，并承担全部费用。</w:t>
      </w:r>
    </w:p>
    <w:p>
      <w:pPr>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④发包人或监理工程师有权对承包人的安全施工状况进行检查，发现有违反安全施工情况的，有权提出整改要求，承包人须按要求进行整改。</w:t>
      </w:r>
    </w:p>
    <w:p>
      <w:pPr>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⑤合同签订时，承包人应与发包人签订《安全施工责任书》，作为本合同附件。</w:t>
      </w:r>
    </w:p>
    <w:p>
      <w:pPr>
        <w:spacing w:line="288" w:lineRule="auto"/>
        <w:ind w:firstLine="420" w:firstLineChars="200"/>
        <w:jc w:val="left"/>
        <w:rPr>
          <w:rFonts w:ascii="宋体" w:hAnsi="宋体"/>
          <w:b/>
          <w:color w:val="auto"/>
          <w:szCs w:val="21"/>
          <w:highlight w:val="none"/>
          <w:u w:val="single"/>
        </w:rPr>
      </w:pPr>
      <w:r>
        <w:rPr>
          <w:rFonts w:hint="eastAsia" w:ascii="宋体" w:hAnsi="宋体"/>
          <w:color w:val="auto"/>
          <w:szCs w:val="21"/>
          <w:highlight w:val="none"/>
        </w:rPr>
        <w:t>⑥承包人必须严格遵守和执行国家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4、上述手续办理费用约定如下：由承包人承担。</w:t>
      </w:r>
    </w:p>
    <w:p>
      <w:pPr>
        <w:spacing w:line="288" w:lineRule="auto"/>
        <w:ind w:firstLine="422" w:firstLineChars="200"/>
        <w:jc w:val="left"/>
        <w:rPr>
          <w:rFonts w:ascii="宋体" w:hAnsi="宋体"/>
          <w:color w:val="auto"/>
          <w:szCs w:val="21"/>
          <w:highlight w:val="none"/>
          <w:u w:val="single"/>
        </w:rPr>
      </w:pPr>
      <w:r>
        <w:rPr>
          <w:rFonts w:ascii="宋体" w:hAnsi="宋体"/>
          <w:b/>
          <w:color w:val="auto"/>
          <w:szCs w:val="21"/>
          <w:highlight w:val="none"/>
        </w:rPr>
        <w:t>6.1.6</w:t>
      </w:r>
      <w:r>
        <w:rPr>
          <w:rFonts w:ascii="宋体" w:hAnsi="宋体"/>
          <w:color w:val="auto"/>
          <w:szCs w:val="21"/>
          <w:highlight w:val="none"/>
        </w:rPr>
        <w:t xml:space="preserve"> 关于安全文明施工费支付比例和支付期限的约定</w:t>
      </w:r>
      <w:r>
        <w:rPr>
          <w:rFonts w:hint="eastAsia" w:ascii="宋体" w:hAnsi="宋体"/>
          <w:color w:val="auto"/>
          <w:szCs w:val="21"/>
          <w:highlight w:val="none"/>
        </w:rPr>
        <w:t>：</w:t>
      </w:r>
      <w:r>
        <w:rPr>
          <w:rFonts w:hint="eastAsia" w:ascii="宋体" w:hAnsi="宋体"/>
          <w:color w:val="auto"/>
          <w:szCs w:val="21"/>
          <w:highlight w:val="none"/>
          <w:u w:val="single"/>
        </w:rPr>
        <w:t xml:space="preserve">       /     </w:t>
      </w:r>
    </w:p>
    <w:bookmarkEnd w:id="217"/>
    <w:bookmarkEnd w:id="218"/>
    <w:bookmarkEnd w:id="219"/>
    <w:bookmarkEnd w:id="220"/>
    <w:bookmarkEnd w:id="221"/>
    <w:bookmarkEnd w:id="222"/>
    <w:bookmarkEnd w:id="223"/>
    <w:p>
      <w:pPr>
        <w:spacing w:line="288" w:lineRule="auto"/>
        <w:ind w:firstLine="422" w:firstLineChars="200"/>
        <w:outlineLvl w:val="0"/>
        <w:rPr>
          <w:rFonts w:ascii="宋体" w:hAnsi="宋体"/>
          <w:color w:val="auto"/>
          <w:szCs w:val="21"/>
          <w:highlight w:val="none"/>
        </w:rPr>
      </w:pPr>
      <w:bookmarkStart w:id="239" w:name="_Toc16360"/>
      <w:bookmarkStart w:id="240" w:name="_Toc4277"/>
      <w:bookmarkStart w:id="241" w:name="_Toc361220568"/>
      <w:r>
        <w:rPr>
          <w:rFonts w:ascii="宋体" w:hAnsi="宋体"/>
          <w:b/>
          <w:color w:val="auto"/>
          <w:szCs w:val="21"/>
          <w:highlight w:val="none"/>
        </w:rPr>
        <w:t>7</w:t>
      </w:r>
      <w:r>
        <w:rPr>
          <w:rFonts w:hint="eastAsia" w:ascii="宋体" w:hAnsi="宋体"/>
          <w:b/>
          <w:color w:val="auto"/>
          <w:szCs w:val="21"/>
          <w:highlight w:val="none"/>
        </w:rPr>
        <w:t xml:space="preserve">  </w:t>
      </w:r>
      <w:r>
        <w:rPr>
          <w:rFonts w:ascii="宋体" w:hAnsi="宋体"/>
          <w:color w:val="auto"/>
          <w:szCs w:val="21"/>
          <w:highlight w:val="none"/>
        </w:rPr>
        <w:t>工期和进度</w:t>
      </w:r>
      <w:bookmarkEnd w:id="239"/>
      <w:bookmarkEnd w:id="240"/>
      <w:bookmarkEnd w:id="241"/>
    </w:p>
    <w:p>
      <w:pPr>
        <w:spacing w:line="288" w:lineRule="auto"/>
        <w:ind w:firstLine="422" w:firstLineChars="200"/>
        <w:outlineLvl w:val="0"/>
        <w:rPr>
          <w:rFonts w:ascii="宋体" w:hAnsi="宋体"/>
          <w:b/>
          <w:color w:val="auto"/>
          <w:szCs w:val="21"/>
          <w:highlight w:val="none"/>
        </w:rPr>
      </w:pPr>
      <w:bookmarkStart w:id="242" w:name="_Toc15055"/>
      <w:bookmarkStart w:id="243" w:name="_Toc22681"/>
      <w:r>
        <w:rPr>
          <w:rFonts w:ascii="宋体" w:hAnsi="宋体"/>
          <w:b/>
          <w:color w:val="auto"/>
          <w:szCs w:val="21"/>
          <w:highlight w:val="none"/>
        </w:rPr>
        <w:t>7.1</w:t>
      </w:r>
      <w:r>
        <w:rPr>
          <w:rFonts w:hint="eastAsia" w:ascii="宋体" w:hAnsi="宋体"/>
          <w:b/>
          <w:color w:val="auto"/>
          <w:szCs w:val="21"/>
          <w:highlight w:val="none"/>
        </w:rPr>
        <w:t xml:space="preserve"> </w:t>
      </w:r>
      <w:r>
        <w:rPr>
          <w:rFonts w:ascii="宋体" w:hAnsi="宋体"/>
          <w:b/>
          <w:color w:val="auto"/>
          <w:szCs w:val="21"/>
          <w:highlight w:val="none"/>
        </w:rPr>
        <w:t xml:space="preserve"> 施工组织设计</w:t>
      </w:r>
      <w:bookmarkEnd w:id="242"/>
      <w:bookmarkEnd w:id="243"/>
    </w:p>
    <w:p>
      <w:pPr>
        <w:autoSpaceDE w:val="0"/>
        <w:autoSpaceDN w:val="0"/>
        <w:adjustRightInd w:val="0"/>
        <w:spacing w:line="288" w:lineRule="auto"/>
        <w:ind w:firstLine="422" w:firstLineChars="200"/>
        <w:jc w:val="left"/>
        <w:outlineLvl w:val="0"/>
        <w:rPr>
          <w:rFonts w:ascii="宋体" w:hAnsi="宋体"/>
          <w:color w:val="auto"/>
          <w:szCs w:val="21"/>
          <w:highlight w:val="none"/>
          <w:u w:val="single"/>
        </w:rPr>
      </w:pPr>
      <w:bookmarkStart w:id="244" w:name="_Toc7130"/>
      <w:bookmarkStart w:id="245" w:name="_Toc18367"/>
      <w:r>
        <w:rPr>
          <w:rFonts w:ascii="宋体" w:hAnsi="宋体"/>
          <w:b/>
          <w:color w:val="auto"/>
          <w:szCs w:val="21"/>
          <w:highlight w:val="none"/>
        </w:rPr>
        <w:t>7.1.</w:t>
      </w:r>
      <w:r>
        <w:rPr>
          <w:rFonts w:hint="eastAsia" w:ascii="宋体" w:hAnsi="宋体"/>
          <w:b/>
          <w:color w:val="auto"/>
          <w:szCs w:val="21"/>
          <w:highlight w:val="none"/>
        </w:rPr>
        <w:t xml:space="preserve">1 </w:t>
      </w:r>
      <w:r>
        <w:rPr>
          <w:rFonts w:hint="eastAsia" w:ascii="宋体" w:hAnsi="宋体"/>
          <w:color w:val="auto"/>
          <w:szCs w:val="21"/>
          <w:highlight w:val="none"/>
        </w:rPr>
        <w:t xml:space="preserve">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hint="eastAsia" w:ascii="宋体" w:hAnsi="宋体"/>
          <w:bCs/>
          <w:color w:val="auto"/>
          <w:szCs w:val="21"/>
          <w:highlight w:val="none"/>
          <w:u w:val="single"/>
        </w:rPr>
        <w:t xml:space="preserve">      /         </w:t>
      </w:r>
      <w:r>
        <w:rPr>
          <w:rFonts w:ascii="宋体" w:hAnsi="宋体"/>
          <w:color w:val="auto"/>
          <w:szCs w:val="21"/>
          <w:highlight w:val="none"/>
        </w:rPr>
        <w:t>。</w:t>
      </w:r>
      <w:bookmarkEnd w:id="244"/>
      <w:bookmarkEnd w:id="245"/>
    </w:p>
    <w:p>
      <w:pPr>
        <w:autoSpaceDE w:val="0"/>
        <w:autoSpaceDN w:val="0"/>
        <w:adjustRightInd w:val="0"/>
        <w:spacing w:line="288" w:lineRule="auto"/>
        <w:ind w:firstLine="422" w:firstLineChars="200"/>
        <w:jc w:val="left"/>
        <w:outlineLvl w:val="0"/>
        <w:rPr>
          <w:rFonts w:ascii="宋体" w:hAnsi="宋体"/>
          <w:color w:val="auto"/>
          <w:kern w:val="0"/>
          <w:szCs w:val="21"/>
          <w:highlight w:val="none"/>
        </w:rPr>
      </w:pPr>
      <w:bookmarkStart w:id="246" w:name="_Toc14949"/>
      <w:bookmarkStart w:id="247" w:name="_Toc1355"/>
      <w:r>
        <w:rPr>
          <w:rFonts w:ascii="宋体" w:hAnsi="宋体"/>
          <w:b/>
          <w:color w:val="auto"/>
          <w:szCs w:val="21"/>
          <w:highlight w:val="none"/>
        </w:rPr>
        <w:t>7.1.2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施工组织设计的提交和修改</w:t>
      </w:r>
      <w:bookmarkEnd w:id="246"/>
      <w:bookmarkEnd w:id="247"/>
    </w:p>
    <w:p>
      <w:pPr>
        <w:autoSpaceDE w:val="0"/>
        <w:autoSpaceDN w:val="0"/>
        <w:adjustRightInd w:val="0"/>
        <w:spacing w:line="288"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承包人提交详细施工组织设计的期限的约定：</w:t>
      </w:r>
      <w:r>
        <w:rPr>
          <w:rFonts w:hint="eastAsia" w:ascii="宋体" w:hAnsi="宋体"/>
          <w:b/>
          <w:color w:val="auto"/>
          <w:kern w:val="0"/>
          <w:szCs w:val="21"/>
          <w:highlight w:val="none"/>
          <w:u w:val="single"/>
        </w:rPr>
        <w:t>合同签订后2</w:t>
      </w:r>
      <w:r>
        <w:rPr>
          <w:rFonts w:hint="eastAsia" w:ascii="宋体" w:hAnsi="宋体"/>
          <w:b/>
          <w:color w:val="auto"/>
          <w:szCs w:val="21"/>
          <w:highlight w:val="none"/>
          <w:u w:val="single"/>
        </w:rPr>
        <w:t>天内提供详细施工组织（施工方案）和进度计划。</w:t>
      </w:r>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hint="eastAsia" w:ascii="宋体" w:hAnsi="宋体"/>
          <w:color w:val="auto"/>
          <w:szCs w:val="21"/>
          <w:highlight w:val="none"/>
          <w:u w:val="single"/>
        </w:rPr>
        <w:t>2天内</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248" w:name="_Toc19808"/>
      <w:bookmarkStart w:id="249" w:name="_Toc13550"/>
      <w:r>
        <w:rPr>
          <w:rFonts w:ascii="宋体" w:hAnsi="宋体"/>
          <w:b/>
          <w:color w:val="auto"/>
          <w:szCs w:val="21"/>
          <w:highlight w:val="none"/>
        </w:rPr>
        <w:t>7</w:t>
      </w:r>
      <w:bookmarkStart w:id="250" w:name="_Toc297123514"/>
      <w:bookmarkStart w:id="251" w:name="_Toc312677479"/>
      <w:bookmarkStart w:id="252" w:name="_Toc300934966"/>
      <w:bookmarkStart w:id="253" w:name="_Toc303539123"/>
      <w:bookmarkStart w:id="254" w:name="_Toc312678005"/>
      <w:bookmarkStart w:id="255" w:name="_Toc304295541"/>
      <w:bookmarkStart w:id="256" w:name="_Toc297216173"/>
      <w:r>
        <w:rPr>
          <w:rFonts w:ascii="宋体" w:hAnsi="宋体"/>
          <w:b/>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施工进度计划</w:t>
      </w:r>
      <w:bookmarkEnd w:id="248"/>
      <w:bookmarkEnd w:id="249"/>
    </w:p>
    <w:p>
      <w:pPr>
        <w:spacing w:line="288" w:lineRule="auto"/>
        <w:ind w:firstLine="422" w:firstLineChars="200"/>
        <w:jc w:val="left"/>
        <w:outlineLvl w:val="0"/>
        <w:rPr>
          <w:rFonts w:ascii="宋体" w:hAnsi="宋体"/>
          <w:color w:val="auto"/>
          <w:szCs w:val="21"/>
          <w:highlight w:val="none"/>
        </w:rPr>
      </w:pPr>
      <w:bookmarkStart w:id="257" w:name="_Toc19941"/>
      <w:bookmarkStart w:id="258" w:name="_Toc12615"/>
      <w:r>
        <w:rPr>
          <w:rFonts w:ascii="宋体" w:hAnsi="宋体"/>
          <w:b/>
          <w:color w:val="auto"/>
          <w:szCs w:val="21"/>
          <w:highlight w:val="none"/>
        </w:rPr>
        <w:t>7.2.2</w:t>
      </w:r>
      <w:r>
        <w:rPr>
          <w:rFonts w:hint="eastAsia" w:ascii="宋体" w:hAnsi="宋体"/>
          <w:b/>
          <w:color w:val="auto"/>
          <w:szCs w:val="21"/>
          <w:highlight w:val="none"/>
        </w:rPr>
        <w:t xml:space="preserve"> </w:t>
      </w:r>
      <w:r>
        <w:rPr>
          <w:rFonts w:ascii="宋体" w:hAnsi="宋体"/>
          <w:color w:val="auto"/>
          <w:szCs w:val="21"/>
          <w:highlight w:val="none"/>
        </w:rPr>
        <w:t xml:space="preserve"> 施工进度计划的修订</w:t>
      </w:r>
      <w:bookmarkEnd w:id="257"/>
      <w:bookmarkEnd w:id="258"/>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2天内</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259" w:name="_Toc27918"/>
      <w:bookmarkStart w:id="260" w:name="_Toc28991"/>
      <w:r>
        <w:rPr>
          <w:rFonts w:ascii="宋体" w:hAnsi="宋体"/>
          <w:b/>
          <w:color w:val="auto"/>
          <w:szCs w:val="21"/>
          <w:highlight w:val="none"/>
        </w:rPr>
        <w:t>7.3</w:t>
      </w:r>
      <w:r>
        <w:rPr>
          <w:rFonts w:hint="eastAsia" w:ascii="宋体" w:hAnsi="宋体"/>
          <w:b/>
          <w:color w:val="auto"/>
          <w:szCs w:val="21"/>
          <w:highlight w:val="none"/>
        </w:rPr>
        <w:t xml:space="preserve"> </w:t>
      </w:r>
      <w:r>
        <w:rPr>
          <w:rFonts w:ascii="宋体" w:hAnsi="宋体"/>
          <w:color w:val="auto"/>
          <w:szCs w:val="21"/>
          <w:highlight w:val="none"/>
        </w:rPr>
        <w:t xml:space="preserve"> 开工</w:t>
      </w:r>
      <w:bookmarkEnd w:id="259"/>
      <w:bookmarkEnd w:id="260"/>
    </w:p>
    <w:p>
      <w:pPr>
        <w:spacing w:line="288" w:lineRule="auto"/>
        <w:ind w:firstLine="422" w:firstLineChars="200"/>
        <w:jc w:val="left"/>
        <w:outlineLvl w:val="0"/>
        <w:rPr>
          <w:rFonts w:ascii="宋体" w:hAnsi="宋体"/>
          <w:color w:val="auto"/>
          <w:szCs w:val="21"/>
          <w:highlight w:val="none"/>
        </w:rPr>
      </w:pPr>
      <w:bookmarkStart w:id="261" w:name="_Toc19170"/>
      <w:bookmarkStart w:id="262" w:name="_Toc2360"/>
      <w:r>
        <w:rPr>
          <w:rFonts w:ascii="宋体" w:hAnsi="宋体"/>
          <w:b/>
          <w:color w:val="auto"/>
          <w:szCs w:val="21"/>
          <w:highlight w:val="none"/>
        </w:rPr>
        <w:t>7.3.1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开工准备</w:t>
      </w:r>
      <w:bookmarkEnd w:id="261"/>
      <w:bookmarkEnd w:id="262"/>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关于承包人提交</w:t>
      </w:r>
      <w:r>
        <w:rPr>
          <w:rFonts w:ascii="宋体" w:hAnsi="宋体"/>
          <w:color w:val="auto"/>
          <w:kern w:val="0"/>
          <w:szCs w:val="21"/>
          <w:highlight w:val="none"/>
        </w:rPr>
        <w:t>工程开工报审表的期限：</w:t>
      </w:r>
      <w:r>
        <w:rPr>
          <w:rFonts w:hint="eastAsia" w:ascii="宋体" w:hAnsi="宋体"/>
          <w:color w:val="auto"/>
          <w:szCs w:val="21"/>
          <w:highlight w:val="none"/>
          <w:u w:val="single"/>
        </w:rPr>
        <w:t>2天内</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关于发包人应完成的其他开工准备工作及期限：</w:t>
      </w:r>
      <w:r>
        <w:rPr>
          <w:rFonts w:hint="eastAsia" w:ascii="宋体" w:hAnsi="宋体"/>
          <w:color w:val="auto"/>
          <w:szCs w:val="21"/>
          <w:highlight w:val="none"/>
          <w:u w:val="single"/>
        </w:rPr>
        <w:t>开工前</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关于承包人应完成的其他开工准备工作及期限：</w:t>
      </w:r>
      <w:r>
        <w:rPr>
          <w:rFonts w:hint="eastAsia" w:ascii="宋体" w:hAnsi="宋体"/>
          <w:color w:val="auto"/>
          <w:szCs w:val="21"/>
          <w:highlight w:val="none"/>
          <w:u w:val="single"/>
        </w:rPr>
        <w:t>开工前</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263" w:name="_Toc24679"/>
      <w:bookmarkStart w:id="264" w:name="_Toc7059"/>
      <w:r>
        <w:rPr>
          <w:rFonts w:ascii="宋体" w:hAnsi="宋体"/>
          <w:b/>
          <w:color w:val="auto"/>
          <w:szCs w:val="21"/>
          <w:highlight w:val="none"/>
        </w:rPr>
        <w:t>7.3.2</w:t>
      </w:r>
      <w:r>
        <w:rPr>
          <w:rFonts w:hint="eastAsia" w:ascii="宋体" w:hAnsi="宋体"/>
          <w:b/>
          <w:color w:val="auto"/>
          <w:szCs w:val="21"/>
          <w:highlight w:val="none"/>
        </w:rPr>
        <w:t xml:space="preserve">  </w:t>
      </w:r>
      <w:r>
        <w:rPr>
          <w:rFonts w:ascii="宋体" w:hAnsi="宋体"/>
          <w:color w:val="auto"/>
          <w:szCs w:val="21"/>
          <w:highlight w:val="none"/>
        </w:rPr>
        <w:t>开工通知</w:t>
      </w:r>
      <w:bookmarkEnd w:id="263"/>
      <w:bookmarkEnd w:id="264"/>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因发包人原因造成监理人未能在计划开工日期之日起</w:t>
      </w:r>
      <w:r>
        <w:rPr>
          <w:rFonts w:hint="eastAsia" w:ascii="宋体" w:hAnsi="宋体"/>
          <w:color w:val="auto"/>
          <w:szCs w:val="21"/>
          <w:highlight w:val="none"/>
          <w:u w:val="single"/>
        </w:rPr>
        <w:t>另行协商</w:t>
      </w:r>
      <w:r>
        <w:rPr>
          <w:rFonts w:ascii="宋体" w:hAnsi="宋体"/>
          <w:color w:val="auto"/>
          <w:szCs w:val="21"/>
          <w:highlight w:val="none"/>
        </w:rPr>
        <w:t>天内发出开工通知的，承包人有权提出价格调整要求，或者解除合同。</w:t>
      </w:r>
    </w:p>
    <w:bookmarkEnd w:id="250"/>
    <w:bookmarkEnd w:id="251"/>
    <w:bookmarkEnd w:id="252"/>
    <w:bookmarkEnd w:id="253"/>
    <w:bookmarkEnd w:id="254"/>
    <w:bookmarkEnd w:id="255"/>
    <w:bookmarkEnd w:id="256"/>
    <w:p>
      <w:pPr>
        <w:spacing w:line="288" w:lineRule="auto"/>
        <w:ind w:firstLine="422" w:firstLineChars="200"/>
        <w:outlineLvl w:val="0"/>
        <w:rPr>
          <w:rFonts w:ascii="宋体" w:hAnsi="宋体"/>
          <w:color w:val="auto"/>
          <w:szCs w:val="21"/>
          <w:highlight w:val="none"/>
        </w:rPr>
      </w:pPr>
      <w:bookmarkStart w:id="265" w:name="_Toc18755"/>
      <w:bookmarkStart w:id="266" w:name="_Toc22183"/>
      <w:r>
        <w:rPr>
          <w:rFonts w:ascii="宋体" w:hAnsi="宋体"/>
          <w:b/>
          <w:color w:val="auto"/>
          <w:szCs w:val="21"/>
          <w:highlight w:val="none"/>
        </w:rPr>
        <w:t>7.4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测量放线</w:t>
      </w:r>
      <w:bookmarkEnd w:id="265"/>
      <w:bookmarkEnd w:id="266"/>
    </w:p>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7.4.1</w:t>
      </w:r>
      <w:r>
        <w:rPr>
          <w:rFonts w:ascii="宋体" w:hAnsi="宋体"/>
          <w:color w:val="auto"/>
          <w:szCs w:val="21"/>
          <w:highlight w:val="none"/>
        </w:rPr>
        <w:t>发包人通过监理人向承包人提供测量基准点、基准线和水准点及其书面资料的期限：</w:t>
      </w:r>
      <w:r>
        <w:rPr>
          <w:rFonts w:hint="eastAsia" w:ascii="宋体" w:hAnsi="宋体"/>
          <w:bCs/>
          <w:color w:val="auto"/>
          <w:szCs w:val="21"/>
          <w:highlight w:val="none"/>
          <w:u w:val="single"/>
        </w:rPr>
        <w:t>/</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267" w:name="_Toc12072"/>
      <w:bookmarkStart w:id="268" w:name="_Toc3113"/>
      <w:r>
        <w:rPr>
          <w:rFonts w:ascii="宋体" w:hAnsi="宋体"/>
          <w:b/>
          <w:color w:val="auto"/>
          <w:szCs w:val="21"/>
          <w:highlight w:val="none"/>
        </w:rPr>
        <w:t>7</w:t>
      </w:r>
      <w:bookmarkStart w:id="269" w:name="_Toc297123516"/>
      <w:bookmarkStart w:id="270" w:name="_Toc300934968"/>
      <w:bookmarkStart w:id="271" w:name="_Toc303539125"/>
      <w:bookmarkStart w:id="272" w:name="_Toc312677484"/>
      <w:bookmarkStart w:id="273" w:name="_Toc297216175"/>
      <w:bookmarkStart w:id="274" w:name="_Toc304295546"/>
      <w:bookmarkStart w:id="275" w:name="_Toc312678010"/>
      <w:r>
        <w:rPr>
          <w:rFonts w:ascii="宋体" w:hAnsi="宋体"/>
          <w:b/>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工期延误</w:t>
      </w:r>
      <w:bookmarkEnd w:id="267"/>
      <w:bookmarkEnd w:id="268"/>
    </w:p>
    <w:bookmarkEnd w:id="269"/>
    <w:bookmarkEnd w:id="270"/>
    <w:bookmarkEnd w:id="271"/>
    <w:bookmarkEnd w:id="272"/>
    <w:bookmarkEnd w:id="273"/>
    <w:bookmarkEnd w:id="274"/>
    <w:bookmarkEnd w:id="275"/>
    <w:p>
      <w:pPr>
        <w:spacing w:line="288" w:lineRule="auto"/>
        <w:ind w:firstLine="422" w:firstLineChars="200"/>
        <w:jc w:val="left"/>
        <w:outlineLvl w:val="0"/>
        <w:rPr>
          <w:rFonts w:ascii="宋体" w:hAnsi="宋体"/>
          <w:color w:val="auto"/>
          <w:szCs w:val="21"/>
          <w:highlight w:val="none"/>
        </w:rPr>
      </w:pPr>
      <w:bookmarkStart w:id="276" w:name="_Toc11478"/>
      <w:bookmarkStart w:id="277" w:name="_Toc6394"/>
      <w:r>
        <w:rPr>
          <w:rFonts w:ascii="宋体" w:hAnsi="宋体"/>
          <w:b/>
          <w:color w:val="auto"/>
          <w:szCs w:val="21"/>
          <w:highlight w:val="none"/>
        </w:rPr>
        <w:t>7.5.1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因发包人原因导致工期延误</w:t>
      </w:r>
      <w:bookmarkEnd w:id="276"/>
      <w:bookmarkEnd w:id="277"/>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（7）因发包人原因导致工期延误的其他情形</w:t>
      </w:r>
      <w:r>
        <w:rPr>
          <w:rFonts w:hint="eastAsia" w:ascii="宋体" w:hAnsi="宋体"/>
          <w:color w:val="auto"/>
          <w:szCs w:val="21"/>
          <w:highlight w:val="none"/>
        </w:rPr>
        <w:t>：</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①重大设计变更引起的工期延误；</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②其他：因重大活动、会议安排等原因，发包人要求停工的。</w:t>
      </w:r>
    </w:p>
    <w:p>
      <w:pPr>
        <w:spacing w:line="288" w:lineRule="auto"/>
        <w:ind w:firstLine="422" w:firstLineChars="200"/>
        <w:jc w:val="left"/>
        <w:outlineLvl w:val="0"/>
        <w:rPr>
          <w:rFonts w:ascii="宋体" w:hAnsi="宋体"/>
          <w:color w:val="auto"/>
          <w:szCs w:val="21"/>
          <w:highlight w:val="none"/>
        </w:rPr>
      </w:pPr>
      <w:bookmarkStart w:id="278" w:name="_Toc26339"/>
      <w:bookmarkStart w:id="279" w:name="_Toc21043"/>
      <w:r>
        <w:rPr>
          <w:rFonts w:ascii="宋体" w:hAnsi="宋体"/>
          <w:b/>
          <w:color w:val="auto"/>
          <w:szCs w:val="21"/>
          <w:highlight w:val="none"/>
        </w:rPr>
        <w:t>7</w:t>
      </w:r>
      <w:bookmarkStart w:id="280" w:name="_Toc312678012"/>
      <w:bookmarkStart w:id="281" w:name="_Toc318581169"/>
      <w:bookmarkStart w:id="282" w:name="_Toc312677486"/>
      <w:bookmarkStart w:id="283" w:name="_Toc300934970"/>
      <w:bookmarkStart w:id="284" w:name="_Toc304295548"/>
      <w:bookmarkStart w:id="285" w:name="_Toc297216177"/>
      <w:bookmarkStart w:id="286" w:name="_Toc303539127"/>
      <w:bookmarkStart w:id="287" w:name="_Toc297123518"/>
      <w:r>
        <w:rPr>
          <w:rFonts w:ascii="宋体" w:hAnsi="宋体"/>
          <w:b/>
          <w:color w:val="auto"/>
          <w:szCs w:val="21"/>
          <w:highlight w:val="none"/>
        </w:rPr>
        <w:t>.5.2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因承包人原因导致工期延误</w:t>
      </w:r>
      <w:bookmarkEnd w:id="278"/>
      <w:bookmarkEnd w:id="279"/>
    </w:p>
    <w:bookmarkEnd w:id="280"/>
    <w:bookmarkEnd w:id="281"/>
    <w:bookmarkEnd w:id="282"/>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因</w:t>
      </w:r>
      <w:bookmarkStart w:id="288" w:name="_Toc312678013"/>
      <w:bookmarkStart w:id="289" w:name="_Toc312677487"/>
      <w:bookmarkStart w:id="290" w:name="_Toc318581170"/>
      <w:r>
        <w:rPr>
          <w:rFonts w:ascii="宋体" w:hAnsi="宋体"/>
          <w:color w:val="auto"/>
          <w:szCs w:val="21"/>
          <w:highlight w:val="none"/>
        </w:rPr>
        <w:t>承包人原因造成工期延误，逾期竣工违约金的计算方法为：</w:t>
      </w:r>
      <w:bookmarkEnd w:id="283"/>
      <w:bookmarkEnd w:id="284"/>
      <w:bookmarkEnd w:id="285"/>
      <w:bookmarkEnd w:id="286"/>
      <w:bookmarkEnd w:id="287"/>
      <w:bookmarkEnd w:id="288"/>
      <w:bookmarkEnd w:id="289"/>
      <w:r>
        <w:rPr>
          <w:rFonts w:hint="eastAsia" w:ascii="宋体" w:hAnsi="宋体"/>
          <w:color w:val="auto"/>
          <w:szCs w:val="21"/>
          <w:highlight w:val="none"/>
        </w:rPr>
        <w:t>每逾期一天，乙方支付甲方</w:t>
      </w:r>
      <w:r>
        <w:rPr>
          <w:rFonts w:hint="eastAsia" w:ascii="宋体" w:hAnsi="宋体"/>
          <w:color w:val="auto"/>
          <w:szCs w:val="21"/>
          <w:highlight w:val="none"/>
          <w:u w:val="single"/>
        </w:rPr>
        <w:t xml:space="preserve">  </w:t>
      </w:r>
      <w:r>
        <w:rPr>
          <w:rFonts w:ascii="宋体" w:hAnsi="宋体"/>
          <w:color w:val="auto"/>
          <w:szCs w:val="21"/>
          <w:highlight w:val="none"/>
          <w:u w:val="single"/>
        </w:rPr>
        <w:t>5</w:t>
      </w:r>
      <w:r>
        <w:rPr>
          <w:rFonts w:hint="eastAsia" w:ascii="宋体" w:hAnsi="宋体"/>
          <w:color w:val="auto"/>
          <w:szCs w:val="21"/>
          <w:highlight w:val="none"/>
          <w:u w:val="single"/>
        </w:rPr>
        <w:t xml:space="preserve">000 </w:t>
      </w:r>
      <w:r>
        <w:rPr>
          <w:rFonts w:hint="eastAsia" w:ascii="宋体" w:hAnsi="宋体"/>
          <w:color w:val="auto"/>
          <w:szCs w:val="21"/>
          <w:highlight w:val="none"/>
        </w:rPr>
        <w:t>元违约金。甲方要求提前竣工，除支付赶工措施费外，每提前一天，甲方支付乙方</w:t>
      </w:r>
      <w:r>
        <w:rPr>
          <w:rFonts w:hint="eastAsia" w:ascii="宋体" w:hAnsi="宋体"/>
          <w:color w:val="auto"/>
          <w:szCs w:val="21"/>
          <w:highlight w:val="none"/>
          <w:u w:val="single"/>
        </w:rPr>
        <w:t xml:space="preserve">  /  </w:t>
      </w:r>
      <w:r>
        <w:rPr>
          <w:rFonts w:hint="eastAsia" w:ascii="宋体" w:hAnsi="宋体"/>
          <w:color w:val="auto"/>
          <w:szCs w:val="21"/>
          <w:highlight w:val="none"/>
        </w:rPr>
        <w:t>元，作为奖励。</w:t>
      </w:r>
    </w:p>
    <w:bookmarkEnd w:id="290"/>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因承包人原因造成工期延误，逾</w:t>
      </w:r>
      <w:bookmarkStart w:id="291" w:name="_Toc312678014"/>
      <w:bookmarkStart w:id="292" w:name="_Toc318581171"/>
      <w:r>
        <w:rPr>
          <w:rFonts w:ascii="宋体" w:hAnsi="宋体"/>
          <w:color w:val="auto"/>
          <w:szCs w:val="21"/>
          <w:highlight w:val="none"/>
        </w:rPr>
        <w:t>期竣工违约金的上限：</w:t>
      </w:r>
      <w:r>
        <w:rPr>
          <w:rFonts w:hint="eastAsia" w:ascii="宋体" w:hAnsi="宋体"/>
          <w:color w:val="auto"/>
          <w:kern w:val="0"/>
          <w:szCs w:val="21"/>
          <w:highlight w:val="none"/>
          <w:u w:val="single"/>
        </w:rPr>
        <w:t xml:space="preserve">最高不超过总价的5% </w:t>
      </w:r>
      <w:r>
        <w:rPr>
          <w:rFonts w:ascii="宋体" w:hAnsi="宋体"/>
          <w:color w:val="auto"/>
          <w:szCs w:val="21"/>
          <w:highlight w:val="none"/>
          <w:u w:val="single"/>
        </w:rPr>
        <w:t xml:space="preserve"> </w:t>
      </w:r>
      <w:r>
        <w:rPr>
          <w:rFonts w:ascii="宋体" w:hAnsi="宋体"/>
          <w:color w:val="auto"/>
          <w:szCs w:val="21"/>
          <w:highlight w:val="none"/>
        </w:rPr>
        <w:t>。</w:t>
      </w:r>
    </w:p>
    <w:bookmarkEnd w:id="291"/>
    <w:bookmarkEnd w:id="292"/>
    <w:p>
      <w:pPr>
        <w:spacing w:line="288" w:lineRule="auto"/>
        <w:ind w:firstLine="422" w:firstLineChars="200"/>
        <w:outlineLvl w:val="0"/>
        <w:rPr>
          <w:rFonts w:ascii="宋体" w:hAnsi="宋体"/>
          <w:color w:val="auto"/>
          <w:szCs w:val="21"/>
          <w:highlight w:val="none"/>
        </w:rPr>
      </w:pPr>
      <w:bookmarkStart w:id="293" w:name="_Toc9965"/>
      <w:bookmarkStart w:id="294" w:name="_Toc1392"/>
      <w:r>
        <w:rPr>
          <w:rFonts w:ascii="宋体" w:hAnsi="宋体"/>
          <w:b/>
          <w:color w:val="auto"/>
          <w:szCs w:val="21"/>
          <w:highlight w:val="none"/>
        </w:rPr>
        <w:t>7</w:t>
      </w:r>
      <w:bookmarkStart w:id="295" w:name="_Toc304295549"/>
      <w:bookmarkStart w:id="296" w:name="_Toc297216178"/>
      <w:bookmarkStart w:id="297" w:name="_Toc300934971"/>
      <w:bookmarkStart w:id="298" w:name="_Toc303539128"/>
      <w:bookmarkStart w:id="299" w:name="_Toc312678015"/>
      <w:bookmarkStart w:id="300" w:name="_Toc297123519"/>
      <w:r>
        <w:rPr>
          <w:rFonts w:ascii="宋体" w:hAnsi="宋体"/>
          <w:b/>
          <w:color w:val="auto"/>
          <w:szCs w:val="21"/>
          <w:highlight w:val="none"/>
        </w:rPr>
        <w:t>.6</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不</w:t>
      </w:r>
      <w:bookmarkEnd w:id="295"/>
      <w:bookmarkEnd w:id="296"/>
      <w:bookmarkEnd w:id="297"/>
      <w:bookmarkEnd w:id="298"/>
      <w:bookmarkEnd w:id="299"/>
      <w:bookmarkEnd w:id="300"/>
      <w:r>
        <w:rPr>
          <w:rFonts w:ascii="宋体" w:hAnsi="宋体"/>
          <w:color w:val="auto"/>
          <w:szCs w:val="21"/>
          <w:highlight w:val="none"/>
        </w:rPr>
        <w:t>利物质条件</w:t>
      </w:r>
      <w:bookmarkEnd w:id="293"/>
      <w:bookmarkEnd w:id="294"/>
    </w:p>
    <w:p>
      <w:pPr>
        <w:spacing w:line="288" w:lineRule="auto"/>
        <w:ind w:firstLine="420" w:firstLineChars="200"/>
        <w:jc w:val="left"/>
        <w:rPr>
          <w:rFonts w:ascii="宋体" w:hAnsi="宋体"/>
          <w:color w:val="auto"/>
          <w:szCs w:val="21"/>
          <w:highlight w:val="none"/>
        </w:rPr>
      </w:pPr>
      <w:bookmarkStart w:id="301" w:name="_Toc297123520"/>
      <w:bookmarkStart w:id="302" w:name="_Toc304295550"/>
      <w:bookmarkStart w:id="303" w:name="_Toc297216179"/>
      <w:bookmarkStart w:id="304" w:name="_Toc300934972"/>
      <w:bookmarkStart w:id="305" w:name="_Toc312678016"/>
      <w:bookmarkStart w:id="306" w:name="_Toc318581172"/>
      <w:bookmarkStart w:id="307" w:name="_Toc303539129"/>
      <w:r>
        <w:rPr>
          <w:rFonts w:ascii="宋体" w:hAnsi="宋体"/>
          <w:color w:val="auto"/>
          <w:szCs w:val="21"/>
          <w:highlight w:val="none"/>
        </w:rPr>
        <w:t>不利物质条件的其他情形和有关约定：</w:t>
      </w:r>
    </w:p>
    <w:bookmarkEnd w:id="301"/>
    <w:bookmarkEnd w:id="302"/>
    <w:bookmarkEnd w:id="303"/>
    <w:bookmarkEnd w:id="304"/>
    <w:bookmarkEnd w:id="305"/>
    <w:bookmarkEnd w:id="306"/>
    <w:bookmarkEnd w:id="307"/>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（1）施工场地周围地下管线</w:t>
      </w:r>
      <w:r>
        <w:rPr>
          <w:rFonts w:hint="eastAsia" w:ascii="宋体" w:hAnsi="宋体"/>
          <w:b/>
          <w:color w:val="auto"/>
          <w:szCs w:val="21"/>
          <w:highlight w:val="none"/>
        </w:rPr>
        <w:t>；</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（2）地下障碍物和污染物</w:t>
      </w:r>
      <w:r>
        <w:rPr>
          <w:rFonts w:hint="eastAsia" w:ascii="宋体" w:hAnsi="宋体"/>
          <w:b/>
          <w:color w:val="auto"/>
          <w:szCs w:val="21"/>
          <w:highlight w:val="none"/>
        </w:rPr>
        <w:t xml:space="preserve">；    </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（3）邻近建筑物、构筑物的保护要求</w:t>
      </w:r>
      <w:r>
        <w:rPr>
          <w:rFonts w:hint="eastAsia" w:ascii="宋体" w:hAnsi="宋体"/>
          <w:b/>
          <w:color w:val="auto"/>
          <w:szCs w:val="21"/>
          <w:highlight w:val="none"/>
        </w:rPr>
        <w:t>；</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（4）其他</w:t>
      </w:r>
      <w:r>
        <w:rPr>
          <w:rFonts w:hint="eastAsia" w:ascii="宋体" w:hAnsi="宋体"/>
          <w:b/>
          <w:color w:val="auto"/>
          <w:szCs w:val="21"/>
          <w:highlight w:val="none"/>
        </w:rPr>
        <w:t>。</w:t>
      </w:r>
    </w:p>
    <w:p>
      <w:pPr>
        <w:spacing w:line="288" w:lineRule="auto"/>
        <w:ind w:firstLine="422" w:firstLineChars="200"/>
        <w:outlineLvl w:val="0"/>
        <w:rPr>
          <w:rFonts w:ascii="宋体" w:hAnsi="宋体"/>
          <w:color w:val="auto"/>
          <w:szCs w:val="21"/>
          <w:highlight w:val="none"/>
        </w:rPr>
      </w:pPr>
      <w:bookmarkStart w:id="308" w:name="_Toc14913"/>
      <w:bookmarkStart w:id="309" w:name="_Toc8410"/>
      <w:r>
        <w:rPr>
          <w:rFonts w:ascii="宋体" w:hAnsi="宋体"/>
          <w:b/>
          <w:color w:val="auto"/>
          <w:szCs w:val="21"/>
          <w:highlight w:val="none"/>
        </w:rPr>
        <w:t>7</w:t>
      </w:r>
      <w:bookmarkStart w:id="310" w:name="_Toc297123521"/>
      <w:bookmarkStart w:id="311" w:name="_Toc312678017"/>
      <w:bookmarkStart w:id="312" w:name="_Toc297216180"/>
      <w:bookmarkStart w:id="313" w:name="_Toc300934973"/>
      <w:bookmarkStart w:id="314" w:name="_Toc304295551"/>
      <w:bookmarkStart w:id="315" w:name="_Toc303539130"/>
      <w:r>
        <w:rPr>
          <w:rFonts w:ascii="宋体" w:hAnsi="宋体"/>
          <w:b/>
          <w:color w:val="auto"/>
          <w:szCs w:val="21"/>
          <w:highlight w:val="none"/>
        </w:rPr>
        <w:t>.7</w:t>
      </w:r>
      <w:r>
        <w:rPr>
          <w:rFonts w:hint="eastAsia" w:ascii="宋体" w:hAnsi="宋体"/>
          <w:b/>
          <w:color w:val="auto"/>
          <w:szCs w:val="21"/>
          <w:highlight w:val="none"/>
        </w:rPr>
        <w:t xml:space="preserve">  </w:t>
      </w:r>
      <w:r>
        <w:rPr>
          <w:rFonts w:ascii="宋体" w:hAnsi="宋体"/>
          <w:color w:val="auto"/>
          <w:szCs w:val="21"/>
          <w:highlight w:val="none"/>
        </w:rPr>
        <w:t>异常恶劣的气候条件</w:t>
      </w:r>
      <w:bookmarkEnd w:id="308"/>
      <w:bookmarkEnd w:id="309"/>
    </w:p>
    <w:bookmarkEnd w:id="310"/>
    <w:bookmarkEnd w:id="311"/>
    <w:bookmarkEnd w:id="312"/>
    <w:bookmarkEnd w:id="313"/>
    <w:bookmarkEnd w:id="314"/>
    <w:bookmarkEnd w:id="315"/>
    <w:p>
      <w:pPr>
        <w:spacing w:line="288" w:lineRule="auto"/>
        <w:ind w:firstLine="420" w:firstLineChars="200"/>
        <w:jc w:val="left"/>
        <w:rPr>
          <w:rFonts w:ascii="宋体" w:hAnsi="宋体"/>
          <w:b/>
          <w:color w:val="auto"/>
          <w:szCs w:val="21"/>
          <w:highlight w:val="none"/>
        </w:rPr>
      </w:pPr>
      <w:r>
        <w:rPr>
          <w:rFonts w:ascii="宋体" w:hAnsi="宋体"/>
          <w:color w:val="auto"/>
          <w:szCs w:val="21"/>
          <w:highlight w:val="none"/>
        </w:rPr>
        <w:t>发包人和承包人同意以下情形视为异常恶劣的气候条件</w:t>
      </w:r>
      <w:r>
        <w:rPr>
          <w:rFonts w:ascii="宋体" w:hAnsi="宋体"/>
          <w:b/>
          <w:color w:val="auto"/>
          <w:szCs w:val="21"/>
          <w:highlight w:val="none"/>
        </w:rPr>
        <w:t>：</w:t>
      </w:r>
      <w:r>
        <w:rPr>
          <w:rFonts w:hint="eastAsia" w:ascii="宋体" w:hAnsi="宋体"/>
          <w:b/>
          <w:bCs/>
          <w:color w:val="auto"/>
          <w:szCs w:val="21"/>
          <w:highlight w:val="none"/>
          <w:u w:val="single"/>
        </w:rPr>
        <w:t>六级以上地震、山洪暴发、战争、十级以上台风及其他由政府文件发文明确的属于承包人不能预见、不能避免并不能克服的客观情况，如未有文件通知规定，则不列入上述其他范畴。</w:t>
      </w:r>
    </w:p>
    <w:p>
      <w:pPr>
        <w:spacing w:line="288" w:lineRule="auto"/>
        <w:ind w:firstLine="422" w:firstLineChars="200"/>
        <w:outlineLvl w:val="0"/>
        <w:rPr>
          <w:rFonts w:ascii="宋体" w:hAnsi="宋体"/>
          <w:color w:val="auto"/>
          <w:szCs w:val="21"/>
          <w:highlight w:val="none"/>
        </w:rPr>
      </w:pPr>
      <w:bookmarkStart w:id="316" w:name="_Toc4573"/>
      <w:bookmarkStart w:id="317" w:name="_Toc21424"/>
      <w:r>
        <w:rPr>
          <w:rFonts w:ascii="宋体" w:hAnsi="宋体"/>
          <w:b/>
          <w:color w:val="auto"/>
          <w:szCs w:val="21"/>
          <w:highlight w:val="none"/>
        </w:rPr>
        <w:t>7.9</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提前竣工的奖励</w:t>
      </w:r>
      <w:bookmarkEnd w:id="316"/>
      <w:bookmarkEnd w:id="317"/>
    </w:p>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7.9.2</w:t>
      </w:r>
      <w:r>
        <w:rPr>
          <w:rFonts w:hint="eastAsia" w:ascii="宋体" w:hAnsi="宋体"/>
          <w:b/>
          <w:color w:val="auto"/>
          <w:szCs w:val="21"/>
          <w:highlight w:val="none"/>
        </w:rPr>
        <w:t xml:space="preserve">  </w:t>
      </w:r>
      <w:r>
        <w:rPr>
          <w:rFonts w:ascii="宋体" w:hAnsi="宋体"/>
          <w:color w:val="auto"/>
          <w:szCs w:val="21"/>
          <w:highlight w:val="none"/>
        </w:rPr>
        <w:t>提前竣工的奖励：</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bookmarkStart w:id="318" w:name="_Toc361220569"/>
    </w:p>
    <w:p>
      <w:pPr>
        <w:spacing w:line="288" w:lineRule="auto"/>
        <w:ind w:firstLine="420" w:firstLineChars="200"/>
        <w:outlineLvl w:val="0"/>
        <w:rPr>
          <w:rFonts w:ascii="宋体" w:hAnsi="宋体"/>
          <w:color w:val="auto"/>
          <w:szCs w:val="21"/>
          <w:highlight w:val="none"/>
        </w:rPr>
      </w:pPr>
      <w:bookmarkStart w:id="319" w:name="_Toc13646"/>
      <w:bookmarkStart w:id="320" w:name="_Toc15293"/>
      <w:r>
        <w:rPr>
          <w:rFonts w:ascii="宋体" w:hAnsi="宋体"/>
          <w:color w:val="auto"/>
          <w:szCs w:val="21"/>
          <w:highlight w:val="none"/>
        </w:rPr>
        <w:t>8</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材料与设备</w:t>
      </w:r>
      <w:bookmarkEnd w:id="318"/>
      <w:bookmarkEnd w:id="319"/>
      <w:bookmarkEnd w:id="320"/>
    </w:p>
    <w:bookmarkEnd w:id="205"/>
    <w:bookmarkEnd w:id="206"/>
    <w:bookmarkEnd w:id="207"/>
    <w:bookmarkEnd w:id="208"/>
    <w:bookmarkEnd w:id="209"/>
    <w:bookmarkEnd w:id="210"/>
    <w:bookmarkEnd w:id="211"/>
    <w:bookmarkEnd w:id="212"/>
    <w:bookmarkEnd w:id="213"/>
    <w:bookmarkEnd w:id="214"/>
    <w:p>
      <w:pPr>
        <w:spacing w:line="288" w:lineRule="auto"/>
        <w:ind w:firstLine="422" w:firstLineChars="200"/>
        <w:outlineLvl w:val="0"/>
        <w:rPr>
          <w:rFonts w:ascii="宋体" w:hAnsi="宋体"/>
          <w:color w:val="auto"/>
          <w:szCs w:val="21"/>
          <w:highlight w:val="none"/>
        </w:rPr>
      </w:pPr>
      <w:bookmarkStart w:id="321" w:name="_Toc20002"/>
      <w:bookmarkStart w:id="322" w:name="_Toc13134"/>
      <w:r>
        <w:rPr>
          <w:rFonts w:ascii="宋体" w:hAnsi="宋体"/>
          <w:b/>
          <w:color w:val="auto"/>
          <w:szCs w:val="21"/>
          <w:highlight w:val="none"/>
        </w:rPr>
        <w:t>8</w:t>
      </w:r>
      <w:bookmarkStart w:id="323" w:name="_Toc296890995"/>
      <w:bookmarkStart w:id="324" w:name="_Toc296347166"/>
      <w:bookmarkStart w:id="325" w:name="_Toc297048353"/>
      <w:bookmarkStart w:id="326" w:name="_Toc300934979"/>
      <w:bookmarkStart w:id="327" w:name="_Toc292559372"/>
      <w:bookmarkStart w:id="328" w:name="_Toc312678019"/>
      <w:bookmarkStart w:id="329" w:name="_Toc297123527"/>
      <w:bookmarkStart w:id="330" w:name="_Toc296891207"/>
      <w:bookmarkStart w:id="331" w:name="_Toc304295556"/>
      <w:bookmarkStart w:id="332" w:name="_Toc296503167"/>
      <w:bookmarkStart w:id="333" w:name="_Toc303539136"/>
      <w:bookmarkStart w:id="334" w:name="_Toc280868654"/>
      <w:bookmarkStart w:id="335" w:name="_Toc296944506"/>
      <w:bookmarkStart w:id="336" w:name="_Toc292559877"/>
      <w:bookmarkStart w:id="337" w:name="_Toc312677493"/>
      <w:bookmarkStart w:id="338" w:name="_Toc297120467"/>
      <w:bookmarkStart w:id="339" w:name="_Toc297216186"/>
      <w:bookmarkStart w:id="340" w:name="_Toc296346668"/>
      <w:bookmarkStart w:id="341" w:name="_Toc280868655"/>
      <w:bookmarkStart w:id="342" w:name="_Toc280868656"/>
      <w:bookmarkStart w:id="343" w:name="_Toc267251424"/>
      <w:r>
        <w:rPr>
          <w:rFonts w:ascii="宋体" w:hAnsi="宋体"/>
          <w:b/>
          <w:color w:val="auto"/>
          <w:szCs w:val="21"/>
          <w:highlight w:val="none"/>
        </w:rPr>
        <w:t>.4</w:t>
      </w:r>
      <w:r>
        <w:rPr>
          <w:rFonts w:hint="eastAsia" w:ascii="宋体" w:hAnsi="宋体"/>
          <w:b/>
          <w:color w:val="auto"/>
          <w:szCs w:val="21"/>
          <w:highlight w:val="none"/>
        </w:rPr>
        <w:t xml:space="preserve">  </w:t>
      </w:r>
      <w:r>
        <w:rPr>
          <w:rFonts w:ascii="宋体" w:hAnsi="宋体"/>
          <w:color w:val="auto"/>
          <w:szCs w:val="21"/>
          <w:highlight w:val="none"/>
        </w:rPr>
        <w:t>材料与工程设备的保管与使用</w:t>
      </w:r>
      <w:bookmarkEnd w:id="321"/>
      <w:bookmarkEnd w:id="322"/>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8</w:t>
      </w:r>
      <w:bookmarkStart w:id="344" w:name="_Toc292559878"/>
      <w:bookmarkStart w:id="345" w:name="_Toc292559373"/>
      <w:bookmarkStart w:id="346" w:name="_Toc312677494"/>
      <w:bookmarkStart w:id="347" w:name="_Toc297123528"/>
      <w:bookmarkStart w:id="348" w:name="_Toc296944507"/>
      <w:bookmarkStart w:id="349" w:name="_Toc297120468"/>
      <w:bookmarkStart w:id="350" w:name="_Toc318581173"/>
      <w:bookmarkStart w:id="351" w:name="_Toc296347167"/>
      <w:bookmarkStart w:id="352" w:name="_Toc303539137"/>
      <w:bookmarkStart w:id="353" w:name="_Toc296891208"/>
      <w:bookmarkStart w:id="354" w:name="_Toc296346669"/>
      <w:bookmarkStart w:id="355" w:name="_Toc297216187"/>
      <w:bookmarkStart w:id="356" w:name="_Toc297048354"/>
      <w:bookmarkStart w:id="357" w:name="_Toc312678020"/>
      <w:bookmarkStart w:id="358" w:name="_Toc296890996"/>
      <w:bookmarkStart w:id="359" w:name="_Toc296503168"/>
      <w:bookmarkStart w:id="360" w:name="_Toc304295557"/>
      <w:bookmarkStart w:id="361" w:name="_Toc300934980"/>
      <w:r>
        <w:rPr>
          <w:rFonts w:ascii="宋体" w:hAnsi="宋体"/>
          <w:b/>
          <w:color w:val="auto"/>
          <w:szCs w:val="21"/>
          <w:highlight w:val="none"/>
        </w:rPr>
        <w:t>.4.1</w:t>
      </w:r>
      <w:r>
        <w:rPr>
          <w:rFonts w:hint="eastAsia" w:ascii="宋体" w:hAnsi="宋体"/>
          <w:b/>
          <w:color w:val="auto"/>
          <w:szCs w:val="21"/>
          <w:highlight w:val="none"/>
        </w:rPr>
        <w:t xml:space="preserve">  </w:t>
      </w:r>
      <w:r>
        <w:rPr>
          <w:rFonts w:ascii="宋体" w:hAnsi="宋体"/>
          <w:color w:val="auto"/>
          <w:szCs w:val="21"/>
          <w:highlight w:val="none"/>
        </w:rPr>
        <w:t>发包人供应的材料设备的保管费用的承担：</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bookmarkEnd w:id="344"/>
      <w:bookmarkEnd w:id="345"/>
    </w:p>
    <w:p>
      <w:pPr>
        <w:spacing w:line="288" w:lineRule="auto"/>
        <w:ind w:firstLine="422" w:firstLineChars="200"/>
        <w:outlineLvl w:val="0"/>
        <w:rPr>
          <w:rFonts w:ascii="宋体" w:hAnsi="宋体"/>
          <w:color w:val="auto"/>
          <w:szCs w:val="21"/>
          <w:highlight w:val="none"/>
        </w:rPr>
      </w:pPr>
      <w:bookmarkStart w:id="362" w:name="_Toc26936"/>
      <w:bookmarkStart w:id="363" w:name="_Toc13387"/>
      <w:r>
        <w:rPr>
          <w:rFonts w:ascii="宋体" w:hAnsi="宋体"/>
          <w:b/>
          <w:color w:val="auto"/>
          <w:szCs w:val="21"/>
          <w:highlight w:val="none"/>
        </w:rPr>
        <w:t xml:space="preserve">8.6 </w:t>
      </w:r>
      <w:r>
        <w:rPr>
          <w:rFonts w:hint="eastAsia" w:ascii="宋体" w:hAnsi="宋体"/>
          <w:b/>
          <w:color w:val="auto"/>
          <w:szCs w:val="21"/>
          <w:highlight w:val="none"/>
        </w:rPr>
        <w:t xml:space="preserve"> </w:t>
      </w:r>
      <w:r>
        <w:rPr>
          <w:rFonts w:ascii="宋体" w:hAnsi="宋体"/>
          <w:color w:val="auto"/>
          <w:szCs w:val="21"/>
          <w:highlight w:val="none"/>
        </w:rPr>
        <w:t>样品</w:t>
      </w:r>
      <w:bookmarkEnd w:id="362"/>
      <w:bookmarkEnd w:id="363"/>
    </w:p>
    <w:p>
      <w:pPr>
        <w:autoSpaceDE w:val="0"/>
        <w:autoSpaceDN w:val="0"/>
        <w:adjustRightInd w:val="0"/>
        <w:spacing w:line="288" w:lineRule="auto"/>
        <w:ind w:firstLine="422" w:firstLineChars="200"/>
        <w:jc w:val="left"/>
        <w:rPr>
          <w:rFonts w:ascii="宋体" w:hAnsi="宋体"/>
          <w:color w:val="auto"/>
          <w:kern w:val="0"/>
          <w:szCs w:val="21"/>
          <w:highlight w:val="none"/>
        </w:rPr>
      </w:pPr>
      <w:r>
        <w:rPr>
          <w:rFonts w:ascii="宋体" w:hAnsi="宋体"/>
          <w:b/>
          <w:color w:val="auto"/>
          <w:szCs w:val="21"/>
          <w:highlight w:val="none"/>
        </w:rPr>
        <w:t>8.6.1</w:t>
      </w:r>
      <w:r>
        <w:rPr>
          <w:rFonts w:hint="eastAsia" w:ascii="宋体" w:hAnsi="宋体"/>
          <w:color w:val="auto"/>
          <w:kern w:val="0"/>
          <w:szCs w:val="21"/>
          <w:highlight w:val="none"/>
        </w:rPr>
        <w:t xml:space="preserve">  </w:t>
      </w:r>
      <w:r>
        <w:rPr>
          <w:rFonts w:ascii="宋体" w:hAnsi="宋体"/>
          <w:color w:val="auto"/>
          <w:szCs w:val="21"/>
          <w:highlight w:val="none"/>
        </w:rPr>
        <w:t>样品的报送</w:t>
      </w:r>
      <w:r>
        <w:rPr>
          <w:rFonts w:hint="eastAsia" w:ascii="宋体" w:hAnsi="宋体"/>
          <w:color w:val="auto"/>
          <w:szCs w:val="21"/>
          <w:highlight w:val="none"/>
        </w:rPr>
        <w:t>与封存</w:t>
      </w:r>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需要承包人报送样品的材料或工程设备，样品的种类、名称、规格、数量要求：</w:t>
      </w:r>
      <w:r>
        <w:rPr>
          <w:rFonts w:hint="eastAsia" w:ascii="宋体" w:hAnsi="宋体"/>
          <w:bCs/>
          <w:color w:val="auto"/>
          <w:szCs w:val="21"/>
          <w:highlight w:val="none"/>
          <w:u w:val="single"/>
        </w:rPr>
        <w:t>按监理工程师和发包人的要求，费用有承包人承担</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364" w:name="_Toc15639"/>
      <w:bookmarkStart w:id="365" w:name="_Toc29395"/>
      <w:r>
        <w:rPr>
          <w:rFonts w:ascii="宋体" w:hAnsi="宋体"/>
          <w:b/>
          <w:color w:val="auto"/>
          <w:szCs w:val="21"/>
          <w:highlight w:val="none"/>
        </w:rPr>
        <w:t>8.8</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施工设备和临时设施</w:t>
      </w:r>
      <w:bookmarkEnd w:id="364"/>
      <w:bookmarkEnd w:id="365"/>
    </w:p>
    <w:p>
      <w:pPr>
        <w:autoSpaceDE w:val="0"/>
        <w:autoSpaceDN w:val="0"/>
        <w:adjustRightInd w:val="0"/>
        <w:spacing w:line="288" w:lineRule="auto"/>
        <w:ind w:firstLine="422" w:firstLineChars="200"/>
        <w:jc w:val="left"/>
        <w:outlineLvl w:val="0"/>
        <w:rPr>
          <w:rFonts w:ascii="宋体" w:hAnsi="宋体"/>
          <w:color w:val="auto"/>
          <w:szCs w:val="21"/>
          <w:highlight w:val="none"/>
        </w:rPr>
      </w:pPr>
      <w:bookmarkStart w:id="366" w:name="_Toc7008"/>
      <w:bookmarkStart w:id="367" w:name="_Toc15958"/>
      <w:r>
        <w:rPr>
          <w:rFonts w:ascii="宋体" w:hAnsi="宋体"/>
          <w:b/>
          <w:color w:val="auto"/>
          <w:szCs w:val="21"/>
          <w:highlight w:val="none"/>
        </w:rPr>
        <w:t>8.8.1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承包人提供的施工设备和临时设施</w:t>
      </w:r>
      <w:bookmarkEnd w:id="366"/>
      <w:bookmarkEnd w:id="367"/>
    </w:p>
    <w:p>
      <w:pPr>
        <w:autoSpaceDE w:val="0"/>
        <w:autoSpaceDN w:val="0"/>
        <w:adjustRightInd w:val="0"/>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关于修建临时设施费用承担的约定：</w:t>
      </w:r>
      <w:r>
        <w:rPr>
          <w:rFonts w:hint="eastAsia" w:ascii="宋体" w:hAnsi="宋体"/>
          <w:bCs/>
          <w:color w:val="auto"/>
          <w:szCs w:val="21"/>
          <w:highlight w:val="none"/>
          <w:u w:val="single"/>
        </w:rPr>
        <w:t>如在施工红线范围内搭设临时设施场地不够，需外借场地，由承包人自行借地，费用由承包人支付，发包人配合</w:t>
      </w:r>
      <w:r>
        <w:rPr>
          <w:rFonts w:ascii="宋体" w:hAnsi="宋体"/>
          <w:color w:val="auto"/>
          <w:szCs w:val="21"/>
          <w:highlight w:val="none"/>
        </w:rPr>
        <w:t>。</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Pr>
        <w:spacing w:line="288" w:lineRule="auto"/>
        <w:ind w:firstLine="422" w:firstLineChars="200"/>
        <w:outlineLvl w:val="0"/>
        <w:rPr>
          <w:rFonts w:ascii="宋体" w:hAnsi="宋体"/>
          <w:color w:val="auto"/>
          <w:szCs w:val="21"/>
          <w:highlight w:val="none"/>
        </w:rPr>
      </w:pPr>
      <w:bookmarkStart w:id="368" w:name="_Toc361220570"/>
      <w:bookmarkStart w:id="369" w:name="_Toc4029"/>
      <w:bookmarkStart w:id="370" w:name="_Toc27378"/>
      <w:r>
        <w:rPr>
          <w:rFonts w:ascii="宋体" w:hAnsi="宋体"/>
          <w:b/>
          <w:color w:val="auto"/>
          <w:szCs w:val="21"/>
          <w:highlight w:val="none"/>
        </w:rPr>
        <w:t>9</w:t>
      </w:r>
      <w:bookmarkEnd w:id="341"/>
      <w:bookmarkEnd w:id="342"/>
      <w:bookmarkEnd w:id="343"/>
      <w:bookmarkStart w:id="371" w:name="_Toc312677495"/>
      <w:bookmarkStart w:id="372" w:name="_Toc297216192"/>
      <w:bookmarkStart w:id="373" w:name="_Toc312678021"/>
      <w:bookmarkStart w:id="374" w:name="_Toc304295559"/>
      <w:bookmarkStart w:id="375" w:name="_Toc300934982"/>
      <w:bookmarkStart w:id="376" w:name="_Toc303539139"/>
      <w:bookmarkStart w:id="377" w:name="_Toc297123533"/>
      <w:bookmarkStart w:id="378" w:name="_Toc267251427"/>
      <w:bookmarkStart w:id="379" w:name="_Toc296347172"/>
      <w:bookmarkStart w:id="380" w:name="_Toc296891213"/>
      <w:bookmarkStart w:id="381" w:name="_Toc296944512"/>
      <w:bookmarkStart w:id="382" w:name="_Toc292559378"/>
      <w:bookmarkStart w:id="383" w:name="_Toc296503173"/>
      <w:bookmarkStart w:id="384" w:name="_Toc296346674"/>
      <w:bookmarkStart w:id="385" w:name="_Toc297048359"/>
      <w:bookmarkStart w:id="386" w:name="_Toc296891001"/>
      <w:bookmarkStart w:id="387" w:name="_Toc267251428"/>
      <w:bookmarkStart w:id="388" w:name="_Toc292559883"/>
      <w:bookmarkStart w:id="389" w:name="_Toc297120473"/>
      <w:r>
        <w:rPr>
          <w:rFonts w:hint="eastAsia" w:ascii="宋体" w:hAnsi="宋体"/>
          <w:b/>
          <w:color w:val="auto"/>
          <w:szCs w:val="21"/>
          <w:highlight w:val="none"/>
        </w:rPr>
        <w:t xml:space="preserve">  </w:t>
      </w:r>
      <w:r>
        <w:rPr>
          <w:rFonts w:ascii="宋体" w:hAnsi="宋体"/>
          <w:color w:val="auto"/>
          <w:szCs w:val="21"/>
          <w:highlight w:val="none"/>
        </w:rPr>
        <w:t>试验与检验</w:t>
      </w:r>
      <w:bookmarkEnd w:id="368"/>
      <w:bookmarkEnd w:id="369"/>
      <w:bookmarkEnd w:id="370"/>
    </w:p>
    <w:bookmarkEnd w:id="371"/>
    <w:bookmarkEnd w:id="372"/>
    <w:bookmarkEnd w:id="373"/>
    <w:bookmarkEnd w:id="374"/>
    <w:bookmarkEnd w:id="375"/>
    <w:bookmarkEnd w:id="376"/>
    <w:bookmarkEnd w:id="377"/>
    <w:p>
      <w:pPr>
        <w:spacing w:line="288" w:lineRule="auto"/>
        <w:ind w:firstLine="422" w:firstLineChars="200"/>
        <w:outlineLvl w:val="0"/>
        <w:rPr>
          <w:rFonts w:ascii="宋体" w:hAnsi="宋体"/>
          <w:color w:val="auto"/>
          <w:szCs w:val="21"/>
          <w:highlight w:val="none"/>
        </w:rPr>
      </w:pPr>
      <w:bookmarkStart w:id="390" w:name="_Toc8005"/>
      <w:bookmarkStart w:id="391" w:name="_Toc22856"/>
      <w:r>
        <w:rPr>
          <w:rFonts w:ascii="宋体" w:hAnsi="宋体"/>
          <w:b/>
          <w:color w:val="auto"/>
          <w:szCs w:val="21"/>
          <w:highlight w:val="none"/>
        </w:rPr>
        <w:t>9</w:t>
      </w:r>
      <w:bookmarkStart w:id="392" w:name="_Toc303539140"/>
      <w:bookmarkStart w:id="393" w:name="_Toc312677496"/>
      <w:bookmarkStart w:id="394" w:name="_Toc300934983"/>
      <w:bookmarkStart w:id="395" w:name="_Toc304295560"/>
      <w:bookmarkStart w:id="396" w:name="_Toc297216193"/>
      <w:bookmarkStart w:id="397" w:name="_Toc312678022"/>
      <w:bookmarkStart w:id="398" w:name="_Toc297123534"/>
      <w:r>
        <w:rPr>
          <w:rFonts w:ascii="宋体" w:hAnsi="宋体"/>
          <w:b/>
          <w:color w:val="auto"/>
          <w:szCs w:val="21"/>
          <w:highlight w:val="none"/>
        </w:rPr>
        <w:t>.1</w:t>
      </w:r>
      <w:r>
        <w:rPr>
          <w:rFonts w:hint="eastAsia" w:ascii="宋体" w:hAnsi="宋体"/>
          <w:b/>
          <w:color w:val="auto"/>
          <w:szCs w:val="21"/>
          <w:highlight w:val="none"/>
        </w:rPr>
        <w:t xml:space="preserve">  </w:t>
      </w:r>
      <w:r>
        <w:rPr>
          <w:rFonts w:ascii="宋体" w:hAnsi="宋体"/>
          <w:color w:val="auto"/>
          <w:szCs w:val="21"/>
          <w:highlight w:val="none"/>
        </w:rPr>
        <w:t>试验设备与试验人员</w:t>
      </w:r>
      <w:bookmarkEnd w:id="390"/>
      <w:bookmarkEnd w:id="391"/>
    </w:p>
    <w:bookmarkEnd w:id="392"/>
    <w:bookmarkEnd w:id="393"/>
    <w:bookmarkEnd w:id="394"/>
    <w:bookmarkEnd w:id="395"/>
    <w:bookmarkEnd w:id="396"/>
    <w:bookmarkEnd w:id="397"/>
    <w:bookmarkEnd w:id="398"/>
    <w:p>
      <w:pPr>
        <w:spacing w:line="288" w:lineRule="auto"/>
        <w:ind w:firstLine="422" w:firstLineChars="200"/>
        <w:jc w:val="left"/>
        <w:outlineLvl w:val="0"/>
        <w:rPr>
          <w:rFonts w:ascii="宋体" w:hAnsi="宋体"/>
          <w:color w:val="auto"/>
          <w:szCs w:val="21"/>
          <w:highlight w:val="none"/>
        </w:rPr>
      </w:pPr>
      <w:bookmarkStart w:id="399" w:name="_Toc12876"/>
      <w:bookmarkStart w:id="400" w:name="_Toc30384"/>
      <w:r>
        <w:rPr>
          <w:rFonts w:ascii="宋体" w:hAnsi="宋体"/>
          <w:b/>
          <w:color w:val="auto"/>
          <w:szCs w:val="21"/>
          <w:highlight w:val="none"/>
        </w:rPr>
        <w:t>9</w:t>
      </w:r>
      <w:bookmarkStart w:id="401" w:name="_Toc297123535"/>
      <w:bookmarkStart w:id="402" w:name="_Toc304295561"/>
      <w:bookmarkStart w:id="403" w:name="_Toc297216194"/>
      <w:bookmarkStart w:id="404" w:name="_Toc300934984"/>
      <w:bookmarkStart w:id="405" w:name="_Toc312678023"/>
      <w:bookmarkStart w:id="406" w:name="_Toc312677497"/>
      <w:bookmarkStart w:id="407" w:name="_Toc303539141"/>
      <w:bookmarkStart w:id="408" w:name="_Toc318581174"/>
      <w:r>
        <w:rPr>
          <w:rFonts w:ascii="宋体" w:hAnsi="宋体"/>
          <w:b/>
          <w:color w:val="auto"/>
          <w:szCs w:val="21"/>
          <w:highlight w:val="none"/>
        </w:rPr>
        <w:t>.1.2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试验设备</w:t>
      </w:r>
      <w:bookmarkEnd w:id="399"/>
      <w:bookmarkEnd w:id="400"/>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施工现场需要配置的试验场所：</w:t>
      </w:r>
      <w:bookmarkEnd w:id="401"/>
      <w:bookmarkEnd w:id="402"/>
      <w:bookmarkEnd w:id="403"/>
      <w:bookmarkEnd w:id="404"/>
      <w:bookmarkEnd w:id="405"/>
      <w:bookmarkEnd w:id="406"/>
      <w:bookmarkEnd w:id="407"/>
      <w:bookmarkStart w:id="409" w:name="_Toc297123536"/>
      <w:bookmarkStart w:id="410" w:name="_Toc300934985"/>
      <w:bookmarkStart w:id="411" w:name="_Toc312677498"/>
      <w:bookmarkStart w:id="412" w:name="_Toc304295562"/>
      <w:bookmarkStart w:id="413" w:name="_Toc297216195"/>
      <w:bookmarkStart w:id="414" w:name="_Toc303539142"/>
      <w:bookmarkStart w:id="415" w:name="_Toc312678024"/>
      <w:r>
        <w:rPr>
          <w:rFonts w:hint="eastAsia" w:ascii="宋体" w:hAnsi="宋体"/>
          <w:bCs/>
          <w:color w:val="auto"/>
          <w:szCs w:val="21"/>
          <w:highlight w:val="none"/>
          <w:u w:val="single"/>
        </w:rPr>
        <w:t>按有关规定</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施工现场需要配备的试验设备：</w:t>
      </w:r>
      <w:r>
        <w:rPr>
          <w:rFonts w:hint="eastAsia" w:ascii="宋体" w:hAnsi="宋体"/>
          <w:bCs/>
          <w:color w:val="auto"/>
          <w:szCs w:val="21"/>
          <w:highlight w:val="none"/>
          <w:u w:val="single"/>
        </w:rPr>
        <w:t>按有关规定</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施工现场需要具备的其他试验条件：</w:t>
      </w:r>
      <w:r>
        <w:rPr>
          <w:rFonts w:hint="eastAsia" w:ascii="宋体" w:hAnsi="宋体"/>
          <w:bCs/>
          <w:color w:val="auto"/>
          <w:szCs w:val="21"/>
          <w:highlight w:val="none"/>
          <w:u w:val="single"/>
        </w:rPr>
        <w:t>按有关规定</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3材料、工程设备和工程的试验和检验</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试验、检测单位资质条件约定：</w:t>
      </w:r>
      <w:r>
        <w:rPr>
          <w:rFonts w:hint="eastAsia" w:ascii="宋体" w:hAnsi="宋体"/>
          <w:b/>
          <w:bCs/>
          <w:color w:val="auto"/>
          <w:szCs w:val="21"/>
          <w:highlight w:val="none"/>
          <w:u w:val="single"/>
        </w:rPr>
        <w:t>按有关规定</w:t>
      </w:r>
      <w:r>
        <w:rPr>
          <w:rFonts w:hint="eastAsia" w:ascii="宋体" w:hAnsi="宋体"/>
          <w:b/>
          <w:color w:val="auto"/>
          <w:szCs w:val="21"/>
          <w:highlight w:val="none"/>
          <w:u w:val="single"/>
        </w:rPr>
        <w:t>；</w:t>
      </w:r>
      <w:r>
        <w:rPr>
          <w:rFonts w:hint="eastAsia" w:ascii="宋体" w:hAnsi="宋体"/>
          <w:color w:val="auto"/>
          <w:szCs w:val="21"/>
          <w:highlight w:val="none"/>
        </w:rPr>
        <w:t xml:space="preserve"> </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试验、检测单位选择约定：</w:t>
      </w:r>
      <w:r>
        <w:rPr>
          <w:rFonts w:hint="eastAsia" w:ascii="宋体" w:hAnsi="宋体"/>
          <w:b/>
          <w:bCs/>
          <w:color w:val="auto"/>
          <w:szCs w:val="21"/>
          <w:highlight w:val="none"/>
          <w:u w:val="single"/>
        </w:rPr>
        <w:t>按有关规定</w:t>
      </w:r>
      <w:r>
        <w:rPr>
          <w:rFonts w:hint="eastAsia" w:ascii="宋体" w:hAnsi="宋体"/>
          <w:b/>
          <w:color w:val="auto"/>
          <w:szCs w:val="21"/>
          <w:highlight w:val="none"/>
          <w:u w:val="single"/>
        </w:rPr>
        <w:t>；</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试验、检测费用约定：</w:t>
      </w:r>
      <w:r>
        <w:rPr>
          <w:rFonts w:hint="eastAsia" w:ascii="宋体" w:hAnsi="宋体"/>
          <w:b/>
          <w:bCs/>
          <w:color w:val="auto"/>
          <w:szCs w:val="21"/>
          <w:highlight w:val="none"/>
          <w:u w:val="single"/>
        </w:rPr>
        <w:t>按采购文件要求</w:t>
      </w:r>
      <w:r>
        <w:rPr>
          <w:rFonts w:hint="eastAsia" w:ascii="宋体" w:hAnsi="宋体"/>
          <w:b/>
          <w:color w:val="auto"/>
          <w:szCs w:val="21"/>
          <w:highlight w:val="none"/>
          <w:u w:val="single"/>
        </w:rPr>
        <w:t>。</w:t>
      </w:r>
    </w:p>
    <w:p>
      <w:pPr>
        <w:spacing w:line="288" w:lineRule="auto"/>
        <w:ind w:firstLine="422" w:firstLineChars="200"/>
        <w:rPr>
          <w:rFonts w:ascii="宋体" w:hAnsi="宋体"/>
          <w:color w:val="auto"/>
          <w:szCs w:val="21"/>
          <w:highlight w:val="none"/>
        </w:rPr>
      </w:pPr>
      <w:r>
        <w:rPr>
          <w:rFonts w:ascii="宋体" w:hAnsi="宋体"/>
          <w:b/>
          <w:color w:val="auto"/>
          <w:szCs w:val="21"/>
          <w:highlight w:val="none"/>
        </w:rPr>
        <w:t xml:space="preserve">9.4 </w:t>
      </w:r>
      <w:r>
        <w:rPr>
          <w:rFonts w:hint="eastAsia" w:ascii="宋体" w:hAnsi="宋体"/>
          <w:b/>
          <w:color w:val="auto"/>
          <w:szCs w:val="21"/>
          <w:highlight w:val="none"/>
        </w:rPr>
        <w:t xml:space="preserve"> </w:t>
      </w:r>
      <w:r>
        <w:rPr>
          <w:rFonts w:ascii="宋体" w:hAnsi="宋体"/>
          <w:color w:val="auto"/>
          <w:szCs w:val="21"/>
          <w:highlight w:val="none"/>
        </w:rPr>
        <w:t>现场工艺试验</w:t>
      </w:r>
      <w:r>
        <w:rPr>
          <w:rFonts w:hint="eastAsia" w:ascii="宋体" w:hAnsi="宋体"/>
          <w:color w:val="auto"/>
          <w:szCs w:val="21"/>
          <w:highlight w:val="none"/>
        </w:rPr>
        <w:t xml:space="preserve"> </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现场工艺试验的有关约定：</w:t>
      </w:r>
      <w:r>
        <w:rPr>
          <w:rFonts w:hint="eastAsia" w:ascii="宋体" w:hAnsi="宋体"/>
          <w:b/>
          <w:bCs/>
          <w:color w:val="auto"/>
          <w:szCs w:val="21"/>
          <w:highlight w:val="none"/>
          <w:u w:val="single"/>
        </w:rPr>
        <w:t>按有关规定</w:t>
      </w:r>
      <w:r>
        <w:rPr>
          <w:rFonts w:ascii="宋体" w:hAnsi="宋体"/>
          <w:color w:val="auto"/>
          <w:szCs w:val="21"/>
          <w:highlight w:val="none"/>
        </w:rPr>
        <w:t>。</w:t>
      </w:r>
      <w:bookmarkEnd w:id="408"/>
      <w:bookmarkEnd w:id="409"/>
      <w:bookmarkEnd w:id="410"/>
      <w:bookmarkEnd w:id="411"/>
      <w:bookmarkEnd w:id="412"/>
      <w:bookmarkEnd w:id="413"/>
      <w:bookmarkEnd w:id="414"/>
      <w:bookmarkEnd w:id="415"/>
      <w:bookmarkStart w:id="416" w:name="_Toc361220571"/>
    </w:p>
    <w:p>
      <w:pPr>
        <w:spacing w:line="288" w:lineRule="auto"/>
        <w:ind w:firstLine="422" w:firstLineChars="200"/>
        <w:outlineLvl w:val="0"/>
        <w:rPr>
          <w:rFonts w:ascii="宋体" w:hAnsi="宋体"/>
          <w:color w:val="auto"/>
          <w:szCs w:val="21"/>
          <w:highlight w:val="none"/>
        </w:rPr>
      </w:pPr>
      <w:bookmarkStart w:id="417" w:name="_Toc9871"/>
      <w:bookmarkStart w:id="418" w:name="_Toc3554"/>
      <w:r>
        <w:rPr>
          <w:rFonts w:ascii="宋体" w:hAnsi="宋体"/>
          <w:b/>
          <w:color w:val="auto"/>
          <w:szCs w:val="21"/>
          <w:highlight w:val="none"/>
        </w:rPr>
        <w:t>1</w:t>
      </w:r>
      <w:bookmarkEnd w:id="378"/>
      <w:bookmarkEnd w:id="379"/>
      <w:bookmarkEnd w:id="380"/>
      <w:bookmarkEnd w:id="381"/>
      <w:bookmarkEnd w:id="382"/>
      <w:bookmarkEnd w:id="383"/>
      <w:bookmarkEnd w:id="384"/>
      <w:bookmarkEnd w:id="385"/>
      <w:bookmarkEnd w:id="386"/>
      <w:bookmarkEnd w:id="387"/>
      <w:bookmarkEnd w:id="388"/>
      <w:bookmarkEnd w:id="389"/>
      <w:bookmarkStart w:id="419" w:name="_Toc296347192"/>
      <w:bookmarkStart w:id="420" w:name="_Toc303539146"/>
      <w:bookmarkStart w:id="421" w:name="_Toc297216199"/>
      <w:bookmarkStart w:id="422" w:name="_Toc296503193"/>
      <w:bookmarkStart w:id="423" w:name="_Toc296944532"/>
      <w:bookmarkStart w:id="424" w:name="_Toc297048379"/>
      <w:bookmarkStart w:id="425" w:name="_Toc304295566"/>
      <w:bookmarkStart w:id="426" w:name="_Toc312678025"/>
      <w:bookmarkStart w:id="427" w:name="_Toc297120493"/>
      <w:bookmarkStart w:id="428" w:name="_Toc296346694"/>
      <w:bookmarkStart w:id="429" w:name="_Toc312677499"/>
      <w:bookmarkStart w:id="430" w:name="_Toc292559903"/>
      <w:bookmarkStart w:id="431" w:name="_Toc296891021"/>
      <w:bookmarkStart w:id="432" w:name="_Toc297123540"/>
      <w:bookmarkStart w:id="433" w:name="_Toc300934989"/>
      <w:bookmarkStart w:id="434" w:name="_Toc296891233"/>
      <w:bookmarkStart w:id="435" w:name="_Toc292559398"/>
      <w:bookmarkStart w:id="436" w:name="_Toc267251440"/>
      <w:bookmarkStart w:id="437" w:name="_Toc267251435"/>
      <w:bookmarkStart w:id="438" w:name="_Toc267251437"/>
      <w:bookmarkStart w:id="439" w:name="_Toc267251441"/>
      <w:bookmarkStart w:id="440" w:name="_Toc267251439"/>
      <w:bookmarkStart w:id="441" w:name="_Toc267251433"/>
      <w:bookmarkStart w:id="442" w:name="_Toc267251442"/>
      <w:r>
        <w:rPr>
          <w:rFonts w:ascii="宋体" w:hAnsi="宋体"/>
          <w:b/>
          <w:color w:val="auto"/>
          <w:szCs w:val="21"/>
          <w:highlight w:val="none"/>
        </w:rPr>
        <w:t>0</w:t>
      </w:r>
      <w:r>
        <w:rPr>
          <w:rFonts w:hint="eastAsia" w:ascii="宋体" w:hAnsi="宋体"/>
          <w:color w:val="auto"/>
          <w:szCs w:val="21"/>
          <w:highlight w:val="none"/>
        </w:rPr>
        <w:t xml:space="preserve">  </w:t>
      </w:r>
      <w:r>
        <w:rPr>
          <w:rFonts w:ascii="宋体" w:hAnsi="宋体"/>
          <w:color w:val="auto"/>
          <w:szCs w:val="21"/>
          <w:highlight w:val="none"/>
        </w:rPr>
        <w:t>变更</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288" w:lineRule="auto"/>
        <w:ind w:firstLine="422" w:firstLineChars="200"/>
        <w:outlineLvl w:val="0"/>
        <w:rPr>
          <w:rFonts w:ascii="宋体" w:hAnsi="宋体"/>
          <w:color w:val="auto"/>
          <w:szCs w:val="21"/>
          <w:highlight w:val="none"/>
        </w:rPr>
      </w:pPr>
      <w:bookmarkStart w:id="443" w:name="_Toc3854"/>
      <w:bookmarkStart w:id="444" w:name="_Toc23577"/>
      <w:r>
        <w:rPr>
          <w:rFonts w:ascii="宋体" w:hAnsi="宋体"/>
          <w:b/>
          <w:color w:val="auto"/>
          <w:szCs w:val="21"/>
          <w:highlight w:val="none"/>
        </w:rPr>
        <w:t>1</w:t>
      </w:r>
      <w:bookmarkStart w:id="445" w:name="_Toc296346695"/>
      <w:bookmarkStart w:id="446" w:name="_Toc297216200"/>
      <w:bookmarkStart w:id="447" w:name="_Toc292559399"/>
      <w:bookmarkStart w:id="448" w:name="_Toc304295567"/>
      <w:bookmarkStart w:id="449" w:name="_Toc303539147"/>
      <w:bookmarkStart w:id="450" w:name="_Toc312678026"/>
      <w:bookmarkStart w:id="451" w:name="_Toc297123541"/>
      <w:bookmarkStart w:id="452" w:name="_Toc312677500"/>
      <w:bookmarkStart w:id="453" w:name="_Toc296891022"/>
      <w:bookmarkStart w:id="454" w:name="_Toc296891234"/>
      <w:bookmarkStart w:id="455" w:name="_Toc296347193"/>
      <w:bookmarkStart w:id="456" w:name="_Toc296944533"/>
      <w:bookmarkStart w:id="457" w:name="_Toc296503194"/>
      <w:bookmarkStart w:id="458" w:name="_Toc292559904"/>
      <w:bookmarkStart w:id="459" w:name="_Toc300934990"/>
      <w:bookmarkStart w:id="460" w:name="_Toc297048380"/>
      <w:bookmarkStart w:id="461" w:name="_Toc297120494"/>
      <w:r>
        <w:rPr>
          <w:rFonts w:ascii="宋体" w:hAnsi="宋体"/>
          <w:b/>
          <w:color w:val="auto"/>
          <w:szCs w:val="21"/>
          <w:highlight w:val="none"/>
        </w:rPr>
        <w:t>0.1</w:t>
      </w:r>
      <w:r>
        <w:rPr>
          <w:rFonts w:hint="eastAsia" w:ascii="宋体" w:hAnsi="宋体"/>
          <w:b/>
          <w:color w:val="auto"/>
          <w:szCs w:val="21"/>
          <w:highlight w:val="none"/>
        </w:rPr>
        <w:t xml:space="preserve">  </w:t>
      </w:r>
      <w:r>
        <w:rPr>
          <w:rFonts w:ascii="宋体" w:hAnsi="宋体"/>
          <w:color w:val="auto"/>
          <w:szCs w:val="21"/>
          <w:highlight w:val="none"/>
        </w:rPr>
        <w:t>变更的范围</w:t>
      </w:r>
      <w:bookmarkEnd w:id="443"/>
      <w:bookmarkEnd w:id="444"/>
    </w:p>
    <w:p>
      <w:pPr>
        <w:snapToGrid w:val="0"/>
        <w:spacing w:line="288" w:lineRule="auto"/>
        <w:ind w:firstLine="420" w:firstLineChars="200"/>
        <w:rPr>
          <w:rFonts w:cs="仿宋_GB2312" w:asciiTheme="minorEastAsia" w:hAnsiTheme="minorEastAsia" w:eastAsiaTheme="minorEastAsia"/>
          <w:b/>
          <w:bCs/>
          <w:color w:val="auto"/>
          <w:szCs w:val="21"/>
          <w:highlight w:val="none"/>
          <w:u w:val="single"/>
        </w:rPr>
      </w:pPr>
      <w:r>
        <w:rPr>
          <w:rFonts w:ascii="宋体" w:hAnsi="宋体"/>
          <w:color w:val="auto"/>
          <w:szCs w:val="21"/>
          <w:highlight w:val="none"/>
        </w:rPr>
        <w:t>关于变更的范围的约定：</w:t>
      </w:r>
      <w:r>
        <w:rPr>
          <w:rFonts w:hint="eastAsia" w:cs="仿宋_GB2312" w:asciiTheme="minorEastAsia" w:hAnsiTheme="minorEastAsia" w:eastAsiaTheme="minorEastAsia"/>
          <w:b/>
          <w:bCs/>
          <w:color w:val="auto"/>
          <w:szCs w:val="21"/>
          <w:highlight w:val="none"/>
          <w:u w:val="single"/>
        </w:rPr>
        <w:t>1、施工中发包人需对原工程设计变更，应提前</w:t>
      </w:r>
      <w:r>
        <w:rPr>
          <w:rFonts w:cs="仿宋_GB2312" w:asciiTheme="minorEastAsia" w:hAnsiTheme="minorEastAsia" w:eastAsiaTheme="minorEastAsia"/>
          <w:b/>
          <w:bCs/>
          <w:color w:val="auto"/>
          <w:szCs w:val="21"/>
          <w:highlight w:val="none"/>
          <w:u w:val="single"/>
        </w:rPr>
        <w:t>3</w:t>
      </w:r>
      <w:r>
        <w:rPr>
          <w:rFonts w:hint="eastAsia" w:cs="仿宋_GB2312" w:asciiTheme="minorEastAsia" w:hAnsiTheme="minorEastAsia" w:eastAsiaTheme="minorEastAsia"/>
          <w:b/>
          <w:bCs/>
          <w:color w:val="auto"/>
          <w:szCs w:val="21"/>
          <w:highlight w:val="none"/>
          <w:u w:val="single"/>
        </w:rPr>
        <w:t>天以书面形式向承包人发出变更通知，并提供变更的相应图纸和说明。承包人按照发包人发出的变更通知及有关要求进行变更。2、施工中承包人不得对原工程设计进行变更。因承包人擅自变更设计发生的费用和由此导致发包人的直接损失，由承包人承担，延误的工期不予顺延。3、承包人在施工中提出的合理化建议涉及到对设计图纸或施工组织设计的更改及对材料、设备的换用，须经发包同意。未经同意擅自更改或换用时，承包人承担由此发生的费用，并赔偿发包人的有关损失，延误的工期不予顺延。发包人同意采用承包人合理化建议，所发生的费用和获得的收益，发包人承包人另行约定分担或分享。</w:t>
      </w:r>
    </w:p>
    <w:p>
      <w:pPr>
        <w:spacing w:line="288" w:lineRule="auto"/>
        <w:ind w:firstLine="422" w:firstLineChars="200"/>
        <w:rPr>
          <w:rFonts w:ascii="宋体" w:hAnsi="宋体" w:cs="宋体"/>
          <w:b/>
          <w:color w:val="auto"/>
          <w:szCs w:val="21"/>
          <w:highlight w:val="none"/>
        </w:rPr>
      </w:pPr>
      <w:r>
        <w:rPr>
          <w:rFonts w:ascii="宋体" w:hAnsi="宋体"/>
          <w:b/>
          <w:color w:val="auto"/>
          <w:szCs w:val="21"/>
          <w:highlight w:val="none"/>
        </w:rPr>
        <w:t>10.</w:t>
      </w:r>
      <w:r>
        <w:rPr>
          <w:rFonts w:hint="eastAsia" w:ascii="宋体" w:hAnsi="宋体"/>
          <w:b/>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变更估价</w:t>
      </w:r>
    </w:p>
    <w:p>
      <w:pPr>
        <w:spacing w:line="288" w:lineRule="auto"/>
        <w:ind w:firstLine="422" w:firstLineChars="200"/>
        <w:jc w:val="left"/>
        <w:rPr>
          <w:rFonts w:ascii="宋体" w:hAnsi="宋体"/>
          <w:color w:val="auto"/>
          <w:szCs w:val="21"/>
          <w:highlight w:val="none"/>
        </w:rPr>
      </w:pPr>
      <w:r>
        <w:rPr>
          <w:rFonts w:hint="eastAsia" w:ascii="宋体" w:hAnsi="宋体"/>
          <w:b/>
          <w:color w:val="auto"/>
          <w:szCs w:val="21"/>
          <w:highlight w:val="none"/>
        </w:rPr>
        <w:t>10.4.1</w:t>
      </w:r>
      <w:r>
        <w:rPr>
          <w:rFonts w:hint="eastAsia" w:ascii="宋体" w:hAnsi="宋体"/>
          <w:color w:val="auto"/>
          <w:szCs w:val="21"/>
          <w:highlight w:val="none"/>
        </w:rPr>
        <w:t xml:space="preserve">  变更估价原则</w:t>
      </w:r>
      <w:r>
        <w:rPr>
          <w:rFonts w:ascii="宋体" w:hAnsi="宋体"/>
          <w:b/>
          <w:color w:val="auto"/>
          <w:szCs w:val="21"/>
          <w:highlight w:val="none"/>
        </w:rPr>
        <w:tab/>
      </w:r>
    </w:p>
    <w:p>
      <w:pPr>
        <w:autoSpaceDE w:val="0"/>
        <w:autoSpaceDN w:val="0"/>
        <w:adjustRightInd w:val="0"/>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（1）已标价工程量清单或预算书有相同项目的，按照相同项目单价确定。</w:t>
      </w:r>
    </w:p>
    <w:p>
      <w:pPr>
        <w:autoSpaceDE w:val="0"/>
        <w:autoSpaceDN w:val="0"/>
        <w:adjustRightInd w:val="0"/>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2）已标价工程量清单或预算书中无相同项目，但有类似项目的，参照类似项目的单价确定。已标价工程量或参照类似项目单价的，如报价明显高于市场信息价的，则应不高于市场信息价进行签证或按以下第（3）条执行。</w:t>
      </w:r>
    </w:p>
    <w:p>
      <w:pPr>
        <w:autoSpaceDE w:val="0"/>
        <w:autoSpaceDN w:val="0"/>
        <w:adjustRightInd w:val="0"/>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3）已标价工程量清单或预算书中无相同项目及类似项目单价的，其单价的确定，按以下约定：消耗量按《浙江省建设工程预算定额》（2018版），机械台班和辅材单价按浙江省2018版基期价格计算，人工工日单价按对应的中标单价（即一类工   元/工日、二类工   元/工日、三类工   元/工日计算），主要材料投标书中有报价的或采购文件中有约定的按投标价或约定的价格执行，没有的材料价格按甲方签证价执行， 取费标准按投标报价相同的费率水平。</w:t>
      </w:r>
    </w:p>
    <w:p>
      <w:pPr>
        <w:snapToGrid w:val="0"/>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若投标报价中的综合单价与综合单价分析表中的价格不符，以综合单价为准；综合单价分析表中的材料价格与主要材料汇总表中的价格不符时以综合单价分析表中的材料价格为准。</w:t>
      </w:r>
    </w:p>
    <w:p>
      <w:pPr>
        <w:snapToGrid w:val="0"/>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 xml:space="preserve">若变更的项目确实不适用于2018版预算定额计价的，双方另行协商确定。 </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r>
        <w:rPr>
          <w:rFonts w:ascii="宋体" w:hAnsi="宋体"/>
          <w:b/>
          <w:color w:val="auto"/>
          <w:szCs w:val="21"/>
          <w:highlight w:val="none"/>
          <w:u w:val="single"/>
        </w:rPr>
        <w:t>按前述“（3）已标价工程量清单或预算书中无相同项目及类似项目单价的约定条款”执行或双方协商确定</w:t>
      </w:r>
      <w:r>
        <w:rPr>
          <w:rFonts w:hint="eastAsia" w:ascii="宋体" w:hAnsi="宋体"/>
          <w:b/>
          <w:color w:val="auto"/>
          <w:szCs w:val="21"/>
          <w:highlight w:val="none"/>
          <w:u w:val="single"/>
        </w:rPr>
        <w:t xml:space="preserve">。 </w:t>
      </w:r>
    </w:p>
    <w:p>
      <w:pPr>
        <w:autoSpaceDE w:val="0"/>
        <w:autoSpaceDN w:val="0"/>
        <w:adjustRightInd w:val="0"/>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（5）清单描述以图纸为依据，清单描述如有不详之处，以图纸为准，项目各分项工程均含材料价及安装</w:t>
      </w:r>
      <w:r>
        <w:rPr>
          <w:rFonts w:hint="eastAsia" w:ascii="宋体" w:hAnsi="宋体"/>
          <w:b/>
          <w:color w:val="auto"/>
          <w:szCs w:val="21"/>
          <w:highlight w:val="none"/>
          <w:u w:val="single"/>
          <w:lang w:val="en-US" w:eastAsia="zh-CN"/>
        </w:rPr>
        <w:t>调试</w:t>
      </w:r>
      <w:r>
        <w:rPr>
          <w:rFonts w:hint="eastAsia" w:ascii="宋体" w:hAnsi="宋体"/>
          <w:b/>
          <w:color w:val="auto"/>
          <w:szCs w:val="21"/>
          <w:highlight w:val="none"/>
          <w:u w:val="single"/>
        </w:rPr>
        <w:t>等费用，为成品交付。</w:t>
      </w:r>
    </w:p>
    <w:p>
      <w:pPr>
        <w:autoSpaceDE w:val="0"/>
        <w:autoSpaceDN w:val="0"/>
        <w:adjustRightInd w:val="0"/>
        <w:spacing w:line="288" w:lineRule="auto"/>
        <w:ind w:firstLine="422" w:firstLineChars="200"/>
        <w:jc w:val="left"/>
        <w:rPr>
          <w:rFonts w:eastAsiaTheme="minorEastAsia"/>
          <w:b/>
          <w:color w:val="auto"/>
          <w:szCs w:val="21"/>
          <w:highlight w:val="none"/>
          <w:u w:val="single"/>
        </w:rPr>
      </w:pPr>
      <w:r>
        <w:rPr>
          <w:rFonts w:eastAsiaTheme="minorEastAsia"/>
          <w:b/>
          <w:color w:val="auto"/>
          <w:szCs w:val="21"/>
          <w:highlight w:val="none"/>
          <w:u w:val="single"/>
        </w:rPr>
        <w:t>（</w:t>
      </w:r>
      <w:r>
        <w:rPr>
          <w:rFonts w:hint="eastAsia" w:eastAsiaTheme="minorEastAsia"/>
          <w:b/>
          <w:color w:val="auto"/>
          <w:szCs w:val="21"/>
          <w:highlight w:val="none"/>
          <w:u w:val="single"/>
          <w:lang w:val="en-US" w:eastAsia="zh-CN"/>
        </w:rPr>
        <w:t>6</w:t>
      </w:r>
      <w:r>
        <w:rPr>
          <w:rFonts w:eastAsiaTheme="minorEastAsia"/>
          <w:b/>
          <w:color w:val="auto"/>
          <w:szCs w:val="21"/>
          <w:highlight w:val="none"/>
          <w:u w:val="single"/>
        </w:rPr>
        <w:t>）本项目采用竞争性磋商方式招标，初次报价</w:t>
      </w:r>
      <w:r>
        <w:rPr>
          <w:rFonts w:hint="eastAsia" w:eastAsiaTheme="minorEastAsia"/>
          <w:b/>
          <w:color w:val="auto"/>
          <w:szCs w:val="21"/>
          <w:highlight w:val="none"/>
          <w:u w:val="single"/>
        </w:rPr>
        <w:t xml:space="preserve">     </w:t>
      </w:r>
      <w:r>
        <w:rPr>
          <w:rFonts w:eastAsiaTheme="minorEastAsia"/>
          <w:b/>
          <w:color w:val="auto"/>
          <w:szCs w:val="21"/>
          <w:highlight w:val="none"/>
          <w:u w:val="single"/>
        </w:rPr>
        <w:t>元（大写：</w:t>
      </w:r>
      <w:r>
        <w:rPr>
          <w:rFonts w:hint="eastAsia" w:eastAsiaTheme="minorEastAsia"/>
          <w:b/>
          <w:color w:val="auto"/>
          <w:szCs w:val="21"/>
          <w:highlight w:val="none"/>
          <w:u w:val="single"/>
        </w:rPr>
        <w:t xml:space="preserve">     </w:t>
      </w:r>
      <w:r>
        <w:rPr>
          <w:rFonts w:eastAsiaTheme="minorEastAsia"/>
          <w:b/>
          <w:color w:val="auto"/>
          <w:szCs w:val="21"/>
          <w:highlight w:val="none"/>
          <w:u w:val="single"/>
        </w:rPr>
        <w:t>元整），二次报价（即</w:t>
      </w:r>
      <w:r>
        <w:rPr>
          <w:rFonts w:hint="eastAsia" w:eastAsiaTheme="minorEastAsia"/>
          <w:b/>
          <w:color w:val="auto"/>
          <w:szCs w:val="21"/>
          <w:highlight w:val="none"/>
          <w:u w:val="single"/>
          <w:lang w:val="en-US" w:eastAsia="zh-CN"/>
        </w:rPr>
        <w:t>成交</w:t>
      </w:r>
      <w:r>
        <w:rPr>
          <w:rFonts w:eastAsiaTheme="minorEastAsia"/>
          <w:b/>
          <w:color w:val="auto"/>
          <w:szCs w:val="21"/>
          <w:highlight w:val="none"/>
          <w:u w:val="single"/>
        </w:rPr>
        <w:t>价）</w:t>
      </w:r>
      <w:r>
        <w:rPr>
          <w:rFonts w:hint="eastAsia" w:eastAsiaTheme="minorEastAsia"/>
          <w:b/>
          <w:color w:val="auto"/>
          <w:szCs w:val="21"/>
          <w:highlight w:val="none"/>
          <w:u w:val="single"/>
        </w:rPr>
        <w:t xml:space="preserve">    </w:t>
      </w:r>
      <w:r>
        <w:rPr>
          <w:rFonts w:eastAsiaTheme="minorEastAsia"/>
          <w:b/>
          <w:color w:val="auto"/>
          <w:szCs w:val="21"/>
          <w:highlight w:val="none"/>
          <w:u w:val="single"/>
        </w:rPr>
        <w:t>元（大写：</w:t>
      </w:r>
      <w:r>
        <w:rPr>
          <w:rFonts w:hint="eastAsia" w:eastAsiaTheme="minorEastAsia"/>
          <w:b/>
          <w:color w:val="auto"/>
          <w:szCs w:val="21"/>
          <w:highlight w:val="none"/>
          <w:u w:val="single"/>
        </w:rPr>
        <w:t xml:space="preserve">      </w:t>
      </w:r>
      <w:r>
        <w:rPr>
          <w:rFonts w:eastAsiaTheme="minorEastAsia"/>
          <w:b/>
          <w:color w:val="auto"/>
          <w:szCs w:val="21"/>
          <w:highlight w:val="none"/>
          <w:u w:val="single"/>
        </w:rPr>
        <w:t>元整）。项目单价调整原则：同比例下调（合同范围及联系单均同比列下调）。</w:t>
      </w:r>
    </w:p>
    <w:p>
      <w:pPr>
        <w:autoSpaceDE w:val="0"/>
        <w:autoSpaceDN w:val="0"/>
        <w:adjustRightInd w:val="0"/>
        <w:spacing w:line="288" w:lineRule="auto"/>
        <w:ind w:firstLine="422" w:firstLineChars="200"/>
        <w:jc w:val="left"/>
        <w:rPr>
          <w:rFonts w:ascii="宋体" w:hAnsi="宋体"/>
          <w:color w:val="auto"/>
          <w:szCs w:val="21"/>
          <w:highlight w:val="none"/>
        </w:rPr>
      </w:pPr>
      <w:r>
        <w:rPr>
          <w:rFonts w:hint="eastAsia" w:ascii="宋体" w:hAnsi="宋体"/>
          <w:b/>
          <w:color w:val="auto"/>
          <w:szCs w:val="21"/>
          <w:highlight w:val="none"/>
          <w:u w:val="single"/>
        </w:rPr>
        <w:t>（</w:t>
      </w:r>
      <w:r>
        <w:rPr>
          <w:rFonts w:hint="eastAsia" w:ascii="宋体" w:hAnsi="宋体"/>
          <w:b/>
          <w:color w:val="auto"/>
          <w:szCs w:val="21"/>
          <w:highlight w:val="none"/>
          <w:u w:val="single"/>
          <w:lang w:val="en-US" w:eastAsia="zh-CN"/>
        </w:rPr>
        <w:t>7</w:t>
      </w:r>
      <w:r>
        <w:rPr>
          <w:rFonts w:hint="eastAsia" w:ascii="宋体" w:hAnsi="宋体"/>
          <w:b/>
          <w:color w:val="auto"/>
          <w:szCs w:val="21"/>
          <w:highlight w:val="none"/>
          <w:u w:val="single"/>
        </w:rPr>
        <w:t xml:space="preserve">）其他：  /    </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Start w:id="462" w:name="_Toc297123545"/>
      <w:bookmarkStart w:id="463" w:name="_Toc296346704"/>
      <w:bookmarkStart w:id="464" w:name="_Toc292559408"/>
      <w:bookmarkStart w:id="465" w:name="_Toc303539151"/>
      <w:bookmarkStart w:id="466" w:name="_Toc296944542"/>
      <w:bookmarkStart w:id="467" w:name="_Toc296503203"/>
      <w:bookmarkStart w:id="468" w:name="_Toc300934994"/>
      <w:bookmarkStart w:id="469" w:name="_Toc296891243"/>
      <w:bookmarkStart w:id="470" w:name="_Toc312678029"/>
      <w:bookmarkStart w:id="471" w:name="_Toc296891031"/>
      <w:bookmarkStart w:id="472" w:name="_Toc296347202"/>
      <w:bookmarkStart w:id="473" w:name="_Toc297048389"/>
      <w:bookmarkStart w:id="474" w:name="_Toc297120503"/>
      <w:bookmarkStart w:id="475" w:name="_Toc304295570"/>
      <w:bookmarkStart w:id="476" w:name="_Toc292559913"/>
      <w:bookmarkStart w:id="477" w:name="_Toc297216204"/>
      <w:bookmarkStart w:id="478" w:name="_Toc312677503"/>
      <w:r>
        <w:rPr>
          <w:rFonts w:hint="eastAsia" w:ascii="宋体" w:hAnsi="宋体"/>
          <w:color w:val="auto"/>
          <w:szCs w:val="21"/>
          <w:highlight w:val="none"/>
        </w:rPr>
        <w:t>。</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Pr>
        <w:spacing w:line="288" w:lineRule="auto"/>
        <w:ind w:firstLine="422" w:firstLineChars="200"/>
        <w:outlineLvl w:val="0"/>
        <w:rPr>
          <w:rFonts w:ascii="宋体" w:hAnsi="宋体"/>
          <w:color w:val="auto"/>
          <w:szCs w:val="21"/>
          <w:highlight w:val="none"/>
        </w:rPr>
      </w:pPr>
      <w:bookmarkStart w:id="479" w:name="_Toc6644"/>
      <w:bookmarkStart w:id="480" w:name="_Toc5050"/>
      <w:r>
        <w:rPr>
          <w:rFonts w:ascii="宋体" w:hAnsi="宋体"/>
          <w:b/>
          <w:color w:val="auto"/>
          <w:szCs w:val="21"/>
          <w:highlight w:val="none"/>
        </w:rPr>
        <w:t>1</w:t>
      </w:r>
      <w:bookmarkStart w:id="481" w:name="_Toc296346700"/>
      <w:bookmarkStart w:id="482" w:name="_Toc296503199"/>
      <w:bookmarkStart w:id="483" w:name="_Toc297216207"/>
      <w:bookmarkStart w:id="484" w:name="_Toc292559909"/>
      <w:bookmarkStart w:id="485" w:name="_Toc296891027"/>
      <w:bookmarkStart w:id="486" w:name="_Toc296347198"/>
      <w:bookmarkStart w:id="487" w:name="_Toc296944538"/>
      <w:bookmarkStart w:id="488" w:name="_Toc300934997"/>
      <w:bookmarkStart w:id="489" w:name="_Toc292559404"/>
      <w:bookmarkStart w:id="490" w:name="_Toc297048385"/>
      <w:bookmarkStart w:id="491" w:name="_Toc303539154"/>
      <w:bookmarkStart w:id="492" w:name="_Toc312678033"/>
      <w:bookmarkStart w:id="493" w:name="_Toc296891239"/>
      <w:bookmarkStart w:id="494" w:name="_Toc304295574"/>
      <w:bookmarkStart w:id="495" w:name="_Toc297120499"/>
      <w:bookmarkStart w:id="496" w:name="_Toc297123548"/>
      <w:bookmarkStart w:id="497" w:name="_Toc312677507"/>
      <w:r>
        <w:rPr>
          <w:rFonts w:ascii="宋体" w:hAnsi="宋体"/>
          <w:b/>
          <w:color w:val="auto"/>
          <w:szCs w:val="21"/>
          <w:highlight w:val="none"/>
        </w:rPr>
        <w:t>0.</w:t>
      </w:r>
      <w:r>
        <w:rPr>
          <w:rFonts w:hint="eastAsia" w:ascii="宋体" w:hAnsi="宋体"/>
          <w:b/>
          <w:color w:val="auto"/>
          <w:szCs w:val="21"/>
          <w:highlight w:val="none"/>
        </w:rPr>
        <w:t>7</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暂估价</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Start w:id="498" w:name="_Toc312677508"/>
      <w:bookmarkStart w:id="499" w:name="_Toc312678034"/>
      <w:bookmarkStart w:id="500" w:name="_Toc318581176"/>
      <w:r>
        <w:rPr>
          <w:rFonts w:hint="eastAsia" w:ascii="宋体" w:hAnsi="宋体"/>
          <w:color w:val="auto"/>
          <w:kern w:val="0"/>
          <w:szCs w:val="21"/>
          <w:highlight w:val="none"/>
        </w:rPr>
        <w:t>。</w:t>
      </w:r>
      <w:bookmarkEnd w:id="479"/>
      <w:bookmarkEnd w:id="480"/>
    </w:p>
    <w:bookmarkEnd w:id="498"/>
    <w:bookmarkEnd w:id="499"/>
    <w:bookmarkEnd w:id="500"/>
    <w:p>
      <w:pPr>
        <w:spacing w:line="288" w:lineRule="auto"/>
        <w:ind w:firstLine="422" w:firstLineChars="200"/>
        <w:jc w:val="left"/>
        <w:outlineLvl w:val="0"/>
        <w:rPr>
          <w:rFonts w:ascii="宋体" w:hAnsi="宋体"/>
          <w:color w:val="auto"/>
          <w:szCs w:val="21"/>
          <w:highlight w:val="none"/>
        </w:rPr>
      </w:pPr>
      <w:bookmarkStart w:id="501" w:name="_Toc12150"/>
      <w:bookmarkStart w:id="502" w:name="_Toc11535"/>
      <w:r>
        <w:rPr>
          <w:rFonts w:ascii="宋体" w:hAnsi="宋体"/>
          <w:b/>
          <w:color w:val="auto"/>
          <w:szCs w:val="21"/>
          <w:highlight w:val="none"/>
        </w:rPr>
        <w:t>1</w:t>
      </w:r>
      <w:bookmarkStart w:id="503" w:name="_Toc312678035"/>
      <w:bookmarkStart w:id="504" w:name="_Toc318581177"/>
      <w:bookmarkStart w:id="505" w:name="_Toc312677509"/>
      <w:r>
        <w:rPr>
          <w:rFonts w:ascii="宋体" w:hAnsi="宋体"/>
          <w:b/>
          <w:color w:val="auto"/>
          <w:szCs w:val="21"/>
          <w:highlight w:val="none"/>
        </w:rPr>
        <w:t>0.</w:t>
      </w:r>
      <w:r>
        <w:rPr>
          <w:rFonts w:hint="eastAsia" w:ascii="宋体" w:hAnsi="宋体"/>
          <w:b/>
          <w:color w:val="auto"/>
          <w:szCs w:val="21"/>
          <w:highlight w:val="none"/>
        </w:rPr>
        <w:t>7</w:t>
      </w:r>
      <w:r>
        <w:rPr>
          <w:rFonts w:ascii="宋体" w:hAnsi="宋体"/>
          <w:b/>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依法必须招标的暂估价项目</w:t>
      </w:r>
      <w:bookmarkEnd w:id="501"/>
      <w:bookmarkEnd w:id="502"/>
    </w:p>
    <w:bookmarkEnd w:id="503"/>
    <w:bookmarkEnd w:id="504"/>
    <w:bookmarkEnd w:id="505"/>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对于依法必须招标的暂估价项目的确认和批准采取第</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种方式确定。</w:t>
      </w:r>
    </w:p>
    <w:p>
      <w:pPr>
        <w:spacing w:line="288" w:lineRule="auto"/>
        <w:ind w:firstLine="422" w:firstLineChars="200"/>
        <w:jc w:val="left"/>
        <w:outlineLvl w:val="0"/>
        <w:rPr>
          <w:rFonts w:ascii="宋体" w:hAnsi="宋体"/>
          <w:color w:val="auto"/>
          <w:szCs w:val="21"/>
          <w:highlight w:val="none"/>
        </w:rPr>
      </w:pPr>
      <w:bookmarkStart w:id="506" w:name="_Toc1432"/>
      <w:bookmarkStart w:id="507" w:name="_Toc26630"/>
      <w:r>
        <w:rPr>
          <w:rFonts w:ascii="宋体" w:hAnsi="宋体"/>
          <w:b/>
          <w:color w:val="auto"/>
          <w:szCs w:val="21"/>
          <w:highlight w:val="none"/>
        </w:rPr>
        <w:t>10.</w:t>
      </w:r>
      <w:r>
        <w:rPr>
          <w:rFonts w:hint="eastAsia" w:ascii="宋体" w:hAnsi="宋体"/>
          <w:b/>
          <w:color w:val="auto"/>
          <w:szCs w:val="21"/>
          <w:highlight w:val="none"/>
        </w:rPr>
        <w:t>7</w:t>
      </w:r>
      <w:r>
        <w:rPr>
          <w:rFonts w:ascii="宋体" w:hAnsi="宋体"/>
          <w:b/>
          <w:color w:val="auto"/>
          <w:szCs w:val="21"/>
          <w:highlight w:val="none"/>
        </w:rPr>
        <w:t>.2</w:t>
      </w:r>
      <w:r>
        <w:rPr>
          <w:rFonts w:hint="eastAsia" w:ascii="宋体" w:hAnsi="宋体"/>
          <w:b/>
          <w:color w:val="auto"/>
          <w:szCs w:val="21"/>
          <w:highlight w:val="none"/>
        </w:rPr>
        <w:t xml:space="preserve"> </w:t>
      </w:r>
      <w:r>
        <w:rPr>
          <w:rFonts w:ascii="宋体" w:hAnsi="宋体"/>
          <w:color w:val="auto"/>
          <w:szCs w:val="21"/>
          <w:highlight w:val="none"/>
        </w:rPr>
        <w:t xml:space="preserve"> 不属于依法必须招标的暂估价项目</w:t>
      </w:r>
      <w:bookmarkEnd w:id="506"/>
      <w:bookmarkEnd w:id="507"/>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对于不属于依法必须招标的暂估价项目的确认和批准采取第</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种方式确定。</w:t>
      </w:r>
    </w:p>
    <w:p>
      <w:pPr>
        <w:spacing w:line="288" w:lineRule="auto"/>
        <w:ind w:firstLine="420" w:firstLineChars="200"/>
        <w:jc w:val="left"/>
        <w:rPr>
          <w:rFonts w:ascii="宋体" w:hAnsi="宋体"/>
          <w:color w:val="auto"/>
          <w:kern w:val="0"/>
          <w:szCs w:val="21"/>
          <w:highlight w:val="none"/>
        </w:rPr>
      </w:pPr>
      <w:r>
        <w:rPr>
          <w:rFonts w:ascii="宋体" w:hAnsi="宋体"/>
          <w:color w:val="auto"/>
          <w:szCs w:val="21"/>
          <w:highlight w:val="none"/>
        </w:rPr>
        <w:t>第3种方式：</w:t>
      </w:r>
      <w:r>
        <w:rPr>
          <w:rFonts w:ascii="宋体" w:hAnsi="宋体"/>
          <w:color w:val="auto"/>
          <w:kern w:val="0"/>
          <w:szCs w:val="21"/>
          <w:highlight w:val="none"/>
        </w:rPr>
        <w:t>承包人直接实施的暂估价项目</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承包人直接实施的暂估价项目的约定：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508" w:name="_Toc7889"/>
      <w:bookmarkStart w:id="509" w:name="_Toc16385"/>
      <w:r>
        <w:rPr>
          <w:rFonts w:ascii="宋体" w:hAnsi="宋体"/>
          <w:b/>
          <w:color w:val="auto"/>
          <w:szCs w:val="21"/>
          <w:highlight w:val="none"/>
        </w:rPr>
        <w:t>10.</w:t>
      </w:r>
      <w:r>
        <w:rPr>
          <w:rFonts w:hint="eastAsia" w:ascii="宋体" w:hAnsi="宋体"/>
          <w:b/>
          <w:color w:val="auto"/>
          <w:szCs w:val="21"/>
          <w:highlight w:val="none"/>
        </w:rPr>
        <w:t>8</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暂列金额</w:t>
      </w:r>
      <w:bookmarkEnd w:id="508"/>
      <w:bookmarkEnd w:id="509"/>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合同当事人关于暂列金额使用的约定：按</w:t>
      </w:r>
      <w:r>
        <w:rPr>
          <w:rFonts w:hint="eastAsia" w:ascii="宋体" w:hAnsi="宋体"/>
          <w:color w:val="auto"/>
          <w:szCs w:val="21"/>
          <w:highlight w:val="none"/>
          <w:u w:val="single"/>
        </w:rPr>
        <w:t>照建设的单位签署的联系单实施</w:t>
      </w:r>
      <w:r>
        <w:rPr>
          <w:rFonts w:ascii="宋体" w:hAnsi="宋体"/>
          <w:color w:val="auto"/>
          <w:szCs w:val="21"/>
          <w:highlight w:val="none"/>
          <w:u w:val="single"/>
        </w:rPr>
        <w:t xml:space="preserve"> </w:t>
      </w:r>
      <w:r>
        <w:rPr>
          <w:rFonts w:hint="eastAsia" w:ascii="宋体" w:hAnsi="宋体"/>
          <w:color w:val="auto"/>
          <w:kern w:val="0"/>
          <w:szCs w:val="21"/>
          <w:highlight w:val="none"/>
        </w:rPr>
        <w:t>。</w:t>
      </w:r>
    </w:p>
    <w:p>
      <w:pPr>
        <w:spacing w:line="288" w:lineRule="auto"/>
        <w:ind w:firstLine="422" w:firstLineChars="200"/>
        <w:outlineLvl w:val="0"/>
        <w:rPr>
          <w:rFonts w:ascii="宋体" w:hAnsi="宋体"/>
          <w:color w:val="auto"/>
          <w:szCs w:val="21"/>
          <w:highlight w:val="none"/>
        </w:rPr>
      </w:pPr>
      <w:bookmarkStart w:id="510" w:name="_Toc361220572"/>
      <w:bookmarkStart w:id="511" w:name="_Toc11323"/>
      <w:bookmarkStart w:id="512" w:name="_Toc31066"/>
      <w:r>
        <w:rPr>
          <w:rFonts w:ascii="宋体" w:hAnsi="宋体"/>
          <w:b/>
          <w:color w:val="auto"/>
          <w:szCs w:val="21"/>
          <w:highlight w:val="none"/>
        </w:rPr>
        <w:t>11</w:t>
      </w:r>
      <w:r>
        <w:rPr>
          <w:rFonts w:hint="eastAsia" w:ascii="宋体" w:hAnsi="宋体"/>
          <w:color w:val="auto"/>
          <w:szCs w:val="21"/>
          <w:highlight w:val="none"/>
        </w:rPr>
        <w:t xml:space="preserve">  </w:t>
      </w:r>
      <w:r>
        <w:rPr>
          <w:rFonts w:ascii="宋体" w:hAnsi="宋体"/>
          <w:color w:val="auto"/>
          <w:szCs w:val="21"/>
          <w:highlight w:val="none"/>
        </w:rPr>
        <w:t>价格调整</w:t>
      </w:r>
      <w:bookmarkEnd w:id="510"/>
      <w:bookmarkEnd w:id="511"/>
      <w:bookmarkEnd w:id="512"/>
    </w:p>
    <w:p>
      <w:pPr>
        <w:spacing w:line="288" w:lineRule="auto"/>
        <w:ind w:firstLine="422" w:firstLineChars="200"/>
        <w:outlineLvl w:val="0"/>
        <w:rPr>
          <w:rFonts w:ascii="宋体" w:hAnsi="宋体"/>
          <w:color w:val="auto"/>
          <w:szCs w:val="21"/>
          <w:highlight w:val="none"/>
        </w:rPr>
      </w:pPr>
      <w:bookmarkStart w:id="513" w:name="_Toc24447"/>
      <w:bookmarkStart w:id="514" w:name="_Toc2835"/>
      <w:bookmarkStart w:id="515" w:name="_Toc296503201"/>
      <w:bookmarkStart w:id="516" w:name="_Toc297216209"/>
      <w:bookmarkStart w:id="517" w:name="_Toc292559406"/>
      <w:bookmarkStart w:id="518" w:name="_Toc296891029"/>
      <w:bookmarkStart w:id="519" w:name="_Toc300935000"/>
      <w:bookmarkStart w:id="520" w:name="_Toc297123550"/>
      <w:bookmarkStart w:id="521" w:name="_Toc304295577"/>
      <w:bookmarkStart w:id="522" w:name="_Toc296944540"/>
      <w:bookmarkStart w:id="523" w:name="_Toc303539157"/>
      <w:bookmarkStart w:id="524" w:name="_Toc296346702"/>
      <w:bookmarkStart w:id="525" w:name="_Toc296347200"/>
      <w:bookmarkStart w:id="526" w:name="_Toc312678039"/>
      <w:bookmarkStart w:id="527" w:name="_Toc296891241"/>
      <w:bookmarkStart w:id="528" w:name="_Toc297120501"/>
      <w:bookmarkStart w:id="529" w:name="_Toc297048387"/>
      <w:bookmarkStart w:id="530" w:name="_Toc292559911"/>
      <w:r>
        <w:rPr>
          <w:rFonts w:ascii="宋体" w:hAnsi="宋体"/>
          <w:b/>
          <w:color w:val="auto"/>
          <w:szCs w:val="21"/>
          <w:highlight w:val="none"/>
        </w:rPr>
        <w:t>11.1</w:t>
      </w:r>
      <w:r>
        <w:rPr>
          <w:rFonts w:ascii="宋体" w:hAnsi="宋体"/>
          <w:color w:val="auto"/>
          <w:szCs w:val="21"/>
          <w:highlight w:val="none"/>
        </w:rPr>
        <w:t xml:space="preserve"> 市场价格波动引起的调整</w:t>
      </w:r>
      <w:bookmarkEnd w:id="513"/>
      <w:bookmarkEnd w:id="514"/>
    </w:p>
    <w:bookmarkEnd w:id="436"/>
    <w:bookmarkEnd w:id="437"/>
    <w:bookmarkEnd w:id="438"/>
    <w:bookmarkEnd w:id="439"/>
    <w:bookmarkEnd w:id="440"/>
    <w:bookmarkEnd w:id="441"/>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Pr>
        <w:spacing w:line="288" w:lineRule="auto"/>
        <w:ind w:firstLine="420" w:firstLineChars="200"/>
        <w:jc w:val="left"/>
        <w:rPr>
          <w:rFonts w:ascii="宋体" w:hAnsi="宋体"/>
          <w:color w:val="auto"/>
          <w:szCs w:val="21"/>
          <w:highlight w:val="none"/>
        </w:rPr>
      </w:pPr>
      <w:bookmarkStart w:id="531" w:name="_Toc296891033"/>
      <w:bookmarkStart w:id="532" w:name="_Toc296944544"/>
      <w:bookmarkStart w:id="533" w:name="_Toc296347204"/>
      <w:bookmarkStart w:id="534" w:name="_Toc292559410"/>
      <w:bookmarkStart w:id="535" w:name="_Toc296503205"/>
      <w:bookmarkStart w:id="536" w:name="_Toc296891245"/>
      <w:bookmarkStart w:id="537" w:name="_Toc297048391"/>
      <w:bookmarkStart w:id="538" w:name="_Toc296346706"/>
      <w:bookmarkStart w:id="539" w:name="_Toc292559915"/>
      <w:bookmarkStart w:id="540" w:name="_Toc297120505"/>
      <w:bookmarkStart w:id="541" w:name="_Toc297123552"/>
      <w:bookmarkStart w:id="542" w:name="_Toc303539159"/>
      <w:bookmarkStart w:id="543" w:name="_Toc312678040"/>
      <w:bookmarkStart w:id="544" w:name="_Toc297216211"/>
      <w:bookmarkStart w:id="545" w:name="_Toc300935002"/>
      <w:bookmarkStart w:id="546" w:name="_Toc361220573"/>
      <w:bookmarkStart w:id="547" w:name="_Toc304295579"/>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hint="eastAsia" w:ascii="宋体" w:hAnsi="宋体"/>
          <w:color w:val="auto"/>
          <w:szCs w:val="21"/>
          <w:highlight w:val="none"/>
          <w:u w:val="single"/>
        </w:rPr>
        <w:t>否</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因市场价格波动调整合同价格，采用以下第</w:t>
      </w:r>
      <w:r>
        <w:rPr>
          <w:rFonts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ascii="宋体" w:hAnsi="宋体"/>
          <w:color w:val="auto"/>
          <w:szCs w:val="21"/>
          <w:highlight w:val="none"/>
        </w:rPr>
        <w:t>种方式对合同价格进行调整：</w:t>
      </w:r>
      <w:r>
        <w:rPr>
          <w:rFonts w:hint="eastAsia" w:ascii="宋体" w:hAnsi="宋体"/>
          <w:color w:val="auto"/>
          <w:szCs w:val="21"/>
          <w:highlight w:val="none"/>
        </w:rPr>
        <w:t xml:space="preserve"> </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第1种方式：采用价格指数</w:t>
      </w:r>
      <w:r>
        <w:rPr>
          <w:rFonts w:hint="eastAsia" w:ascii="宋体" w:hAnsi="宋体"/>
          <w:color w:val="auto"/>
          <w:szCs w:val="21"/>
          <w:highlight w:val="none"/>
        </w:rPr>
        <w:t>进行价格</w:t>
      </w:r>
      <w:r>
        <w:rPr>
          <w:rFonts w:ascii="宋体" w:hAnsi="宋体"/>
          <w:color w:val="auto"/>
          <w:szCs w:val="21"/>
          <w:highlight w:val="none"/>
        </w:rPr>
        <w:t>调整。</w:t>
      </w:r>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关于各可调因子、定值和变值权重，以及基本价格指数及其来源的约定：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第2种方式：采用造价信息</w:t>
      </w:r>
      <w:r>
        <w:rPr>
          <w:rFonts w:hint="eastAsia" w:ascii="宋体" w:hAnsi="宋体"/>
          <w:color w:val="auto"/>
          <w:szCs w:val="21"/>
          <w:highlight w:val="none"/>
        </w:rPr>
        <w:t>进行价格</w:t>
      </w:r>
      <w:r>
        <w:rPr>
          <w:rFonts w:ascii="宋体" w:hAnsi="宋体"/>
          <w:color w:val="auto"/>
          <w:szCs w:val="21"/>
          <w:highlight w:val="none"/>
        </w:rPr>
        <w:t>调整。</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（2）关于基准价格的约定：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专用合同条款</w:t>
      </w:r>
      <w:r>
        <w:rPr>
          <w:rFonts w:hint="eastAsia" w:ascii="宋体" w:hAnsi="宋体" w:cs="宋体"/>
          <w:color w:val="auto"/>
          <w:szCs w:val="21"/>
          <w:highlight w:val="none"/>
        </w:rPr>
        <w:t>①</w:t>
      </w:r>
      <w:r>
        <w:rPr>
          <w:rFonts w:ascii="宋体" w:hAnsi="宋体"/>
          <w:color w:val="auto"/>
          <w:szCs w:val="21"/>
          <w:highlight w:val="none"/>
        </w:rPr>
        <w:t>承包人在已标价工程量清单或预算书中载明的材料单价低于基准价格的：专用合同条款合同履行期间材料单价涨幅以基准价格为基础超过</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%时，或材料单价跌幅以已标价工程量清单或预算书中载明材料单价为基础超过</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288"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②</w:t>
      </w:r>
      <w:r>
        <w:rPr>
          <w:rFonts w:ascii="宋体" w:hAnsi="宋体"/>
          <w:color w:val="auto"/>
          <w:szCs w:val="21"/>
          <w:highlight w:val="none"/>
        </w:rPr>
        <w:t>承包人在已标价工程量清单或预算书中载明的材料单价高于基准价格的：专用合同条款合同履行期间材料单价跌幅以基准价格为基础超过</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%时，材料单价涨幅以已标价工程量清单或预算书中载明材料单价为基础超过</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时，其超过部分据实调整。</w:t>
      </w:r>
    </w:p>
    <w:p>
      <w:pPr>
        <w:spacing w:line="288"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③</w:t>
      </w:r>
      <w:r>
        <w:rPr>
          <w:rFonts w:ascii="宋体" w:hAnsi="宋体"/>
          <w:color w:val="auto"/>
          <w:szCs w:val="21"/>
          <w:highlight w:val="none"/>
        </w:rPr>
        <w:t>承包人在已标价工程量清单或预算书中载明的材料单价等于基准单价的：专用合同条款合同履行期间材料单价涨跌幅以基准单价为基础超过±</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%时，其超</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过部分据实调整。</w:t>
      </w:r>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第3种方式：采用政策性文件进行价格调整。具体约定如下：</w:t>
      </w:r>
    </w:p>
    <w:p>
      <w:pPr>
        <w:spacing w:line="288" w:lineRule="auto"/>
        <w:ind w:firstLine="420" w:firstLineChars="200"/>
        <w:rPr>
          <w:rFonts w:ascii="宋体" w:hAnsi="宋体"/>
          <w:b/>
          <w:color w:val="auto"/>
          <w:szCs w:val="21"/>
          <w:highlight w:val="none"/>
        </w:rPr>
      </w:pPr>
      <w:r>
        <w:rPr>
          <w:rFonts w:hint="eastAsia" w:ascii="宋体" w:hAnsi="宋体"/>
          <w:color w:val="auto"/>
          <w:szCs w:val="21"/>
          <w:highlight w:val="none"/>
        </w:rPr>
        <w:t>材料价格在施工期遇异常波动,调整条件及方式按照</w:t>
      </w:r>
      <w:r>
        <w:rPr>
          <w:rFonts w:hint="eastAsia" w:ascii="宋体" w:hAnsi="宋体"/>
          <w:color w:val="auto"/>
          <w:szCs w:val="21"/>
          <w:highlight w:val="none"/>
          <w:u w:val="single"/>
        </w:rPr>
        <w:t xml:space="preserve">  </w:t>
      </w:r>
      <w:r>
        <w:rPr>
          <w:rFonts w:hint="eastAsia" w:ascii="宋体" w:hAnsi="宋体"/>
          <w:b/>
          <w:color w:val="auto"/>
          <w:kern w:val="0"/>
          <w:szCs w:val="21"/>
          <w:highlight w:val="none"/>
          <w:u w:val="single"/>
        </w:rPr>
        <w:t xml:space="preserve">    /          </w:t>
      </w:r>
      <w:r>
        <w:rPr>
          <w:rFonts w:hint="eastAsia" w:ascii="宋体" w:hAnsi="宋体"/>
          <w:color w:val="auto"/>
          <w:szCs w:val="21"/>
          <w:highlight w:val="none"/>
        </w:rPr>
        <w:t>执行，约定市场要素价格调整方式及价差计算方法：</w:t>
      </w:r>
    </w:p>
    <w:p>
      <w:pPr>
        <w:spacing w:line="288" w:lineRule="auto"/>
        <w:ind w:firstLine="422" w:firstLineChars="200"/>
        <w:outlineLvl w:val="0"/>
        <w:rPr>
          <w:rFonts w:ascii="宋体" w:hAnsi="宋体"/>
          <w:color w:val="auto"/>
          <w:szCs w:val="21"/>
          <w:highlight w:val="none"/>
        </w:rPr>
      </w:pPr>
      <w:bookmarkStart w:id="548" w:name="_Toc30238"/>
      <w:bookmarkStart w:id="549" w:name="_Toc8335"/>
      <w:r>
        <w:rPr>
          <w:rFonts w:ascii="宋体" w:hAnsi="宋体"/>
          <w:b/>
          <w:color w:val="auto"/>
          <w:szCs w:val="21"/>
          <w:highlight w:val="none"/>
        </w:rPr>
        <w:t>12</w:t>
      </w:r>
      <w:bookmarkEnd w:id="531"/>
      <w:bookmarkEnd w:id="532"/>
      <w:bookmarkEnd w:id="533"/>
      <w:bookmarkEnd w:id="534"/>
      <w:bookmarkEnd w:id="535"/>
      <w:bookmarkEnd w:id="536"/>
      <w:bookmarkEnd w:id="537"/>
      <w:bookmarkEnd w:id="538"/>
      <w:bookmarkEnd w:id="539"/>
      <w:bookmarkEnd w:id="540"/>
      <w:r>
        <w:rPr>
          <w:rFonts w:hint="eastAsia" w:ascii="宋体" w:hAnsi="宋体"/>
          <w:color w:val="auto"/>
          <w:szCs w:val="21"/>
          <w:highlight w:val="none"/>
        </w:rPr>
        <w:t xml:space="preserve">  </w:t>
      </w:r>
      <w:r>
        <w:rPr>
          <w:rFonts w:ascii="宋体" w:hAnsi="宋体"/>
          <w:color w:val="auto"/>
          <w:szCs w:val="21"/>
          <w:highlight w:val="none"/>
        </w:rPr>
        <w:t>合同价格、计量与支付</w:t>
      </w:r>
      <w:bookmarkEnd w:id="541"/>
      <w:bookmarkEnd w:id="542"/>
      <w:bookmarkEnd w:id="543"/>
      <w:bookmarkEnd w:id="544"/>
      <w:bookmarkEnd w:id="545"/>
      <w:bookmarkEnd w:id="546"/>
      <w:bookmarkEnd w:id="547"/>
      <w:bookmarkEnd w:id="548"/>
      <w:bookmarkEnd w:id="549"/>
      <w:bookmarkStart w:id="550" w:name="_Toc292559411"/>
      <w:bookmarkStart w:id="551" w:name="_Toc267251461"/>
      <w:bookmarkStart w:id="552" w:name="_Toc292559916"/>
      <w:bookmarkStart w:id="553" w:name="_Toc296503206"/>
      <w:bookmarkStart w:id="554" w:name="_Toc296346707"/>
      <w:bookmarkStart w:id="555" w:name="_Toc296891246"/>
      <w:bookmarkStart w:id="556" w:name="_Toc296891034"/>
      <w:bookmarkStart w:id="557" w:name="_Toc297048392"/>
      <w:bookmarkStart w:id="558" w:name="_Toc296944545"/>
      <w:bookmarkStart w:id="559" w:name="_Toc297120506"/>
      <w:bookmarkStart w:id="560" w:name="_Toc296347205"/>
      <w:bookmarkStart w:id="561" w:name="_Toc300935003"/>
      <w:bookmarkStart w:id="562" w:name="_Toc297216212"/>
      <w:bookmarkStart w:id="563" w:name="_Toc303539160"/>
      <w:bookmarkStart w:id="564" w:name="_Toc297123553"/>
      <w:bookmarkStart w:id="565" w:name="_Toc304295580"/>
      <w:bookmarkStart w:id="566" w:name="_Toc312678041"/>
      <w:r>
        <w:rPr>
          <w:rFonts w:hint="eastAsia" w:ascii="宋体" w:hAnsi="宋体"/>
          <w:b/>
          <w:color w:val="auto"/>
          <w:szCs w:val="21"/>
          <w:highlight w:val="none"/>
        </w:rPr>
        <w:t xml:space="preserve"> </w:t>
      </w:r>
    </w:p>
    <w:p>
      <w:pPr>
        <w:spacing w:line="288" w:lineRule="auto"/>
        <w:ind w:firstLine="422" w:firstLineChars="200"/>
        <w:outlineLvl w:val="0"/>
        <w:rPr>
          <w:rFonts w:ascii="宋体" w:hAnsi="宋体"/>
          <w:color w:val="auto"/>
          <w:szCs w:val="21"/>
          <w:highlight w:val="none"/>
        </w:rPr>
      </w:pPr>
      <w:bookmarkStart w:id="567" w:name="_Toc17590"/>
      <w:bookmarkStart w:id="568" w:name="_Toc1994"/>
      <w:r>
        <w:rPr>
          <w:rFonts w:ascii="宋体" w:hAnsi="宋体"/>
          <w:b/>
          <w:color w:val="auto"/>
          <w:szCs w:val="21"/>
          <w:highlight w:val="none"/>
        </w:rPr>
        <w:t>12.1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合</w:t>
      </w:r>
      <w:bookmarkEnd w:id="550"/>
      <w:bookmarkEnd w:id="551"/>
      <w:bookmarkEnd w:id="552"/>
      <w:r>
        <w:rPr>
          <w:rFonts w:ascii="宋体" w:hAnsi="宋体"/>
          <w:color w:val="auto"/>
          <w:szCs w:val="21"/>
          <w:highlight w:val="none"/>
        </w:rPr>
        <w:t>同价</w:t>
      </w:r>
      <w:bookmarkEnd w:id="553"/>
      <w:bookmarkEnd w:id="554"/>
      <w:bookmarkEnd w:id="555"/>
      <w:bookmarkEnd w:id="556"/>
      <w:bookmarkEnd w:id="557"/>
      <w:bookmarkEnd w:id="558"/>
      <w:bookmarkEnd w:id="559"/>
      <w:bookmarkEnd w:id="560"/>
      <w:r>
        <w:rPr>
          <w:rFonts w:ascii="宋体" w:hAnsi="宋体"/>
          <w:color w:val="auto"/>
          <w:szCs w:val="21"/>
          <w:highlight w:val="none"/>
        </w:rPr>
        <w:t>格形式</w:t>
      </w:r>
      <w:bookmarkEnd w:id="567"/>
      <w:bookmarkEnd w:id="568"/>
    </w:p>
    <w:p>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1.本合同价款采用</w:t>
      </w:r>
      <w:r>
        <w:rPr>
          <w:rFonts w:hint="eastAsia" w:ascii="宋体" w:hAnsi="宋体"/>
          <w:b/>
          <w:color w:val="auto"/>
          <w:szCs w:val="21"/>
          <w:highlight w:val="none"/>
          <w:u w:val="single"/>
        </w:rPr>
        <w:t>固定单价合同</w:t>
      </w:r>
      <w:r>
        <w:rPr>
          <w:rFonts w:hint="eastAsia" w:ascii="宋体" w:hAnsi="宋体"/>
          <w:color w:val="auto"/>
          <w:szCs w:val="21"/>
          <w:highlight w:val="none"/>
        </w:rPr>
        <w:t>方式确定。</w:t>
      </w:r>
    </w:p>
    <w:p>
      <w:pPr>
        <w:spacing w:line="288" w:lineRule="auto"/>
        <w:ind w:firstLine="420" w:firstLineChars="200"/>
        <w:rPr>
          <w:rFonts w:ascii="宋体" w:hAnsi="宋体"/>
          <w:color w:val="auto"/>
          <w:szCs w:val="21"/>
          <w:highlight w:val="none"/>
          <w:u w:val="single"/>
        </w:rPr>
      </w:pPr>
      <w:r>
        <w:rPr>
          <w:rFonts w:hint="eastAsia" w:ascii="宋体" w:hAnsi="宋体"/>
          <w:color w:val="auto"/>
          <w:szCs w:val="21"/>
          <w:highlight w:val="none"/>
        </w:rPr>
        <w:t>本合同包含的风险范围为：</w:t>
      </w:r>
      <w:r>
        <w:rPr>
          <w:rFonts w:hint="eastAsia" w:ascii="宋体" w:hAnsi="宋体"/>
          <w:b/>
          <w:color w:val="auto"/>
          <w:szCs w:val="21"/>
          <w:highlight w:val="none"/>
          <w:u w:val="single"/>
        </w:rPr>
        <w:t>①本工程实行综合单价合同，结算工程量按施工图、设计变更和其他工程联系单根据国家工程量计算规范调整，除不可抗力外，其它因素均不予以调整。②现行预算定额或计价规范未描述到，但又是完成分项工程必须有的工作内容，均应包括在报价（综合单价）内。</w:t>
      </w:r>
    </w:p>
    <w:p>
      <w:pPr>
        <w:spacing w:line="288"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b/>
          <w:color w:val="auto"/>
          <w:szCs w:val="21"/>
          <w:highlight w:val="none"/>
          <w:u w:val="single"/>
        </w:rPr>
        <w:t>已包含在合同价内，不予调整。</w:t>
      </w:r>
    </w:p>
    <w:p>
      <w:pPr>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p>
    <w:p>
      <w:pPr>
        <w:spacing w:line="288" w:lineRule="auto"/>
        <w:ind w:firstLine="420" w:firstLineChars="200"/>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s="Arial"/>
          <w:color w:val="auto"/>
          <w:szCs w:val="21"/>
          <w:highlight w:val="none"/>
          <w:u w:val="single"/>
        </w:rPr>
        <w:t>允许调整的范围：</w:t>
      </w:r>
      <w:r>
        <w:rPr>
          <w:rFonts w:hint="eastAsia" w:ascii="宋体" w:hAnsi="宋体" w:cs="Arial"/>
          <w:b/>
          <w:color w:val="auto"/>
          <w:szCs w:val="21"/>
          <w:highlight w:val="none"/>
          <w:u w:val="single"/>
        </w:rPr>
        <w:t>a、变更：包括发包人明确指令变更的实物工作量、经发包人同意的工程设计变更、经发包人签证同意的材料调整；b、市场要素价格异常波动。</w:t>
      </w:r>
    </w:p>
    <w:p>
      <w:pPr>
        <w:spacing w:line="288" w:lineRule="auto"/>
        <w:ind w:firstLine="420" w:firstLineChars="200"/>
        <w:rPr>
          <w:rFonts w:ascii="宋体" w:hAnsi="宋体" w:cs="Arial"/>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调整的方法：</w:t>
      </w:r>
      <w:r>
        <w:rPr>
          <w:rFonts w:hint="eastAsia" w:ascii="宋体" w:hAnsi="宋体" w:cs="Arial"/>
          <w:b/>
          <w:color w:val="auto"/>
          <w:szCs w:val="21"/>
          <w:highlight w:val="none"/>
          <w:u w:val="single"/>
        </w:rPr>
        <w:t xml:space="preserve">a、变更调整按第10.1条及第10.4条执行。b、市场要素价格异常波动按第11.1条执行。 </w:t>
      </w:r>
      <w:bookmarkEnd w:id="561"/>
      <w:bookmarkEnd w:id="562"/>
      <w:bookmarkEnd w:id="563"/>
      <w:bookmarkEnd w:id="564"/>
      <w:bookmarkEnd w:id="565"/>
      <w:bookmarkEnd w:id="566"/>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总价包含的风险范围：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其他价格方式：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569" w:name="_Toc12"/>
      <w:bookmarkStart w:id="570" w:name="_Toc31337"/>
      <w:bookmarkStart w:id="571" w:name="_Toc303539161"/>
      <w:bookmarkStart w:id="572" w:name="_Toc297123554"/>
      <w:bookmarkStart w:id="573" w:name="_Toc297216213"/>
      <w:bookmarkStart w:id="574" w:name="_Toc300935004"/>
      <w:bookmarkStart w:id="575" w:name="_Toc312678042"/>
      <w:bookmarkStart w:id="576" w:name="_Toc304295581"/>
      <w:bookmarkStart w:id="577" w:name="_Toc296347206"/>
      <w:bookmarkStart w:id="578" w:name="_Toc292559917"/>
      <w:bookmarkStart w:id="579" w:name="_Toc292559412"/>
      <w:bookmarkStart w:id="580" w:name="_Toc296503207"/>
      <w:bookmarkStart w:id="581" w:name="_Toc296944546"/>
      <w:bookmarkStart w:id="582" w:name="_Toc297048393"/>
      <w:bookmarkStart w:id="583" w:name="_Toc296346708"/>
      <w:bookmarkStart w:id="584" w:name="_Toc296891035"/>
      <w:bookmarkStart w:id="585" w:name="_Toc296891247"/>
      <w:bookmarkStart w:id="586" w:name="_Toc297120507"/>
      <w:r>
        <w:rPr>
          <w:rFonts w:ascii="宋体" w:hAnsi="宋体"/>
          <w:b/>
          <w:color w:val="auto"/>
          <w:szCs w:val="21"/>
          <w:highlight w:val="none"/>
        </w:rPr>
        <w:t>12.2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付款</w:t>
      </w:r>
      <w:bookmarkEnd w:id="569"/>
      <w:bookmarkEnd w:id="570"/>
    </w:p>
    <w:bookmarkEnd w:id="571"/>
    <w:bookmarkEnd w:id="572"/>
    <w:bookmarkEnd w:id="573"/>
    <w:bookmarkEnd w:id="574"/>
    <w:bookmarkEnd w:id="575"/>
    <w:bookmarkEnd w:id="576"/>
    <w:p>
      <w:pPr>
        <w:spacing w:line="288" w:lineRule="auto"/>
        <w:ind w:firstLine="422" w:firstLineChars="200"/>
        <w:jc w:val="left"/>
        <w:outlineLvl w:val="0"/>
        <w:rPr>
          <w:rFonts w:ascii="宋体" w:hAnsi="宋体"/>
          <w:color w:val="auto"/>
          <w:szCs w:val="21"/>
          <w:highlight w:val="none"/>
        </w:rPr>
      </w:pPr>
      <w:bookmarkStart w:id="587" w:name="_Toc10827"/>
      <w:bookmarkStart w:id="588" w:name="_Toc24161"/>
      <w:r>
        <w:rPr>
          <w:rFonts w:ascii="宋体" w:hAnsi="宋体"/>
          <w:b/>
          <w:color w:val="auto"/>
          <w:szCs w:val="21"/>
          <w:highlight w:val="none"/>
        </w:rPr>
        <w:t>12.2.1</w:t>
      </w:r>
      <w:r>
        <w:rPr>
          <w:rFonts w:hint="eastAsia" w:ascii="宋体" w:hAnsi="宋体"/>
          <w:color w:val="auto"/>
          <w:szCs w:val="21"/>
          <w:highlight w:val="none"/>
        </w:rPr>
        <w:t xml:space="preserve">  </w:t>
      </w:r>
      <w:r>
        <w:rPr>
          <w:rFonts w:ascii="宋体" w:hAnsi="宋体"/>
          <w:color w:val="auto"/>
          <w:szCs w:val="21"/>
          <w:highlight w:val="none"/>
        </w:rPr>
        <w:t>预付款的支付</w:t>
      </w:r>
      <w:bookmarkEnd w:id="587"/>
      <w:bookmarkEnd w:id="588"/>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预付款支付比例或金额：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40%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预付款支付期限：</w:t>
      </w:r>
      <w:r>
        <w:rPr>
          <w:rFonts w:ascii="宋体" w:hAnsi="宋体"/>
          <w:color w:val="auto"/>
          <w:szCs w:val="21"/>
          <w:highlight w:val="none"/>
          <w:u w:val="single"/>
        </w:rPr>
        <w:t xml:space="preserve">  </w:t>
      </w:r>
      <w:r>
        <w:rPr>
          <w:rFonts w:hint="eastAsia" w:ascii="宋体" w:hAnsi="宋体"/>
          <w:color w:val="auto"/>
          <w:szCs w:val="21"/>
          <w:highlight w:val="none"/>
          <w:u w:val="single"/>
        </w:rPr>
        <w:t>合同签订</w:t>
      </w:r>
      <w:r>
        <w:rPr>
          <w:rFonts w:hint="eastAsia" w:ascii="宋体" w:hAnsi="宋体"/>
          <w:color w:val="auto"/>
          <w:szCs w:val="21"/>
          <w:highlight w:val="none"/>
          <w:u w:val="single"/>
          <w:lang w:val="en-US" w:eastAsia="zh-CN"/>
        </w:rPr>
        <w:t>生效</w:t>
      </w:r>
      <w:r>
        <w:rPr>
          <w:rFonts w:hint="eastAsia" w:ascii="宋体" w:hAnsi="宋体"/>
          <w:color w:val="auto"/>
          <w:szCs w:val="21"/>
          <w:highlight w:val="none"/>
          <w:u w:val="single"/>
        </w:rPr>
        <w:t>后</w:t>
      </w:r>
      <w:r>
        <w:rPr>
          <w:rFonts w:hint="eastAsia" w:ascii="宋体" w:hAnsi="宋体" w:cs="Arial"/>
          <w:color w:val="auto"/>
          <w:kern w:val="0"/>
          <w:szCs w:val="21"/>
          <w:highlight w:val="none"/>
          <w:u w:val="single"/>
        </w:rPr>
        <w:t>7个工作</w:t>
      </w:r>
      <w:r>
        <w:rPr>
          <w:rFonts w:hint="eastAsia" w:ascii="宋体" w:hAnsi="宋体"/>
          <w:color w:val="auto"/>
          <w:szCs w:val="21"/>
          <w:highlight w:val="none"/>
          <w:u w:val="single"/>
        </w:rPr>
        <w:t xml:space="preserve">日内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预付款扣回的方式：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预付款以抵扣工程进度款的方式扣回 </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589" w:name="_Toc16706"/>
      <w:bookmarkStart w:id="590" w:name="_Toc16740"/>
      <w:r>
        <w:rPr>
          <w:rFonts w:ascii="宋体" w:hAnsi="宋体"/>
          <w:b/>
          <w:color w:val="auto"/>
          <w:szCs w:val="21"/>
          <w:highlight w:val="none"/>
        </w:rPr>
        <w:t>12.2.2</w:t>
      </w:r>
      <w:r>
        <w:rPr>
          <w:rFonts w:hint="eastAsia" w:ascii="宋体" w:hAnsi="宋体"/>
          <w:color w:val="auto"/>
          <w:szCs w:val="21"/>
          <w:highlight w:val="none"/>
        </w:rPr>
        <w:t xml:space="preserve">  </w:t>
      </w:r>
      <w:r>
        <w:rPr>
          <w:rFonts w:ascii="宋体" w:hAnsi="宋体"/>
          <w:color w:val="auto"/>
          <w:szCs w:val="21"/>
          <w:highlight w:val="none"/>
        </w:rPr>
        <w:t>预付款担保</w:t>
      </w:r>
      <w:bookmarkEnd w:id="589"/>
      <w:bookmarkEnd w:id="590"/>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承包人提交预付款担保的期限：</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预付款担保的形式为：</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bookmarkEnd w:id="577"/>
      <w:bookmarkEnd w:id="578"/>
      <w:bookmarkEnd w:id="579"/>
      <w:bookmarkEnd w:id="580"/>
      <w:bookmarkEnd w:id="581"/>
      <w:bookmarkEnd w:id="582"/>
      <w:bookmarkEnd w:id="583"/>
      <w:bookmarkEnd w:id="584"/>
      <w:bookmarkEnd w:id="585"/>
      <w:bookmarkEnd w:id="586"/>
      <w:r>
        <w:rPr>
          <w:rFonts w:hint="eastAsia" w:ascii="宋体" w:hAnsi="宋体"/>
          <w:color w:val="auto"/>
          <w:szCs w:val="21"/>
          <w:highlight w:val="none"/>
        </w:rPr>
        <w:t xml:space="preserve"> </w:t>
      </w:r>
    </w:p>
    <w:p>
      <w:pPr>
        <w:spacing w:line="288" w:lineRule="auto"/>
        <w:ind w:firstLine="422" w:firstLineChars="200"/>
        <w:outlineLvl w:val="0"/>
        <w:rPr>
          <w:rFonts w:ascii="宋体" w:hAnsi="宋体"/>
          <w:color w:val="auto"/>
          <w:szCs w:val="21"/>
          <w:highlight w:val="none"/>
        </w:rPr>
      </w:pPr>
      <w:bookmarkStart w:id="591" w:name="_Toc31433"/>
      <w:bookmarkStart w:id="592" w:name="_Toc25972"/>
      <w:r>
        <w:rPr>
          <w:rFonts w:ascii="宋体" w:hAnsi="宋体"/>
          <w:b/>
          <w:color w:val="auto"/>
          <w:szCs w:val="21"/>
          <w:highlight w:val="none"/>
        </w:rPr>
        <w:t>12.3</w:t>
      </w:r>
      <w:r>
        <w:rPr>
          <w:rFonts w:hint="eastAsia" w:ascii="宋体" w:hAnsi="宋体"/>
          <w:color w:val="auto"/>
          <w:szCs w:val="21"/>
          <w:highlight w:val="none"/>
        </w:rPr>
        <w:t xml:space="preserve">  </w:t>
      </w:r>
      <w:r>
        <w:rPr>
          <w:rFonts w:ascii="宋体" w:hAnsi="宋体"/>
          <w:color w:val="auto"/>
          <w:szCs w:val="21"/>
          <w:highlight w:val="none"/>
        </w:rPr>
        <w:t>计量</w:t>
      </w:r>
      <w:bookmarkEnd w:id="591"/>
      <w:bookmarkEnd w:id="592"/>
    </w:p>
    <w:p>
      <w:pPr>
        <w:spacing w:line="288" w:lineRule="auto"/>
        <w:ind w:firstLine="422" w:firstLineChars="200"/>
        <w:jc w:val="left"/>
        <w:outlineLvl w:val="0"/>
        <w:rPr>
          <w:rFonts w:ascii="宋体" w:hAnsi="宋体"/>
          <w:color w:val="auto"/>
          <w:szCs w:val="21"/>
          <w:highlight w:val="none"/>
        </w:rPr>
      </w:pPr>
      <w:bookmarkStart w:id="593" w:name="_Toc32531"/>
      <w:bookmarkStart w:id="594" w:name="_Toc14778"/>
      <w:r>
        <w:rPr>
          <w:rFonts w:ascii="宋体" w:hAnsi="宋体"/>
          <w:b/>
          <w:color w:val="auto"/>
          <w:szCs w:val="21"/>
          <w:highlight w:val="none"/>
        </w:rPr>
        <w:t>12.3.1</w:t>
      </w:r>
      <w:r>
        <w:rPr>
          <w:rFonts w:hint="eastAsia" w:ascii="宋体" w:hAnsi="宋体"/>
          <w:color w:val="auto"/>
          <w:szCs w:val="21"/>
          <w:highlight w:val="none"/>
        </w:rPr>
        <w:t xml:space="preserve">  </w:t>
      </w:r>
      <w:r>
        <w:rPr>
          <w:rFonts w:ascii="宋体" w:hAnsi="宋体"/>
          <w:color w:val="auto"/>
          <w:szCs w:val="21"/>
          <w:highlight w:val="none"/>
        </w:rPr>
        <w:t>计量原则</w:t>
      </w:r>
      <w:bookmarkEnd w:id="593"/>
      <w:bookmarkEnd w:id="594"/>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工程量计算规则：</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rPr>
        <w:t>（1）</w:t>
      </w:r>
      <w:r>
        <w:rPr>
          <w:rFonts w:hint="eastAsia" w:ascii="宋体" w:hAnsi="宋体"/>
          <w:b/>
          <w:color w:val="auto"/>
          <w:szCs w:val="21"/>
          <w:highlight w:val="none"/>
          <w:u w:val="single"/>
        </w:rPr>
        <w:t>实行工程量清单计价的工程项目，其工程量的计算规则应按国家标准工程量计算规范及省级行发包人管部门颁布的补充规定执行。</w:t>
      </w:r>
    </w:p>
    <w:p>
      <w:pPr>
        <w:spacing w:line="288"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rPr>
        <w:t>（2）</w:t>
      </w:r>
      <w:r>
        <w:rPr>
          <w:rFonts w:hint="eastAsia" w:ascii="宋体" w:hAnsi="宋体"/>
          <w:b/>
          <w:color w:val="auto"/>
          <w:szCs w:val="21"/>
          <w:highlight w:val="none"/>
          <w:u w:val="single"/>
        </w:rPr>
        <w:t>不实行工程量清单计价的工程项目，工程量的计算规则应按省、市行发包人管部门颁布的各专业工程定额的工程量计算规则执行。</w:t>
      </w:r>
    </w:p>
    <w:p>
      <w:pPr>
        <w:spacing w:line="288" w:lineRule="auto"/>
        <w:ind w:firstLine="422" w:firstLineChars="200"/>
        <w:jc w:val="left"/>
        <w:outlineLvl w:val="0"/>
        <w:rPr>
          <w:rFonts w:ascii="宋体" w:hAnsi="宋体"/>
          <w:color w:val="auto"/>
          <w:szCs w:val="21"/>
          <w:highlight w:val="none"/>
        </w:rPr>
      </w:pPr>
      <w:bookmarkStart w:id="595" w:name="_Toc6532"/>
      <w:bookmarkStart w:id="596" w:name="_Toc17913"/>
      <w:r>
        <w:rPr>
          <w:rFonts w:ascii="宋体" w:hAnsi="宋体"/>
          <w:b/>
          <w:color w:val="auto"/>
          <w:szCs w:val="21"/>
          <w:highlight w:val="none"/>
        </w:rPr>
        <w:t>12.3.2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计量周期</w:t>
      </w:r>
      <w:bookmarkEnd w:id="595"/>
      <w:bookmarkEnd w:id="596"/>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关于计量周期的约定：</w:t>
      </w:r>
      <w:r>
        <w:rPr>
          <w:rFonts w:ascii="宋体" w:hAnsi="宋体"/>
          <w:color w:val="auto"/>
          <w:szCs w:val="21"/>
          <w:highlight w:val="none"/>
          <w:u w:val="single"/>
        </w:rPr>
        <w:t xml:space="preserve">  </w:t>
      </w:r>
      <w:r>
        <w:rPr>
          <w:rFonts w:hint="eastAsia" w:ascii="宋体" w:hAnsi="宋体"/>
          <w:bCs/>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597" w:name="_Toc26227"/>
      <w:bookmarkStart w:id="598" w:name="_Toc26297"/>
      <w:r>
        <w:rPr>
          <w:rFonts w:ascii="宋体" w:hAnsi="宋体"/>
          <w:b/>
          <w:color w:val="auto"/>
          <w:szCs w:val="21"/>
          <w:highlight w:val="none"/>
        </w:rPr>
        <w:t>12.3.3</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单价合同的计量</w:t>
      </w:r>
      <w:bookmarkEnd w:id="597"/>
      <w:bookmarkEnd w:id="598"/>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关于单价合同计量的约定：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599" w:name="_Toc4588"/>
      <w:bookmarkStart w:id="600" w:name="_Toc29772"/>
      <w:r>
        <w:rPr>
          <w:rFonts w:ascii="宋体" w:hAnsi="宋体"/>
          <w:b/>
          <w:color w:val="auto"/>
          <w:szCs w:val="21"/>
          <w:highlight w:val="none"/>
        </w:rPr>
        <w:t>12.3.4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总价合同的计量</w:t>
      </w:r>
      <w:bookmarkEnd w:id="599"/>
      <w:bookmarkEnd w:id="600"/>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关于总价合同计量的约定：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601" w:name="_Toc20609"/>
      <w:bookmarkStart w:id="602" w:name="_Toc3624"/>
      <w:r>
        <w:rPr>
          <w:rFonts w:ascii="宋体" w:hAnsi="宋体"/>
          <w:b/>
          <w:color w:val="auto"/>
          <w:szCs w:val="21"/>
          <w:highlight w:val="none"/>
        </w:rPr>
        <w:t>12.3.5</w:t>
      </w:r>
      <w:r>
        <w:rPr>
          <w:rFonts w:hint="eastAsia" w:ascii="宋体" w:hAnsi="宋体"/>
          <w:b/>
          <w:color w:val="auto"/>
          <w:szCs w:val="21"/>
          <w:highlight w:val="none"/>
        </w:rPr>
        <w:t xml:space="preserve">  </w:t>
      </w:r>
      <w:r>
        <w:rPr>
          <w:rFonts w:ascii="宋体" w:hAnsi="宋体"/>
          <w:color w:val="auto"/>
          <w:szCs w:val="21"/>
          <w:highlight w:val="none"/>
        </w:rPr>
        <w:t>总价合同采用支付分解表计量支付的，是否适用第</w:t>
      </w:r>
      <w:r>
        <w:rPr>
          <w:rFonts w:ascii="宋体" w:hAnsi="宋体"/>
          <w:color w:val="auto"/>
          <w:kern w:val="0"/>
          <w:szCs w:val="21"/>
          <w:highlight w:val="none"/>
        </w:rPr>
        <w:t xml:space="preserve">12.3.4 </w:t>
      </w:r>
      <w:r>
        <w:rPr>
          <w:rFonts w:ascii="宋体" w:hAnsi="宋体"/>
          <w:color w:val="auto"/>
          <w:szCs w:val="21"/>
          <w:highlight w:val="none"/>
        </w:rPr>
        <w:t>项</w:t>
      </w:r>
      <w:r>
        <w:rPr>
          <w:rFonts w:hint="eastAsia" w:ascii="宋体" w:hAnsi="宋体"/>
          <w:color w:val="auto"/>
          <w:kern w:val="0"/>
          <w:szCs w:val="21"/>
          <w:highlight w:val="none"/>
        </w:rPr>
        <w:t>〔</w:t>
      </w:r>
      <w:r>
        <w:rPr>
          <w:rFonts w:ascii="宋体" w:hAnsi="宋体"/>
          <w:color w:val="auto"/>
          <w:kern w:val="0"/>
          <w:szCs w:val="21"/>
          <w:highlight w:val="none"/>
        </w:rPr>
        <w:t>总价合同的计量</w:t>
      </w:r>
      <w:r>
        <w:rPr>
          <w:rFonts w:hint="eastAsia" w:ascii="宋体" w:hAnsi="宋体"/>
          <w:color w:val="auto"/>
          <w:kern w:val="0"/>
          <w:szCs w:val="21"/>
          <w:highlight w:val="none"/>
        </w:rPr>
        <w:t>〕</w:t>
      </w:r>
      <w:r>
        <w:rPr>
          <w:rFonts w:ascii="宋体" w:hAnsi="宋体"/>
          <w:color w:val="auto"/>
          <w:szCs w:val="21"/>
          <w:highlight w:val="none"/>
        </w:rPr>
        <w:t>约定</w:t>
      </w:r>
      <w:r>
        <w:rPr>
          <w:rFonts w:hint="eastAsia" w:ascii="宋体" w:hAnsi="宋体"/>
          <w:color w:val="auto"/>
          <w:szCs w:val="21"/>
          <w:highlight w:val="none"/>
        </w:rPr>
        <w:t>进行计量：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bookmarkEnd w:id="601"/>
      <w:bookmarkEnd w:id="602"/>
    </w:p>
    <w:p>
      <w:pPr>
        <w:spacing w:line="288" w:lineRule="auto"/>
        <w:ind w:firstLine="422" w:firstLineChars="200"/>
        <w:jc w:val="left"/>
        <w:outlineLvl w:val="0"/>
        <w:rPr>
          <w:rFonts w:ascii="宋体" w:hAnsi="宋体"/>
          <w:color w:val="auto"/>
          <w:szCs w:val="21"/>
          <w:highlight w:val="none"/>
        </w:rPr>
      </w:pPr>
      <w:bookmarkStart w:id="603" w:name="_Toc16273"/>
      <w:bookmarkStart w:id="604" w:name="_Toc28006"/>
      <w:r>
        <w:rPr>
          <w:rFonts w:ascii="宋体" w:hAnsi="宋体"/>
          <w:b/>
          <w:color w:val="auto"/>
          <w:szCs w:val="21"/>
          <w:highlight w:val="none"/>
        </w:rPr>
        <w:t>12.3.6</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其他价格形式合同的计量</w:t>
      </w:r>
      <w:bookmarkEnd w:id="603"/>
      <w:bookmarkEnd w:id="604"/>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其他价格形式的计量方式和程序：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605" w:name="_Toc11142"/>
      <w:bookmarkStart w:id="606" w:name="_Toc26759"/>
      <w:r>
        <w:rPr>
          <w:rFonts w:ascii="宋体" w:hAnsi="宋体"/>
          <w:b/>
          <w:color w:val="auto"/>
          <w:szCs w:val="21"/>
          <w:highlight w:val="none"/>
        </w:rPr>
        <w:t>12.4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工程进度款支付</w:t>
      </w:r>
      <w:bookmarkEnd w:id="605"/>
      <w:bookmarkEnd w:id="606"/>
    </w:p>
    <w:p>
      <w:pPr>
        <w:spacing w:line="288" w:lineRule="auto"/>
        <w:ind w:firstLine="422" w:firstLineChars="200"/>
        <w:jc w:val="left"/>
        <w:outlineLvl w:val="0"/>
        <w:rPr>
          <w:rFonts w:ascii="宋体" w:hAnsi="宋体"/>
          <w:color w:val="auto"/>
          <w:szCs w:val="21"/>
          <w:highlight w:val="none"/>
        </w:rPr>
      </w:pPr>
      <w:bookmarkStart w:id="607" w:name="_Toc18342"/>
      <w:bookmarkStart w:id="608" w:name="_Toc5770"/>
      <w:bookmarkStart w:id="609" w:name="_Toc296891039"/>
      <w:bookmarkStart w:id="610" w:name="_Toc297048397"/>
      <w:bookmarkStart w:id="611" w:name="_Toc296503211"/>
      <w:bookmarkStart w:id="612" w:name="_Toc292559921"/>
      <w:bookmarkStart w:id="613" w:name="_Toc296891251"/>
      <w:bookmarkStart w:id="614" w:name="_Toc300935006"/>
      <w:bookmarkStart w:id="615" w:name="_Toc297216215"/>
      <w:bookmarkStart w:id="616" w:name="_Toc297120511"/>
      <w:bookmarkStart w:id="617" w:name="_Toc296346712"/>
      <w:bookmarkStart w:id="618" w:name="_Toc303539163"/>
      <w:bookmarkStart w:id="619" w:name="_Toc292559416"/>
      <w:bookmarkStart w:id="620" w:name="_Toc296944550"/>
      <w:bookmarkStart w:id="621" w:name="_Toc296347210"/>
      <w:bookmarkStart w:id="622" w:name="_Toc297123556"/>
      <w:r>
        <w:rPr>
          <w:rFonts w:ascii="宋体" w:hAnsi="宋体"/>
          <w:b/>
          <w:color w:val="auto"/>
          <w:szCs w:val="21"/>
          <w:highlight w:val="none"/>
        </w:rPr>
        <w:t>12.4.1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付款周期</w:t>
      </w:r>
      <w:bookmarkEnd w:id="607"/>
      <w:bookmarkEnd w:id="608"/>
    </w:p>
    <w:p>
      <w:pPr>
        <w:spacing w:line="288" w:lineRule="auto"/>
        <w:ind w:firstLine="422" w:firstLineChars="200"/>
        <w:rPr>
          <w:rFonts w:ascii="宋体" w:hAnsi="宋体" w:cs="Courier New"/>
          <w:b/>
          <w:color w:val="auto"/>
          <w:szCs w:val="21"/>
          <w:highlight w:val="none"/>
          <w:u w:val="single"/>
        </w:rPr>
      </w:pPr>
      <w:r>
        <w:rPr>
          <w:rFonts w:ascii="宋体" w:hAnsi="宋体"/>
          <w:b/>
          <w:color w:val="auto"/>
          <w:szCs w:val="21"/>
          <w:highlight w:val="none"/>
        </w:rPr>
        <w:t>关于付款周期的约定：</w:t>
      </w:r>
      <w:bookmarkStart w:id="623" w:name="_Hlk136336514"/>
      <w:r>
        <w:rPr>
          <w:rFonts w:hint="eastAsia" w:ascii="宋体" w:hAnsi="宋体"/>
          <w:color w:val="auto"/>
          <w:szCs w:val="21"/>
          <w:highlight w:val="none"/>
          <w:u w:val="single"/>
        </w:rPr>
        <w:t>合同签订后</w:t>
      </w:r>
      <w:r>
        <w:rPr>
          <w:rFonts w:hint="eastAsia" w:ascii="宋体" w:hAnsi="宋体" w:cs="Arial"/>
          <w:color w:val="auto"/>
          <w:kern w:val="0"/>
          <w:szCs w:val="21"/>
          <w:highlight w:val="none"/>
          <w:u w:val="single"/>
        </w:rPr>
        <w:t>7个工作</w:t>
      </w:r>
      <w:r>
        <w:rPr>
          <w:rFonts w:hint="eastAsia" w:ascii="宋体" w:hAnsi="宋体"/>
          <w:color w:val="auto"/>
          <w:szCs w:val="21"/>
          <w:highlight w:val="none"/>
          <w:u w:val="single"/>
        </w:rPr>
        <w:t>日内乙方支付工程合同总价的</w:t>
      </w:r>
      <w:r>
        <w:rPr>
          <w:rFonts w:hint="eastAsia" w:ascii="宋体" w:hAnsi="宋体" w:cs="Arial"/>
          <w:color w:val="auto"/>
          <w:kern w:val="0"/>
          <w:szCs w:val="21"/>
          <w:highlight w:val="none"/>
          <w:u w:val="single"/>
        </w:rPr>
        <w:t>2%</w:t>
      </w:r>
      <w:r>
        <w:rPr>
          <w:rFonts w:hint="eastAsia" w:ascii="宋体" w:hAnsi="宋体"/>
          <w:color w:val="auto"/>
          <w:szCs w:val="21"/>
          <w:highlight w:val="none"/>
          <w:u w:val="single"/>
        </w:rPr>
        <w:t>作为履约保证金（履约保证金的形式：</w:t>
      </w:r>
      <w:r>
        <w:rPr>
          <w:rStyle w:val="41"/>
          <w:rFonts w:ascii="宋体" w:hAnsi="宋体"/>
          <w:color w:val="auto"/>
          <w:szCs w:val="21"/>
          <w:highlight w:val="none"/>
          <w:u w:val="single"/>
        </w:rPr>
        <w:t>支票/汇票/电汇/银行、保险公司出具的保函</w:t>
      </w:r>
      <w:r>
        <w:rPr>
          <w:rFonts w:hint="eastAsia" w:ascii="宋体" w:hAnsi="宋体"/>
          <w:color w:val="auto"/>
          <w:szCs w:val="21"/>
          <w:highlight w:val="none"/>
          <w:u w:val="single"/>
        </w:rPr>
        <w:t>），汇入甲方指定账户；甲方在合同签订后</w:t>
      </w:r>
      <w:r>
        <w:rPr>
          <w:rFonts w:hint="eastAsia" w:ascii="宋体" w:hAnsi="宋体" w:cs="Arial"/>
          <w:color w:val="auto"/>
          <w:kern w:val="0"/>
          <w:szCs w:val="21"/>
          <w:highlight w:val="none"/>
          <w:u w:val="single"/>
        </w:rPr>
        <w:t>7个工作</w:t>
      </w:r>
      <w:r>
        <w:rPr>
          <w:rFonts w:hint="eastAsia" w:ascii="宋体" w:hAnsi="宋体"/>
          <w:color w:val="auto"/>
          <w:szCs w:val="21"/>
          <w:highlight w:val="none"/>
          <w:u w:val="single"/>
        </w:rPr>
        <w:t>日内支付工程合同总价的40%</w:t>
      </w:r>
      <w:r>
        <w:rPr>
          <w:rFonts w:eastAsiaTheme="minorEastAsia"/>
          <w:b/>
          <w:color w:val="auto"/>
          <w:szCs w:val="21"/>
          <w:highlight w:val="none"/>
          <w:u w:val="single"/>
        </w:rPr>
        <w:t>（含安全文明施工费的60%）</w:t>
      </w:r>
      <w:r>
        <w:rPr>
          <w:rFonts w:hint="eastAsia" w:ascii="宋体" w:hAnsi="宋体"/>
          <w:color w:val="auto"/>
          <w:szCs w:val="21"/>
          <w:highlight w:val="none"/>
          <w:u w:val="single"/>
        </w:rPr>
        <w:t>作为预付款</w:t>
      </w:r>
      <w:r>
        <w:rPr>
          <w:rFonts w:hint="eastAsia" w:eastAsiaTheme="minorEastAsia"/>
          <w:color w:val="auto"/>
          <w:szCs w:val="21"/>
          <w:highlight w:val="none"/>
          <w:u w:val="single"/>
        </w:rPr>
        <w:t>（预付款以抵扣工程进度款的方式扣回）</w:t>
      </w:r>
      <w:r>
        <w:rPr>
          <w:rFonts w:hint="eastAsia" w:ascii="宋体" w:hAnsi="宋体"/>
          <w:color w:val="auto"/>
          <w:szCs w:val="21"/>
          <w:highlight w:val="none"/>
          <w:u w:val="single"/>
        </w:rPr>
        <w:t>；</w:t>
      </w:r>
      <w:r>
        <w:rPr>
          <w:rFonts w:eastAsiaTheme="minorEastAsia"/>
          <w:color w:val="auto"/>
          <w:szCs w:val="21"/>
          <w:highlight w:val="none"/>
          <w:u w:val="single"/>
        </w:rPr>
        <w:t>工程验收合格后</w:t>
      </w:r>
      <w:r>
        <w:rPr>
          <w:rFonts w:hint="eastAsia" w:eastAsiaTheme="minorEastAsia"/>
          <w:color w:val="auto"/>
          <w:szCs w:val="21"/>
          <w:highlight w:val="none"/>
          <w:u w:val="single"/>
        </w:rPr>
        <w:t>扣回预付款</w:t>
      </w:r>
      <w:r>
        <w:rPr>
          <w:rFonts w:eastAsiaTheme="minorEastAsia"/>
          <w:color w:val="auto"/>
          <w:szCs w:val="21"/>
          <w:highlight w:val="none"/>
          <w:u w:val="single"/>
        </w:rPr>
        <w:t>支付至工程合同总价的80%；</w:t>
      </w:r>
      <w:r>
        <w:rPr>
          <w:rFonts w:hint="eastAsia" w:ascii="宋体" w:hAnsi="宋体"/>
          <w:color w:val="auto"/>
          <w:szCs w:val="21"/>
          <w:highlight w:val="none"/>
          <w:u w:val="single"/>
        </w:rPr>
        <w:t>工程审核定案后，乙方向甲方缴纳工程审核价的1.5%作为质量保证金，甲方收到质量保证金后7个工作日内支付至审核价的</w:t>
      </w:r>
      <w:r>
        <w:rPr>
          <w:rFonts w:hint="eastAsia" w:ascii="宋体" w:hAnsi="宋体" w:cs="Courier New"/>
          <w:color w:val="auto"/>
          <w:szCs w:val="21"/>
          <w:highlight w:val="none"/>
          <w:u w:val="single"/>
        </w:rPr>
        <w:t>100%</w:t>
      </w:r>
      <w:r>
        <w:rPr>
          <w:rFonts w:hint="eastAsia" w:ascii="宋体" w:hAnsi="宋体"/>
          <w:b/>
          <w:color w:val="auto"/>
          <w:szCs w:val="21"/>
          <w:highlight w:val="none"/>
          <w:u w:val="single"/>
        </w:rPr>
        <w:t>。</w:t>
      </w:r>
    </w:p>
    <w:bookmarkEnd w:id="623"/>
    <w:p>
      <w:pPr>
        <w:spacing w:line="288" w:lineRule="auto"/>
        <w:ind w:firstLine="422" w:firstLineChars="200"/>
        <w:jc w:val="left"/>
        <w:outlineLvl w:val="0"/>
        <w:rPr>
          <w:rFonts w:ascii="宋体" w:hAnsi="宋体"/>
          <w:color w:val="auto"/>
          <w:szCs w:val="21"/>
          <w:highlight w:val="none"/>
        </w:rPr>
      </w:pPr>
      <w:bookmarkStart w:id="624" w:name="_Toc9970"/>
      <w:bookmarkStart w:id="625" w:name="_Toc31365"/>
      <w:r>
        <w:rPr>
          <w:rFonts w:ascii="宋体" w:hAnsi="宋体"/>
          <w:b/>
          <w:color w:val="auto"/>
          <w:szCs w:val="21"/>
          <w:highlight w:val="none"/>
        </w:rPr>
        <w:t>12.4.2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进度付款申请单的编制</w:t>
      </w:r>
      <w:bookmarkEnd w:id="624"/>
      <w:bookmarkEnd w:id="625"/>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关于进度付款申请单编制的约定：</w:t>
      </w:r>
      <w:r>
        <w:rPr>
          <w:rFonts w:hint="eastAsia" w:ascii="宋体" w:hAnsi="宋体"/>
          <w:bCs/>
          <w:color w:val="auto"/>
          <w:szCs w:val="21"/>
          <w:highlight w:val="none"/>
          <w:u w:val="single"/>
        </w:rPr>
        <w:t>除变更、质量保证金、索赔另行约定外，按通用合同条款约定</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626" w:name="_Toc13062"/>
      <w:bookmarkStart w:id="627" w:name="_Toc24563"/>
      <w:r>
        <w:rPr>
          <w:rFonts w:ascii="宋体" w:hAnsi="宋体"/>
          <w:b/>
          <w:color w:val="auto"/>
          <w:szCs w:val="21"/>
          <w:highlight w:val="none"/>
        </w:rPr>
        <w:t>1</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Fonts w:ascii="宋体" w:hAnsi="宋体"/>
          <w:b/>
          <w:color w:val="auto"/>
          <w:szCs w:val="21"/>
          <w:highlight w:val="none"/>
        </w:rPr>
        <w:t>2.4.3</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进度付款申请单的提交</w:t>
      </w:r>
      <w:bookmarkEnd w:id="626"/>
      <w:bookmarkEnd w:id="627"/>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rPr>
        <w:t>：</w:t>
      </w:r>
      <w:r>
        <w:rPr>
          <w:rFonts w:hint="eastAsia" w:ascii="宋体" w:hAnsi="宋体"/>
          <w:bCs/>
          <w:color w:val="auto"/>
          <w:szCs w:val="21"/>
          <w:highlight w:val="none"/>
          <w:u w:val="single"/>
        </w:rPr>
        <w:t>按通用合同条款约定</w:t>
      </w:r>
      <w:r>
        <w:rPr>
          <w:rFonts w:ascii="宋体" w:hAnsi="宋体"/>
          <w:color w:val="auto"/>
          <w:szCs w:val="21"/>
          <w:highlight w:val="none"/>
        </w:rPr>
        <w:t>。</w:t>
      </w:r>
      <w:r>
        <w:rPr>
          <w:rFonts w:hint="eastAsia" w:ascii="宋体" w:hAnsi="宋体"/>
          <w:color w:val="auto"/>
          <w:szCs w:val="21"/>
          <w:highlight w:val="none"/>
        </w:rPr>
        <w:t xml:space="preserve"> </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（3）其他价格形式合同进度付款申请单提交的约定：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628" w:name="_Toc28939"/>
      <w:bookmarkStart w:id="629" w:name="_Toc14904"/>
      <w:r>
        <w:rPr>
          <w:rFonts w:ascii="宋体" w:hAnsi="宋体"/>
          <w:b/>
          <w:color w:val="auto"/>
          <w:szCs w:val="21"/>
          <w:highlight w:val="none"/>
        </w:rPr>
        <w:t>12.4.4</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进度款审核和支付</w:t>
      </w:r>
      <w:bookmarkEnd w:id="628"/>
      <w:bookmarkEnd w:id="629"/>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发包人完成审批并签发进度款支付证书的期限：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发包人逾期支付进度款的违约金的计算方式：</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630" w:name="_Toc4010"/>
      <w:bookmarkStart w:id="631" w:name="_Toc12201"/>
      <w:r>
        <w:rPr>
          <w:rFonts w:ascii="宋体" w:hAnsi="宋体"/>
          <w:b/>
          <w:color w:val="auto"/>
          <w:szCs w:val="21"/>
          <w:highlight w:val="none"/>
        </w:rPr>
        <w:t>12.4.6</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支付分解表的编制</w:t>
      </w:r>
      <w:bookmarkEnd w:id="630"/>
      <w:bookmarkEnd w:id="631"/>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总价合同支付分解表的编制与审批：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单价合同的总价项目支付分解表的编制与审批：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bookmarkEnd w:id="442"/>
      <w:bookmarkStart w:id="632" w:name="_Toc361220574"/>
      <w:bookmarkStart w:id="633" w:name="_Toc303539172"/>
      <w:bookmarkStart w:id="634" w:name="_Toc296346720"/>
      <w:bookmarkStart w:id="635" w:name="_Toc296944558"/>
      <w:bookmarkStart w:id="636" w:name="_Toc297120519"/>
      <w:bookmarkStart w:id="637" w:name="_Toc296347218"/>
      <w:bookmarkStart w:id="638" w:name="_Toc296891047"/>
      <w:bookmarkStart w:id="639" w:name="_Toc292559424"/>
      <w:bookmarkStart w:id="640" w:name="_Toc312678053"/>
      <w:bookmarkStart w:id="641" w:name="_Toc296891259"/>
      <w:bookmarkStart w:id="642" w:name="_Toc292559929"/>
      <w:bookmarkStart w:id="643" w:name="_Toc300935015"/>
      <w:bookmarkStart w:id="644" w:name="_Toc296503219"/>
      <w:bookmarkStart w:id="645" w:name="_Toc304295593"/>
      <w:bookmarkStart w:id="646" w:name="_Toc297123564"/>
      <w:bookmarkStart w:id="647" w:name="_Toc297048405"/>
      <w:bookmarkStart w:id="648" w:name="_Toc297216223"/>
    </w:p>
    <w:p>
      <w:pPr>
        <w:spacing w:line="288" w:lineRule="auto"/>
        <w:ind w:firstLine="422" w:firstLineChars="200"/>
        <w:outlineLvl w:val="0"/>
        <w:rPr>
          <w:rFonts w:ascii="宋体" w:hAnsi="宋体"/>
          <w:color w:val="auto"/>
          <w:szCs w:val="21"/>
          <w:highlight w:val="none"/>
        </w:rPr>
      </w:pPr>
      <w:bookmarkStart w:id="649" w:name="_Toc5831"/>
      <w:bookmarkStart w:id="650" w:name="_Toc27514"/>
      <w:r>
        <w:rPr>
          <w:rFonts w:ascii="宋体" w:hAnsi="宋体"/>
          <w:b/>
          <w:color w:val="auto"/>
          <w:szCs w:val="21"/>
          <w:highlight w:val="none"/>
        </w:rPr>
        <w:t>13</w:t>
      </w:r>
      <w:r>
        <w:rPr>
          <w:rFonts w:hint="eastAsia" w:ascii="宋体" w:hAnsi="宋体"/>
          <w:color w:val="auto"/>
          <w:szCs w:val="21"/>
          <w:highlight w:val="none"/>
        </w:rPr>
        <w:t xml:space="preserve">  </w:t>
      </w:r>
      <w:r>
        <w:rPr>
          <w:rFonts w:ascii="宋体" w:hAnsi="宋体"/>
          <w:color w:val="auto"/>
          <w:szCs w:val="21"/>
          <w:highlight w:val="none"/>
        </w:rPr>
        <w:t>验收和工程试车</w:t>
      </w:r>
      <w:bookmarkEnd w:id="632"/>
      <w:bookmarkEnd w:id="649"/>
      <w:bookmarkEnd w:id="650"/>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Pr>
        <w:spacing w:line="288" w:lineRule="auto"/>
        <w:ind w:firstLine="422" w:firstLineChars="200"/>
        <w:outlineLvl w:val="0"/>
        <w:rPr>
          <w:rFonts w:ascii="宋体" w:hAnsi="宋体"/>
          <w:color w:val="auto"/>
          <w:szCs w:val="21"/>
          <w:highlight w:val="none"/>
        </w:rPr>
      </w:pPr>
      <w:bookmarkStart w:id="651" w:name="_Toc27640"/>
      <w:bookmarkStart w:id="652" w:name="_Toc3721"/>
      <w:r>
        <w:rPr>
          <w:rFonts w:ascii="宋体" w:hAnsi="宋体"/>
          <w:b/>
          <w:color w:val="auto"/>
          <w:szCs w:val="21"/>
          <w:highlight w:val="none"/>
        </w:rPr>
        <w:t>13.1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分部分项工程验收</w:t>
      </w:r>
      <w:bookmarkEnd w:id="651"/>
      <w:bookmarkEnd w:id="652"/>
    </w:p>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13.1.2</w:t>
      </w:r>
      <w:r>
        <w:rPr>
          <w:rFonts w:hint="eastAsia" w:ascii="宋体" w:hAnsi="宋体"/>
          <w:b/>
          <w:color w:val="auto"/>
          <w:szCs w:val="21"/>
          <w:highlight w:val="none"/>
        </w:rPr>
        <w:t xml:space="preserve">  </w:t>
      </w:r>
      <w:r>
        <w:rPr>
          <w:rFonts w:ascii="宋体" w:hAnsi="宋体"/>
          <w:color w:val="auto"/>
          <w:szCs w:val="21"/>
          <w:highlight w:val="none"/>
        </w:rPr>
        <w:t>监理人不能按时进行验收时，应提前</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pPr>
        <w:spacing w:line="288" w:lineRule="auto"/>
        <w:ind w:firstLine="420" w:firstLineChars="200"/>
        <w:jc w:val="left"/>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小时。</w:t>
      </w:r>
    </w:p>
    <w:p>
      <w:pPr>
        <w:spacing w:line="288" w:lineRule="auto"/>
        <w:ind w:firstLine="422" w:firstLineChars="200"/>
        <w:outlineLvl w:val="0"/>
        <w:rPr>
          <w:rFonts w:ascii="宋体" w:hAnsi="宋体"/>
          <w:color w:val="auto"/>
          <w:szCs w:val="21"/>
          <w:highlight w:val="none"/>
        </w:rPr>
      </w:pPr>
      <w:bookmarkStart w:id="653" w:name="_Toc21926"/>
      <w:bookmarkStart w:id="654" w:name="_Toc15832"/>
      <w:bookmarkStart w:id="655" w:name="_Toc296891263"/>
      <w:bookmarkStart w:id="656" w:name="_Toc296503223"/>
      <w:bookmarkStart w:id="657" w:name="_Toc297120523"/>
      <w:bookmarkStart w:id="658" w:name="_Toc297048409"/>
      <w:bookmarkStart w:id="659" w:name="_Toc312678056"/>
      <w:bookmarkStart w:id="660" w:name="_Toc292559428"/>
      <w:bookmarkStart w:id="661" w:name="_Toc296347222"/>
      <w:bookmarkStart w:id="662" w:name="_Toc297123565"/>
      <w:bookmarkStart w:id="663" w:name="_Toc300935016"/>
      <w:bookmarkStart w:id="664" w:name="_Toc297216224"/>
      <w:bookmarkStart w:id="665" w:name="_Toc303539173"/>
      <w:bookmarkStart w:id="666" w:name="_Toc296944562"/>
      <w:bookmarkStart w:id="667" w:name="_Toc292559933"/>
      <w:bookmarkStart w:id="668" w:name="_Toc296346724"/>
      <w:bookmarkStart w:id="669" w:name="_Toc296891051"/>
      <w:bookmarkStart w:id="670" w:name="_Toc304295596"/>
      <w:bookmarkStart w:id="671" w:name="_Toc267251476"/>
      <w:bookmarkStart w:id="672" w:name="_Toc267251475"/>
      <w:bookmarkStart w:id="673" w:name="_Toc267251474"/>
      <w:bookmarkStart w:id="674" w:name="_Toc267251472"/>
      <w:bookmarkStart w:id="675" w:name="_Toc267251470"/>
      <w:bookmarkStart w:id="676" w:name="_Toc267251473"/>
      <w:bookmarkStart w:id="677" w:name="_Toc267251471"/>
      <w:r>
        <w:rPr>
          <w:rFonts w:ascii="宋体" w:hAnsi="宋体"/>
          <w:b/>
          <w:color w:val="auto"/>
          <w:szCs w:val="21"/>
          <w:highlight w:val="none"/>
        </w:rPr>
        <w:t>13.2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竣工验收</w:t>
      </w:r>
      <w:bookmarkEnd w:id="653"/>
      <w:bookmarkEnd w:id="654"/>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Pr>
        <w:spacing w:line="288" w:lineRule="auto"/>
        <w:ind w:firstLine="422" w:firstLineChars="200"/>
        <w:jc w:val="left"/>
        <w:rPr>
          <w:rFonts w:ascii="宋体" w:hAnsi="宋体"/>
          <w:color w:val="auto"/>
          <w:szCs w:val="21"/>
          <w:highlight w:val="none"/>
        </w:rPr>
      </w:pPr>
      <w:bookmarkStart w:id="678" w:name="_Toc280868704"/>
      <w:bookmarkStart w:id="679" w:name="_Toc280868705"/>
      <w:bookmarkStart w:id="680" w:name="_Toc280868706"/>
      <w:bookmarkStart w:id="681" w:name="_Toc280868707"/>
      <w:bookmarkStart w:id="682" w:name="_Toc280868708"/>
      <w:bookmarkStart w:id="683" w:name="_Toc280868709"/>
      <w:r>
        <w:rPr>
          <w:rFonts w:ascii="宋体" w:hAnsi="宋体"/>
          <w:b/>
          <w:color w:val="auto"/>
          <w:szCs w:val="21"/>
          <w:highlight w:val="none"/>
        </w:rPr>
        <w:t>13.2.2</w:t>
      </w:r>
      <w:r>
        <w:rPr>
          <w:rFonts w:hint="eastAsia" w:ascii="宋体" w:hAnsi="宋体"/>
          <w:b/>
          <w:color w:val="auto"/>
          <w:szCs w:val="21"/>
          <w:highlight w:val="none"/>
        </w:rPr>
        <w:t xml:space="preserve">  </w:t>
      </w:r>
      <w:r>
        <w:rPr>
          <w:rFonts w:ascii="宋体" w:hAnsi="宋体"/>
          <w:color w:val="auto"/>
          <w:szCs w:val="21"/>
          <w:highlight w:val="none"/>
        </w:rPr>
        <w:t>竣工验收程序</w:t>
      </w:r>
    </w:p>
    <w:bookmarkEnd w:id="678"/>
    <w:p>
      <w:pPr>
        <w:spacing w:line="288" w:lineRule="auto"/>
        <w:ind w:firstLine="420" w:firstLineChars="200"/>
        <w:jc w:val="left"/>
        <w:rPr>
          <w:rFonts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发包人不按照本项约定组织竣工验收、颁发工程接收证书的违约金的计算方法：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bookmarkEnd w:id="679"/>
    <w:p>
      <w:pPr>
        <w:spacing w:line="288" w:lineRule="auto"/>
        <w:ind w:firstLine="422" w:firstLineChars="200"/>
        <w:jc w:val="left"/>
        <w:outlineLvl w:val="0"/>
        <w:rPr>
          <w:rFonts w:ascii="宋体" w:hAnsi="宋体"/>
          <w:color w:val="auto"/>
          <w:szCs w:val="21"/>
          <w:highlight w:val="none"/>
        </w:rPr>
      </w:pPr>
      <w:bookmarkStart w:id="684" w:name="_Toc13333"/>
      <w:bookmarkStart w:id="685" w:name="_Toc16539"/>
      <w:r>
        <w:rPr>
          <w:rFonts w:ascii="宋体" w:hAnsi="宋体"/>
          <w:b/>
          <w:color w:val="auto"/>
          <w:szCs w:val="21"/>
          <w:highlight w:val="none"/>
        </w:rPr>
        <w:t>13.2.5</w:t>
      </w:r>
      <w:r>
        <w:rPr>
          <w:rFonts w:hint="eastAsia" w:ascii="宋体" w:hAnsi="宋体"/>
          <w:b/>
          <w:color w:val="auto"/>
          <w:szCs w:val="21"/>
          <w:highlight w:val="none"/>
        </w:rPr>
        <w:t xml:space="preserve">  </w:t>
      </w:r>
      <w:r>
        <w:rPr>
          <w:rFonts w:ascii="宋体" w:hAnsi="宋体"/>
          <w:color w:val="auto"/>
          <w:szCs w:val="21"/>
          <w:highlight w:val="none"/>
        </w:rPr>
        <w:t>移交、接收全部与部分工程</w:t>
      </w:r>
      <w:bookmarkEnd w:id="684"/>
      <w:bookmarkEnd w:id="685"/>
    </w:p>
    <w:bookmarkEnd w:id="680"/>
    <w:p>
      <w:pPr>
        <w:spacing w:line="288"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承包人向发包人移交工程的期限：</w:t>
      </w:r>
      <w:r>
        <w:rPr>
          <w:rFonts w:hint="eastAsia" w:ascii="宋体" w:hAnsi="宋体"/>
          <w:bCs/>
          <w:color w:val="auto"/>
          <w:szCs w:val="21"/>
          <w:highlight w:val="none"/>
          <w:u w:val="single"/>
        </w:rPr>
        <w:t>按通用合同条款约定</w:t>
      </w:r>
      <w:r>
        <w:rPr>
          <w:rFonts w:hint="eastAsia" w:ascii="宋体" w:hAnsi="宋体"/>
          <w:color w:val="auto"/>
          <w:szCs w:val="21"/>
          <w:highlight w:val="none"/>
        </w:rPr>
        <w:t>。</w:t>
      </w:r>
    </w:p>
    <w:p>
      <w:pPr>
        <w:spacing w:line="288" w:lineRule="auto"/>
        <w:ind w:firstLine="420" w:firstLineChars="200"/>
        <w:jc w:val="left"/>
        <w:rPr>
          <w:rFonts w:ascii="宋体" w:hAnsi="宋体"/>
          <w:color w:val="auto"/>
          <w:szCs w:val="21"/>
          <w:highlight w:val="none"/>
          <w:u w:val="single"/>
        </w:rPr>
      </w:pPr>
      <w:r>
        <w:rPr>
          <w:rFonts w:ascii="宋体" w:hAnsi="宋体"/>
          <w:color w:val="auto"/>
          <w:kern w:val="0"/>
          <w:szCs w:val="21"/>
          <w:highlight w:val="none"/>
        </w:rPr>
        <w:t>发包人未按本合同约定接收全部或部分工程的，违约金的计算方法为：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bookmarkEnd w:id="681"/>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承包人未按时移交工程的，违约金的计算方法为：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686" w:name="_Toc14300"/>
      <w:bookmarkStart w:id="687" w:name="_Toc163"/>
      <w:r>
        <w:rPr>
          <w:rFonts w:ascii="宋体" w:hAnsi="宋体"/>
          <w:b/>
          <w:color w:val="auto"/>
          <w:szCs w:val="21"/>
          <w:highlight w:val="none"/>
        </w:rPr>
        <w:t>13.3</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工程试车</w:t>
      </w:r>
      <w:bookmarkEnd w:id="686"/>
      <w:bookmarkEnd w:id="687"/>
    </w:p>
    <w:bookmarkEnd w:id="682"/>
    <w:p>
      <w:pPr>
        <w:spacing w:line="288" w:lineRule="auto"/>
        <w:ind w:firstLine="422" w:firstLineChars="200"/>
        <w:jc w:val="left"/>
        <w:outlineLvl w:val="0"/>
        <w:rPr>
          <w:rFonts w:ascii="宋体" w:hAnsi="宋体"/>
          <w:color w:val="auto"/>
          <w:kern w:val="0"/>
          <w:szCs w:val="21"/>
          <w:highlight w:val="none"/>
        </w:rPr>
      </w:pPr>
      <w:bookmarkStart w:id="688" w:name="_Toc22894"/>
      <w:bookmarkStart w:id="689" w:name="_Toc6618"/>
      <w:r>
        <w:rPr>
          <w:rFonts w:ascii="宋体" w:hAnsi="宋体"/>
          <w:b/>
          <w:color w:val="auto"/>
          <w:szCs w:val="21"/>
          <w:highlight w:val="none"/>
        </w:rPr>
        <w:t>13.3.1</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szCs w:val="21"/>
          <w:highlight w:val="none"/>
        </w:rPr>
        <w:t>试车程序</w:t>
      </w:r>
      <w:bookmarkEnd w:id="688"/>
      <w:bookmarkEnd w:id="689"/>
      <w:r>
        <w:rPr>
          <w:rFonts w:hint="eastAsia" w:ascii="宋体" w:hAnsi="宋体"/>
          <w:color w:val="auto"/>
          <w:szCs w:val="21"/>
          <w:highlight w:val="none"/>
        </w:rPr>
        <w:t xml:space="preserve"> </w:t>
      </w:r>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承包人</w:t>
      </w:r>
      <w:r>
        <w:rPr>
          <w:rFonts w:ascii="宋体" w:hAnsi="宋体"/>
          <w:color w:val="auto"/>
          <w:kern w:val="0"/>
          <w:szCs w:val="21"/>
          <w:highlight w:val="none"/>
        </w:rPr>
        <w:t>承担；</w:t>
      </w:r>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（2）无负荷联动试车费用由</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承包人</w:t>
      </w:r>
      <w:r>
        <w:rPr>
          <w:rFonts w:ascii="宋体" w:hAnsi="宋体"/>
          <w:color w:val="auto"/>
          <w:kern w:val="0"/>
          <w:szCs w:val="21"/>
          <w:highlight w:val="none"/>
        </w:rPr>
        <w:t>承担。</w:t>
      </w:r>
    </w:p>
    <w:p>
      <w:pPr>
        <w:spacing w:line="288" w:lineRule="auto"/>
        <w:ind w:firstLine="422" w:firstLineChars="200"/>
        <w:jc w:val="left"/>
        <w:outlineLvl w:val="0"/>
        <w:rPr>
          <w:rFonts w:ascii="宋体" w:hAnsi="宋体"/>
          <w:color w:val="auto"/>
          <w:kern w:val="0"/>
          <w:szCs w:val="21"/>
          <w:highlight w:val="none"/>
        </w:rPr>
      </w:pPr>
      <w:bookmarkStart w:id="690" w:name="_Toc28230"/>
      <w:bookmarkStart w:id="691" w:name="_Toc3303"/>
      <w:r>
        <w:rPr>
          <w:rFonts w:ascii="宋体" w:hAnsi="宋体"/>
          <w:b/>
          <w:color w:val="auto"/>
          <w:szCs w:val="21"/>
          <w:highlight w:val="none"/>
        </w:rPr>
        <w:t>13.3.3</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szCs w:val="21"/>
          <w:highlight w:val="none"/>
        </w:rPr>
        <w:t>投料试车</w:t>
      </w:r>
      <w:bookmarkEnd w:id="690"/>
      <w:bookmarkEnd w:id="691"/>
    </w:p>
    <w:p>
      <w:pPr>
        <w:spacing w:line="288"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692" w:name="_Toc31419"/>
      <w:bookmarkStart w:id="693" w:name="_Toc24415"/>
      <w:r>
        <w:rPr>
          <w:rFonts w:ascii="宋体" w:hAnsi="宋体"/>
          <w:b/>
          <w:color w:val="auto"/>
          <w:szCs w:val="21"/>
          <w:highlight w:val="none"/>
        </w:rPr>
        <w:t>13.6</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竣工退场</w:t>
      </w:r>
      <w:bookmarkEnd w:id="692"/>
      <w:bookmarkEnd w:id="693"/>
    </w:p>
    <w:p>
      <w:pPr>
        <w:spacing w:line="288" w:lineRule="auto"/>
        <w:ind w:firstLine="422" w:firstLineChars="200"/>
        <w:jc w:val="left"/>
        <w:rPr>
          <w:rFonts w:ascii="宋体" w:hAnsi="宋体"/>
          <w:color w:val="auto"/>
          <w:kern w:val="0"/>
          <w:szCs w:val="21"/>
          <w:highlight w:val="none"/>
        </w:rPr>
      </w:pPr>
      <w:r>
        <w:rPr>
          <w:rFonts w:ascii="宋体" w:hAnsi="宋体"/>
          <w:b/>
          <w:color w:val="auto"/>
          <w:szCs w:val="21"/>
          <w:highlight w:val="none"/>
        </w:rPr>
        <w:t>13.6.1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竣工退场</w:t>
      </w:r>
    </w:p>
    <w:p>
      <w:pPr>
        <w:pStyle w:val="10"/>
        <w:spacing w:line="288" w:lineRule="auto"/>
        <w:ind w:firstLine="420" w:firstLineChars="200"/>
        <w:rPr>
          <w:rFonts w:hAnsi="宋体"/>
          <w:b/>
          <w:color w:val="auto"/>
          <w:kern w:val="0"/>
          <w:szCs w:val="21"/>
          <w:highlight w:val="none"/>
        </w:rPr>
      </w:pPr>
      <w:r>
        <w:rPr>
          <w:rFonts w:hAnsi="宋体"/>
          <w:color w:val="auto"/>
          <w:kern w:val="0"/>
          <w:szCs w:val="21"/>
          <w:highlight w:val="none"/>
        </w:rPr>
        <w:t>承包人完成竣工退场的期限：</w:t>
      </w:r>
      <w:r>
        <w:rPr>
          <w:rFonts w:hint="eastAsia" w:hAnsi="宋体"/>
          <w:b/>
          <w:color w:val="auto"/>
          <w:szCs w:val="21"/>
          <w:highlight w:val="none"/>
          <w:u w:val="single"/>
        </w:rPr>
        <w:t xml:space="preserve">                </w:t>
      </w:r>
      <w:r>
        <w:rPr>
          <w:rFonts w:hint="eastAsia" w:hAnsi="宋体"/>
          <w:b/>
          <w:color w:val="auto"/>
          <w:kern w:val="0"/>
          <w:szCs w:val="21"/>
          <w:highlight w:val="none"/>
        </w:rPr>
        <w:t>。</w:t>
      </w:r>
    </w:p>
    <w:p>
      <w:pPr>
        <w:pStyle w:val="10"/>
        <w:spacing w:line="288" w:lineRule="auto"/>
        <w:ind w:firstLine="420" w:firstLineChars="200"/>
        <w:rPr>
          <w:rFonts w:hAnsi="宋体"/>
          <w:b/>
          <w:color w:val="auto"/>
          <w:kern w:val="0"/>
          <w:szCs w:val="21"/>
          <w:highlight w:val="none"/>
        </w:rPr>
      </w:pPr>
      <w:r>
        <w:rPr>
          <w:rFonts w:hint="eastAsia" w:hAnsi="宋体"/>
          <w:color w:val="auto"/>
          <w:kern w:val="0"/>
          <w:szCs w:val="21"/>
          <w:highlight w:val="none"/>
        </w:rPr>
        <w:t>竣工退场其他要求：</w:t>
      </w:r>
      <w:r>
        <w:rPr>
          <w:rFonts w:hint="eastAsia" w:hAnsi="宋体"/>
          <w:b/>
          <w:color w:val="auto"/>
          <w:kern w:val="0"/>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p>
    <w:p>
      <w:pPr>
        <w:spacing w:line="288" w:lineRule="auto"/>
        <w:ind w:firstLine="422" w:firstLineChars="200"/>
        <w:outlineLvl w:val="0"/>
        <w:rPr>
          <w:rFonts w:ascii="宋体" w:hAnsi="宋体"/>
          <w:color w:val="auto"/>
          <w:szCs w:val="21"/>
          <w:highlight w:val="none"/>
        </w:rPr>
      </w:pPr>
      <w:bookmarkStart w:id="694" w:name="_Toc16637"/>
      <w:bookmarkStart w:id="695" w:name="_Toc14941"/>
      <w:bookmarkStart w:id="696" w:name="_Toc361220575"/>
      <w:r>
        <w:rPr>
          <w:rFonts w:ascii="宋体" w:hAnsi="宋体"/>
          <w:b/>
          <w:color w:val="auto"/>
          <w:szCs w:val="21"/>
          <w:highlight w:val="none"/>
        </w:rPr>
        <w:t>14</w:t>
      </w:r>
      <w:r>
        <w:rPr>
          <w:rFonts w:hint="eastAsia" w:ascii="宋体" w:hAnsi="宋体"/>
          <w:b/>
          <w:color w:val="auto"/>
          <w:szCs w:val="21"/>
          <w:highlight w:val="none"/>
        </w:rPr>
        <w:t xml:space="preserve">  </w:t>
      </w:r>
      <w:r>
        <w:rPr>
          <w:rFonts w:ascii="宋体" w:hAnsi="宋体"/>
          <w:color w:val="auto"/>
          <w:szCs w:val="21"/>
          <w:highlight w:val="none"/>
        </w:rPr>
        <w:t>竣工结算</w:t>
      </w:r>
      <w:bookmarkEnd w:id="694"/>
      <w:bookmarkEnd w:id="695"/>
      <w:bookmarkEnd w:id="696"/>
    </w:p>
    <w:p>
      <w:pPr>
        <w:spacing w:line="288" w:lineRule="auto"/>
        <w:ind w:firstLine="422" w:firstLineChars="200"/>
        <w:outlineLvl w:val="0"/>
        <w:rPr>
          <w:rFonts w:ascii="宋体" w:hAnsi="宋体"/>
          <w:color w:val="auto"/>
          <w:szCs w:val="21"/>
          <w:highlight w:val="none"/>
        </w:rPr>
      </w:pPr>
      <w:bookmarkStart w:id="697" w:name="_Toc1513"/>
      <w:bookmarkStart w:id="698" w:name="_Toc29192"/>
      <w:r>
        <w:rPr>
          <w:rFonts w:ascii="宋体" w:hAnsi="宋体"/>
          <w:b/>
          <w:color w:val="auto"/>
          <w:szCs w:val="21"/>
          <w:highlight w:val="none"/>
        </w:rPr>
        <w:t>14.1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竣工付款申请</w:t>
      </w:r>
      <w:bookmarkEnd w:id="697"/>
      <w:bookmarkEnd w:id="698"/>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承包人提交竣工付款申请单的期限：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竣工付款申请单应包括的内容：</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699" w:name="_Toc6049"/>
      <w:bookmarkStart w:id="700" w:name="_Toc31335"/>
      <w:r>
        <w:rPr>
          <w:rFonts w:ascii="宋体" w:hAnsi="宋体"/>
          <w:b/>
          <w:color w:val="auto"/>
          <w:szCs w:val="21"/>
          <w:highlight w:val="none"/>
        </w:rPr>
        <w:t>14.2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竣工结算审核</w:t>
      </w:r>
      <w:bookmarkEnd w:id="699"/>
      <w:bookmarkEnd w:id="700"/>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hint="eastAsia" w:ascii="宋体" w:hAnsi="宋体" w:cs="宋体"/>
          <w:color w:val="auto"/>
          <w:szCs w:val="21"/>
          <w:highlight w:val="none"/>
          <w:u w:val="single"/>
        </w:rPr>
        <w:t xml:space="preserve">     /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发包人完成竣工付款的期限：</w:t>
      </w:r>
      <w:r>
        <w:rPr>
          <w:rFonts w:hint="eastAsia" w:ascii="宋体" w:hAnsi="宋体"/>
          <w:color w:val="auto"/>
          <w:szCs w:val="21"/>
          <w:highlight w:val="none"/>
          <w:u w:val="single"/>
        </w:rPr>
        <w:t>40天内</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hint="eastAsia" w:ascii="宋体" w:hAnsi="宋体" w:cs="宋体"/>
          <w:color w:val="auto"/>
          <w:szCs w:val="21"/>
          <w:highlight w:val="none"/>
          <w:u w:val="single"/>
        </w:rPr>
        <w:t>按通用合同条款约定</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701" w:name="_Toc2643"/>
      <w:bookmarkStart w:id="702" w:name="_Toc30523"/>
      <w:r>
        <w:rPr>
          <w:rFonts w:ascii="宋体" w:hAnsi="宋体"/>
          <w:b/>
          <w:color w:val="auto"/>
          <w:szCs w:val="21"/>
          <w:highlight w:val="none"/>
        </w:rPr>
        <w:t>14.</w:t>
      </w:r>
      <w:r>
        <w:rPr>
          <w:rFonts w:hint="eastAsia" w:ascii="宋体" w:hAnsi="宋体"/>
          <w:b/>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最终结清</w:t>
      </w:r>
      <w:bookmarkEnd w:id="701"/>
      <w:bookmarkEnd w:id="702"/>
    </w:p>
    <w:p>
      <w:pPr>
        <w:spacing w:line="288" w:lineRule="auto"/>
        <w:ind w:firstLine="422" w:firstLineChars="200"/>
        <w:jc w:val="left"/>
        <w:outlineLvl w:val="0"/>
        <w:rPr>
          <w:rFonts w:ascii="宋体" w:hAnsi="宋体"/>
          <w:color w:val="auto"/>
          <w:kern w:val="0"/>
          <w:szCs w:val="21"/>
          <w:highlight w:val="none"/>
        </w:rPr>
      </w:pPr>
      <w:bookmarkStart w:id="703" w:name="_Toc27614"/>
      <w:bookmarkStart w:id="704" w:name="_Toc17816"/>
      <w:r>
        <w:rPr>
          <w:rFonts w:ascii="宋体" w:hAnsi="宋体"/>
          <w:b/>
          <w:color w:val="auto"/>
          <w:szCs w:val="21"/>
          <w:highlight w:val="none"/>
        </w:rPr>
        <w:t xml:space="preserve">14.4.1 </w:t>
      </w:r>
      <w:r>
        <w:rPr>
          <w:rFonts w:hint="eastAsia" w:ascii="宋体" w:hAnsi="宋体"/>
          <w:b/>
          <w:color w:val="auto"/>
          <w:szCs w:val="21"/>
          <w:highlight w:val="none"/>
        </w:rPr>
        <w:t xml:space="preserve"> </w:t>
      </w:r>
      <w:r>
        <w:rPr>
          <w:rFonts w:ascii="宋体" w:hAnsi="宋体"/>
          <w:color w:val="auto"/>
          <w:szCs w:val="21"/>
          <w:highlight w:val="none"/>
        </w:rPr>
        <w:t>最终结清申请单</w:t>
      </w:r>
      <w:bookmarkEnd w:id="703"/>
      <w:bookmarkEnd w:id="704"/>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承包人提交最终结清申请单的份数：</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kern w:val="0"/>
          <w:szCs w:val="21"/>
          <w:highlight w:val="none"/>
        </w:rPr>
        <w:t>承包人提交最终结算申请单的期限：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705" w:name="_Toc18124"/>
      <w:bookmarkStart w:id="706" w:name="_Toc14308"/>
      <w:r>
        <w:rPr>
          <w:rFonts w:ascii="宋体" w:hAnsi="宋体"/>
          <w:b/>
          <w:color w:val="auto"/>
          <w:szCs w:val="21"/>
          <w:highlight w:val="none"/>
        </w:rPr>
        <w:t>14.4.2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最终结清证书和支付</w:t>
      </w:r>
      <w:bookmarkEnd w:id="705"/>
      <w:bookmarkEnd w:id="706"/>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（1）发包人完成最终结清申请单的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hint="eastAsia" w:ascii="宋体" w:hAnsi="宋体"/>
          <w:bCs/>
          <w:color w:val="auto"/>
          <w:szCs w:val="21"/>
          <w:highlight w:val="none"/>
          <w:u w:val="single"/>
        </w:rPr>
        <w:t>按通用合同条款约定</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（2）发包人完成支付的期限：</w:t>
      </w:r>
      <w:r>
        <w:rPr>
          <w:rFonts w:hint="eastAsia" w:ascii="宋体" w:hAnsi="宋体"/>
          <w:color w:val="auto"/>
          <w:szCs w:val="21"/>
          <w:highlight w:val="none"/>
          <w:u w:val="single"/>
        </w:rPr>
        <w:t>/</w:t>
      </w:r>
      <w:r>
        <w:rPr>
          <w:rFonts w:ascii="宋体" w:hAnsi="宋体"/>
          <w:color w:val="auto"/>
          <w:szCs w:val="21"/>
          <w:highlight w:val="none"/>
        </w:rPr>
        <w:t>。</w:t>
      </w:r>
      <w:r>
        <w:rPr>
          <w:rFonts w:hint="eastAsia" w:ascii="宋体" w:hAnsi="宋体"/>
          <w:color w:val="auto"/>
          <w:szCs w:val="21"/>
          <w:highlight w:val="none"/>
        </w:rPr>
        <w:t xml:space="preserve"> </w:t>
      </w:r>
    </w:p>
    <w:bookmarkEnd w:id="671"/>
    <w:bookmarkEnd w:id="672"/>
    <w:bookmarkEnd w:id="673"/>
    <w:bookmarkEnd w:id="674"/>
    <w:bookmarkEnd w:id="675"/>
    <w:bookmarkEnd w:id="676"/>
    <w:bookmarkEnd w:id="677"/>
    <w:bookmarkEnd w:id="683"/>
    <w:p>
      <w:pPr>
        <w:spacing w:line="288" w:lineRule="auto"/>
        <w:ind w:firstLine="422" w:firstLineChars="200"/>
        <w:outlineLvl w:val="0"/>
        <w:rPr>
          <w:rFonts w:ascii="宋体" w:hAnsi="宋体"/>
          <w:color w:val="auto"/>
          <w:szCs w:val="21"/>
          <w:highlight w:val="none"/>
        </w:rPr>
      </w:pPr>
      <w:bookmarkStart w:id="707" w:name="_Toc361220576"/>
      <w:bookmarkStart w:id="708" w:name="_Toc1292"/>
      <w:bookmarkStart w:id="709" w:name="_Toc29188"/>
      <w:bookmarkStart w:id="710" w:name="_Toc267251483"/>
      <w:bookmarkStart w:id="711" w:name="_Toc267251482"/>
      <w:bookmarkStart w:id="712" w:name="_Toc267251484"/>
      <w:bookmarkStart w:id="713" w:name="_Toc267251485"/>
      <w:bookmarkStart w:id="714" w:name="_Toc267251488"/>
      <w:bookmarkStart w:id="715" w:name="_Toc267251486"/>
      <w:bookmarkStart w:id="716" w:name="_Toc267251490"/>
      <w:bookmarkStart w:id="717" w:name="_Toc267251489"/>
      <w:bookmarkStart w:id="718" w:name="_Toc267251503"/>
      <w:bookmarkStart w:id="719" w:name="_Toc267251495"/>
      <w:bookmarkStart w:id="720" w:name="_Toc267251491"/>
      <w:bookmarkStart w:id="721" w:name="_Toc267251499"/>
      <w:bookmarkStart w:id="722" w:name="_Toc267251502"/>
      <w:bookmarkStart w:id="723" w:name="_Toc267251493"/>
      <w:bookmarkStart w:id="724" w:name="_Toc267251492"/>
      <w:bookmarkStart w:id="725" w:name="_Toc267251498"/>
      <w:bookmarkStart w:id="726" w:name="_Toc267251496"/>
      <w:bookmarkStart w:id="727" w:name="_Toc267251497"/>
      <w:bookmarkStart w:id="728" w:name="_Toc267251501"/>
      <w:bookmarkStart w:id="729" w:name="_Toc267251494"/>
      <w:bookmarkStart w:id="730" w:name="_Toc267251506"/>
      <w:bookmarkStart w:id="731" w:name="_Toc267251504"/>
      <w:bookmarkStart w:id="732" w:name="_Toc267251507"/>
      <w:bookmarkStart w:id="733" w:name="_Toc267251508"/>
      <w:bookmarkStart w:id="734" w:name="_Toc267251515"/>
      <w:bookmarkStart w:id="735" w:name="_Toc267251511"/>
      <w:bookmarkStart w:id="736" w:name="_Toc267251510"/>
      <w:bookmarkStart w:id="737" w:name="_Toc267251514"/>
      <w:bookmarkStart w:id="738" w:name="_Toc267251509"/>
      <w:bookmarkStart w:id="739" w:name="_Toc267251513"/>
      <w:r>
        <w:rPr>
          <w:rFonts w:ascii="宋体" w:hAnsi="宋体"/>
          <w:b/>
          <w:color w:val="auto"/>
          <w:szCs w:val="21"/>
          <w:highlight w:val="none"/>
        </w:rPr>
        <w:t>15</w:t>
      </w:r>
      <w:r>
        <w:rPr>
          <w:rFonts w:hint="eastAsia" w:ascii="宋体" w:hAnsi="宋体"/>
          <w:b/>
          <w:color w:val="auto"/>
          <w:szCs w:val="21"/>
          <w:highlight w:val="none"/>
        </w:rPr>
        <w:t xml:space="preserve">  </w:t>
      </w:r>
      <w:r>
        <w:rPr>
          <w:rFonts w:ascii="宋体" w:hAnsi="宋体"/>
          <w:color w:val="auto"/>
          <w:szCs w:val="21"/>
          <w:highlight w:val="none"/>
        </w:rPr>
        <w:t>缺陷责任期与保修</w:t>
      </w:r>
      <w:bookmarkEnd w:id="707"/>
      <w:bookmarkEnd w:id="708"/>
      <w:bookmarkEnd w:id="709"/>
    </w:p>
    <w:p>
      <w:pPr>
        <w:spacing w:line="288" w:lineRule="auto"/>
        <w:ind w:firstLine="422" w:firstLineChars="200"/>
        <w:outlineLvl w:val="0"/>
        <w:rPr>
          <w:rFonts w:ascii="宋体" w:hAnsi="宋体"/>
          <w:color w:val="auto"/>
          <w:szCs w:val="21"/>
          <w:highlight w:val="none"/>
        </w:rPr>
      </w:pPr>
      <w:bookmarkStart w:id="740" w:name="_Toc15583"/>
      <w:bookmarkStart w:id="741" w:name="_Toc19522"/>
      <w:r>
        <w:rPr>
          <w:rFonts w:ascii="宋体" w:hAnsi="宋体"/>
          <w:b/>
          <w:color w:val="auto"/>
          <w:szCs w:val="21"/>
          <w:highlight w:val="none"/>
        </w:rPr>
        <w:t>15.2</w:t>
      </w:r>
      <w:r>
        <w:rPr>
          <w:rFonts w:hint="eastAsia" w:ascii="宋体" w:hAnsi="宋体"/>
          <w:b/>
          <w:color w:val="auto"/>
          <w:szCs w:val="21"/>
          <w:highlight w:val="none"/>
        </w:rPr>
        <w:t xml:space="preserve">  </w:t>
      </w:r>
      <w:r>
        <w:rPr>
          <w:rFonts w:ascii="宋体" w:hAnsi="宋体"/>
          <w:color w:val="auto"/>
          <w:szCs w:val="21"/>
          <w:highlight w:val="none"/>
        </w:rPr>
        <w:t>缺陷责任期</w:t>
      </w:r>
      <w:bookmarkEnd w:id="710"/>
      <w:bookmarkEnd w:id="740"/>
      <w:bookmarkEnd w:id="741"/>
    </w:p>
    <w:p>
      <w:pPr>
        <w:spacing w:line="288" w:lineRule="auto"/>
        <w:ind w:firstLine="420" w:firstLineChars="200"/>
        <w:jc w:val="left"/>
        <w:rPr>
          <w:rFonts w:hint="eastAsia" w:ascii="宋体" w:hAnsi="宋体" w:eastAsia="宋体"/>
          <w:color w:val="auto"/>
          <w:szCs w:val="21"/>
          <w:highlight w:val="none"/>
          <w:u w:val="single"/>
          <w:lang w:eastAsia="zh-CN"/>
        </w:rPr>
      </w:pPr>
      <w:r>
        <w:rPr>
          <w:rFonts w:ascii="宋体" w:hAnsi="宋体"/>
          <w:color w:val="auto"/>
          <w:szCs w:val="21"/>
          <w:highlight w:val="none"/>
        </w:rPr>
        <w:t>缺陷责任期的具体期限：</w:t>
      </w:r>
      <w:r>
        <w:rPr>
          <w:rFonts w:hint="eastAsia" w:ascii="宋体" w:hAnsi="宋体"/>
          <w:color w:val="auto"/>
          <w:szCs w:val="21"/>
          <w:highlight w:val="none"/>
        </w:rPr>
        <w:t xml:space="preserve"> </w:t>
      </w:r>
      <w:r>
        <w:rPr>
          <w:rFonts w:hint="eastAsia" w:ascii="宋体" w:hAnsi="宋体"/>
          <w:color w:val="auto"/>
          <w:szCs w:val="21"/>
          <w:highlight w:val="none"/>
          <w:u w:val="single"/>
          <w:lang w:val="en-US" w:eastAsia="zh-CN"/>
        </w:rPr>
        <w:t>详见《工程质量保修书》</w:t>
      </w:r>
    </w:p>
    <w:p>
      <w:pPr>
        <w:spacing w:line="288" w:lineRule="auto"/>
        <w:ind w:firstLine="422" w:firstLineChars="200"/>
        <w:outlineLvl w:val="0"/>
        <w:rPr>
          <w:rFonts w:ascii="宋体" w:hAnsi="宋体"/>
          <w:color w:val="auto"/>
          <w:szCs w:val="21"/>
          <w:highlight w:val="none"/>
        </w:rPr>
      </w:pPr>
      <w:bookmarkStart w:id="742" w:name="_Toc14855"/>
      <w:bookmarkStart w:id="743" w:name="_Toc21810"/>
      <w:r>
        <w:rPr>
          <w:rFonts w:ascii="宋体" w:hAnsi="宋体"/>
          <w:b/>
          <w:color w:val="auto"/>
          <w:szCs w:val="21"/>
          <w:highlight w:val="none"/>
        </w:rPr>
        <w:t>15.3</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ascii="宋体" w:hAnsi="宋体"/>
          <w:color w:val="auto"/>
          <w:szCs w:val="21"/>
          <w:highlight w:val="none"/>
        </w:rPr>
        <w:t>质量保证金</w:t>
      </w:r>
      <w:bookmarkEnd w:id="742"/>
      <w:bookmarkEnd w:id="743"/>
    </w:p>
    <w:p>
      <w:pPr>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744" w:name="_Toc2736"/>
      <w:bookmarkStart w:id="745" w:name="_Toc13249"/>
      <w:r>
        <w:rPr>
          <w:rFonts w:ascii="宋体" w:hAnsi="宋体"/>
          <w:b/>
          <w:color w:val="auto"/>
          <w:szCs w:val="21"/>
          <w:highlight w:val="none"/>
        </w:rPr>
        <w:t>15.3.1</w:t>
      </w:r>
      <w:r>
        <w:rPr>
          <w:rFonts w:ascii="宋体" w:hAnsi="宋体"/>
          <w:color w:val="auto"/>
          <w:szCs w:val="21"/>
          <w:highlight w:val="none"/>
        </w:rPr>
        <w:t xml:space="preserve"> </w:t>
      </w:r>
      <w:r>
        <w:rPr>
          <w:rFonts w:hint="eastAsia" w:ascii="宋体" w:hAnsi="宋体"/>
          <w:color w:val="auto"/>
          <w:szCs w:val="21"/>
          <w:highlight w:val="none"/>
        </w:rPr>
        <w:t xml:space="preserve"> 承包人提供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bookmarkEnd w:id="744"/>
      <w:bookmarkEnd w:id="745"/>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szCs w:val="21"/>
          <w:highlight w:val="none"/>
          <w:u w:val="single"/>
        </w:rPr>
        <w:t xml:space="preserve">  </w:t>
      </w:r>
      <w:r>
        <w:rPr>
          <w:rFonts w:hint="eastAsia" w:ascii="宋体" w:hAnsi="宋体"/>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种方式：</w:t>
      </w:r>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kern w:val="0"/>
          <w:szCs w:val="21"/>
          <w:highlight w:val="none"/>
        </w:rPr>
        <w:t>；</w:t>
      </w:r>
    </w:p>
    <w:p>
      <w:pPr>
        <w:autoSpaceDE w:val="0"/>
        <w:autoSpaceDN w:val="0"/>
        <w:adjustRightInd w:val="0"/>
        <w:spacing w:line="288"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1.5  </w:t>
      </w:r>
      <w:r>
        <w:rPr>
          <w:rFonts w:ascii="宋体" w:hAnsi="宋体"/>
          <w:color w:val="auto"/>
          <w:kern w:val="0"/>
          <w:szCs w:val="21"/>
          <w:highlight w:val="none"/>
          <w:u w:val="single"/>
        </w:rPr>
        <w:t xml:space="preserve">  </w:t>
      </w:r>
      <w:r>
        <w:rPr>
          <w:rFonts w:ascii="宋体" w:hAnsi="宋体"/>
          <w:color w:val="auto"/>
          <w:kern w:val="0"/>
          <w:szCs w:val="21"/>
          <w:highlight w:val="none"/>
        </w:rPr>
        <w:t>%的工程</w:t>
      </w:r>
      <w:r>
        <w:rPr>
          <w:rFonts w:hint="eastAsia" w:ascii="宋体" w:hAnsi="宋体"/>
          <w:color w:val="auto"/>
          <w:kern w:val="0"/>
          <w:szCs w:val="21"/>
          <w:highlight w:val="none"/>
          <w:lang w:val="en-US" w:eastAsia="zh-CN"/>
        </w:rPr>
        <w:t>审核价</w:t>
      </w:r>
      <w:r>
        <w:rPr>
          <w:rFonts w:ascii="宋体" w:hAnsi="宋体"/>
          <w:color w:val="auto"/>
          <w:kern w:val="0"/>
          <w:szCs w:val="21"/>
          <w:highlight w:val="none"/>
        </w:rPr>
        <w:t>；</w:t>
      </w:r>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ascii="宋体" w:hAnsi="宋体"/>
          <w:color w:val="auto"/>
          <w:kern w:val="0"/>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288" w:lineRule="auto"/>
        <w:ind w:firstLine="422" w:firstLineChars="200"/>
        <w:jc w:val="left"/>
        <w:outlineLvl w:val="0"/>
        <w:rPr>
          <w:rFonts w:ascii="宋体" w:hAnsi="宋体"/>
          <w:color w:val="auto"/>
          <w:szCs w:val="21"/>
          <w:highlight w:val="none"/>
        </w:rPr>
      </w:pPr>
      <w:bookmarkStart w:id="746" w:name="_Toc23673"/>
      <w:bookmarkStart w:id="747" w:name="_Toc11433"/>
      <w:r>
        <w:rPr>
          <w:rFonts w:ascii="宋体" w:hAnsi="宋体"/>
          <w:b/>
          <w:color w:val="auto"/>
          <w:szCs w:val="21"/>
          <w:highlight w:val="none"/>
        </w:rPr>
        <w:t>15.3.2</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质量保证金的扣留</w:t>
      </w:r>
      <w:bookmarkEnd w:id="746"/>
      <w:bookmarkEnd w:id="747"/>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3   </w:t>
      </w:r>
      <w:r>
        <w:rPr>
          <w:rFonts w:ascii="宋体" w:hAnsi="宋体"/>
          <w:color w:val="auto"/>
          <w:szCs w:val="21"/>
          <w:highlight w:val="none"/>
        </w:rPr>
        <w:t>种方式：</w:t>
      </w:r>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（3）其他扣留方式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rPr>
        <w:t xml:space="preserve"> 竣工验收后另行缴纳 </w:t>
      </w:r>
      <w:r>
        <w:rPr>
          <w:rFonts w:ascii="宋体" w:hAnsi="宋体"/>
          <w:color w:val="auto"/>
          <w:kern w:val="0"/>
          <w:szCs w:val="21"/>
          <w:highlight w:val="none"/>
        </w:rPr>
        <w:t>。</w:t>
      </w:r>
    </w:p>
    <w:p>
      <w:pPr>
        <w:spacing w:line="288" w:lineRule="auto"/>
        <w:ind w:firstLine="420" w:firstLineChars="200"/>
        <w:jc w:val="left"/>
        <w:rPr>
          <w:rFonts w:hint="eastAsia" w:ascii="宋体" w:hAnsi="宋体" w:eastAsia="宋体"/>
          <w:color w:val="auto"/>
          <w:kern w:val="0"/>
          <w:szCs w:val="21"/>
          <w:highlight w:val="none"/>
          <w:u w:val="single"/>
          <w:lang w:eastAsia="zh-CN"/>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bookmarkStart w:id="748" w:name="_Hlk134431120"/>
      <w:r>
        <w:rPr>
          <w:rFonts w:hint="eastAsia" w:ascii="宋体" w:hAnsi="宋体"/>
          <w:color w:val="auto"/>
          <w:kern w:val="0"/>
          <w:szCs w:val="21"/>
          <w:highlight w:val="none"/>
          <w:u w:val="single"/>
        </w:rPr>
        <w:t>本工程竣工验收合格后7个工作日内，乙方向甲方缴纳工程</w:t>
      </w:r>
      <w:r>
        <w:rPr>
          <w:rFonts w:hint="eastAsia" w:ascii="宋体" w:hAnsi="宋体"/>
          <w:color w:val="auto"/>
          <w:kern w:val="0"/>
          <w:szCs w:val="21"/>
          <w:highlight w:val="none"/>
          <w:u w:val="single"/>
          <w:lang w:val="en-US" w:eastAsia="zh-CN"/>
        </w:rPr>
        <w:t>审核</w:t>
      </w:r>
      <w:r>
        <w:rPr>
          <w:rFonts w:hint="eastAsia" w:ascii="宋体" w:hAnsi="宋体"/>
          <w:color w:val="auto"/>
          <w:kern w:val="0"/>
          <w:szCs w:val="21"/>
          <w:highlight w:val="none"/>
          <w:u w:val="single"/>
        </w:rPr>
        <w:t>价1.5%作为质量保证金</w:t>
      </w:r>
      <w:bookmarkEnd w:id="748"/>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bookmarkEnd w:id="711"/>
    <w:bookmarkEnd w:id="712"/>
    <w:p>
      <w:pPr>
        <w:spacing w:line="288" w:lineRule="auto"/>
        <w:ind w:firstLine="422" w:firstLineChars="200"/>
        <w:outlineLvl w:val="0"/>
        <w:rPr>
          <w:rFonts w:ascii="宋体" w:hAnsi="宋体"/>
          <w:color w:val="auto"/>
          <w:szCs w:val="21"/>
          <w:highlight w:val="none"/>
        </w:rPr>
      </w:pPr>
      <w:bookmarkStart w:id="749" w:name="_Toc8867"/>
      <w:bookmarkStart w:id="750" w:name="_Toc9918"/>
      <w:r>
        <w:rPr>
          <w:rFonts w:ascii="宋体" w:hAnsi="宋体"/>
          <w:b/>
          <w:color w:val="auto"/>
          <w:szCs w:val="21"/>
          <w:highlight w:val="none"/>
        </w:rPr>
        <w:t>15.4</w:t>
      </w:r>
      <w:r>
        <w:rPr>
          <w:rFonts w:hint="eastAsia" w:ascii="宋体" w:hAnsi="宋体"/>
          <w:b/>
          <w:color w:val="auto"/>
          <w:szCs w:val="21"/>
          <w:highlight w:val="none"/>
        </w:rPr>
        <w:t xml:space="preserve">  </w:t>
      </w:r>
      <w:r>
        <w:rPr>
          <w:rFonts w:ascii="宋体" w:hAnsi="宋体"/>
          <w:color w:val="auto"/>
          <w:szCs w:val="21"/>
          <w:highlight w:val="none"/>
        </w:rPr>
        <w:t>保修</w:t>
      </w:r>
      <w:bookmarkEnd w:id="749"/>
      <w:bookmarkEnd w:id="750"/>
    </w:p>
    <w:bookmarkEnd w:id="713"/>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15.4.1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保修责任</w:t>
      </w:r>
    </w:p>
    <w:p>
      <w:pPr>
        <w:spacing w:line="288" w:lineRule="auto"/>
        <w:ind w:firstLine="420" w:firstLineChars="200"/>
        <w:jc w:val="left"/>
        <w:rPr>
          <w:rFonts w:ascii="宋体" w:hAnsi="宋体"/>
          <w:color w:val="auto"/>
          <w:kern w:val="0"/>
          <w:szCs w:val="21"/>
          <w:highlight w:val="none"/>
        </w:rPr>
      </w:pPr>
      <w:r>
        <w:rPr>
          <w:rFonts w:ascii="宋体" w:hAnsi="宋体"/>
          <w:color w:val="auto"/>
          <w:szCs w:val="21"/>
          <w:highlight w:val="none"/>
        </w:rPr>
        <w:t>工程保修期为：</w:t>
      </w:r>
      <w:r>
        <w:rPr>
          <w:rFonts w:hint="eastAsia" w:ascii="宋体" w:hAnsi="宋体"/>
          <w:bCs/>
          <w:color w:val="auto"/>
          <w:kern w:val="0"/>
          <w:szCs w:val="21"/>
          <w:highlight w:val="none"/>
          <w:u w:val="single"/>
        </w:rPr>
        <w:t>详见</w:t>
      </w:r>
      <w:r>
        <w:rPr>
          <w:rFonts w:ascii="宋体" w:hAnsi="宋体"/>
          <w:bCs/>
          <w:color w:val="auto"/>
          <w:kern w:val="0"/>
          <w:szCs w:val="21"/>
          <w:highlight w:val="none"/>
          <w:u w:val="single"/>
        </w:rPr>
        <w:t>工程质量保修书</w:t>
      </w:r>
      <w:r>
        <w:rPr>
          <w:rFonts w:ascii="宋体" w:hAnsi="宋体"/>
          <w:color w:val="auto"/>
          <w:kern w:val="0"/>
          <w:szCs w:val="21"/>
          <w:highlight w:val="none"/>
        </w:rPr>
        <w:t>。</w:t>
      </w:r>
    </w:p>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15.4.3</w:t>
      </w:r>
      <w:r>
        <w:rPr>
          <w:rFonts w:hint="eastAsia" w:ascii="宋体" w:hAnsi="宋体"/>
          <w:b/>
          <w:color w:val="auto"/>
          <w:szCs w:val="21"/>
          <w:highlight w:val="none"/>
        </w:rPr>
        <w:t xml:space="preserve"> </w:t>
      </w:r>
      <w:r>
        <w:rPr>
          <w:rFonts w:ascii="宋体" w:hAnsi="宋体"/>
          <w:color w:val="auto"/>
          <w:szCs w:val="21"/>
          <w:highlight w:val="none"/>
        </w:rPr>
        <w:t xml:space="preserve"> 修复通知</w:t>
      </w:r>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承包人收到保修通知并到达工程现场的合理时间：</w:t>
      </w:r>
      <w:r>
        <w:rPr>
          <w:rFonts w:hint="eastAsia" w:ascii="宋体" w:hAnsi="宋体"/>
          <w:color w:val="auto"/>
          <w:kern w:val="0"/>
          <w:szCs w:val="21"/>
          <w:highlight w:val="none"/>
          <w:u w:val="single"/>
        </w:rPr>
        <w:t>24小时内</w:t>
      </w:r>
      <w:r>
        <w:rPr>
          <w:rFonts w:ascii="宋体" w:hAnsi="宋体"/>
          <w:color w:val="auto"/>
          <w:kern w:val="0"/>
          <w:szCs w:val="21"/>
          <w:highlight w:val="none"/>
        </w:rPr>
        <w:t>。</w:t>
      </w:r>
    </w:p>
    <w:bookmarkEnd w:id="714"/>
    <w:bookmarkEnd w:id="715"/>
    <w:bookmarkEnd w:id="716"/>
    <w:bookmarkEnd w:id="717"/>
    <w:p>
      <w:pPr>
        <w:spacing w:line="288" w:lineRule="auto"/>
        <w:ind w:firstLine="422" w:firstLineChars="200"/>
        <w:outlineLvl w:val="0"/>
        <w:rPr>
          <w:rFonts w:ascii="宋体" w:hAnsi="宋体"/>
          <w:color w:val="auto"/>
          <w:szCs w:val="21"/>
          <w:highlight w:val="none"/>
        </w:rPr>
      </w:pPr>
      <w:bookmarkStart w:id="751" w:name="_Toc10309"/>
      <w:bookmarkStart w:id="752" w:name="_Toc849"/>
      <w:bookmarkStart w:id="753" w:name="_Toc361220577"/>
      <w:bookmarkStart w:id="754" w:name="_Toc280868717"/>
      <w:bookmarkStart w:id="755" w:name="_Toc280868718"/>
      <w:r>
        <w:rPr>
          <w:rFonts w:ascii="宋体" w:hAnsi="宋体"/>
          <w:b/>
          <w:color w:val="auto"/>
          <w:szCs w:val="21"/>
          <w:highlight w:val="none"/>
        </w:rPr>
        <w:t>16</w:t>
      </w:r>
      <w:r>
        <w:rPr>
          <w:rFonts w:hint="eastAsia" w:ascii="宋体" w:hAnsi="宋体"/>
          <w:color w:val="auto"/>
          <w:szCs w:val="21"/>
          <w:highlight w:val="none"/>
        </w:rPr>
        <w:t xml:space="preserve">  </w:t>
      </w:r>
      <w:r>
        <w:rPr>
          <w:rFonts w:ascii="宋体" w:hAnsi="宋体"/>
          <w:color w:val="auto"/>
          <w:szCs w:val="21"/>
          <w:highlight w:val="none"/>
        </w:rPr>
        <w:t>违约</w:t>
      </w:r>
      <w:bookmarkEnd w:id="751"/>
      <w:bookmarkEnd w:id="752"/>
      <w:bookmarkEnd w:id="753"/>
    </w:p>
    <w:p>
      <w:pPr>
        <w:spacing w:line="288" w:lineRule="auto"/>
        <w:ind w:firstLine="422" w:firstLineChars="200"/>
        <w:outlineLvl w:val="0"/>
        <w:rPr>
          <w:rFonts w:ascii="宋体" w:hAnsi="宋体"/>
          <w:color w:val="auto"/>
          <w:szCs w:val="21"/>
          <w:highlight w:val="none"/>
        </w:rPr>
      </w:pPr>
      <w:bookmarkStart w:id="756" w:name="_Toc11109"/>
      <w:bookmarkStart w:id="757" w:name="_Toc25887"/>
      <w:r>
        <w:rPr>
          <w:rFonts w:ascii="宋体" w:hAnsi="宋体"/>
          <w:b/>
          <w:color w:val="auto"/>
          <w:szCs w:val="21"/>
          <w:highlight w:val="none"/>
        </w:rPr>
        <w:t>16.1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发包人违约</w:t>
      </w:r>
      <w:bookmarkEnd w:id="756"/>
      <w:bookmarkEnd w:id="757"/>
    </w:p>
    <w:p>
      <w:pPr>
        <w:spacing w:line="288" w:lineRule="auto"/>
        <w:ind w:firstLine="422" w:firstLineChars="200"/>
        <w:jc w:val="left"/>
        <w:outlineLvl w:val="0"/>
        <w:rPr>
          <w:rFonts w:ascii="宋体" w:hAnsi="宋体"/>
          <w:color w:val="auto"/>
          <w:szCs w:val="21"/>
          <w:highlight w:val="none"/>
        </w:rPr>
      </w:pPr>
      <w:bookmarkStart w:id="758" w:name="_Toc24321"/>
      <w:bookmarkStart w:id="759" w:name="_Toc757"/>
      <w:r>
        <w:rPr>
          <w:rFonts w:ascii="宋体" w:hAnsi="宋体"/>
          <w:b/>
          <w:color w:val="auto"/>
          <w:szCs w:val="21"/>
          <w:highlight w:val="none"/>
        </w:rPr>
        <w:t>16.1.1</w:t>
      </w:r>
      <w:r>
        <w:rPr>
          <w:rFonts w:hint="eastAsia" w:ascii="宋体" w:hAnsi="宋体"/>
          <w:b/>
          <w:color w:val="auto"/>
          <w:szCs w:val="21"/>
          <w:highlight w:val="none"/>
        </w:rPr>
        <w:t xml:space="preserve">  </w:t>
      </w:r>
      <w:r>
        <w:rPr>
          <w:rFonts w:ascii="宋体" w:hAnsi="宋体"/>
          <w:color w:val="auto"/>
          <w:szCs w:val="21"/>
          <w:highlight w:val="none"/>
        </w:rPr>
        <w:t>发包人违约的情形</w:t>
      </w:r>
      <w:bookmarkEnd w:id="758"/>
      <w:bookmarkEnd w:id="759"/>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发包人违约的其他情形：</w:t>
      </w:r>
      <w:r>
        <w:rPr>
          <w:rFonts w:ascii="宋体" w:hAnsi="宋体"/>
          <w:color w:val="auto"/>
          <w:kern w:val="0"/>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kern w:val="0"/>
          <w:szCs w:val="21"/>
          <w:highlight w:val="none"/>
        </w:rPr>
        <w:t>。</w:t>
      </w:r>
    </w:p>
    <w:p>
      <w:pPr>
        <w:spacing w:line="288" w:lineRule="auto"/>
        <w:ind w:firstLine="422" w:firstLineChars="200"/>
        <w:jc w:val="left"/>
        <w:outlineLvl w:val="0"/>
        <w:rPr>
          <w:rFonts w:ascii="宋体" w:hAnsi="宋体"/>
          <w:color w:val="auto"/>
          <w:kern w:val="0"/>
          <w:szCs w:val="21"/>
          <w:highlight w:val="none"/>
        </w:rPr>
      </w:pPr>
      <w:bookmarkStart w:id="760" w:name="_Toc8755"/>
      <w:bookmarkStart w:id="761" w:name="_Toc25105"/>
      <w:r>
        <w:rPr>
          <w:rFonts w:ascii="宋体" w:hAnsi="宋体"/>
          <w:b/>
          <w:color w:val="auto"/>
          <w:szCs w:val="21"/>
          <w:highlight w:val="none"/>
        </w:rPr>
        <w:t>16.1.2</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szCs w:val="21"/>
          <w:highlight w:val="none"/>
        </w:rPr>
        <w:t>发包人违约的责任</w:t>
      </w:r>
      <w:bookmarkEnd w:id="760"/>
      <w:bookmarkEnd w:id="761"/>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发包人违约责任的承担方式和计算方法：</w:t>
      </w:r>
    </w:p>
    <w:p>
      <w:pPr>
        <w:spacing w:line="288"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（1）</w:t>
      </w:r>
      <w:r>
        <w:rPr>
          <w:rFonts w:ascii="宋体" w:hAnsi="宋体"/>
          <w:color w:val="auto"/>
          <w:kern w:val="0"/>
          <w:szCs w:val="21"/>
          <w:highlight w:val="none"/>
        </w:rPr>
        <w:t>因发包人原因未能在计划开工日期前7天内下达开工通知的违约责任：</w:t>
      </w:r>
      <w:r>
        <w:rPr>
          <w:rFonts w:hint="eastAsia" w:ascii="宋体" w:hAnsi="宋体"/>
          <w:bCs/>
          <w:color w:val="auto"/>
          <w:kern w:val="0"/>
          <w:szCs w:val="21"/>
          <w:highlight w:val="none"/>
          <w:u w:val="single"/>
        </w:rPr>
        <w:t>另行协商</w:t>
      </w:r>
      <w:r>
        <w:rPr>
          <w:rFonts w:hint="eastAsia" w:ascii="宋体" w:hAnsi="宋体"/>
          <w:color w:val="auto"/>
          <w:kern w:val="0"/>
          <w:szCs w:val="21"/>
          <w:highlight w:val="none"/>
        </w:rPr>
        <w:t>。</w:t>
      </w:r>
    </w:p>
    <w:p>
      <w:pPr>
        <w:spacing w:line="288"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因发包人原因未能按合同约定支付合同价款的违约责任：</w:t>
      </w:r>
      <w:r>
        <w:rPr>
          <w:rFonts w:hint="eastAsia" w:ascii="宋体" w:hAnsi="宋体"/>
          <w:bCs/>
          <w:color w:val="auto"/>
          <w:kern w:val="0"/>
          <w:szCs w:val="21"/>
          <w:highlight w:val="none"/>
          <w:u w:val="single"/>
        </w:rPr>
        <w:t>另行协商</w:t>
      </w:r>
      <w:r>
        <w:rPr>
          <w:rFonts w:ascii="宋体" w:hAnsi="宋体"/>
          <w:color w:val="auto"/>
          <w:kern w:val="0"/>
          <w:szCs w:val="21"/>
          <w:highlight w:val="none"/>
        </w:rPr>
        <w:t>。</w:t>
      </w:r>
    </w:p>
    <w:p>
      <w:pPr>
        <w:spacing w:line="288"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（3）发包人违反第10.1款</w:t>
      </w:r>
      <w:r>
        <w:rPr>
          <w:rFonts w:hint="eastAsia" w:ascii="宋体" w:hAnsi="宋体"/>
          <w:color w:val="auto"/>
          <w:kern w:val="0"/>
          <w:szCs w:val="21"/>
          <w:highlight w:val="none"/>
        </w:rPr>
        <w:t>〔</w:t>
      </w:r>
      <w:r>
        <w:rPr>
          <w:rFonts w:ascii="宋体" w:hAnsi="宋体"/>
          <w:color w:val="auto"/>
          <w:kern w:val="0"/>
          <w:szCs w:val="21"/>
          <w:highlight w:val="none"/>
        </w:rPr>
        <w:t>变更的范围</w:t>
      </w:r>
      <w:r>
        <w:rPr>
          <w:rFonts w:hint="eastAsia" w:ascii="宋体" w:hAnsi="宋体"/>
          <w:color w:val="auto"/>
          <w:kern w:val="0"/>
          <w:szCs w:val="21"/>
          <w:highlight w:val="none"/>
        </w:rPr>
        <w:t>〕</w:t>
      </w:r>
      <w:r>
        <w:rPr>
          <w:rFonts w:ascii="宋体" w:hAnsi="宋体"/>
          <w:color w:val="auto"/>
          <w:kern w:val="0"/>
          <w:szCs w:val="21"/>
          <w:highlight w:val="none"/>
        </w:rPr>
        <w:t>第（2）项约定，自行实施被取消的工作或转由他人实施的违约责任：</w:t>
      </w:r>
      <w:r>
        <w:rPr>
          <w:rFonts w:hint="eastAsia" w:ascii="宋体" w:hAnsi="宋体"/>
          <w:bCs/>
          <w:color w:val="auto"/>
          <w:kern w:val="0"/>
          <w:szCs w:val="21"/>
          <w:highlight w:val="none"/>
          <w:u w:val="single"/>
        </w:rPr>
        <w:t>另行协商</w:t>
      </w:r>
      <w:r>
        <w:rPr>
          <w:rFonts w:hint="eastAsia" w:ascii="宋体" w:hAnsi="宋体"/>
          <w:color w:val="auto"/>
          <w:kern w:val="0"/>
          <w:szCs w:val="21"/>
          <w:highlight w:val="none"/>
        </w:rPr>
        <w:t>。</w:t>
      </w:r>
    </w:p>
    <w:p>
      <w:pPr>
        <w:spacing w:line="288"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w:t>
      </w:r>
      <w:r>
        <w:rPr>
          <w:rFonts w:hint="eastAsia" w:ascii="宋体" w:hAnsi="宋体"/>
          <w:color w:val="auto"/>
          <w:kern w:val="0"/>
          <w:szCs w:val="21"/>
          <w:highlight w:val="none"/>
        </w:rPr>
        <w:t>4</w:t>
      </w:r>
      <w:r>
        <w:rPr>
          <w:rFonts w:ascii="宋体" w:hAnsi="宋体"/>
          <w:color w:val="auto"/>
          <w:kern w:val="0"/>
          <w:szCs w:val="21"/>
          <w:highlight w:val="none"/>
        </w:rPr>
        <w:t>）</w:t>
      </w:r>
      <w:r>
        <w:rPr>
          <w:rFonts w:hint="eastAsia" w:ascii="宋体" w:hAnsi="宋体"/>
          <w:color w:val="auto"/>
          <w:kern w:val="0"/>
          <w:szCs w:val="21"/>
          <w:highlight w:val="none"/>
        </w:rPr>
        <w:t>发包</w:t>
      </w:r>
      <w:r>
        <w:rPr>
          <w:rFonts w:ascii="宋体" w:hAnsi="宋体"/>
          <w:color w:val="auto"/>
          <w:kern w:val="0"/>
          <w:szCs w:val="21"/>
          <w:highlight w:val="none"/>
        </w:rPr>
        <w:t>人提供的材料、工程设备的规格、数量或质量不符合合同约定，或因发包人原因导致交货日期延误或交货地点变更等情况的违约责任：</w:t>
      </w:r>
      <w:r>
        <w:rPr>
          <w:rFonts w:hint="eastAsia" w:ascii="宋体" w:hAnsi="宋体"/>
          <w:bCs/>
          <w:color w:val="auto"/>
          <w:kern w:val="0"/>
          <w:szCs w:val="21"/>
          <w:highlight w:val="none"/>
          <w:u w:val="single"/>
        </w:rPr>
        <w:t>另行协商</w:t>
      </w:r>
      <w:r>
        <w:rPr>
          <w:rFonts w:ascii="宋体" w:hAnsi="宋体"/>
          <w:color w:val="auto"/>
          <w:kern w:val="0"/>
          <w:szCs w:val="21"/>
          <w:highlight w:val="none"/>
        </w:rPr>
        <w:t>。</w:t>
      </w:r>
    </w:p>
    <w:p>
      <w:pPr>
        <w:spacing w:line="288"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（5）因发包人违反合同约定造成暂停施工的违约责任：</w:t>
      </w:r>
      <w:r>
        <w:rPr>
          <w:rFonts w:hint="eastAsia" w:ascii="宋体" w:hAnsi="宋体"/>
          <w:bCs/>
          <w:color w:val="auto"/>
          <w:kern w:val="0"/>
          <w:szCs w:val="21"/>
          <w:highlight w:val="none"/>
          <w:u w:val="single"/>
        </w:rPr>
        <w:t>另行协商</w:t>
      </w:r>
      <w:r>
        <w:rPr>
          <w:rFonts w:ascii="宋体" w:hAnsi="宋体"/>
          <w:color w:val="auto"/>
          <w:kern w:val="0"/>
          <w:szCs w:val="21"/>
          <w:highlight w:val="none"/>
        </w:rPr>
        <w:t>。</w:t>
      </w:r>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（6）发包人无正当理由没有在约定期限内发出复工指示，导致承包人无法复工的违</w:t>
      </w:r>
      <w:r>
        <w:rPr>
          <w:rFonts w:hint="eastAsia" w:ascii="宋体" w:hAnsi="宋体"/>
          <w:color w:val="auto"/>
          <w:kern w:val="0"/>
          <w:szCs w:val="21"/>
          <w:highlight w:val="none"/>
          <w:lang w:val="en-US" w:eastAsia="zh-CN"/>
        </w:rPr>
        <w:t>约</w:t>
      </w:r>
      <w:r>
        <w:rPr>
          <w:rFonts w:ascii="宋体" w:hAnsi="宋体"/>
          <w:color w:val="auto"/>
          <w:kern w:val="0"/>
          <w:szCs w:val="21"/>
          <w:highlight w:val="none"/>
        </w:rPr>
        <w:t>责任：</w:t>
      </w:r>
      <w:r>
        <w:rPr>
          <w:rFonts w:hint="eastAsia" w:ascii="宋体" w:hAnsi="宋体"/>
          <w:color w:val="auto"/>
          <w:kern w:val="0"/>
          <w:szCs w:val="21"/>
          <w:highlight w:val="none"/>
        </w:rPr>
        <w:t>另行协商</w:t>
      </w:r>
      <w:r>
        <w:rPr>
          <w:rFonts w:ascii="宋体" w:hAnsi="宋体"/>
          <w:color w:val="auto"/>
          <w:kern w:val="0"/>
          <w:szCs w:val="21"/>
          <w:highlight w:val="none"/>
        </w:rPr>
        <w:t>。</w:t>
      </w:r>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其他：</w:t>
      </w:r>
      <w:r>
        <w:rPr>
          <w:rFonts w:ascii="宋体" w:hAnsi="宋体"/>
          <w:color w:val="auto"/>
          <w:kern w:val="0"/>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288" w:lineRule="auto"/>
        <w:ind w:firstLine="422" w:firstLineChars="200"/>
        <w:jc w:val="left"/>
        <w:rPr>
          <w:rFonts w:ascii="宋体" w:hAnsi="宋体"/>
          <w:color w:val="auto"/>
          <w:szCs w:val="21"/>
          <w:highlight w:val="none"/>
        </w:rPr>
      </w:pPr>
      <w:r>
        <w:rPr>
          <w:rFonts w:ascii="宋体" w:hAnsi="宋体"/>
          <w:b/>
          <w:color w:val="auto"/>
          <w:szCs w:val="21"/>
          <w:highlight w:val="none"/>
        </w:rPr>
        <w:t>16.1.3</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因发包人违约解除合同</w:t>
      </w:r>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承包人按16.1.1项</w:t>
      </w:r>
      <w:r>
        <w:rPr>
          <w:rFonts w:hint="eastAsia" w:ascii="宋体" w:hAnsi="宋体"/>
          <w:color w:val="auto"/>
          <w:kern w:val="0"/>
          <w:szCs w:val="21"/>
          <w:highlight w:val="none"/>
        </w:rPr>
        <w:t>〔</w:t>
      </w:r>
      <w:r>
        <w:rPr>
          <w:rFonts w:ascii="宋体" w:hAnsi="宋体"/>
          <w:color w:val="auto"/>
          <w:kern w:val="0"/>
          <w:szCs w:val="21"/>
          <w:highlight w:val="none"/>
        </w:rPr>
        <w:t>发包人违约的情形</w:t>
      </w:r>
      <w:r>
        <w:rPr>
          <w:rFonts w:hint="eastAsia" w:ascii="宋体" w:hAnsi="宋体"/>
          <w:color w:val="auto"/>
          <w:kern w:val="0"/>
          <w:szCs w:val="21"/>
          <w:highlight w:val="none"/>
        </w:rPr>
        <w:t>〕</w:t>
      </w:r>
      <w:r>
        <w:rPr>
          <w:rFonts w:ascii="宋体" w:hAnsi="宋体"/>
          <w:color w:val="auto"/>
          <w:kern w:val="0"/>
          <w:szCs w:val="21"/>
          <w:highlight w:val="none"/>
        </w:rPr>
        <w:t>约定暂停施工满</w:t>
      </w:r>
      <w:r>
        <w:rPr>
          <w:rFonts w:hint="eastAsia" w:ascii="宋体" w:hAnsi="宋体"/>
          <w:bCs/>
          <w:color w:val="auto"/>
          <w:kern w:val="0"/>
          <w:szCs w:val="21"/>
          <w:highlight w:val="none"/>
          <w:u w:val="single"/>
        </w:rPr>
        <w:t>另行协商</w:t>
      </w:r>
      <w:r>
        <w:rPr>
          <w:rFonts w:ascii="宋体" w:hAnsi="宋体"/>
          <w:color w:val="auto"/>
          <w:kern w:val="0"/>
          <w:szCs w:val="21"/>
          <w:highlight w:val="none"/>
        </w:rPr>
        <w:t>天后发包人仍不纠正其违约行为并致使合同目的不能实现的，承包人有权解除合同。</w:t>
      </w:r>
    </w:p>
    <w:p>
      <w:pPr>
        <w:spacing w:line="288" w:lineRule="auto"/>
        <w:ind w:firstLine="422" w:firstLineChars="200"/>
        <w:outlineLvl w:val="0"/>
        <w:rPr>
          <w:rFonts w:ascii="宋体" w:hAnsi="宋体"/>
          <w:color w:val="auto"/>
          <w:szCs w:val="21"/>
          <w:highlight w:val="none"/>
        </w:rPr>
      </w:pPr>
      <w:bookmarkStart w:id="762" w:name="_Toc23273"/>
      <w:bookmarkStart w:id="763" w:name="_Toc14437"/>
      <w:r>
        <w:rPr>
          <w:rFonts w:ascii="宋体" w:hAnsi="宋体"/>
          <w:b/>
          <w:color w:val="auto"/>
          <w:szCs w:val="21"/>
          <w:highlight w:val="none"/>
        </w:rPr>
        <w:t>16.2</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ascii="宋体" w:hAnsi="宋体"/>
          <w:color w:val="auto"/>
          <w:szCs w:val="21"/>
          <w:highlight w:val="none"/>
        </w:rPr>
        <w:t>承包人违约</w:t>
      </w:r>
      <w:bookmarkEnd w:id="762"/>
      <w:bookmarkEnd w:id="763"/>
    </w:p>
    <w:p>
      <w:pPr>
        <w:spacing w:line="288" w:lineRule="auto"/>
        <w:ind w:firstLine="422" w:firstLineChars="200"/>
        <w:jc w:val="left"/>
        <w:outlineLvl w:val="0"/>
        <w:rPr>
          <w:rFonts w:ascii="宋体" w:hAnsi="宋体"/>
          <w:color w:val="auto"/>
          <w:kern w:val="0"/>
          <w:szCs w:val="21"/>
          <w:highlight w:val="none"/>
        </w:rPr>
      </w:pPr>
      <w:bookmarkStart w:id="764" w:name="_Toc5949"/>
      <w:bookmarkStart w:id="765" w:name="_Toc16254"/>
      <w:r>
        <w:rPr>
          <w:rFonts w:ascii="宋体" w:hAnsi="宋体"/>
          <w:b/>
          <w:color w:val="auto"/>
          <w:szCs w:val="21"/>
          <w:highlight w:val="none"/>
        </w:rPr>
        <w:t>16.2.1</w:t>
      </w:r>
      <w:r>
        <w:rPr>
          <w:rFonts w:hint="eastAsia" w:ascii="宋体" w:hAnsi="宋体"/>
          <w:b/>
          <w:color w:val="auto"/>
          <w:szCs w:val="21"/>
          <w:highlight w:val="none"/>
        </w:rPr>
        <w:t xml:space="preserve"> </w:t>
      </w:r>
      <w:r>
        <w:rPr>
          <w:rFonts w:ascii="宋体" w:hAnsi="宋体"/>
          <w:color w:val="auto"/>
          <w:kern w:val="0"/>
          <w:szCs w:val="21"/>
          <w:highlight w:val="none"/>
        </w:rPr>
        <w:t xml:space="preserve"> </w:t>
      </w:r>
      <w:r>
        <w:rPr>
          <w:rFonts w:ascii="宋体" w:hAnsi="宋体"/>
          <w:color w:val="auto"/>
          <w:szCs w:val="21"/>
          <w:highlight w:val="none"/>
        </w:rPr>
        <w:t>承包人违约的情形</w:t>
      </w:r>
      <w:bookmarkEnd w:id="764"/>
      <w:bookmarkEnd w:id="765"/>
    </w:p>
    <w:p>
      <w:pPr>
        <w:spacing w:line="288"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承包人违约的其他情形：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288" w:lineRule="auto"/>
        <w:ind w:firstLine="422" w:firstLineChars="200"/>
        <w:jc w:val="left"/>
        <w:outlineLvl w:val="0"/>
        <w:rPr>
          <w:rFonts w:ascii="宋体" w:hAnsi="宋体"/>
          <w:color w:val="auto"/>
          <w:kern w:val="0"/>
          <w:szCs w:val="21"/>
          <w:highlight w:val="none"/>
        </w:rPr>
      </w:pPr>
      <w:bookmarkStart w:id="766" w:name="_Toc9947"/>
      <w:bookmarkStart w:id="767" w:name="_Toc7379"/>
      <w:r>
        <w:rPr>
          <w:rFonts w:ascii="宋体" w:hAnsi="宋体"/>
          <w:b/>
          <w:color w:val="auto"/>
          <w:szCs w:val="21"/>
          <w:highlight w:val="none"/>
        </w:rPr>
        <w:t>16.2.2</w:t>
      </w:r>
      <w:r>
        <w:rPr>
          <w:rFonts w:hint="eastAsia" w:ascii="宋体" w:hAnsi="宋体"/>
          <w:b/>
          <w:color w:val="auto"/>
          <w:szCs w:val="21"/>
          <w:highlight w:val="none"/>
        </w:rPr>
        <w:t xml:space="preserve">  </w:t>
      </w:r>
      <w:r>
        <w:rPr>
          <w:rFonts w:ascii="宋体" w:hAnsi="宋体"/>
          <w:color w:val="auto"/>
          <w:szCs w:val="21"/>
          <w:highlight w:val="none"/>
        </w:rPr>
        <w:t>承包人违约的责任</w:t>
      </w:r>
      <w:bookmarkEnd w:id="766"/>
      <w:bookmarkEnd w:id="767"/>
    </w:p>
    <w:p>
      <w:pPr>
        <w:pStyle w:val="10"/>
        <w:spacing w:line="288" w:lineRule="auto"/>
        <w:ind w:firstLine="420" w:firstLineChars="200"/>
        <w:rPr>
          <w:rFonts w:hAnsi="宋体"/>
          <w:b/>
          <w:color w:val="auto"/>
          <w:szCs w:val="21"/>
          <w:highlight w:val="none"/>
        </w:rPr>
      </w:pPr>
      <w:r>
        <w:rPr>
          <w:rFonts w:hint="eastAsia" w:hAnsi="宋体"/>
          <w:color w:val="auto"/>
          <w:szCs w:val="21"/>
          <w:highlight w:val="none"/>
        </w:rPr>
        <w:t>本合同中关于承包人违约的具体责任如下：</w:t>
      </w:r>
    </w:p>
    <w:p>
      <w:pPr>
        <w:autoSpaceDE w:val="0"/>
        <w:autoSpaceDN w:val="0"/>
        <w:adjustRightInd w:val="0"/>
        <w:spacing w:line="288" w:lineRule="auto"/>
        <w:ind w:firstLine="420" w:firstLineChars="200"/>
        <w:jc w:val="left"/>
        <w:rPr>
          <w:rFonts w:ascii="宋体" w:hAnsi="宋体"/>
          <w:color w:val="auto"/>
          <w:kern w:val="0"/>
          <w:szCs w:val="21"/>
          <w:highlight w:val="none"/>
        </w:rPr>
      </w:pPr>
      <w:bookmarkStart w:id="768" w:name="SOA_zyht_xscbrwyzj"/>
      <w:r>
        <w:rPr>
          <w:rFonts w:hint="eastAsia" w:ascii="宋体" w:hAnsi="宋体"/>
          <w:color w:val="auto"/>
          <w:kern w:val="0"/>
          <w:szCs w:val="21"/>
          <w:highlight w:val="none"/>
        </w:rPr>
        <w:t>（1）承包人违反合同约定进行转包或违法分包的；</w:t>
      </w:r>
      <w:r>
        <w:rPr>
          <w:rFonts w:hint="eastAsia" w:ascii="宋体" w:hAnsi="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autoSpaceDE w:val="0"/>
        <w:autoSpaceDN w:val="0"/>
        <w:adjustRightInd w:val="0"/>
        <w:spacing w:line="288"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thick"/>
        </w:rPr>
        <w:t>承包人违反合同约定采购和使用不合格的材料和工程设备的；</w:t>
      </w:r>
      <w:bookmarkStart w:id="769" w:name="_Toc351203532"/>
      <w:r>
        <w:rPr>
          <w:rFonts w:hint="eastAsia" w:ascii="宋体" w:hAnsi="宋体"/>
          <w:color w:val="auto"/>
          <w:kern w:val="0"/>
          <w:szCs w:val="21"/>
          <w:highlight w:val="none"/>
          <w:u w:val="thick"/>
        </w:rPr>
        <w:t>每发现一次，根据情节严重程度</w:t>
      </w:r>
      <w:r>
        <w:rPr>
          <w:rFonts w:hint="eastAsia" w:ascii="宋体" w:hAnsi="宋体"/>
          <w:color w:val="auto"/>
          <w:kern w:val="0"/>
          <w:szCs w:val="21"/>
          <w:highlight w:val="none"/>
          <w:u w:val="thick"/>
          <w:lang w:eastAsia="zh-CN"/>
        </w:rPr>
        <w:t>处以</w:t>
      </w:r>
      <w:r>
        <w:rPr>
          <w:rFonts w:hint="eastAsia" w:ascii="宋体" w:hAnsi="宋体"/>
          <w:color w:val="auto"/>
          <w:kern w:val="0"/>
          <w:szCs w:val="21"/>
          <w:highlight w:val="none"/>
          <w:u w:val="thick"/>
        </w:rPr>
        <w:t>2000-100000元罚款。</w:t>
      </w:r>
    </w:p>
    <w:bookmarkEnd w:id="769"/>
    <w:p>
      <w:pPr>
        <w:spacing w:line="288"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（3）承包人未能按施工进度计划及时完成合同约定的工作，造成工期延误的；</w:t>
      </w:r>
      <w:r>
        <w:rPr>
          <w:rFonts w:hint="eastAsia" w:ascii="宋体" w:hAnsi="宋体"/>
          <w:color w:val="auto"/>
          <w:kern w:val="0"/>
          <w:szCs w:val="21"/>
          <w:highlight w:val="none"/>
          <w:u w:val="single"/>
        </w:rPr>
        <w:t xml:space="preserve">  按</w:t>
      </w:r>
      <w:r>
        <w:rPr>
          <w:rFonts w:ascii="宋体" w:hAnsi="宋体"/>
          <w:color w:val="auto"/>
          <w:kern w:val="0"/>
          <w:szCs w:val="21"/>
          <w:highlight w:val="none"/>
          <w:u w:val="single"/>
        </w:rPr>
        <w:t>5</w:t>
      </w:r>
      <w:r>
        <w:rPr>
          <w:rFonts w:hint="eastAsia" w:ascii="宋体" w:hAnsi="宋体"/>
          <w:color w:val="auto"/>
          <w:kern w:val="0"/>
          <w:szCs w:val="21"/>
          <w:highlight w:val="none"/>
          <w:u w:val="single"/>
        </w:rPr>
        <w:t xml:space="preserve">000元/天，最高不超过总价的5% </w:t>
      </w:r>
      <w:r>
        <w:rPr>
          <w:rFonts w:hint="eastAsia" w:ascii="宋体" w:hAnsi="宋体"/>
          <w:color w:val="auto"/>
          <w:szCs w:val="21"/>
          <w:highlight w:val="none"/>
          <w:u w:val="single"/>
        </w:rPr>
        <w:t xml:space="preserve">  </w:t>
      </w:r>
      <w:r>
        <w:rPr>
          <w:rFonts w:hint="eastAsia" w:ascii="宋体" w:hAnsi="宋体"/>
          <w:color w:val="auto"/>
          <w:kern w:val="0"/>
          <w:szCs w:val="21"/>
          <w:highlight w:val="none"/>
          <w:u w:val="single"/>
        </w:rPr>
        <w:t xml:space="preserve"> 。</w:t>
      </w:r>
    </w:p>
    <w:p>
      <w:pPr>
        <w:spacing w:line="288" w:lineRule="auto"/>
        <w:ind w:firstLine="420" w:firstLineChars="200"/>
        <w:jc w:val="left"/>
        <w:rPr>
          <w:rFonts w:ascii="宋体" w:hAnsi="宋体"/>
          <w:color w:val="auto"/>
          <w:kern w:val="0"/>
          <w:szCs w:val="21"/>
          <w:highlight w:val="none"/>
          <w:u w:val="thick"/>
        </w:rPr>
      </w:pPr>
      <w:r>
        <w:rPr>
          <w:rFonts w:hint="eastAsia" w:ascii="宋体" w:hAnsi="宋体"/>
          <w:color w:val="auto"/>
          <w:kern w:val="0"/>
          <w:szCs w:val="21"/>
          <w:highlight w:val="none"/>
          <w:u w:val="thick"/>
        </w:rPr>
        <w:t>（4）承包人在缺陷责任期及保修期内，未能在合理期限对工程缺陷进行修复，或拒绝按发包人要求进行修复的；每发现一次，根据情节严重程度</w:t>
      </w:r>
      <w:r>
        <w:rPr>
          <w:rFonts w:hint="eastAsia" w:ascii="宋体" w:hAnsi="宋体"/>
          <w:color w:val="auto"/>
          <w:kern w:val="0"/>
          <w:szCs w:val="21"/>
          <w:highlight w:val="none"/>
          <w:u w:val="thick"/>
          <w:lang w:eastAsia="zh-CN"/>
        </w:rPr>
        <w:t>处以</w:t>
      </w:r>
      <w:r>
        <w:rPr>
          <w:rFonts w:hint="eastAsia" w:ascii="宋体" w:hAnsi="宋体"/>
          <w:color w:val="auto"/>
          <w:kern w:val="0"/>
          <w:szCs w:val="21"/>
          <w:highlight w:val="none"/>
          <w:u w:val="thick"/>
        </w:rPr>
        <w:t>2000-100000元罚款 。对限期内未能及时上门维修或予以修复的，发包人有权委托第三方进行维修，相关费用从质量保证金中扣除。</w:t>
      </w:r>
    </w:p>
    <w:p>
      <w:pPr>
        <w:autoSpaceDE w:val="0"/>
        <w:autoSpaceDN w:val="0"/>
        <w:adjustRightInd w:val="0"/>
        <w:spacing w:line="288" w:lineRule="auto"/>
        <w:ind w:firstLine="420" w:firstLineChars="200"/>
        <w:jc w:val="left"/>
        <w:rPr>
          <w:rFonts w:ascii="宋体" w:hAnsi="宋体"/>
          <w:color w:val="auto"/>
          <w:szCs w:val="21"/>
          <w:highlight w:val="none"/>
          <w:u w:val="thick"/>
        </w:rPr>
      </w:pPr>
      <w:r>
        <w:rPr>
          <w:rFonts w:hint="eastAsia" w:ascii="宋体" w:hAnsi="宋体"/>
          <w:color w:val="auto"/>
          <w:kern w:val="0"/>
          <w:szCs w:val="21"/>
          <w:highlight w:val="none"/>
        </w:rPr>
        <w:t>（5）承包人明确表示或者以其行为表明不履行合同主要义务的；</w:t>
      </w:r>
      <w:r>
        <w:rPr>
          <w:rFonts w:hint="eastAsia" w:ascii="宋体" w:hAnsi="宋体"/>
          <w:color w:val="auto"/>
          <w:szCs w:val="21"/>
          <w:highlight w:val="none"/>
          <w:u w:val="thick"/>
        </w:rPr>
        <w:t>扣罚全部履约保证金, 并承担由此产生的各方一切损失。</w:t>
      </w:r>
    </w:p>
    <w:bookmarkEnd w:id="768"/>
    <w:p>
      <w:pPr>
        <w:spacing w:line="288" w:lineRule="auto"/>
        <w:ind w:firstLine="422" w:firstLineChars="200"/>
        <w:jc w:val="left"/>
        <w:outlineLvl w:val="0"/>
        <w:rPr>
          <w:rFonts w:ascii="宋体" w:hAnsi="宋体"/>
          <w:color w:val="auto"/>
          <w:szCs w:val="21"/>
          <w:highlight w:val="none"/>
        </w:rPr>
      </w:pPr>
      <w:bookmarkStart w:id="770" w:name="_Toc16035"/>
      <w:bookmarkStart w:id="771" w:name="_Toc32229"/>
      <w:r>
        <w:rPr>
          <w:rFonts w:ascii="宋体" w:hAnsi="宋体"/>
          <w:b/>
          <w:color w:val="auto"/>
          <w:szCs w:val="21"/>
          <w:highlight w:val="none"/>
        </w:rPr>
        <w:t>16.2.3</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因承包人违约解除合同</w:t>
      </w:r>
      <w:bookmarkEnd w:id="770"/>
      <w:bookmarkEnd w:id="771"/>
    </w:p>
    <w:p>
      <w:pPr>
        <w:spacing w:line="288" w:lineRule="auto"/>
        <w:ind w:firstLine="420" w:firstLineChars="200"/>
        <w:rPr>
          <w:rFonts w:ascii="宋体" w:hAnsi="宋体"/>
          <w:color w:val="auto"/>
          <w:kern w:val="0"/>
          <w:szCs w:val="21"/>
          <w:highlight w:val="none"/>
          <w:u w:val="single"/>
        </w:rPr>
      </w:pPr>
      <w:r>
        <w:rPr>
          <w:rFonts w:ascii="宋体" w:hAnsi="宋体"/>
          <w:color w:val="auto"/>
          <w:kern w:val="0"/>
          <w:szCs w:val="21"/>
          <w:highlight w:val="none"/>
        </w:rPr>
        <w:t>关于承包人违约解除合同的特别约定：</w:t>
      </w:r>
      <w:r>
        <w:rPr>
          <w:rFonts w:ascii="宋体" w:hAnsi="宋体"/>
          <w:color w:val="auto"/>
          <w:kern w:val="0"/>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pPr>
        <w:spacing w:line="288"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w:t>
      </w:r>
      <w:r>
        <w:rPr>
          <w:rFonts w:hint="eastAsia" w:ascii="宋体" w:hAnsi="宋体"/>
          <w:color w:val="auto"/>
          <w:kern w:val="0"/>
          <w:szCs w:val="21"/>
          <w:highlight w:val="none"/>
        </w:rPr>
        <w:t>继续</w:t>
      </w:r>
      <w:r>
        <w:rPr>
          <w:rFonts w:ascii="宋体" w:hAnsi="宋体"/>
          <w:color w:val="auto"/>
          <w:kern w:val="0"/>
          <w:szCs w:val="21"/>
          <w:highlight w:val="none"/>
        </w:rPr>
        <w:t>使用承包人在施工现场的材料、设备、临时工程、承包人文件和由承包人</w:t>
      </w:r>
    </w:p>
    <w:p>
      <w:pPr>
        <w:spacing w:line="288" w:lineRule="auto"/>
        <w:ind w:firstLine="420" w:firstLineChars="200"/>
        <w:rPr>
          <w:rFonts w:ascii="宋体" w:hAnsi="宋体"/>
          <w:color w:val="auto"/>
          <w:kern w:val="0"/>
          <w:szCs w:val="21"/>
          <w:highlight w:val="none"/>
        </w:rPr>
      </w:pPr>
      <w:r>
        <w:rPr>
          <w:rFonts w:ascii="宋体" w:hAnsi="宋体"/>
          <w:color w:val="auto"/>
          <w:kern w:val="0"/>
          <w:szCs w:val="21"/>
          <w:highlight w:val="none"/>
        </w:rPr>
        <w:t>或以其名义编制的其他文件</w:t>
      </w:r>
      <w:r>
        <w:rPr>
          <w:rFonts w:hint="eastAsia" w:ascii="宋体" w:hAnsi="宋体"/>
          <w:color w:val="auto"/>
          <w:kern w:val="0"/>
          <w:szCs w:val="21"/>
          <w:highlight w:val="none"/>
        </w:rPr>
        <w:t>的费用承担方式</w:t>
      </w:r>
      <w:r>
        <w:rPr>
          <w:rFonts w:ascii="宋体" w:hAnsi="宋体"/>
          <w:color w:val="auto"/>
          <w:kern w:val="0"/>
          <w:szCs w:val="21"/>
          <w:highlight w:val="none"/>
        </w:rPr>
        <w:t>：</w:t>
      </w:r>
      <w:r>
        <w:rPr>
          <w:rFonts w:hint="eastAsia" w:ascii="宋体" w:hAnsi="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288" w:lineRule="auto"/>
        <w:ind w:firstLine="422" w:firstLineChars="200"/>
        <w:outlineLvl w:val="0"/>
        <w:rPr>
          <w:rFonts w:ascii="宋体" w:hAnsi="宋体"/>
          <w:color w:val="auto"/>
          <w:szCs w:val="21"/>
          <w:highlight w:val="none"/>
        </w:rPr>
      </w:pPr>
      <w:bookmarkStart w:id="772" w:name="_Toc15530"/>
      <w:bookmarkStart w:id="773" w:name="_Toc361220578"/>
      <w:bookmarkStart w:id="774" w:name="_Toc9751"/>
      <w:r>
        <w:rPr>
          <w:rFonts w:ascii="宋体" w:hAnsi="宋体"/>
          <w:b/>
          <w:color w:val="auto"/>
          <w:szCs w:val="21"/>
          <w:highlight w:val="none"/>
        </w:rPr>
        <w:t>17</w:t>
      </w:r>
      <w:r>
        <w:rPr>
          <w:rFonts w:hint="eastAsia" w:ascii="宋体" w:hAnsi="宋体"/>
          <w:color w:val="auto"/>
          <w:szCs w:val="21"/>
          <w:highlight w:val="none"/>
        </w:rPr>
        <w:t xml:space="preserve">  </w:t>
      </w:r>
      <w:r>
        <w:rPr>
          <w:rFonts w:ascii="宋体" w:hAnsi="宋体"/>
          <w:color w:val="auto"/>
          <w:szCs w:val="21"/>
          <w:highlight w:val="none"/>
        </w:rPr>
        <w:t>不可抗力</w:t>
      </w:r>
      <w:bookmarkEnd w:id="772"/>
      <w:bookmarkEnd w:id="773"/>
      <w:bookmarkEnd w:id="774"/>
      <w:r>
        <w:rPr>
          <w:rFonts w:ascii="宋体" w:hAnsi="宋体"/>
          <w:color w:val="auto"/>
          <w:szCs w:val="21"/>
          <w:highlight w:val="none"/>
        </w:rPr>
        <w:t xml:space="preserve"> </w:t>
      </w:r>
      <w:bookmarkEnd w:id="754"/>
    </w:p>
    <w:p>
      <w:pPr>
        <w:spacing w:line="288" w:lineRule="auto"/>
        <w:ind w:firstLine="422" w:firstLineChars="200"/>
        <w:outlineLvl w:val="0"/>
        <w:rPr>
          <w:rFonts w:ascii="宋体" w:hAnsi="宋体"/>
          <w:color w:val="auto"/>
          <w:szCs w:val="21"/>
          <w:highlight w:val="none"/>
        </w:rPr>
      </w:pPr>
      <w:bookmarkStart w:id="775" w:name="_Toc6980"/>
      <w:bookmarkStart w:id="776" w:name="_Toc13018"/>
      <w:r>
        <w:rPr>
          <w:rFonts w:ascii="宋体" w:hAnsi="宋体"/>
          <w:b/>
          <w:color w:val="auto"/>
          <w:szCs w:val="21"/>
          <w:highlight w:val="none"/>
        </w:rPr>
        <w:t>17.1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不可抗力的确认</w:t>
      </w:r>
      <w:bookmarkEnd w:id="775"/>
      <w:bookmarkEnd w:id="776"/>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除通用合同条款约定的不可抗力事件之外，视为不可抗力的其他情形</w:t>
      </w:r>
      <w:r>
        <w:rPr>
          <w:rFonts w:ascii="宋体" w:hAnsi="宋体"/>
          <w:color w:val="auto"/>
          <w:kern w:val="0"/>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288" w:lineRule="auto"/>
        <w:ind w:firstLine="422" w:firstLineChars="200"/>
        <w:outlineLvl w:val="0"/>
        <w:rPr>
          <w:rFonts w:ascii="宋体" w:hAnsi="宋体"/>
          <w:color w:val="auto"/>
          <w:szCs w:val="21"/>
          <w:highlight w:val="none"/>
        </w:rPr>
      </w:pPr>
      <w:bookmarkStart w:id="777" w:name="_Toc28545"/>
      <w:bookmarkStart w:id="778" w:name="_Toc20820"/>
      <w:r>
        <w:rPr>
          <w:rFonts w:hint="eastAsia" w:ascii="宋体" w:hAnsi="宋体"/>
          <w:b/>
          <w:color w:val="auto"/>
          <w:szCs w:val="21"/>
          <w:highlight w:val="none"/>
        </w:rPr>
        <w:t xml:space="preserve">17.4  </w:t>
      </w:r>
      <w:r>
        <w:rPr>
          <w:rFonts w:hint="eastAsia" w:ascii="宋体" w:hAnsi="宋体"/>
          <w:color w:val="auto"/>
          <w:szCs w:val="21"/>
          <w:highlight w:val="none"/>
        </w:rPr>
        <w:t>因不可抗力</w:t>
      </w:r>
      <w:r>
        <w:rPr>
          <w:rFonts w:ascii="宋体" w:hAnsi="宋体"/>
          <w:color w:val="auto"/>
          <w:szCs w:val="21"/>
          <w:highlight w:val="none"/>
        </w:rPr>
        <w:t>解除合同</w:t>
      </w:r>
      <w:bookmarkEnd w:id="777"/>
      <w:bookmarkEnd w:id="778"/>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合同解除后，发包人应在商定或确定发包人应支付款项后</w:t>
      </w:r>
      <w:r>
        <w:rPr>
          <w:rFonts w:ascii="宋体" w:hAnsi="宋体"/>
          <w:color w:val="auto"/>
          <w:szCs w:val="21"/>
          <w:highlight w:val="none"/>
          <w:u w:val="single"/>
        </w:rPr>
        <w:t xml:space="preserve"> </w:t>
      </w:r>
      <w:r>
        <w:rPr>
          <w:rFonts w:hint="eastAsia" w:ascii="宋体" w:hAnsi="宋体"/>
          <w:bCs/>
          <w:color w:val="auto"/>
          <w:kern w:val="0"/>
          <w:szCs w:val="21"/>
          <w:highlight w:val="none"/>
          <w:u w:val="single"/>
        </w:rPr>
        <w:t>另行协商</w:t>
      </w:r>
      <w:r>
        <w:rPr>
          <w:rFonts w:ascii="宋体" w:hAnsi="宋体"/>
          <w:color w:val="auto"/>
          <w:szCs w:val="21"/>
          <w:highlight w:val="none"/>
        </w:rPr>
        <w:t>天内完成款项的支付。</w:t>
      </w:r>
    </w:p>
    <w:p>
      <w:pPr>
        <w:spacing w:line="288" w:lineRule="auto"/>
        <w:ind w:firstLine="422" w:firstLineChars="200"/>
        <w:outlineLvl w:val="0"/>
        <w:rPr>
          <w:rFonts w:ascii="宋体" w:hAnsi="宋体"/>
          <w:color w:val="auto"/>
          <w:szCs w:val="21"/>
          <w:highlight w:val="none"/>
        </w:rPr>
      </w:pPr>
      <w:bookmarkStart w:id="779" w:name="_Toc361220579"/>
      <w:bookmarkStart w:id="780" w:name="_Toc30680"/>
      <w:bookmarkStart w:id="781" w:name="_Toc26061"/>
      <w:r>
        <w:rPr>
          <w:rFonts w:ascii="宋体" w:hAnsi="宋体"/>
          <w:b/>
          <w:color w:val="auto"/>
          <w:szCs w:val="21"/>
          <w:highlight w:val="none"/>
        </w:rPr>
        <w:t>18</w:t>
      </w:r>
      <w:r>
        <w:rPr>
          <w:rFonts w:hint="eastAsia" w:ascii="宋体" w:hAnsi="宋体"/>
          <w:b/>
          <w:color w:val="auto"/>
          <w:szCs w:val="21"/>
          <w:highlight w:val="none"/>
        </w:rPr>
        <w:t xml:space="preserve">  </w:t>
      </w:r>
      <w:r>
        <w:rPr>
          <w:rFonts w:ascii="宋体" w:hAnsi="宋体"/>
          <w:color w:val="auto"/>
          <w:szCs w:val="21"/>
          <w:highlight w:val="none"/>
        </w:rPr>
        <w:t>保险</w:t>
      </w:r>
      <w:bookmarkEnd w:id="779"/>
      <w:bookmarkEnd w:id="780"/>
      <w:bookmarkEnd w:id="781"/>
    </w:p>
    <w:bookmarkEnd w:id="755"/>
    <w:p>
      <w:pPr>
        <w:spacing w:line="288" w:lineRule="auto"/>
        <w:ind w:firstLine="422" w:firstLineChars="200"/>
        <w:outlineLvl w:val="0"/>
        <w:rPr>
          <w:rFonts w:ascii="宋体" w:hAnsi="宋体"/>
          <w:color w:val="auto"/>
          <w:szCs w:val="21"/>
          <w:highlight w:val="none"/>
        </w:rPr>
      </w:pPr>
      <w:bookmarkStart w:id="782" w:name="_Toc4125"/>
      <w:bookmarkStart w:id="783" w:name="_Toc24081"/>
      <w:r>
        <w:rPr>
          <w:rFonts w:ascii="宋体" w:hAnsi="宋体"/>
          <w:b/>
          <w:color w:val="auto"/>
          <w:szCs w:val="21"/>
          <w:highlight w:val="none"/>
        </w:rPr>
        <w:t>18.1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工程保险</w:t>
      </w:r>
      <w:bookmarkEnd w:id="782"/>
      <w:bookmarkEnd w:id="783"/>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kern w:val="0"/>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pPr>
        <w:spacing w:line="288" w:lineRule="auto"/>
        <w:ind w:firstLine="422" w:firstLineChars="200"/>
        <w:outlineLvl w:val="0"/>
        <w:rPr>
          <w:rFonts w:ascii="宋体" w:hAnsi="宋体"/>
          <w:color w:val="auto"/>
          <w:szCs w:val="21"/>
          <w:highlight w:val="none"/>
        </w:rPr>
      </w:pPr>
      <w:bookmarkStart w:id="784" w:name="_Toc12004"/>
      <w:bookmarkStart w:id="785" w:name="_Toc1829"/>
      <w:r>
        <w:rPr>
          <w:rFonts w:ascii="宋体" w:hAnsi="宋体"/>
          <w:b/>
          <w:color w:val="auto"/>
          <w:szCs w:val="21"/>
          <w:highlight w:val="none"/>
        </w:rPr>
        <w:t>18.</w:t>
      </w:r>
      <w:r>
        <w:rPr>
          <w:rFonts w:hint="eastAsia" w:ascii="宋体" w:hAnsi="宋体"/>
          <w:b/>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其他保险</w:t>
      </w:r>
      <w:bookmarkEnd w:id="784"/>
      <w:bookmarkEnd w:id="785"/>
    </w:p>
    <w:p>
      <w:pPr>
        <w:spacing w:line="288" w:lineRule="auto"/>
        <w:ind w:firstLine="420" w:firstLineChars="200"/>
        <w:jc w:val="left"/>
        <w:rPr>
          <w:rFonts w:ascii="宋体" w:hAnsi="宋体"/>
          <w:color w:val="auto"/>
          <w:kern w:val="0"/>
          <w:szCs w:val="21"/>
          <w:highlight w:val="none"/>
        </w:rPr>
      </w:pPr>
      <w:r>
        <w:rPr>
          <w:rFonts w:ascii="宋体" w:hAnsi="宋体"/>
          <w:color w:val="auto"/>
          <w:szCs w:val="21"/>
          <w:highlight w:val="none"/>
        </w:rPr>
        <w:t>关于其他保险的约定：</w:t>
      </w:r>
      <w:r>
        <w:rPr>
          <w:rFonts w:hint="eastAsia" w:ascii="宋体" w:hAnsi="宋体"/>
          <w:bCs/>
          <w:color w:val="auto"/>
          <w:kern w:val="0"/>
          <w:szCs w:val="21"/>
          <w:highlight w:val="none"/>
          <w:u w:val="single"/>
        </w:rPr>
        <w:t>承包人为建设工程和施工场地内的自有人员设备及第三方生命财产办理保险并支付保险费用，费用已包含在总价内</w:t>
      </w:r>
      <w:r>
        <w:rPr>
          <w:rFonts w:ascii="宋体" w:hAnsi="宋体"/>
          <w:color w:val="auto"/>
          <w:kern w:val="0"/>
          <w:szCs w:val="21"/>
          <w:highlight w:val="none"/>
        </w:rPr>
        <w:t>。</w:t>
      </w:r>
    </w:p>
    <w:p>
      <w:pPr>
        <w:spacing w:line="288" w:lineRule="auto"/>
        <w:ind w:firstLine="420" w:firstLineChars="200"/>
        <w:jc w:val="left"/>
        <w:rPr>
          <w:rFonts w:ascii="宋体" w:hAnsi="宋体"/>
          <w:color w:val="auto"/>
          <w:kern w:val="0"/>
          <w:szCs w:val="21"/>
          <w:highlight w:val="none"/>
        </w:rPr>
      </w:pPr>
      <w:r>
        <w:rPr>
          <w:rFonts w:ascii="宋体" w:hAnsi="宋体"/>
          <w:color w:val="auto"/>
          <w:szCs w:val="21"/>
          <w:highlight w:val="none"/>
        </w:rPr>
        <w:t>承包人是否应为其施工设备等办理财产保险：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是</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786" w:name="_Toc32121"/>
      <w:bookmarkStart w:id="787" w:name="_Toc27002"/>
      <w:r>
        <w:rPr>
          <w:rFonts w:ascii="宋体" w:hAnsi="宋体"/>
          <w:b/>
          <w:color w:val="auto"/>
          <w:szCs w:val="21"/>
          <w:highlight w:val="none"/>
        </w:rPr>
        <w:t>18.</w:t>
      </w:r>
      <w:r>
        <w:rPr>
          <w:rFonts w:hint="eastAsia" w:ascii="宋体" w:hAnsi="宋体"/>
          <w:b/>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通知义务</w:t>
      </w:r>
      <w:bookmarkEnd w:id="786"/>
      <w:bookmarkEnd w:id="787"/>
    </w:p>
    <w:p>
      <w:pPr>
        <w:spacing w:line="288" w:lineRule="auto"/>
        <w:ind w:firstLine="420" w:firstLineChars="200"/>
        <w:jc w:val="left"/>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bookmarkEnd w:id="718"/>
    <w:bookmarkEnd w:id="719"/>
    <w:bookmarkEnd w:id="720"/>
    <w:bookmarkEnd w:id="721"/>
    <w:bookmarkEnd w:id="722"/>
    <w:bookmarkEnd w:id="723"/>
    <w:bookmarkEnd w:id="724"/>
    <w:bookmarkEnd w:id="725"/>
    <w:bookmarkEnd w:id="726"/>
    <w:bookmarkEnd w:id="727"/>
    <w:bookmarkEnd w:id="728"/>
    <w:bookmarkEnd w:id="729"/>
    <w:p>
      <w:pPr>
        <w:spacing w:line="288" w:lineRule="auto"/>
        <w:ind w:firstLine="422" w:firstLineChars="200"/>
        <w:outlineLvl w:val="0"/>
        <w:rPr>
          <w:rFonts w:ascii="宋体" w:hAnsi="宋体"/>
          <w:color w:val="auto"/>
          <w:szCs w:val="21"/>
          <w:highlight w:val="none"/>
        </w:rPr>
      </w:pPr>
      <w:bookmarkStart w:id="788" w:name="_Toc19437"/>
      <w:bookmarkStart w:id="789" w:name="_Toc4158"/>
      <w:bookmarkStart w:id="790" w:name="_Toc361220580"/>
      <w:r>
        <w:rPr>
          <w:rFonts w:hint="eastAsia" w:ascii="宋体" w:hAnsi="宋体"/>
          <w:b/>
          <w:color w:val="auto"/>
          <w:szCs w:val="21"/>
          <w:highlight w:val="none"/>
        </w:rPr>
        <w:t>20</w:t>
      </w:r>
      <w:r>
        <w:rPr>
          <w:rFonts w:ascii="宋体" w:hAnsi="宋体"/>
          <w:color w:val="auto"/>
          <w:szCs w:val="21"/>
          <w:highlight w:val="none"/>
        </w:rPr>
        <w:t>争议解决</w:t>
      </w:r>
      <w:bookmarkEnd w:id="788"/>
      <w:bookmarkEnd w:id="789"/>
      <w:bookmarkEnd w:id="790"/>
    </w:p>
    <w:bookmarkEnd w:id="730"/>
    <w:bookmarkEnd w:id="731"/>
    <w:p>
      <w:pPr>
        <w:spacing w:line="288" w:lineRule="auto"/>
        <w:ind w:firstLine="422" w:firstLineChars="200"/>
        <w:outlineLvl w:val="0"/>
        <w:rPr>
          <w:rFonts w:ascii="宋体" w:hAnsi="宋体"/>
          <w:color w:val="auto"/>
          <w:szCs w:val="21"/>
          <w:highlight w:val="none"/>
        </w:rPr>
      </w:pPr>
      <w:bookmarkStart w:id="791" w:name="_Toc22366"/>
      <w:bookmarkStart w:id="792" w:name="_Toc10533"/>
      <w:r>
        <w:rPr>
          <w:rFonts w:ascii="宋体" w:hAnsi="宋体"/>
          <w:b/>
          <w:color w:val="auto"/>
          <w:szCs w:val="21"/>
          <w:highlight w:val="none"/>
        </w:rPr>
        <w:t>20</w:t>
      </w:r>
      <w:r>
        <w:rPr>
          <w:rFonts w:hint="eastAsia" w:ascii="宋体" w:hAnsi="宋体"/>
          <w:b/>
          <w:color w:val="auto"/>
          <w:szCs w:val="21"/>
          <w:highlight w:val="none"/>
        </w:rPr>
        <w:t>.3</w:t>
      </w:r>
      <w:r>
        <w:rPr>
          <w:rFonts w:ascii="宋体" w:hAnsi="宋体"/>
          <w:color w:val="auto"/>
          <w:szCs w:val="21"/>
          <w:highlight w:val="none"/>
        </w:rPr>
        <w:t>争</w:t>
      </w:r>
      <w:bookmarkEnd w:id="732"/>
      <w:r>
        <w:rPr>
          <w:rFonts w:ascii="宋体" w:hAnsi="宋体"/>
          <w:color w:val="auto"/>
          <w:szCs w:val="21"/>
          <w:highlight w:val="none"/>
        </w:rPr>
        <w:t>议评审</w:t>
      </w:r>
      <w:bookmarkEnd w:id="791"/>
      <w:bookmarkEnd w:id="792"/>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288" w:lineRule="auto"/>
        <w:ind w:firstLine="422" w:firstLineChars="200"/>
        <w:jc w:val="left"/>
        <w:outlineLvl w:val="0"/>
        <w:rPr>
          <w:rFonts w:ascii="宋体" w:hAnsi="宋体"/>
          <w:color w:val="auto"/>
          <w:szCs w:val="21"/>
          <w:highlight w:val="none"/>
        </w:rPr>
      </w:pPr>
      <w:bookmarkStart w:id="793" w:name="_Toc4665"/>
      <w:bookmarkStart w:id="794" w:name="_Toc8612"/>
      <w:r>
        <w:rPr>
          <w:rFonts w:ascii="宋体" w:hAnsi="宋体"/>
          <w:b/>
          <w:color w:val="auto"/>
          <w:szCs w:val="21"/>
          <w:highlight w:val="none"/>
        </w:rPr>
        <w:t>20.</w:t>
      </w:r>
      <w:r>
        <w:rPr>
          <w:rFonts w:hint="eastAsia" w:ascii="宋体" w:hAnsi="宋体"/>
          <w:b/>
          <w:color w:val="auto"/>
          <w:szCs w:val="21"/>
          <w:highlight w:val="none"/>
        </w:rPr>
        <w:t>3</w:t>
      </w:r>
      <w:r>
        <w:rPr>
          <w:rFonts w:ascii="宋体" w:hAnsi="宋体"/>
          <w:b/>
          <w:color w:val="auto"/>
          <w:szCs w:val="21"/>
          <w:highlight w:val="none"/>
        </w:rPr>
        <w:t>.1</w:t>
      </w:r>
      <w:r>
        <w:rPr>
          <w:rFonts w:ascii="宋体" w:hAnsi="宋体"/>
          <w:color w:val="auto"/>
          <w:szCs w:val="21"/>
          <w:highlight w:val="none"/>
        </w:rPr>
        <w:t>争议评审小组的确定</w:t>
      </w:r>
      <w:bookmarkEnd w:id="793"/>
      <w:bookmarkEnd w:id="794"/>
    </w:p>
    <w:p>
      <w:pPr>
        <w:spacing w:line="288" w:lineRule="auto"/>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288" w:lineRule="auto"/>
        <w:ind w:firstLine="422" w:firstLineChars="200"/>
        <w:jc w:val="left"/>
        <w:outlineLvl w:val="0"/>
        <w:rPr>
          <w:rFonts w:ascii="宋体" w:hAnsi="宋体"/>
          <w:color w:val="auto"/>
          <w:kern w:val="0"/>
          <w:szCs w:val="21"/>
          <w:highlight w:val="none"/>
        </w:rPr>
      </w:pPr>
      <w:bookmarkStart w:id="795" w:name="_Toc18965"/>
      <w:bookmarkStart w:id="796" w:name="_Toc26996"/>
      <w:r>
        <w:rPr>
          <w:rFonts w:ascii="宋体" w:hAnsi="宋体"/>
          <w:b/>
          <w:color w:val="auto"/>
          <w:szCs w:val="21"/>
          <w:highlight w:val="none"/>
        </w:rPr>
        <w:t>20.</w:t>
      </w:r>
      <w:r>
        <w:rPr>
          <w:rFonts w:hint="eastAsia" w:ascii="宋体" w:hAnsi="宋体"/>
          <w:b/>
          <w:color w:val="auto"/>
          <w:szCs w:val="21"/>
          <w:highlight w:val="none"/>
        </w:rPr>
        <w:t>3</w:t>
      </w:r>
      <w:r>
        <w:rPr>
          <w:rFonts w:ascii="宋体" w:hAnsi="宋体"/>
          <w:b/>
          <w:color w:val="auto"/>
          <w:szCs w:val="21"/>
          <w:highlight w:val="none"/>
        </w:rPr>
        <w:t>.2</w:t>
      </w:r>
      <w:r>
        <w:rPr>
          <w:rFonts w:hint="eastAsia" w:ascii="宋体" w:hAnsi="宋体"/>
          <w:color w:val="auto"/>
          <w:kern w:val="0"/>
          <w:szCs w:val="21"/>
          <w:highlight w:val="none"/>
        </w:rPr>
        <w:t xml:space="preserve">  </w:t>
      </w:r>
      <w:r>
        <w:rPr>
          <w:rFonts w:ascii="宋体" w:hAnsi="宋体"/>
          <w:color w:val="auto"/>
          <w:szCs w:val="21"/>
          <w:highlight w:val="none"/>
        </w:rPr>
        <w:t>争议评审小组的决定</w:t>
      </w:r>
      <w:bookmarkEnd w:id="795"/>
      <w:bookmarkEnd w:id="796"/>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288" w:lineRule="auto"/>
        <w:ind w:firstLine="422" w:firstLineChars="200"/>
        <w:outlineLvl w:val="0"/>
        <w:rPr>
          <w:rFonts w:ascii="宋体" w:hAnsi="宋体"/>
          <w:color w:val="auto"/>
          <w:szCs w:val="21"/>
          <w:highlight w:val="none"/>
        </w:rPr>
      </w:pPr>
      <w:bookmarkStart w:id="797" w:name="_Toc18532"/>
      <w:bookmarkStart w:id="798" w:name="_Toc11853"/>
      <w:r>
        <w:rPr>
          <w:rFonts w:ascii="宋体" w:hAnsi="宋体"/>
          <w:b/>
          <w:color w:val="auto"/>
          <w:szCs w:val="21"/>
          <w:highlight w:val="none"/>
        </w:rPr>
        <w:t>20.</w:t>
      </w:r>
      <w:r>
        <w:rPr>
          <w:rFonts w:hint="eastAsia" w:ascii="宋体" w:hAnsi="宋体"/>
          <w:b/>
          <w:color w:val="auto"/>
          <w:szCs w:val="21"/>
          <w:highlight w:val="none"/>
        </w:rPr>
        <w:t>4</w:t>
      </w:r>
      <w:r>
        <w:rPr>
          <w:rFonts w:hint="eastAsia" w:ascii="宋体" w:hAnsi="宋体"/>
          <w:color w:val="auto"/>
          <w:szCs w:val="21"/>
          <w:highlight w:val="none"/>
        </w:rPr>
        <w:t>仲裁或诉讼</w:t>
      </w:r>
      <w:bookmarkEnd w:id="733"/>
      <w:bookmarkEnd w:id="797"/>
      <w:bookmarkEnd w:id="798"/>
    </w:p>
    <w:p>
      <w:pPr>
        <w:spacing w:line="288" w:lineRule="auto"/>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w:t>
      </w:r>
      <w:r>
        <w:rPr>
          <w:rFonts w:hint="eastAsia" w:ascii="宋体" w:hAnsi="宋体"/>
          <w:color w:val="auto"/>
          <w:szCs w:val="21"/>
          <w:highlight w:val="none"/>
        </w:rPr>
        <w:t>双方当事人一致同意提交</w:t>
      </w:r>
      <w:r>
        <w:rPr>
          <w:rFonts w:hint="eastAsia" w:ascii="宋体" w:hAnsi="宋体"/>
          <w:b/>
          <w:color w:val="auto"/>
          <w:szCs w:val="21"/>
          <w:highlight w:val="none"/>
        </w:rPr>
        <w:t>杭州仲裁委员会申请仲裁</w:t>
      </w:r>
      <w:r>
        <w:rPr>
          <w:rFonts w:hint="eastAsia" w:ascii="宋体" w:hAnsi="宋体"/>
          <w:color w:val="auto"/>
          <w:szCs w:val="21"/>
          <w:highlight w:val="none"/>
        </w:rPr>
        <w:t>；但双方当事人特别约定下列解决方式中</w:t>
      </w:r>
      <w:r>
        <w:rPr>
          <w:rFonts w:ascii="宋体" w:hAnsi="宋体"/>
          <w:color w:val="auto"/>
          <w:szCs w:val="21"/>
          <w:highlight w:val="none"/>
        </w:rPr>
        <w:t>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（2）</w:t>
      </w:r>
      <w:r>
        <w:rPr>
          <w:rFonts w:ascii="宋体" w:hAnsi="宋体"/>
          <w:color w:val="auto"/>
          <w:szCs w:val="21"/>
          <w:highlight w:val="none"/>
          <w:u w:val="single"/>
        </w:rPr>
        <w:t xml:space="preserve"> </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r>
        <w:rPr>
          <w:rFonts w:hint="eastAsia" w:ascii="宋体" w:hAnsi="宋体"/>
          <w:color w:val="auto"/>
          <w:szCs w:val="21"/>
          <w:highlight w:val="none"/>
        </w:rPr>
        <w:t>争议的除外</w:t>
      </w:r>
      <w:r>
        <w:rPr>
          <w:rFonts w:ascii="宋体" w:hAnsi="宋体"/>
          <w:color w:val="auto"/>
          <w:szCs w:val="21"/>
          <w:highlight w:val="none"/>
        </w:rPr>
        <w:t>：</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提交</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仲裁委员会申请仲裁；</w:t>
      </w:r>
    </w:p>
    <w:p>
      <w:pPr>
        <w:spacing w:line="288"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依法</w:t>
      </w:r>
      <w:r>
        <w:rPr>
          <w:rFonts w:ascii="宋体" w:hAnsi="宋体"/>
          <w:color w:val="auto"/>
          <w:szCs w:val="21"/>
          <w:highlight w:val="none"/>
        </w:rPr>
        <w:t>向</w:t>
      </w:r>
      <w:r>
        <w:rPr>
          <w:rFonts w:hint="eastAsia" w:ascii="宋体" w:hAnsi="宋体"/>
          <w:color w:val="auto"/>
          <w:szCs w:val="21"/>
          <w:highlight w:val="none"/>
          <w:u w:val="single"/>
        </w:rPr>
        <w:t>工程所在地</w:t>
      </w:r>
      <w:r>
        <w:rPr>
          <w:rFonts w:ascii="宋体" w:hAnsi="宋体"/>
          <w:color w:val="auto"/>
          <w:szCs w:val="21"/>
          <w:highlight w:val="none"/>
        </w:rPr>
        <w:t>人民法院起诉。</w:t>
      </w:r>
      <w:bookmarkEnd w:id="734"/>
      <w:bookmarkEnd w:id="735"/>
      <w:bookmarkEnd w:id="736"/>
      <w:bookmarkEnd w:id="737"/>
      <w:bookmarkEnd w:id="738"/>
      <w:bookmarkEnd w:id="739"/>
    </w:p>
    <w:p>
      <w:pPr>
        <w:pStyle w:val="17"/>
        <w:spacing w:before="0" w:beforeAutospacing="0" w:after="0" w:afterAutospacing="0" w:line="288" w:lineRule="auto"/>
        <w:ind w:firstLine="422" w:firstLineChars="200"/>
        <w:rPr>
          <w:rFonts w:hint="default"/>
          <w:b/>
          <w:color w:val="auto"/>
          <w:sz w:val="21"/>
          <w:szCs w:val="21"/>
          <w:highlight w:val="none"/>
        </w:rPr>
      </w:pPr>
      <w:r>
        <w:rPr>
          <w:rFonts w:hint="eastAsia"/>
          <w:b/>
          <w:color w:val="auto"/>
          <w:sz w:val="21"/>
          <w:szCs w:val="21"/>
          <w:highlight w:val="none"/>
        </w:rPr>
        <w:t>21．其他补充事项的约定。</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1、本工程施工地点在浙江理工大学下沙校区</w:t>
      </w:r>
      <w:r>
        <w:rPr>
          <w:rFonts w:hint="eastAsia" w:ascii="宋体" w:hAnsi="宋体" w:cs="Arial"/>
          <w:b/>
          <w:color w:val="auto"/>
          <w:kern w:val="0"/>
          <w:szCs w:val="21"/>
          <w:highlight w:val="none"/>
          <w:lang w:val="en-US" w:eastAsia="zh-CN"/>
        </w:rPr>
        <w:t>教学区</w:t>
      </w:r>
      <w:r>
        <w:rPr>
          <w:rFonts w:hint="eastAsia" w:ascii="宋体" w:hAnsi="宋体" w:cs="Arial"/>
          <w:b/>
          <w:color w:val="auto"/>
          <w:kern w:val="0"/>
          <w:szCs w:val="21"/>
          <w:highlight w:val="none"/>
        </w:rPr>
        <w:t>，</w:t>
      </w:r>
      <w:r>
        <w:rPr>
          <w:rFonts w:hint="eastAsia" w:ascii="宋体" w:hAnsi="宋体" w:cs="Arial"/>
          <w:b/>
          <w:color w:val="auto"/>
          <w:kern w:val="0"/>
          <w:szCs w:val="21"/>
          <w:highlight w:val="none"/>
          <w:lang w:eastAsia="zh-CN"/>
        </w:rPr>
        <w:t>甲方</w:t>
      </w:r>
      <w:r>
        <w:rPr>
          <w:rFonts w:hint="eastAsia" w:ascii="宋体" w:hAnsi="宋体" w:cs="Arial"/>
          <w:b/>
          <w:color w:val="auto"/>
          <w:kern w:val="0"/>
          <w:szCs w:val="21"/>
          <w:highlight w:val="none"/>
        </w:rPr>
        <w:t>将提供部分住宿场地，水电费自理，若有不足，须由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自行解决，相关费用包含在投标报价中；若施工场地无法满足</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临时设施布置需求，由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自行就近解决（场地租赁费用及场地到施工现场间的人材机的短驳转运在组织措施费考虑包干）。施工期间，施工人员进出校园应按</w:t>
      </w:r>
      <w:r>
        <w:rPr>
          <w:rFonts w:hint="eastAsia" w:ascii="宋体" w:hAnsi="宋体" w:cs="Arial"/>
          <w:b/>
          <w:color w:val="auto"/>
          <w:kern w:val="0"/>
          <w:szCs w:val="21"/>
          <w:highlight w:val="none"/>
          <w:lang w:val="en-US" w:eastAsia="zh-CN"/>
        </w:rPr>
        <w:t>甲方</w:t>
      </w:r>
      <w:r>
        <w:rPr>
          <w:rFonts w:hint="eastAsia" w:ascii="宋体" w:hAnsi="宋体" w:cs="Arial"/>
          <w:b/>
          <w:color w:val="auto"/>
          <w:kern w:val="0"/>
          <w:szCs w:val="21"/>
          <w:highlight w:val="none"/>
        </w:rPr>
        <w:t>学校相关规定执行。</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2、施工期间，需注意安全文明施工，做好安全防护工作，对开挖部位和危险区域等施工区域，要进行充分的安全隔离</w:t>
      </w:r>
      <w:r>
        <w:rPr>
          <w:rFonts w:hint="eastAsia" w:ascii="宋体" w:hAnsi="宋体" w:cs="Arial"/>
          <w:b/>
          <w:color w:val="auto"/>
          <w:kern w:val="0"/>
          <w:szCs w:val="21"/>
          <w:highlight w:val="none"/>
          <w:lang w:val="en-US" w:eastAsia="zh-CN"/>
        </w:rPr>
        <w:t>并</w:t>
      </w:r>
      <w:r>
        <w:rPr>
          <w:rFonts w:hint="eastAsia" w:ascii="宋体" w:hAnsi="宋体" w:cs="Arial"/>
          <w:b/>
          <w:color w:val="auto"/>
          <w:kern w:val="0"/>
          <w:szCs w:val="21"/>
          <w:highlight w:val="none"/>
        </w:rPr>
        <w:t>设置醒目的警示标志，特别是做好夜间警示（警示灯），以防造成人员坠落伤亡等事故。施工期间，如发生安全事故，由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承担全部责任，所产生的费用由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全部承担，因</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管理不善或使用不当造成的损失，由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负责</w:t>
      </w:r>
      <w:r>
        <w:rPr>
          <w:rFonts w:hint="eastAsia" w:ascii="宋体" w:hAnsi="宋体" w:cs="Arial"/>
          <w:b/>
          <w:color w:val="auto"/>
          <w:kern w:val="0"/>
          <w:szCs w:val="21"/>
          <w:highlight w:val="none"/>
          <w:lang w:val="en-US" w:eastAsia="zh-CN"/>
        </w:rPr>
        <w:t>全部</w:t>
      </w:r>
      <w:r>
        <w:rPr>
          <w:rFonts w:hint="eastAsia" w:ascii="宋体" w:hAnsi="宋体" w:cs="Arial"/>
          <w:b/>
          <w:color w:val="auto"/>
          <w:kern w:val="0"/>
          <w:szCs w:val="21"/>
          <w:highlight w:val="none"/>
        </w:rPr>
        <w:t>赔偿。施工安全隔栏统一样式为：</w:t>
      </w:r>
      <w:r>
        <w:rPr>
          <w:rFonts w:hint="eastAsia" w:ascii="宋体" w:hAnsi="宋体" w:cs="Arial"/>
          <w:b/>
          <w:color w:val="auto"/>
          <w:kern w:val="0"/>
          <w:szCs w:val="21"/>
          <w:highlight w:val="none"/>
          <w:lang w:val="en-US" w:eastAsia="zh-CN"/>
        </w:rPr>
        <w:t>金属材质，</w:t>
      </w:r>
      <w:r>
        <w:rPr>
          <w:rFonts w:hint="eastAsia" w:ascii="宋体" w:hAnsi="宋体" w:cs="Arial"/>
          <w:b/>
          <w:color w:val="auto"/>
          <w:kern w:val="0"/>
          <w:szCs w:val="21"/>
          <w:highlight w:val="none"/>
        </w:rPr>
        <w:t>外管直径38mm、内管直径22mm、管壁厚≥1.5mm，Logo牌上刻涂醒目的“浙理校建”字样；根据现场情况配备，数量不少于20个（工程竣工交付后，由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收回）。以上费用请</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在投标报价时考虑计入措施费，一次性包干，今后不再调整。参考样式见下图：</w:t>
      </w:r>
    </w:p>
    <w:p>
      <w:pPr>
        <w:spacing w:line="360" w:lineRule="auto"/>
        <w:jc w:val="left"/>
        <w:rPr>
          <w:rFonts w:ascii="宋体" w:hAnsi="宋体" w:cs="Arial"/>
          <w:b/>
          <w:color w:val="auto"/>
          <w:kern w:val="0"/>
          <w:szCs w:val="21"/>
          <w:highlight w:val="none"/>
        </w:rPr>
      </w:pPr>
      <w:r>
        <w:rPr>
          <w:rFonts w:hint="eastAsia" w:ascii="宋体" w:hAnsi="宋体" w:cs="Arial"/>
          <w:b/>
          <w:color w:val="auto"/>
          <w:kern w:val="0"/>
          <w:szCs w:val="21"/>
          <w:highlight w:val="none"/>
        </w:rPr>
        <w:drawing>
          <wp:inline distT="0" distB="0" distL="114300" distR="114300">
            <wp:extent cx="5272405" cy="2381885"/>
            <wp:effectExtent l="0" t="0" r="63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72405" cy="2381885"/>
                    </a:xfrm>
                    <a:prstGeom prst="rect">
                      <a:avLst/>
                    </a:prstGeom>
                    <a:noFill/>
                    <a:ln>
                      <a:noFill/>
                    </a:ln>
                  </pic:spPr>
                </pic:pic>
              </a:graphicData>
            </a:graphic>
          </wp:inline>
        </w:drawing>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3、部分建筑因原图纸缺失，存在消防管道实际位置与设计施工图纸不符等情况，在</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进场正式施工前，需对本</w:t>
      </w:r>
      <w:r>
        <w:rPr>
          <w:rFonts w:hint="eastAsia" w:ascii="宋体" w:hAnsi="宋体" w:cs="Arial"/>
          <w:b/>
          <w:color w:val="auto"/>
          <w:kern w:val="0"/>
          <w:szCs w:val="21"/>
          <w:highlight w:val="none"/>
          <w:lang w:val="en-US" w:eastAsia="zh-CN"/>
        </w:rPr>
        <w:t>项目</w:t>
      </w:r>
      <w:r>
        <w:rPr>
          <w:rFonts w:hint="eastAsia" w:ascii="宋体" w:hAnsi="宋体" w:cs="Arial"/>
          <w:b/>
          <w:color w:val="auto"/>
          <w:kern w:val="0"/>
          <w:szCs w:val="21"/>
          <w:highlight w:val="none"/>
        </w:rPr>
        <w:t>内各楼接入管道等进行充分的现场探测踏勘摸排，以保证后期施工顺利进行，上述探测等相关费用请</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在投标报价时考虑计入措施费，一次性包干，今后不再调整。如确有与设计不符等情况，所发生的工程量按实计取，以决算审计为准，工期不予调整。</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4、</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应充分踏勘现场，了解掌握现场情况，如工地位置、情况、道路、储存空间、装卸限制、市政、交通及任何其它足以影响投标报价的情况，预计施工过程中各种不利因素，可将处理所需费用单列，汇入措施费中，计入投标报价内。</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5、本工程工期非常紧张，</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须编制合理的施工方案及进度计划安排，保证施工人员及机械措施等数量，并考虑夜间施工等情况，保证在合同工期内竣工并交付投用，由此造成的人员、机械增加</w:t>
      </w:r>
      <w:r>
        <w:rPr>
          <w:rFonts w:hint="eastAsia" w:ascii="宋体" w:hAnsi="宋体" w:cs="Arial"/>
          <w:b/>
          <w:color w:val="auto"/>
          <w:kern w:val="0"/>
          <w:szCs w:val="21"/>
          <w:highlight w:val="none"/>
          <w:lang w:val="en-US" w:eastAsia="zh-CN"/>
        </w:rPr>
        <w:t>和</w:t>
      </w:r>
      <w:r>
        <w:rPr>
          <w:rFonts w:hint="eastAsia" w:ascii="宋体" w:hAnsi="宋体" w:cs="Arial"/>
          <w:b/>
          <w:color w:val="auto"/>
          <w:kern w:val="0"/>
          <w:szCs w:val="21"/>
          <w:highlight w:val="none"/>
        </w:rPr>
        <w:t>窝工等相关费用综合考虑在投标报价中。</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6、对本工程实施范围存在的如光纤、电缆、路灯、燃气等各类管线和设施，</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应充分踏勘现场，必须确保在不被破坏的前提下再进行施工作业。为此，</w:t>
      </w:r>
      <w:r>
        <w:rPr>
          <w:rFonts w:hint="eastAsia" w:ascii="宋体" w:hAnsi="宋体" w:cs="Arial"/>
          <w:b/>
          <w:color w:val="auto"/>
          <w:kern w:val="0"/>
          <w:szCs w:val="21"/>
          <w:highlight w:val="none"/>
          <w:lang w:eastAsia="zh-CN"/>
        </w:rPr>
        <w:t>甲方</w:t>
      </w:r>
      <w:r>
        <w:rPr>
          <w:rFonts w:hint="eastAsia" w:ascii="宋体" w:hAnsi="宋体" w:cs="Arial"/>
          <w:b/>
          <w:color w:val="auto"/>
          <w:kern w:val="0"/>
          <w:szCs w:val="21"/>
          <w:highlight w:val="none"/>
        </w:rPr>
        <w:t>提出如下特别要求：在开挖的直线距离内，每间隔20-30米，人工开挖一个标准作业面，不足30米的，两端进行人工开挖，以判断该区域内是否存在其它各类管线，无误后，进行机械开挖作业；在高压电缆、燃气管道周边区域，须进行人工开挖。所涉及的相关费用等考虑在组织措施费用内，今后不做调整。如遇相关的管道、线路必须移位的，则报请</w:t>
      </w:r>
      <w:r>
        <w:rPr>
          <w:rFonts w:hint="eastAsia" w:ascii="宋体" w:hAnsi="宋体" w:cs="Arial"/>
          <w:b/>
          <w:color w:val="auto"/>
          <w:kern w:val="0"/>
          <w:szCs w:val="21"/>
          <w:highlight w:val="none"/>
          <w:lang w:eastAsia="zh-CN"/>
        </w:rPr>
        <w:t>甲方</w:t>
      </w:r>
      <w:r>
        <w:rPr>
          <w:rFonts w:hint="eastAsia" w:ascii="宋体" w:hAnsi="宋体" w:cs="Arial"/>
          <w:b/>
          <w:color w:val="auto"/>
          <w:kern w:val="0"/>
          <w:szCs w:val="21"/>
          <w:highlight w:val="none"/>
        </w:rPr>
        <w:t>同意后予以处理，相关费用亦考虑在投标报价中。如施工过程中，造成损坏的，</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应负责修复，工期和合同价不予调整。</w:t>
      </w:r>
    </w:p>
    <w:p>
      <w:pPr>
        <w:pStyle w:val="8"/>
        <w:adjustRightInd/>
        <w:spacing w:line="360" w:lineRule="auto"/>
        <w:ind w:firstLine="422" w:firstLineChars="200"/>
        <w:rPr>
          <w:rFonts w:ascii="宋体" w:hAnsi="宋体" w:eastAsia="宋体" w:cs="Arial"/>
          <w:b/>
          <w:color w:val="auto"/>
          <w:sz w:val="21"/>
          <w:szCs w:val="21"/>
          <w:highlight w:val="none"/>
        </w:rPr>
      </w:pPr>
      <w:r>
        <w:rPr>
          <w:rFonts w:hint="eastAsia" w:ascii="宋体" w:hAnsi="宋体" w:eastAsia="宋体" w:cs="Arial"/>
          <w:b/>
          <w:color w:val="auto"/>
          <w:sz w:val="21"/>
          <w:szCs w:val="21"/>
          <w:highlight w:val="none"/>
        </w:rPr>
        <w:t>7、为尽量减少对校园交通秩序的影响，开挖区域涉及主要通行道路的，在开挖埋管完成后，路面恢复前，应铺设厚15-20mm的钢（铁）板，以保障车辆及人员通行。数量依据现场实际和</w:t>
      </w:r>
      <w:r>
        <w:rPr>
          <w:rFonts w:hint="eastAsia" w:ascii="宋体" w:hAnsi="宋体" w:eastAsia="宋体" w:cs="Arial"/>
          <w:b/>
          <w:color w:val="auto"/>
          <w:sz w:val="21"/>
          <w:szCs w:val="21"/>
          <w:highlight w:val="none"/>
          <w:lang w:eastAsia="zh-CN"/>
        </w:rPr>
        <w:t>甲方</w:t>
      </w:r>
      <w:r>
        <w:rPr>
          <w:rFonts w:hint="eastAsia" w:ascii="宋体" w:hAnsi="宋体" w:eastAsia="宋体" w:cs="Arial"/>
          <w:b/>
          <w:color w:val="auto"/>
          <w:sz w:val="21"/>
          <w:szCs w:val="21"/>
          <w:highlight w:val="none"/>
        </w:rPr>
        <w:t>要求而定，所涉及的相关费用考虑在组织措施费用内，今后不做调整。</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8、严格按照已确认的设计图纸和施工技术方案组织实施，并无条件接受</w:t>
      </w:r>
      <w:r>
        <w:rPr>
          <w:rFonts w:hint="eastAsia" w:ascii="宋体" w:hAnsi="宋体" w:cs="Arial"/>
          <w:b/>
          <w:color w:val="auto"/>
          <w:kern w:val="0"/>
          <w:szCs w:val="21"/>
          <w:highlight w:val="none"/>
          <w:lang w:eastAsia="zh-CN"/>
        </w:rPr>
        <w:t>甲方</w:t>
      </w:r>
      <w:r>
        <w:rPr>
          <w:rFonts w:hint="eastAsia" w:ascii="宋体" w:hAnsi="宋体" w:cs="Arial"/>
          <w:b/>
          <w:color w:val="auto"/>
          <w:kern w:val="0"/>
          <w:szCs w:val="21"/>
          <w:highlight w:val="none"/>
        </w:rPr>
        <w:t>和</w:t>
      </w:r>
      <w:r>
        <w:rPr>
          <w:rFonts w:hint="eastAsia" w:ascii="宋体" w:hAnsi="宋体" w:cs="Arial"/>
          <w:b/>
          <w:color w:val="auto"/>
          <w:kern w:val="0"/>
          <w:szCs w:val="21"/>
          <w:highlight w:val="none"/>
          <w:lang w:eastAsia="zh-CN"/>
        </w:rPr>
        <w:t>甲方</w:t>
      </w:r>
      <w:r>
        <w:rPr>
          <w:rFonts w:hint="eastAsia" w:ascii="宋体" w:hAnsi="宋体" w:cs="Arial"/>
          <w:b/>
          <w:color w:val="auto"/>
          <w:kern w:val="0"/>
          <w:szCs w:val="21"/>
          <w:highlight w:val="none"/>
        </w:rPr>
        <w:t>委托的监理人员的管理。室外消防管线施工完成后，</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需在监理单位见证下，对新换的管道进行水压试验（试压要求：试压压力1.6Mpa，试压压力下保持10分钟，稳压24小时，压力降小于0.05Mpa），提供合格的水压试验和冲洗合格报告，并办理隐蔽工程验收或中间验收记录。</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9、施工期间由于</w:t>
      </w:r>
      <w:r>
        <w:rPr>
          <w:rFonts w:hint="eastAsia" w:ascii="宋体" w:hAnsi="宋体" w:cs="Arial"/>
          <w:b/>
          <w:color w:val="auto"/>
          <w:kern w:val="0"/>
          <w:szCs w:val="21"/>
          <w:highlight w:val="none"/>
          <w:lang w:val="en-US" w:eastAsia="zh-CN"/>
        </w:rPr>
        <w:t>乙方</w:t>
      </w:r>
      <w:r>
        <w:rPr>
          <w:rFonts w:hint="eastAsia" w:ascii="宋体" w:hAnsi="宋体" w:cs="Arial"/>
          <w:b/>
          <w:color w:val="auto"/>
          <w:kern w:val="0"/>
          <w:szCs w:val="21"/>
          <w:highlight w:val="none"/>
        </w:rPr>
        <w:t>原因单独决定施工方案或造成施工方案的更改，所产生的工程费用或增加费用和工期一律不予调整，属施工技术组织措施失误造成的费用和延误工期均由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承担，对于施工组织</w:t>
      </w:r>
      <w:r>
        <w:rPr>
          <w:rFonts w:hint="eastAsia" w:ascii="宋体" w:hAnsi="宋体" w:cs="Arial"/>
          <w:b/>
          <w:color w:val="auto"/>
          <w:kern w:val="0"/>
          <w:szCs w:val="21"/>
          <w:highlight w:val="none"/>
          <w:lang w:val="en-US" w:eastAsia="zh-CN"/>
        </w:rPr>
        <w:t>涉及</w:t>
      </w:r>
      <w:r>
        <w:rPr>
          <w:rFonts w:hint="eastAsia" w:ascii="宋体" w:hAnsi="宋体" w:cs="Arial"/>
          <w:b/>
          <w:color w:val="auto"/>
          <w:kern w:val="0"/>
          <w:szCs w:val="21"/>
          <w:highlight w:val="none"/>
        </w:rPr>
        <w:t>的内容未</w:t>
      </w:r>
      <w:r>
        <w:rPr>
          <w:rFonts w:hint="eastAsia" w:ascii="宋体" w:hAnsi="宋体" w:cs="Arial"/>
          <w:b/>
          <w:color w:val="auto"/>
          <w:kern w:val="0"/>
          <w:szCs w:val="21"/>
          <w:highlight w:val="none"/>
          <w:lang w:val="en-US" w:eastAsia="zh-CN"/>
        </w:rPr>
        <w:t>在</w:t>
      </w:r>
      <w:r>
        <w:rPr>
          <w:rFonts w:hint="eastAsia" w:ascii="宋体" w:hAnsi="宋体" w:cs="Arial"/>
          <w:b/>
          <w:color w:val="auto"/>
          <w:kern w:val="0"/>
          <w:szCs w:val="21"/>
          <w:highlight w:val="none"/>
        </w:rPr>
        <w:t>投标报价中体现的均视同优惠。</w:t>
      </w:r>
    </w:p>
    <w:p>
      <w:pPr>
        <w:pStyle w:val="8"/>
        <w:adjustRightInd/>
        <w:spacing w:line="360" w:lineRule="auto"/>
        <w:ind w:firstLine="422" w:firstLineChars="200"/>
        <w:rPr>
          <w:rFonts w:ascii="宋体" w:hAnsi="宋体" w:eastAsia="宋体" w:cs="Arial"/>
          <w:b/>
          <w:color w:val="auto"/>
          <w:sz w:val="21"/>
          <w:szCs w:val="21"/>
          <w:highlight w:val="none"/>
        </w:rPr>
      </w:pPr>
      <w:r>
        <w:rPr>
          <w:rFonts w:hint="eastAsia" w:ascii="宋体" w:hAnsi="宋体" w:eastAsia="宋体" w:cs="Arial"/>
          <w:b/>
          <w:color w:val="auto"/>
          <w:sz w:val="21"/>
          <w:szCs w:val="21"/>
          <w:highlight w:val="none"/>
        </w:rPr>
        <w:t>10、施工期间，存在与其它</w:t>
      </w:r>
      <w:r>
        <w:rPr>
          <w:rFonts w:hint="eastAsia" w:ascii="宋体" w:hAnsi="宋体" w:eastAsia="宋体" w:cs="Arial"/>
          <w:b/>
          <w:color w:val="auto"/>
          <w:sz w:val="21"/>
          <w:szCs w:val="21"/>
          <w:highlight w:val="none"/>
          <w:lang w:val="en-US" w:eastAsia="zh-CN"/>
        </w:rPr>
        <w:t>工程项目</w:t>
      </w:r>
      <w:r>
        <w:rPr>
          <w:rFonts w:hint="eastAsia" w:ascii="宋体" w:hAnsi="宋体" w:eastAsia="宋体" w:cs="Arial"/>
          <w:b/>
          <w:color w:val="auto"/>
          <w:sz w:val="21"/>
          <w:szCs w:val="21"/>
          <w:highlight w:val="none"/>
        </w:rPr>
        <w:t>施工同步或穿插进行的情况，</w:t>
      </w:r>
      <w:r>
        <w:rPr>
          <w:rFonts w:hint="eastAsia" w:ascii="宋体" w:hAnsi="宋体" w:eastAsia="宋体" w:cs="Arial"/>
          <w:b/>
          <w:color w:val="auto"/>
          <w:sz w:val="21"/>
          <w:szCs w:val="21"/>
          <w:highlight w:val="none"/>
          <w:lang w:eastAsia="zh-CN"/>
        </w:rPr>
        <w:t>乙方</w:t>
      </w:r>
      <w:r>
        <w:rPr>
          <w:rFonts w:hint="eastAsia" w:ascii="宋体" w:hAnsi="宋体" w:eastAsia="宋体" w:cs="Arial"/>
          <w:b/>
          <w:color w:val="auto"/>
          <w:sz w:val="21"/>
          <w:szCs w:val="21"/>
          <w:highlight w:val="none"/>
        </w:rPr>
        <w:t>应服从</w:t>
      </w:r>
      <w:r>
        <w:rPr>
          <w:rFonts w:hint="eastAsia" w:ascii="宋体" w:hAnsi="宋体" w:eastAsia="宋体" w:cs="Arial"/>
          <w:b/>
          <w:color w:val="auto"/>
          <w:sz w:val="21"/>
          <w:szCs w:val="21"/>
          <w:highlight w:val="none"/>
          <w:lang w:eastAsia="zh-CN"/>
        </w:rPr>
        <w:t>甲方</w:t>
      </w:r>
      <w:r>
        <w:rPr>
          <w:rFonts w:hint="eastAsia" w:ascii="宋体" w:hAnsi="宋体" w:eastAsia="宋体" w:cs="Arial"/>
          <w:b/>
          <w:color w:val="auto"/>
          <w:sz w:val="21"/>
          <w:szCs w:val="21"/>
          <w:highlight w:val="none"/>
        </w:rPr>
        <w:t>及监理人管理，并承诺不因该原因而要求</w:t>
      </w:r>
      <w:r>
        <w:rPr>
          <w:rFonts w:hint="eastAsia" w:ascii="宋体" w:hAnsi="宋体" w:eastAsia="宋体" w:cs="Arial"/>
          <w:b/>
          <w:color w:val="auto"/>
          <w:sz w:val="21"/>
          <w:szCs w:val="21"/>
          <w:highlight w:val="none"/>
          <w:lang w:eastAsia="zh-CN"/>
        </w:rPr>
        <w:t>甲方</w:t>
      </w:r>
      <w:r>
        <w:rPr>
          <w:rFonts w:hint="eastAsia" w:ascii="宋体" w:hAnsi="宋体" w:eastAsia="宋体" w:cs="Arial"/>
          <w:b/>
          <w:color w:val="auto"/>
          <w:sz w:val="21"/>
          <w:szCs w:val="21"/>
          <w:highlight w:val="none"/>
        </w:rPr>
        <w:t>增加任何费用，工期不予顺延。</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11、在本工程项目未竣工验收交付</w:t>
      </w:r>
      <w:r>
        <w:rPr>
          <w:rFonts w:hint="eastAsia" w:ascii="宋体" w:hAnsi="宋体" w:cs="Arial"/>
          <w:b/>
          <w:color w:val="auto"/>
          <w:kern w:val="0"/>
          <w:szCs w:val="21"/>
          <w:highlight w:val="none"/>
          <w:lang w:eastAsia="zh-CN"/>
        </w:rPr>
        <w:t>甲方</w:t>
      </w:r>
      <w:r>
        <w:rPr>
          <w:rFonts w:hint="eastAsia" w:ascii="宋体" w:hAnsi="宋体" w:cs="Arial"/>
          <w:b/>
          <w:color w:val="auto"/>
          <w:kern w:val="0"/>
          <w:szCs w:val="21"/>
          <w:highlight w:val="none"/>
        </w:rPr>
        <w:t>前，本工程成品或半成品及设备均由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负责保护，费用请综合考虑到报价中。</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12、</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的投标报价中须包含各项各类检验（检测）试验费用。</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13、施工现场应做到“落手清”，工程施工中产生的废建筑材料、建筑施工垃圾，不能随意堆放，应及时清运、妥善处理，做到工完料尽场地清；工程完工后，</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需在验收前进行一次精细保洁（范围包含地面、墙面、门窗等所有施工区域、部位），高标准交付</w:t>
      </w:r>
      <w:r>
        <w:rPr>
          <w:rFonts w:hint="eastAsia" w:ascii="宋体" w:hAnsi="宋体" w:cs="Arial"/>
          <w:b/>
          <w:color w:val="auto"/>
          <w:kern w:val="0"/>
          <w:szCs w:val="21"/>
          <w:highlight w:val="none"/>
          <w:lang w:eastAsia="zh-CN"/>
        </w:rPr>
        <w:t>。</w:t>
      </w:r>
      <w:r>
        <w:rPr>
          <w:rFonts w:hint="eastAsia" w:ascii="宋体" w:hAnsi="宋体" w:cs="Arial"/>
          <w:b/>
          <w:color w:val="auto"/>
          <w:kern w:val="0"/>
          <w:szCs w:val="21"/>
          <w:highlight w:val="none"/>
          <w:lang w:val="en-US" w:eastAsia="zh-CN"/>
        </w:rPr>
        <w:t>上述相关费用包含在投标报价中</w:t>
      </w:r>
      <w:r>
        <w:rPr>
          <w:rFonts w:hint="eastAsia" w:ascii="宋体" w:hAnsi="宋体" w:cs="Arial"/>
          <w:b/>
          <w:color w:val="auto"/>
          <w:kern w:val="0"/>
          <w:szCs w:val="21"/>
          <w:highlight w:val="none"/>
        </w:rPr>
        <w:t>。</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14、凡采购文件中要求进入报价的费用若在</w:t>
      </w:r>
      <w:r>
        <w:rPr>
          <w:rFonts w:hint="eastAsia" w:ascii="宋体" w:hAnsi="宋体" w:cs="Arial"/>
          <w:b/>
          <w:color w:val="auto"/>
          <w:kern w:val="0"/>
          <w:szCs w:val="21"/>
          <w:highlight w:val="none"/>
          <w:lang w:val="en-US" w:eastAsia="zh-CN"/>
        </w:rPr>
        <w:t>乙方</w:t>
      </w:r>
      <w:r>
        <w:rPr>
          <w:rFonts w:hint="eastAsia" w:ascii="宋体" w:hAnsi="宋体" w:cs="Arial"/>
          <w:b/>
          <w:color w:val="auto"/>
          <w:kern w:val="0"/>
          <w:szCs w:val="21"/>
          <w:highlight w:val="none"/>
        </w:rPr>
        <w:t>响应文件中不体现，均视同已进入投标总价或作为优惠不计入投标价，</w:t>
      </w:r>
      <w:r>
        <w:rPr>
          <w:rFonts w:hint="eastAsia" w:ascii="宋体" w:hAnsi="宋体" w:cs="Arial"/>
          <w:b/>
          <w:color w:val="auto"/>
          <w:kern w:val="0"/>
          <w:szCs w:val="21"/>
          <w:highlight w:val="none"/>
          <w:lang w:val="en-US" w:eastAsia="zh-CN"/>
        </w:rPr>
        <w:t>成交</w:t>
      </w:r>
      <w:r>
        <w:rPr>
          <w:rFonts w:hint="eastAsia" w:ascii="宋体" w:hAnsi="宋体" w:cs="Arial"/>
          <w:b/>
          <w:color w:val="auto"/>
          <w:kern w:val="0"/>
          <w:szCs w:val="21"/>
          <w:highlight w:val="none"/>
        </w:rPr>
        <w:t>后，不再另行支付与之相关的费用。</w:t>
      </w:r>
    </w:p>
    <w:p>
      <w:pPr>
        <w:snapToGrid w:val="0"/>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15、因重大活动、会议或其它特殊情况，</w:t>
      </w:r>
      <w:r>
        <w:rPr>
          <w:rFonts w:hint="eastAsia" w:ascii="宋体" w:hAnsi="宋体" w:cs="Arial"/>
          <w:b/>
          <w:color w:val="auto"/>
          <w:kern w:val="0"/>
          <w:szCs w:val="21"/>
          <w:highlight w:val="none"/>
          <w:lang w:eastAsia="zh-CN"/>
        </w:rPr>
        <w:t>甲方</w:t>
      </w:r>
      <w:r>
        <w:rPr>
          <w:rFonts w:hint="eastAsia" w:ascii="宋体" w:hAnsi="宋体" w:cs="Arial"/>
          <w:b/>
          <w:color w:val="auto"/>
          <w:kern w:val="0"/>
          <w:szCs w:val="21"/>
          <w:highlight w:val="none"/>
        </w:rPr>
        <w:t>发布相关停工通知的，项目必须无条件服从通知要求进行停工，</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应充分考虑组织措施增加费、技术措施增加费，人员、机械窝工及相关全部费用，请</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在报价中综合考虑。后期，上述相关费用不予以签证，不再调整费用，工期予以顺延。</w:t>
      </w:r>
    </w:p>
    <w:p>
      <w:pPr>
        <w:snapToGrid w:val="0"/>
        <w:spacing w:line="360" w:lineRule="auto"/>
        <w:ind w:firstLine="422" w:firstLineChars="200"/>
        <w:rPr>
          <w:rFonts w:hint="eastAsia" w:ascii="宋体" w:hAnsi="宋体" w:cs="Arial"/>
          <w:b/>
          <w:color w:val="auto"/>
          <w:kern w:val="0"/>
          <w:szCs w:val="21"/>
          <w:highlight w:val="none"/>
        </w:rPr>
      </w:pPr>
      <w:r>
        <w:rPr>
          <w:rFonts w:hint="eastAsia" w:ascii="宋体" w:hAnsi="宋体" w:cs="Arial"/>
          <w:b/>
          <w:color w:val="auto"/>
          <w:kern w:val="0"/>
          <w:szCs w:val="21"/>
          <w:highlight w:val="none"/>
        </w:rPr>
        <w:t>16、工程验收合格之日起5日内，</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应清除所有与现场无关的任何多余物品（建筑材料、设备等）及（建筑、生活）垃圾等，达到工程正常使用要求。如</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不履行，</w:t>
      </w:r>
      <w:r>
        <w:rPr>
          <w:rFonts w:hint="eastAsia" w:ascii="宋体" w:hAnsi="宋体" w:cs="Arial"/>
          <w:b/>
          <w:color w:val="auto"/>
          <w:kern w:val="0"/>
          <w:szCs w:val="21"/>
          <w:highlight w:val="none"/>
          <w:lang w:eastAsia="zh-CN"/>
        </w:rPr>
        <w:t>甲方</w:t>
      </w:r>
      <w:r>
        <w:rPr>
          <w:rFonts w:hint="eastAsia" w:ascii="宋体" w:hAnsi="宋体" w:cs="Arial"/>
          <w:b/>
          <w:color w:val="auto"/>
          <w:kern w:val="0"/>
          <w:szCs w:val="21"/>
          <w:highlight w:val="none"/>
        </w:rPr>
        <w:t>可自行清除，发生的费用由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承担，并在最近一次结算的工程款中予以扣除。</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baseline"/>
        <w:rPr>
          <w:rFonts w:hint="eastAsia" w:ascii="宋体" w:hAnsi="宋体" w:eastAsia="宋体" w:cs="Arial"/>
          <w:b/>
          <w:color w:val="auto"/>
          <w:kern w:val="0"/>
          <w:sz w:val="21"/>
          <w:szCs w:val="21"/>
          <w:highlight w:val="none"/>
          <w:lang w:val="en-US" w:eastAsia="zh-CN" w:bidi="ar-SA"/>
        </w:rPr>
      </w:pPr>
      <w:r>
        <w:rPr>
          <w:rFonts w:hint="eastAsia" w:ascii="宋体" w:hAnsi="宋体" w:eastAsia="宋体" w:cs="Arial"/>
          <w:b/>
          <w:color w:val="auto"/>
          <w:kern w:val="0"/>
          <w:sz w:val="21"/>
          <w:szCs w:val="21"/>
          <w:highlight w:val="none"/>
          <w:lang w:val="en-US" w:eastAsia="zh-CN" w:bidi="ar-SA"/>
        </w:rPr>
        <w:t>17、因项目施工在暑假高温季节，绿化恢复可延后进行。消防管网施工结束后，可先进行工程竣工验收，</w:t>
      </w:r>
      <w:r>
        <w:rPr>
          <w:rFonts w:hint="eastAsia" w:ascii="宋体" w:hAnsi="宋体" w:cs="Arial"/>
          <w:b/>
          <w:color w:val="auto"/>
          <w:kern w:val="0"/>
          <w:sz w:val="21"/>
          <w:szCs w:val="21"/>
          <w:highlight w:val="none"/>
          <w:lang w:val="en-US" w:eastAsia="zh-CN" w:bidi="ar-SA"/>
        </w:rPr>
        <w:t>乙方</w:t>
      </w:r>
      <w:r>
        <w:rPr>
          <w:rFonts w:hint="eastAsia" w:ascii="宋体" w:hAnsi="宋体" w:eastAsia="宋体" w:cs="Arial"/>
          <w:b/>
          <w:color w:val="auto"/>
          <w:kern w:val="0"/>
          <w:sz w:val="21"/>
          <w:szCs w:val="21"/>
          <w:highlight w:val="none"/>
          <w:lang w:val="en-US" w:eastAsia="zh-CN" w:bidi="ar-SA"/>
        </w:rPr>
        <w:t>应承诺在2024年9月底前完成绿化恢复施工，并单独组织专项验收，绿化维保期自该专项验收通过后起算一年。二次进场等增加的机械措施、人工等费用纳入组织措施费内，请</w:t>
      </w:r>
      <w:r>
        <w:rPr>
          <w:rFonts w:hint="eastAsia" w:ascii="宋体" w:hAnsi="宋体" w:cs="Arial"/>
          <w:b/>
          <w:color w:val="auto"/>
          <w:kern w:val="0"/>
          <w:sz w:val="21"/>
          <w:szCs w:val="21"/>
          <w:highlight w:val="none"/>
          <w:lang w:val="en-US" w:eastAsia="zh-CN" w:bidi="ar-SA"/>
        </w:rPr>
        <w:t>乙方</w:t>
      </w:r>
      <w:r>
        <w:rPr>
          <w:rFonts w:hint="eastAsia" w:ascii="宋体" w:hAnsi="宋体" w:eastAsia="宋体" w:cs="Arial"/>
          <w:b/>
          <w:color w:val="auto"/>
          <w:kern w:val="0"/>
          <w:sz w:val="21"/>
          <w:szCs w:val="21"/>
          <w:highlight w:val="none"/>
          <w:lang w:val="en-US" w:eastAsia="zh-CN" w:bidi="ar-SA"/>
        </w:rPr>
        <w:t>在报价中综合考虑。后期，上述相关费用不予以签证，不做调整。</w:t>
      </w:r>
    </w:p>
    <w:p>
      <w:pPr>
        <w:pStyle w:val="30"/>
        <w:keepNext w:val="0"/>
        <w:keepLines w:val="0"/>
        <w:pageBreakBefore w:val="0"/>
        <w:widowControl/>
        <w:kinsoku/>
        <w:wordWrap/>
        <w:overflowPunct/>
        <w:topLinePunct w:val="0"/>
        <w:autoSpaceDE/>
        <w:autoSpaceDN/>
        <w:bidi w:val="0"/>
        <w:snapToGrid/>
        <w:spacing w:line="360" w:lineRule="auto"/>
        <w:ind w:firstLine="422"/>
        <w:textAlignment w:val="baseline"/>
        <w:rPr>
          <w:rFonts w:hint="eastAsia" w:ascii="宋体" w:hAnsi="宋体" w:eastAsia="宋体" w:cs="Arial"/>
          <w:b/>
          <w:color w:val="auto"/>
          <w:kern w:val="0"/>
          <w:sz w:val="21"/>
          <w:szCs w:val="21"/>
          <w:highlight w:val="none"/>
          <w:lang w:val="en-US" w:eastAsia="zh-CN" w:bidi="ar-SA"/>
        </w:rPr>
      </w:pPr>
      <w:r>
        <w:rPr>
          <w:rFonts w:hint="eastAsia" w:ascii="宋体" w:hAnsi="宋体" w:eastAsia="宋体" w:cs="Arial"/>
          <w:b/>
          <w:color w:val="auto"/>
          <w:kern w:val="0"/>
          <w:sz w:val="21"/>
          <w:szCs w:val="21"/>
          <w:highlight w:val="none"/>
          <w:lang w:val="en-US" w:eastAsia="zh-CN" w:bidi="ar-SA"/>
        </w:rPr>
        <w:t>18、民工工资必须按时支付，否则</w:t>
      </w:r>
      <w:r>
        <w:rPr>
          <w:rFonts w:hint="eastAsia" w:ascii="宋体" w:cs="Arial"/>
          <w:b/>
          <w:color w:val="auto"/>
          <w:kern w:val="0"/>
          <w:sz w:val="21"/>
          <w:szCs w:val="21"/>
          <w:highlight w:val="none"/>
          <w:lang w:val="en-US" w:eastAsia="zh-CN" w:bidi="ar-SA"/>
        </w:rPr>
        <w:t>甲方</w:t>
      </w:r>
      <w:r>
        <w:rPr>
          <w:rFonts w:hint="eastAsia" w:ascii="宋体" w:hAnsi="宋体" w:eastAsia="宋体" w:cs="Arial"/>
          <w:b/>
          <w:color w:val="auto"/>
          <w:kern w:val="0"/>
          <w:sz w:val="21"/>
          <w:szCs w:val="21"/>
          <w:highlight w:val="none"/>
          <w:lang w:val="en-US" w:eastAsia="zh-CN" w:bidi="ar-SA"/>
        </w:rPr>
        <w:t>有权暂扣工程款直到</w:t>
      </w:r>
      <w:r>
        <w:rPr>
          <w:rFonts w:hint="eastAsia" w:ascii="宋体" w:cs="Arial"/>
          <w:b/>
          <w:color w:val="auto"/>
          <w:kern w:val="0"/>
          <w:sz w:val="21"/>
          <w:szCs w:val="21"/>
          <w:highlight w:val="none"/>
          <w:lang w:val="en-US" w:eastAsia="zh-CN" w:bidi="ar-SA"/>
        </w:rPr>
        <w:t>乙方</w:t>
      </w:r>
      <w:r>
        <w:rPr>
          <w:rFonts w:hint="eastAsia" w:ascii="宋体" w:hAnsi="宋体" w:eastAsia="宋体" w:cs="Arial"/>
          <w:b/>
          <w:color w:val="auto"/>
          <w:kern w:val="0"/>
          <w:sz w:val="21"/>
          <w:szCs w:val="21"/>
          <w:highlight w:val="none"/>
          <w:lang w:val="en-US" w:eastAsia="zh-CN" w:bidi="ar-SA"/>
        </w:rPr>
        <w:t>付清民工工资，并根据上级主管部门的相关规定进行处罚。</w:t>
      </w:r>
    </w:p>
    <w:p>
      <w:pPr>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1</w:t>
      </w:r>
      <w:r>
        <w:rPr>
          <w:rFonts w:hint="eastAsia" w:ascii="宋体" w:hAnsi="宋体" w:cs="Arial"/>
          <w:b/>
          <w:color w:val="auto"/>
          <w:kern w:val="0"/>
          <w:szCs w:val="21"/>
          <w:highlight w:val="none"/>
          <w:lang w:val="en-US" w:eastAsia="zh-CN"/>
        </w:rPr>
        <w:t>9</w:t>
      </w:r>
      <w:r>
        <w:rPr>
          <w:rFonts w:hint="eastAsia" w:ascii="宋体" w:hAnsi="宋体" w:cs="Arial"/>
          <w:b/>
          <w:color w:val="auto"/>
          <w:kern w:val="0"/>
          <w:szCs w:val="21"/>
          <w:highlight w:val="none"/>
        </w:rPr>
        <w:t>、竣工（归档）资料产生的费用由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承担，请在投标报价中考虑，不再另行支付与之相关的费用。竣工（归档）资料应符合建设行政主管部门、档案管理机构及</w:t>
      </w:r>
      <w:r>
        <w:rPr>
          <w:rFonts w:hint="eastAsia" w:ascii="宋体" w:hAnsi="宋体" w:cs="Arial"/>
          <w:b/>
          <w:color w:val="auto"/>
          <w:kern w:val="0"/>
          <w:szCs w:val="21"/>
          <w:highlight w:val="none"/>
          <w:lang w:eastAsia="zh-CN"/>
        </w:rPr>
        <w:t>甲方</w:t>
      </w:r>
      <w:r>
        <w:rPr>
          <w:rFonts w:hint="eastAsia" w:ascii="宋体" w:hAnsi="宋体" w:cs="Arial"/>
          <w:b/>
          <w:color w:val="auto"/>
          <w:kern w:val="0"/>
          <w:szCs w:val="21"/>
          <w:highlight w:val="none"/>
        </w:rPr>
        <w:t>有关施工资料的各项要求，竣工（归档）资料一式5份，于工程竣工验收通过后30日内提交</w:t>
      </w:r>
      <w:r>
        <w:rPr>
          <w:rFonts w:hint="eastAsia" w:ascii="宋体" w:hAnsi="宋体" w:cs="Arial"/>
          <w:b/>
          <w:color w:val="auto"/>
          <w:kern w:val="0"/>
          <w:szCs w:val="21"/>
          <w:highlight w:val="none"/>
          <w:lang w:eastAsia="zh-CN"/>
        </w:rPr>
        <w:t>甲方</w:t>
      </w:r>
      <w:r>
        <w:rPr>
          <w:rFonts w:hint="eastAsia" w:ascii="宋体" w:hAnsi="宋体" w:cs="Arial"/>
          <w:b/>
          <w:color w:val="auto"/>
          <w:kern w:val="0"/>
          <w:szCs w:val="21"/>
          <w:highlight w:val="none"/>
        </w:rPr>
        <w:t>。</w:t>
      </w:r>
    </w:p>
    <w:p>
      <w:pPr>
        <w:pStyle w:val="17"/>
        <w:spacing w:before="0" w:beforeAutospacing="0" w:after="0" w:afterAutospacing="0" w:line="360" w:lineRule="auto"/>
        <w:ind w:firstLine="422" w:firstLineChars="200"/>
        <w:rPr>
          <w:rFonts w:cs="Arial"/>
          <w:b/>
          <w:color w:val="auto"/>
          <w:sz w:val="21"/>
          <w:szCs w:val="21"/>
          <w:highlight w:val="none"/>
        </w:rPr>
      </w:pPr>
      <w:r>
        <w:rPr>
          <w:rFonts w:hint="eastAsia" w:cs="Arial"/>
          <w:b/>
          <w:color w:val="auto"/>
          <w:sz w:val="21"/>
          <w:szCs w:val="21"/>
          <w:highlight w:val="none"/>
          <w:lang w:val="en-US" w:eastAsia="zh-CN"/>
        </w:rPr>
        <w:t>20</w:t>
      </w:r>
      <w:r>
        <w:rPr>
          <w:rFonts w:hint="eastAsia" w:cs="Arial"/>
          <w:b/>
          <w:color w:val="auto"/>
          <w:sz w:val="21"/>
          <w:szCs w:val="21"/>
          <w:highlight w:val="none"/>
        </w:rPr>
        <w:t>、本项目施工用水、用电按工程结算造价0.6%计取，在结算审计时一并扣除，请在投标报价中考虑此费用。</w:t>
      </w:r>
    </w:p>
    <w:p>
      <w:pPr>
        <w:snapToGrid w:val="0"/>
        <w:spacing w:line="360" w:lineRule="auto"/>
        <w:ind w:firstLine="422" w:firstLineChars="200"/>
        <w:rPr>
          <w:rFonts w:ascii="宋体" w:hAnsi="宋体" w:cs="Arial"/>
          <w:b/>
          <w:color w:val="auto"/>
          <w:kern w:val="0"/>
          <w:szCs w:val="21"/>
          <w:highlight w:val="none"/>
        </w:rPr>
      </w:pPr>
      <w:r>
        <w:rPr>
          <w:rFonts w:hint="eastAsia" w:ascii="宋体" w:hAnsi="宋体" w:cs="Arial"/>
          <w:b/>
          <w:color w:val="auto"/>
          <w:kern w:val="0"/>
          <w:szCs w:val="21"/>
          <w:highlight w:val="none"/>
        </w:rPr>
        <w:t>2</w:t>
      </w:r>
      <w:r>
        <w:rPr>
          <w:rFonts w:hint="eastAsia" w:ascii="宋体" w:hAnsi="宋体" w:cs="Arial"/>
          <w:b/>
          <w:color w:val="auto"/>
          <w:kern w:val="0"/>
          <w:szCs w:val="21"/>
          <w:highlight w:val="none"/>
          <w:lang w:val="en-US" w:eastAsia="zh-CN"/>
        </w:rPr>
        <w:t>1</w:t>
      </w:r>
      <w:r>
        <w:rPr>
          <w:rFonts w:hint="eastAsia" w:ascii="宋体" w:hAnsi="宋体" w:cs="Arial"/>
          <w:b/>
          <w:color w:val="auto"/>
          <w:kern w:val="0"/>
          <w:szCs w:val="21"/>
          <w:highlight w:val="none"/>
        </w:rPr>
        <w:t>、本项目需外送结算审计，审计价增减总额超过5%的审计费由</w:t>
      </w:r>
      <w:r>
        <w:rPr>
          <w:rFonts w:hint="eastAsia" w:ascii="宋体" w:hAnsi="宋体" w:cs="Arial"/>
          <w:b/>
          <w:color w:val="auto"/>
          <w:kern w:val="0"/>
          <w:szCs w:val="21"/>
          <w:highlight w:val="none"/>
          <w:lang w:eastAsia="zh-CN"/>
        </w:rPr>
        <w:t>乙方</w:t>
      </w:r>
      <w:r>
        <w:rPr>
          <w:rFonts w:hint="eastAsia" w:ascii="宋体" w:hAnsi="宋体" w:cs="Arial"/>
          <w:b/>
          <w:color w:val="auto"/>
          <w:kern w:val="0"/>
          <w:szCs w:val="21"/>
          <w:highlight w:val="none"/>
        </w:rPr>
        <w:t>支付。</w:t>
      </w:r>
    </w:p>
    <w:p>
      <w:pPr>
        <w:pStyle w:val="664"/>
        <w:spacing w:line="288" w:lineRule="auto"/>
        <w:ind w:firstLine="422"/>
        <w:rPr>
          <w:rFonts w:ascii="宋体" w:hAnsi="宋体" w:cs="Arial"/>
          <w:b/>
          <w:color w:val="auto"/>
          <w:highlight w:val="none"/>
        </w:rPr>
      </w:pPr>
    </w:p>
    <w:p>
      <w:pPr>
        <w:pStyle w:val="17"/>
        <w:spacing w:line="400" w:lineRule="exact"/>
        <w:rPr>
          <w:rFonts w:cs="Courier New"/>
          <w:color w:val="auto"/>
          <w:kern w:val="2"/>
          <w:sz w:val="21"/>
          <w:szCs w:val="21"/>
          <w:highlight w:val="none"/>
        </w:rPr>
      </w:pPr>
      <w:r>
        <w:rPr>
          <w:rFonts w:cs="Courier New"/>
          <w:color w:val="auto"/>
          <w:kern w:val="2"/>
          <w:sz w:val="21"/>
          <w:szCs w:val="21"/>
          <w:highlight w:val="none"/>
        </w:rPr>
        <w:t xml:space="preserve"> </w:t>
      </w:r>
    </w:p>
    <w:p>
      <w:pPr>
        <w:rPr>
          <w:rFonts w:ascii="宋体" w:hAnsi="宋体"/>
          <w:color w:val="auto"/>
          <w:highlight w:val="none"/>
        </w:rPr>
      </w:pPr>
    </w:p>
    <w:p>
      <w:pPr>
        <w:pStyle w:val="17"/>
        <w:spacing w:line="400" w:lineRule="exact"/>
        <w:jc w:val="center"/>
        <w:rPr>
          <w:b/>
          <w:bCs/>
          <w:color w:val="auto"/>
          <w:sz w:val="28"/>
          <w:szCs w:val="18"/>
          <w:highlight w:val="none"/>
        </w:rPr>
      </w:pPr>
      <w:r>
        <w:rPr>
          <w:rFonts w:ascii="Arial" w:cs="Arial"/>
          <w:b/>
          <w:color w:val="auto"/>
          <w:highlight w:val="none"/>
        </w:rPr>
        <w:br w:type="page"/>
      </w:r>
      <w:r>
        <w:rPr>
          <w:rFonts w:hint="eastAsia"/>
          <w:b/>
          <w:bCs/>
          <w:color w:val="auto"/>
          <w:sz w:val="28"/>
          <w:szCs w:val="18"/>
          <w:highlight w:val="none"/>
        </w:rPr>
        <w:t>工程</w:t>
      </w:r>
      <w:r>
        <w:rPr>
          <w:b/>
          <w:bCs/>
          <w:color w:val="auto"/>
          <w:sz w:val="28"/>
          <w:szCs w:val="18"/>
          <w:highlight w:val="none"/>
        </w:rPr>
        <w:t>质量保修书</w:t>
      </w:r>
    </w:p>
    <w:p>
      <w:pPr>
        <w:pStyle w:val="17"/>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甲方</w:t>
      </w:r>
      <w:r>
        <w:rPr>
          <w:rFonts w:cs="Courier New"/>
          <w:color w:val="auto"/>
          <w:kern w:val="2"/>
          <w:sz w:val="21"/>
          <w:szCs w:val="21"/>
          <w:highlight w:val="none"/>
        </w:rPr>
        <w:t>(全称)：</w:t>
      </w:r>
      <w:r>
        <w:rPr>
          <w:rFonts w:hint="eastAsia" w:cs="Courier New"/>
          <w:color w:val="auto"/>
          <w:kern w:val="2"/>
          <w:sz w:val="21"/>
          <w:szCs w:val="21"/>
          <w:highlight w:val="none"/>
        </w:rPr>
        <w:t>浙江理工大学</w:t>
      </w:r>
      <w:r>
        <w:rPr>
          <w:rFonts w:hint="eastAsia" w:cs="Courier New"/>
          <w:color w:val="auto"/>
          <w:kern w:val="2"/>
          <w:sz w:val="21"/>
          <w:szCs w:val="21"/>
          <w:highlight w:val="none"/>
          <w:u w:val="single"/>
        </w:rPr>
        <w:t xml:space="preserve">                       </w:t>
      </w:r>
      <w:r>
        <w:rPr>
          <w:rFonts w:hint="eastAsia" w:cs="Courier New"/>
          <w:color w:val="auto"/>
          <w:kern w:val="2"/>
          <w:sz w:val="21"/>
          <w:szCs w:val="21"/>
          <w:highlight w:val="none"/>
        </w:rPr>
        <w:t xml:space="preserve">   </w:t>
      </w:r>
    </w:p>
    <w:p>
      <w:pPr>
        <w:pStyle w:val="17"/>
        <w:spacing w:before="0" w:beforeAutospacing="0" w:after="0" w:afterAutospacing="0" w:line="400" w:lineRule="exact"/>
        <w:ind w:firstLine="420"/>
        <w:rPr>
          <w:rFonts w:cs="Courier New"/>
          <w:color w:val="auto"/>
          <w:kern w:val="2"/>
          <w:sz w:val="21"/>
          <w:szCs w:val="21"/>
          <w:highlight w:val="none"/>
          <w:u w:val="single"/>
        </w:rPr>
      </w:pPr>
      <w:r>
        <w:rPr>
          <w:rFonts w:hint="eastAsia" w:cs="Courier New"/>
          <w:color w:val="auto"/>
          <w:kern w:val="2"/>
          <w:sz w:val="21"/>
          <w:szCs w:val="21"/>
          <w:highlight w:val="none"/>
        </w:rPr>
        <w:t>乙方</w:t>
      </w:r>
      <w:r>
        <w:rPr>
          <w:rFonts w:cs="Courier New"/>
          <w:color w:val="auto"/>
          <w:kern w:val="2"/>
          <w:sz w:val="21"/>
          <w:szCs w:val="21"/>
          <w:highlight w:val="none"/>
        </w:rPr>
        <w:t>(全称)：</w:t>
      </w:r>
      <w:r>
        <w:rPr>
          <w:rFonts w:hint="eastAsia" w:cs="Courier New"/>
          <w:color w:val="auto"/>
          <w:kern w:val="2"/>
          <w:sz w:val="21"/>
          <w:szCs w:val="21"/>
          <w:highlight w:val="none"/>
          <w:u w:val="single"/>
        </w:rPr>
        <w:t xml:space="preserve">                       </w:t>
      </w:r>
    </w:p>
    <w:p>
      <w:pPr>
        <w:pStyle w:val="17"/>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甲方</w:t>
      </w:r>
      <w:r>
        <w:rPr>
          <w:rFonts w:cs="Courier New"/>
          <w:color w:val="auto"/>
          <w:kern w:val="2"/>
          <w:sz w:val="21"/>
          <w:szCs w:val="21"/>
          <w:highlight w:val="none"/>
        </w:rPr>
        <w:t>、</w:t>
      </w:r>
      <w:r>
        <w:rPr>
          <w:rFonts w:hint="eastAsia" w:cs="Courier New"/>
          <w:color w:val="auto"/>
          <w:kern w:val="2"/>
          <w:sz w:val="21"/>
          <w:szCs w:val="21"/>
          <w:highlight w:val="none"/>
        </w:rPr>
        <w:t>乙方</w:t>
      </w:r>
      <w:r>
        <w:rPr>
          <w:rFonts w:cs="Courier New"/>
          <w:color w:val="auto"/>
          <w:kern w:val="2"/>
          <w:sz w:val="21"/>
          <w:szCs w:val="21"/>
          <w:highlight w:val="none"/>
        </w:rPr>
        <w:t>根据《中华人民共和国建筑法》、《建设工程质量管理条例》</w:t>
      </w:r>
      <w:r>
        <w:rPr>
          <w:rFonts w:hint="eastAsia" w:cs="Courier New"/>
          <w:color w:val="auto"/>
          <w:kern w:val="2"/>
          <w:sz w:val="21"/>
          <w:szCs w:val="21"/>
          <w:highlight w:val="none"/>
        </w:rPr>
        <w:t>、</w:t>
      </w:r>
      <w:r>
        <w:rPr>
          <w:rFonts w:cs="Courier New"/>
          <w:color w:val="auto"/>
          <w:kern w:val="2"/>
          <w:sz w:val="21"/>
          <w:szCs w:val="21"/>
          <w:highlight w:val="none"/>
        </w:rPr>
        <w:t>《房屋建筑工程质量保修办法》</w:t>
      </w:r>
      <w:r>
        <w:rPr>
          <w:rFonts w:hint="eastAsia" w:cs="Courier New"/>
          <w:color w:val="auto"/>
          <w:kern w:val="2"/>
          <w:sz w:val="21"/>
          <w:szCs w:val="21"/>
          <w:highlight w:val="none"/>
        </w:rPr>
        <w:t>、《建设工程质量保证金管理办法暂行办法》、《浙江省&lt;中华人民共和国消费者权益保护法&gt;实施办法》及相关国家地方的法律法规</w:t>
      </w:r>
      <w:r>
        <w:rPr>
          <w:rFonts w:cs="Courier New"/>
          <w:color w:val="auto"/>
          <w:kern w:val="2"/>
          <w:sz w:val="21"/>
          <w:szCs w:val="21"/>
          <w:highlight w:val="none"/>
        </w:rPr>
        <w:t>，经协商一致，对</w:t>
      </w:r>
      <w:r>
        <w:rPr>
          <w:rFonts w:hint="eastAsia" w:cs="Courier New"/>
          <w:color w:val="auto"/>
          <w:kern w:val="2"/>
          <w:sz w:val="21"/>
          <w:szCs w:val="21"/>
          <w:highlight w:val="none"/>
          <w:u w:val="single"/>
        </w:rPr>
        <w:t xml:space="preserve"> </w:t>
      </w:r>
      <w:r>
        <w:rPr>
          <w:rFonts w:hint="eastAsia" w:cs="Courier New"/>
          <w:color w:val="auto"/>
          <w:kern w:val="2"/>
          <w:sz w:val="21"/>
          <w:szCs w:val="21"/>
          <w:highlight w:val="none"/>
          <w:u w:val="single"/>
          <w:lang w:eastAsia="zh-CN"/>
        </w:rPr>
        <w:t>浙江理工大学下沙校区教学东区消防管网改造工程</w:t>
      </w:r>
      <w:r>
        <w:rPr>
          <w:rFonts w:hint="eastAsia" w:cs="Courier New"/>
          <w:color w:val="auto"/>
          <w:kern w:val="2"/>
          <w:sz w:val="21"/>
          <w:szCs w:val="21"/>
          <w:highlight w:val="none"/>
          <w:u w:val="single"/>
        </w:rPr>
        <w:t xml:space="preserve">  </w:t>
      </w:r>
      <w:r>
        <w:rPr>
          <w:rFonts w:cs="Courier New"/>
          <w:color w:val="auto"/>
          <w:kern w:val="2"/>
          <w:sz w:val="21"/>
          <w:szCs w:val="21"/>
          <w:highlight w:val="none"/>
        </w:rPr>
        <w:t>签定工程质量保修书。</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一、工程质量保修范围和内容</w:t>
      </w:r>
    </w:p>
    <w:p>
      <w:pPr>
        <w:pStyle w:val="17"/>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乙方</w:t>
      </w:r>
      <w:r>
        <w:rPr>
          <w:rFonts w:cs="Courier New"/>
          <w:color w:val="auto"/>
          <w:kern w:val="2"/>
          <w:sz w:val="21"/>
          <w:szCs w:val="21"/>
          <w:highlight w:val="none"/>
        </w:rPr>
        <w:t>在质量保修期内，按照有关法律、法规、规章的管理规定和双方约定，承担本工程质量保修责任。</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质量保修范围包括</w:t>
      </w:r>
      <w:r>
        <w:rPr>
          <w:rFonts w:hint="eastAsia" w:cs="Courier New"/>
          <w:color w:val="auto"/>
          <w:kern w:val="2"/>
          <w:sz w:val="21"/>
          <w:szCs w:val="21"/>
          <w:highlight w:val="none"/>
        </w:rPr>
        <w:t>房建</w:t>
      </w:r>
      <w:r>
        <w:rPr>
          <w:rFonts w:cs="Courier New"/>
          <w:color w:val="auto"/>
          <w:kern w:val="2"/>
          <w:sz w:val="21"/>
          <w:szCs w:val="21"/>
          <w:highlight w:val="none"/>
        </w:rPr>
        <w:t>工程、</w:t>
      </w:r>
      <w:r>
        <w:rPr>
          <w:rFonts w:hint="eastAsia" w:cs="Courier New"/>
          <w:color w:val="auto"/>
          <w:kern w:val="2"/>
          <w:sz w:val="21"/>
          <w:szCs w:val="21"/>
          <w:highlight w:val="none"/>
        </w:rPr>
        <w:t>安装工程</w:t>
      </w:r>
      <w:r>
        <w:rPr>
          <w:rFonts w:cs="Courier New"/>
          <w:color w:val="auto"/>
          <w:kern w:val="2"/>
          <w:sz w:val="21"/>
          <w:szCs w:val="21"/>
          <w:highlight w:val="none"/>
        </w:rPr>
        <w:t>以及双方约定的其他项目。具体保修的内容，双方约定如下：</w:t>
      </w:r>
    </w:p>
    <w:p>
      <w:pPr>
        <w:pStyle w:val="17"/>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 xml:space="preserve">双方约定对施工承包范围内的所有内容实行保修。 </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二、质量保修期</w:t>
      </w:r>
    </w:p>
    <w:p>
      <w:pPr>
        <w:pStyle w:val="17"/>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保修期限根据中华人民共和国建设部令第80号《房屋建设工程质量保修办法》第七条和《浙江省&lt;中华人民共和国消费者权益保护法&gt;实施办法》执行，分别为</w:t>
      </w:r>
      <w:r>
        <w:rPr>
          <w:rFonts w:cs="Courier New"/>
          <w:color w:val="auto"/>
          <w:kern w:val="2"/>
          <w:sz w:val="21"/>
          <w:szCs w:val="21"/>
          <w:highlight w:val="none"/>
        </w:rPr>
        <w:t>：</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1．地基基础工程和主体结构工程</w:t>
      </w:r>
      <w:r>
        <w:rPr>
          <w:rFonts w:hint="eastAsia" w:cs="Courier New"/>
          <w:color w:val="auto"/>
          <w:kern w:val="2"/>
          <w:sz w:val="21"/>
          <w:szCs w:val="21"/>
          <w:highlight w:val="none"/>
        </w:rPr>
        <w:t>，为设计文件规定的该工程的合理使用年限</w:t>
      </w:r>
      <w:r>
        <w:rPr>
          <w:rFonts w:cs="Courier New"/>
          <w:color w:val="auto"/>
          <w:kern w:val="2"/>
          <w:sz w:val="21"/>
          <w:szCs w:val="21"/>
          <w:highlight w:val="none"/>
        </w:rPr>
        <w:t>；</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2．屋面防水工程、有防水要求的卫生间、房间和外墙面的</w:t>
      </w:r>
      <w:r>
        <w:rPr>
          <w:rFonts w:hint="eastAsia" w:cs="Courier New"/>
          <w:color w:val="auto"/>
          <w:kern w:val="2"/>
          <w:sz w:val="21"/>
          <w:szCs w:val="21"/>
          <w:highlight w:val="none"/>
        </w:rPr>
        <w:t>防水</w:t>
      </w:r>
      <w:r>
        <w:rPr>
          <w:rFonts w:cs="Courier New"/>
          <w:color w:val="auto"/>
          <w:kern w:val="2"/>
          <w:sz w:val="21"/>
          <w:szCs w:val="21"/>
          <w:highlight w:val="none"/>
        </w:rPr>
        <w:t>为</w:t>
      </w:r>
      <w:r>
        <w:rPr>
          <w:rFonts w:hint="eastAsia" w:cs="Courier New"/>
          <w:color w:val="auto"/>
          <w:kern w:val="2"/>
          <w:sz w:val="21"/>
          <w:szCs w:val="21"/>
          <w:highlight w:val="none"/>
          <w:u w:val="single"/>
        </w:rPr>
        <w:t xml:space="preserve"> 5 </w:t>
      </w:r>
      <w:r>
        <w:rPr>
          <w:rFonts w:cs="Courier New"/>
          <w:color w:val="auto"/>
          <w:kern w:val="2"/>
          <w:sz w:val="21"/>
          <w:szCs w:val="21"/>
          <w:highlight w:val="none"/>
        </w:rPr>
        <w:t>年；</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3．装修工程为</w:t>
      </w:r>
      <w:r>
        <w:rPr>
          <w:rFonts w:hint="eastAsia" w:cs="Courier New"/>
          <w:color w:val="auto"/>
          <w:kern w:val="2"/>
          <w:sz w:val="21"/>
          <w:szCs w:val="21"/>
          <w:highlight w:val="none"/>
          <w:u w:val="single"/>
        </w:rPr>
        <w:t xml:space="preserve"> 2 </w:t>
      </w:r>
      <w:r>
        <w:rPr>
          <w:rFonts w:cs="Courier New"/>
          <w:color w:val="auto"/>
          <w:kern w:val="2"/>
          <w:sz w:val="21"/>
          <w:szCs w:val="21"/>
          <w:highlight w:val="none"/>
        </w:rPr>
        <w:t>年；</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4．电气管线、给排水管道、设备安装为</w:t>
      </w:r>
      <w:r>
        <w:rPr>
          <w:rFonts w:hint="eastAsia" w:cs="Courier New"/>
          <w:color w:val="auto"/>
          <w:kern w:val="2"/>
          <w:sz w:val="21"/>
          <w:szCs w:val="21"/>
          <w:highlight w:val="none"/>
          <w:u w:val="single"/>
        </w:rPr>
        <w:t xml:space="preserve"> 2 </w:t>
      </w:r>
      <w:r>
        <w:rPr>
          <w:rFonts w:cs="Courier New"/>
          <w:color w:val="auto"/>
          <w:kern w:val="2"/>
          <w:sz w:val="21"/>
          <w:szCs w:val="21"/>
          <w:highlight w:val="none"/>
        </w:rPr>
        <w:t>年；</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5．</w:t>
      </w:r>
      <w:r>
        <w:rPr>
          <w:rFonts w:hint="eastAsia" w:cs="Courier New"/>
          <w:color w:val="auto"/>
          <w:kern w:val="2"/>
          <w:sz w:val="21"/>
          <w:szCs w:val="21"/>
          <w:highlight w:val="none"/>
          <w:u w:val="none"/>
          <w:lang w:val="en-US" w:eastAsia="zh-CN"/>
        </w:rPr>
        <w:t>绿化工程为</w:t>
      </w:r>
      <w:r>
        <w:rPr>
          <w:rFonts w:hint="eastAsia" w:cs="Courier New"/>
          <w:color w:val="auto"/>
          <w:kern w:val="2"/>
          <w:sz w:val="21"/>
          <w:szCs w:val="21"/>
          <w:highlight w:val="none"/>
          <w:u w:val="single"/>
          <w:lang w:val="en-US" w:eastAsia="zh-CN"/>
        </w:rPr>
        <w:t xml:space="preserve"> 1 </w:t>
      </w:r>
      <w:r>
        <w:rPr>
          <w:rFonts w:hint="eastAsia" w:cs="Courier New"/>
          <w:color w:val="auto"/>
          <w:kern w:val="2"/>
          <w:sz w:val="21"/>
          <w:szCs w:val="21"/>
          <w:highlight w:val="none"/>
          <w:lang w:val="en-US" w:eastAsia="zh-CN"/>
        </w:rPr>
        <w:t xml:space="preserve"> 年</w:t>
      </w:r>
      <w:r>
        <w:rPr>
          <w:rFonts w:cs="Courier New"/>
          <w:color w:val="auto"/>
          <w:kern w:val="2"/>
          <w:sz w:val="21"/>
          <w:szCs w:val="21"/>
          <w:highlight w:val="none"/>
        </w:rPr>
        <w:t>；</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6．</w:t>
      </w:r>
      <w:r>
        <w:rPr>
          <w:rFonts w:hint="eastAsia" w:cs="Courier New"/>
          <w:color w:val="auto"/>
          <w:kern w:val="2"/>
          <w:sz w:val="21"/>
          <w:szCs w:val="21"/>
          <w:highlight w:val="none"/>
        </w:rPr>
        <w:t>其他工程</w:t>
      </w:r>
      <w:r>
        <w:rPr>
          <w:rFonts w:hint="eastAsia" w:cs="Courier New"/>
          <w:color w:val="auto"/>
          <w:kern w:val="2"/>
          <w:sz w:val="21"/>
          <w:szCs w:val="21"/>
          <w:highlight w:val="none"/>
          <w:u w:val="single"/>
        </w:rPr>
        <w:t xml:space="preserve"> 2 </w:t>
      </w:r>
      <w:r>
        <w:rPr>
          <w:rFonts w:hint="eastAsia" w:cs="Courier New"/>
          <w:color w:val="auto"/>
          <w:kern w:val="2"/>
          <w:sz w:val="21"/>
          <w:szCs w:val="21"/>
          <w:highlight w:val="none"/>
        </w:rPr>
        <w:t>年；</w:t>
      </w:r>
    </w:p>
    <w:p>
      <w:pPr>
        <w:pStyle w:val="17"/>
        <w:spacing w:before="0" w:beforeAutospacing="0" w:after="0" w:afterAutospacing="0" w:line="400" w:lineRule="exact"/>
        <w:ind w:firstLine="420"/>
        <w:rPr>
          <w:rFonts w:hint="eastAsia" w:cs="Courier New"/>
          <w:color w:val="auto"/>
          <w:kern w:val="2"/>
          <w:sz w:val="21"/>
          <w:szCs w:val="21"/>
          <w:highlight w:val="none"/>
          <w:lang w:eastAsia="zh-CN"/>
        </w:rPr>
      </w:pPr>
      <w:r>
        <w:rPr>
          <w:rFonts w:hint="eastAsia" w:cs="Courier New"/>
          <w:color w:val="auto"/>
          <w:kern w:val="2"/>
          <w:sz w:val="21"/>
          <w:szCs w:val="21"/>
          <w:highlight w:val="none"/>
        </w:rPr>
        <w:t>7.保修期自工程竣工验收合格之日开始计算</w:t>
      </w:r>
      <w:r>
        <w:rPr>
          <w:rFonts w:hint="eastAsia" w:cs="Courier New"/>
          <w:color w:val="auto"/>
          <w:kern w:val="2"/>
          <w:sz w:val="21"/>
          <w:szCs w:val="21"/>
          <w:highlight w:val="none"/>
          <w:lang w:eastAsia="zh-CN"/>
        </w:rPr>
        <w:t>；</w:t>
      </w:r>
    </w:p>
    <w:p>
      <w:pPr>
        <w:pStyle w:val="17"/>
        <w:spacing w:before="0" w:beforeAutospacing="0" w:after="0" w:afterAutospacing="0" w:line="400" w:lineRule="exact"/>
        <w:ind w:firstLine="420"/>
        <w:rPr>
          <w:rFonts w:hint="eastAsia" w:cs="Courier New"/>
          <w:color w:val="auto"/>
          <w:kern w:val="2"/>
          <w:sz w:val="21"/>
          <w:szCs w:val="21"/>
          <w:highlight w:val="none"/>
          <w:lang w:val="en-US" w:eastAsia="zh-CN"/>
        </w:rPr>
      </w:pPr>
      <w:r>
        <w:rPr>
          <w:rFonts w:hint="eastAsia" w:cs="Courier New"/>
          <w:color w:val="auto"/>
          <w:kern w:val="2"/>
          <w:sz w:val="21"/>
          <w:szCs w:val="21"/>
          <w:highlight w:val="none"/>
          <w:lang w:val="en-US" w:eastAsia="zh-CN"/>
        </w:rPr>
        <w:t>8.乙方承诺延长保修期的，根据承诺，进行顺延，具体如下：</w:t>
      </w:r>
    </w:p>
    <w:p>
      <w:pPr>
        <w:pStyle w:val="17"/>
        <w:spacing w:before="0" w:beforeAutospacing="0" w:after="0" w:afterAutospacing="0" w:line="400" w:lineRule="exact"/>
        <w:ind w:firstLine="420"/>
        <w:rPr>
          <w:rFonts w:hint="default" w:cs="Courier New"/>
          <w:color w:val="auto"/>
          <w:kern w:val="2"/>
          <w:sz w:val="21"/>
          <w:szCs w:val="21"/>
          <w:highlight w:val="none"/>
          <w:lang w:val="en-US" w:eastAsia="zh-CN"/>
        </w:rPr>
      </w:pPr>
      <w:r>
        <w:rPr>
          <w:rFonts w:hint="eastAsia" w:cs="Courier New"/>
          <w:color w:val="auto"/>
          <w:kern w:val="2"/>
          <w:sz w:val="21"/>
          <w:szCs w:val="21"/>
          <w:highlight w:val="none"/>
          <w:lang w:val="en-US" w:eastAsia="zh-CN"/>
        </w:rPr>
        <w:t xml:space="preserve"> </w:t>
      </w:r>
      <w:r>
        <w:rPr>
          <w:rFonts w:hint="eastAsia" w:cs="Courier New"/>
          <w:color w:val="auto"/>
          <w:kern w:val="2"/>
          <w:sz w:val="21"/>
          <w:szCs w:val="21"/>
          <w:highlight w:val="none"/>
          <w:u w:val="single"/>
          <w:lang w:val="en-US" w:eastAsia="zh-CN"/>
        </w:rPr>
        <w:t xml:space="preserve">                                                </w:t>
      </w:r>
      <w:r>
        <w:rPr>
          <w:rFonts w:hint="eastAsia" w:cs="Courier New"/>
          <w:color w:val="auto"/>
          <w:kern w:val="2"/>
          <w:sz w:val="21"/>
          <w:szCs w:val="21"/>
          <w:highlight w:val="none"/>
          <w:lang w:val="en-US" w:eastAsia="zh-CN"/>
        </w:rPr>
        <w:t>。</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三、质量保修责任</w:t>
      </w:r>
    </w:p>
    <w:p>
      <w:pPr>
        <w:pStyle w:val="17"/>
        <w:spacing w:before="0" w:beforeAutospacing="0" w:after="0" w:afterAutospacing="0" w:line="400" w:lineRule="exact"/>
        <w:ind w:firstLine="42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1、保修期内，出现质量问题，乙方在接到甲方通知必须立即组织人员进场维修，响应时间（到现场）不得大于4小时</w:t>
      </w:r>
      <w:r>
        <w:rPr>
          <w:rFonts w:hint="default" w:ascii="Times New Roman" w:hAnsi="Times New Roman" w:eastAsia="宋体" w:cs="Times New Roman"/>
          <w:color w:val="auto"/>
          <w:sz w:val="21"/>
          <w:szCs w:val="21"/>
          <w:highlight w:val="none"/>
        </w:rPr>
        <w:t>（水、电急修</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小时内）</w:t>
      </w:r>
      <w:r>
        <w:rPr>
          <w:rFonts w:hint="default" w:ascii="Times New Roman" w:hAnsi="Times New Roman" w:eastAsia="宋体" w:cs="Times New Roman"/>
          <w:color w:val="auto"/>
          <w:kern w:val="2"/>
          <w:sz w:val="21"/>
          <w:szCs w:val="21"/>
          <w:highlight w:val="none"/>
        </w:rPr>
        <w:t>，一般质量维修需在3天内维修完毕，严重质量问题需在接到甲方通知后3天内拿出维修方案（须经甲方认可），按维修方案进行维修。</w:t>
      </w:r>
      <w:r>
        <w:rPr>
          <w:rFonts w:hint="default" w:ascii="Times New Roman" w:hAnsi="Times New Roman" w:eastAsia="宋体" w:cs="Times New Roman"/>
          <w:color w:val="auto"/>
          <w:sz w:val="21"/>
          <w:szCs w:val="21"/>
          <w:highlight w:val="none"/>
        </w:rPr>
        <w:t>水、电急修</w:t>
      </w:r>
      <w:r>
        <w:rPr>
          <w:rFonts w:hint="default" w:ascii="Times New Roman" w:hAnsi="Times New Roman" w:eastAsia="宋体" w:cs="Times New Roman"/>
          <w:color w:val="auto"/>
          <w:sz w:val="21"/>
          <w:szCs w:val="21"/>
          <w:highlight w:val="none"/>
          <w:lang w:val="en-US" w:eastAsia="zh-CN"/>
        </w:rPr>
        <w:t>3小时内出方案，24小时内必须解决。</w:t>
      </w:r>
      <w:r>
        <w:rPr>
          <w:rFonts w:hint="default" w:ascii="Times New Roman" w:hAnsi="Times New Roman" w:eastAsia="宋体" w:cs="Times New Roman"/>
          <w:color w:val="auto"/>
          <w:kern w:val="2"/>
          <w:sz w:val="21"/>
          <w:szCs w:val="21"/>
          <w:highlight w:val="none"/>
        </w:rPr>
        <w:t>若乙方未按约定时间进场，甲方有权自行组织维修，发生的修理费用从乙方质保金中扣除，并视具体情况追究乙方延误维修时间造成的直接损失。</w:t>
      </w:r>
    </w:p>
    <w:p>
      <w:pPr>
        <w:pStyle w:val="17"/>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2、乙方承诺专设24小时值班电话，提供全面及时的电话技术支持服务。</w:t>
      </w:r>
    </w:p>
    <w:p>
      <w:pPr>
        <w:pStyle w:val="17"/>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3、</w:t>
      </w:r>
      <w:r>
        <w:rPr>
          <w:rFonts w:cs="Courier New"/>
          <w:color w:val="auto"/>
          <w:kern w:val="2"/>
          <w:sz w:val="21"/>
          <w:szCs w:val="21"/>
          <w:highlight w:val="none"/>
        </w:rPr>
        <w:t>质量</w:t>
      </w:r>
      <w:r>
        <w:rPr>
          <w:rFonts w:hint="eastAsia" w:cs="Courier New"/>
          <w:color w:val="auto"/>
          <w:kern w:val="2"/>
          <w:sz w:val="21"/>
          <w:szCs w:val="21"/>
          <w:highlight w:val="none"/>
        </w:rPr>
        <w:t>维</w:t>
      </w:r>
      <w:r>
        <w:rPr>
          <w:rFonts w:cs="Courier New"/>
          <w:color w:val="auto"/>
          <w:kern w:val="2"/>
          <w:sz w:val="21"/>
          <w:szCs w:val="21"/>
          <w:highlight w:val="none"/>
        </w:rPr>
        <w:t>修完成后，由</w:t>
      </w:r>
      <w:r>
        <w:rPr>
          <w:rFonts w:hint="eastAsia" w:cs="Courier New"/>
          <w:color w:val="auto"/>
          <w:kern w:val="2"/>
          <w:sz w:val="21"/>
          <w:szCs w:val="21"/>
          <w:highlight w:val="none"/>
        </w:rPr>
        <w:t>甲方</w:t>
      </w:r>
      <w:r>
        <w:rPr>
          <w:rFonts w:cs="Courier New"/>
          <w:color w:val="auto"/>
          <w:kern w:val="2"/>
          <w:sz w:val="21"/>
          <w:szCs w:val="21"/>
          <w:highlight w:val="none"/>
        </w:rPr>
        <w:t>组织验收</w:t>
      </w:r>
      <w:r>
        <w:rPr>
          <w:rFonts w:hint="eastAsia" w:cs="Courier New"/>
          <w:color w:val="auto"/>
          <w:kern w:val="2"/>
          <w:sz w:val="21"/>
          <w:szCs w:val="21"/>
          <w:highlight w:val="none"/>
        </w:rPr>
        <w:t>，经甲方签字确认满意后方可视为验收合格及完成本次维修工作。在完成维修后3天内，乙方必须提供一式两份报告给甲方，包括故障原因，解决措施，完成修理所费时间及恢复正常运行日期。</w:t>
      </w:r>
    </w:p>
    <w:p>
      <w:pPr>
        <w:spacing w:line="400" w:lineRule="exact"/>
        <w:ind w:firstLine="420"/>
        <w:rPr>
          <w:rFonts w:hAnsi="宋体" w:cs="Courier New"/>
          <w:color w:val="auto"/>
          <w:szCs w:val="21"/>
          <w:highlight w:val="none"/>
        </w:rPr>
      </w:pPr>
      <w:r>
        <w:rPr>
          <w:rFonts w:hint="eastAsia" w:hAnsi="宋体" w:cs="Courier New"/>
          <w:color w:val="auto"/>
          <w:szCs w:val="21"/>
          <w:highlight w:val="none"/>
        </w:rPr>
        <w:t>4、乙方承诺在质量保修期结束时，由专业工程师对设备进行一次全面的测试，发现由质量缺陷造成的任何故障由乙方负责自费解决并必须得到甲方的同意。</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四、保修费用</w:t>
      </w:r>
    </w:p>
    <w:p>
      <w:pPr>
        <w:pStyle w:val="17"/>
        <w:spacing w:before="0" w:beforeAutospacing="0" w:after="0" w:afterAutospacing="0" w:line="400" w:lineRule="exact"/>
        <w:ind w:firstLine="420"/>
        <w:rPr>
          <w:rFonts w:cs="Courier New"/>
          <w:color w:val="auto"/>
          <w:kern w:val="2"/>
          <w:sz w:val="21"/>
          <w:szCs w:val="21"/>
          <w:highlight w:val="none"/>
        </w:rPr>
      </w:pPr>
      <w:r>
        <w:rPr>
          <w:rFonts w:hint="eastAsia" w:cs="Courier New"/>
          <w:color w:val="auto"/>
          <w:kern w:val="2"/>
          <w:sz w:val="21"/>
          <w:szCs w:val="21"/>
          <w:highlight w:val="none"/>
        </w:rPr>
        <w:t>属于质量保修范围内的维修</w:t>
      </w:r>
      <w:r>
        <w:rPr>
          <w:rFonts w:cs="Courier New"/>
          <w:color w:val="auto"/>
          <w:kern w:val="2"/>
          <w:sz w:val="21"/>
          <w:szCs w:val="21"/>
          <w:highlight w:val="none"/>
        </w:rPr>
        <w:t>费用由</w:t>
      </w:r>
      <w:r>
        <w:rPr>
          <w:rFonts w:hint="eastAsia" w:cs="Courier New"/>
          <w:color w:val="auto"/>
          <w:kern w:val="2"/>
          <w:sz w:val="21"/>
          <w:szCs w:val="21"/>
          <w:highlight w:val="none"/>
        </w:rPr>
        <w:t>乙方</w:t>
      </w:r>
      <w:r>
        <w:rPr>
          <w:rFonts w:cs="Courier New"/>
          <w:color w:val="auto"/>
          <w:kern w:val="2"/>
          <w:sz w:val="21"/>
          <w:szCs w:val="21"/>
          <w:highlight w:val="none"/>
        </w:rPr>
        <w:t>承担</w:t>
      </w:r>
      <w:r>
        <w:rPr>
          <w:rFonts w:hint="eastAsia" w:cs="Courier New"/>
          <w:color w:val="auto"/>
          <w:kern w:val="2"/>
          <w:sz w:val="21"/>
          <w:szCs w:val="21"/>
          <w:highlight w:val="none"/>
        </w:rPr>
        <w:t>，从乙方质保金中扣除，若质保金不足的，由乙方根据维修发生的费用自行承担</w:t>
      </w:r>
      <w:r>
        <w:rPr>
          <w:rFonts w:cs="Courier New"/>
          <w:color w:val="auto"/>
          <w:kern w:val="2"/>
          <w:sz w:val="21"/>
          <w:szCs w:val="21"/>
          <w:highlight w:val="none"/>
        </w:rPr>
        <w:t>。</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五、其他</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双方约定的其他工程质量保修事项：</w:t>
      </w:r>
    </w:p>
    <w:p>
      <w:pPr>
        <w:pStyle w:val="17"/>
        <w:spacing w:before="0" w:beforeAutospacing="0" w:after="0" w:afterAutospacing="0" w:line="400" w:lineRule="exact"/>
        <w:ind w:firstLine="422"/>
        <w:rPr>
          <w:rFonts w:cs="Courier New"/>
          <w:color w:val="auto"/>
          <w:kern w:val="2"/>
          <w:sz w:val="21"/>
          <w:szCs w:val="21"/>
          <w:highlight w:val="none"/>
        </w:rPr>
      </w:pPr>
      <w:r>
        <w:rPr>
          <w:rFonts w:hint="eastAsia" w:cs="Courier New"/>
          <w:b/>
          <w:color w:val="auto"/>
          <w:kern w:val="2"/>
          <w:sz w:val="21"/>
          <w:szCs w:val="21"/>
          <w:highlight w:val="none"/>
          <w:u w:val="single"/>
        </w:rPr>
        <w:t>工程质量保修金在工程竣工验收合格后两年内无工程质量问题，质量保修金无息归还承包方。若发生工程质量问题，需用质量保修金赔偿发包人实际损失，质量保修金不够赔时，由承包方补足。</w:t>
      </w:r>
      <w:r>
        <w:rPr>
          <w:rFonts w:hint="eastAsia" w:cs="Courier New"/>
          <w:color w:val="auto"/>
          <w:kern w:val="2"/>
          <w:sz w:val="21"/>
          <w:szCs w:val="21"/>
          <w:highlight w:val="none"/>
        </w:rPr>
        <w:t xml:space="preserve"> </w:t>
      </w:r>
    </w:p>
    <w:p>
      <w:pPr>
        <w:pStyle w:val="17"/>
        <w:spacing w:before="0" w:beforeAutospacing="0" w:after="0" w:afterAutospacing="0" w:line="400" w:lineRule="exact"/>
        <w:ind w:firstLine="420"/>
        <w:rPr>
          <w:rFonts w:cs="Courier New"/>
          <w:color w:val="auto"/>
          <w:kern w:val="2"/>
          <w:sz w:val="21"/>
          <w:szCs w:val="21"/>
          <w:highlight w:val="none"/>
        </w:rPr>
      </w:pPr>
      <w:r>
        <w:rPr>
          <w:rFonts w:cs="Courier New"/>
          <w:color w:val="auto"/>
          <w:kern w:val="2"/>
          <w:sz w:val="21"/>
          <w:szCs w:val="21"/>
          <w:highlight w:val="none"/>
        </w:rPr>
        <w:t>本工程</w:t>
      </w:r>
      <w:r>
        <w:rPr>
          <w:rFonts w:hint="eastAsia" w:cs="Courier New"/>
          <w:color w:val="auto"/>
          <w:kern w:val="2"/>
          <w:sz w:val="21"/>
          <w:szCs w:val="21"/>
          <w:highlight w:val="none"/>
        </w:rPr>
        <w:t>质量</w:t>
      </w:r>
      <w:r>
        <w:rPr>
          <w:rFonts w:cs="Courier New"/>
          <w:color w:val="auto"/>
          <w:kern w:val="2"/>
          <w:sz w:val="21"/>
          <w:szCs w:val="21"/>
          <w:highlight w:val="none"/>
        </w:rPr>
        <w:t>保修书，由</w:t>
      </w:r>
      <w:r>
        <w:rPr>
          <w:rFonts w:hint="eastAsia" w:cs="Courier New"/>
          <w:color w:val="auto"/>
          <w:kern w:val="2"/>
          <w:sz w:val="21"/>
          <w:szCs w:val="21"/>
          <w:highlight w:val="none"/>
        </w:rPr>
        <w:t>甲</w:t>
      </w:r>
      <w:r>
        <w:rPr>
          <w:rFonts w:cs="Courier New"/>
          <w:color w:val="auto"/>
          <w:kern w:val="2"/>
          <w:sz w:val="21"/>
          <w:szCs w:val="21"/>
          <w:highlight w:val="none"/>
        </w:rPr>
        <w:t>、</w:t>
      </w:r>
      <w:r>
        <w:rPr>
          <w:rFonts w:hint="eastAsia" w:cs="Courier New"/>
          <w:color w:val="auto"/>
          <w:kern w:val="2"/>
          <w:sz w:val="21"/>
          <w:szCs w:val="21"/>
          <w:highlight w:val="none"/>
        </w:rPr>
        <w:t>乙</w:t>
      </w:r>
      <w:r>
        <w:rPr>
          <w:rFonts w:cs="Courier New"/>
          <w:color w:val="auto"/>
          <w:kern w:val="2"/>
          <w:sz w:val="21"/>
          <w:szCs w:val="21"/>
          <w:highlight w:val="none"/>
        </w:rPr>
        <w:t>双方在</w:t>
      </w:r>
      <w:r>
        <w:rPr>
          <w:rFonts w:hint="eastAsia" w:cs="Courier New"/>
          <w:color w:val="auto"/>
          <w:kern w:val="2"/>
          <w:sz w:val="21"/>
          <w:szCs w:val="21"/>
          <w:highlight w:val="none"/>
        </w:rPr>
        <w:t>签订</w:t>
      </w:r>
      <w:r>
        <w:rPr>
          <w:rFonts w:cs="Courier New"/>
          <w:color w:val="auto"/>
          <w:kern w:val="2"/>
          <w:sz w:val="21"/>
          <w:szCs w:val="21"/>
          <w:highlight w:val="none"/>
        </w:rPr>
        <w:t>施工合同</w:t>
      </w:r>
      <w:r>
        <w:rPr>
          <w:rFonts w:hint="eastAsia" w:cs="Courier New"/>
          <w:color w:val="auto"/>
          <w:kern w:val="2"/>
          <w:sz w:val="21"/>
          <w:szCs w:val="21"/>
          <w:highlight w:val="none"/>
          <w:lang w:val="en-US" w:eastAsia="zh-CN"/>
        </w:rPr>
        <w:t>时</w:t>
      </w:r>
      <w:r>
        <w:rPr>
          <w:rFonts w:cs="Courier New"/>
          <w:color w:val="auto"/>
          <w:kern w:val="2"/>
          <w:sz w:val="21"/>
          <w:szCs w:val="21"/>
          <w:highlight w:val="none"/>
        </w:rPr>
        <w:t>签署，作为施工合同附件</w:t>
      </w:r>
      <w:r>
        <w:rPr>
          <w:rFonts w:hint="eastAsia" w:cs="Courier New"/>
          <w:color w:val="auto"/>
          <w:kern w:val="2"/>
          <w:sz w:val="21"/>
          <w:szCs w:val="21"/>
          <w:highlight w:val="none"/>
        </w:rPr>
        <w:t>，</w:t>
      </w:r>
      <w:r>
        <w:rPr>
          <w:rFonts w:cs="Courier New"/>
          <w:color w:val="auto"/>
          <w:kern w:val="2"/>
          <w:sz w:val="21"/>
          <w:szCs w:val="21"/>
          <w:highlight w:val="none"/>
        </w:rPr>
        <w:t>其有效期限至保修期满</w:t>
      </w:r>
      <w:r>
        <w:rPr>
          <w:rFonts w:hint="eastAsia" w:cs="Courier New"/>
          <w:color w:val="auto"/>
          <w:kern w:val="2"/>
          <w:sz w:val="21"/>
          <w:szCs w:val="21"/>
          <w:highlight w:val="none"/>
          <w:lang w:val="en-US" w:eastAsia="zh-CN"/>
        </w:rPr>
        <w:t>止</w:t>
      </w:r>
      <w:r>
        <w:rPr>
          <w:rFonts w:cs="Courier New"/>
          <w:color w:val="auto"/>
          <w:kern w:val="2"/>
          <w:sz w:val="21"/>
          <w:szCs w:val="21"/>
          <w:highlight w:val="none"/>
        </w:rPr>
        <w:t xml:space="preserve">。 </w:t>
      </w:r>
    </w:p>
    <w:p>
      <w:pPr>
        <w:pStyle w:val="17"/>
        <w:spacing w:before="0" w:beforeAutospacing="0" w:after="0" w:afterAutospacing="0" w:line="400" w:lineRule="exact"/>
        <w:ind w:firstLine="420"/>
        <w:rPr>
          <w:rFonts w:cs="Courier New"/>
          <w:color w:val="auto"/>
          <w:kern w:val="2"/>
          <w:sz w:val="21"/>
          <w:szCs w:val="21"/>
          <w:highlight w:val="none"/>
        </w:rPr>
      </w:pPr>
    </w:p>
    <w:p>
      <w:pPr>
        <w:rPr>
          <w:rFonts w:ascii="宋体" w:hAnsi="宋体"/>
          <w:color w:val="auto"/>
          <w:highlight w:val="none"/>
        </w:rPr>
      </w:pPr>
    </w:p>
    <w:p>
      <w:pPr>
        <w:rPr>
          <w:rFonts w:ascii="宋体" w:hAnsi="宋体"/>
          <w:color w:val="auto"/>
          <w:highlight w:val="none"/>
        </w:rPr>
      </w:pPr>
    </w:p>
    <w:p>
      <w:pPr>
        <w:pStyle w:val="669"/>
        <w:tabs>
          <w:tab w:val="left" w:pos="5020"/>
        </w:tabs>
        <w:snapToGrid w:val="0"/>
        <w:spacing w:line="360" w:lineRule="auto"/>
        <w:ind w:left="0" w:right="7"/>
        <w:rPr>
          <w:rFonts w:hint="eastAsia" w:ascii="宋体" w:hAnsi="宋体" w:eastAsia="宋体" w:cs="Tahoma"/>
          <w:color w:val="auto"/>
          <w:kern w:val="0"/>
          <w:sz w:val="21"/>
          <w:szCs w:val="21"/>
          <w:highlight w:val="none"/>
        </w:rPr>
      </w:pPr>
      <w:r>
        <w:rPr>
          <w:rFonts w:ascii="宋体" w:hAnsi="宋体" w:cs="Tahoma"/>
          <w:color w:val="auto"/>
          <w:kern w:val="0"/>
          <w:szCs w:val="21"/>
          <w:highlight w:val="none"/>
        </w:rPr>
        <w:br w:type="textWrapping"/>
      </w:r>
    </w:p>
    <w:tbl>
      <w:tblPr>
        <w:tblStyle w:val="21"/>
        <w:tblpPr w:leftFromText="180" w:rightFromText="180" w:vertAnchor="text" w:horzAnchor="page" w:tblpX="1802" w:tblpY="392"/>
        <w:tblOverlap w:val="never"/>
        <w:tblW w:w="0" w:type="auto"/>
        <w:tblInd w:w="0" w:type="dxa"/>
        <w:tblLayout w:type="autofit"/>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trHeight w:val="1235" w:hRule="atLeast"/>
        </w:trPr>
        <w:tc>
          <w:tcPr>
            <w:tcW w:w="4264" w:type="dxa"/>
          </w:tcPr>
          <w:p>
            <w:pPr>
              <w:spacing w:line="360" w:lineRule="auto"/>
              <w:rPr>
                <w:b/>
                <w:bCs/>
                <w:color w:val="auto"/>
                <w:kern w:val="0"/>
                <w:sz w:val="22"/>
                <w:szCs w:val="22"/>
                <w:highlight w:val="none"/>
              </w:rPr>
            </w:pPr>
            <w:r>
              <w:rPr>
                <w:b/>
                <w:bCs/>
                <w:color w:val="auto"/>
                <w:kern w:val="0"/>
                <w:sz w:val="22"/>
                <w:szCs w:val="22"/>
                <w:highlight w:val="none"/>
              </w:rPr>
              <w:t>甲方（公章）：浙江理工大学</w:t>
            </w:r>
          </w:p>
        </w:tc>
        <w:tc>
          <w:tcPr>
            <w:tcW w:w="4264" w:type="dxa"/>
          </w:tcPr>
          <w:p>
            <w:pPr>
              <w:spacing w:line="360" w:lineRule="auto"/>
              <w:rPr>
                <w:b/>
                <w:bCs/>
                <w:color w:val="auto"/>
                <w:kern w:val="0"/>
                <w:sz w:val="22"/>
                <w:szCs w:val="22"/>
                <w:highlight w:val="none"/>
              </w:rPr>
            </w:pPr>
            <w:r>
              <w:rPr>
                <w:b/>
                <w:bCs/>
                <w:color w:val="auto"/>
                <w:kern w:val="0"/>
                <w:sz w:val="22"/>
                <w:szCs w:val="22"/>
                <w:highlight w:val="none"/>
              </w:rPr>
              <w:t>乙方（公章）：</w:t>
            </w:r>
          </w:p>
        </w:tc>
      </w:tr>
      <w:tr>
        <w:tblPrEx>
          <w:tblCellMar>
            <w:top w:w="0" w:type="dxa"/>
            <w:left w:w="108" w:type="dxa"/>
            <w:bottom w:w="0" w:type="dxa"/>
            <w:right w:w="108" w:type="dxa"/>
          </w:tblCellMar>
        </w:tblPrEx>
        <w:tc>
          <w:tcPr>
            <w:tcW w:w="4264" w:type="dxa"/>
          </w:tcPr>
          <w:p>
            <w:pPr>
              <w:spacing w:line="360" w:lineRule="auto"/>
              <w:rPr>
                <w:color w:val="auto"/>
                <w:szCs w:val="21"/>
                <w:highlight w:val="none"/>
              </w:rPr>
            </w:pPr>
            <w:r>
              <w:rPr>
                <w:color w:val="auto"/>
                <w:szCs w:val="21"/>
                <w:highlight w:val="none"/>
              </w:rPr>
              <w:t>法定代表人或其委托代理人</w:t>
            </w:r>
          </w:p>
          <w:p>
            <w:pPr>
              <w:spacing w:line="360" w:lineRule="auto"/>
              <w:rPr>
                <w:color w:val="auto"/>
                <w:kern w:val="0"/>
                <w:szCs w:val="21"/>
                <w:highlight w:val="none"/>
              </w:rPr>
            </w:pPr>
            <w:r>
              <w:rPr>
                <w:color w:val="auto"/>
                <w:szCs w:val="21"/>
                <w:highlight w:val="none"/>
              </w:rPr>
              <w:t>（签字）</w:t>
            </w:r>
            <w:r>
              <w:rPr>
                <w:color w:val="auto"/>
                <w:kern w:val="0"/>
                <w:szCs w:val="21"/>
                <w:highlight w:val="none"/>
              </w:rPr>
              <w:t xml:space="preserve">：     </w:t>
            </w:r>
          </w:p>
        </w:tc>
        <w:tc>
          <w:tcPr>
            <w:tcW w:w="4264" w:type="dxa"/>
          </w:tcPr>
          <w:p>
            <w:pPr>
              <w:spacing w:line="360" w:lineRule="auto"/>
              <w:rPr>
                <w:color w:val="auto"/>
                <w:szCs w:val="21"/>
                <w:highlight w:val="none"/>
              </w:rPr>
            </w:pPr>
            <w:r>
              <w:rPr>
                <w:color w:val="auto"/>
                <w:szCs w:val="21"/>
                <w:highlight w:val="none"/>
              </w:rPr>
              <w:t>法定代表人或其委托代理人</w:t>
            </w:r>
          </w:p>
          <w:p>
            <w:pPr>
              <w:spacing w:line="360" w:lineRule="auto"/>
              <w:rPr>
                <w:color w:val="auto"/>
                <w:kern w:val="0"/>
                <w:szCs w:val="21"/>
                <w:highlight w:val="none"/>
              </w:rPr>
            </w:pPr>
            <w:r>
              <w:rPr>
                <w:color w:val="auto"/>
                <w:szCs w:val="21"/>
                <w:highlight w:val="none"/>
              </w:rPr>
              <w:t>（签字）</w:t>
            </w:r>
            <w:r>
              <w:rPr>
                <w:color w:val="auto"/>
                <w:kern w:val="0"/>
                <w:szCs w:val="21"/>
                <w:highlight w:val="none"/>
              </w:rPr>
              <w:t xml:space="preserve">：      </w:t>
            </w:r>
          </w:p>
        </w:tc>
      </w:tr>
      <w:tr>
        <w:tblPrEx>
          <w:tblCellMar>
            <w:top w:w="0" w:type="dxa"/>
            <w:left w:w="108" w:type="dxa"/>
            <w:bottom w:w="0" w:type="dxa"/>
            <w:right w:w="108" w:type="dxa"/>
          </w:tblCellMar>
        </w:tblPrEx>
        <w:tc>
          <w:tcPr>
            <w:tcW w:w="4264" w:type="dxa"/>
          </w:tcPr>
          <w:p>
            <w:pPr>
              <w:spacing w:line="360" w:lineRule="auto"/>
              <w:rPr>
                <w:color w:val="auto"/>
                <w:kern w:val="0"/>
                <w:szCs w:val="21"/>
                <w:highlight w:val="none"/>
              </w:rPr>
            </w:pPr>
            <w:r>
              <w:rPr>
                <w:color w:val="auto"/>
                <w:kern w:val="0"/>
                <w:szCs w:val="21"/>
                <w:highlight w:val="none"/>
              </w:rPr>
              <w:t>日期：</w:t>
            </w:r>
            <w:r>
              <w:rPr>
                <w:rFonts w:hint="eastAsia"/>
                <w:color w:val="auto"/>
                <w:kern w:val="0"/>
                <w:szCs w:val="21"/>
                <w:highlight w:val="none"/>
                <w:lang w:val="en-US" w:eastAsia="zh-CN"/>
              </w:rPr>
              <w:t>2024</w:t>
            </w:r>
            <w:r>
              <w:rPr>
                <w:color w:val="auto"/>
                <w:kern w:val="0"/>
                <w:szCs w:val="21"/>
                <w:highlight w:val="none"/>
              </w:rPr>
              <w:t xml:space="preserve">年   月  日                            </w:t>
            </w:r>
          </w:p>
        </w:tc>
        <w:tc>
          <w:tcPr>
            <w:tcW w:w="4264" w:type="dxa"/>
          </w:tcPr>
          <w:p>
            <w:pPr>
              <w:spacing w:line="360" w:lineRule="auto"/>
              <w:rPr>
                <w:color w:val="auto"/>
                <w:kern w:val="0"/>
                <w:szCs w:val="21"/>
                <w:highlight w:val="none"/>
              </w:rPr>
            </w:pPr>
            <w:r>
              <w:rPr>
                <w:color w:val="auto"/>
                <w:kern w:val="0"/>
                <w:szCs w:val="21"/>
                <w:highlight w:val="none"/>
              </w:rPr>
              <w:t>日期：</w:t>
            </w:r>
            <w:r>
              <w:rPr>
                <w:rFonts w:hint="eastAsia"/>
                <w:color w:val="auto"/>
                <w:kern w:val="0"/>
                <w:szCs w:val="21"/>
                <w:highlight w:val="none"/>
                <w:lang w:val="en-US" w:eastAsia="zh-CN"/>
              </w:rPr>
              <w:t>2024</w:t>
            </w:r>
            <w:r>
              <w:rPr>
                <w:color w:val="auto"/>
                <w:kern w:val="0"/>
                <w:szCs w:val="21"/>
                <w:highlight w:val="none"/>
              </w:rPr>
              <w:t>年   月  日</w:t>
            </w:r>
          </w:p>
        </w:tc>
      </w:tr>
    </w:tbl>
    <w:p>
      <w:pPr>
        <w:pStyle w:val="669"/>
        <w:tabs>
          <w:tab w:val="left" w:pos="5020"/>
        </w:tabs>
        <w:snapToGrid w:val="0"/>
        <w:spacing w:line="360" w:lineRule="auto"/>
        <w:ind w:left="0" w:right="7"/>
        <w:rPr>
          <w:rFonts w:hint="eastAsia" w:ascii="宋体" w:hAnsi="宋体" w:eastAsia="宋体" w:cs="Tahoma"/>
          <w:color w:val="auto"/>
          <w:kern w:val="0"/>
          <w:sz w:val="21"/>
          <w:szCs w:val="21"/>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jc w:val="center"/>
        <w:rPr>
          <w:rFonts w:ascii="宋体" w:hAnsi="宋体" w:cs="Tahoma"/>
          <w:color w:val="auto"/>
          <w:kern w:val="0"/>
          <w:sz w:val="32"/>
          <w:szCs w:val="32"/>
          <w:highlight w:val="none"/>
        </w:rPr>
      </w:pPr>
      <w:r>
        <w:rPr>
          <w:rFonts w:ascii="宋体" w:hAnsi="宋体" w:cs="Tahoma"/>
          <w:color w:val="auto"/>
          <w:kern w:val="0"/>
          <w:sz w:val="32"/>
          <w:szCs w:val="32"/>
          <w:highlight w:val="none"/>
        </w:rPr>
        <w:t>安全</w:t>
      </w:r>
      <w:r>
        <w:rPr>
          <w:rFonts w:hint="eastAsia" w:ascii="宋体" w:hAnsi="宋体" w:cs="Tahoma"/>
          <w:color w:val="auto"/>
          <w:kern w:val="0"/>
          <w:sz w:val="32"/>
          <w:szCs w:val="32"/>
          <w:highlight w:val="none"/>
        </w:rPr>
        <w:t>文明施工责任书</w:t>
      </w:r>
    </w:p>
    <w:p>
      <w:pPr>
        <w:spacing w:line="360" w:lineRule="auto"/>
        <w:jc w:val="center"/>
        <w:rPr>
          <w:rFonts w:ascii="宋体" w:hAnsi="宋体" w:cs="Tahoma"/>
          <w:color w:val="auto"/>
          <w:kern w:val="0"/>
          <w:szCs w:val="21"/>
          <w:highlight w:val="none"/>
        </w:rPr>
      </w:pP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甲方：浙江理工大学            （以下简称甲方）</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乙方：                        （以下简称乙方）</w:t>
      </w:r>
    </w:p>
    <w:p>
      <w:pPr>
        <w:spacing w:line="360" w:lineRule="auto"/>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r>
        <w:rPr>
          <w:rFonts w:hint="eastAsia" w:ascii="宋体" w:hAnsi="宋体" w:cs="Tahoma"/>
          <w:color w:val="auto"/>
          <w:kern w:val="0"/>
          <w:szCs w:val="21"/>
          <w:highlight w:val="none"/>
        </w:rPr>
        <w:t>为保证安全文明生产，防范各类事故的发生，保障学校正常的教学生活秩序和各类工程施工的开展，同时，进一步提高工程施工单位的安全文明施工意识，经甲乙双方友好协商，特签订本责任书，具体如下：</w:t>
      </w:r>
    </w:p>
    <w:p>
      <w:pPr>
        <w:spacing w:line="360" w:lineRule="auto"/>
        <w:ind w:firstLine="420" w:firstLineChars="200"/>
        <w:rPr>
          <w:rFonts w:ascii="宋体" w:hAnsi="宋体" w:cs="Verdana"/>
          <w:color w:val="auto"/>
          <w:kern w:val="0"/>
          <w:szCs w:val="21"/>
          <w:highlight w:val="none"/>
        </w:rPr>
      </w:pPr>
      <w:r>
        <w:rPr>
          <w:rFonts w:ascii="宋体" w:hAnsi="宋体" w:cs="Tahoma"/>
          <w:color w:val="auto"/>
          <w:kern w:val="0"/>
          <w:szCs w:val="21"/>
          <w:highlight w:val="none"/>
        </w:rPr>
        <w:t>第一条</w:t>
      </w:r>
      <w:r>
        <w:rPr>
          <w:rFonts w:ascii="宋体" w:hAnsi="宋体" w:cs="Verdana"/>
          <w:color w:val="auto"/>
          <w:kern w:val="0"/>
          <w:szCs w:val="21"/>
          <w:highlight w:val="none"/>
        </w:rPr>
        <w:t></w:t>
      </w:r>
      <w:r>
        <w:rPr>
          <w:rFonts w:hint="eastAsia" w:ascii="宋体" w:hAnsi="宋体" w:cs="Verdana"/>
          <w:color w:val="auto"/>
          <w:kern w:val="0"/>
          <w:szCs w:val="21"/>
          <w:highlight w:val="none"/>
        </w:rPr>
        <w:t>乙方各类施工人员须按照国家和省市相关行业规范的要求持证上岗，严禁无证人员上岗作业（无相关规定及证书者除外）。</w:t>
      </w:r>
    </w:p>
    <w:p>
      <w:pPr>
        <w:spacing w:line="360" w:lineRule="auto"/>
        <w:ind w:firstLine="420" w:firstLineChars="200"/>
        <w:rPr>
          <w:rFonts w:ascii="宋体" w:hAnsi="宋体" w:cs="Tahoma"/>
          <w:color w:val="auto"/>
          <w:kern w:val="0"/>
          <w:szCs w:val="21"/>
          <w:highlight w:val="none"/>
        </w:rPr>
      </w:pPr>
      <w:r>
        <w:rPr>
          <w:rFonts w:hint="eastAsia" w:ascii="宋体" w:hAnsi="宋体" w:cs="Verdana"/>
          <w:color w:val="auto"/>
          <w:kern w:val="0"/>
          <w:szCs w:val="21"/>
          <w:highlight w:val="none"/>
        </w:rPr>
        <w:t>第二条  乙方</w:t>
      </w:r>
      <w:r>
        <w:rPr>
          <w:rFonts w:ascii="宋体" w:hAnsi="宋体" w:cs="Tahoma"/>
          <w:color w:val="auto"/>
          <w:kern w:val="0"/>
          <w:szCs w:val="21"/>
          <w:highlight w:val="none"/>
        </w:rPr>
        <w:t>施工</w:t>
      </w:r>
      <w:r>
        <w:rPr>
          <w:rFonts w:hint="eastAsia" w:ascii="宋体" w:hAnsi="宋体" w:cs="Tahoma"/>
          <w:color w:val="auto"/>
          <w:kern w:val="0"/>
          <w:szCs w:val="21"/>
          <w:highlight w:val="none"/>
        </w:rPr>
        <w:t>时，</w:t>
      </w:r>
      <w:r>
        <w:rPr>
          <w:rFonts w:ascii="宋体" w:hAnsi="宋体" w:cs="Tahoma"/>
          <w:color w:val="auto"/>
          <w:kern w:val="0"/>
          <w:szCs w:val="21"/>
          <w:highlight w:val="none"/>
        </w:rPr>
        <w:t>现场应围挡整齐，沿</w:t>
      </w:r>
      <w:r>
        <w:rPr>
          <w:rFonts w:hint="eastAsia" w:ascii="宋体" w:hAnsi="宋体" w:cs="Tahoma"/>
          <w:color w:val="auto"/>
          <w:kern w:val="0"/>
          <w:szCs w:val="21"/>
          <w:highlight w:val="none"/>
        </w:rPr>
        <w:t>路</w:t>
      </w:r>
      <w:r>
        <w:rPr>
          <w:rFonts w:ascii="宋体" w:hAnsi="宋体" w:cs="Tahoma"/>
          <w:color w:val="auto"/>
          <w:kern w:val="0"/>
          <w:szCs w:val="21"/>
          <w:highlight w:val="none"/>
        </w:rPr>
        <w:t>及重要部位须按</w:t>
      </w:r>
      <w:r>
        <w:rPr>
          <w:rFonts w:hint="eastAsia" w:ascii="宋体" w:hAnsi="宋体" w:cs="Tahoma"/>
          <w:color w:val="auto"/>
          <w:kern w:val="0"/>
          <w:szCs w:val="21"/>
          <w:highlight w:val="none"/>
        </w:rPr>
        <w:t>甲方</w:t>
      </w:r>
      <w:r>
        <w:rPr>
          <w:rFonts w:ascii="宋体" w:hAnsi="宋体" w:cs="Tahoma"/>
          <w:color w:val="auto"/>
          <w:kern w:val="0"/>
          <w:szCs w:val="21"/>
          <w:highlight w:val="none"/>
        </w:rPr>
        <w:t>要求设置，并保证安全美观，现场布局合理整洁，各种材料应堆放整齐，施工垃圾须定点堆放，及时清运，严禁在施工现场以外堆放材料、垃圾。</w:t>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第</w:t>
      </w:r>
      <w:r>
        <w:rPr>
          <w:rFonts w:hint="eastAsia" w:ascii="宋体" w:hAnsi="宋体" w:cs="Tahoma"/>
          <w:color w:val="auto"/>
          <w:kern w:val="0"/>
          <w:szCs w:val="21"/>
          <w:highlight w:val="none"/>
        </w:rPr>
        <w:t>三</w:t>
      </w:r>
      <w:r>
        <w:rPr>
          <w:rFonts w:ascii="宋体" w:hAnsi="宋体" w:cs="Tahoma"/>
          <w:color w:val="auto"/>
          <w:kern w:val="0"/>
          <w:szCs w:val="21"/>
          <w:highlight w:val="none"/>
        </w:rPr>
        <w:t>条</w:t>
      </w:r>
      <w:r>
        <w:rPr>
          <w:rFonts w:hint="eastAsia" w:ascii="宋体" w:hAnsi="宋体" w:cs="Tahoma"/>
          <w:color w:val="auto"/>
          <w:kern w:val="0"/>
          <w:szCs w:val="21"/>
          <w:highlight w:val="none"/>
        </w:rPr>
        <w:t>乙方</w:t>
      </w:r>
      <w:r>
        <w:rPr>
          <w:rFonts w:ascii="宋体" w:hAnsi="宋体" w:cs="Tahoma"/>
          <w:color w:val="auto"/>
          <w:kern w:val="0"/>
          <w:szCs w:val="21"/>
          <w:highlight w:val="none"/>
        </w:rPr>
        <w:t>施工现场布局及工序安排应考虑噪声、照明控制</w:t>
      </w:r>
      <w:r>
        <w:rPr>
          <w:rFonts w:hint="eastAsia" w:ascii="宋体" w:hAnsi="宋体" w:cs="Tahoma"/>
          <w:color w:val="auto"/>
          <w:kern w:val="0"/>
          <w:szCs w:val="21"/>
          <w:highlight w:val="none"/>
        </w:rPr>
        <w:t>等</w:t>
      </w:r>
      <w:r>
        <w:rPr>
          <w:rFonts w:ascii="宋体" w:hAnsi="宋体" w:cs="Tahoma"/>
          <w:color w:val="auto"/>
          <w:kern w:val="0"/>
          <w:szCs w:val="21"/>
          <w:highlight w:val="none"/>
        </w:rPr>
        <w:t>，严格按照有</w:t>
      </w:r>
      <w:r>
        <w:rPr>
          <w:rFonts w:hint="eastAsia" w:ascii="宋体" w:hAnsi="宋体" w:cs="Tahoma"/>
          <w:color w:val="auto"/>
          <w:kern w:val="0"/>
          <w:szCs w:val="21"/>
          <w:highlight w:val="none"/>
        </w:rPr>
        <w:t>学校</w:t>
      </w:r>
      <w:r>
        <w:rPr>
          <w:rFonts w:ascii="宋体" w:hAnsi="宋体" w:cs="Tahoma"/>
          <w:color w:val="auto"/>
          <w:kern w:val="0"/>
          <w:szCs w:val="21"/>
          <w:highlight w:val="none"/>
        </w:rPr>
        <w:t>关规定执行，</w:t>
      </w:r>
      <w:r>
        <w:rPr>
          <w:rFonts w:hint="eastAsia" w:ascii="宋体" w:hAnsi="宋体" w:cs="Tahoma"/>
          <w:color w:val="auto"/>
          <w:kern w:val="0"/>
          <w:szCs w:val="21"/>
          <w:highlight w:val="none"/>
        </w:rPr>
        <w:t>不得影响学校的正常教学和生活秩序</w:t>
      </w:r>
      <w:r>
        <w:rPr>
          <w:rFonts w:ascii="宋体" w:hAnsi="宋体" w:cs="Tahoma"/>
          <w:color w:val="auto"/>
          <w:kern w:val="0"/>
          <w:szCs w:val="21"/>
          <w:highlight w:val="none"/>
        </w:rPr>
        <w:t>；不得破坏树木、绿地</w:t>
      </w:r>
      <w:r>
        <w:rPr>
          <w:rFonts w:hint="eastAsia" w:ascii="宋体" w:hAnsi="宋体" w:cs="Tahoma"/>
          <w:color w:val="auto"/>
          <w:kern w:val="0"/>
          <w:szCs w:val="21"/>
          <w:highlight w:val="none"/>
        </w:rPr>
        <w:t>，如有破坏，施工完结后应予以恢复</w:t>
      </w:r>
      <w:r>
        <w:rPr>
          <w:rFonts w:ascii="宋体" w:hAnsi="宋体" w:cs="Tahoma"/>
          <w:color w:val="auto"/>
          <w:kern w:val="0"/>
          <w:szCs w:val="21"/>
          <w:highlight w:val="none"/>
        </w:rPr>
        <w:t>；土方外运过程，严格按程序操作，不得在校内外遗洒，同时应有避免扬尘的措施。</w:t>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第</w:t>
      </w:r>
      <w:r>
        <w:rPr>
          <w:rFonts w:hint="eastAsia" w:ascii="宋体" w:hAnsi="宋体" w:cs="Tahoma"/>
          <w:color w:val="auto"/>
          <w:kern w:val="0"/>
          <w:szCs w:val="21"/>
          <w:highlight w:val="none"/>
        </w:rPr>
        <w:t>四</w:t>
      </w:r>
      <w:r>
        <w:rPr>
          <w:rFonts w:ascii="宋体" w:hAnsi="宋体" w:cs="Tahoma"/>
          <w:color w:val="auto"/>
          <w:kern w:val="0"/>
          <w:szCs w:val="21"/>
          <w:highlight w:val="none"/>
        </w:rPr>
        <w:t>条</w:t>
      </w:r>
      <w:r>
        <w:rPr>
          <w:rFonts w:hint="eastAsia" w:ascii="宋体" w:hAnsi="宋体" w:cs="Tahoma"/>
          <w:color w:val="auto"/>
          <w:kern w:val="0"/>
          <w:szCs w:val="21"/>
          <w:highlight w:val="none"/>
        </w:rPr>
        <w:t>乙方</w:t>
      </w:r>
      <w:r>
        <w:rPr>
          <w:rFonts w:ascii="宋体" w:hAnsi="宋体" w:cs="Tahoma"/>
          <w:color w:val="auto"/>
          <w:kern w:val="0"/>
          <w:szCs w:val="21"/>
          <w:highlight w:val="none"/>
        </w:rPr>
        <w:t>外</w:t>
      </w:r>
      <w:r>
        <w:rPr>
          <w:rFonts w:hint="eastAsia" w:ascii="宋体" w:hAnsi="宋体" w:cs="Tahoma"/>
          <w:color w:val="auto"/>
          <w:kern w:val="0"/>
          <w:szCs w:val="21"/>
          <w:highlight w:val="none"/>
        </w:rPr>
        <w:t>来</w:t>
      </w:r>
      <w:r>
        <w:rPr>
          <w:rFonts w:ascii="宋体" w:hAnsi="宋体" w:cs="Tahoma"/>
          <w:color w:val="auto"/>
          <w:kern w:val="0"/>
          <w:szCs w:val="21"/>
          <w:highlight w:val="none"/>
        </w:rPr>
        <w:t>施工人员必须</w:t>
      </w:r>
      <w:r>
        <w:rPr>
          <w:rFonts w:hint="eastAsia" w:ascii="宋体" w:hAnsi="宋体" w:cs="Tahoma"/>
          <w:color w:val="auto"/>
          <w:kern w:val="0"/>
          <w:szCs w:val="21"/>
          <w:highlight w:val="none"/>
        </w:rPr>
        <w:t>按照学校相关规定，</w:t>
      </w:r>
      <w:r>
        <w:rPr>
          <w:rFonts w:ascii="宋体" w:hAnsi="宋体" w:cs="Tahoma"/>
          <w:color w:val="auto"/>
          <w:kern w:val="0"/>
          <w:szCs w:val="21"/>
          <w:highlight w:val="none"/>
        </w:rPr>
        <w:t>办理相关证件，禁止非施工单位人员在工地留宿，施工现场禁止聚众打牌、饮酒闹事、传阅淫秽物品；禁止施工人员在非施工</w:t>
      </w:r>
      <w:r>
        <w:rPr>
          <w:rFonts w:hint="eastAsia" w:ascii="宋体" w:hAnsi="宋体" w:cs="Tahoma"/>
          <w:color w:val="auto"/>
          <w:kern w:val="0"/>
          <w:szCs w:val="21"/>
          <w:highlight w:val="none"/>
        </w:rPr>
        <w:t>区域内</w:t>
      </w:r>
      <w:r>
        <w:rPr>
          <w:rFonts w:ascii="宋体" w:hAnsi="宋体" w:cs="Tahoma"/>
          <w:color w:val="auto"/>
          <w:kern w:val="0"/>
          <w:szCs w:val="21"/>
          <w:highlight w:val="none"/>
        </w:rPr>
        <w:t>随意走动，严禁和学生、教职工发生冲突。</w:t>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第</w:t>
      </w:r>
      <w:r>
        <w:rPr>
          <w:rFonts w:hint="eastAsia" w:ascii="宋体" w:hAnsi="宋体" w:cs="Tahoma"/>
          <w:color w:val="auto"/>
          <w:kern w:val="0"/>
          <w:szCs w:val="21"/>
          <w:highlight w:val="none"/>
        </w:rPr>
        <w:t>五</w:t>
      </w:r>
      <w:r>
        <w:rPr>
          <w:rFonts w:ascii="宋体" w:hAnsi="宋体" w:cs="Tahoma"/>
          <w:color w:val="auto"/>
          <w:kern w:val="0"/>
          <w:szCs w:val="21"/>
          <w:highlight w:val="none"/>
        </w:rPr>
        <w:t>条</w:t>
      </w:r>
      <w:r>
        <w:rPr>
          <w:rFonts w:hint="eastAsia" w:ascii="宋体" w:hAnsi="宋体" w:cs="Tahoma"/>
          <w:color w:val="auto"/>
          <w:kern w:val="0"/>
          <w:szCs w:val="21"/>
          <w:highlight w:val="none"/>
        </w:rPr>
        <w:t>乙方</w:t>
      </w:r>
      <w:r>
        <w:rPr>
          <w:rFonts w:ascii="宋体" w:hAnsi="宋体" w:cs="Tahoma"/>
          <w:color w:val="auto"/>
          <w:kern w:val="0"/>
          <w:szCs w:val="21"/>
          <w:highlight w:val="none"/>
        </w:rPr>
        <w:t>施工车辆进出</w:t>
      </w:r>
      <w:r>
        <w:rPr>
          <w:rFonts w:hint="eastAsia" w:ascii="宋体" w:hAnsi="宋体" w:cs="Tahoma"/>
          <w:color w:val="auto"/>
          <w:kern w:val="0"/>
          <w:szCs w:val="21"/>
          <w:highlight w:val="none"/>
        </w:rPr>
        <w:t>校园</w:t>
      </w:r>
      <w:r>
        <w:rPr>
          <w:rFonts w:ascii="宋体" w:hAnsi="宋体" w:cs="Tahoma"/>
          <w:color w:val="auto"/>
          <w:kern w:val="0"/>
          <w:szCs w:val="21"/>
          <w:highlight w:val="none"/>
        </w:rPr>
        <w:t>时</w:t>
      </w:r>
      <w:r>
        <w:rPr>
          <w:rFonts w:hint="eastAsia" w:ascii="宋体" w:hAnsi="宋体" w:cs="Tahoma"/>
          <w:color w:val="auto"/>
          <w:kern w:val="0"/>
          <w:szCs w:val="21"/>
          <w:highlight w:val="none"/>
        </w:rPr>
        <w:t>应</w:t>
      </w:r>
      <w:r>
        <w:rPr>
          <w:rFonts w:ascii="宋体" w:hAnsi="宋体" w:cs="Tahoma"/>
          <w:color w:val="auto"/>
          <w:kern w:val="0"/>
          <w:szCs w:val="21"/>
          <w:highlight w:val="none"/>
        </w:rPr>
        <w:t>注意校园交通安全，必须</w:t>
      </w:r>
      <w:r>
        <w:rPr>
          <w:rFonts w:hint="eastAsia" w:ascii="宋体" w:hAnsi="宋体" w:cs="Tahoma"/>
          <w:color w:val="auto"/>
          <w:kern w:val="0"/>
          <w:szCs w:val="21"/>
          <w:highlight w:val="none"/>
        </w:rPr>
        <w:t>按规定</w:t>
      </w:r>
      <w:r>
        <w:rPr>
          <w:rFonts w:ascii="宋体" w:hAnsi="宋体" w:cs="Tahoma"/>
          <w:color w:val="auto"/>
          <w:kern w:val="0"/>
          <w:szCs w:val="21"/>
          <w:highlight w:val="none"/>
        </w:rPr>
        <w:t>缓速行驶，大型机械进出场应提前和</w:t>
      </w:r>
      <w:r>
        <w:rPr>
          <w:rFonts w:hint="eastAsia" w:ascii="宋体" w:hAnsi="宋体" w:cs="Tahoma"/>
          <w:color w:val="auto"/>
          <w:kern w:val="0"/>
          <w:szCs w:val="21"/>
          <w:highlight w:val="none"/>
        </w:rPr>
        <w:t>学校有关部门</w:t>
      </w:r>
      <w:r>
        <w:rPr>
          <w:rFonts w:ascii="宋体" w:hAnsi="宋体" w:cs="Tahoma"/>
          <w:color w:val="auto"/>
          <w:kern w:val="0"/>
          <w:szCs w:val="21"/>
          <w:highlight w:val="none"/>
        </w:rPr>
        <w:t>协商，</w:t>
      </w:r>
      <w:r>
        <w:rPr>
          <w:rFonts w:hint="eastAsia" w:ascii="宋体" w:hAnsi="宋体" w:cs="Tahoma"/>
          <w:color w:val="auto"/>
          <w:kern w:val="0"/>
          <w:szCs w:val="21"/>
          <w:highlight w:val="none"/>
        </w:rPr>
        <w:t>征得同意后，方可进入，并须</w:t>
      </w:r>
      <w:r>
        <w:rPr>
          <w:rFonts w:ascii="宋体" w:hAnsi="宋体" w:cs="Tahoma"/>
          <w:color w:val="auto"/>
          <w:kern w:val="0"/>
          <w:szCs w:val="21"/>
          <w:highlight w:val="none"/>
        </w:rPr>
        <w:t>避开校园交通高峰期，必须封路施工时，须征得</w:t>
      </w:r>
      <w:r>
        <w:rPr>
          <w:rFonts w:hint="eastAsia" w:ascii="宋体" w:hAnsi="宋体" w:cs="Tahoma"/>
          <w:color w:val="auto"/>
          <w:kern w:val="0"/>
          <w:szCs w:val="21"/>
          <w:highlight w:val="none"/>
        </w:rPr>
        <w:t>甲方</w:t>
      </w:r>
      <w:r>
        <w:rPr>
          <w:rFonts w:ascii="宋体" w:hAnsi="宋体" w:cs="Tahoma"/>
          <w:color w:val="auto"/>
          <w:kern w:val="0"/>
          <w:szCs w:val="21"/>
          <w:highlight w:val="none"/>
        </w:rPr>
        <w:t>同意，并在路口设置明显的提示标志。</w:t>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第</w:t>
      </w:r>
      <w:r>
        <w:rPr>
          <w:rFonts w:hint="eastAsia" w:ascii="宋体" w:hAnsi="宋体" w:cs="Tahoma"/>
          <w:color w:val="auto"/>
          <w:kern w:val="0"/>
          <w:szCs w:val="21"/>
          <w:highlight w:val="none"/>
        </w:rPr>
        <w:t>六</w:t>
      </w:r>
      <w:r>
        <w:rPr>
          <w:rFonts w:ascii="宋体" w:hAnsi="宋体" w:cs="Tahoma"/>
          <w:color w:val="auto"/>
          <w:kern w:val="0"/>
          <w:szCs w:val="21"/>
          <w:highlight w:val="none"/>
        </w:rPr>
        <w:t>条</w:t>
      </w:r>
      <w:r>
        <w:rPr>
          <w:rFonts w:hint="eastAsia" w:ascii="宋体" w:hAnsi="宋体" w:cs="Tahoma"/>
          <w:color w:val="auto"/>
          <w:kern w:val="0"/>
          <w:szCs w:val="21"/>
          <w:highlight w:val="none"/>
        </w:rPr>
        <w:t>乙方</w:t>
      </w:r>
      <w:r>
        <w:rPr>
          <w:rFonts w:ascii="宋体" w:hAnsi="宋体" w:cs="Tahoma"/>
          <w:color w:val="auto"/>
          <w:kern w:val="0"/>
          <w:szCs w:val="21"/>
          <w:highlight w:val="none"/>
        </w:rPr>
        <w:t>施工临时用电必须符合《施工现场临时用电安全技术规范》，固定式配电箱应设置围栏并有明显的安全警示标志，严禁非专业人员接拆电线，防止发生触电事故，严禁使用电炉等</w:t>
      </w:r>
      <w:r>
        <w:rPr>
          <w:rFonts w:hint="eastAsia" w:ascii="宋体" w:hAnsi="宋体" w:cs="Tahoma"/>
          <w:color w:val="auto"/>
          <w:kern w:val="0"/>
          <w:szCs w:val="21"/>
          <w:highlight w:val="none"/>
        </w:rPr>
        <w:t>学校禁用电器及</w:t>
      </w:r>
      <w:r>
        <w:rPr>
          <w:rFonts w:ascii="宋体" w:hAnsi="宋体" w:cs="Tahoma"/>
          <w:color w:val="auto"/>
          <w:kern w:val="0"/>
          <w:szCs w:val="21"/>
          <w:highlight w:val="none"/>
        </w:rPr>
        <w:t>妨碍现场安全的用电设备</w:t>
      </w:r>
      <w:r>
        <w:rPr>
          <w:rFonts w:hint="eastAsia" w:ascii="宋体" w:hAnsi="宋体" w:cs="Tahoma"/>
          <w:color w:val="auto"/>
          <w:kern w:val="0"/>
          <w:szCs w:val="21"/>
          <w:highlight w:val="none"/>
        </w:rPr>
        <w:t>。</w:t>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第</w:t>
      </w:r>
      <w:r>
        <w:rPr>
          <w:rFonts w:hint="eastAsia" w:ascii="宋体" w:hAnsi="宋体" w:cs="Tahoma"/>
          <w:color w:val="auto"/>
          <w:kern w:val="0"/>
          <w:szCs w:val="21"/>
          <w:highlight w:val="none"/>
        </w:rPr>
        <w:t>七</w:t>
      </w:r>
      <w:r>
        <w:rPr>
          <w:rFonts w:ascii="宋体" w:hAnsi="宋体" w:cs="Tahoma"/>
          <w:color w:val="auto"/>
          <w:kern w:val="0"/>
          <w:szCs w:val="21"/>
          <w:highlight w:val="none"/>
        </w:rPr>
        <w:t>条</w:t>
      </w:r>
      <w:r>
        <w:rPr>
          <w:rFonts w:hint="eastAsia" w:ascii="宋体" w:hAnsi="宋体" w:cs="Tahoma"/>
          <w:color w:val="auto"/>
          <w:kern w:val="0"/>
          <w:szCs w:val="21"/>
          <w:highlight w:val="none"/>
        </w:rPr>
        <w:t>乙方施工</w:t>
      </w:r>
      <w:r>
        <w:rPr>
          <w:rFonts w:ascii="宋体" w:hAnsi="宋体" w:cs="Tahoma"/>
          <w:color w:val="auto"/>
          <w:kern w:val="0"/>
          <w:szCs w:val="21"/>
          <w:highlight w:val="none"/>
        </w:rPr>
        <w:t>现场消防器材</w:t>
      </w:r>
      <w:r>
        <w:rPr>
          <w:rFonts w:hint="eastAsia" w:ascii="宋体" w:hAnsi="宋体" w:cs="Tahoma"/>
          <w:color w:val="auto"/>
          <w:kern w:val="0"/>
          <w:szCs w:val="21"/>
          <w:highlight w:val="none"/>
        </w:rPr>
        <w:t>应</w:t>
      </w:r>
      <w:r>
        <w:rPr>
          <w:rFonts w:ascii="宋体" w:hAnsi="宋体" w:cs="Tahoma"/>
          <w:color w:val="auto"/>
          <w:kern w:val="0"/>
          <w:szCs w:val="21"/>
          <w:highlight w:val="none"/>
        </w:rPr>
        <w:t>配备齐全、位置合理，</w:t>
      </w:r>
      <w:r>
        <w:rPr>
          <w:rFonts w:hint="eastAsia" w:ascii="宋体" w:hAnsi="宋体" w:cs="Tahoma"/>
          <w:color w:val="auto"/>
          <w:kern w:val="0"/>
          <w:szCs w:val="21"/>
          <w:highlight w:val="none"/>
        </w:rPr>
        <w:t>并</w:t>
      </w:r>
      <w:r>
        <w:rPr>
          <w:rFonts w:ascii="宋体" w:hAnsi="宋体" w:cs="Tahoma"/>
          <w:color w:val="auto"/>
          <w:kern w:val="0"/>
          <w:szCs w:val="21"/>
          <w:highlight w:val="none"/>
        </w:rPr>
        <w:t>有明显的警示标志，严禁挪用</w:t>
      </w:r>
      <w:r>
        <w:rPr>
          <w:rFonts w:hint="eastAsia" w:ascii="宋体" w:hAnsi="宋体" w:cs="Tahoma"/>
          <w:color w:val="auto"/>
          <w:kern w:val="0"/>
          <w:szCs w:val="21"/>
          <w:highlight w:val="none"/>
        </w:rPr>
        <w:t>校内消防设备和器材</w:t>
      </w:r>
      <w:r>
        <w:rPr>
          <w:rFonts w:ascii="宋体" w:hAnsi="宋体" w:cs="Tahoma"/>
          <w:color w:val="auto"/>
          <w:kern w:val="0"/>
          <w:szCs w:val="21"/>
          <w:highlight w:val="none"/>
        </w:rPr>
        <w:t>，保证消防道路畅通；施工现场严禁吸烟</w:t>
      </w:r>
      <w:r>
        <w:rPr>
          <w:rFonts w:hint="eastAsia" w:ascii="宋体" w:hAnsi="宋体" w:cs="Tahoma"/>
          <w:color w:val="auto"/>
          <w:kern w:val="0"/>
          <w:szCs w:val="21"/>
          <w:highlight w:val="none"/>
        </w:rPr>
        <w:t>；</w:t>
      </w:r>
      <w:r>
        <w:rPr>
          <w:rFonts w:ascii="宋体" w:hAnsi="宋体" w:cs="Tahoma"/>
          <w:color w:val="auto"/>
          <w:kern w:val="0"/>
          <w:szCs w:val="21"/>
          <w:highlight w:val="none"/>
        </w:rPr>
        <w:t>剧毒、易燃易爆物品及施工动火必须有专人负责管理</w:t>
      </w:r>
      <w:r>
        <w:rPr>
          <w:rFonts w:hint="eastAsia" w:ascii="宋体" w:hAnsi="宋体" w:cs="Tahoma"/>
          <w:color w:val="auto"/>
          <w:kern w:val="0"/>
          <w:szCs w:val="21"/>
          <w:highlight w:val="none"/>
        </w:rPr>
        <w:t>，并在施工前做好上报及备案工作。</w:t>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第</w:t>
      </w:r>
      <w:r>
        <w:rPr>
          <w:rFonts w:hint="eastAsia" w:ascii="宋体" w:hAnsi="宋体" w:cs="Tahoma"/>
          <w:color w:val="auto"/>
          <w:kern w:val="0"/>
          <w:szCs w:val="21"/>
          <w:highlight w:val="none"/>
        </w:rPr>
        <w:t>八</w:t>
      </w:r>
      <w:r>
        <w:rPr>
          <w:rFonts w:ascii="宋体" w:hAnsi="宋体" w:cs="Tahoma"/>
          <w:color w:val="auto"/>
          <w:kern w:val="0"/>
          <w:szCs w:val="21"/>
          <w:highlight w:val="none"/>
        </w:rPr>
        <w:t>条</w:t>
      </w:r>
      <w:r>
        <w:rPr>
          <w:rFonts w:hint="eastAsia" w:ascii="宋体" w:hAnsi="宋体" w:cs="Tahoma"/>
          <w:color w:val="auto"/>
          <w:kern w:val="0"/>
          <w:szCs w:val="21"/>
          <w:highlight w:val="none"/>
        </w:rPr>
        <w:t>施工期间，乙方应</w:t>
      </w:r>
      <w:r>
        <w:rPr>
          <w:rFonts w:ascii="宋体" w:hAnsi="宋体" w:cs="Tahoma"/>
          <w:color w:val="auto"/>
          <w:kern w:val="0"/>
          <w:szCs w:val="21"/>
          <w:highlight w:val="none"/>
        </w:rPr>
        <w:t>禁闲杂人员进入施工现场</w:t>
      </w:r>
      <w:r>
        <w:rPr>
          <w:rFonts w:hint="eastAsia" w:ascii="宋体" w:hAnsi="宋体" w:cs="Tahoma"/>
          <w:color w:val="auto"/>
          <w:kern w:val="0"/>
          <w:szCs w:val="21"/>
          <w:highlight w:val="none"/>
        </w:rPr>
        <w:t>，</w:t>
      </w:r>
      <w:r>
        <w:rPr>
          <w:rFonts w:ascii="宋体" w:hAnsi="宋体" w:cs="Tahoma"/>
          <w:color w:val="auto"/>
          <w:kern w:val="0"/>
          <w:szCs w:val="21"/>
          <w:highlight w:val="none"/>
        </w:rPr>
        <w:t>进入施工现场须</w:t>
      </w:r>
      <w:r>
        <w:rPr>
          <w:rFonts w:hint="eastAsia" w:ascii="宋体" w:hAnsi="宋体" w:cs="Tahoma"/>
          <w:color w:val="auto"/>
          <w:kern w:val="0"/>
          <w:szCs w:val="21"/>
          <w:highlight w:val="none"/>
        </w:rPr>
        <w:t>做好防护措施，</w:t>
      </w:r>
      <w:r>
        <w:rPr>
          <w:rFonts w:ascii="宋体" w:hAnsi="宋体" w:cs="Tahoma"/>
          <w:color w:val="auto"/>
          <w:kern w:val="0"/>
          <w:szCs w:val="21"/>
          <w:highlight w:val="none"/>
        </w:rPr>
        <w:t>高空作业必须系好安全带，严禁工人酒后上岗</w:t>
      </w:r>
      <w:r>
        <w:rPr>
          <w:rFonts w:hint="eastAsia" w:ascii="宋体" w:hAnsi="宋体" w:cs="Tahoma"/>
          <w:color w:val="auto"/>
          <w:kern w:val="0"/>
          <w:szCs w:val="21"/>
          <w:highlight w:val="none"/>
        </w:rPr>
        <w:t>，</w:t>
      </w:r>
      <w:r>
        <w:rPr>
          <w:rFonts w:ascii="宋体" w:hAnsi="宋体" w:cs="Tahoma"/>
          <w:color w:val="auto"/>
          <w:kern w:val="0"/>
          <w:szCs w:val="21"/>
          <w:highlight w:val="none"/>
        </w:rPr>
        <w:t>高处作业严禁向下抛掷物品。</w:t>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第</w:t>
      </w:r>
      <w:r>
        <w:rPr>
          <w:rFonts w:hint="eastAsia" w:ascii="宋体" w:hAnsi="宋体" w:cs="Tahoma"/>
          <w:color w:val="auto"/>
          <w:kern w:val="0"/>
          <w:szCs w:val="21"/>
          <w:highlight w:val="none"/>
        </w:rPr>
        <w:t>九</w:t>
      </w:r>
      <w:r>
        <w:rPr>
          <w:rFonts w:ascii="宋体" w:hAnsi="宋体" w:cs="Tahoma"/>
          <w:color w:val="auto"/>
          <w:kern w:val="0"/>
          <w:szCs w:val="21"/>
          <w:highlight w:val="none"/>
        </w:rPr>
        <w:t>条</w:t>
      </w:r>
      <w:r>
        <w:rPr>
          <w:rFonts w:hint="eastAsia" w:ascii="宋体" w:hAnsi="宋体" w:cs="Tahoma"/>
          <w:color w:val="auto"/>
          <w:kern w:val="0"/>
          <w:szCs w:val="21"/>
          <w:highlight w:val="none"/>
        </w:rPr>
        <w:t>乙方</w:t>
      </w:r>
      <w:r>
        <w:rPr>
          <w:rFonts w:ascii="宋体" w:hAnsi="宋体" w:cs="Tahoma"/>
          <w:color w:val="auto"/>
          <w:kern w:val="0"/>
          <w:szCs w:val="21"/>
          <w:highlight w:val="none"/>
        </w:rPr>
        <w:t>脚手架、升降梯等大型机械安装必须有上级主管安全部门审批的施工方案，各种施工机械的合格证、检测证及安全防护装置齐全，杜绝发生高空坠物、土方坍塌等一切施工安全事故。</w:t>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第</w:t>
      </w:r>
      <w:r>
        <w:rPr>
          <w:rFonts w:hint="eastAsia" w:ascii="宋体" w:hAnsi="宋体" w:cs="Tahoma"/>
          <w:color w:val="auto"/>
          <w:kern w:val="0"/>
          <w:szCs w:val="21"/>
          <w:highlight w:val="none"/>
        </w:rPr>
        <w:t>十</w:t>
      </w:r>
      <w:r>
        <w:rPr>
          <w:rFonts w:ascii="宋体" w:hAnsi="宋体" w:cs="Tahoma"/>
          <w:color w:val="auto"/>
          <w:kern w:val="0"/>
          <w:szCs w:val="21"/>
          <w:highlight w:val="none"/>
        </w:rPr>
        <w:t>条</w:t>
      </w:r>
      <w:r>
        <w:rPr>
          <w:rFonts w:hint="eastAsia" w:ascii="宋体" w:hAnsi="宋体" w:cs="Tahoma"/>
          <w:color w:val="auto"/>
          <w:kern w:val="0"/>
          <w:szCs w:val="21"/>
          <w:highlight w:val="none"/>
        </w:rPr>
        <w:t>乙方</w:t>
      </w:r>
      <w:r>
        <w:rPr>
          <w:rFonts w:ascii="宋体" w:hAnsi="宋体" w:cs="Tahoma"/>
          <w:color w:val="auto"/>
          <w:kern w:val="0"/>
          <w:szCs w:val="21"/>
          <w:highlight w:val="none"/>
        </w:rPr>
        <w:t>工人</w:t>
      </w:r>
      <w:r>
        <w:rPr>
          <w:rFonts w:hint="eastAsia" w:ascii="宋体" w:hAnsi="宋体" w:cs="Tahoma"/>
          <w:color w:val="auto"/>
          <w:kern w:val="0"/>
          <w:szCs w:val="21"/>
          <w:highlight w:val="none"/>
        </w:rPr>
        <w:t>如有在校园内住宿</w:t>
      </w:r>
      <w:r>
        <w:rPr>
          <w:rFonts w:ascii="宋体" w:hAnsi="宋体" w:cs="Tahoma"/>
          <w:color w:val="auto"/>
          <w:kern w:val="0"/>
          <w:szCs w:val="21"/>
          <w:highlight w:val="none"/>
        </w:rPr>
        <w:t>必须</w:t>
      </w:r>
      <w:r>
        <w:rPr>
          <w:rFonts w:hint="eastAsia" w:ascii="宋体" w:hAnsi="宋体" w:cs="Tahoma"/>
          <w:color w:val="auto"/>
          <w:kern w:val="0"/>
          <w:szCs w:val="21"/>
          <w:highlight w:val="none"/>
        </w:rPr>
        <w:t>征得学校有关部门的同意，并办理完手续后方可入住，并保持</w:t>
      </w:r>
      <w:r>
        <w:rPr>
          <w:rFonts w:ascii="宋体" w:hAnsi="宋体" w:cs="Tahoma"/>
          <w:color w:val="auto"/>
          <w:kern w:val="0"/>
          <w:szCs w:val="21"/>
          <w:highlight w:val="none"/>
        </w:rPr>
        <w:t>干净整洁，认真执行</w:t>
      </w:r>
      <w:r>
        <w:rPr>
          <w:rFonts w:hint="eastAsia" w:ascii="宋体" w:hAnsi="宋体" w:cs="Tahoma"/>
          <w:color w:val="auto"/>
          <w:kern w:val="0"/>
          <w:szCs w:val="21"/>
          <w:highlight w:val="none"/>
        </w:rPr>
        <w:t>学校</w:t>
      </w:r>
      <w:r>
        <w:rPr>
          <w:rFonts w:ascii="宋体" w:hAnsi="宋体" w:cs="Tahoma"/>
          <w:color w:val="auto"/>
          <w:kern w:val="0"/>
          <w:szCs w:val="21"/>
          <w:highlight w:val="none"/>
        </w:rPr>
        <w:t>卫生</w:t>
      </w:r>
      <w:r>
        <w:rPr>
          <w:rFonts w:hint="eastAsia" w:ascii="宋体" w:hAnsi="宋体" w:cs="Tahoma"/>
          <w:color w:val="auto"/>
          <w:kern w:val="0"/>
          <w:szCs w:val="21"/>
          <w:highlight w:val="none"/>
        </w:rPr>
        <w:t>和</w:t>
      </w:r>
      <w:r>
        <w:rPr>
          <w:rFonts w:ascii="宋体" w:hAnsi="宋体" w:cs="Tahoma"/>
          <w:color w:val="auto"/>
          <w:kern w:val="0"/>
          <w:szCs w:val="21"/>
          <w:highlight w:val="none"/>
        </w:rPr>
        <w:t>安全的有关规定，严禁随意拉扯电线</w:t>
      </w:r>
      <w:r>
        <w:rPr>
          <w:rFonts w:hint="eastAsia" w:ascii="宋体" w:hAnsi="宋体" w:cs="Tahoma"/>
          <w:color w:val="auto"/>
          <w:kern w:val="0"/>
          <w:szCs w:val="21"/>
          <w:highlight w:val="none"/>
        </w:rPr>
        <w:t>和使用违禁电器，注意树立良好的施工单位形象。</w:t>
      </w:r>
      <w:r>
        <w:rPr>
          <w:rFonts w:ascii="宋体" w:hAnsi="宋体" w:cs="Tahoma"/>
          <w:color w:val="auto"/>
          <w:kern w:val="0"/>
          <w:szCs w:val="21"/>
          <w:highlight w:val="none"/>
        </w:rPr>
        <w:br w:type="textWrapping"/>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第十</w:t>
      </w:r>
      <w:r>
        <w:rPr>
          <w:rFonts w:hint="eastAsia" w:ascii="宋体" w:hAnsi="宋体" w:cs="Tahoma"/>
          <w:color w:val="auto"/>
          <w:kern w:val="0"/>
          <w:szCs w:val="21"/>
          <w:highlight w:val="none"/>
        </w:rPr>
        <w:t>一</w:t>
      </w:r>
      <w:r>
        <w:rPr>
          <w:rFonts w:ascii="宋体" w:hAnsi="宋体" w:cs="Tahoma"/>
          <w:color w:val="auto"/>
          <w:kern w:val="0"/>
          <w:szCs w:val="21"/>
          <w:highlight w:val="none"/>
        </w:rPr>
        <w:t>条</w:t>
      </w:r>
      <w:r>
        <w:rPr>
          <w:rFonts w:hint="eastAsia" w:ascii="宋体" w:hAnsi="宋体" w:cs="Tahoma"/>
          <w:color w:val="auto"/>
          <w:kern w:val="0"/>
          <w:szCs w:val="21"/>
          <w:highlight w:val="none"/>
        </w:rPr>
        <w:t>乙方在施工</w:t>
      </w:r>
      <w:r>
        <w:rPr>
          <w:rFonts w:ascii="宋体" w:hAnsi="宋体" w:cs="Tahoma"/>
          <w:color w:val="auto"/>
          <w:kern w:val="0"/>
          <w:szCs w:val="21"/>
          <w:highlight w:val="none"/>
        </w:rPr>
        <w:t>现场应有专</w:t>
      </w:r>
      <w:r>
        <w:rPr>
          <w:rFonts w:hint="eastAsia" w:ascii="宋体" w:hAnsi="宋体" w:cs="Tahoma"/>
          <w:color w:val="auto"/>
          <w:kern w:val="0"/>
          <w:szCs w:val="21"/>
          <w:highlight w:val="none"/>
        </w:rPr>
        <w:t>门</w:t>
      </w:r>
      <w:r>
        <w:rPr>
          <w:rFonts w:ascii="宋体" w:hAnsi="宋体" w:cs="Tahoma"/>
          <w:color w:val="auto"/>
          <w:kern w:val="0"/>
          <w:szCs w:val="21"/>
          <w:highlight w:val="none"/>
        </w:rPr>
        <w:t>负责安全、文明施工的管理人员，发现问题及时整改；对</w:t>
      </w:r>
      <w:r>
        <w:rPr>
          <w:rFonts w:hint="eastAsia" w:ascii="宋体" w:hAnsi="宋体" w:cs="Tahoma"/>
          <w:color w:val="auto"/>
          <w:kern w:val="0"/>
          <w:szCs w:val="21"/>
          <w:highlight w:val="none"/>
        </w:rPr>
        <w:t>甲方</w:t>
      </w:r>
      <w:r>
        <w:rPr>
          <w:rFonts w:ascii="宋体" w:hAnsi="宋体" w:cs="Tahoma"/>
          <w:color w:val="auto"/>
          <w:kern w:val="0"/>
          <w:szCs w:val="21"/>
          <w:highlight w:val="none"/>
        </w:rPr>
        <w:t>提出的其他有关安全、文明施工等方面问题必须积极配合，认真履行。</w:t>
      </w:r>
    </w:p>
    <w:p>
      <w:pPr>
        <w:spacing w:line="360" w:lineRule="auto"/>
        <w:ind w:firstLine="420" w:firstLineChars="200"/>
        <w:rPr>
          <w:rFonts w:ascii="宋体" w:hAnsi="宋体" w:cs="Tahoma"/>
          <w:color w:val="auto"/>
          <w:kern w:val="0"/>
          <w:szCs w:val="21"/>
          <w:highlight w:val="none"/>
        </w:rPr>
      </w:pPr>
      <w:r>
        <w:rPr>
          <w:rFonts w:hint="eastAsia" w:ascii="宋体" w:hAnsi="宋体" w:cs="Tahoma"/>
          <w:color w:val="auto"/>
          <w:kern w:val="0"/>
          <w:szCs w:val="21"/>
          <w:highlight w:val="none"/>
        </w:rPr>
        <w:t xml:space="preserve">第十二条  </w:t>
      </w:r>
      <w:r>
        <w:rPr>
          <w:rFonts w:hint="eastAsia" w:ascii="宋体" w:hAnsi="宋体" w:cs="Verdana"/>
          <w:color w:val="auto"/>
          <w:kern w:val="0"/>
          <w:szCs w:val="21"/>
          <w:highlight w:val="none"/>
        </w:rPr>
        <w:t>乙方</w:t>
      </w:r>
      <w:r>
        <w:rPr>
          <w:rFonts w:hint="eastAsia" w:ascii="宋体" w:hAnsi="宋体" w:cs="Tahoma"/>
          <w:color w:val="auto"/>
          <w:kern w:val="0"/>
          <w:szCs w:val="21"/>
          <w:highlight w:val="none"/>
        </w:rPr>
        <w:t>在施工期间，应严格遵守《建筑安装工程安全技术规程》、《建筑安装工人安全操作规程》、《中华人民共和国消防条例》和其他相关的法律、法规规定的其他条款。</w:t>
      </w:r>
    </w:p>
    <w:p>
      <w:pPr>
        <w:spacing w:line="360" w:lineRule="auto"/>
        <w:ind w:firstLine="420" w:firstLineChars="200"/>
        <w:rPr>
          <w:rFonts w:ascii="宋体" w:hAnsi="宋体" w:cs="Tahoma"/>
          <w:color w:val="auto"/>
          <w:kern w:val="0"/>
          <w:szCs w:val="21"/>
          <w:highlight w:val="none"/>
        </w:rPr>
      </w:pPr>
      <w:r>
        <w:rPr>
          <w:rFonts w:hint="eastAsia" w:ascii="宋体" w:hAnsi="宋体" w:cs="Tahoma"/>
          <w:color w:val="auto"/>
          <w:kern w:val="0"/>
          <w:szCs w:val="21"/>
          <w:highlight w:val="none"/>
        </w:rPr>
        <w:t>第十三条  乙方在施工生产过程中所导致的各类安全生产责任事故，乙方应承担由此引发的一切责任。</w:t>
      </w:r>
    </w:p>
    <w:tbl>
      <w:tblPr>
        <w:tblStyle w:val="21"/>
        <w:tblpPr w:leftFromText="180" w:rightFromText="180" w:vertAnchor="text" w:horzAnchor="page" w:tblpX="1802" w:tblpY="392"/>
        <w:tblOverlap w:val="never"/>
        <w:tblW w:w="0" w:type="auto"/>
        <w:tblInd w:w="0" w:type="dxa"/>
        <w:tblLayout w:type="autofit"/>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trHeight w:val="1235" w:hRule="atLeast"/>
        </w:trPr>
        <w:tc>
          <w:tcPr>
            <w:tcW w:w="4264" w:type="dxa"/>
          </w:tcPr>
          <w:p>
            <w:pPr>
              <w:spacing w:line="360" w:lineRule="auto"/>
              <w:rPr>
                <w:b/>
                <w:bCs/>
                <w:color w:val="auto"/>
                <w:kern w:val="0"/>
                <w:sz w:val="22"/>
                <w:szCs w:val="22"/>
                <w:highlight w:val="none"/>
              </w:rPr>
            </w:pPr>
            <w:r>
              <w:rPr>
                <w:b/>
                <w:bCs/>
                <w:color w:val="auto"/>
                <w:kern w:val="0"/>
                <w:sz w:val="22"/>
                <w:szCs w:val="22"/>
                <w:highlight w:val="none"/>
              </w:rPr>
              <w:t>甲方（公章）：浙江理工大学</w:t>
            </w:r>
          </w:p>
        </w:tc>
        <w:tc>
          <w:tcPr>
            <w:tcW w:w="4264" w:type="dxa"/>
          </w:tcPr>
          <w:p>
            <w:pPr>
              <w:spacing w:line="360" w:lineRule="auto"/>
              <w:rPr>
                <w:b/>
                <w:bCs/>
                <w:color w:val="auto"/>
                <w:kern w:val="0"/>
                <w:sz w:val="22"/>
                <w:szCs w:val="22"/>
                <w:highlight w:val="none"/>
              </w:rPr>
            </w:pPr>
            <w:r>
              <w:rPr>
                <w:b/>
                <w:bCs/>
                <w:color w:val="auto"/>
                <w:kern w:val="0"/>
                <w:sz w:val="22"/>
                <w:szCs w:val="22"/>
                <w:highlight w:val="none"/>
              </w:rPr>
              <w:t>乙方（公章）：</w:t>
            </w:r>
          </w:p>
        </w:tc>
      </w:tr>
      <w:tr>
        <w:tblPrEx>
          <w:tblCellMar>
            <w:top w:w="0" w:type="dxa"/>
            <w:left w:w="108" w:type="dxa"/>
            <w:bottom w:w="0" w:type="dxa"/>
            <w:right w:w="108" w:type="dxa"/>
          </w:tblCellMar>
        </w:tblPrEx>
        <w:tc>
          <w:tcPr>
            <w:tcW w:w="4264" w:type="dxa"/>
          </w:tcPr>
          <w:p>
            <w:pPr>
              <w:spacing w:line="360" w:lineRule="auto"/>
              <w:rPr>
                <w:color w:val="auto"/>
                <w:szCs w:val="21"/>
                <w:highlight w:val="none"/>
              </w:rPr>
            </w:pPr>
            <w:r>
              <w:rPr>
                <w:color w:val="auto"/>
                <w:szCs w:val="21"/>
                <w:highlight w:val="none"/>
              </w:rPr>
              <w:t>法定代表人或其委托代理人</w:t>
            </w:r>
          </w:p>
          <w:p>
            <w:pPr>
              <w:spacing w:line="360" w:lineRule="auto"/>
              <w:rPr>
                <w:color w:val="auto"/>
                <w:kern w:val="0"/>
                <w:szCs w:val="21"/>
                <w:highlight w:val="none"/>
              </w:rPr>
            </w:pPr>
            <w:r>
              <w:rPr>
                <w:color w:val="auto"/>
                <w:szCs w:val="21"/>
                <w:highlight w:val="none"/>
              </w:rPr>
              <w:t>（签字）</w:t>
            </w:r>
            <w:r>
              <w:rPr>
                <w:color w:val="auto"/>
                <w:kern w:val="0"/>
                <w:szCs w:val="21"/>
                <w:highlight w:val="none"/>
              </w:rPr>
              <w:t xml:space="preserve">：     </w:t>
            </w:r>
          </w:p>
        </w:tc>
        <w:tc>
          <w:tcPr>
            <w:tcW w:w="4264" w:type="dxa"/>
          </w:tcPr>
          <w:p>
            <w:pPr>
              <w:spacing w:line="360" w:lineRule="auto"/>
              <w:rPr>
                <w:color w:val="auto"/>
                <w:szCs w:val="21"/>
                <w:highlight w:val="none"/>
              </w:rPr>
            </w:pPr>
            <w:r>
              <w:rPr>
                <w:color w:val="auto"/>
                <w:szCs w:val="21"/>
                <w:highlight w:val="none"/>
              </w:rPr>
              <w:t>法定代表人或其委托代理人</w:t>
            </w:r>
          </w:p>
          <w:p>
            <w:pPr>
              <w:spacing w:line="360" w:lineRule="auto"/>
              <w:rPr>
                <w:color w:val="auto"/>
                <w:kern w:val="0"/>
                <w:szCs w:val="21"/>
                <w:highlight w:val="none"/>
              </w:rPr>
            </w:pPr>
            <w:r>
              <w:rPr>
                <w:color w:val="auto"/>
                <w:szCs w:val="21"/>
                <w:highlight w:val="none"/>
              </w:rPr>
              <w:t>（签字）</w:t>
            </w:r>
            <w:r>
              <w:rPr>
                <w:color w:val="auto"/>
                <w:kern w:val="0"/>
                <w:szCs w:val="21"/>
                <w:highlight w:val="none"/>
              </w:rPr>
              <w:t xml:space="preserve">：      </w:t>
            </w:r>
          </w:p>
        </w:tc>
      </w:tr>
      <w:tr>
        <w:tblPrEx>
          <w:tblCellMar>
            <w:top w:w="0" w:type="dxa"/>
            <w:left w:w="108" w:type="dxa"/>
            <w:bottom w:w="0" w:type="dxa"/>
            <w:right w:w="108" w:type="dxa"/>
          </w:tblCellMar>
        </w:tblPrEx>
        <w:tc>
          <w:tcPr>
            <w:tcW w:w="4264" w:type="dxa"/>
          </w:tcPr>
          <w:p>
            <w:pPr>
              <w:spacing w:line="360" w:lineRule="auto"/>
              <w:rPr>
                <w:color w:val="auto"/>
                <w:kern w:val="0"/>
                <w:szCs w:val="21"/>
                <w:highlight w:val="none"/>
              </w:rPr>
            </w:pPr>
            <w:r>
              <w:rPr>
                <w:color w:val="auto"/>
                <w:kern w:val="0"/>
                <w:szCs w:val="21"/>
                <w:highlight w:val="none"/>
              </w:rPr>
              <w:t>日期：</w:t>
            </w:r>
            <w:r>
              <w:rPr>
                <w:rFonts w:hint="eastAsia"/>
                <w:color w:val="auto"/>
                <w:kern w:val="0"/>
                <w:szCs w:val="21"/>
                <w:highlight w:val="none"/>
                <w:lang w:val="en-US" w:eastAsia="zh-CN"/>
              </w:rPr>
              <w:t>2024</w:t>
            </w:r>
            <w:r>
              <w:rPr>
                <w:color w:val="auto"/>
                <w:kern w:val="0"/>
                <w:szCs w:val="21"/>
                <w:highlight w:val="none"/>
              </w:rPr>
              <w:t xml:space="preserve">年   月  日                            </w:t>
            </w:r>
          </w:p>
        </w:tc>
        <w:tc>
          <w:tcPr>
            <w:tcW w:w="4264" w:type="dxa"/>
          </w:tcPr>
          <w:p>
            <w:pPr>
              <w:spacing w:line="360" w:lineRule="auto"/>
              <w:rPr>
                <w:color w:val="auto"/>
                <w:kern w:val="0"/>
                <w:szCs w:val="21"/>
                <w:highlight w:val="none"/>
              </w:rPr>
            </w:pPr>
            <w:r>
              <w:rPr>
                <w:color w:val="auto"/>
                <w:kern w:val="0"/>
                <w:szCs w:val="21"/>
                <w:highlight w:val="none"/>
              </w:rPr>
              <w:t>日期：</w:t>
            </w:r>
            <w:r>
              <w:rPr>
                <w:rFonts w:hint="eastAsia"/>
                <w:color w:val="auto"/>
                <w:kern w:val="0"/>
                <w:szCs w:val="21"/>
                <w:highlight w:val="none"/>
                <w:lang w:val="en-US" w:eastAsia="zh-CN"/>
              </w:rPr>
              <w:t>2024</w:t>
            </w:r>
            <w:r>
              <w:rPr>
                <w:color w:val="auto"/>
                <w:kern w:val="0"/>
                <w:szCs w:val="21"/>
                <w:highlight w:val="none"/>
              </w:rPr>
              <w:t>年   月  日</w:t>
            </w:r>
          </w:p>
        </w:tc>
      </w:tr>
    </w:tbl>
    <w:p>
      <w:pPr>
        <w:pStyle w:val="669"/>
        <w:tabs>
          <w:tab w:val="left" w:pos="5020"/>
        </w:tabs>
        <w:snapToGrid w:val="0"/>
        <w:spacing w:line="360" w:lineRule="auto"/>
        <w:ind w:left="0" w:right="7"/>
        <w:rPr>
          <w:rFonts w:hint="eastAsia" w:ascii="宋体" w:hAnsi="宋体" w:eastAsia="宋体" w:cs="Tahoma"/>
          <w:color w:val="auto"/>
          <w:kern w:val="0"/>
          <w:sz w:val="21"/>
          <w:szCs w:val="21"/>
          <w:highlight w:val="none"/>
        </w:rPr>
      </w:pPr>
      <w:r>
        <w:rPr>
          <w:rFonts w:ascii="宋体" w:hAnsi="宋体" w:cs="Tahoma"/>
          <w:color w:val="auto"/>
          <w:kern w:val="0"/>
          <w:szCs w:val="21"/>
          <w:highlight w:val="none"/>
        </w:rPr>
        <w:br w:type="textWrapping"/>
      </w:r>
      <w:r>
        <w:rPr>
          <w:rFonts w:ascii="宋体" w:hAnsi="宋体" w:cs="Tahoma"/>
          <w:color w:val="auto"/>
          <w:kern w:val="0"/>
          <w:szCs w:val="21"/>
          <w:highlight w:val="none"/>
        </w:rPr>
        <w:br w:type="textWrapping"/>
      </w: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spacing w:line="360" w:lineRule="auto"/>
        <w:ind w:firstLine="420" w:firstLineChars="200"/>
        <w:rPr>
          <w:rFonts w:ascii="宋体" w:hAnsi="宋体" w:cs="Tahoma"/>
          <w:color w:val="auto"/>
          <w:kern w:val="0"/>
          <w:szCs w:val="21"/>
          <w:highlight w:val="none"/>
        </w:rPr>
      </w:pPr>
    </w:p>
    <w:p>
      <w:pPr>
        <w:pStyle w:val="4"/>
        <w:jc w:val="center"/>
        <w:rPr>
          <w:rFonts w:hint="eastAsia" w:ascii="宋体" w:hAnsi="宋体" w:eastAsia="宋体" w:cs="Tahoma"/>
          <w:color w:val="auto"/>
          <w:kern w:val="0"/>
          <w:sz w:val="21"/>
          <w:szCs w:val="21"/>
          <w:highlight w:val="none"/>
          <w:u w:val="none"/>
        </w:rPr>
      </w:pPr>
      <w:r>
        <w:rPr>
          <w:rFonts w:hint="eastAsia" w:ascii="宋体" w:hAnsi="宋体" w:eastAsia="宋体" w:cs="Tahoma"/>
          <w:color w:val="auto"/>
          <w:kern w:val="0"/>
          <w:sz w:val="32"/>
          <w:szCs w:val="32"/>
          <w:highlight w:val="none"/>
        </w:rPr>
        <w:t>工程项目廉政责任书</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甲方：浙江理工大学            （以下简称甲方）</w:t>
      </w:r>
    </w:p>
    <w:p>
      <w:pPr>
        <w:snapToGrid w:val="0"/>
        <w:spacing w:line="360" w:lineRule="auto"/>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u w:val="none"/>
        </w:rPr>
        <w:t xml:space="preserve"> </w:t>
      </w:r>
    </w:p>
    <w:p>
      <w:pPr>
        <w:spacing w:line="360" w:lineRule="auto"/>
        <w:rPr>
          <w:rFonts w:ascii="宋体" w:hAnsi="宋体" w:cs="Tahoma"/>
          <w:color w:val="auto"/>
          <w:kern w:val="0"/>
          <w:szCs w:val="21"/>
          <w:highlight w:val="none"/>
        </w:rPr>
      </w:pPr>
      <w:r>
        <w:rPr>
          <w:rFonts w:hint="eastAsia" w:ascii="宋体" w:hAnsi="宋体" w:cs="Tahoma"/>
          <w:color w:val="auto"/>
          <w:kern w:val="0"/>
          <w:szCs w:val="21"/>
          <w:highlight w:val="none"/>
        </w:rPr>
        <w:t>乙方：                        （以下简称乙方）</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为加强工程建设中的廉政建设，规范工程建设项目承包人(乙方)，发包人(甲方)双方的各项活动，防止发生各种谋取不正当利益的违法违纪行为，保护国家、集体和当事人的合法权益，根据国家有关工程建设的法律法规和廉政建设责任制规定，特订立本廉政责任书。</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第一条  甲乙双方的责任</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1、应严格遵守国家关于市场准入、项目招标投标、工程建设、施工安装和市场活动等有关法律、法规，相关政策，以及廉政建设的各项规定。</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2、严格执行建设工程项目承发包合同文件，自觉按合同办事。</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3、业务活动必须坚持公开、公平、公正、诚信、透明的原则（除法律法规另有规定者外），不得为获取不正当的利益，损害国家、集团和对方利益，不得违反工程建设管理、施工安装的规章制度。</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4、发现对方在业务活动中有违规、违纪、违法行为的，应及时提醒对方，情节严重的，应向其上级主管部门或纪检监察、司法等有关机关举报。</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第二条  甲方的责任</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甲方的领导和从事该建设工程项目的工作人员，在工程建设的事前、事中、事后应遵守以下规定：</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1、不准向乙方和相关单位索要或接受回扣、礼金、有价证券、贵重物品和好处费、感谢费等。</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2、不准在乙方和相关单位报销任何应由甲方或个人支付的费用。</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3、不准要求、暗示和接受乙方和相关单位为个人装修住房、婚丧嫁娶、配偶子女的工作安排以及出国（境）、旅游等提供方便。</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4、不准参加有可能影响公正执行公务的丙方和相关单位的宴请和健身、娱乐等活动。</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5、不准向乙方介绍或为配偶、子女、亲属参与同甲方项目工程施工合同有关的设备、材料、工程分包、劳务等经济活动。不得以任何理由向丙方和相关单位推荐分包单位和要求乙方购买项目工程施工合同规定以外的材料、设备等。</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第三条  乙方的责任</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应当与甲方保持正常的业务交往，按照有关法律法规和程序开展业务工作，严格执行工程建设的有关方针、政策，尤其是有关建筑施工安装的强制性标准和规范，并遵守以下规定：</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1、不准以任何理由向甲方，相关单位及其工作人员索要、接受或赠送礼金、有价证券、贵重物品和回扣、好处费、感谢费等。</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2、不准以任何理由为甲方和相关单位报销应由对方或个人支付的费用。</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3、不准接受或暗示为甲方，相关单位或个人装修住房、婚丧嫁娶、配偶子女的工作安排以及出国（境）、旅游等提供方便。</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4、不准以任何理由为甲方，相关单位或个人组织有可能影响公正执行公务的宴请、健身、娱乐等活动。</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第四条  违约责任</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1、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2、乙方工作人员有违反本责任书第一、三条责任行为的，按照管理权限，依据有关法律法规和规定给予党纪、政纪处分或组织处理；涉嫌犯罪的，移交司法机关追究刑事责任；给乙方单位造成经济损失的，应予以赔偿。</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第五条  本责任书作为工程施工合同的附件，与工程施工合同具有同等法律效力。经甲乙双方签署后立即生效。</w:t>
      </w:r>
    </w:p>
    <w:p>
      <w:pPr>
        <w:snapToGrid/>
        <w:spacing w:line="360" w:lineRule="auto"/>
        <w:ind w:firstLine="420" w:firstLineChars="200"/>
        <w:rPr>
          <w:rFonts w:hint="eastAsia" w:ascii="宋体" w:hAnsi="宋体" w:eastAsia="宋体" w:cs="Tahoma"/>
          <w:color w:val="auto"/>
          <w:kern w:val="0"/>
          <w:sz w:val="21"/>
          <w:szCs w:val="21"/>
          <w:highlight w:val="none"/>
        </w:rPr>
      </w:pPr>
      <w:r>
        <w:rPr>
          <w:rFonts w:hint="eastAsia" w:ascii="宋体" w:hAnsi="宋体" w:eastAsia="宋体" w:cs="Tahoma"/>
          <w:color w:val="auto"/>
          <w:kern w:val="0"/>
          <w:sz w:val="21"/>
          <w:szCs w:val="21"/>
          <w:highlight w:val="none"/>
        </w:rPr>
        <w:t>第六条  本责任书的有效期为双方签署之日起至该工程项目竣工验收合格时止。</w:t>
      </w:r>
    </w:p>
    <w:p>
      <w:pPr>
        <w:snapToGrid w:val="0"/>
        <w:spacing w:line="360" w:lineRule="auto"/>
        <w:ind w:firstLine="600"/>
        <w:rPr>
          <w:rFonts w:hint="eastAsia" w:ascii="宋体" w:hAnsi="宋体" w:eastAsia="宋体" w:cs="Tahoma"/>
          <w:color w:val="auto"/>
          <w:kern w:val="0"/>
          <w:sz w:val="21"/>
          <w:szCs w:val="21"/>
          <w:highlight w:val="none"/>
        </w:rPr>
      </w:pPr>
    </w:p>
    <w:tbl>
      <w:tblPr>
        <w:tblStyle w:val="21"/>
        <w:tblpPr w:leftFromText="180" w:rightFromText="180" w:vertAnchor="text" w:horzAnchor="page" w:tblpX="1802" w:tblpY="392"/>
        <w:tblOverlap w:val="never"/>
        <w:tblW w:w="0" w:type="auto"/>
        <w:tblInd w:w="0" w:type="dxa"/>
        <w:tblLayout w:type="autofit"/>
        <w:tblCellMar>
          <w:top w:w="0" w:type="dxa"/>
          <w:left w:w="108" w:type="dxa"/>
          <w:bottom w:w="0" w:type="dxa"/>
          <w:right w:w="108" w:type="dxa"/>
        </w:tblCellMar>
      </w:tblPr>
      <w:tblGrid>
        <w:gridCol w:w="4264"/>
        <w:gridCol w:w="4264"/>
      </w:tblGrid>
      <w:tr>
        <w:trPr>
          <w:trHeight w:val="1235" w:hRule="atLeast"/>
        </w:trPr>
        <w:tc>
          <w:tcPr>
            <w:tcW w:w="4264" w:type="dxa"/>
          </w:tcPr>
          <w:p>
            <w:pPr>
              <w:spacing w:line="360" w:lineRule="auto"/>
              <w:rPr>
                <w:b/>
                <w:bCs/>
                <w:color w:val="auto"/>
                <w:kern w:val="0"/>
                <w:sz w:val="22"/>
                <w:szCs w:val="22"/>
                <w:highlight w:val="none"/>
              </w:rPr>
            </w:pPr>
            <w:r>
              <w:rPr>
                <w:b/>
                <w:bCs/>
                <w:color w:val="auto"/>
                <w:kern w:val="0"/>
                <w:sz w:val="22"/>
                <w:szCs w:val="22"/>
                <w:highlight w:val="none"/>
              </w:rPr>
              <w:t>甲方（公章）：浙江理工大学</w:t>
            </w:r>
          </w:p>
        </w:tc>
        <w:tc>
          <w:tcPr>
            <w:tcW w:w="4264" w:type="dxa"/>
          </w:tcPr>
          <w:p>
            <w:pPr>
              <w:spacing w:line="360" w:lineRule="auto"/>
              <w:rPr>
                <w:b/>
                <w:bCs/>
                <w:color w:val="auto"/>
                <w:kern w:val="0"/>
                <w:sz w:val="22"/>
                <w:szCs w:val="22"/>
                <w:highlight w:val="none"/>
              </w:rPr>
            </w:pPr>
            <w:r>
              <w:rPr>
                <w:b/>
                <w:bCs/>
                <w:color w:val="auto"/>
                <w:kern w:val="0"/>
                <w:sz w:val="22"/>
                <w:szCs w:val="22"/>
                <w:highlight w:val="none"/>
              </w:rPr>
              <w:t>乙方（公章）：</w:t>
            </w:r>
          </w:p>
        </w:tc>
      </w:tr>
      <w:tr>
        <w:tblPrEx>
          <w:tblCellMar>
            <w:top w:w="0" w:type="dxa"/>
            <w:left w:w="108" w:type="dxa"/>
            <w:bottom w:w="0" w:type="dxa"/>
            <w:right w:w="108" w:type="dxa"/>
          </w:tblCellMar>
        </w:tblPrEx>
        <w:tc>
          <w:tcPr>
            <w:tcW w:w="4264" w:type="dxa"/>
          </w:tcPr>
          <w:p>
            <w:pPr>
              <w:spacing w:line="360" w:lineRule="auto"/>
              <w:rPr>
                <w:color w:val="auto"/>
                <w:szCs w:val="21"/>
                <w:highlight w:val="none"/>
              </w:rPr>
            </w:pPr>
            <w:r>
              <w:rPr>
                <w:color w:val="auto"/>
                <w:szCs w:val="21"/>
                <w:highlight w:val="none"/>
              </w:rPr>
              <w:t>法定代表人或其委托代理人</w:t>
            </w:r>
          </w:p>
          <w:p>
            <w:pPr>
              <w:spacing w:line="360" w:lineRule="auto"/>
              <w:rPr>
                <w:color w:val="auto"/>
                <w:kern w:val="0"/>
                <w:szCs w:val="21"/>
                <w:highlight w:val="none"/>
              </w:rPr>
            </w:pPr>
            <w:r>
              <w:rPr>
                <w:color w:val="auto"/>
                <w:szCs w:val="21"/>
                <w:highlight w:val="none"/>
              </w:rPr>
              <w:t>（签字）</w:t>
            </w:r>
            <w:r>
              <w:rPr>
                <w:color w:val="auto"/>
                <w:kern w:val="0"/>
                <w:szCs w:val="21"/>
                <w:highlight w:val="none"/>
              </w:rPr>
              <w:t xml:space="preserve">：     </w:t>
            </w:r>
          </w:p>
        </w:tc>
        <w:tc>
          <w:tcPr>
            <w:tcW w:w="4264" w:type="dxa"/>
          </w:tcPr>
          <w:p>
            <w:pPr>
              <w:spacing w:line="360" w:lineRule="auto"/>
              <w:rPr>
                <w:color w:val="auto"/>
                <w:szCs w:val="21"/>
                <w:highlight w:val="none"/>
              </w:rPr>
            </w:pPr>
            <w:r>
              <w:rPr>
                <w:color w:val="auto"/>
                <w:szCs w:val="21"/>
                <w:highlight w:val="none"/>
              </w:rPr>
              <w:t>法定代表人或其委托代理人</w:t>
            </w:r>
          </w:p>
          <w:p>
            <w:pPr>
              <w:spacing w:line="360" w:lineRule="auto"/>
              <w:rPr>
                <w:color w:val="auto"/>
                <w:kern w:val="0"/>
                <w:szCs w:val="21"/>
                <w:highlight w:val="none"/>
              </w:rPr>
            </w:pPr>
            <w:r>
              <w:rPr>
                <w:color w:val="auto"/>
                <w:szCs w:val="21"/>
                <w:highlight w:val="none"/>
              </w:rPr>
              <w:t>（签字）</w:t>
            </w:r>
            <w:r>
              <w:rPr>
                <w:color w:val="auto"/>
                <w:kern w:val="0"/>
                <w:szCs w:val="21"/>
                <w:highlight w:val="none"/>
              </w:rPr>
              <w:t xml:space="preserve">：      </w:t>
            </w:r>
          </w:p>
        </w:tc>
      </w:tr>
      <w:tr>
        <w:tblPrEx>
          <w:tblCellMar>
            <w:top w:w="0" w:type="dxa"/>
            <w:left w:w="108" w:type="dxa"/>
            <w:bottom w:w="0" w:type="dxa"/>
            <w:right w:w="108" w:type="dxa"/>
          </w:tblCellMar>
        </w:tblPrEx>
        <w:tc>
          <w:tcPr>
            <w:tcW w:w="4264" w:type="dxa"/>
          </w:tcPr>
          <w:p>
            <w:pPr>
              <w:spacing w:line="360" w:lineRule="auto"/>
              <w:rPr>
                <w:color w:val="auto"/>
                <w:kern w:val="0"/>
                <w:szCs w:val="21"/>
                <w:highlight w:val="none"/>
              </w:rPr>
            </w:pPr>
            <w:r>
              <w:rPr>
                <w:color w:val="auto"/>
                <w:kern w:val="0"/>
                <w:szCs w:val="21"/>
                <w:highlight w:val="none"/>
              </w:rPr>
              <w:t>日期：</w:t>
            </w:r>
            <w:r>
              <w:rPr>
                <w:rFonts w:hint="eastAsia"/>
                <w:color w:val="auto"/>
                <w:kern w:val="0"/>
                <w:szCs w:val="21"/>
                <w:highlight w:val="none"/>
                <w:lang w:val="en-US" w:eastAsia="zh-CN"/>
              </w:rPr>
              <w:t>2024</w:t>
            </w:r>
            <w:r>
              <w:rPr>
                <w:color w:val="auto"/>
                <w:kern w:val="0"/>
                <w:szCs w:val="21"/>
                <w:highlight w:val="none"/>
              </w:rPr>
              <w:t xml:space="preserve">年   月  日                            </w:t>
            </w:r>
          </w:p>
        </w:tc>
        <w:tc>
          <w:tcPr>
            <w:tcW w:w="4264" w:type="dxa"/>
          </w:tcPr>
          <w:p>
            <w:pPr>
              <w:spacing w:line="360" w:lineRule="auto"/>
              <w:rPr>
                <w:color w:val="auto"/>
                <w:kern w:val="0"/>
                <w:szCs w:val="21"/>
                <w:highlight w:val="none"/>
              </w:rPr>
            </w:pPr>
            <w:r>
              <w:rPr>
                <w:color w:val="auto"/>
                <w:kern w:val="0"/>
                <w:szCs w:val="21"/>
                <w:highlight w:val="none"/>
              </w:rPr>
              <w:t>日期：</w:t>
            </w:r>
            <w:r>
              <w:rPr>
                <w:rFonts w:hint="eastAsia"/>
                <w:color w:val="auto"/>
                <w:kern w:val="0"/>
                <w:szCs w:val="21"/>
                <w:highlight w:val="none"/>
                <w:lang w:val="en-US" w:eastAsia="zh-CN"/>
              </w:rPr>
              <w:t>2024</w:t>
            </w:r>
            <w:r>
              <w:rPr>
                <w:color w:val="auto"/>
                <w:kern w:val="0"/>
                <w:szCs w:val="21"/>
                <w:highlight w:val="none"/>
              </w:rPr>
              <w:t>年   月  日</w:t>
            </w:r>
          </w:p>
        </w:tc>
      </w:tr>
    </w:tbl>
    <w:p>
      <w:pPr>
        <w:rPr>
          <w:rFonts w:ascii="宋体" w:hAnsi="宋体"/>
          <w:color w:val="auto"/>
          <w:highlight w:val="none"/>
        </w:rPr>
      </w:pPr>
    </w:p>
    <w:p>
      <w:pPr>
        <w:rPr>
          <w:b/>
          <w:color w:val="auto"/>
          <w:sz w:val="72"/>
          <w:szCs w:val="72"/>
          <w:highlight w:val="none"/>
        </w:rPr>
      </w:pPr>
    </w:p>
    <w:p>
      <w:pPr>
        <w:pStyle w:val="31"/>
        <w:snapToGrid w:val="0"/>
        <w:rPr>
          <w:rStyle w:val="41"/>
          <w:rFonts w:ascii="宋体" w:hAnsi="宋体"/>
          <w:color w:val="auto"/>
          <w:kern w:val="0"/>
          <w:szCs w:val="21"/>
          <w:highlight w:val="none"/>
        </w:rPr>
      </w:pPr>
      <w:r>
        <w:rPr>
          <w:rFonts w:hint="eastAsia" w:ascii="宋体" w:hAnsi="宋体" w:cs="宋体"/>
          <w:color w:val="auto"/>
          <w:highlight w:val="none"/>
        </w:rPr>
        <w:br w:type="page"/>
      </w:r>
    </w:p>
    <w:p>
      <w:pPr>
        <w:pStyle w:val="32"/>
        <w:snapToGrid w:val="0"/>
        <w:outlineLvl w:val="0"/>
        <w:rPr>
          <w:rStyle w:val="41"/>
          <w:rFonts w:ascii="宋体" w:hAnsi="宋体"/>
          <w:color w:val="auto"/>
          <w:kern w:val="0"/>
          <w:szCs w:val="21"/>
          <w:highlight w:val="none"/>
        </w:rPr>
      </w:pPr>
      <w:bookmarkStart w:id="799" w:name="_Toc14935"/>
      <w:r>
        <w:rPr>
          <w:rStyle w:val="41"/>
          <w:rFonts w:ascii="宋体" w:hAnsi="宋体"/>
          <w:color w:val="auto"/>
          <w:highlight w:val="none"/>
        </w:rPr>
        <w:t>第五章  供应商须知前附表</w:t>
      </w:r>
      <w:bookmarkEnd w:id="799"/>
    </w:p>
    <w:tbl>
      <w:tblPr>
        <w:tblStyle w:val="21"/>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134"/>
        <w:gridCol w:w="6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供应商须知条款号</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名称</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采购人</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0" w:firstLineChars="0"/>
              <w:rPr>
                <w:rStyle w:val="41"/>
                <w:rFonts w:ascii="宋体" w:hAnsi="宋体"/>
                <w:color w:val="auto"/>
                <w:highlight w:val="none"/>
              </w:rPr>
            </w:pPr>
            <w:r>
              <w:rPr>
                <w:rStyle w:val="41"/>
                <w:rFonts w:ascii="宋体" w:hAnsi="宋体"/>
                <w:color w:val="auto"/>
                <w:highlight w:val="none"/>
              </w:rPr>
              <w:t xml:space="preserve">采购人名称：浙江理工大学 </w:t>
            </w:r>
          </w:p>
          <w:p>
            <w:pPr>
              <w:snapToGrid w:val="0"/>
              <w:spacing w:line="360" w:lineRule="exact"/>
              <w:jc w:val="left"/>
              <w:rPr>
                <w:rStyle w:val="41"/>
                <w:rFonts w:ascii="宋体" w:hAnsi="宋体"/>
                <w:color w:val="auto"/>
                <w:kern w:val="0"/>
                <w:szCs w:val="21"/>
                <w:highlight w:val="none"/>
              </w:rPr>
            </w:pPr>
            <w:r>
              <w:rPr>
                <w:rStyle w:val="41"/>
                <w:rFonts w:ascii="宋体" w:hAnsi="宋体"/>
                <w:color w:val="auto"/>
                <w:kern w:val="0"/>
                <w:szCs w:val="21"/>
                <w:highlight w:val="none"/>
              </w:rPr>
              <w:t>地点：杭州市钱塘区2号大街928号</w:t>
            </w:r>
          </w:p>
          <w:p>
            <w:pPr>
              <w:snapToGrid w:val="0"/>
              <w:spacing w:line="360" w:lineRule="exact"/>
              <w:jc w:val="left"/>
              <w:rPr>
                <w:rStyle w:val="41"/>
                <w:rFonts w:ascii="宋体" w:hAnsi="宋体"/>
                <w:color w:val="auto"/>
                <w:kern w:val="0"/>
                <w:szCs w:val="21"/>
                <w:highlight w:val="none"/>
              </w:rPr>
            </w:pPr>
            <w:r>
              <w:rPr>
                <w:rStyle w:val="41"/>
                <w:rFonts w:ascii="宋体" w:hAnsi="宋体"/>
                <w:color w:val="auto"/>
                <w:kern w:val="0"/>
                <w:szCs w:val="21"/>
                <w:highlight w:val="none"/>
              </w:rPr>
              <w:t>联系人：</w:t>
            </w:r>
            <w:r>
              <w:rPr>
                <w:rStyle w:val="41"/>
                <w:rFonts w:hint="eastAsia" w:ascii="宋体" w:hAnsi="宋体"/>
                <w:color w:val="auto"/>
                <w:kern w:val="0"/>
                <w:szCs w:val="21"/>
                <w:highlight w:val="none"/>
              </w:rPr>
              <w:t>来老师</w:t>
            </w:r>
            <w:r>
              <w:rPr>
                <w:rStyle w:val="41"/>
                <w:rFonts w:ascii="宋体" w:hAnsi="宋体"/>
                <w:color w:val="auto"/>
                <w:kern w:val="0"/>
                <w:szCs w:val="21"/>
                <w:highlight w:val="none"/>
              </w:rPr>
              <w:t xml:space="preserve">  </w:t>
            </w:r>
          </w:p>
          <w:p>
            <w:pPr>
              <w:snapToGrid w:val="0"/>
              <w:spacing w:line="360" w:lineRule="exact"/>
              <w:jc w:val="left"/>
              <w:rPr>
                <w:rStyle w:val="41"/>
                <w:rFonts w:ascii="宋体" w:hAnsi="宋体"/>
                <w:bCs/>
                <w:color w:val="auto"/>
                <w:kern w:val="0"/>
                <w:highlight w:val="none"/>
              </w:rPr>
            </w:pPr>
            <w:r>
              <w:rPr>
                <w:rStyle w:val="41"/>
                <w:rFonts w:ascii="宋体" w:hAnsi="宋体"/>
                <w:color w:val="auto"/>
                <w:kern w:val="0"/>
                <w:szCs w:val="21"/>
                <w:highlight w:val="none"/>
              </w:rPr>
              <w:t>联系电话：</w:t>
            </w:r>
            <w:r>
              <w:rPr>
                <w:rStyle w:val="41"/>
                <w:rFonts w:hint="eastAsia" w:ascii="宋体" w:hAnsi="宋体"/>
                <w:color w:val="auto"/>
                <w:kern w:val="0"/>
                <w:szCs w:val="21"/>
                <w:highlight w:val="none"/>
              </w:rPr>
              <w:t>0571-86843097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采购代理机构</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0" w:firstLineChars="0"/>
              <w:rPr>
                <w:rStyle w:val="41"/>
                <w:rFonts w:ascii="宋体" w:hAnsi="宋体"/>
                <w:color w:val="auto"/>
                <w:highlight w:val="none"/>
              </w:rPr>
            </w:pPr>
            <w:r>
              <w:rPr>
                <w:rStyle w:val="41"/>
                <w:rFonts w:ascii="宋体" w:hAnsi="宋体"/>
                <w:color w:val="auto"/>
                <w:highlight w:val="none"/>
              </w:rPr>
              <w:t>名称：浙江省成套招标代理有限公司</w:t>
            </w:r>
          </w:p>
          <w:p>
            <w:pPr>
              <w:pStyle w:val="180"/>
              <w:snapToGrid w:val="0"/>
              <w:ind w:firstLine="0" w:firstLineChars="0"/>
              <w:rPr>
                <w:rStyle w:val="41"/>
                <w:rFonts w:ascii="宋体" w:hAnsi="宋体"/>
                <w:color w:val="auto"/>
                <w:highlight w:val="none"/>
              </w:rPr>
            </w:pPr>
            <w:r>
              <w:rPr>
                <w:rStyle w:val="41"/>
                <w:rFonts w:ascii="宋体" w:hAnsi="宋体"/>
                <w:color w:val="auto"/>
                <w:highlight w:val="none"/>
              </w:rPr>
              <w:t>地点：杭州市文晖路42号现代置业大厦西楼18层1801室</w:t>
            </w:r>
          </w:p>
          <w:p>
            <w:pPr>
              <w:pStyle w:val="180"/>
              <w:snapToGrid w:val="0"/>
              <w:ind w:firstLine="0" w:firstLineChars="0"/>
              <w:rPr>
                <w:rStyle w:val="41"/>
                <w:rFonts w:ascii="宋体" w:hAnsi="宋体"/>
                <w:color w:val="auto"/>
                <w:highlight w:val="none"/>
              </w:rPr>
            </w:pPr>
            <w:r>
              <w:rPr>
                <w:rStyle w:val="41"/>
                <w:rFonts w:ascii="宋体" w:hAnsi="宋体"/>
                <w:color w:val="auto"/>
                <w:highlight w:val="none"/>
              </w:rPr>
              <w:t>联系人：</w:t>
            </w:r>
            <w:r>
              <w:rPr>
                <w:rStyle w:val="41"/>
                <w:rFonts w:ascii="宋体" w:hAnsi="宋体"/>
                <w:color w:val="auto"/>
                <w:kern w:val="0"/>
                <w:szCs w:val="21"/>
                <w:highlight w:val="none"/>
              </w:rPr>
              <w:t xml:space="preserve">汪利锋 </w:t>
            </w:r>
          </w:p>
          <w:p>
            <w:pPr>
              <w:pStyle w:val="180"/>
              <w:snapToGrid w:val="0"/>
              <w:ind w:firstLine="0" w:firstLineChars="0"/>
              <w:rPr>
                <w:rStyle w:val="41"/>
                <w:rFonts w:ascii="宋体" w:hAnsi="宋体"/>
                <w:color w:val="auto"/>
                <w:highlight w:val="none"/>
              </w:rPr>
            </w:pPr>
            <w:r>
              <w:rPr>
                <w:rStyle w:val="41"/>
                <w:rFonts w:ascii="宋体" w:hAnsi="宋体"/>
                <w:color w:val="auto"/>
                <w:highlight w:val="none"/>
              </w:rPr>
              <w:t>联系电话：</w:t>
            </w:r>
            <w:r>
              <w:rPr>
                <w:rStyle w:val="41"/>
                <w:rFonts w:ascii="宋体" w:hAnsi="宋体"/>
                <w:color w:val="auto"/>
                <w:kern w:val="0"/>
                <w:szCs w:val="21"/>
                <w:highlight w:val="none"/>
              </w:rPr>
              <w:t>0571-85830273，15168318003</w:t>
            </w:r>
          </w:p>
          <w:p>
            <w:pPr>
              <w:pStyle w:val="180"/>
              <w:snapToGrid w:val="0"/>
              <w:ind w:firstLine="0" w:firstLineChars="0"/>
              <w:rPr>
                <w:rStyle w:val="41"/>
                <w:rFonts w:ascii="宋体" w:hAnsi="宋体"/>
                <w:color w:val="auto"/>
                <w:highlight w:val="none"/>
              </w:rPr>
            </w:pPr>
            <w:r>
              <w:rPr>
                <w:rStyle w:val="41"/>
                <w:rFonts w:ascii="宋体" w:hAnsi="宋体"/>
                <w:color w:val="auto"/>
                <w:highlight w:val="none"/>
              </w:rPr>
              <w:t>传真</w:t>
            </w:r>
            <w:r>
              <w:rPr>
                <w:rStyle w:val="41"/>
                <w:rFonts w:ascii="宋体" w:hAnsi="宋体"/>
                <w:color w:val="auto"/>
                <w:kern w:val="0"/>
                <w:szCs w:val="21"/>
                <w:highlight w:val="none"/>
              </w:rPr>
              <w:t>：4008-266-163转07285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1.9</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踏勘现场</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1"/>
                <w:rFonts w:ascii="宋体" w:hAnsi="宋体"/>
                <w:b/>
                <w:color w:val="auto"/>
                <w:kern w:val="0"/>
                <w:szCs w:val="21"/>
                <w:highlight w:val="none"/>
              </w:rPr>
            </w:pPr>
            <w:r>
              <w:rPr>
                <w:rStyle w:val="41"/>
                <w:rFonts w:ascii="宋体" w:hAnsi="宋体"/>
                <w:b/>
                <w:color w:val="auto"/>
                <w:kern w:val="0"/>
                <w:szCs w:val="21"/>
                <w:highlight w:val="none"/>
              </w:rPr>
              <w:t>本工程由于现场较为复杂，建议供应商自行踏勘现场，踏勘现场前请提前联系发包方联系人办理备案。踏勘期间发生的费用或意外导致伤亡等一切责任和损失均由供应商自负。</w:t>
            </w:r>
          </w:p>
          <w:p>
            <w:pPr>
              <w:snapToGrid w:val="0"/>
              <w:spacing w:line="360" w:lineRule="exact"/>
              <w:rPr>
                <w:rStyle w:val="41"/>
                <w:rFonts w:ascii="宋体" w:hAnsi="宋体"/>
                <w:bCs/>
                <w:color w:val="auto"/>
                <w:kern w:val="0"/>
                <w:highlight w:val="none"/>
              </w:rPr>
            </w:pPr>
            <w:r>
              <w:rPr>
                <w:rStyle w:val="41"/>
                <w:rFonts w:ascii="宋体" w:hAnsi="宋体"/>
                <w:color w:val="auto"/>
                <w:kern w:val="0"/>
                <w:szCs w:val="21"/>
                <w:highlight w:val="none"/>
              </w:rPr>
              <w:t>联系人：</w:t>
            </w:r>
            <w:r>
              <w:rPr>
                <w:rStyle w:val="41"/>
                <w:rFonts w:hint="eastAsia" w:ascii="宋体" w:hAnsi="宋体"/>
                <w:color w:val="auto"/>
                <w:kern w:val="0"/>
                <w:szCs w:val="21"/>
                <w:highlight w:val="none"/>
              </w:rPr>
              <w:t>来老师</w:t>
            </w:r>
            <w:r>
              <w:rPr>
                <w:rStyle w:val="41"/>
                <w:rFonts w:ascii="宋体" w:hAnsi="宋体"/>
                <w:color w:val="auto"/>
                <w:kern w:val="0"/>
                <w:szCs w:val="21"/>
                <w:highlight w:val="none"/>
              </w:rPr>
              <w:t xml:space="preserve">   联系电话：</w:t>
            </w:r>
            <w:r>
              <w:rPr>
                <w:rStyle w:val="41"/>
                <w:rFonts w:hint="eastAsia" w:ascii="宋体" w:hAnsi="宋体"/>
                <w:color w:val="auto"/>
                <w:kern w:val="0"/>
                <w:szCs w:val="21"/>
                <w:highlight w:val="none"/>
              </w:rPr>
              <w:t>0571-86843097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1.10</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答疑会</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right="105"/>
              <w:rPr>
                <w:rStyle w:val="41"/>
                <w:rFonts w:ascii="宋体" w:hAnsi="宋体"/>
                <w:color w:val="auto"/>
                <w:kern w:val="0"/>
                <w:szCs w:val="21"/>
                <w:highlight w:val="none"/>
              </w:rPr>
            </w:pPr>
            <w:r>
              <w:rPr>
                <w:rStyle w:val="41"/>
                <w:rFonts w:ascii="宋体" w:hAnsi="宋体"/>
                <w:color w:val="auto"/>
                <w:kern w:val="0"/>
                <w:szCs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1.13.11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b/>
                <w:color w:val="auto"/>
                <w:highlight w:val="none"/>
              </w:rPr>
            </w:pPr>
            <w:r>
              <w:rPr>
                <w:rStyle w:val="41"/>
                <w:rFonts w:ascii="宋体" w:hAnsi="宋体"/>
                <w:b/>
                <w:color w:val="auto"/>
                <w:kern w:val="0"/>
                <w:highlight w:val="none"/>
              </w:rPr>
              <w:t>本项目对应的中小企业划分标准所属行业</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right="105"/>
              <w:rPr>
                <w:rStyle w:val="41"/>
                <w:rFonts w:ascii="宋体" w:hAnsi="宋体"/>
                <w:b/>
                <w:color w:val="auto"/>
                <w:kern w:val="0"/>
                <w:szCs w:val="21"/>
                <w:highlight w:val="none"/>
              </w:rPr>
            </w:pPr>
            <w:r>
              <w:rPr>
                <w:rStyle w:val="41"/>
                <w:rFonts w:ascii="宋体" w:hAnsi="宋体"/>
                <w:b/>
                <w:color w:val="auto"/>
                <w:kern w:val="0"/>
                <w:highlight w:val="none"/>
              </w:rPr>
              <w:t>根据《关于印发中小企业划型标准规定的通知》（工信部联企业〔2011〕300号），本企业按所属行业为“建筑业”。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2.4.1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kern w:val="0"/>
                <w:szCs w:val="21"/>
                <w:highlight w:val="none"/>
              </w:rPr>
            </w:pPr>
            <w:r>
              <w:rPr>
                <w:rStyle w:val="41"/>
                <w:rFonts w:ascii="宋体" w:hAnsi="宋体"/>
                <w:color w:val="auto"/>
                <w:kern w:val="0"/>
                <w:szCs w:val="21"/>
                <w:highlight w:val="none"/>
              </w:rPr>
              <w:t>提疑截止时间</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before="60" w:after="60" w:line="360" w:lineRule="exact"/>
              <w:ind w:left="61" w:leftChars="29" w:right="60"/>
              <w:jc w:val="left"/>
              <w:rPr>
                <w:rStyle w:val="41"/>
                <w:rFonts w:ascii="宋体" w:hAnsi="宋体"/>
                <w:color w:val="auto"/>
                <w:szCs w:val="21"/>
                <w:highlight w:val="none"/>
              </w:rPr>
            </w:pPr>
            <w:r>
              <w:rPr>
                <w:rStyle w:val="41"/>
                <w:rFonts w:ascii="宋体" w:hAnsi="宋体"/>
                <w:color w:val="auto"/>
                <w:kern w:val="0"/>
                <w:szCs w:val="21"/>
                <w:highlight w:val="none"/>
              </w:rPr>
              <w:t>磋商文件提疑截止时间：</w:t>
            </w:r>
            <w:r>
              <w:rPr>
                <w:rStyle w:val="41"/>
                <w:rFonts w:ascii="宋体" w:hAnsi="宋体"/>
                <w:color w:val="auto"/>
                <w:highlight w:val="none"/>
              </w:rPr>
              <w:t xml:space="preserve"> </w:t>
            </w:r>
            <w:r>
              <w:rPr>
                <w:rStyle w:val="41"/>
                <w:rFonts w:hint="eastAsia" w:ascii="宋体" w:hAnsi="宋体"/>
                <w:color w:val="auto"/>
                <w:highlight w:val="none"/>
              </w:rPr>
              <w:t>2024</w:t>
            </w:r>
            <w:r>
              <w:rPr>
                <w:rStyle w:val="41"/>
                <w:rFonts w:ascii="宋体" w:hAnsi="宋体"/>
                <w:color w:val="auto"/>
                <w:highlight w:val="none"/>
              </w:rPr>
              <w:t>年</w:t>
            </w:r>
            <w:r>
              <w:rPr>
                <w:rStyle w:val="41"/>
                <w:rFonts w:hint="eastAsia" w:ascii="宋体" w:hAnsi="宋体"/>
                <w:color w:val="auto"/>
                <w:highlight w:val="none"/>
                <w:lang w:val="en-US" w:eastAsia="zh-CN"/>
              </w:rPr>
              <w:t>6</w:t>
            </w:r>
            <w:r>
              <w:rPr>
                <w:rStyle w:val="41"/>
                <w:rFonts w:ascii="宋体" w:hAnsi="宋体"/>
                <w:color w:val="auto"/>
                <w:highlight w:val="none"/>
              </w:rPr>
              <w:t>月</w:t>
            </w:r>
            <w:r>
              <w:rPr>
                <w:rStyle w:val="41"/>
                <w:rFonts w:hint="eastAsia" w:ascii="宋体" w:hAnsi="宋体"/>
                <w:color w:val="auto"/>
                <w:highlight w:val="none"/>
                <w:lang w:val="en-US" w:eastAsia="zh-CN"/>
              </w:rPr>
              <w:t>6</w:t>
            </w:r>
            <w:r>
              <w:rPr>
                <w:rStyle w:val="41"/>
                <w:rFonts w:ascii="宋体" w:hAnsi="宋体"/>
                <w:color w:val="auto"/>
                <w:highlight w:val="none"/>
              </w:rPr>
              <w:t>日17时30分前</w:t>
            </w:r>
            <w:r>
              <w:rPr>
                <w:rStyle w:val="41"/>
                <w:rFonts w:ascii="宋体" w:hAnsi="宋体"/>
                <w:color w:val="auto"/>
                <w:szCs w:val="21"/>
                <w:highlight w:val="none"/>
              </w:rPr>
              <w:t>传真（</w:t>
            </w:r>
            <w:r>
              <w:rPr>
                <w:rStyle w:val="41"/>
                <w:rFonts w:ascii="宋体" w:hAnsi="宋体"/>
                <w:color w:val="auto"/>
                <w:kern w:val="0"/>
                <w:szCs w:val="21"/>
                <w:highlight w:val="none"/>
              </w:rPr>
              <w:t>4008-266-163转07285</w:t>
            </w:r>
            <w:r>
              <w:rPr>
                <w:rStyle w:val="41"/>
                <w:rFonts w:ascii="宋体" w:hAnsi="宋体"/>
                <w:color w:val="auto"/>
                <w:szCs w:val="21"/>
                <w:highlight w:val="none"/>
              </w:rPr>
              <w:t>）</w:t>
            </w:r>
            <w:r>
              <w:rPr>
                <w:rStyle w:val="28"/>
                <w:rFonts w:ascii="宋体" w:hAnsi="宋体"/>
                <w:color w:val="auto"/>
                <w:kern w:val="0"/>
                <w:highlight w:val="none"/>
                <w:u w:color="000000"/>
              </w:rPr>
              <w:t>至采购代理机构并将电子稿件发至邮箱wanglf@zjsct.cn</w:t>
            </w:r>
          </w:p>
          <w:p>
            <w:pPr>
              <w:snapToGrid w:val="0"/>
              <w:spacing w:before="60" w:after="60" w:line="360" w:lineRule="exact"/>
              <w:ind w:left="61" w:leftChars="29" w:right="60" w:firstLine="420" w:firstLineChars="200"/>
              <w:jc w:val="left"/>
              <w:rPr>
                <w:rStyle w:val="41"/>
                <w:rFonts w:ascii="宋体" w:hAnsi="宋体"/>
                <w:color w:val="auto"/>
                <w:kern w:val="0"/>
                <w:szCs w:val="21"/>
                <w:highlight w:val="none"/>
              </w:rPr>
            </w:pPr>
            <w:r>
              <w:rPr>
                <w:rStyle w:val="41"/>
                <w:rFonts w:ascii="宋体" w:hAnsi="宋体"/>
                <w:color w:val="auto"/>
                <w:kern w:val="0"/>
                <w:szCs w:val="21"/>
                <w:highlight w:val="none"/>
              </w:rPr>
              <w:t>供应商如对磋商文件有疑问应按磋商文件规定的提疑时间前提出，逾期提出的，采购组织机构可以不予受理、答复；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kern w:val="0"/>
                <w:szCs w:val="21"/>
                <w:highlight w:val="none"/>
              </w:rPr>
            </w:pPr>
            <w:r>
              <w:rPr>
                <w:rStyle w:val="41"/>
                <w:rFonts w:ascii="宋体" w:hAnsi="宋体"/>
                <w:color w:val="auto"/>
                <w:highlight w:val="none"/>
              </w:rPr>
              <w:t>补充及答疑时间</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color w:val="auto"/>
                <w:highlight w:val="none"/>
              </w:rPr>
            </w:pPr>
            <w:r>
              <w:rPr>
                <w:rStyle w:val="41"/>
                <w:color w:val="auto"/>
                <w:highlight w:val="none"/>
              </w:rPr>
              <w:t>补充及答疑文件将在投标截止时间</w:t>
            </w:r>
            <w:r>
              <w:rPr>
                <w:rStyle w:val="41"/>
                <w:rFonts w:ascii="宋体" w:hAnsi="宋体"/>
                <w:color w:val="auto"/>
                <w:highlight w:val="none"/>
              </w:rPr>
              <w:t>3天前</w:t>
            </w:r>
            <w:r>
              <w:rPr>
                <w:rStyle w:val="41"/>
                <w:color w:val="auto"/>
                <w:highlight w:val="none"/>
              </w:rPr>
              <w:t>在</w:t>
            </w:r>
            <w:r>
              <w:rPr>
                <w:rStyle w:val="41"/>
                <w:rFonts w:ascii="宋体" w:hAnsi="宋体"/>
                <w:b/>
                <w:color w:val="auto"/>
                <w:kern w:val="0"/>
                <w:szCs w:val="21"/>
                <w:highlight w:val="none"/>
              </w:rPr>
              <w:t>浙江政府采购网（http://zfcg.czt.zj.gov.cn）网上更正公告形式告知</w:t>
            </w:r>
            <w:r>
              <w:rPr>
                <w:rStyle w:val="41"/>
                <w:color w:val="auto"/>
                <w:highlight w:val="none"/>
              </w:rPr>
              <w:t>所有获取采购文件的供应商。同时响应截止时间前，供应商应关注网站是否有最新的更正公告。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3.1.1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响应文件的形式</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☑电子响应文件（包括“电子加密响应文件”和“备份响应文件”，在响应文件编制完成后同时生成）；</w:t>
            </w:r>
          </w:p>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（1）“电子加密响应文件”是指通过“政采云电子交易客户端”完成响应文件编制后生成并加密的数据电文形式的响应文件。</w:t>
            </w:r>
          </w:p>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（2）“备份响应文件”是指与“电子加密响应文件”同时生成的数据电文形式的电子文件（备份标书），其他方式编制的备份响应文件视为无效备份响应文件。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3.3.1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响应文件的编制要求</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供应商应先安装“政采云电子交易客户端”，并按照采购文件中规定的 “响应文件格式”中提供的格式和“政府采购云平台”的要求，通过“政采云电子交易客户端”编制并加密响应文件。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3.3.4</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响应文件的签字或盖章要求</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cs="宋体"/>
                <w:b/>
                <w:bCs/>
                <w:color w:val="auto"/>
                <w:highlight w:val="none"/>
              </w:rPr>
            </w:pPr>
            <w:r>
              <w:rPr>
                <w:rStyle w:val="41"/>
                <w:rFonts w:ascii="宋体" w:hAnsi="宋体" w:cs="宋体"/>
                <w:b/>
                <w:bCs/>
                <w:color w:val="auto"/>
                <w:highlight w:val="none"/>
              </w:rPr>
              <w:t>1、按“响应文件格式”中提供的格式进行签字盖章。</w:t>
            </w:r>
          </w:p>
          <w:p>
            <w:pPr>
              <w:pStyle w:val="180"/>
              <w:snapToGrid w:val="0"/>
              <w:ind w:firstLineChars="0"/>
              <w:rPr>
                <w:rStyle w:val="41"/>
                <w:rFonts w:ascii="宋体" w:hAnsi="宋体" w:cs="宋体"/>
                <w:b/>
                <w:bCs/>
                <w:color w:val="auto"/>
                <w:highlight w:val="none"/>
              </w:rPr>
            </w:pPr>
            <w:r>
              <w:rPr>
                <w:rStyle w:val="41"/>
                <w:rFonts w:ascii="宋体" w:hAnsi="宋体" w:cs="宋体"/>
                <w:b/>
                <w:bCs/>
                <w:color w:val="auto"/>
                <w:highlight w:val="none"/>
              </w:rPr>
              <w:t>2、</w:t>
            </w:r>
            <w:r>
              <w:rPr>
                <w:rStyle w:val="41"/>
                <w:rFonts w:ascii="宋体" w:hAnsi="宋体"/>
                <w:b/>
                <w:color w:val="auto"/>
                <w:highlight w:val="none"/>
              </w:rPr>
              <w:t>响应文件签署人（签字或盖章）：</w:t>
            </w:r>
            <w:r>
              <w:rPr>
                <w:rStyle w:val="41"/>
                <w:rFonts w:ascii="宋体" w:hAnsi="宋体" w:cs="宋体"/>
                <w:b/>
                <w:bCs/>
                <w:color w:val="auto"/>
                <w:highlight w:val="none"/>
              </w:rPr>
              <w:t>因系统无法进行法定代表人或其授权代表签字或盖章操作，需线下签字或盖章扫描后上传至电子响应文件中。</w:t>
            </w:r>
          </w:p>
          <w:p>
            <w:pPr>
              <w:pStyle w:val="180"/>
              <w:snapToGrid w:val="0"/>
              <w:ind w:firstLineChars="0"/>
              <w:rPr>
                <w:rStyle w:val="41"/>
                <w:rFonts w:ascii="宋体" w:hAnsi="宋体" w:cs="宋体"/>
                <w:b/>
                <w:bCs/>
                <w:color w:val="auto"/>
                <w:highlight w:val="none"/>
              </w:rPr>
            </w:pPr>
            <w:r>
              <w:rPr>
                <w:rStyle w:val="41"/>
                <w:rFonts w:ascii="宋体" w:hAnsi="宋体" w:cs="宋体"/>
                <w:b/>
                <w:bCs/>
                <w:color w:val="auto"/>
                <w:highlight w:val="none"/>
              </w:rPr>
              <w:t>3、盖单位公章：可使用电子公章在线签章或盖单位公章扫描上传。</w:t>
            </w:r>
          </w:p>
          <w:p>
            <w:pPr>
              <w:pStyle w:val="180"/>
              <w:snapToGrid w:val="0"/>
              <w:ind w:firstLineChars="0"/>
              <w:rPr>
                <w:rStyle w:val="41"/>
                <w:rFonts w:ascii="宋体" w:hAnsi="宋体"/>
                <w:b/>
                <w:color w:val="auto"/>
                <w:szCs w:val="21"/>
                <w:highlight w:val="none"/>
                <w:u w:val="single"/>
              </w:rPr>
            </w:pPr>
            <w:r>
              <w:rPr>
                <w:rStyle w:val="41"/>
                <w:rFonts w:ascii="宋体" w:hAnsi="宋体" w:cs="宋体"/>
                <w:b/>
                <w:bCs/>
                <w:color w:val="auto"/>
                <w:highlight w:val="none"/>
              </w:rPr>
              <w:t>4、电子签章操作指南详见《供应商项目采购-电子招投标操作指南》。系统要求进行电子签章的，按系统要求签章。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3.3.5</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响应文件份数</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（1）“电子加密响应文件”：在线上传递交一份。</w:t>
            </w:r>
          </w:p>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（2）“备份响应文件”：密封包装后（邮寄形式）投标截止时间前递交一份（邮寄地址：杭州市文晖路42号现代置业大厦西楼1801室汪利锋、吕丹收）。</w:t>
            </w:r>
          </w:p>
          <w:p>
            <w:pPr>
              <w:pStyle w:val="180"/>
              <w:snapToGrid w:val="0"/>
              <w:ind w:firstLineChars="0"/>
              <w:rPr>
                <w:rStyle w:val="41"/>
                <w:rFonts w:ascii="宋体" w:hAnsi="宋体"/>
                <w:b/>
                <w:color w:val="auto"/>
                <w:highlight w:val="none"/>
              </w:rPr>
            </w:pPr>
            <w:r>
              <w:rPr>
                <w:rStyle w:val="41"/>
                <w:rFonts w:ascii="宋体" w:hAnsi="宋体"/>
                <w:color w:val="auto"/>
                <w:szCs w:val="21"/>
                <w:highlight w:val="none"/>
              </w:rPr>
              <w:t>（3）成交人在领取成交通知书时向采购人提供全套纸质响应文件5份。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3.6.1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响应文件有效期</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1"/>
                <w:rFonts w:ascii="宋体" w:hAnsi="宋体"/>
                <w:color w:val="auto"/>
                <w:highlight w:val="none"/>
              </w:rPr>
            </w:pPr>
            <w:r>
              <w:rPr>
                <w:rStyle w:val="41"/>
                <w:rFonts w:ascii="宋体" w:hAnsi="宋体"/>
                <w:color w:val="auto"/>
                <w:highlight w:val="none"/>
              </w:rPr>
              <w:t>自响应文件提交的截止时间起120天内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4.1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响应文件递交截止时间</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b/>
                <w:color w:val="auto"/>
                <w:szCs w:val="21"/>
                <w:highlight w:val="none"/>
              </w:rPr>
            </w:pPr>
            <w:r>
              <w:rPr>
                <w:rStyle w:val="41"/>
                <w:rFonts w:ascii="宋体" w:hAnsi="宋体"/>
                <w:color w:val="auto"/>
                <w:szCs w:val="21"/>
                <w:highlight w:val="none"/>
              </w:rPr>
              <w:t>按“竞争性磋商公告”规定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4.1.1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递交方式</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按“竞争性磋商公告”规定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5.1.1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开标时间和地点</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时间：按“竞争性磋商公告”规定</w:t>
            </w:r>
          </w:p>
          <w:p>
            <w:pPr>
              <w:pStyle w:val="180"/>
              <w:snapToGrid w:val="0"/>
              <w:ind w:firstLineChars="0"/>
              <w:rPr>
                <w:rStyle w:val="41"/>
                <w:rFonts w:ascii="宋体" w:hAnsi="宋体"/>
                <w:color w:val="auto"/>
                <w:highlight w:val="none"/>
              </w:rPr>
            </w:pPr>
            <w:r>
              <w:rPr>
                <w:rStyle w:val="41"/>
                <w:rFonts w:ascii="宋体" w:hAnsi="宋体"/>
                <w:color w:val="auto"/>
                <w:szCs w:val="21"/>
                <w:highlight w:val="none"/>
              </w:rPr>
              <w:t>地点：政府采购云平台在线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5.15.1</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0" w:firstLineChars="0"/>
              <w:rPr>
                <w:rStyle w:val="41"/>
                <w:rFonts w:ascii="宋体" w:hAnsi="宋体"/>
                <w:color w:val="auto"/>
                <w:highlight w:val="none"/>
              </w:rPr>
            </w:pPr>
            <w:r>
              <w:rPr>
                <w:rStyle w:val="41"/>
                <w:rFonts w:ascii="宋体" w:hAnsi="宋体"/>
                <w:color w:val="auto"/>
                <w:highlight w:val="none"/>
              </w:rPr>
              <w:t>履约保证金</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履约保证金的形式：支票/汇票/电汇/银行、保险公司出具的保函</w:t>
            </w:r>
          </w:p>
          <w:p>
            <w:pPr>
              <w:pStyle w:val="180"/>
              <w:snapToGrid w:val="0"/>
              <w:ind w:firstLineChars="0"/>
              <w:rPr>
                <w:rStyle w:val="41"/>
                <w:rFonts w:ascii="宋体" w:hAnsi="宋体"/>
                <w:color w:val="auto"/>
                <w:szCs w:val="21"/>
                <w:highlight w:val="none"/>
              </w:rPr>
            </w:pPr>
            <w:r>
              <w:rPr>
                <w:rStyle w:val="41"/>
                <w:rFonts w:ascii="宋体" w:hAnsi="宋体"/>
                <w:color w:val="auto"/>
                <w:szCs w:val="21"/>
                <w:highlight w:val="none"/>
              </w:rPr>
              <w:t>履约保证金的金额：成交金额的</w:t>
            </w:r>
            <w:r>
              <w:rPr>
                <w:rStyle w:val="41"/>
                <w:rFonts w:hint="eastAsia" w:ascii="宋体" w:hAnsi="宋体"/>
                <w:color w:val="auto"/>
                <w:szCs w:val="21"/>
                <w:highlight w:val="none"/>
              </w:rPr>
              <w:t>2</w:t>
            </w:r>
            <w:r>
              <w:rPr>
                <w:rStyle w:val="41"/>
                <w:rFonts w:ascii="宋体" w:hAnsi="宋体"/>
                <w:color w:val="auto"/>
                <w:szCs w:val="21"/>
                <w:highlight w:val="none"/>
              </w:rPr>
              <w:t>%</w:t>
            </w:r>
          </w:p>
          <w:p>
            <w:pPr>
              <w:pStyle w:val="180"/>
              <w:snapToGrid w:val="0"/>
              <w:ind w:firstLineChars="0"/>
              <w:rPr>
                <w:rStyle w:val="41"/>
                <w:rFonts w:ascii="宋体" w:hAnsi="宋体"/>
                <w:color w:val="auto"/>
                <w:highlight w:val="none"/>
              </w:rPr>
            </w:pPr>
            <w:r>
              <w:rPr>
                <w:rStyle w:val="41"/>
                <w:rFonts w:ascii="宋体" w:hAnsi="宋体"/>
                <w:color w:val="auto"/>
                <w:highlight w:val="none"/>
              </w:rPr>
              <w:t>履约保证金退还：履行完合同后退还。</w:t>
            </w:r>
          </w:p>
          <w:p>
            <w:pPr>
              <w:snapToGrid w:val="0"/>
              <w:spacing w:line="360" w:lineRule="exact"/>
              <w:ind w:firstLine="210" w:firstLineChars="100"/>
              <w:rPr>
                <w:rStyle w:val="41"/>
                <w:rFonts w:ascii="宋体" w:hAnsi="宋体"/>
                <w:color w:val="auto"/>
                <w:highlight w:val="none"/>
              </w:rPr>
            </w:pPr>
            <w:r>
              <w:rPr>
                <w:rStyle w:val="41"/>
                <w:rFonts w:ascii="宋体" w:hAnsi="宋体"/>
                <w:color w:val="auto"/>
                <w:highlight w:val="none"/>
              </w:rPr>
              <w:t xml:space="preserve">履约保证金缴纳时间：合同签订后7个工作日内 </w:t>
            </w:r>
          </w:p>
          <w:p>
            <w:pPr>
              <w:snapToGrid w:val="0"/>
              <w:spacing w:line="360" w:lineRule="exact"/>
              <w:ind w:firstLine="210" w:firstLineChars="100"/>
              <w:rPr>
                <w:rStyle w:val="41"/>
                <w:rFonts w:ascii="宋体" w:hAnsi="宋体"/>
                <w:color w:val="auto"/>
                <w:highlight w:val="none"/>
              </w:rPr>
            </w:pPr>
            <w:r>
              <w:rPr>
                <w:rStyle w:val="41"/>
                <w:rFonts w:ascii="宋体" w:hAnsi="宋体"/>
                <w:color w:val="auto"/>
                <w:highlight w:val="none"/>
              </w:rPr>
              <w:t>履约保证金接收人：合同甲方</w:t>
            </w:r>
          </w:p>
          <w:p>
            <w:pPr>
              <w:pStyle w:val="180"/>
              <w:snapToGrid w:val="0"/>
              <w:ind w:firstLineChars="0"/>
              <w:rPr>
                <w:rStyle w:val="41"/>
                <w:rFonts w:ascii="宋体" w:hAnsi="宋体"/>
                <w:color w:val="auto"/>
                <w:highlight w:val="none"/>
              </w:rPr>
            </w:pPr>
            <w:r>
              <w:rPr>
                <w:rStyle w:val="41"/>
                <w:rFonts w:ascii="宋体" w:hAnsi="宋体"/>
                <w:color w:val="auto"/>
                <w:highlight w:val="none"/>
              </w:rPr>
              <w:t>履约保证金有效期限：合同签订之日起至合同履行结束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6.14</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color w:val="auto"/>
                <w:highlight w:val="none"/>
              </w:rPr>
            </w:pPr>
            <w:r>
              <w:rPr>
                <w:rStyle w:val="41"/>
                <w:rFonts w:ascii="宋体" w:hAnsi="宋体"/>
                <w:color w:val="auto"/>
                <w:highlight w:val="none"/>
              </w:rPr>
              <w:t>采购代理服务费</w:t>
            </w:r>
          </w:p>
        </w:tc>
        <w:tc>
          <w:tcPr>
            <w:tcW w:w="62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41"/>
                <w:rFonts w:ascii="宋体" w:hAnsi="宋体"/>
                <w:b/>
                <w:color w:val="auto"/>
                <w:szCs w:val="21"/>
                <w:highlight w:val="none"/>
              </w:rPr>
            </w:pPr>
            <w:r>
              <w:rPr>
                <w:rFonts w:hint="eastAsia" w:ascii="宋体" w:hAnsi="宋体" w:cs="Arial"/>
                <w:b/>
                <w:color w:val="auto"/>
                <w:szCs w:val="21"/>
                <w:highlight w:val="none"/>
              </w:rPr>
              <w:t>本项目的采购代理费由成交人支付，按照按国家计委关于印发《招标代理服务收费管理暂行办法》的通知[计价格[2002]1980号文的标准70%计取；不足2000元按2000元计取，造价咨询服务费（含工程量清单、工程标底或工程招标控制价编制等服务）按浙江省物价局浙价服【2009】84号文收费标准的70%计取；不足2000元按2000元计取。结算方式及时间为：在领取成交通知书时由成交人一次性向采购代理机构付清。</w:t>
            </w:r>
            <w:r>
              <w:rPr>
                <w:rFonts w:ascii="宋体" w:hAnsi="宋体" w:cs="Arial"/>
                <w:color w:val="auto"/>
                <w:highlight w:val="none"/>
              </w:rPr>
              <w:t>支付方式：</w:t>
            </w:r>
            <w:r>
              <w:rPr>
                <w:rFonts w:hint="eastAsia" w:hAnsi="宋体" w:cs="Arial"/>
                <w:color w:val="auto"/>
                <w:kern w:val="0"/>
                <w:szCs w:val="21"/>
                <w:highlight w:val="none"/>
              </w:rPr>
              <w:t xml:space="preserve">银行转账（汇款、电汇）或汇（支、本）票等方式  </w:t>
            </w:r>
            <w:r>
              <w:rPr>
                <w:rFonts w:hint="eastAsia" w:ascii="宋体" w:hAnsi="宋体" w:cs="Arial"/>
                <w:color w:val="auto"/>
                <w:szCs w:val="21"/>
                <w:highlight w:val="none"/>
              </w:rPr>
              <w:t>收款单位（</w:t>
            </w:r>
            <w:r>
              <w:rPr>
                <w:rFonts w:ascii="宋体" w:hAnsi="宋体" w:cs="Arial"/>
                <w:color w:val="auto"/>
                <w:szCs w:val="21"/>
                <w:highlight w:val="none"/>
              </w:rPr>
              <w:t>户名</w:t>
            </w:r>
            <w:r>
              <w:rPr>
                <w:rFonts w:hint="eastAsia" w:ascii="宋体" w:hAnsi="宋体" w:cs="Arial"/>
                <w:color w:val="auto"/>
                <w:szCs w:val="21"/>
                <w:highlight w:val="none"/>
              </w:rPr>
              <w:t>）</w:t>
            </w:r>
            <w:r>
              <w:rPr>
                <w:rFonts w:ascii="宋体" w:hAnsi="宋体" w:cs="Arial"/>
                <w:color w:val="auto"/>
                <w:szCs w:val="21"/>
                <w:highlight w:val="none"/>
              </w:rPr>
              <w:t>：浙江省成套招标代理有限公司</w:t>
            </w:r>
            <w:r>
              <w:rPr>
                <w:rFonts w:hint="eastAsia" w:ascii="宋体" w:hAnsi="宋体" w:cs="Arial"/>
                <w:color w:val="auto"/>
                <w:szCs w:val="21"/>
                <w:highlight w:val="none"/>
              </w:rPr>
              <w:t xml:space="preserve"> </w:t>
            </w:r>
            <w:r>
              <w:rPr>
                <w:rFonts w:ascii="宋体" w:hAnsi="宋体" w:cs="Arial"/>
                <w:color w:val="auto"/>
                <w:szCs w:val="21"/>
                <w:highlight w:val="none"/>
              </w:rPr>
              <w:t>开户：中信银行杭州西湖支行</w:t>
            </w:r>
            <w:r>
              <w:rPr>
                <w:rFonts w:hint="eastAsia" w:ascii="宋体" w:hAnsi="宋体" w:cs="Arial"/>
                <w:color w:val="auto"/>
                <w:szCs w:val="21"/>
                <w:highlight w:val="none"/>
              </w:rPr>
              <w:t xml:space="preserve"> </w:t>
            </w:r>
            <w:r>
              <w:rPr>
                <w:rFonts w:ascii="宋体" w:hAnsi="宋体" w:cs="Arial"/>
                <w:color w:val="auto"/>
                <w:szCs w:val="21"/>
                <w:highlight w:val="none"/>
              </w:rPr>
              <w:t>账号：7331610182600126385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color w:val="auto"/>
                <w:kern w:val="0"/>
                <w:highlight w:val="none"/>
              </w:rPr>
            </w:pPr>
            <w:r>
              <w:rPr>
                <w:rStyle w:val="41"/>
                <w:rFonts w:ascii="宋体" w:hAnsi="宋体"/>
                <w:color w:val="auto"/>
                <w:kern w:val="0"/>
                <w:highlight w:val="none"/>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b/>
                <w:color w:val="auto"/>
                <w:kern w:val="0"/>
                <w:highlight w:val="none"/>
              </w:rPr>
            </w:pPr>
            <w:r>
              <w:rPr>
                <w:rStyle w:val="41"/>
                <w:rFonts w:ascii="宋体" w:hAnsi="宋体"/>
                <w:b/>
                <w:color w:val="auto"/>
                <w:highlight w:val="none"/>
              </w:rPr>
              <w:t>电子加密响应文件的解密和异常情况处理</w:t>
            </w:r>
          </w:p>
        </w:tc>
        <w:tc>
          <w:tcPr>
            <w:tcW w:w="6293"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rPr>
                <w:rStyle w:val="41"/>
                <w:rFonts w:ascii="宋体" w:hAnsi="宋体"/>
                <w:b/>
                <w:color w:val="auto"/>
                <w:highlight w:val="none"/>
              </w:rPr>
            </w:pPr>
            <w:r>
              <w:rPr>
                <w:rStyle w:val="41"/>
                <w:rFonts w:ascii="宋体" w:hAnsi="宋体"/>
                <w:b/>
                <w:color w:val="auto"/>
                <w:highlight w:val="none"/>
              </w:rPr>
              <w:t>（1）开标后，采购组织机构将向各供应商发出“电子加密响应文件”的解密通知，各供应商代表应当在接到解密通知后30分钟内自行完成“电子加密响应文件”的在线解密。</w:t>
            </w:r>
          </w:p>
          <w:p>
            <w:pPr>
              <w:pStyle w:val="180"/>
              <w:snapToGrid w:val="0"/>
              <w:ind w:firstLineChars="0"/>
              <w:rPr>
                <w:rStyle w:val="41"/>
                <w:rFonts w:ascii="宋体" w:hAnsi="宋体"/>
                <w:b/>
                <w:color w:val="auto"/>
                <w:highlight w:val="none"/>
              </w:rPr>
            </w:pPr>
            <w:r>
              <w:rPr>
                <w:rStyle w:val="41"/>
                <w:rFonts w:ascii="宋体" w:hAnsi="宋体"/>
                <w:b/>
                <w:color w:val="auto"/>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180"/>
              <w:snapToGrid w:val="0"/>
              <w:ind w:firstLineChars="0"/>
              <w:rPr>
                <w:rStyle w:val="41"/>
                <w:rFonts w:ascii="宋体" w:hAnsi="宋体"/>
                <w:b/>
                <w:color w:val="auto"/>
                <w:kern w:val="0"/>
                <w:highlight w:val="none"/>
              </w:rPr>
            </w:pPr>
            <w:r>
              <w:rPr>
                <w:rStyle w:val="41"/>
                <w:rFonts w:ascii="宋体" w:hAnsi="宋体"/>
                <w:b/>
                <w:color w:val="auto"/>
                <w:highlight w:val="none"/>
              </w:rPr>
              <w:t>（3）响应截止时间前，供应商仅递交了“备份响应文件”而未将电子加密响应文件上传至“政府采购云平台”的，</w:t>
            </w:r>
            <w:r>
              <w:rPr>
                <w:rStyle w:val="41"/>
                <w:rFonts w:ascii="宋体" w:hAnsi="宋体"/>
                <w:b/>
                <w:color w:val="auto"/>
                <w:kern w:val="0"/>
                <w:szCs w:val="21"/>
                <w:highlight w:val="none"/>
              </w:rPr>
              <w:t>投标无效</w:t>
            </w:r>
            <w:r>
              <w:rPr>
                <w:rStyle w:val="41"/>
                <w:rFonts w:ascii="宋体" w:hAnsi="宋体"/>
                <w:b/>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color w:val="auto"/>
                <w:kern w:val="0"/>
                <w:highlight w:val="none"/>
              </w:rPr>
            </w:pPr>
            <w:r>
              <w:rPr>
                <w:rStyle w:val="41"/>
                <w:rFonts w:ascii="宋体" w:hAnsi="宋体"/>
                <w:color w:val="auto"/>
                <w:kern w:val="0"/>
                <w:highlight w:val="none"/>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b/>
                <w:color w:val="auto"/>
                <w:kern w:val="0"/>
                <w:highlight w:val="none"/>
              </w:rPr>
            </w:pPr>
            <w:r>
              <w:rPr>
                <w:rStyle w:val="41"/>
                <w:rFonts w:ascii="宋体" w:hAnsi="宋体"/>
                <w:b/>
                <w:color w:val="auto"/>
                <w:highlight w:val="none"/>
              </w:rPr>
              <w:t>特殊情况中止电子交易活动的说明</w:t>
            </w:r>
          </w:p>
        </w:tc>
        <w:tc>
          <w:tcPr>
            <w:tcW w:w="629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napToGrid w:val="0"/>
              <w:spacing w:line="360" w:lineRule="exact"/>
              <w:ind w:firstLine="422" w:firstLineChars="200"/>
              <w:jc w:val="left"/>
              <w:rPr>
                <w:rStyle w:val="41"/>
                <w:rFonts w:ascii="宋体" w:hAnsi="宋体"/>
                <w:b/>
                <w:color w:val="auto"/>
                <w:highlight w:val="none"/>
              </w:rPr>
            </w:pPr>
            <w:r>
              <w:rPr>
                <w:rStyle w:val="41"/>
                <w:rFonts w:ascii="宋体" w:hAnsi="宋体"/>
                <w:b/>
                <w:color w:val="auto"/>
                <w:highlight w:val="none"/>
              </w:rPr>
              <w:t>采购过程中出现以下情形，导致电子交易平台无法正常运行，或者无法保证电子交易的公平、公正和安全时，采购组织机构可中止电子交易活动：</w:t>
            </w:r>
          </w:p>
          <w:p>
            <w:pPr>
              <w:shd w:val="clear" w:color="auto" w:fill="FFFFFF"/>
              <w:snapToGrid w:val="0"/>
              <w:spacing w:line="360" w:lineRule="exact"/>
              <w:jc w:val="left"/>
              <w:rPr>
                <w:rStyle w:val="41"/>
                <w:rFonts w:ascii="宋体" w:hAnsi="宋体"/>
                <w:b/>
                <w:color w:val="auto"/>
                <w:highlight w:val="none"/>
              </w:rPr>
            </w:pPr>
            <w:r>
              <w:rPr>
                <w:rStyle w:val="41"/>
                <w:rFonts w:ascii="宋体" w:hAnsi="宋体"/>
                <w:b/>
                <w:color w:val="auto"/>
                <w:highlight w:val="none"/>
              </w:rPr>
              <w:t>（一）电子交易平台发生故障而无法登录访问的； </w:t>
            </w:r>
          </w:p>
          <w:p>
            <w:pPr>
              <w:shd w:val="clear" w:color="auto" w:fill="FFFFFF"/>
              <w:snapToGrid w:val="0"/>
              <w:spacing w:line="360" w:lineRule="exact"/>
              <w:ind w:right="-216" w:rightChars="-103"/>
              <w:jc w:val="left"/>
              <w:rPr>
                <w:rStyle w:val="41"/>
                <w:rFonts w:ascii="宋体" w:hAnsi="宋体"/>
                <w:b/>
                <w:color w:val="auto"/>
                <w:highlight w:val="none"/>
              </w:rPr>
            </w:pPr>
            <w:r>
              <w:rPr>
                <w:rStyle w:val="41"/>
                <w:rFonts w:ascii="宋体" w:hAnsi="宋体"/>
                <w:b/>
                <w:color w:val="auto"/>
                <w:highlight w:val="none"/>
              </w:rPr>
              <w:t>（二）电子交易平台应用或数据库出现错误，不能进行正常操作的；</w:t>
            </w:r>
          </w:p>
          <w:p>
            <w:pPr>
              <w:shd w:val="clear" w:color="auto" w:fill="FFFFFF"/>
              <w:snapToGrid w:val="0"/>
              <w:spacing w:line="360" w:lineRule="exact"/>
              <w:jc w:val="left"/>
              <w:rPr>
                <w:rStyle w:val="41"/>
                <w:rFonts w:ascii="宋体" w:hAnsi="宋体"/>
                <w:b/>
                <w:color w:val="auto"/>
                <w:highlight w:val="none"/>
              </w:rPr>
            </w:pPr>
            <w:r>
              <w:rPr>
                <w:rStyle w:val="41"/>
                <w:rFonts w:ascii="宋体" w:hAnsi="宋体"/>
                <w:b/>
                <w:color w:val="auto"/>
                <w:highlight w:val="none"/>
              </w:rPr>
              <w:t>（三）电子交易平台发现严重安全漏洞，有潜在泄密危险的；</w:t>
            </w:r>
          </w:p>
          <w:p>
            <w:pPr>
              <w:shd w:val="clear" w:color="auto" w:fill="FFFFFF"/>
              <w:snapToGrid w:val="0"/>
              <w:spacing w:line="360" w:lineRule="exact"/>
              <w:jc w:val="left"/>
              <w:rPr>
                <w:rStyle w:val="41"/>
                <w:rFonts w:ascii="宋体" w:hAnsi="宋体"/>
                <w:b/>
                <w:color w:val="auto"/>
                <w:highlight w:val="none"/>
              </w:rPr>
            </w:pPr>
            <w:r>
              <w:rPr>
                <w:rStyle w:val="41"/>
                <w:rFonts w:ascii="宋体" w:hAnsi="宋体"/>
                <w:b/>
                <w:color w:val="auto"/>
                <w:highlight w:val="none"/>
              </w:rPr>
              <w:t>（四）病毒发作导致不能进行正常操作的； </w:t>
            </w:r>
          </w:p>
          <w:p>
            <w:pPr>
              <w:shd w:val="clear" w:color="auto" w:fill="FFFFFF"/>
              <w:snapToGrid w:val="0"/>
              <w:spacing w:line="360" w:lineRule="exact"/>
              <w:jc w:val="left"/>
              <w:rPr>
                <w:rStyle w:val="41"/>
                <w:rFonts w:ascii="宋体" w:hAnsi="宋体"/>
                <w:b/>
                <w:color w:val="auto"/>
                <w:highlight w:val="none"/>
              </w:rPr>
            </w:pPr>
            <w:r>
              <w:rPr>
                <w:rStyle w:val="41"/>
                <w:rFonts w:ascii="宋体" w:hAnsi="宋体"/>
                <w:b/>
                <w:color w:val="auto"/>
                <w:highlight w:val="none"/>
              </w:rPr>
              <w:t>（五）其他无法保证电子交易的公平、公正和安全的情况。</w:t>
            </w:r>
          </w:p>
          <w:p>
            <w:pPr>
              <w:pStyle w:val="180"/>
              <w:snapToGrid w:val="0"/>
              <w:ind w:firstLine="0" w:firstLineChars="0"/>
              <w:rPr>
                <w:rStyle w:val="41"/>
                <w:rFonts w:ascii="宋体" w:hAnsi="宋体"/>
                <w:b/>
                <w:color w:val="auto"/>
                <w:kern w:val="0"/>
                <w:szCs w:val="21"/>
                <w:highlight w:val="none"/>
              </w:rPr>
            </w:pPr>
            <w:r>
              <w:rPr>
                <w:rStyle w:val="41"/>
                <w:rFonts w:ascii="宋体" w:hAnsi="宋体"/>
                <w:b/>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color w:val="auto"/>
                <w:kern w:val="0"/>
                <w:highlight w:val="none"/>
              </w:rPr>
            </w:pPr>
            <w:r>
              <w:rPr>
                <w:rStyle w:val="41"/>
                <w:rFonts w:ascii="宋体" w:hAnsi="宋体"/>
                <w:color w:val="auto"/>
                <w:kern w:val="0"/>
                <w:highlight w:val="none"/>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80"/>
              <w:snapToGrid w:val="0"/>
              <w:ind w:firstLineChars="0"/>
              <w:jc w:val="center"/>
              <w:rPr>
                <w:rStyle w:val="41"/>
                <w:rFonts w:ascii="宋体" w:hAnsi="宋体"/>
                <w:b/>
                <w:color w:val="auto"/>
                <w:kern w:val="0"/>
                <w:highlight w:val="none"/>
              </w:rPr>
            </w:pPr>
            <w:r>
              <w:rPr>
                <w:rStyle w:val="41"/>
                <w:rFonts w:ascii="宋体" w:hAnsi="宋体"/>
                <w:b/>
                <w:color w:val="auto"/>
                <w:kern w:val="0"/>
                <w:szCs w:val="21"/>
                <w:highlight w:val="none"/>
              </w:rPr>
              <w:t>在线投标响应（电子投标）说明</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22" w:firstLineChars="200"/>
              <w:jc w:val="left"/>
              <w:rPr>
                <w:rStyle w:val="41"/>
                <w:rFonts w:ascii="宋体" w:hAnsi="宋体"/>
                <w:b/>
                <w:color w:val="auto"/>
                <w:kern w:val="0"/>
                <w:szCs w:val="21"/>
                <w:highlight w:val="none"/>
              </w:rPr>
            </w:pPr>
            <w:r>
              <w:rPr>
                <w:rStyle w:val="41"/>
                <w:rFonts w:ascii="宋体" w:hAnsi="宋体"/>
                <w:b/>
                <w:color w:val="auto"/>
                <w:kern w:val="0"/>
                <w:szCs w:val="21"/>
                <w:highlight w:val="none"/>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磋商时如遇平台技术问题详询400-881-7190。</w:t>
            </w:r>
          </w:p>
          <w:p>
            <w:pPr>
              <w:snapToGrid w:val="0"/>
              <w:spacing w:line="360" w:lineRule="exact"/>
              <w:ind w:firstLine="422" w:firstLineChars="200"/>
              <w:jc w:val="left"/>
              <w:rPr>
                <w:rStyle w:val="41"/>
                <w:rFonts w:ascii="宋体" w:hAnsi="宋体"/>
                <w:b/>
                <w:color w:val="auto"/>
                <w:kern w:val="0"/>
                <w:szCs w:val="21"/>
                <w:highlight w:val="none"/>
              </w:rPr>
            </w:pPr>
            <w:r>
              <w:rPr>
                <w:rStyle w:val="41"/>
                <w:rFonts w:ascii="宋体" w:hAnsi="宋体"/>
                <w:b/>
                <w:color w:val="auto"/>
                <w:kern w:val="0"/>
                <w:szCs w:val="21"/>
                <w:highlight w:val="none"/>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napToGrid w:val="0"/>
              <w:spacing w:line="360" w:lineRule="exact"/>
              <w:ind w:firstLine="422" w:firstLineChars="200"/>
              <w:jc w:val="left"/>
              <w:rPr>
                <w:rStyle w:val="41"/>
                <w:rFonts w:ascii="宋体" w:hAnsi="宋体"/>
                <w:b/>
                <w:color w:val="auto"/>
                <w:kern w:val="0"/>
                <w:szCs w:val="21"/>
                <w:highlight w:val="none"/>
              </w:rPr>
            </w:pPr>
            <w:r>
              <w:rPr>
                <w:rStyle w:val="41"/>
                <w:rFonts w:ascii="宋体" w:hAnsi="宋体"/>
                <w:b/>
                <w:color w:val="auto"/>
                <w:kern w:val="0"/>
                <w:szCs w:val="21"/>
                <w:highlight w:val="none"/>
              </w:rPr>
              <w:t>3、供应商应当在响应截止时间前，将生成的“电子加密响应文件”上传递交至“政府采购云平台”。响应截止时间以后上传递交的响应文件将被“政府采购云平台”拒收。</w:t>
            </w:r>
          </w:p>
          <w:p>
            <w:pPr>
              <w:snapToGrid w:val="0"/>
              <w:spacing w:line="360" w:lineRule="exact"/>
              <w:ind w:firstLine="422" w:firstLineChars="200"/>
              <w:jc w:val="left"/>
              <w:rPr>
                <w:rStyle w:val="41"/>
                <w:rFonts w:ascii="宋体" w:hAnsi="宋体"/>
                <w:b/>
                <w:color w:val="auto"/>
                <w:kern w:val="0"/>
                <w:szCs w:val="21"/>
                <w:highlight w:val="none"/>
              </w:rPr>
            </w:pPr>
            <w:r>
              <w:rPr>
                <w:rStyle w:val="41"/>
                <w:rFonts w:ascii="宋体" w:hAnsi="宋体"/>
                <w:b/>
                <w:color w:val="auto"/>
                <w:kern w:val="0"/>
                <w:szCs w:val="21"/>
                <w:highlight w:val="none"/>
              </w:rPr>
              <w:t>4、供应商在“政府采购云平台”完成“电子加密响应文件”的上传递交后，还可以（邮寄形式）在响应截止时间前递交以介质（U盘）存储的数据电文形式的“备份响应文件”，“备份响应文件”应当密封包装并在包装上标注项目名称、供应商名称并加盖公章。</w:t>
            </w:r>
          </w:p>
          <w:p>
            <w:pPr>
              <w:snapToGrid w:val="0"/>
              <w:spacing w:line="360" w:lineRule="exact"/>
              <w:ind w:firstLine="422" w:firstLineChars="200"/>
              <w:jc w:val="left"/>
              <w:rPr>
                <w:rStyle w:val="41"/>
                <w:rFonts w:ascii="宋体" w:hAnsi="宋体"/>
                <w:b/>
                <w:color w:val="auto"/>
                <w:kern w:val="0"/>
                <w:szCs w:val="21"/>
                <w:highlight w:val="none"/>
              </w:rPr>
            </w:pPr>
            <w:r>
              <w:rPr>
                <w:rStyle w:val="41"/>
                <w:rFonts w:ascii="宋体" w:hAnsi="宋体"/>
                <w:b/>
                <w:color w:val="auto"/>
                <w:kern w:val="0"/>
                <w:szCs w:val="21"/>
                <w:highlight w:val="none"/>
              </w:rPr>
              <w:t>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color w:val="auto"/>
                <w:kern w:val="0"/>
                <w:highlight w:val="none"/>
              </w:rPr>
            </w:pPr>
            <w:r>
              <w:rPr>
                <w:rStyle w:val="41"/>
                <w:rFonts w:ascii="宋体" w:hAnsi="宋体"/>
                <w:color w:val="auto"/>
                <w:kern w:val="0"/>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b/>
                <w:color w:val="auto"/>
                <w:kern w:val="0"/>
                <w:highlight w:val="none"/>
              </w:rPr>
            </w:pPr>
            <w:r>
              <w:rPr>
                <w:rStyle w:val="41"/>
                <w:rFonts w:ascii="宋体" w:hAnsi="宋体"/>
                <w:b/>
                <w:color w:val="auto"/>
                <w:kern w:val="0"/>
                <w:highlight w:val="none"/>
              </w:rPr>
              <w:t>面向中小企业</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Style w:val="41"/>
                <w:rFonts w:ascii="宋体" w:hAnsi="宋体"/>
                <w:color w:val="auto"/>
                <w:kern w:val="0"/>
                <w:szCs w:val="21"/>
                <w:highlight w:val="none"/>
              </w:rPr>
            </w:pPr>
            <w:r>
              <w:rPr>
                <w:rStyle w:val="41"/>
                <w:rFonts w:ascii="宋体" w:hAnsi="宋体"/>
                <w:color w:val="auto"/>
                <w:highlight w:val="none"/>
              </w:rPr>
              <w:t>（1）中小</w:t>
            </w:r>
            <w:r>
              <w:rPr>
                <w:rStyle w:val="41"/>
                <w:rFonts w:ascii="宋体" w:hAnsi="宋体"/>
                <w:color w:val="auto"/>
                <w:kern w:val="0"/>
                <w:szCs w:val="21"/>
                <w:highlight w:val="none"/>
              </w:rPr>
              <w:t>企业</w:t>
            </w:r>
          </w:p>
          <w:p>
            <w:pPr>
              <w:snapToGrid w:val="0"/>
              <w:spacing w:line="360" w:lineRule="exact"/>
              <w:ind w:firstLine="420" w:firstLineChars="200"/>
              <w:jc w:val="left"/>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20" w:firstLineChars="200"/>
              <w:jc w:val="left"/>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符合中小企业划分标准的个体工商户，在政府采购活动中视同中小企业。</w:t>
            </w:r>
          </w:p>
          <w:p>
            <w:pPr>
              <w:snapToGrid w:val="0"/>
              <w:spacing w:line="360" w:lineRule="exact"/>
              <w:ind w:firstLine="422" w:firstLineChars="200"/>
              <w:jc w:val="left"/>
              <w:rPr>
                <w:rStyle w:val="41"/>
                <w:rFonts w:ascii="宋体" w:hAnsi="宋体"/>
                <w:b/>
                <w:color w:val="auto"/>
                <w:kern w:val="0"/>
                <w:szCs w:val="21"/>
                <w:highlight w:val="none"/>
              </w:rPr>
            </w:pPr>
            <w:r>
              <w:rPr>
                <w:rStyle w:val="41"/>
                <w:rFonts w:ascii="宋体" w:hAnsi="宋体"/>
                <w:b/>
                <w:color w:val="auto"/>
                <w:kern w:val="0"/>
                <w:szCs w:val="21"/>
                <w:highlight w:val="none"/>
              </w:rPr>
              <w:t>响应文件中须同时出具《政府采购促进中小企业发展管理办法》【财库（2020）46号】规定的《中小企业声明函》。</w:t>
            </w:r>
          </w:p>
          <w:p>
            <w:pPr>
              <w:snapToGrid w:val="0"/>
              <w:spacing w:line="360" w:lineRule="exact"/>
              <w:jc w:val="left"/>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（2）残疾人福利性单位</w:t>
            </w:r>
          </w:p>
          <w:p>
            <w:pPr>
              <w:snapToGrid w:val="0"/>
              <w:spacing w:line="360" w:lineRule="exact"/>
              <w:ind w:firstLine="420" w:firstLineChars="200"/>
              <w:jc w:val="left"/>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符合《关于促进残疾人就业政府采购政策的通知》（财库〔2017〕141号）规定的条件并提供提供《残疾人福利性单位声明函》的残疾人福利性单位视同小型、微型企业。</w:t>
            </w:r>
          </w:p>
          <w:p>
            <w:pPr>
              <w:snapToGrid w:val="0"/>
              <w:spacing w:line="360" w:lineRule="exact"/>
              <w:jc w:val="left"/>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（3）监狱企业</w:t>
            </w:r>
          </w:p>
          <w:p>
            <w:pPr>
              <w:snapToGrid w:val="0"/>
              <w:spacing w:line="360" w:lineRule="exact"/>
              <w:ind w:firstLine="420" w:firstLineChars="200"/>
              <w:jc w:val="left"/>
              <w:rPr>
                <w:rStyle w:val="41"/>
                <w:rFonts w:ascii="宋体" w:hAnsi="宋体" w:cs="宋体"/>
                <w:bCs/>
                <w:color w:val="auto"/>
                <w:kern w:val="0"/>
                <w:szCs w:val="21"/>
                <w:highlight w:val="none"/>
              </w:rPr>
            </w:pPr>
            <w:r>
              <w:rPr>
                <w:rStyle w:val="41"/>
                <w:rFonts w:ascii="宋体" w:hAnsi="宋体" w:cs="宋体"/>
                <w:bCs/>
                <w:color w:val="auto"/>
                <w:kern w:val="0"/>
                <w:szCs w:val="21"/>
                <w:highlight w:val="none"/>
              </w:rPr>
              <w:t>根据《关于政府采购支持监狱企业发展有关问题的通知》（财库[2014]68号）的规定，供应商提供由省级以上监狱管理局、戒毒管理局（含新疆生产建设兵团）出具的属于监狱企业证明文件的，视同小型、微型企业。</w:t>
            </w:r>
          </w:p>
          <w:p>
            <w:pPr>
              <w:snapToGrid w:val="0"/>
              <w:spacing w:line="360" w:lineRule="exact"/>
              <w:ind w:firstLine="422" w:firstLineChars="200"/>
              <w:jc w:val="left"/>
              <w:rPr>
                <w:rStyle w:val="41"/>
                <w:rFonts w:ascii="宋体" w:hAnsi="宋体"/>
                <w:b/>
                <w:color w:val="auto"/>
                <w:kern w:val="0"/>
                <w:szCs w:val="21"/>
                <w:highlight w:val="none"/>
              </w:rPr>
            </w:pPr>
            <w:r>
              <w:rPr>
                <w:rStyle w:val="41"/>
                <w:rFonts w:ascii="宋体" w:hAnsi="宋体"/>
                <w:b/>
                <w:color w:val="auto"/>
                <w:kern w:val="0"/>
                <w:szCs w:val="21"/>
                <w:highlight w:val="none"/>
              </w:rPr>
              <w:t>本项目专门面向中小企业采购。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jc w:val="center"/>
        </w:trPr>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color w:val="auto"/>
                <w:kern w:val="0"/>
                <w:highlight w:val="none"/>
              </w:rPr>
            </w:pPr>
            <w:r>
              <w:rPr>
                <w:rStyle w:val="41"/>
                <w:rFonts w:ascii="宋体" w:hAnsi="宋体"/>
                <w:color w:val="auto"/>
                <w:kern w:val="0"/>
                <w:highlight w:val="none"/>
              </w:rPr>
              <w:t>11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b/>
                <w:color w:val="auto"/>
                <w:kern w:val="0"/>
                <w:highlight w:val="none"/>
              </w:rPr>
            </w:pPr>
            <w:r>
              <w:rPr>
                <w:rStyle w:val="41"/>
                <w:rFonts w:ascii="宋体" w:hAnsi="宋体"/>
                <w:b/>
                <w:color w:val="auto"/>
                <w:kern w:val="0"/>
                <w:szCs w:val="21"/>
                <w:highlight w:val="none"/>
              </w:rPr>
              <w:t>特别提醒</w:t>
            </w: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1"/>
                <w:rFonts w:ascii="宋体" w:hAnsi="宋体"/>
                <w:b/>
                <w:color w:val="auto"/>
                <w:highlight w:val="none"/>
              </w:rPr>
            </w:pPr>
            <w:r>
              <w:rPr>
                <w:rStyle w:val="41"/>
                <w:rFonts w:ascii="宋体" w:hAnsi="宋体"/>
                <w:b/>
                <w:color w:val="auto"/>
                <w:kern w:val="10"/>
                <w:szCs w:val="21"/>
                <w:highlight w:val="none"/>
              </w:rPr>
              <w:t>企业信用融资</w:t>
            </w:r>
            <w:r>
              <w:rPr>
                <w:rStyle w:val="41"/>
                <w:rFonts w:ascii="宋体" w:hAnsi="宋体"/>
                <w:color w:val="auto"/>
                <w:szCs w:val="21"/>
                <w:highlight w:val="none"/>
              </w:rPr>
              <w:t>：</w:t>
            </w:r>
            <w:r>
              <w:rPr>
                <w:rStyle w:val="41"/>
                <w:rFonts w:ascii="宋体" w:hAnsi="宋体"/>
                <w:color w:val="auto"/>
                <w:kern w:val="0"/>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jc w:val="center"/>
        </w:trPr>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color w:val="auto"/>
                <w:kern w:val="0"/>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Style w:val="41"/>
                <w:rFonts w:ascii="宋体" w:hAnsi="宋体"/>
                <w:b/>
                <w:color w:val="auto"/>
                <w:kern w:val="0"/>
                <w:highlight w:val="none"/>
              </w:rPr>
            </w:pPr>
          </w:p>
        </w:tc>
        <w:tc>
          <w:tcPr>
            <w:tcW w:w="62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Style w:val="41"/>
                <w:color w:val="auto"/>
                <w:highlight w:val="none"/>
              </w:rPr>
            </w:pPr>
            <w:r>
              <w:rPr>
                <w:rStyle w:val="41"/>
                <w:color w:val="auto"/>
                <w:highlight w:val="none"/>
              </w:rPr>
              <w:t>根据《关于在政府采购活动中查询及使用信用记录有关问题的通知》财库[2016]125号的规定：</w:t>
            </w:r>
          </w:p>
          <w:p>
            <w:pPr>
              <w:snapToGrid w:val="0"/>
              <w:spacing w:line="360" w:lineRule="exact"/>
              <w:rPr>
                <w:rStyle w:val="41"/>
                <w:color w:val="auto"/>
                <w:highlight w:val="none"/>
              </w:rPr>
            </w:pPr>
            <w:r>
              <w:rPr>
                <w:rStyle w:val="41"/>
                <w:color w:val="auto"/>
                <w:highlight w:val="none"/>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snapToGrid w:val="0"/>
              <w:spacing w:line="360" w:lineRule="exact"/>
              <w:rPr>
                <w:rStyle w:val="41"/>
                <w:color w:val="auto"/>
                <w:highlight w:val="none"/>
              </w:rPr>
            </w:pPr>
            <w:r>
              <w:rPr>
                <w:rStyle w:val="41"/>
                <w:color w:val="auto"/>
                <w:highlight w:val="none"/>
              </w:rPr>
              <w:t>2）查询渠道为信用中国网站（www.creditchina.gov.cn）、中国政府采购网（www.ccgp.gov.cn）；</w:t>
            </w:r>
          </w:p>
          <w:p>
            <w:pPr>
              <w:snapToGrid w:val="0"/>
              <w:spacing w:line="360" w:lineRule="exact"/>
              <w:rPr>
                <w:rStyle w:val="41"/>
                <w:color w:val="auto"/>
                <w:highlight w:val="none"/>
              </w:rPr>
            </w:pPr>
            <w:r>
              <w:rPr>
                <w:rStyle w:val="41"/>
                <w:color w:val="auto"/>
                <w:highlight w:val="none"/>
              </w:rPr>
              <w:t>3）信用信息截止时点为响应文件递交截止日；</w:t>
            </w:r>
          </w:p>
          <w:p>
            <w:pPr>
              <w:snapToGrid w:val="0"/>
              <w:spacing w:line="360" w:lineRule="exact"/>
              <w:rPr>
                <w:rStyle w:val="41"/>
                <w:color w:val="auto"/>
                <w:highlight w:val="none"/>
              </w:rPr>
            </w:pPr>
            <w:r>
              <w:rPr>
                <w:rStyle w:val="41"/>
                <w:color w:val="auto"/>
                <w:highlight w:val="none"/>
              </w:rPr>
              <w:t>4）信用信息查询记录和证据以网页截图等方式留存；</w:t>
            </w:r>
          </w:p>
          <w:p>
            <w:pPr>
              <w:snapToGrid w:val="0"/>
              <w:spacing w:line="360" w:lineRule="exact"/>
              <w:rPr>
                <w:rStyle w:val="41"/>
                <w:color w:val="auto"/>
                <w:highlight w:val="none"/>
              </w:rPr>
            </w:pPr>
            <w:r>
              <w:rPr>
                <w:rStyle w:val="41"/>
                <w:color w:val="auto"/>
                <w:highlight w:val="none"/>
              </w:rPr>
              <w:t>5）投标截止日当日网站显示的信用信息将作为资格审查的依据。</w:t>
            </w:r>
          </w:p>
          <w:p>
            <w:pPr>
              <w:snapToGrid w:val="0"/>
              <w:spacing w:line="360" w:lineRule="exact"/>
              <w:rPr>
                <w:rStyle w:val="41"/>
                <w:color w:val="auto"/>
                <w:highlight w:val="none"/>
              </w:rPr>
            </w:pPr>
            <w:r>
              <w:rPr>
                <w:rStyle w:val="41"/>
                <w:color w:val="auto"/>
                <w:highlight w:val="none"/>
              </w:rPr>
              <w:t>注：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32"/>
        <w:snapToGrid w:val="0"/>
        <w:rPr>
          <w:rStyle w:val="41"/>
          <w:rFonts w:ascii="宋体" w:hAnsi="宋体"/>
          <w:color w:val="auto"/>
          <w:highlight w:val="none"/>
        </w:rPr>
      </w:pPr>
      <w:r>
        <w:rPr>
          <w:rStyle w:val="41"/>
          <w:rFonts w:ascii="宋体" w:hAnsi="宋体"/>
          <w:color w:val="auto"/>
          <w:highlight w:val="none"/>
        </w:rPr>
        <w:br w:type="page"/>
      </w:r>
    </w:p>
    <w:p>
      <w:pPr>
        <w:pStyle w:val="32"/>
        <w:snapToGrid w:val="0"/>
        <w:outlineLvl w:val="0"/>
        <w:rPr>
          <w:rStyle w:val="41"/>
          <w:rFonts w:ascii="宋体" w:hAnsi="宋体"/>
          <w:color w:val="auto"/>
          <w:highlight w:val="none"/>
        </w:rPr>
      </w:pPr>
      <w:bookmarkStart w:id="800" w:name="_Toc6119"/>
      <w:r>
        <w:rPr>
          <w:rStyle w:val="41"/>
          <w:rFonts w:ascii="宋体" w:hAnsi="宋体"/>
          <w:color w:val="auto"/>
          <w:highlight w:val="none"/>
        </w:rPr>
        <w:t>第六章  供应商须知</w:t>
      </w:r>
      <w:bookmarkEnd w:id="800"/>
    </w:p>
    <w:p>
      <w:pPr>
        <w:pStyle w:val="33"/>
        <w:snapToGrid w:val="0"/>
        <w:ind w:firstLine="422"/>
        <w:rPr>
          <w:rStyle w:val="41"/>
          <w:rFonts w:ascii="宋体" w:hAnsi="宋体" w:cs="宋体"/>
          <w:color w:val="auto"/>
          <w:highlight w:val="none"/>
        </w:rPr>
      </w:pPr>
      <w:r>
        <w:rPr>
          <w:rStyle w:val="41"/>
          <w:rFonts w:ascii="宋体" w:hAnsi="宋体" w:cs="宋体"/>
          <w:color w:val="auto"/>
          <w:highlight w:val="none"/>
        </w:rPr>
        <w:t>一、总则</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1.1、实施依据</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本次采购工作是按照《中华人民共和国政府采购法》</w:t>
      </w:r>
      <w:r>
        <w:rPr>
          <w:rStyle w:val="41"/>
          <w:rFonts w:ascii="宋体" w:hAnsi="宋体"/>
          <w:color w:val="auto"/>
          <w:kern w:val="0"/>
          <w:szCs w:val="21"/>
          <w:highlight w:val="none"/>
        </w:rPr>
        <w:t>、《政府采购竞争性磋商采购方式管理暂行办法》</w:t>
      </w:r>
      <w:r>
        <w:rPr>
          <w:rStyle w:val="41"/>
          <w:color w:val="auto"/>
          <w:highlight w:val="none"/>
        </w:rPr>
        <w:t>、《浙江省政府采购项目电子交易管理暂行办法》</w:t>
      </w:r>
      <w:r>
        <w:rPr>
          <w:rStyle w:val="41"/>
          <w:rFonts w:ascii="宋体" w:hAnsi="宋体"/>
          <w:color w:val="auto"/>
          <w:highlight w:val="none"/>
        </w:rPr>
        <w:t>等有关法律、法规、规章、文件的规定组织和实施。</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1.2、采购方式：竞争性磋商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1.3、定义</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采购人：是指依法进行政府采购的国家机关、事业单位、团体组织，见“供应商须知前附表”；</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采购代理机构：受采购人委托，在委托的范围内办理政府采购事宜的机构，见“供应商须知前附表”；</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供应商：是指参加本政府采购项目磋商的供应商；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供应商代表：是指参加本项目磋商活动的供应商法定代表人或法定代表人授权代表；</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磋商联合体：是指两个以上供应商组成联合体，以一个供应商的身份参加磋商；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甲方：是指合同签订的一方，一般与采购人、用户相同；</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乙方：是指合同签订的另一方，与成交人相同；</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制造商：是指拥有响应产品自主知识产权的单位；</w:t>
      </w:r>
    </w:p>
    <w:p>
      <w:pPr>
        <w:pStyle w:val="180"/>
        <w:snapToGrid w:val="0"/>
        <w:spacing w:line="360" w:lineRule="auto"/>
        <w:ind w:firstLine="420"/>
        <w:rPr>
          <w:rFonts w:ascii="宋体" w:hAnsi="宋体" w:cs="宋体"/>
          <w:color w:val="auto"/>
          <w:kern w:val="0"/>
          <w:szCs w:val="21"/>
          <w:highlight w:val="none"/>
        </w:rPr>
      </w:pPr>
      <w:r>
        <w:rPr>
          <w:rStyle w:val="41"/>
          <w:rFonts w:ascii="宋体" w:hAnsi="宋体"/>
          <w:color w:val="auto"/>
          <w:highlight w:val="none"/>
        </w:rPr>
        <w:t>政府采购监管部门：</w:t>
      </w:r>
      <w:r>
        <w:rPr>
          <w:rStyle w:val="41"/>
          <w:rFonts w:ascii="宋体" w:hAnsi="宋体"/>
          <w:color w:val="auto"/>
          <w:kern w:val="0"/>
          <w:szCs w:val="21"/>
          <w:highlight w:val="none"/>
        </w:rPr>
        <w:t>浙江省财政厅政府采购监管处</w:t>
      </w:r>
      <w:r>
        <w:rPr>
          <w:rFonts w:hint="eastAsia" w:ascii="宋体" w:hAnsi="宋体" w:cs="宋体"/>
          <w:color w:val="auto"/>
          <w:kern w:val="0"/>
          <w:szCs w:val="21"/>
          <w:highlight w:val="none"/>
        </w:rPr>
        <w:t>、浙江省政府采购行政裁决服务中心（杭州）</w:t>
      </w:r>
    </w:p>
    <w:p>
      <w:pPr>
        <w:pStyle w:val="180"/>
        <w:snapToGrid w:val="0"/>
        <w:spacing w:line="360" w:lineRule="auto"/>
        <w:ind w:firstLine="420"/>
        <w:rPr>
          <w:rStyle w:val="41"/>
          <w:color w:val="auto"/>
          <w:highlight w:val="none"/>
        </w:rPr>
      </w:pPr>
      <w:r>
        <w:rPr>
          <w:rStyle w:val="41"/>
          <w:color w:val="auto"/>
          <w:highlight w:val="none"/>
        </w:rPr>
        <w:t>电子签章：本采购文件所称电子签章是指供应商单位法定名称电子公章。</w:t>
      </w:r>
    </w:p>
    <w:p>
      <w:pPr>
        <w:pStyle w:val="180"/>
        <w:snapToGrid w:val="0"/>
        <w:spacing w:line="360" w:lineRule="auto"/>
        <w:ind w:firstLine="420"/>
        <w:rPr>
          <w:rStyle w:val="41"/>
          <w:rFonts w:ascii="宋体" w:hAnsi="宋体"/>
          <w:color w:val="auto"/>
          <w:highlight w:val="none"/>
        </w:rPr>
      </w:pPr>
      <w:r>
        <w:rPr>
          <w:rStyle w:val="41"/>
          <w:rFonts w:ascii="宋体" w:hAnsi="宋体"/>
          <w:color w:val="auto"/>
          <w:szCs w:val="21"/>
          <w:highlight w:val="none"/>
        </w:rPr>
        <w:t>公章：本采购文件所称公章是指供应商单位法定名称章或者单位法定名称电子公章（即电子签章）。</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1.4、磋商文件接受联合体磋商的，应遵守以下规定：</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1）两个以上供应商可以组成一个联合体，以一个供应商的身份共同参加磋商；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2）组成联合体参加本项目磋商的，供应商须在购买竞争性磋商文件时向采购代理机构作出相关书面说明，否则响应无效；</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3）以联合体形式参加本项目磋商的，联合体的各成员均应当具备《中华人民共和国政府采购法》第二十二条规定的条件，</w:t>
      </w:r>
      <w:r>
        <w:rPr>
          <w:rStyle w:val="41"/>
          <w:rFonts w:ascii="宋体" w:hAnsi="宋体"/>
          <w:color w:val="auto"/>
          <w:szCs w:val="21"/>
          <w:highlight w:val="none"/>
        </w:rPr>
        <w:t>联合体各方中至少应当有一方符合采购人规定的特定条件</w:t>
      </w:r>
      <w:r>
        <w:rPr>
          <w:rStyle w:val="41"/>
          <w:rFonts w:ascii="宋体" w:hAnsi="宋体"/>
          <w:color w:val="auto"/>
          <w:kern w:val="0"/>
          <w:szCs w:val="21"/>
          <w:highlight w:val="none"/>
        </w:rPr>
        <w:t>，联合体中有同类资质的供应商按照联合体分工承担相同工作的，按照资质等级较低的供应商确定资质等级；</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联合体各方之间须签订磋商联合协议，明确约定联合体各方承担的工作和相应的责任，在磋商联合协议中指定本项目主办人，并将磋商联合协议作为响应文件组成的一部分；本项目的主体、关键性工作须由主办人完成，并在磋商联合协议中进行说明；</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5）联合体各方签订磋商联合协议后，不得再以自己名义单独在本项目中参加磋商，也不得组成新的联合体参加本项目磋商；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6）联合体各方共同与采购人签订采购合同，就采购合同约定的事项对采购人承担连带责任；</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7）响应文件须由主办人盖章及其全权代表签署。</w:t>
      </w:r>
    </w:p>
    <w:p>
      <w:pPr>
        <w:snapToGrid w:val="0"/>
        <w:spacing w:line="360" w:lineRule="auto"/>
        <w:ind w:firstLine="420" w:firstLineChars="200"/>
        <w:rPr>
          <w:rStyle w:val="41"/>
          <w:rFonts w:ascii="宋体" w:hAnsi="宋体" w:cs="宋体"/>
          <w:bCs/>
          <w:color w:val="auto"/>
          <w:highlight w:val="none"/>
        </w:rPr>
      </w:pPr>
      <w:r>
        <w:rPr>
          <w:rStyle w:val="41"/>
          <w:rFonts w:ascii="宋体" w:hAnsi="宋体" w:cs="宋体"/>
          <w:bCs/>
          <w:color w:val="auto"/>
          <w:highlight w:val="none"/>
        </w:rPr>
        <w:t>1.5、费用</w:t>
      </w:r>
    </w:p>
    <w:p>
      <w:pPr>
        <w:snapToGrid w:val="0"/>
        <w:spacing w:line="360" w:lineRule="auto"/>
        <w:ind w:firstLine="420" w:firstLineChars="200"/>
        <w:rPr>
          <w:rStyle w:val="41"/>
          <w:rFonts w:ascii="宋体" w:hAnsi="宋体" w:cs="宋体"/>
          <w:b/>
          <w:bCs/>
          <w:color w:val="auto"/>
          <w:highlight w:val="none"/>
        </w:rPr>
      </w:pPr>
      <w:r>
        <w:rPr>
          <w:rStyle w:val="41"/>
          <w:rFonts w:ascii="宋体" w:hAnsi="宋体"/>
          <w:color w:val="auto"/>
          <w:highlight w:val="none"/>
        </w:rPr>
        <w:t>无论磋商过程中的做法和结果如何，供应商自行承担磋商活动中所发生的全部费用。</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1.6、保密</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参与磋商活动的各方应对竞争性磋商文件和响应文件中的商业和技术等秘密保密，违者应对此造成的后果承担法律责任。</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1.7、语言文字</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除专用术语外，与磋商有关的语言使用中文。专用术语应附有中文注释。</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1.8、计量单位</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所有计量均采用中华人民共和国法定计量单位。</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1.9、踏勘现场</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1.9.1供应商须知前附表规定组织踏勘现场的，采购人按供应商须知前附表规定的时间、地点组织供应商踏勘项目现场。</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1.9.2供应商踏勘现场发生的费用自理。</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1.9.3除采购人的原因外，供应商自行负责在踏勘现场中所发生的人员伤亡和财产损失。</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1.9.4采购人在踏勘现场中介绍的场地和相关的周边环境情况，供应商在编制响应文件时参考，采购人不对供应商据此作出的判断和决策负责。</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1.10、答疑会（不召开）</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1.10.1供应商须知前附表规定召开答疑会的，采购人按供应商须知前附表规定的时间和地点召开答疑会，澄清供应商提出的问题。</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1.10.2供应商应在答疑会时间的前一天，以书面形式将提出的问题送达采购人，以便采购人在会议期间澄清。</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1.10.3答疑会后，采购人按本章2.4款规定对供应商所提问题进行澄清答复。</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1.11、分包</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供应商须知前附表规定允许分包的，供应商应当在响应文件载明分包的具体情况，应符合采购人在供应商须知前附表规定的分包内容、分包金额和接受分包的第三人资质要求等限制条件。</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1.12、偏离</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响应文件应完全响应竞争性磋商文件规定的实质性内容和条件。</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1.13、其他</w:t>
      </w:r>
    </w:p>
    <w:p>
      <w:pPr>
        <w:pStyle w:val="180"/>
        <w:snapToGrid w:val="0"/>
        <w:spacing w:line="360" w:lineRule="auto"/>
        <w:ind w:firstLine="420"/>
        <w:rPr>
          <w:rStyle w:val="41"/>
          <w:rFonts w:ascii="宋体" w:hAnsi="宋体"/>
          <w:b/>
          <w:color w:val="auto"/>
          <w:highlight w:val="none"/>
          <w:u w:val="single"/>
        </w:rPr>
      </w:pPr>
      <w:r>
        <w:rPr>
          <w:rStyle w:val="41"/>
          <w:rFonts w:ascii="宋体" w:hAnsi="宋体"/>
          <w:color w:val="auto"/>
          <w:highlight w:val="none"/>
        </w:rPr>
        <w:t>1.13.1▲</w:t>
      </w:r>
      <w:r>
        <w:rPr>
          <w:rStyle w:val="41"/>
          <w:rFonts w:ascii="宋体" w:hAnsi="宋体"/>
          <w:b/>
          <w:color w:val="auto"/>
          <w:highlight w:val="none"/>
          <w:u w:val="single" w:color="000000"/>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pStyle w:val="180"/>
        <w:snapToGrid w:val="0"/>
        <w:spacing w:line="360" w:lineRule="auto"/>
        <w:ind w:firstLine="422"/>
        <w:rPr>
          <w:rStyle w:val="41"/>
          <w:rFonts w:ascii="宋体" w:hAnsi="宋体"/>
          <w:color w:val="auto"/>
          <w:highlight w:val="none"/>
        </w:rPr>
      </w:pPr>
      <w:r>
        <w:rPr>
          <w:rStyle w:val="41"/>
          <w:rFonts w:ascii="宋体" w:hAnsi="宋体"/>
          <w:b/>
          <w:color w:val="auto"/>
          <w:highlight w:val="none"/>
        </w:rPr>
        <w:t>根据政府采购相关法律、法规、规章、文件规定并满足竞争性磋商文件规定资格条件的区域性分支机构、个体工商户、个人独资企业、合伙企业参加本项目磋商并由单位负责人签署的相关磋商资料与本竞争性磋商文件规定由法定代表人签署的文件材料具有同等效力。</w:t>
      </w:r>
    </w:p>
    <w:p>
      <w:pPr>
        <w:pStyle w:val="180"/>
        <w:snapToGrid w:val="0"/>
        <w:spacing w:line="360" w:lineRule="auto"/>
        <w:ind w:firstLine="420"/>
        <w:rPr>
          <w:rStyle w:val="41"/>
          <w:rFonts w:ascii="宋体" w:hAnsi="宋体" w:cs="宋体"/>
          <w:bCs/>
          <w:color w:val="auto"/>
          <w:highlight w:val="none"/>
        </w:rPr>
      </w:pPr>
      <w:r>
        <w:rPr>
          <w:rStyle w:val="41"/>
          <w:rFonts w:ascii="宋体" w:hAnsi="宋体"/>
          <w:color w:val="auto"/>
          <w:highlight w:val="none"/>
        </w:rPr>
        <w:t>1.13.2▲</w:t>
      </w:r>
      <w:r>
        <w:rPr>
          <w:rStyle w:val="41"/>
          <w:rFonts w:ascii="宋体" w:hAnsi="宋体" w:cs="宋体"/>
          <w:b/>
          <w:bCs/>
          <w:color w:val="auto"/>
          <w:highlight w:val="none"/>
          <w:u w:val="single" w:color="000000"/>
        </w:rPr>
        <w:t>供应商对所响应标项内的采购内容必须全部进行响应。</w:t>
      </w:r>
    </w:p>
    <w:p>
      <w:pPr>
        <w:pStyle w:val="180"/>
        <w:snapToGrid w:val="0"/>
        <w:spacing w:line="360" w:lineRule="auto"/>
        <w:ind w:firstLine="420"/>
        <w:rPr>
          <w:rStyle w:val="41"/>
          <w:rFonts w:ascii="宋体" w:hAnsi="宋体" w:cs="宋体"/>
          <w:bCs/>
          <w:color w:val="auto"/>
          <w:highlight w:val="none"/>
        </w:rPr>
      </w:pPr>
      <w:r>
        <w:rPr>
          <w:rStyle w:val="41"/>
          <w:rFonts w:ascii="宋体" w:hAnsi="宋体"/>
          <w:color w:val="auto"/>
          <w:highlight w:val="none"/>
        </w:rPr>
        <w:t>1.13.3</w:t>
      </w:r>
      <w:r>
        <w:rPr>
          <w:rStyle w:val="41"/>
          <w:rFonts w:ascii="宋体" w:hAnsi="宋体" w:cs="宋体"/>
          <w:bCs/>
          <w:color w:val="auto"/>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pStyle w:val="180"/>
        <w:snapToGrid w:val="0"/>
        <w:spacing w:line="360" w:lineRule="auto"/>
        <w:ind w:firstLine="420"/>
        <w:rPr>
          <w:rStyle w:val="41"/>
          <w:rFonts w:ascii="宋体" w:hAnsi="宋体" w:cs="宋体"/>
          <w:bCs/>
          <w:color w:val="auto"/>
          <w:highlight w:val="none"/>
        </w:rPr>
      </w:pPr>
      <w:r>
        <w:rPr>
          <w:rStyle w:val="41"/>
          <w:rFonts w:ascii="宋体" w:hAnsi="宋体" w:cs="宋体"/>
          <w:bCs/>
          <w:color w:val="auto"/>
          <w:highlight w:val="none"/>
        </w:rPr>
        <w:t>1.13.4 竞争性磋商文件中如有描述歧义或前后不一致的地方，磋商小组有权按公平、合理的原则进行评判，但对同一条款的评判适用于每个供应商。</w:t>
      </w:r>
    </w:p>
    <w:p>
      <w:pPr>
        <w:pStyle w:val="180"/>
        <w:snapToGrid w:val="0"/>
        <w:spacing w:line="360" w:lineRule="auto"/>
        <w:ind w:firstLine="420"/>
        <w:rPr>
          <w:rStyle w:val="41"/>
          <w:rFonts w:ascii="宋体" w:hAnsi="宋体"/>
          <w:color w:val="auto"/>
          <w:highlight w:val="none"/>
        </w:rPr>
      </w:pPr>
      <w:r>
        <w:rPr>
          <w:rStyle w:val="41"/>
          <w:rFonts w:ascii="宋体" w:hAnsi="宋体" w:cs="宋体"/>
          <w:bCs/>
          <w:color w:val="auto"/>
          <w:highlight w:val="none"/>
        </w:rPr>
        <w:t>1.13.5响应文件的响应内容必须真实、明确、准确。否则，磋商小组将对其作出不利的评审。</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w:t>
      </w:r>
      <w:r>
        <w:rPr>
          <w:rStyle w:val="41"/>
          <w:rFonts w:ascii="宋体" w:hAnsi="宋体" w:cs="宋体"/>
          <w:bCs/>
          <w:color w:val="auto"/>
          <w:highlight w:val="none"/>
        </w:rPr>
        <w:t>13.6乙</w:t>
      </w:r>
      <w:r>
        <w:rPr>
          <w:rStyle w:val="41"/>
          <w:rFonts w:ascii="宋体" w:hAnsi="宋体"/>
          <w:color w:val="auto"/>
          <w:highlight w:val="none"/>
        </w:rPr>
        <w:t>方为履行合同引起的相关人员的差旅费、食宿费以及其它不可预知的费用由乙方自理。合同实施过程中，须与</w:t>
      </w:r>
      <w:r>
        <w:rPr>
          <w:rStyle w:val="41"/>
          <w:rFonts w:hint="eastAsia" w:ascii="宋体" w:hAnsi="宋体"/>
          <w:color w:val="auto"/>
          <w:highlight w:val="none"/>
        </w:rPr>
        <w:t>采购人</w:t>
      </w:r>
      <w:r>
        <w:rPr>
          <w:rStyle w:val="41"/>
          <w:rFonts w:ascii="宋体" w:hAnsi="宋体"/>
          <w:color w:val="auto"/>
          <w:highlight w:val="none"/>
        </w:rPr>
        <w:t>积极配合。</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1.13.7项目资金为财政性投资，资金已落实。</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1.13.8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 xml:space="preserve">1.13.9不同供应商之间存在以下利害关系并且存在影响政府采购公平竞争行为的，不得参加同一合同项下的政府采购活动，相关投标供应商的投标均作无效处理： </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A.法定代表人或负责人或实际控制人是同一人；</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B.法定代表人或负责人或实际控制人是夫妻关系；</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C.法定代表人或负责人或实际控制人是直系血亲关系；</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D.法定代表人或负责人或实际控制人存在三代以内旁系血亲关系；</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E.法定代表人或负责人或实际控制人存在近姻亲关系；</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F.法定代表人或负责人或实际控制人存在股份控制或实际控制关系；</w:t>
      </w:r>
    </w:p>
    <w:p>
      <w:pPr>
        <w:snapToGrid w:val="0"/>
        <w:spacing w:line="360" w:lineRule="auto"/>
        <w:ind w:firstLine="422" w:firstLineChars="200"/>
        <w:rPr>
          <w:rStyle w:val="41"/>
          <w:rFonts w:ascii="宋体" w:hAnsi="宋体" w:cs="宋体"/>
          <w:b/>
          <w:bCs/>
          <w:color w:val="auto"/>
          <w:highlight w:val="none"/>
        </w:rPr>
      </w:pPr>
      <w:r>
        <w:rPr>
          <w:rStyle w:val="41"/>
          <w:rFonts w:ascii="宋体" w:hAnsi="宋体" w:cs="宋体"/>
          <w:b/>
          <w:bCs/>
          <w:color w:val="auto"/>
          <w:highlight w:val="none"/>
        </w:rPr>
        <w:t>G.存在共同直接或间接投资设立子公司、联营企业和合营企业情况；</w:t>
      </w:r>
    </w:p>
    <w:p>
      <w:pPr>
        <w:snapToGrid w:val="0"/>
        <w:spacing w:line="360" w:lineRule="auto"/>
        <w:ind w:firstLine="422" w:firstLineChars="200"/>
        <w:rPr>
          <w:rStyle w:val="41"/>
          <w:rFonts w:ascii="宋体" w:hAnsi="宋体"/>
          <w:b/>
          <w:color w:val="auto"/>
          <w:kern w:val="0"/>
          <w:szCs w:val="21"/>
          <w:highlight w:val="none"/>
          <w:u w:val="single"/>
        </w:rPr>
      </w:pPr>
      <w:r>
        <w:rPr>
          <w:rStyle w:val="41"/>
          <w:rFonts w:ascii="宋体" w:hAnsi="宋体" w:cs="宋体"/>
          <w:b/>
          <w:bCs/>
          <w:color w:val="auto"/>
          <w:highlight w:val="none"/>
        </w:rPr>
        <w:t>H.存在分级代理或代销关系、同一生产制造商关系、管理关系、重要业务（占主营业务收入50%以上）或重要财务往来关系（如融资）等其他实质性控制关系。</w:t>
      </w:r>
    </w:p>
    <w:p>
      <w:pPr>
        <w:snapToGrid w:val="0"/>
        <w:spacing w:line="360" w:lineRule="auto"/>
        <w:ind w:firstLine="422" w:firstLineChars="200"/>
        <w:rPr>
          <w:rStyle w:val="41"/>
          <w:rFonts w:ascii="宋体" w:hAnsi="宋体"/>
          <w:b/>
          <w:color w:val="auto"/>
          <w:kern w:val="0"/>
          <w:szCs w:val="21"/>
          <w:highlight w:val="none"/>
          <w:u w:val="single"/>
        </w:rPr>
      </w:pPr>
      <w:r>
        <w:rPr>
          <w:rStyle w:val="41"/>
          <w:rFonts w:ascii="宋体" w:hAnsi="宋体"/>
          <w:b/>
          <w:color w:val="auto"/>
          <w:kern w:val="0"/>
          <w:szCs w:val="21"/>
          <w:highlight w:val="none"/>
          <w:u w:val="single" w:color="000000"/>
        </w:rPr>
        <w:t>1.13.10磋商所使用的资格、资信、业绩、企业认证等证明材料必须为供应商自身所拥有，不同法人、其他组织资料与供应商无关，评审时不作为该供应商的依据。</w:t>
      </w:r>
    </w:p>
    <w:p>
      <w:pPr>
        <w:snapToGrid w:val="0"/>
        <w:spacing w:line="360" w:lineRule="auto"/>
        <w:ind w:firstLine="422" w:firstLineChars="200"/>
        <w:rPr>
          <w:rStyle w:val="41"/>
          <w:rFonts w:ascii="宋体" w:hAnsi="宋体"/>
          <w:b/>
          <w:color w:val="auto"/>
          <w:kern w:val="0"/>
          <w:szCs w:val="21"/>
          <w:highlight w:val="none"/>
          <w:u w:val="single"/>
        </w:rPr>
      </w:pPr>
      <w:r>
        <w:rPr>
          <w:rStyle w:val="41"/>
          <w:rFonts w:ascii="宋体" w:hAnsi="宋体"/>
          <w:b/>
          <w:color w:val="auto"/>
          <w:kern w:val="0"/>
          <w:szCs w:val="21"/>
          <w:highlight w:val="none"/>
          <w:u w:val="single" w:color="000000"/>
        </w:rPr>
        <w:t>1.13.11本项目所属行业：建筑业。</w:t>
      </w:r>
    </w:p>
    <w:p>
      <w:pPr>
        <w:pStyle w:val="33"/>
        <w:snapToGrid w:val="0"/>
        <w:ind w:firstLine="422"/>
        <w:rPr>
          <w:rStyle w:val="41"/>
          <w:rFonts w:ascii="宋体" w:hAnsi="宋体" w:cs="宋体"/>
          <w:color w:val="auto"/>
          <w:highlight w:val="none"/>
        </w:rPr>
      </w:pPr>
      <w:r>
        <w:rPr>
          <w:rStyle w:val="41"/>
          <w:rFonts w:ascii="宋体" w:hAnsi="宋体" w:cs="宋体"/>
          <w:color w:val="auto"/>
          <w:highlight w:val="none"/>
        </w:rPr>
        <w:t>二、竞争性磋商文件</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2.1、竞争性磋商文件组成</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2.1.1第一章 竞争性磋商公告</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2.1.2第二章 采购内容及技术要求</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2.1.3第三章 评审办法</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2.1.4第四章 采购合同</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2.1.5第五章 供应商须知前附表</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2.1.6第六章 供应商须知</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2.1.7第七章 响应文件格式</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2.1.8补充文件（如有）</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2.2、竞争性磋商文件的解释权</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竞争性磋商文件的解释权归采购人和采购代理机构所有。</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2.3、竞争性磋商文件的质疑</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2.3.1供应商认为竞争性磋商文件规定内容使自己的合法权益受到损害的，供应商可以提出书面质疑。</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2.3.2质疑书须包括以下内容：</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（一）质疑人的名称、地址、邮政编码、联系人、联系电话；</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（二）被质疑采购项目名称、编号及采购内容；</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（三）具体的质疑事项及事实依据；</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（四）认为自己合法权益受到损害或可能受到损害的相关证据材料；</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（五）提出质疑的日期。</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2.3.3质疑期限自供应商获得竞争性磋商文件之日起7个工作日内且在响应文件递交截止时间前向采购代理机构提出。</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2.3.4质疑书中涉及的相关材料中有外文资料的，应当将与质疑相关的外文资料完整、客观、真实地翻译为中文，并注明翻译人员姓名、工作单位、联系方式等信息。</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2.3.5质疑书必须署名，由法定代表人签字（或盖章）并加盖单位公章，否则不予受理。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2.3.6质疑书以直接提交、传真或邮寄方式提交（一式三份）。</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2.3.7质疑书以传真形式提交后，同时须向采购代理机构提交质疑书原件，实际收到原件之日作为收到质疑的日期。</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2.4、竞争性磋商文件的澄清</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2.4.1供应商对竞争性磋商文件如有疑问要求澄清，或认为有必要与采购代理机构进行技术交流，供应商需将书面资料在“供应商须知前附表”规定提疑截止时间前传真至采购代理机构，同时将电子文件发至“供应商须知前附表”注明的邮箱（电子邮件与书面文件有不一致的，以书面文件为准），并与采购代理机构进行确认。采购代理机构有权对提疑截止时间后的收到疑问将不予受理、答复。</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2.4.2 供应商要求澄清的资料应加盖单位公章、写明日期。</w:t>
      </w:r>
    </w:p>
    <w:p>
      <w:pPr>
        <w:pStyle w:val="180"/>
        <w:snapToGrid w:val="0"/>
        <w:spacing w:line="360" w:lineRule="auto"/>
        <w:ind w:firstLine="420"/>
        <w:rPr>
          <w:rStyle w:val="41"/>
          <w:color w:val="auto"/>
          <w:highlight w:val="none"/>
        </w:rPr>
      </w:pPr>
      <w:r>
        <w:rPr>
          <w:rStyle w:val="41"/>
          <w:rFonts w:ascii="宋体" w:hAnsi="宋体"/>
          <w:color w:val="auto"/>
          <w:highlight w:val="none"/>
        </w:rPr>
        <w:t>2.4.3 如有必要，采购代理机构和采购人对供应商所有要求澄清的问题都予以解答，澄清答复的文件为补充文件，作为采购文件的组成部分，补充文件将以网上公告等形式告知所有获取采购文件的 供应商，补充文件对供应商均有约束力。</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2.4.4补充文件发出后，采购人原则上不改变竞争性磋商文件规定的响应文件递交截止时间及开标时间。供应商如认为补充文件内容影响响应文件编制，须延长响应文件递交截止时间的，必须在</w:t>
      </w:r>
      <w:r>
        <w:rPr>
          <w:rStyle w:val="41"/>
          <w:color w:val="auto"/>
          <w:highlight w:val="none"/>
        </w:rPr>
        <w:t>更正公告发布</w:t>
      </w:r>
      <w:r>
        <w:rPr>
          <w:rStyle w:val="41"/>
          <w:rFonts w:ascii="宋体" w:hAnsi="宋体"/>
          <w:color w:val="auto"/>
          <w:highlight w:val="none"/>
        </w:rPr>
        <w:t>补充文件后24小时内将意见和理由以书面形式向采购代理机构提出，否则，采购代理机构视供应商完全接受并有足够的时间编制响应文件且按规定时间进行磋商。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2.4.5供应商在竞争性磋商文件规定的提疑截止时间前内未对竞争性磋商文件提出疑问的，采购代理机构将视其为无异议。</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2.4.6当竞争性磋商文件与补充文件就同一内容的表述不一致时，以最后发出的文件为准。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2.5、竞争性磋商文件的修改</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2.5.1 在响应文件提交的截止时间前，由于各种原因采购人可能以补充文件的形式修改完善竞争性磋商文件。</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2.5.2</w:t>
      </w:r>
      <w:r>
        <w:rPr>
          <w:rStyle w:val="41"/>
          <w:color w:val="auto"/>
          <w:highlight w:val="none"/>
        </w:rPr>
        <w:t>补充文件作为采购文件组成部分，补充文件将以网上公告等形式告知所有获取采购文件的</w:t>
      </w:r>
      <w:r>
        <w:rPr>
          <w:rStyle w:val="41"/>
          <w:color w:val="auto"/>
          <w:w w:val="99"/>
          <w:highlight w:val="none"/>
        </w:rPr>
        <w:t xml:space="preserve"> </w:t>
      </w:r>
      <w:r>
        <w:rPr>
          <w:rStyle w:val="41"/>
          <w:color w:val="auto"/>
          <w:highlight w:val="none"/>
        </w:rPr>
        <w:t>供应商，补充文件对供应商均有约束力。</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2.5.3补充文件发出后，采购人原则上不改变本文件规定的响应文件递交截止时间及开启时间。供应商如认为补充文件内容影响响应文件编制，须延长响应文件递交截止时间的，必须在</w:t>
      </w:r>
      <w:r>
        <w:rPr>
          <w:rStyle w:val="41"/>
          <w:color w:val="auto"/>
          <w:highlight w:val="none"/>
        </w:rPr>
        <w:t>更正公告发布</w:t>
      </w:r>
      <w:r>
        <w:rPr>
          <w:rStyle w:val="41"/>
          <w:rFonts w:ascii="宋体" w:hAnsi="宋体"/>
          <w:color w:val="auto"/>
          <w:highlight w:val="none"/>
        </w:rPr>
        <w:t>补充文件后24小时内将意见和理由以书面形式向采购代理机构提出，否则，采购代理机构视供应商完全接受并有足够的时间编制响应文件且按规定时间进行磋商。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2.5.4供应商收到补充文件后，对补充文件如有疑问要求澄清，应在24小时内将书面资料传真至采购代理机构，同时将电子文件发至“供应商须知前附表”注明的邮箱（电子邮件与书面文件有不一致的，以书面文件为准），并与采购代理机构进行确认。</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2.5.5供应商要求澄清的资料应加盖单位公章、写明日期。</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2.5.6对补充文件的澄清答复按2.4款规定。</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2.5.7当竞争性磋商文件与补充文件就同一内容的表述不一致时，以最后发出的文件为准。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2.5.8任何口头答复均不属于竞争性磋商文件的组成部分。</w:t>
      </w:r>
    </w:p>
    <w:p>
      <w:pPr>
        <w:pStyle w:val="33"/>
        <w:snapToGrid w:val="0"/>
        <w:ind w:firstLine="422"/>
        <w:rPr>
          <w:rStyle w:val="41"/>
          <w:rFonts w:ascii="宋体" w:hAnsi="宋体" w:cs="宋体"/>
          <w:color w:val="auto"/>
          <w:highlight w:val="none"/>
        </w:rPr>
      </w:pPr>
      <w:r>
        <w:rPr>
          <w:rStyle w:val="41"/>
          <w:rFonts w:ascii="宋体" w:hAnsi="宋体" w:cs="宋体"/>
          <w:color w:val="auto"/>
          <w:highlight w:val="none"/>
        </w:rPr>
        <w:t>三、响应文件</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3.1、响应文件</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3.1.1响应文件的形式：详见供应商须知前附表要求。</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3.1.2供应商应仔细阅读竞争性磋商文件规定的所有内容，以保证能全面准确理解竞争性磋商文件，并按照竞争性磋商文件要求，详细编制响应文件，响应文件内容必须针对本次磋商响应。</w:t>
      </w:r>
    </w:p>
    <w:p>
      <w:pPr>
        <w:pStyle w:val="180"/>
        <w:snapToGrid w:val="0"/>
        <w:spacing w:line="360" w:lineRule="auto"/>
        <w:ind w:firstLine="420"/>
        <w:rPr>
          <w:rStyle w:val="41"/>
          <w:rFonts w:ascii="宋体" w:hAnsi="宋体" w:cs="宋体"/>
          <w:bCs/>
          <w:color w:val="auto"/>
          <w:highlight w:val="none"/>
        </w:rPr>
      </w:pPr>
      <w:r>
        <w:rPr>
          <w:rStyle w:val="41"/>
          <w:rFonts w:ascii="宋体" w:hAnsi="宋体"/>
          <w:color w:val="auto"/>
          <w:highlight w:val="none"/>
        </w:rPr>
        <w:t>3.1.3供应商必须按竞争性磋商文件的要求提供相关资料，并对竞争性磋商文件中提出的所有内容要求给予实质性响应，须保证响应文件的准确、真实、明确</w:t>
      </w:r>
      <w:r>
        <w:rPr>
          <w:rStyle w:val="41"/>
          <w:rFonts w:ascii="宋体" w:hAnsi="宋体" w:cs="宋体"/>
          <w:bCs/>
          <w:color w:val="auto"/>
          <w:highlight w:val="none"/>
        </w:rPr>
        <w:t>。响应文件响应内容对竞争性磋商文件要求如有偏离均应填写偏离表，如不填写，采购人有权视作响应文件完全响应竞争性磋商文件要求。</w:t>
      </w:r>
    </w:p>
    <w:p>
      <w:pPr>
        <w:pStyle w:val="180"/>
        <w:snapToGrid w:val="0"/>
        <w:spacing w:line="360" w:lineRule="auto"/>
        <w:ind w:firstLine="422"/>
        <w:rPr>
          <w:rStyle w:val="41"/>
          <w:rFonts w:ascii="宋体" w:hAnsi="宋体"/>
          <w:b/>
          <w:color w:val="auto"/>
          <w:highlight w:val="none"/>
        </w:rPr>
      </w:pPr>
      <w:r>
        <w:rPr>
          <w:rStyle w:val="41"/>
          <w:rFonts w:ascii="宋体" w:hAnsi="宋体"/>
          <w:b/>
          <w:color w:val="auto"/>
          <w:highlight w:val="none"/>
        </w:rPr>
        <w:t>3.2、响应文件组成</w:t>
      </w:r>
    </w:p>
    <w:p>
      <w:pPr>
        <w:snapToGrid w:val="0"/>
        <w:spacing w:line="360" w:lineRule="auto"/>
        <w:ind w:firstLine="422" w:firstLineChars="200"/>
        <w:rPr>
          <w:rStyle w:val="41"/>
          <w:rFonts w:ascii="宋体" w:hAnsi="宋体"/>
          <w:b/>
          <w:color w:val="auto"/>
          <w:highlight w:val="none"/>
        </w:rPr>
      </w:pPr>
      <w:r>
        <w:rPr>
          <w:rStyle w:val="41"/>
          <w:rFonts w:ascii="宋体" w:hAnsi="宋体"/>
          <w:b/>
          <w:color w:val="auto"/>
          <w:highlight w:val="none"/>
        </w:rPr>
        <w:t>3.2.1响应文件报价文件</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（1）报价函；</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（2）初次报价一览表；</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（3）分项报价表；</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w:t>
      </w:r>
      <w:r>
        <w:rPr>
          <w:rStyle w:val="41"/>
          <w:color w:val="auto"/>
          <w:highlight w:val="none"/>
        </w:rPr>
        <w:t>缴纳采购代理服务费承诺书；</w:t>
      </w:r>
    </w:p>
    <w:p>
      <w:pPr>
        <w:snapToGrid w:val="0"/>
        <w:spacing w:line="360" w:lineRule="auto"/>
        <w:ind w:firstLine="422" w:firstLineChars="200"/>
        <w:rPr>
          <w:rStyle w:val="41"/>
          <w:rFonts w:ascii="宋体" w:hAnsi="宋体"/>
          <w:b/>
          <w:color w:val="auto"/>
          <w:highlight w:val="none"/>
        </w:rPr>
      </w:pPr>
      <w:r>
        <w:rPr>
          <w:rStyle w:val="41"/>
          <w:rFonts w:ascii="宋体" w:hAnsi="宋体"/>
          <w:b/>
          <w:color w:val="auto"/>
          <w:highlight w:val="none"/>
        </w:rPr>
        <w:t>3.2.2响应文件商务、技术文件</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（1）法定代表人资格证明书或附有法定代表人资格证明书的法定代表人授权书。</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（2）资格审查资料。</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（3）偏离表。</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（4）工程业绩。</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（5）技术文件部分。</w:t>
      </w:r>
    </w:p>
    <w:p>
      <w:pPr>
        <w:pStyle w:val="180"/>
        <w:snapToGrid w:val="0"/>
        <w:spacing w:line="360" w:lineRule="auto"/>
        <w:ind w:firstLine="420"/>
        <w:rPr>
          <w:rStyle w:val="41"/>
          <w:rFonts w:ascii="宋体" w:hAnsi="宋体"/>
          <w:color w:val="auto"/>
          <w:highlight w:val="none"/>
        </w:rPr>
      </w:pPr>
      <w:r>
        <w:rPr>
          <w:rStyle w:val="41"/>
          <w:rFonts w:ascii="宋体" w:hAnsi="宋体"/>
          <w:color w:val="auto"/>
          <w:szCs w:val="21"/>
          <w:highlight w:val="none"/>
        </w:rPr>
        <w:t>（6）供应商</w:t>
      </w:r>
      <w:r>
        <w:rPr>
          <w:rStyle w:val="41"/>
          <w:rFonts w:ascii="宋体" w:hAnsi="宋体"/>
          <w:color w:val="auto"/>
          <w:highlight w:val="none"/>
        </w:rPr>
        <w:t>认为需要提供的资料、采购文件要求提供的其他资料。</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3.3、响应文件的编制</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3.3.1供应商应先安装“政采云电子交易客户端”，并按照磋商文件中规定的 “响应文件格式”中提供的格式和“政府采购云平台”的要求，通过“政采云电子交易客户端”编制并加密响应文件。其中《商务技术文件》中不得出现本项目投标报价，如因供应商原因提前泄露投标报价，是供应商的责任。</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3.3.2响应文件应当对磋商文件规定的内容进行明确，对磋商文件规定的实质性内容应当作出响应。</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3.3.3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3.3.4响应文件份数要求详见“供应商须知前附表”。</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3.3.5响应文件应编制目录，供应商没有按照本章3.2款的要求提供全部资料，或者没有仔细阅读磋商文件，或者没有对磋商文件在各方面的要求作出实质性响应是供应商的风险，由此造成的一切后果由供应商自行承担。</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3.3.6由于字迹模糊或表达不清引起的后果由供应商负责。</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3.4、磋商报价</w:t>
      </w:r>
    </w:p>
    <w:p>
      <w:pPr>
        <w:pStyle w:val="180"/>
        <w:snapToGrid w:val="0"/>
        <w:spacing w:line="360" w:lineRule="auto"/>
        <w:ind w:firstLine="420"/>
        <w:rPr>
          <w:rStyle w:val="41"/>
          <w:rFonts w:ascii="宋体" w:hAnsi="宋体"/>
          <w:color w:val="auto"/>
          <w:highlight w:val="none"/>
          <w:u w:val="thick"/>
        </w:rPr>
      </w:pPr>
      <w:r>
        <w:rPr>
          <w:rStyle w:val="41"/>
          <w:rFonts w:ascii="宋体" w:hAnsi="宋体"/>
          <w:color w:val="auto"/>
          <w:highlight w:val="none"/>
        </w:rPr>
        <w:t>3.4.1 ▲</w:t>
      </w:r>
      <w:r>
        <w:rPr>
          <w:rStyle w:val="41"/>
          <w:rFonts w:ascii="宋体" w:hAnsi="宋体"/>
          <w:b/>
          <w:color w:val="auto"/>
          <w:highlight w:val="none"/>
          <w:u w:val="thick" w:color="000000"/>
        </w:rPr>
        <w:t>本次磋商报价为含税人民币价</w:t>
      </w:r>
      <w:r>
        <w:rPr>
          <w:rStyle w:val="41"/>
          <w:rFonts w:ascii="宋体" w:hAnsi="宋体"/>
          <w:color w:val="auto"/>
          <w:highlight w:val="none"/>
          <w:u w:val="thick" w:color="000000"/>
        </w:rPr>
        <w:t>。</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3.4.2 磋商报价</w:t>
      </w:r>
      <w:r>
        <w:rPr>
          <w:rStyle w:val="41"/>
          <w:rFonts w:ascii="宋体" w:hAnsi="宋体"/>
          <w:color w:val="auto"/>
          <w:kern w:val="0"/>
          <w:highlight w:val="none"/>
        </w:rPr>
        <w:t>投标报价以人民币为结算币种，</w:t>
      </w:r>
      <w:r>
        <w:rPr>
          <w:rStyle w:val="41"/>
          <w:rFonts w:ascii="宋体" w:hAnsi="宋体"/>
          <w:color w:val="auto"/>
          <w:highlight w:val="none"/>
        </w:rPr>
        <w:t>投标报价包括完成所有工程所产生的全部费用及采购代理服务费。工程质量须达到竞争性磋商文件规定的质量标准及使用要求。</w:t>
      </w:r>
    </w:p>
    <w:p>
      <w:pPr>
        <w:pStyle w:val="180"/>
        <w:snapToGrid w:val="0"/>
        <w:spacing w:line="360" w:lineRule="auto"/>
        <w:ind w:firstLine="420"/>
        <w:rPr>
          <w:rStyle w:val="41"/>
          <w:rFonts w:ascii="宋体" w:hAnsi="宋体" w:cs="宋体"/>
          <w:b/>
          <w:bCs/>
          <w:color w:val="auto"/>
          <w:highlight w:val="none"/>
          <w:u w:val="thick"/>
        </w:rPr>
      </w:pPr>
      <w:r>
        <w:rPr>
          <w:rStyle w:val="41"/>
          <w:rFonts w:ascii="宋体" w:hAnsi="宋体"/>
          <w:color w:val="auto"/>
          <w:highlight w:val="none"/>
        </w:rPr>
        <w:t>3.4.3 ▲</w:t>
      </w:r>
      <w:r>
        <w:rPr>
          <w:rStyle w:val="41"/>
          <w:rFonts w:ascii="宋体" w:hAnsi="宋体"/>
          <w:b/>
          <w:color w:val="auto"/>
          <w:highlight w:val="none"/>
          <w:u w:val="thick" w:color="000000"/>
        </w:rPr>
        <w:t>所投标项最后一轮报价只允许有一个报价，不接受有选择报价的响应文件。</w:t>
      </w:r>
    </w:p>
    <w:p>
      <w:pPr>
        <w:pStyle w:val="180"/>
        <w:snapToGrid w:val="0"/>
        <w:spacing w:line="360" w:lineRule="auto"/>
        <w:ind w:firstLine="420"/>
        <w:rPr>
          <w:rStyle w:val="41"/>
          <w:rFonts w:ascii="宋体" w:hAnsi="宋体"/>
          <w:b/>
          <w:color w:val="auto"/>
          <w:szCs w:val="21"/>
          <w:highlight w:val="none"/>
        </w:rPr>
      </w:pPr>
      <w:r>
        <w:rPr>
          <w:rStyle w:val="41"/>
          <w:rFonts w:ascii="宋体" w:hAnsi="宋体"/>
          <w:color w:val="auto"/>
          <w:highlight w:val="none"/>
        </w:rPr>
        <w:t>3.5、</w:t>
      </w:r>
      <w:r>
        <w:rPr>
          <w:rStyle w:val="41"/>
          <w:rFonts w:ascii="宋体" w:hAnsi="宋体"/>
          <w:b/>
          <w:color w:val="auto"/>
          <w:szCs w:val="21"/>
          <w:highlight w:val="none"/>
        </w:rPr>
        <w:t>磋商保证金</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3.5.1 本项目不需交纳磋商保证金。</w:t>
      </w:r>
    </w:p>
    <w:p>
      <w:pPr>
        <w:pStyle w:val="180"/>
        <w:snapToGrid w:val="0"/>
        <w:spacing w:line="360" w:lineRule="auto"/>
        <w:ind w:firstLineChars="0"/>
        <w:rPr>
          <w:rStyle w:val="41"/>
          <w:rFonts w:ascii="宋体" w:hAnsi="宋体"/>
          <w:color w:val="auto"/>
          <w:highlight w:val="none"/>
        </w:rPr>
      </w:pPr>
      <w:r>
        <w:rPr>
          <w:rStyle w:val="41"/>
          <w:rFonts w:ascii="宋体" w:hAnsi="宋体"/>
          <w:color w:val="auto"/>
          <w:highlight w:val="none"/>
        </w:rPr>
        <w:t>3.6、响应文件有效期</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3.6.1 响应文件有效期按“供应商须知前附表”规定，响应文件应在该有效期内保持有效。合同签订后，响应文件作为合同附件，响应文件有效期同合同有效期。</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3.6.2 在特殊情况下，采购人可与供应商协商延长响应文件有效期，这种要求和答复均应以网上公告或书面形式进行。</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3.6.3 供应商可拒绝接受延期要求。同意延长有效期的供应商不能修改响应文件。</w:t>
      </w:r>
    </w:p>
    <w:p>
      <w:pPr>
        <w:pStyle w:val="33"/>
        <w:snapToGrid w:val="0"/>
        <w:ind w:firstLine="422"/>
        <w:rPr>
          <w:rStyle w:val="41"/>
          <w:rFonts w:ascii="宋体" w:hAnsi="宋体" w:cs="宋体"/>
          <w:color w:val="auto"/>
          <w:highlight w:val="none"/>
        </w:rPr>
      </w:pPr>
      <w:r>
        <w:rPr>
          <w:rStyle w:val="41"/>
          <w:rFonts w:ascii="宋体" w:hAnsi="宋体" w:cs="宋体"/>
          <w:color w:val="auto"/>
          <w:highlight w:val="none"/>
        </w:rPr>
        <w:t>四、磋商响应</w:t>
      </w:r>
    </w:p>
    <w:p>
      <w:pPr>
        <w:pStyle w:val="180"/>
        <w:snapToGrid w:val="0"/>
        <w:spacing w:line="360" w:lineRule="auto"/>
        <w:ind w:firstLine="422"/>
        <w:rPr>
          <w:rStyle w:val="41"/>
          <w:rFonts w:ascii="宋体" w:hAnsi="宋体"/>
          <w:color w:val="auto"/>
          <w:sz w:val="24"/>
          <w:highlight w:val="none"/>
        </w:rPr>
      </w:pPr>
      <w:r>
        <w:rPr>
          <w:rStyle w:val="41"/>
          <w:rFonts w:ascii="宋体" w:hAnsi="宋体"/>
          <w:b/>
          <w:color w:val="auto"/>
          <w:highlight w:val="none"/>
        </w:rPr>
        <w:t>4.1、“电子加密响应文件”的上传、递交时间及地点：</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w:t>
      </w:r>
      <w:r>
        <w:rPr>
          <w:rStyle w:val="41"/>
          <w:rFonts w:ascii="宋体" w:hAnsi="宋体" w:cs="Arial"/>
          <w:b/>
          <w:bCs/>
          <w:color w:val="auto"/>
          <w:szCs w:val="32"/>
          <w:highlight w:val="none"/>
        </w:rPr>
        <w:t>1</w:t>
      </w:r>
      <w:r>
        <w:rPr>
          <w:rStyle w:val="41"/>
          <w:rFonts w:ascii="宋体" w:hAnsi="宋体"/>
          <w:color w:val="auto"/>
          <w:highlight w:val="none"/>
        </w:rPr>
        <w:t>.1</w:t>
      </w:r>
      <w:r>
        <w:rPr>
          <w:rStyle w:val="41"/>
          <w:rFonts w:ascii="宋体" w:hAnsi="宋体"/>
          <w:b/>
          <w:color w:val="auto"/>
          <w:highlight w:val="none"/>
        </w:rPr>
        <w:t>投标供应商应在投标截止时间前将“电子加密响应文件”成功上传递交至“政府采购云平台”，否则投标无效。</w:t>
      </w:r>
    </w:p>
    <w:p>
      <w:pPr>
        <w:pStyle w:val="180"/>
        <w:snapToGrid w:val="0"/>
        <w:spacing w:line="360" w:lineRule="auto"/>
        <w:ind w:firstLine="420"/>
        <w:rPr>
          <w:rStyle w:val="41"/>
          <w:rFonts w:ascii="宋体" w:hAnsi="宋体"/>
          <w:b/>
          <w:color w:val="auto"/>
          <w:highlight w:val="none"/>
        </w:rPr>
      </w:pPr>
      <w:r>
        <w:rPr>
          <w:rStyle w:val="41"/>
          <w:rFonts w:ascii="宋体" w:hAnsi="宋体"/>
          <w:color w:val="auto"/>
          <w:highlight w:val="none"/>
        </w:rPr>
        <w:t>4.</w:t>
      </w:r>
      <w:r>
        <w:rPr>
          <w:rStyle w:val="41"/>
          <w:rFonts w:ascii="宋体" w:hAnsi="宋体" w:cs="Arial"/>
          <w:b/>
          <w:bCs/>
          <w:color w:val="auto"/>
          <w:szCs w:val="32"/>
          <w:highlight w:val="none"/>
        </w:rPr>
        <w:t>1</w:t>
      </w:r>
      <w:r>
        <w:rPr>
          <w:rStyle w:val="41"/>
          <w:rFonts w:ascii="宋体" w:hAnsi="宋体"/>
          <w:b/>
          <w:color w:val="auto"/>
          <w:highlight w:val="none"/>
        </w:rPr>
        <w:t>.2“电子加密响应文件”成功上传递交后，供应商可自行打印响应文件接收回执。</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4.2、“备份响应文件”的密封包装、递交：</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4.2.1投标供应商在“政府采购云平台”完成“电子加密响应文件”的上传递交后，还可以（邮寄形式）在投标截止时间前递交以介质（U盘）存储的 “备份响应文件”（一份）；</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4.2.2“备份响应文件”应当密封包装，并在包装上标注投标项目名称、投标单位名称并加盖公章。没有密封包装或者逾期邮寄送达至投标地点的“备份响应文件”将不予接收；</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4.2.3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4.2.4采购人如因故推迟响应文件递交截止时间，应以</w:t>
      </w:r>
      <w:r>
        <w:rPr>
          <w:rStyle w:val="41"/>
          <w:color w:val="auto"/>
          <w:highlight w:val="none"/>
        </w:rPr>
        <w:t>更正公告</w:t>
      </w:r>
      <w:r>
        <w:rPr>
          <w:rStyle w:val="41"/>
          <w:rFonts w:ascii="宋体" w:hAnsi="宋体"/>
          <w:color w:val="auto"/>
          <w:highlight w:val="none"/>
        </w:rPr>
        <w:t>形式通知所有供应商。在这种情况下，采购人和供应商的权利和义务将受到新的响应文件提交的截止时间的约束。</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4.3、响应文件的修改和撤回</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4.3.1供应商在</w:t>
      </w:r>
      <w:r>
        <w:rPr>
          <w:rStyle w:val="41"/>
          <w:color w:val="auto"/>
          <w:highlight w:val="none"/>
        </w:rPr>
        <w:t>网上</w:t>
      </w:r>
      <w:r>
        <w:rPr>
          <w:rStyle w:val="41"/>
          <w:rFonts w:ascii="宋体" w:hAnsi="宋体"/>
          <w:color w:val="auto"/>
          <w:highlight w:val="none"/>
        </w:rPr>
        <w:t>递交响应文件以后如必须修改或撤回响应文件，必须在响应文件提交的截止时间以前在网上撤回响应文件，修改并重新递交电子响应文件</w:t>
      </w:r>
      <w:r>
        <w:rPr>
          <w:rStyle w:val="41"/>
          <w:color w:val="auto"/>
          <w:highlight w:val="none"/>
        </w:rPr>
        <w:t>，如已递交备份响应文件的，应同时将撤标通知邮寄到达或送达采购代理机构，并同时重新邮寄备份响应文件。</w:t>
      </w:r>
      <w:r>
        <w:rPr>
          <w:rStyle w:val="41"/>
          <w:rFonts w:ascii="宋体" w:hAnsi="宋体"/>
          <w:b/>
          <w:color w:val="auto"/>
          <w:kern w:val="0"/>
          <w:szCs w:val="21"/>
          <w:highlight w:val="none"/>
        </w:rPr>
        <w:t>投标截止时间后，供应商不得撤回、修改《响应文件》。</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4.4备选磋商方案</w:t>
      </w:r>
    </w:p>
    <w:p>
      <w:pPr>
        <w:pStyle w:val="180"/>
        <w:snapToGrid w:val="0"/>
        <w:spacing w:line="360" w:lineRule="auto"/>
        <w:ind w:firstLine="422"/>
        <w:rPr>
          <w:rStyle w:val="41"/>
          <w:rFonts w:ascii="宋体" w:hAnsi="宋体"/>
          <w:color w:val="auto"/>
          <w:sz w:val="24"/>
          <w:highlight w:val="none"/>
        </w:rPr>
      </w:pPr>
      <w:r>
        <w:rPr>
          <w:rStyle w:val="41"/>
          <w:rFonts w:ascii="宋体" w:hAnsi="宋体"/>
          <w:b/>
          <w:color w:val="auto"/>
          <w:highlight w:val="none"/>
        </w:rPr>
        <w:t>供应商不得提交备选响应方案，否则，响应文件将被判定为无效标。与“电子加密响应文件”同时生成的“备份响应文件”不是投标备选（替代）方案。</w:t>
      </w:r>
    </w:p>
    <w:p>
      <w:pPr>
        <w:pStyle w:val="33"/>
        <w:snapToGrid w:val="0"/>
        <w:ind w:firstLine="422"/>
        <w:rPr>
          <w:rStyle w:val="41"/>
          <w:rFonts w:ascii="宋体" w:hAnsi="宋体" w:cs="宋体"/>
          <w:color w:val="auto"/>
          <w:highlight w:val="none"/>
        </w:rPr>
      </w:pPr>
      <w:r>
        <w:rPr>
          <w:rStyle w:val="41"/>
          <w:rFonts w:ascii="宋体" w:hAnsi="宋体" w:cs="宋体"/>
          <w:color w:val="auto"/>
          <w:highlight w:val="none"/>
        </w:rPr>
        <w:t>五、</w:t>
      </w:r>
      <w:r>
        <w:rPr>
          <w:rStyle w:val="41"/>
          <w:rFonts w:ascii="宋体" w:hAnsi="宋体" w:cs="Arial"/>
          <w:color w:val="auto"/>
          <w:highlight w:val="none"/>
        </w:rPr>
        <w:t>开标、评标及合同签订</w:t>
      </w:r>
    </w:p>
    <w:p>
      <w:pPr>
        <w:pStyle w:val="180"/>
        <w:snapToGrid w:val="0"/>
        <w:spacing w:line="360" w:lineRule="auto"/>
        <w:ind w:firstLine="422"/>
        <w:rPr>
          <w:rStyle w:val="41"/>
          <w:rFonts w:ascii="宋体" w:hAnsi="宋体"/>
          <w:b/>
          <w:color w:val="auto"/>
          <w:highlight w:val="none"/>
        </w:rPr>
      </w:pPr>
      <w:r>
        <w:rPr>
          <w:rStyle w:val="41"/>
          <w:rFonts w:ascii="宋体" w:hAnsi="宋体"/>
          <w:b/>
          <w:color w:val="auto"/>
          <w:highlight w:val="none"/>
        </w:rPr>
        <w:t>5.1、开标</w:t>
      </w:r>
    </w:p>
    <w:p>
      <w:pPr>
        <w:pStyle w:val="180"/>
        <w:snapToGrid w:val="0"/>
        <w:spacing w:line="360" w:lineRule="auto"/>
        <w:ind w:firstLine="422"/>
        <w:rPr>
          <w:rStyle w:val="41"/>
          <w:rFonts w:ascii="宋体" w:hAnsi="宋体"/>
          <w:b/>
          <w:color w:val="auto"/>
          <w:highlight w:val="none"/>
        </w:rPr>
      </w:pPr>
      <w:r>
        <w:rPr>
          <w:rStyle w:val="41"/>
          <w:rFonts w:ascii="宋体" w:hAnsi="宋体"/>
          <w:b/>
          <w:color w:val="auto"/>
          <w:highlight w:val="none"/>
        </w:rPr>
        <w:t>5.1.1开标形式</w:t>
      </w:r>
    </w:p>
    <w:p>
      <w:pPr>
        <w:pStyle w:val="180"/>
        <w:snapToGrid w:val="0"/>
        <w:spacing w:line="360" w:lineRule="auto"/>
        <w:ind w:firstLine="422"/>
        <w:rPr>
          <w:rStyle w:val="41"/>
          <w:rFonts w:ascii="宋体" w:hAnsi="宋体"/>
          <w:b/>
          <w:color w:val="auto"/>
          <w:highlight w:val="none"/>
        </w:rPr>
      </w:pPr>
      <w:r>
        <w:rPr>
          <w:rStyle w:val="41"/>
          <w:rFonts w:ascii="宋体" w:hAnsi="宋体"/>
          <w:b/>
          <w:color w:val="auto"/>
          <w:highlight w:val="none"/>
        </w:rPr>
        <w:t>采购组织机构将按照采购文件规定的时间通过“政府采购云平台”组织开标、开启响应文件，所有供应商均应当准时在线参加。</w:t>
      </w:r>
    </w:p>
    <w:p>
      <w:pPr>
        <w:pStyle w:val="180"/>
        <w:snapToGrid w:val="0"/>
        <w:spacing w:line="360" w:lineRule="auto"/>
        <w:ind w:firstLine="422"/>
        <w:rPr>
          <w:rStyle w:val="41"/>
          <w:rFonts w:ascii="宋体" w:hAnsi="宋体"/>
          <w:b/>
          <w:color w:val="auto"/>
          <w:highlight w:val="none"/>
        </w:rPr>
      </w:pPr>
      <w:r>
        <w:rPr>
          <w:rStyle w:val="41"/>
          <w:rFonts w:ascii="宋体" w:hAnsi="宋体"/>
          <w:b/>
          <w:color w:val="auto"/>
          <w:highlight w:val="none"/>
        </w:rPr>
        <w:t xml:space="preserve">5.1.2开标准备 </w:t>
      </w:r>
    </w:p>
    <w:p>
      <w:pPr>
        <w:pStyle w:val="180"/>
        <w:snapToGrid w:val="0"/>
        <w:spacing w:line="360" w:lineRule="auto"/>
        <w:ind w:firstLine="422"/>
        <w:rPr>
          <w:rStyle w:val="41"/>
          <w:rFonts w:ascii="宋体" w:hAnsi="宋体"/>
          <w:b/>
          <w:color w:val="auto"/>
          <w:highlight w:val="none"/>
        </w:rPr>
      </w:pPr>
      <w:r>
        <w:rPr>
          <w:rStyle w:val="41"/>
          <w:rFonts w:ascii="宋体" w:hAnsi="宋体"/>
          <w:b/>
          <w:color w:val="auto"/>
          <w:highlight w:val="none"/>
        </w:rPr>
        <w:t>开标的准备工作由采购组织机构负责落实；</w:t>
      </w:r>
    </w:p>
    <w:p>
      <w:pPr>
        <w:pStyle w:val="180"/>
        <w:snapToGrid w:val="0"/>
        <w:spacing w:line="360" w:lineRule="auto"/>
        <w:ind w:firstLine="422"/>
        <w:rPr>
          <w:rStyle w:val="41"/>
          <w:rFonts w:ascii="宋体" w:hAnsi="宋体"/>
          <w:b/>
          <w:color w:val="auto"/>
          <w:highlight w:val="none"/>
        </w:rPr>
      </w:pPr>
      <w:r>
        <w:rPr>
          <w:rStyle w:val="41"/>
          <w:rFonts w:ascii="宋体" w:hAnsi="宋体"/>
          <w:b/>
          <w:color w:val="auto"/>
          <w:highlight w:val="none"/>
        </w:rPr>
        <w:t>采购组织机构将按照磋商文件规定的时间通过“政府采购云平台”组织开标、开启响应文件，所有供应商均应当准时在线参加（因供应商需要及时进行标书在线解密）。供应商如不在线参加的，视同认可开标结果，事后不得对开标结果提出异议，同时供应商因未在线参加开标而导致响应文件无法按时解密等一切后果由供应商自己承担。</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5.1.3</w:t>
      </w:r>
      <w:r>
        <w:rPr>
          <w:rStyle w:val="41"/>
          <w:rFonts w:ascii="宋体" w:hAnsi="宋体"/>
          <w:b/>
          <w:color w:val="auto"/>
          <w:highlight w:val="none"/>
        </w:rPr>
        <w:t>开标流程(两阶段)</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5.1.3.1开标第一阶段</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（2）响应文件解密结束，通过邮件形式发送各供应商组织签署《政府采购活动现场确认声明书》及《商务技术开标标录》；</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（3）开启商务技术响应文件，进入符合性审查（包括资格审查）；</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（4）符合性审查通过的供应商的商务技术文件进入商务技术评审；</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（5）第一阶段开标结束。</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5.1.3.2开标第二阶段</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（1）符合性审查、商务技术评审结束后，进行开标第二阶段。</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（2）开启符合性审查、商务技术评审有效供应商的《报价文件》（供应商在线确认）。结束后，由磋商小组对报价的合理性、准确性等进行审查核实，并在线进行磋商报价及评审。</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（3）供应商在规定时间内在线提交最终报价。</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（4）评审结束后，供应商可自行在线查看报价、得分、排序等信息。</w:t>
      </w:r>
    </w:p>
    <w:p>
      <w:pPr>
        <w:pStyle w:val="180"/>
        <w:snapToGrid w:val="0"/>
        <w:spacing w:line="360" w:lineRule="auto"/>
        <w:ind w:firstLine="422"/>
        <w:rPr>
          <w:rStyle w:val="41"/>
          <w:rFonts w:ascii="宋体" w:hAnsi="宋体"/>
          <w:b/>
          <w:color w:val="auto"/>
          <w:highlight w:val="none"/>
        </w:rPr>
      </w:pPr>
      <w:r>
        <w:rPr>
          <w:rStyle w:val="41"/>
          <w:rFonts w:ascii="宋体" w:hAnsi="宋体"/>
          <w:b/>
          <w:color w:val="auto"/>
          <w:highlight w:val="none"/>
        </w:rPr>
        <w:t>特别说明：如遇“政府采购云平台”电子化开标或评审程序调整的，按调整后程序执行。</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5.1.4开标时，响应文件中的开标一览表内容与响应文件中明细表内容不一致的，以开标一览表为准；响应文件的大写金额和小写金额不一致的，以大写金额为准；对不同文字文本响应文件的解释发生异议的，以中文文本为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5.2响应文件符合性评审</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5.2.1磋商小组将首先审查每份响应文件是否实质上响应了竞争性磋商文件的要求，实质性响应的响应文件是指响应文件符合竞争性磋商文件规定的实质性内容、条件和规定。</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5.2.2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5.2.3细微偏离是指响应文件对竞争性磋商文件的非实质性内容存在不完全响应或不响应。</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5.2.4重大偏离和保留、细微偏离由磋商小组界定。符合性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pStyle w:val="33"/>
        <w:snapToGrid w:val="0"/>
        <w:ind w:firstLine="422"/>
        <w:rPr>
          <w:rStyle w:val="41"/>
          <w:rFonts w:ascii="宋体" w:hAnsi="宋体" w:cs="宋体"/>
          <w:color w:val="auto"/>
          <w:highlight w:val="none"/>
        </w:rPr>
      </w:pPr>
      <w:r>
        <w:rPr>
          <w:rStyle w:val="41"/>
          <w:rFonts w:ascii="宋体" w:hAnsi="宋体" w:cs="宋体"/>
          <w:color w:val="auto"/>
          <w:highlight w:val="none"/>
        </w:rPr>
        <w:t>六、磋商</w:t>
      </w:r>
    </w:p>
    <w:p>
      <w:pPr>
        <w:snapToGrid w:val="0"/>
        <w:spacing w:line="360" w:lineRule="auto"/>
        <w:ind w:firstLine="420" w:firstLineChars="200"/>
        <w:rPr>
          <w:rStyle w:val="41"/>
          <w:rFonts w:ascii="宋体" w:hAnsi="宋体"/>
          <w:color w:val="auto"/>
          <w:highlight w:val="none"/>
        </w:rPr>
      </w:pPr>
      <w:r>
        <w:rPr>
          <w:rStyle w:val="41"/>
          <w:rFonts w:ascii="宋体" w:hAnsi="宋体"/>
          <w:color w:val="auto"/>
          <w:highlight w:val="none"/>
        </w:rPr>
        <w:t>6.1、符合性评审工作内容：具体详见评审办法。</w:t>
      </w:r>
    </w:p>
    <w:p>
      <w:pPr>
        <w:pStyle w:val="114"/>
        <w:snapToGrid w:val="0"/>
        <w:spacing w:line="360" w:lineRule="auto"/>
        <w:ind w:firstLine="420" w:firstLineChars="200"/>
        <w:rPr>
          <w:rStyle w:val="41"/>
          <w:rFonts w:hAnsi="宋体"/>
          <w:color w:val="auto"/>
          <w:szCs w:val="24"/>
          <w:highlight w:val="none"/>
        </w:rPr>
      </w:pPr>
      <w:r>
        <w:rPr>
          <w:rStyle w:val="41"/>
          <w:rFonts w:hAnsi="宋体"/>
          <w:color w:val="auto"/>
          <w:szCs w:val="24"/>
          <w:highlight w:val="none"/>
        </w:rPr>
        <w:t>依据法律法规及竞争性磋商文件的规定，对响应文件中的提供的资格证明材料进行审查，以确定供应商是否具备磋商资格。</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依据竞争性磋商文件的规定，从响应文件的有效性、完整性和对竞争性磋商文件的响应程度进行审查，以确定是否对竞争性磋商文件的实质性要求作出响应。</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6.2、响应文件的澄清</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6.2.1磋商小组可要求供应商对响应文件中含义不明确、同类问题表述不一致、有明显的文字和计算错误的内容等进行澄清并做出答复。</w:t>
      </w:r>
      <w:r>
        <w:rPr>
          <w:rStyle w:val="41"/>
          <w:color w:val="auto"/>
          <w:highlight w:val="none"/>
        </w:rPr>
        <w:t>澄清以</w:t>
      </w:r>
      <w:r>
        <w:rPr>
          <w:rStyle w:val="41"/>
          <w:rFonts w:ascii="宋体" w:hAnsi="宋体"/>
          <w:color w:val="auto"/>
          <w:highlight w:val="none"/>
        </w:rPr>
        <w:t>通过“政府采购云平台”</w:t>
      </w:r>
      <w:r>
        <w:rPr>
          <w:rStyle w:val="41"/>
          <w:color w:val="auto"/>
          <w:highlight w:val="none"/>
        </w:rPr>
        <w:t>在线询标的形式进行。</w:t>
      </w:r>
      <w:r>
        <w:rPr>
          <w:rStyle w:val="41"/>
          <w:rFonts w:ascii="宋体" w:hAnsi="宋体"/>
          <w:color w:val="auto"/>
          <w:highlight w:val="none"/>
        </w:rPr>
        <w:t>要求供应商在规定的时间内作出必要的澄清、说明或者补正，供应商人澄清、说明或补正时间为30分钟以内。</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6.2.2 供应商对响应文件的澄清不得超出响应文件的范围或者改变响应文件的实质性内容。</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6.3、错误修正：详见评审办法。</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6.4、磋商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6.4.1 采购人将按相关规定组织磋商小组，对响应文件进行审查、比较和评价。</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6.4.2 评审原则</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6.4.3评审办法</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评审办法详见第三章。</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6.5、废标</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在采购中，出现下列情形之一的，应予废标：</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（1）出现影响采购公正的违法、违规行为的；</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（2）符合专业条件的供应商或者对磋商文件作实质响应的供应商不足三家的；</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 xml:space="preserve">（3）供应商的报价均超过了采购预算，采购人不能支付的； </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（4）因重大变故，采购任务取消的。</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w:t>
      </w:r>
      <w:r>
        <w:rPr>
          <w:rStyle w:val="41"/>
          <w:rFonts w:ascii="宋体" w:hAnsi="宋体"/>
          <w:b/>
          <w:color w:val="auto"/>
          <w:highlight w:val="none"/>
        </w:rPr>
        <w:t>电子交易平台无法正常运行，无法保证电子交易的公平、公正和安全的情况。</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6.6、确认采购结果</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评审结束后，根据磋商小组推荐，采购人按政府采购有关规定确定成交人。</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6.7、结果公告</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在采购人确认采购结果后，采购代理机构按相关政府采购规定将成交结果发布在政府采购网上进行公告，公告期为1个工作日。采购人、采购代理机构及磋商小组对未成交的供应商不作落标原因解释。</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w:t>
      </w:r>
      <w:r>
        <w:rPr>
          <w:rStyle w:val="41"/>
          <w:rFonts w:ascii="宋体" w:hAnsi="宋体" w:cs="宋体"/>
          <w:bCs/>
          <w:color w:val="auto"/>
          <w:highlight w:val="none"/>
        </w:rPr>
        <w:t>8、</w:t>
      </w:r>
      <w:r>
        <w:rPr>
          <w:rStyle w:val="41"/>
          <w:rFonts w:ascii="宋体" w:hAnsi="宋体"/>
          <w:color w:val="auto"/>
          <w:highlight w:val="none"/>
        </w:rPr>
        <w:t>采购过程、采购结果质疑</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6.8.1供应商认为采购过程、采购结果使自己的合法权益受到损害的，供应商可以提出书面质疑。</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6.8.2质疑书须包括以下内容：</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（1）质疑人的名称、地址、邮政编码、联系人、联系电话，以及被质疑人名称及联系方式；</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（2）被质疑采购项目名称、编号及采购内容；</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（3）具体的质疑事项及事实依据；</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（4）认为自己合法权益受到损害或可能受到损害的相关证据材料；</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（5）提出质疑的日期。</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6.8.3采购过程的质疑期限自各采购程序环节结束之日起计算，7个工作日内向采购代理机构提出，逾期提出不予受理。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采购结果的质疑期限自采购结果公告（包括结果公示、结果变更公告等）之日起计算，7个工作日内向采购代理机构提出，逾期提出不予受理。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6.8.4质疑书中涉及的相关材料中有外文资料的，应当将与质疑相关的外文资料完整、客观、真实地翻译为中文，并注明翻译人员姓名、工作单位、联系方式等信息。</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6.8.5质疑书必须署名，由法定代表人签字（或盖章）并加盖单位公章，否则不予受理。</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6.8.6质疑书以直接提交、传真或邮寄方式提交（一式三份）。</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6.8.7质疑书以传真形式提交后，同时须向采购代理机构提交质疑书原件，采购代理机构以收到原件之日作为收到质疑日。</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6.9、发出成交通知书</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6.9.1采购人及采购代理机构将以书面形式向成交人发出成交通知书。</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6.10、签订合同</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6.10.1 成交人应在接到成交通知书后按成交通知书规定的时间、地点与采购人签订合同。</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6.10.2竞争性磋商文件及补充文件、成交人的响应文件及磋商修改文件、评审过程中有关澄清文件和成交通知书均作为合同附件。</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6.10.3拒签合同的责任</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成交人接到成交通知书后，在规定时间内借故否认已经承诺的条件而拒签合同者，以磋商违约处理，并赔偿采购人由此造成的直接经济损失。采购人将向政府采购监管部门进行汇报。</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6.11、履约保证金</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6.11.1成交人在签订合同后按“供应商须知前附表”规定的缴纳履约保证金。</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6.11.2履约保证金有效期按“供应商须知前附表”规定。</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6.11.3履约保证金退还：按“供应商须知前附表”规定。</w:t>
      </w:r>
    </w:p>
    <w:p>
      <w:pPr>
        <w:pStyle w:val="180"/>
        <w:snapToGrid w:val="0"/>
        <w:spacing w:line="360" w:lineRule="auto"/>
        <w:ind w:firstLine="420"/>
        <w:rPr>
          <w:rStyle w:val="41"/>
          <w:rFonts w:ascii="宋体" w:hAnsi="宋体"/>
          <w:color w:val="auto"/>
          <w:highlight w:val="none"/>
        </w:rPr>
      </w:pPr>
      <w:r>
        <w:rPr>
          <w:rStyle w:val="41"/>
          <w:rFonts w:ascii="宋体" w:hAnsi="宋体"/>
          <w:color w:val="auto"/>
          <w:highlight w:val="none"/>
        </w:rPr>
        <w:t>6.12、采购代理服务费</w:t>
      </w:r>
    </w:p>
    <w:p>
      <w:pPr>
        <w:pStyle w:val="114"/>
        <w:snapToGrid w:val="0"/>
        <w:spacing w:line="360" w:lineRule="auto"/>
        <w:ind w:firstLine="420" w:firstLineChars="200"/>
        <w:rPr>
          <w:rStyle w:val="41"/>
          <w:rFonts w:hAnsi="宋体"/>
          <w:color w:val="auto"/>
          <w:highlight w:val="none"/>
        </w:rPr>
      </w:pPr>
      <w:r>
        <w:rPr>
          <w:rStyle w:val="41"/>
          <w:rFonts w:hAnsi="宋体"/>
          <w:color w:val="auto"/>
          <w:highlight w:val="none"/>
        </w:rPr>
        <w:t>本次采购代理服务费按“供应商须知前附表”规定收取。</w:t>
      </w:r>
    </w:p>
    <w:p>
      <w:pPr>
        <w:pStyle w:val="114"/>
        <w:snapToGrid w:val="0"/>
        <w:spacing w:line="360" w:lineRule="auto"/>
        <w:ind w:firstLine="422" w:firstLineChars="200"/>
        <w:rPr>
          <w:rStyle w:val="41"/>
          <w:rFonts w:hAnsi="宋体"/>
          <w:b/>
          <w:color w:val="auto"/>
          <w:highlight w:val="none"/>
        </w:rPr>
      </w:pPr>
      <w:r>
        <w:rPr>
          <w:rStyle w:val="41"/>
          <w:rFonts w:hAnsi="宋体"/>
          <w:b/>
          <w:color w:val="auto"/>
          <w:highlight w:val="none"/>
        </w:rPr>
        <w:br w:type="page"/>
      </w:r>
    </w:p>
    <w:p>
      <w:pPr>
        <w:pStyle w:val="114"/>
        <w:snapToGrid w:val="0"/>
        <w:spacing w:line="360" w:lineRule="auto"/>
        <w:ind w:firstLine="420" w:firstLineChars="200"/>
        <w:rPr>
          <w:rStyle w:val="41"/>
          <w:rFonts w:hAnsi="宋体"/>
          <w:color w:val="auto"/>
          <w:highlight w:val="none"/>
        </w:rPr>
      </w:pPr>
    </w:p>
    <w:p>
      <w:pPr>
        <w:pStyle w:val="32"/>
        <w:snapToGrid w:val="0"/>
        <w:outlineLvl w:val="0"/>
        <w:rPr>
          <w:rStyle w:val="41"/>
          <w:rFonts w:ascii="宋体" w:hAnsi="宋体"/>
          <w:b w:val="0"/>
          <w:color w:val="auto"/>
          <w:highlight w:val="none"/>
        </w:rPr>
      </w:pPr>
      <w:bookmarkStart w:id="801" w:name="_Toc1498"/>
      <w:r>
        <w:rPr>
          <w:rStyle w:val="41"/>
          <w:rFonts w:ascii="宋体" w:hAnsi="宋体"/>
          <w:b w:val="0"/>
          <w:color w:val="auto"/>
          <w:highlight w:val="none"/>
        </w:rPr>
        <w:t>第七章  响应文件格式</w:t>
      </w:r>
      <w:bookmarkEnd w:id="801"/>
    </w:p>
    <w:p>
      <w:pPr>
        <w:snapToGrid w:val="0"/>
        <w:spacing w:line="360" w:lineRule="auto"/>
        <w:jc w:val="center"/>
        <w:rPr>
          <w:rStyle w:val="41"/>
          <w:rFonts w:ascii="宋体" w:hAnsi="宋体"/>
          <w:color w:val="auto"/>
          <w:highlight w:val="none"/>
        </w:rPr>
      </w:pPr>
      <w:r>
        <w:rPr>
          <w:rStyle w:val="41"/>
          <w:rFonts w:ascii="宋体" w:hAnsi="宋体"/>
          <w:color w:val="auto"/>
          <w:highlight w:val="none"/>
        </w:rPr>
        <w:t>（未提供格式的由供应商自拟）</w:t>
      </w:r>
    </w:p>
    <w:p>
      <w:pPr>
        <w:tabs>
          <w:tab w:val="left" w:pos="2580"/>
          <w:tab w:val="left" w:pos="5940"/>
        </w:tabs>
        <w:snapToGrid w:val="0"/>
        <w:spacing w:line="360" w:lineRule="auto"/>
        <w:ind w:right="-20"/>
        <w:rPr>
          <w:rStyle w:val="41"/>
          <w:rFonts w:ascii="宋体" w:hAnsi="宋体"/>
          <w:color w:val="auto"/>
          <w:kern w:val="0"/>
          <w:sz w:val="28"/>
          <w:highlight w:val="none"/>
        </w:rPr>
      </w:pPr>
      <w:r>
        <w:rPr>
          <w:rStyle w:val="41"/>
          <w:rFonts w:ascii="宋体" w:hAnsi="宋体"/>
          <w:color w:val="auto"/>
          <w:kern w:val="0"/>
          <w:sz w:val="28"/>
          <w:highlight w:val="none"/>
        </w:rPr>
        <w:t>报价文件封面</w:t>
      </w:r>
    </w:p>
    <w:p>
      <w:pPr>
        <w:snapToGrid w:val="0"/>
        <w:spacing w:line="360" w:lineRule="auto"/>
        <w:rPr>
          <w:rStyle w:val="41"/>
          <w:rFonts w:ascii="宋体" w:hAnsi="宋体"/>
          <w:color w:val="auto"/>
          <w:highlight w:val="none"/>
        </w:rPr>
      </w:pPr>
      <w:r>
        <w:rPr>
          <w:rStyle w:val="41"/>
          <w:rFonts w:ascii="宋体" w:hAnsi="宋体"/>
          <w:color w:val="auto"/>
          <w:highlight w:val="none"/>
        </w:rPr>
        <w:t xml:space="preserve"> </w:t>
      </w:r>
    </w:p>
    <w:p>
      <w:pPr>
        <w:tabs>
          <w:tab w:val="left" w:pos="2580"/>
          <w:tab w:val="left" w:pos="5940"/>
        </w:tabs>
        <w:snapToGrid w:val="0"/>
        <w:spacing w:line="360" w:lineRule="auto"/>
        <w:ind w:right="-20"/>
        <w:rPr>
          <w:rStyle w:val="41"/>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1"/>
          <w:rFonts w:hint="eastAsia" w:ascii="宋体" w:hAnsi="宋体" w:eastAsia="宋体"/>
          <w:color w:val="auto"/>
          <w:kern w:val="0"/>
          <w:sz w:val="28"/>
          <w:highlight w:val="none"/>
          <w:u w:val="single"/>
          <w:lang w:eastAsia="zh-CN"/>
        </w:rPr>
      </w:pPr>
      <w:r>
        <w:rPr>
          <w:rStyle w:val="41"/>
          <w:rFonts w:ascii="宋体" w:hAnsi="宋体"/>
          <w:color w:val="auto"/>
          <w:kern w:val="0"/>
          <w:sz w:val="28"/>
          <w:highlight w:val="none"/>
        </w:rPr>
        <w:t>项目名称：</w:t>
      </w:r>
      <w:r>
        <w:rPr>
          <w:rStyle w:val="41"/>
          <w:rFonts w:hint="eastAsia" w:ascii="宋体" w:hAnsi="宋体"/>
          <w:color w:val="auto"/>
          <w:kern w:val="0"/>
          <w:sz w:val="28"/>
          <w:highlight w:val="none"/>
          <w:u w:val="single" w:color="000000"/>
          <w:lang w:eastAsia="zh-CN"/>
        </w:rPr>
        <w:t>浙江理工大学下沙校区教学东区消防管网改造工程</w:t>
      </w:r>
    </w:p>
    <w:p>
      <w:pPr>
        <w:tabs>
          <w:tab w:val="left" w:pos="2580"/>
          <w:tab w:val="left" w:pos="5940"/>
        </w:tabs>
        <w:snapToGrid w:val="0"/>
        <w:spacing w:line="360" w:lineRule="auto"/>
        <w:ind w:right="-20" w:firstLine="980" w:firstLineChars="350"/>
        <w:rPr>
          <w:rStyle w:val="41"/>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1"/>
          <w:rFonts w:ascii="宋体" w:hAnsi="宋体" w:cs="宋体"/>
          <w:b/>
          <w:bCs/>
          <w:color w:val="auto"/>
          <w:kern w:val="0"/>
          <w:sz w:val="32"/>
          <w:szCs w:val="32"/>
          <w:highlight w:val="none"/>
          <w:u w:val="single"/>
        </w:rPr>
      </w:pPr>
      <w:r>
        <w:rPr>
          <w:rStyle w:val="41"/>
          <w:rFonts w:ascii="宋体" w:hAnsi="宋体"/>
          <w:color w:val="auto"/>
          <w:kern w:val="0"/>
          <w:sz w:val="28"/>
          <w:highlight w:val="none"/>
        </w:rPr>
        <w:t>项目编号：</w:t>
      </w:r>
      <w:r>
        <w:rPr>
          <w:rStyle w:val="41"/>
          <w:rFonts w:ascii="宋体" w:hAnsi="宋体"/>
          <w:color w:val="auto"/>
          <w:kern w:val="0"/>
          <w:sz w:val="28"/>
          <w:highlight w:val="none"/>
          <w:u w:val="single" w:color="000000"/>
        </w:rPr>
        <w:t xml:space="preserve">        </w:t>
      </w:r>
      <w:r>
        <w:rPr>
          <w:rStyle w:val="41"/>
          <w:rFonts w:hint="eastAsia" w:ascii="宋体" w:hAnsi="宋体"/>
          <w:color w:val="auto"/>
          <w:kern w:val="0"/>
          <w:sz w:val="28"/>
          <w:highlight w:val="none"/>
          <w:u w:val="single" w:color="000000"/>
          <w:lang w:eastAsia="zh-CN"/>
        </w:rPr>
        <w:t>CTZB-2024050477</w:t>
      </w:r>
      <w:r>
        <w:rPr>
          <w:rStyle w:val="41"/>
          <w:rFonts w:ascii="宋体" w:hAnsi="宋体"/>
          <w:color w:val="auto"/>
          <w:kern w:val="0"/>
          <w:sz w:val="28"/>
          <w:highlight w:val="none"/>
          <w:u w:val="single" w:color="000000"/>
        </w:rPr>
        <w:t xml:space="preserve">         </w:t>
      </w:r>
    </w:p>
    <w:p>
      <w:pPr>
        <w:snapToGrid w:val="0"/>
        <w:spacing w:line="360" w:lineRule="auto"/>
        <w:jc w:val="left"/>
        <w:rPr>
          <w:rStyle w:val="41"/>
          <w:rFonts w:ascii="宋体" w:hAnsi="宋体" w:cs="宋体"/>
          <w:b/>
          <w:bCs/>
          <w:color w:val="auto"/>
          <w:kern w:val="0"/>
          <w:sz w:val="44"/>
          <w:szCs w:val="44"/>
          <w:highlight w:val="none"/>
        </w:rPr>
      </w:pPr>
    </w:p>
    <w:p>
      <w:pPr>
        <w:snapToGrid w:val="0"/>
        <w:spacing w:line="360" w:lineRule="auto"/>
        <w:jc w:val="left"/>
        <w:rPr>
          <w:rStyle w:val="41"/>
          <w:rFonts w:ascii="宋体" w:hAnsi="宋体"/>
          <w:color w:val="auto"/>
          <w:kern w:val="0"/>
          <w:sz w:val="24"/>
          <w:highlight w:val="none"/>
        </w:rPr>
      </w:pPr>
    </w:p>
    <w:p>
      <w:pPr>
        <w:snapToGrid w:val="0"/>
        <w:spacing w:line="360" w:lineRule="auto"/>
        <w:jc w:val="left"/>
        <w:rPr>
          <w:rStyle w:val="41"/>
          <w:rFonts w:ascii="宋体" w:hAnsi="宋体"/>
          <w:color w:val="auto"/>
          <w:kern w:val="0"/>
          <w:sz w:val="24"/>
          <w:highlight w:val="none"/>
        </w:rPr>
      </w:pPr>
    </w:p>
    <w:p>
      <w:pPr>
        <w:snapToGrid w:val="0"/>
        <w:spacing w:line="360" w:lineRule="auto"/>
        <w:jc w:val="left"/>
        <w:rPr>
          <w:rStyle w:val="41"/>
          <w:rFonts w:ascii="宋体" w:hAnsi="宋体"/>
          <w:color w:val="auto"/>
          <w:kern w:val="0"/>
          <w:sz w:val="24"/>
          <w:highlight w:val="none"/>
        </w:rPr>
      </w:pPr>
    </w:p>
    <w:p>
      <w:pPr>
        <w:tabs>
          <w:tab w:val="left" w:pos="1805"/>
          <w:tab w:val="left" w:pos="5360"/>
        </w:tabs>
        <w:snapToGrid w:val="0"/>
        <w:spacing w:line="360" w:lineRule="auto"/>
        <w:ind w:right="-20"/>
        <w:jc w:val="center"/>
        <w:rPr>
          <w:rStyle w:val="41"/>
          <w:rFonts w:ascii="宋体" w:hAnsi="宋体"/>
          <w:color w:val="auto"/>
          <w:kern w:val="0"/>
          <w:sz w:val="72"/>
          <w:highlight w:val="none"/>
        </w:rPr>
      </w:pPr>
    </w:p>
    <w:p>
      <w:pPr>
        <w:tabs>
          <w:tab w:val="left" w:pos="1805"/>
          <w:tab w:val="left" w:pos="5360"/>
        </w:tabs>
        <w:snapToGrid w:val="0"/>
        <w:spacing w:line="360" w:lineRule="auto"/>
        <w:ind w:right="-20"/>
        <w:jc w:val="center"/>
        <w:rPr>
          <w:rStyle w:val="41"/>
          <w:rFonts w:ascii="宋体" w:hAnsi="宋体"/>
          <w:color w:val="auto"/>
          <w:kern w:val="0"/>
          <w:sz w:val="72"/>
          <w:highlight w:val="none"/>
        </w:rPr>
      </w:pPr>
    </w:p>
    <w:p>
      <w:pPr>
        <w:tabs>
          <w:tab w:val="left" w:pos="1805"/>
          <w:tab w:val="left" w:pos="5360"/>
        </w:tabs>
        <w:snapToGrid w:val="0"/>
        <w:spacing w:line="360" w:lineRule="auto"/>
        <w:ind w:right="-20"/>
        <w:jc w:val="center"/>
        <w:rPr>
          <w:rStyle w:val="41"/>
          <w:rFonts w:ascii="宋体" w:hAnsi="宋体"/>
          <w:color w:val="auto"/>
          <w:kern w:val="0"/>
          <w:sz w:val="72"/>
          <w:highlight w:val="none"/>
        </w:rPr>
      </w:pPr>
    </w:p>
    <w:p>
      <w:pPr>
        <w:tabs>
          <w:tab w:val="left" w:pos="1805"/>
          <w:tab w:val="left" w:pos="5360"/>
        </w:tabs>
        <w:snapToGrid w:val="0"/>
        <w:spacing w:line="360" w:lineRule="auto"/>
        <w:ind w:right="-20"/>
        <w:jc w:val="center"/>
        <w:rPr>
          <w:rStyle w:val="41"/>
          <w:rFonts w:ascii="宋体" w:hAnsi="宋体"/>
          <w:color w:val="auto"/>
          <w:kern w:val="0"/>
          <w:sz w:val="72"/>
          <w:highlight w:val="none"/>
        </w:rPr>
      </w:pPr>
    </w:p>
    <w:p>
      <w:pPr>
        <w:tabs>
          <w:tab w:val="left" w:pos="1805"/>
          <w:tab w:val="left" w:pos="5360"/>
        </w:tabs>
        <w:snapToGrid w:val="0"/>
        <w:spacing w:line="360" w:lineRule="auto"/>
        <w:ind w:right="-20"/>
        <w:jc w:val="center"/>
        <w:rPr>
          <w:rStyle w:val="41"/>
          <w:rFonts w:ascii="宋体" w:hAnsi="宋体"/>
          <w:color w:val="auto"/>
          <w:kern w:val="0"/>
          <w:sz w:val="72"/>
          <w:highlight w:val="none"/>
        </w:rPr>
      </w:pPr>
    </w:p>
    <w:p>
      <w:pPr>
        <w:tabs>
          <w:tab w:val="left" w:pos="1805"/>
          <w:tab w:val="left" w:pos="5360"/>
        </w:tabs>
        <w:snapToGrid w:val="0"/>
        <w:spacing w:line="360" w:lineRule="auto"/>
        <w:ind w:right="-20"/>
        <w:jc w:val="center"/>
        <w:rPr>
          <w:rStyle w:val="41"/>
          <w:rFonts w:ascii="宋体" w:hAnsi="宋体"/>
          <w:color w:val="auto"/>
          <w:kern w:val="0"/>
          <w:sz w:val="72"/>
          <w:highlight w:val="none"/>
        </w:rPr>
      </w:pPr>
      <w:r>
        <w:rPr>
          <w:rStyle w:val="41"/>
          <w:rFonts w:ascii="宋体" w:hAnsi="宋体"/>
          <w:color w:val="auto"/>
          <w:kern w:val="0"/>
          <w:sz w:val="72"/>
          <w:highlight w:val="none"/>
        </w:rPr>
        <w:t>投 标 文 件</w:t>
      </w:r>
    </w:p>
    <w:p>
      <w:pPr>
        <w:tabs>
          <w:tab w:val="left" w:pos="1805"/>
          <w:tab w:val="left" w:pos="5360"/>
        </w:tabs>
        <w:snapToGrid w:val="0"/>
        <w:spacing w:line="360" w:lineRule="auto"/>
        <w:ind w:right="-20"/>
        <w:jc w:val="center"/>
        <w:rPr>
          <w:rStyle w:val="41"/>
          <w:rFonts w:ascii="宋体" w:hAnsi="宋体"/>
          <w:color w:val="auto"/>
          <w:kern w:val="0"/>
          <w:sz w:val="72"/>
          <w:highlight w:val="none"/>
        </w:rPr>
      </w:pPr>
      <w:r>
        <w:rPr>
          <w:rStyle w:val="41"/>
          <w:rFonts w:ascii="宋体" w:hAnsi="宋体"/>
          <w:color w:val="auto"/>
          <w:kern w:val="0"/>
          <w:sz w:val="72"/>
          <w:highlight w:val="none"/>
        </w:rPr>
        <w:t>（报价文件）</w:t>
      </w:r>
    </w:p>
    <w:p>
      <w:pPr>
        <w:snapToGrid w:val="0"/>
        <w:spacing w:line="360" w:lineRule="auto"/>
        <w:jc w:val="left"/>
        <w:rPr>
          <w:rStyle w:val="41"/>
          <w:rFonts w:ascii="宋体" w:hAnsi="宋体"/>
          <w:color w:val="auto"/>
          <w:kern w:val="0"/>
          <w:sz w:val="16"/>
          <w:highlight w:val="none"/>
        </w:rPr>
      </w:pPr>
    </w:p>
    <w:p>
      <w:pPr>
        <w:snapToGrid w:val="0"/>
        <w:spacing w:line="360" w:lineRule="auto"/>
        <w:jc w:val="left"/>
        <w:rPr>
          <w:rStyle w:val="41"/>
          <w:rFonts w:ascii="宋体" w:hAnsi="宋体"/>
          <w:color w:val="auto"/>
          <w:kern w:val="0"/>
          <w:sz w:val="20"/>
          <w:highlight w:val="none"/>
        </w:rPr>
      </w:pPr>
    </w:p>
    <w:p>
      <w:pPr>
        <w:snapToGrid w:val="0"/>
        <w:spacing w:line="360" w:lineRule="auto"/>
        <w:jc w:val="left"/>
        <w:rPr>
          <w:rStyle w:val="41"/>
          <w:rFonts w:ascii="宋体" w:hAnsi="宋体"/>
          <w:color w:val="auto"/>
          <w:kern w:val="0"/>
          <w:sz w:val="20"/>
          <w:highlight w:val="none"/>
        </w:rPr>
      </w:pPr>
    </w:p>
    <w:p>
      <w:pPr>
        <w:snapToGrid w:val="0"/>
        <w:spacing w:line="360" w:lineRule="auto"/>
        <w:jc w:val="left"/>
        <w:rPr>
          <w:rStyle w:val="41"/>
          <w:rFonts w:ascii="宋体" w:hAnsi="宋体"/>
          <w:color w:val="auto"/>
          <w:kern w:val="0"/>
          <w:sz w:val="20"/>
          <w:highlight w:val="none"/>
        </w:rPr>
      </w:pPr>
    </w:p>
    <w:p>
      <w:pPr>
        <w:snapToGrid w:val="0"/>
        <w:spacing w:line="360" w:lineRule="auto"/>
        <w:jc w:val="left"/>
        <w:rPr>
          <w:rStyle w:val="41"/>
          <w:rFonts w:ascii="宋体" w:hAnsi="宋体"/>
          <w:color w:val="auto"/>
          <w:kern w:val="0"/>
          <w:sz w:val="20"/>
          <w:highlight w:val="none"/>
        </w:rPr>
      </w:pPr>
    </w:p>
    <w:p>
      <w:pPr>
        <w:snapToGrid w:val="0"/>
        <w:spacing w:line="360" w:lineRule="auto"/>
        <w:jc w:val="left"/>
        <w:rPr>
          <w:rStyle w:val="41"/>
          <w:rFonts w:ascii="宋体" w:hAnsi="宋体"/>
          <w:color w:val="auto"/>
          <w:kern w:val="0"/>
          <w:sz w:val="20"/>
          <w:highlight w:val="none"/>
        </w:rPr>
      </w:pPr>
    </w:p>
    <w:p>
      <w:pPr>
        <w:tabs>
          <w:tab w:val="left" w:pos="6080"/>
          <w:tab w:val="left" w:pos="6640"/>
        </w:tabs>
        <w:snapToGrid w:val="0"/>
        <w:spacing w:line="360" w:lineRule="auto"/>
        <w:ind w:left="774" w:right="403"/>
        <w:jc w:val="left"/>
        <w:rPr>
          <w:rStyle w:val="41"/>
          <w:rFonts w:ascii="宋体" w:hAnsi="宋体"/>
          <w:b/>
          <w:color w:val="auto"/>
          <w:kern w:val="0"/>
          <w:sz w:val="28"/>
          <w:highlight w:val="none"/>
        </w:rPr>
      </w:pPr>
      <w:r>
        <w:rPr>
          <w:rStyle w:val="41"/>
          <w:rFonts w:ascii="宋体" w:hAnsi="宋体"/>
          <w:b/>
          <w:color w:val="auto"/>
          <w:kern w:val="0"/>
          <w:sz w:val="28"/>
          <w:highlight w:val="none"/>
        </w:rPr>
        <w:t>供应商：</w:t>
      </w:r>
      <w:r>
        <w:rPr>
          <w:rStyle w:val="41"/>
          <w:rFonts w:ascii="宋体" w:hAnsi="宋体"/>
          <w:b/>
          <w:color w:val="auto"/>
          <w:kern w:val="0"/>
          <w:sz w:val="28"/>
          <w:highlight w:val="none"/>
          <w:u w:val="single" w:color="000000"/>
        </w:rPr>
        <w:t xml:space="preserve">                          </w:t>
      </w:r>
      <w:r>
        <w:rPr>
          <w:rStyle w:val="41"/>
          <w:rFonts w:ascii="宋体" w:hAnsi="宋体"/>
          <w:b/>
          <w:color w:val="auto"/>
          <w:kern w:val="0"/>
          <w:sz w:val="28"/>
          <w:highlight w:val="none"/>
        </w:rPr>
        <w:t>（盖单位公章）</w:t>
      </w:r>
    </w:p>
    <w:p>
      <w:pPr>
        <w:tabs>
          <w:tab w:val="left" w:pos="6080"/>
          <w:tab w:val="left" w:pos="6640"/>
        </w:tabs>
        <w:snapToGrid w:val="0"/>
        <w:spacing w:line="360" w:lineRule="auto"/>
        <w:ind w:left="774" w:right="403"/>
        <w:jc w:val="left"/>
        <w:rPr>
          <w:rStyle w:val="41"/>
          <w:rFonts w:ascii="宋体" w:hAnsi="宋体"/>
          <w:color w:val="auto"/>
          <w:kern w:val="0"/>
          <w:sz w:val="28"/>
          <w:highlight w:val="none"/>
        </w:rPr>
      </w:pPr>
    </w:p>
    <w:p>
      <w:pPr>
        <w:tabs>
          <w:tab w:val="left" w:pos="3280"/>
          <w:tab w:val="left" w:pos="4680"/>
          <w:tab w:val="left" w:pos="6080"/>
        </w:tabs>
        <w:snapToGrid w:val="0"/>
        <w:spacing w:line="360" w:lineRule="auto"/>
        <w:ind w:left="2173" w:leftChars="1035" w:right="-20" w:firstLine="548" w:firstLineChars="195"/>
        <w:jc w:val="left"/>
        <w:rPr>
          <w:rStyle w:val="41"/>
          <w:rFonts w:ascii="宋体" w:hAnsi="宋体"/>
          <w:b/>
          <w:color w:val="auto"/>
          <w:kern w:val="0"/>
          <w:sz w:val="28"/>
          <w:highlight w:val="none"/>
        </w:rPr>
      </w:pPr>
      <w:r>
        <w:rPr>
          <w:rStyle w:val="41"/>
          <w:rFonts w:ascii="宋体" w:hAnsi="宋体"/>
          <w:b/>
          <w:color w:val="auto"/>
          <w:kern w:val="0"/>
          <w:sz w:val="28"/>
          <w:highlight w:val="none"/>
          <w:u w:val="single" w:color="000000"/>
        </w:rPr>
        <w:t xml:space="preserve">      </w:t>
      </w:r>
      <w:r>
        <w:rPr>
          <w:rStyle w:val="41"/>
          <w:rFonts w:ascii="宋体" w:hAnsi="宋体"/>
          <w:b/>
          <w:color w:val="auto"/>
          <w:kern w:val="0"/>
          <w:sz w:val="28"/>
          <w:highlight w:val="none"/>
        </w:rPr>
        <w:t>年</w:t>
      </w:r>
      <w:r>
        <w:rPr>
          <w:rStyle w:val="41"/>
          <w:rFonts w:ascii="宋体" w:hAnsi="宋体"/>
          <w:b/>
          <w:color w:val="auto"/>
          <w:kern w:val="0"/>
          <w:sz w:val="28"/>
          <w:highlight w:val="none"/>
          <w:u w:val="single" w:color="000000"/>
        </w:rPr>
        <w:t xml:space="preserve">   </w:t>
      </w:r>
      <w:r>
        <w:rPr>
          <w:rStyle w:val="41"/>
          <w:rFonts w:ascii="宋体" w:hAnsi="宋体"/>
          <w:b/>
          <w:color w:val="auto"/>
          <w:kern w:val="0"/>
          <w:sz w:val="28"/>
          <w:highlight w:val="none"/>
        </w:rPr>
        <w:t>月</w:t>
      </w:r>
      <w:r>
        <w:rPr>
          <w:rStyle w:val="41"/>
          <w:rFonts w:ascii="宋体" w:hAnsi="宋体"/>
          <w:b/>
          <w:color w:val="auto"/>
          <w:kern w:val="0"/>
          <w:sz w:val="28"/>
          <w:highlight w:val="none"/>
          <w:u w:val="single" w:color="000000"/>
        </w:rPr>
        <w:t xml:space="preserve">   </w:t>
      </w:r>
      <w:r>
        <w:rPr>
          <w:rStyle w:val="41"/>
          <w:rFonts w:ascii="宋体" w:hAnsi="宋体"/>
          <w:b/>
          <w:color w:val="auto"/>
          <w:kern w:val="0"/>
          <w:sz w:val="28"/>
          <w:highlight w:val="none"/>
        </w:rPr>
        <w:t>日</w:t>
      </w:r>
    </w:p>
    <w:p>
      <w:pPr>
        <w:snapToGrid w:val="0"/>
        <w:spacing w:line="360" w:lineRule="auto"/>
        <w:jc w:val="center"/>
        <w:rPr>
          <w:rStyle w:val="41"/>
          <w:rFonts w:ascii="宋体" w:hAnsi="宋体"/>
          <w:color w:val="auto"/>
          <w:highlight w:val="none"/>
        </w:rPr>
      </w:pPr>
      <w:r>
        <w:rPr>
          <w:rStyle w:val="41"/>
          <w:rFonts w:ascii="宋体" w:hAnsi="宋体"/>
          <w:color w:val="auto"/>
          <w:highlight w:val="none"/>
        </w:rPr>
        <w:br w:type="page"/>
      </w:r>
    </w:p>
    <w:p>
      <w:pPr>
        <w:snapToGrid w:val="0"/>
        <w:spacing w:line="360" w:lineRule="auto"/>
        <w:jc w:val="center"/>
        <w:rPr>
          <w:rStyle w:val="41"/>
          <w:rFonts w:ascii="宋体" w:hAnsi="宋体"/>
          <w:color w:val="auto"/>
          <w:highlight w:val="none"/>
        </w:rPr>
      </w:pPr>
    </w:p>
    <w:p>
      <w:pPr>
        <w:spacing w:line="360" w:lineRule="auto"/>
        <w:ind w:firstLine="422" w:firstLineChars="200"/>
        <w:outlineLvl w:val="1"/>
        <w:rPr>
          <w:rFonts w:ascii="宋体" w:hAnsi="宋体" w:cs="宋体"/>
          <w:b/>
          <w:bCs/>
          <w:color w:val="auto"/>
          <w:szCs w:val="32"/>
          <w:highlight w:val="none"/>
        </w:rPr>
      </w:pPr>
      <w:bookmarkStart w:id="802" w:name="_Toc345575538"/>
      <w:bookmarkStart w:id="803" w:name="_Toc396297233"/>
      <w:bookmarkStart w:id="804" w:name="_Toc336683578"/>
      <w:r>
        <w:rPr>
          <w:rFonts w:hint="eastAsia" w:ascii="宋体" w:hAnsi="宋体" w:cs="宋体"/>
          <w:b/>
          <w:bCs/>
          <w:color w:val="auto"/>
          <w:szCs w:val="32"/>
          <w:highlight w:val="none"/>
        </w:rPr>
        <w:t>一、报价函格式</w:t>
      </w:r>
      <w:bookmarkEnd w:id="802"/>
      <w:bookmarkEnd w:id="803"/>
      <w:bookmarkEnd w:id="804"/>
      <w:r>
        <w:rPr>
          <w:rFonts w:hint="eastAsia" w:ascii="宋体" w:hAnsi="宋体" w:cs="宋体"/>
          <w:b/>
          <w:bCs/>
          <w:color w:val="auto"/>
          <w:szCs w:val="32"/>
          <w:highlight w:val="none"/>
        </w:rPr>
        <w:t xml:space="preserve"> </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报价函</w:t>
      </w:r>
    </w:p>
    <w:p>
      <w:pPr>
        <w:adjustRightInd w:val="0"/>
        <w:snapToGrid w:val="0"/>
        <w:spacing w:line="360" w:lineRule="auto"/>
        <w:rPr>
          <w:rFonts w:ascii="宋体" w:hAnsi="宋体" w:cs="宋体"/>
          <w:color w:val="auto"/>
          <w:szCs w:val="20"/>
          <w:highlight w:val="none"/>
        </w:rPr>
      </w:pPr>
      <w:r>
        <w:rPr>
          <w:rFonts w:hint="eastAsia" w:ascii="宋体" w:hAnsi="宋体" w:cs="宋体"/>
          <w:color w:val="auto"/>
          <w:szCs w:val="20"/>
          <w:highlight w:val="none"/>
          <w:u w:val="single"/>
        </w:rPr>
        <w:t>浙江理工大学 （采购人单位名称）</w:t>
      </w:r>
      <w:r>
        <w:rPr>
          <w:rFonts w:hint="eastAsia" w:ascii="宋体" w:hAnsi="宋体" w:cs="宋体"/>
          <w:color w:val="auto"/>
          <w:szCs w:val="20"/>
          <w:highlight w:val="none"/>
        </w:rPr>
        <w:t>：</w:t>
      </w:r>
    </w:p>
    <w:p>
      <w:pPr>
        <w:adjustRightInd w:val="0"/>
        <w:snapToGrid w:val="0"/>
        <w:spacing w:line="360" w:lineRule="auto"/>
        <w:rPr>
          <w:rFonts w:ascii="宋体" w:hAnsi="宋体" w:cs="宋体"/>
          <w:color w:val="auto"/>
          <w:szCs w:val="20"/>
          <w:highlight w:val="none"/>
        </w:rPr>
      </w:pPr>
      <w:r>
        <w:rPr>
          <w:rFonts w:hint="eastAsia" w:ascii="宋体" w:hAnsi="宋体" w:cs="宋体"/>
          <w:color w:val="auto"/>
          <w:szCs w:val="20"/>
          <w:highlight w:val="none"/>
          <w:u w:val="single"/>
        </w:rPr>
        <w:t>浙江省成套招标代理有限公司</w:t>
      </w:r>
      <w:r>
        <w:rPr>
          <w:rFonts w:hint="eastAsia" w:ascii="宋体" w:hAnsi="宋体" w:cs="宋体"/>
          <w:color w:val="auto"/>
          <w:szCs w:val="20"/>
          <w:highlight w:val="none"/>
        </w:rPr>
        <w:t>：</w:t>
      </w:r>
    </w:p>
    <w:p>
      <w:pPr>
        <w:adjustRightInd w:val="0"/>
        <w:snapToGrid w:val="0"/>
        <w:spacing w:line="360" w:lineRule="auto"/>
        <w:ind w:firstLine="411" w:firstLineChars="196"/>
        <w:rPr>
          <w:rFonts w:ascii="宋体" w:hAnsi="宋体" w:cs="宋体"/>
          <w:color w:val="auto"/>
          <w:szCs w:val="20"/>
          <w:highlight w:val="none"/>
        </w:rPr>
      </w:pP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（供应商全称）参加贵方组织的</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（项目名称）</w:t>
      </w:r>
      <w:r>
        <w:rPr>
          <w:rFonts w:hint="eastAsia" w:ascii="宋体" w:hAnsi="宋体" w:cs="宋体"/>
          <w:color w:val="auto"/>
          <w:szCs w:val="20"/>
          <w:highlight w:val="none"/>
          <w:u w:val="single"/>
          <w:lang w:eastAsia="zh-CN"/>
        </w:rPr>
        <w:t>CTZB-2024050477</w:t>
      </w:r>
      <w:r>
        <w:rPr>
          <w:rFonts w:hint="eastAsia" w:ascii="宋体" w:hAnsi="宋体" w:cs="宋体"/>
          <w:color w:val="auto"/>
          <w:szCs w:val="20"/>
          <w:highlight w:val="none"/>
        </w:rPr>
        <w:t>（项目编号）磋商的有关活动，并对此项目进行磋商。为此我方：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1、承诺在供应商</w:t>
      </w:r>
      <w:r>
        <w:rPr>
          <w:rFonts w:hint="eastAsia" w:ascii="宋体" w:hAnsi="宋体" w:cs="宋体"/>
          <w:color w:val="auto"/>
          <w:kern w:val="44"/>
          <w:szCs w:val="21"/>
          <w:highlight w:val="none"/>
        </w:rPr>
        <w:t>须知</w:t>
      </w:r>
      <w:r>
        <w:rPr>
          <w:rFonts w:hint="eastAsia" w:ascii="宋体" w:hAnsi="宋体" w:cs="宋体"/>
          <w:color w:val="auto"/>
          <w:szCs w:val="21"/>
          <w:highlight w:val="none"/>
        </w:rPr>
        <w:t>规定的投标截止日起遵守本响应文件中的承诺，且在投标有效期满之前均具有约束力。</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2、承诺已经具备《中华人民共和国政府采购法》中规定的参加政府采购活动的供应商应当具备的条件及采购人规定的特定条件。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3、已详细审核全部竞争性磋商文件，包括竞争性磋商文件补充（如果有）、参考资料及有关附件，确认无误。</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w:t>
      </w:r>
      <w:r>
        <w:rPr>
          <w:rFonts w:hint="eastAsia" w:ascii="宋体" w:hAnsi="宋体" w:cs="宋体"/>
          <w:color w:val="auto"/>
          <w:kern w:val="44"/>
          <w:szCs w:val="21"/>
          <w:highlight w:val="none"/>
        </w:rPr>
        <w:t>供应商须知</w:t>
      </w:r>
      <w:r>
        <w:rPr>
          <w:rFonts w:hint="eastAsia" w:ascii="宋体" w:hAnsi="宋体" w:cs="宋体"/>
          <w:color w:val="auto"/>
          <w:szCs w:val="21"/>
          <w:highlight w:val="none"/>
        </w:rPr>
        <w:t>规定的全部响应文件。</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5、投标</w:t>
      </w:r>
      <w:r>
        <w:rPr>
          <w:rFonts w:hint="eastAsia" w:ascii="宋体" w:hAnsi="宋体" w:cs="宋体"/>
          <w:color w:val="auto"/>
          <w:highlight w:val="none"/>
        </w:rPr>
        <w:t>报价详见《初次报价一览表》。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6、保证遵守竞争性磋商文件中的其他有关规定。</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7、完全理解不一定接受最低价中标。</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9、保证忠实地执行双方所签订的合同，并承担合同规定的责任和义务。</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a）提供虚假材料谋取中标、成交的；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b）采取不正当手段诋毁、排挤其他供应商的；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c）与采购人、其它供应商或者采购代理机构恶意串通的；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d）向采购人、采购代理机构行贿或者提供其他不正当利益的；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e）在招标采购过程中与采购人进行协商谈判的；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f）拒绝有关部门监督检查或提供虚假情况的。</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供应商有前款第a）至f）项情形之一的，中标、成交无效。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11、本响应文件的有效期为</w:t>
      </w:r>
      <w:r>
        <w:rPr>
          <w:rFonts w:hint="eastAsia" w:ascii="宋体" w:hAnsi="宋体" w:cs="宋体"/>
          <w:color w:val="auto"/>
          <w:highlight w:val="none"/>
        </w:rPr>
        <w:t>自投标截止时间起120天。</w:t>
      </w:r>
    </w:p>
    <w:p>
      <w:pPr>
        <w:adjustRightInd w:val="0"/>
        <w:snapToGrid w:val="0"/>
        <w:spacing w:line="360" w:lineRule="auto"/>
        <w:ind w:firstLine="480"/>
        <w:rPr>
          <w:rFonts w:ascii="宋体" w:hAnsi="宋体" w:cs="宋体"/>
          <w:b/>
          <w:color w:val="auto"/>
          <w:szCs w:val="20"/>
          <w:highlight w:val="none"/>
        </w:rPr>
      </w:pPr>
      <w:r>
        <w:rPr>
          <w:rFonts w:hint="eastAsia" w:ascii="宋体" w:hAnsi="宋体" w:cs="宋体"/>
          <w:b/>
          <w:color w:val="auto"/>
          <w:szCs w:val="20"/>
          <w:highlight w:val="none"/>
        </w:rPr>
        <w:t>供应商全称（盖单位公章）：</w:t>
      </w:r>
    </w:p>
    <w:p>
      <w:pPr>
        <w:adjustRightInd w:val="0"/>
        <w:snapToGrid w:val="0"/>
        <w:spacing w:line="360" w:lineRule="auto"/>
        <w:ind w:firstLine="480"/>
        <w:rPr>
          <w:rFonts w:ascii="宋体" w:hAnsi="宋体" w:cs="宋体"/>
          <w:b/>
          <w:color w:val="auto"/>
          <w:szCs w:val="20"/>
          <w:highlight w:val="none"/>
        </w:rPr>
      </w:pPr>
      <w:r>
        <w:rPr>
          <w:rFonts w:hint="eastAsia" w:ascii="宋体" w:hAnsi="宋体" w:cs="宋体"/>
          <w:b/>
          <w:color w:val="auto"/>
          <w:szCs w:val="20"/>
          <w:highlight w:val="none"/>
        </w:rPr>
        <w:t>日期：</w:t>
      </w:r>
    </w:p>
    <w:p>
      <w:pPr>
        <w:adjustRightInd w:val="0"/>
        <w:snapToGrid w:val="0"/>
        <w:spacing w:line="360" w:lineRule="auto"/>
        <w:ind w:firstLine="480"/>
        <w:rPr>
          <w:rFonts w:ascii="宋体" w:hAnsi="宋体" w:cs="宋体"/>
          <w:color w:val="auto"/>
          <w:szCs w:val="20"/>
          <w:highlight w:val="none"/>
        </w:rPr>
      </w:pPr>
      <w:r>
        <w:rPr>
          <w:rFonts w:hint="eastAsia" w:ascii="宋体" w:hAnsi="宋体" w:cs="宋体"/>
          <w:color w:val="auto"/>
          <w:szCs w:val="20"/>
          <w:highlight w:val="none"/>
        </w:rPr>
        <w:t>单位地址：</w:t>
      </w:r>
      <w:r>
        <w:rPr>
          <w:rFonts w:hint="eastAsia" w:ascii="宋体" w:hAnsi="宋体" w:cs="宋体"/>
          <w:color w:val="auto"/>
          <w:szCs w:val="20"/>
          <w:highlight w:val="none"/>
          <w:u w:val="single"/>
        </w:rPr>
        <w:t xml:space="preserve">                                                </w:t>
      </w:r>
    </w:p>
    <w:p>
      <w:pPr>
        <w:adjustRightInd w:val="0"/>
        <w:snapToGrid w:val="0"/>
        <w:spacing w:line="360" w:lineRule="auto"/>
        <w:ind w:firstLine="480"/>
        <w:rPr>
          <w:rFonts w:ascii="宋体" w:hAnsi="宋体" w:cs="宋体"/>
          <w:color w:val="auto"/>
          <w:szCs w:val="20"/>
          <w:highlight w:val="none"/>
        </w:rPr>
      </w:pPr>
      <w:r>
        <w:rPr>
          <w:rFonts w:hint="eastAsia" w:ascii="宋体" w:hAnsi="宋体" w:cs="宋体"/>
          <w:color w:val="auto"/>
          <w:szCs w:val="20"/>
          <w:highlight w:val="none"/>
        </w:rPr>
        <w:t>邮编：</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电话：</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传真：</w:t>
      </w:r>
      <w:r>
        <w:rPr>
          <w:rFonts w:hint="eastAsia" w:ascii="宋体" w:hAnsi="宋体" w:cs="宋体"/>
          <w:color w:val="auto"/>
          <w:szCs w:val="20"/>
          <w:highlight w:val="none"/>
          <w:u w:val="single"/>
        </w:rPr>
        <w:t xml:space="preserve">              </w:t>
      </w:r>
    </w:p>
    <w:p>
      <w:pPr>
        <w:spacing w:line="360" w:lineRule="auto"/>
        <w:ind w:firstLine="422" w:firstLineChars="200"/>
        <w:outlineLvl w:val="1"/>
        <w:rPr>
          <w:rFonts w:ascii="宋体" w:hAnsi="宋体" w:cs="宋体"/>
          <w:b/>
          <w:bCs/>
          <w:color w:val="auto"/>
          <w:szCs w:val="32"/>
          <w:highlight w:val="none"/>
        </w:rPr>
      </w:pPr>
      <w:r>
        <w:rPr>
          <w:rFonts w:hint="eastAsia" w:ascii="宋体" w:hAnsi="宋体" w:cs="宋体"/>
          <w:b/>
          <w:bCs/>
          <w:color w:val="auto"/>
          <w:szCs w:val="32"/>
          <w:highlight w:val="none"/>
        </w:rPr>
        <w:br w:type="page"/>
      </w:r>
      <w:bookmarkStart w:id="805" w:name="_Toc336683579"/>
      <w:bookmarkStart w:id="806" w:name="_Toc396297234"/>
      <w:bookmarkStart w:id="807" w:name="_Toc345575539"/>
      <w:r>
        <w:rPr>
          <w:rFonts w:hint="eastAsia" w:ascii="宋体" w:hAnsi="宋体" w:cs="宋体"/>
          <w:b/>
          <w:bCs/>
          <w:color w:val="auto"/>
          <w:szCs w:val="32"/>
          <w:highlight w:val="none"/>
        </w:rPr>
        <w:t>二、初次报价一览表格式</w:t>
      </w:r>
      <w:bookmarkEnd w:id="805"/>
      <w:bookmarkEnd w:id="806"/>
      <w:bookmarkEnd w:id="807"/>
    </w:p>
    <w:p>
      <w:pPr>
        <w:spacing w:line="360" w:lineRule="auto"/>
        <w:ind w:left="321" w:hanging="321" w:hangingChars="100"/>
        <w:jc w:val="center"/>
        <w:rPr>
          <w:rFonts w:ascii="Arial" w:hAnsi="Arial" w:cs="Arial"/>
          <w:b/>
          <w:bCs/>
          <w:color w:val="auto"/>
          <w:sz w:val="32"/>
          <w:szCs w:val="32"/>
          <w:highlight w:val="none"/>
        </w:rPr>
      </w:pPr>
      <w:bookmarkStart w:id="808" w:name="_Toc336683580"/>
      <w:bookmarkStart w:id="809" w:name="_Toc345575540"/>
      <w:bookmarkStart w:id="810" w:name="_Toc396297235"/>
      <w:r>
        <w:rPr>
          <w:rFonts w:ascii="Arial" w:hAnsi="宋体" w:cs="Arial"/>
          <w:b/>
          <w:bCs/>
          <w:color w:val="auto"/>
          <w:sz w:val="32"/>
          <w:szCs w:val="32"/>
          <w:highlight w:val="none"/>
        </w:rPr>
        <w:t>初次报价一览表</w:t>
      </w:r>
    </w:p>
    <w:p>
      <w:pPr>
        <w:adjustRightInd w:val="0"/>
        <w:snapToGrid w:val="0"/>
        <w:spacing w:line="360" w:lineRule="auto"/>
        <w:rPr>
          <w:rFonts w:ascii="Arial" w:hAnsi="Arial" w:cs="Arial"/>
          <w:color w:val="auto"/>
          <w:szCs w:val="20"/>
          <w:highlight w:val="none"/>
          <w:u w:val="single"/>
        </w:rPr>
      </w:pPr>
      <w:r>
        <w:rPr>
          <w:rFonts w:ascii="Arial" w:hAnsi="宋体" w:cs="Arial"/>
          <w:color w:val="auto"/>
          <w:szCs w:val="20"/>
          <w:highlight w:val="none"/>
        </w:rPr>
        <w:t>项目名称：</w:t>
      </w:r>
      <w:r>
        <w:rPr>
          <w:rFonts w:ascii="Arial" w:hAnsi="Arial" w:cs="Arial"/>
          <w:color w:val="auto"/>
          <w:szCs w:val="20"/>
          <w:highlight w:val="none"/>
        </w:rPr>
        <w:t xml:space="preserve"> </w:t>
      </w:r>
      <w:r>
        <w:rPr>
          <w:rFonts w:ascii="Arial" w:hAnsi="Arial" w:cs="Arial"/>
          <w:color w:val="auto"/>
          <w:szCs w:val="20"/>
          <w:highlight w:val="none"/>
          <w:u w:val="single"/>
        </w:rPr>
        <w:t xml:space="preserve">                   </w:t>
      </w:r>
    </w:p>
    <w:p>
      <w:pPr>
        <w:adjustRightInd w:val="0"/>
        <w:snapToGrid w:val="0"/>
        <w:spacing w:line="360" w:lineRule="auto"/>
        <w:rPr>
          <w:rFonts w:ascii="Arial" w:hAnsi="Arial" w:cs="Arial"/>
          <w:color w:val="auto"/>
          <w:szCs w:val="20"/>
          <w:highlight w:val="none"/>
        </w:rPr>
      </w:pPr>
      <w:r>
        <w:rPr>
          <w:rFonts w:ascii="Arial" w:hAnsi="宋体" w:cs="Arial"/>
          <w:color w:val="auto"/>
          <w:szCs w:val="20"/>
          <w:highlight w:val="none"/>
        </w:rPr>
        <w:t>项目编号：</w:t>
      </w:r>
      <w:r>
        <w:rPr>
          <w:rFonts w:ascii="Arial" w:hAnsi="Arial" w:cs="Arial"/>
          <w:color w:val="auto"/>
          <w:szCs w:val="20"/>
          <w:highlight w:val="none"/>
        </w:rPr>
        <w:t xml:space="preserve"> </w:t>
      </w:r>
      <w:r>
        <w:rPr>
          <w:rFonts w:ascii="Arial" w:hAnsi="Arial" w:cs="Arial"/>
          <w:color w:val="auto"/>
          <w:szCs w:val="20"/>
          <w:highlight w:val="none"/>
          <w:u w:val="single"/>
        </w:rPr>
        <w:t xml:space="preserve">                   </w:t>
      </w:r>
      <w:r>
        <w:rPr>
          <w:rFonts w:ascii="Arial" w:hAnsi="Arial" w:cs="Arial"/>
          <w:color w:val="auto"/>
          <w:szCs w:val="20"/>
          <w:highlight w:val="none"/>
        </w:rPr>
        <w:t xml:space="preserve">            </w:t>
      </w:r>
      <w:r>
        <w:rPr>
          <w:rFonts w:hint="eastAsia" w:ascii="Arial" w:hAnsi="Arial" w:cs="Arial"/>
          <w:color w:val="auto"/>
          <w:szCs w:val="20"/>
          <w:highlight w:val="none"/>
        </w:rPr>
        <w:t xml:space="preserve">          </w:t>
      </w:r>
      <w:r>
        <w:rPr>
          <w:rFonts w:ascii="Arial" w:hAnsi="Arial" w:cs="Arial"/>
          <w:color w:val="auto"/>
          <w:szCs w:val="20"/>
          <w:highlight w:val="none"/>
        </w:rPr>
        <w:t xml:space="preserve">    </w:t>
      </w:r>
      <w:r>
        <w:rPr>
          <w:rFonts w:ascii="Arial" w:hAnsi="宋体" w:cs="Arial"/>
          <w:color w:val="auto"/>
          <w:szCs w:val="20"/>
          <w:highlight w:val="none"/>
        </w:rPr>
        <w:t>（价格单位：元人民币）</w:t>
      </w:r>
    </w:p>
    <w:tbl>
      <w:tblPr>
        <w:tblStyle w:val="21"/>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84"/>
        <w:gridCol w:w="1701"/>
        <w:gridCol w:w="181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979" w:type="dxa"/>
            <w:vAlign w:val="center"/>
          </w:tcPr>
          <w:p>
            <w:pPr>
              <w:pStyle w:val="10"/>
              <w:adjustRightInd w:val="0"/>
              <w:snapToGrid w:val="0"/>
              <w:spacing w:line="440" w:lineRule="exact"/>
              <w:jc w:val="center"/>
              <w:rPr>
                <w:rFonts w:ascii="Arial" w:hAnsi="Arial" w:cs="Arial"/>
                <w:color w:val="auto"/>
                <w:szCs w:val="21"/>
                <w:highlight w:val="none"/>
              </w:rPr>
            </w:pPr>
            <w:r>
              <w:rPr>
                <w:rFonts w:hint="eastAsia" w:ascii="Arial" w:hAnsi="Arial" w:cs="Arial"/>
                <w:color w:val="auto"/>
                <w:szCs w:val="21"/>
                <w:highlight w:val="none"/>
              </w:rPr>
              <w:t>项目名称</w:t>
            </w:r>
          </w:p>
        </w:tc>
        <w:tc>
          <w:tcPr>
            <w:tcW w:w="1984" w:type="dxa"/>
            <w:vAlign w:val="center"/>
          </w:tcPr>
          <w:p>
            <w:pPr>
              <w:pStyle w:val="10"/>
              <w:adjustRightInd w:val="0"/>
              <w:snapToGrid w:val="0"/>
              <w:spacing w:line="440" w:lineRule="exact"/>
              <w:jc w:val="center"/>
              <w:rPr>
                <w:rFonts w:ascii="Arial" w:hAnsi="Arial" w:cs="Arial"/>
                <w:color w:val="auto"/>
                <w:szCs w:val="21"/>
                <w:highlight w:val="none"/>
              </w:rPr>
            </w:pPr>
            <w:r>
              <w:rPr>
                <w:rFonts w:ascii="Arial" w:hAnsi="Arial" w:cs="Arial"/>
                <w:color w:val="auto"/>
                <w:szCs w:val="21"/>
                <w:highlight w:val="none"/>
              </w:rPr>
              <w:t>投标报价</w:t>
            </w:r>
            <w:r>
              <w:rPr>
                <w:rFonts w:hint="eastAsia" w:ascii="Arial" w:hAnsi="Arial" w:cs="Arial"/>
                <w:color w:val="auto"/>
                <w:szCs w:val="21"/>
                <w:highlight w:val="none"/>
              </w:rPr>
              <w:t>（</w:t>
            </w:r>
            <w:r>
              <w:rPr>
                <w:rFonts w:hint="eastAsia" w:ascii="Arial" w:hAnsi="Arial" w:cs="Arial"/>
                <w:b/>
                <w:bCs/>
                <w:color w:val="auto"/>
                <w:szCs w:val="21"/>
                <w:highlight w:val="none"/>
              </w:rPr>
              <w:t>元</w:t>
            </w:r>
            <w:r>
              <w:rPr>
                <w:rFonts w:hint="eastAsia" w:ascii="Arial" w:hAnsi="Arial" w:cs="Arial"/>
                <w:color w:val="auto"/>
                <w:szCs w:val="21"/>
                <w:highlight w:val="none"/>
              </w:rPr>
              <w:t>）</w:t>
            </w:r>
          </w:p>
        </w:tc>
        <w:tc>
          <w:tcPr>
            <w:tcW w:w="1701" w:type="dxa"/>
            <w:vAlign w:val="center"/>
          </w:tcPr>
          <w:p>
            <w:pPr>
              <w:pStyle w:val="10"/>
              <w:adjustRightInd w:val="0"/>
              <w:snapToGrid w:val="0"/>
              <w:spacing w:line="440" w:lineRule="exact"/>
              <w:jc w:val="center"/>
              <w:rPr>
                <w:rFonts w:ascii="Arial" w:hAnsi="Arial" w:cs="Arial"/>
                <w:color w:val="auto"/>
                <w:szCs w:val="21"/>
                <w:highlight w:val="none"/>
              </w:rPr>
            </w:pPr>
            <w:r>
              <w:rPr>
                <w:rFonts w:hint="eastAsia" w:ascii="Arial" w:hAnsi="Arial" w:cs="Arial"/>
                <w:color w:val="auto"/>
                <w:szCs w:val="21"/>
                <w:highlight w:val="none"/>
              </w:rPr>
              <w:t>工期（日历天）</w:t>
            </w:r>
          </w:p>
        </w:tc>
        <w:tc>
          <w:tcPr>
            <w:tcW w:w="1815" w:type="dxa"/>
            <w:vAlign w:val="center"/>
          </w:tcPr>
          <w:p>
            <w:pPr>
              <w:pStyle w:val="10"/>
              <w:adjustRightInd w:val="0"/>
              <w:snapToGrid w:val="0"/>
              <w:spacing w:line="440" w:lineRule="exact"/>
              <w:jc w:val="center"/>
              <w:rPr>
                <w:rFonts w:ascii="Arial" w:hAnsi="Arial" w:cs="Arial"/>
                <w:color w:val="auto"/>
                <w:szCs w:val="21"/>
                <w:highlight w:val="none"/>
              </w:rPr>
            </w:pPr>
            <w:r>
              <w:rPr>
                <w:rFonts w:ascii="Arial" w:hAnsi="Arial" w:cs="Arial"/>
                <w:color w:val="auto"/>
                <w:szCs w:val="21"/>
                <w:highlight w:val="none"/>
              </w:rPr>
              <w:t>项目经理</w:t>
            </w:r>
          </w:p>
        </w:tc>
        <w:tc>
          <w:tcPr>
            <w:tcW w:w="1445" w:type="dxa"/>
            <w:vAlign w:val="center"/>
          </w:tcPr>
          <w:p>
            <w:pPr>
              <w:pStyle w:val="10"/>
              <w:adjustRightInd w:val="0"/>
              <w:snapToGrid w:val="0"/>
              <w:spacing w:line="440" w:lineRule="exact"/>
              <w:jc w:val="center"/>
              <w:rPr>
                <w:rFonts w:ascii="Arial" w:hAnsi="Arial" w:cs="Arial"/>
                <w:color w:val="auto"/>
                <w:szCs w:val="21"/>
                <w:highlight w:val="none"/>
              </w:rPr>
            </w:pPr>
            <w:r>
              <w:rPr>
                <w:rFonts w:hint="eastAsia" w:ascii="Arial" w:hAnsi="Arial" w:cs="Arial"/>
                <w:color w:val="auto"/>
                <w:szCs w:val="21"/>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979" w:type="dxa"/>
            <w:vAlign w:val="center"/>
          </w:tcPr>
          <w:p>
            <w:pPr>
              <w:pStyle w:val="10"/>
              <w:adjustRightInd w:val="0"/>
              <w:snapToGrid w:val="0"/>
              <w:spacing w:line="440" w:lineRule="exact"/>
              <w:jc w:val="center"/>
              <w:rPr>
                <w:rFonts w:hAnsi="宋体" w:cs="Arial"/>
                <w:color w:val="auto"/>
                <w:sz w:val="24"/>
                <w:highlight w:val="none"/>
              </w:rPr>
            </w:pPr>
          </w:p>
        </w:tc>
        <w:tc>
          <w:tcPr>
            <w:tcW w:w="1984" w:type="dxa"/>
            <w:vAlign w:val="center"/>
          </w:tcPr>
          <w:p>
            <w:pPr>
              <w:pStyle w:val="10"/>
              <w:adjustRightInd w:val="0"/>
              <w:snapToGrid w:val="0"/>
              <w:spacing w:line="440" w:lineRule="exact"/>
              <w:jc w:val="center"/>
              <w:rPr>
                <w:rFonts w:hAnsi="宋体" w:cs="Arial"/>
                <w:color w:val="auto"/>
                <w:sz w:val="24"/>
                <w:highlight w:val="none"/>
              </w:rPr>
            </w:pPr>
          </w:p>
        </w:tc>
        <w:tc>
          <w:tcPr>
            <w:tcW w:w="1701" w:type="dxa"/>
            <w:vAlign w:val="center"/>
          </w:tcPr>
          <w:p>
            <w:pPr>
              <w:pStyle w:val="10"/>
              <w:adjustRightInd w:val="0"/>
              <w:snapToGrid w:val="0"/>
              <w:spacing w:line="440" w:lineRule="exact"/>
              <w:jc w:val="center"/>
              <w:rPr>
                <w:rFonts w:hAnsi="宋体" w:cs="Arial"/>
                <w:color w:val="auto"/>
                <w:sz w:val="24"/>
                <w:highlight w:val="none"/>
              </w:rPr>
            </w:pPr>
          </w:p>
        </w:tc>
        <w:tc>
          <w:tcPr>
            <w:tcW w:w="1815" w:type="dxa"/>
            <w:vAlign w:val="center"/>
          </w:tcPr>
          <w:p>
            <w:pPr>
              <w:pStyle w:val="10"/>
              <w:adjustRightInd w:val="0"/>
              <w:snapToGrid w:val="0"/>
              <w:spacing w:line="440" w:lineRule="exact"/>
              <w:jc w:val="center"/>
              <w:rPr>
                <w:rFonts w:hAnsi="宋体" w:cs="Arial"/>
                <w:color w:val="auto"/>
                <w:sz w:val="24"/>
                <w:highlight w:val="none"/>
              </w:rPr>
            </w:pPr>
          </w:p>
        </w:tc>
        <w:tc>
          <w:tcPr>
            <w:tcW w:w="1445" w:type="dxa"/>
            <w:vAlign w:val="center"/>
          </w:tcPr>
          <w:p>
            <w:pPr>
              <w:pStyle w:val="10"/>
              <w:adjustRightInd w:val="0"/>
              <w:snapToGrid w:val="0"/>
              <w:spacing w:line="440" w:lineRule="exact"/>
              <w:jc w:val="center"/>
              <w:rPr>
                <w:rFonts w:hAnsi="宋体" w:cs="Arial"/>
                <w:color w:val="auto"/>
                <w:sz w:val="24"/>
                <w:highlight w:val="none"/>
              </w:rPr>
            </w:pPr>
          </w:p>
        </w:tc>
      </w:tr>
    </w:tbl>
    <w:p>
      <w:pPr>
        <w:adjustRightInd w:val="0"/>
        <w:snapToGrid w:val="0"/>
        <w:spacing w:line="360" w:lineRule="auto"/>
        <w:ind w:firstLine="105" w:firstLineChars="50"/>
        <w:rPr>
          <w:rFonts w:ascii="Arial" w:hAnsi="Arial" w:cs="Arial"/>
          <w:color w:val="auto"/>
          <w:highlight w:val="none"/>
        </w:rPr>
      </w:pPr>
      <w:r>
        <w:rPr>
          <w:rFonts w:ascii="Arial" w:hAnsi="Arial" w:cs="Arial"/>
          <w:color w:val="auto"/>
          <w:highlight w:val="none"/>
        </w:rPr>
        <w:t>注：大写金额与小写金额不一致时，以大写金额为准。</w:t>
      </w:r>
    </w:p>
    <w:p>
      <w:pPr>
        <w:adjustRightInd w:val="0"/>
        <w:snapToGrid w:val="0"/>
        <w:spacing w:line="360" w:lineRule="auto"/>
        <w:ind w:firstLine="420" w:firstLineChars="200"/>
        <w:rPr>
          <w:rFonts w:ascii="Arial" w:hAnsi="Arial" w:cs="Arial"/>
          <w:color w:val="auto"/>
          <w:highlight w:val="none"/>
        </w:rPr>
      </w:pPr>
    </w:p>
    <w:p>
      <w:pPr>
        <w:adjustRightInd w:val="0"/>
        <w:snapToGrid w:val="0"/>
        <w:spacing w:line="360" w:lineRule="auto"/>
        <w:ind w:firstLine="420" w:firstLineChars="200"/>
        <w:rPr>
          <w:rFonts w:ascii="Arial" w:hAnsi="宋体" w:cs="Arial"/>
          <w:color w:val="auto"/>
          <w:highlight w:val="none"/>
        </w:rPr>
      </w:pPr>
    </w:p>
    <w:p>
      <w:pPr>
        <w:adjustRightInd w:val="0"/>
        <w:snapToGrid w:val="0"/>
        <w:spacing w:line="360" w:lineRule="auto"/>
        <w:ind w:firstLine="420" w:firstLineChars="200"/>
        <w:rPr>
          <w:rFonts w:ascii="Arial" w:hAnsi="宋体" w:cs="Arial"/>
          <w:color w:val="auto"/>
          <w:highlight w:val="none"/>
        </w:rPr>
      </w:pPr>
    </w:p>
    <w:p>
      <w:pPr>
        <w:adjustRightInd w:val="0"/>
        <w:snapToGrid w:val="0"/>
        <w:spacing w:line="360" w:lineRule="auto"/>
        <w:ind w:firstLine="420" w:firstLineChars="200"/>
        <w:rPr>
          <w:rFonts w:ascii="Arial" w:hAnsi="宋体" w:cs="Arial"/>
          <w:color w:val="auto"/>
          <w:highlight w:val="none"/>
        </w:rPr>
      </w:pPr>
    </w:p>
    <w:p>
      <w:pPr>
        <w:adjustRightInd w:val="0"/>
        <w:snapToGrid w:val="0"/>
        <w:spacing w:line="360" w:lineRule="auto"/>
        <w:ind w:firstLine="420" w:firstLineChars="200"/>
        <w:rPr>
          <w:rFonts w:ascii="Arial" w:hAnsi="Arial" w:cs="Arial"/>
          <w:color w:val="auto"/>
          <w:highlight w:val="none"/>
        </w:rPr>
      </w:pPr>
      <w:r>
        <w:rPr>
          <w:rFonts w:ascii="Arial" w:hAnsi="宋体" w:cs="Arial"/>
          <w:color w:val="auto"/>
          <w:highlight w:val="none"/>
        </w:rPr>
        <w:t>供应商全称（盖单位公章）：</w:t>
      </w:r>
      <w:r>
        <w:rPr>
          <w:rFonts w:ascii="Arial" w:hAnsi="Arial" w:cs="Arial"/>
          <w:color w:val="auto"/>
          <w:highlight w:val="none"/>
        </w:rPr>
        <w:t xml:space="preserve">                                  </w:t>
      </w:r>
    </w:p>
    <w:p>
      <w:pPr>
        <w:adjustRightInd w:val="0"/>
        <w:snapToGrid w:val="0"/>
        <w:spacing w:line="360" w:lineRule="auto"/>
        <w:ind w:firstLine="420" w:firstLineChars="200"/>
        <w:rPr>
          <w:rFonts w:ascii="Arial" w:hAnsi="Arial" w:cs="Arial"/>
          <w:color w:val="auto"/>
          <w:highlight w:val="none"/>
        </w:rPr>
      </w:pPr>
      <w:r>
        <w:rPr>
          <w:rFonts w:ascii="Arial" w:hAnsi="Arial" w:cs="Arial"/>
          <w:color w:val="auto"/>
          <w:highlight w:val="none"/>
        </w:rPr>
        <w:t xml:space="preserve">                           </w:t>
      </w:r>
    </w:p>
    <w:p>
      <w:pPr>
        <w:spacing w:line="360" w:lineRule="auto"/>
        <w:ind w:firstLine="420" w:firstLineChars="200"/>
        <w:outlineLvl w:val="1"/>
        <w:rPr>
          <w:rFonts w:ascii="宋体" w:hAnsi="宋体" w:cs="宋体"/>
          <w:b/>
          <w:bCs/>
          <w:color w:val="auto"/>
          <w:szCs w:val="32"/>
          <w:highlight w:val="none"/>
        </w:rPr>
        <w:sectPr>
          <w:headerReference r:id="rId3" w:type="default"/>
          <w:footerReference r:id="rId4" w:type="default"/>
          <w:footerReference r:id="rId5" w:type="even"/>
          <w:pgSz w:w="11906" w:h="16838"/>
          <w:pgMar w:top="1440" w:right="1797" w:bottom="1440" w:left="1797" w:header="720" w:footer="720" w:gutter="0"/>
          <w:cols w:space="720" w:num="1"/>
          <w:docGrid w:linePitch="272" w:charSpace="-3831"/>
        </w:sectPr>
      </w:pPr>
      <w:r>
        <w:rPr>
          <w:rFonts w:ascii="Arial" w:hAnsi="宋体" w:cs="Arial"/>
          <w:color w:val="auto"/>
          <w:highlight w:val="none"/>
        </w:rPr>
        <w:t>日期</w:t>
      </w:r>
    </w:p>
    <w:bookmarkEnd w:id="808"/>
    <w:bookmarkEnd w:id="809"/>
    <w:bookmarkEnd w:id="810"/>
    <w:p>
      <w:pPr>
        <w:spacing w:line="360" w:lineRule="auto"/>
        <w:jc w:val="left"/>
        <w:rPr>
          <w:rFonts w:ascii="宋体" w:hAnsi="宋体" w:cs="宋体"/>
          <w:b/>
          <w:bCs/>
          <w:color w:val="auto"/>
          <w:szCs w:val="32"/>
          <w:highlight w:val="none"/>
        </w:rPr>
      </w:pPr>
      <w:r>
        <w:rPr>
          <w:rFonts w:hint="eastAsia" w:ascii="宋体" w:hAnsi="宋体" w:cs="宋体"/>
          <w:b/>
          <w:bCs/>
          <w:color w:val="auto"/>
          <w:szCs w:val="32"/>
          <w:highlight w:val="none"/>
        </w:rPr>
        <w:t>三、</w:t>
      </w:r>
      <w:r>
        <w:rPr>
          <w:rFonts w:hint="eastAsia" w:ascii="Arial" w:hAnsi="Arial" w:cs="Arial"/>
          <w:b/>
          <w:bCs/>
          <w:color w:val="auto"/>
          <w:szCs w:val="32"/>
          <w:highlight w:val="none"/>
        </w:rPr>
        <w:t>工程量清单报价格式</w:t>
      </w:r>
    </w:p>
    <w:tbl>
      <w:tblPr>
        <w:tblStyle w:val="21"/>
        <w:tblW w:w="9020" w:type="dxa"/>
        <w:jc w:val="center"/>
        <w:tblLayout w:type="fixed"/>
        <w:tblCellMar>
          <w:top w:w="0" w:type="dxa"/>
          <w:left w:w="108" w:type="dxa"/>
          <w:bottom w:w="0" w:type="dxa"/>
          <w:right w:w="108" w:type="dxa"/>
        </w:tblCellMar>
      </w:tblPr>
      <w:tblGrid>
        <w:gridCol w:w="1100"/>
        <w:gridCol w:w="1342"/>
        <w:gridCol w:w="1198"/>
        <w:gridCol w:w="2420"/>
        <w:gridCol w:w="960"/>
        <w:gridCol w:w="2000"/>
      </w:tblGrid>
      <w:tr>
        <w:tblPrEx>
          <w:tblCellMar>
            <w:top w:w="0" w:type="dxa"/>
            <w:left w:w="108" w:type="dxa"/>
            <w:bottom w:w="0" w:type="dxa"/>
            <w:right w:w="108" w:type="dxa"/>
          </w:tblCellMar>
        </w:tblPrEx>
        <w:trPr>
          <w:trHeight w:val="780" w:hRule="atLeast"/>
          <w:jc w:val="center"/>
        </w:trPr>
        <w:tc>
          <w:tcPr>
            <w:tcW w:w="9020" w:type="dxa"/>
            <w:gridSpan w:val="6"/>
            <w:tcBorders>
              <w:top w:val="nil"/>
              <w:left w:val="nil"/>
              <w:bottom w:val="nil"/>
              <w:right w:val="nil"/>
            </w:tcBorders>
            <w:vAlign w:val="bottom"/>
          </w:tcPr>
          <w:p>
            <w:pPr>
              <w:pStyle w:val="3"/>
              <w:keepNext w:val="0"/>
              <w:keepLines w:val="0"/>
              <w:ind w:firstLine="422"/>
              <w:jc w:val="center"/>
              <w:rPr>
                <w:rFonts w:cs="Arial"/>
                <w:color w:val="auto"/>
                <w:highlight w:val="none"/>
              </w:rPr>
            </w:pPr>
            <w:bookmarkStart w:id="811" w:name="_Toc42511942"/>
            <w:bookmarkStart w:id="812" w:name="_Toc31071"/>
            <w:bookmarkStart w:id="813" w:name="_Toc469473461"/>
            <w:bookmarkStart w:id="814" w:name="_Toc72857714"/>
            <w:bookmarkStart w:id="815" w:name="_Toc477357153"/>
            <w:bookmarkStart w:id="816" w:name="_Toc426996335"/>
            <w:r>
              <w:rPr>
                <w:rFonts w:cs="Arial"/>
                <w:color w:val="auto"/>
                <w:highlight w:val="none"/>
              </w:rPr>
              <w:t>已标价工程量清单</w:t>
            </w:r>
            <w:bookmarkEnd w:id="811"/>
            <w:bookmarkEnd w:id="812"/>
            <w:bookmarkEnd w:id="813"/>
            <w:bookmarkEnd w:id="814"/>
          </w:p>
          <w:p>
            <w:pPr>
              <w:pStyle w:val="3"/>
              <w:keepNext w:val="0"/>
              <w:keepLines w:val="0"/>
              <w:ind w:firstLine="422"/>
              <w:rPr>
                <w:rFonts w:cs="Arial"/>
                <w:color w:val="auto"/>
                <w:highlight w:val="none"/>
              </w:rPr>
            </w:pPr>
          </w:p>
          <w:p>
            <w:pPr>
              <w:pStyle w:val="3"/>
              <w:keepNext w:val="0"/>
              <w:keepLines w:val="0"/>
              <w:ind w:firstLine="422"/>
              <w:jc w:val="center"/>
              <w:rPr>
                <w:rFonts w:ascii="Calibri" w:hAnsi="Calibri" w:cs="Arial"/>
                <w:color w:val="auto"/>
                <w:sz w:val="36"/>
                <w:szCs w:val="36"/>
                <w:highlight w:val="none"/>
              </w:rPr>
            </w:pPr>
            <w:bookmarkStart w:id="817" w:name="_Toc42511943"/>
            <w:bookmarkStart w:id="818" w:name="_Toc72857715"/>
            <w:bookmarkStart w:id="819" w:name="_Toc469473462"/>
            <w:bookmarkStart w:id="820" w:name="_Toc3807"/>
            <w:r>
              <w:rPr>
                <w:rFonts w:cs="Arial"/>
                <w:color w:val="auto"/>
                <w:highlight w:val="none"/>
              </w:rPr>
              <w:t>投 标 总 价</w:t>
            </w:r>
            <w:bookmarkEnd w:id="817"/>
            <w:bookmarkEnd w:id="818"/>
            <w:bookmarkEnd w:id="819"/>
            <w:bookmarkEnd w:id="820"/>
          </w:p>
        </w:tc>
      </w:tr>
      <w:tr>
        <w:tblPrEx>
          <w:tblCellMar>
            <w:top w:w="0" w:type="dxa"/>
            <w:left w:w="108" w:type="dxa"/>
            <w:bottom w:w="0" w:type="dxa"/>
            <w:right w:w="108" w:type="dxa"/>
          </w:tblCellMar>
        </w:tblPrEx>
        <w:trPr>
          <w:trHeight w:val="600" w:hRule="atLeast"/>
          <w:jc w:val="center"/>
        </w:trPr>
        <w:tc>
          <w:tcPr>
            <w:tcW w:w="1100"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c>
          <w:tcPr>
            <w:tcW w:w="1342"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c>
          <w:tcPr>
            <w:tcW w:w="1198"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c>
          <w:tcPr>
            <w:tcW w:w="2420"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c>
          <w:tcPr>
            <w:tcW w:w="960"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c>
          <w:tcPr>
            <w:tcW w:w="2000"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r>
      <w:tr>
        <w:tblPrEx>
          <w:tblCellMar>
            <w:top w:w="0" w:type="dxa"/>
            <w:left w:w="108" w:type="dxa"/>
            <w:bottom w:w="0" w:type="dxa"/>
            <w:right w:w="108" w:type="dxa"/>
          </w:tblCellMar>
        </w:tblPrEx>
        <w:trPr>
          <w:trHeight w:val="213" w:hRule="atLeast"/>
          <w:jc w:val="center"/>
        </w:trPr>
        <w:tc>
          <w:tcPr>
            <w:tcW w:w="1100"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c>
          <w:tcPr>
            <w:tcW w:w="1342"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c>
          <w:tcPr>
            <w:tcW w:w="1198"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c>
          <w:tcPr>
            <w:tcW w:w="2420"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c>
          <w:tcPr>
            <w:tcW w:w="960"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c>
          <w:tcPr>
            <w:tcW w:w="2000" w:type="dxa"/>
            <w:tcBorders>
              <w:top w:val="nil"/>
              <w:left w:val="nil"/>
              <w:bottom w:val="nil"/>
              <w:right w:val="nil"/>
            </w:tcBorders>
            <w:vAlign w:val="bottom"/>
          </w:tcPr>
          <w:p>
            <w:pPr>
              <w:ind w:firstLine="560"/>
              <w:jc w:val="center"/>
              <w:rPr>
                <w:rFonts w:ascii="Calibri" w:hAnsi="Calibri" w:cs="Arial"/>
                <w:color w:val="auto"/>
                <w:kern w:val="0"/>
                <w:sz w:val="28"/>
                <w:szCs w:val="28"/>
                <w:highlight w:val="none"/>
              </w:rPr>
            </w:pPr>
          </w:p>
        </w:tc>
      </w:tr>
      <w:tr>
        <w:tblPrEx>
          <w:tblCellMar>
            <w:top w:w="0" w:type="dxa"/>
            <w:left w:w="108" w:type="dxa"/>
            <w:bottom w:w="0" w:type="dxa"/>
            <w:right w:w="108" w:type="dxa"/>
          </w:tblCellMar>
        </w:tblPrEx>
        <w:trPr>
          <w:trHeight w:val="576" w:hRule="atLeast"/>
          <w:jc w:val="center"/>
        </w:trPr>
        <w:tc>
          <w:tcPr>
            <w:tcW w:w="2442" w:type="dxa"/>
            <w:gridSpan w:val="2"/>
            <w:tcBorders>
              <w:top w:val="nil"/>
              <w:left w:val="nil"/>
              <w:bottom w:val="nil"/>
              <w:right w:val="nil"/>
            </w:tcBorders>
            <w:vAlign w:val="bottom"/>
          </w:tcPr>
          <w:p>
            <w:pPr>
              <w:jc w:val="left"/>
              <w:rPr>
                <w:rFonts w:ascii="Calibri" w:hAnsi="Calibri" w:cs="Arial"/>
                <w:color w:val="auto"/>
                <w:kern w:val="0"/>
                <w:sz w:val="24"/>
                <w:highlight w:val="none"/>
              </w:rPr>
            </w:pPr>
            <w:r>
              <w:rPr>
                <w:rFonts w:hint="eastAsia" w:ascii="Calibri" w:hAnsi="Calibri" w:cs="Arial"/>
                <w:color w:val="auto"/>
                <w:kern w:val="0"/>
                <w:sz w:val="24"/>
                <w:highlight w:val="none"/>
              </w:rPr>
              <w:t>采</w:t>
            </w:r>
            <w:r>
              <w:rPr>
                <w:rFonts w:ascii="Calibri" w:hAnsi="Calibri" w:cs="Arial"/>
                <w:color w:val="auto"/>
                <w:kern w:val="0"/>
                <w:sz w:val="24"/>
                <w:highlight w:val="none"/>
              </w:rPr>
              <w:t xml:space="preserve">    </w:t>
            </w:r>
            <w:r>
              <w:rPr>
                <w:rFonts w:hint="eastAsia" w:ascii="Calibri" w:hAnsi="Calibri" w:cs="Arial"/>
                <w:color w:val="auto"/>
                <w:kern w:val="0"/>
                <w:sz w:val="24"/>
                <w:highlight w:val="none"/>
              </w:rPr>
              <w:t>购</w:t>
            </w:r>
            <w:r>
              <w:rPr>
                <w:rFonts w:ascii="Calibri" w:hAnsi="Calibri" w:cs="Arial"/>
                <w:color w:val="auto"/>
                <w:kern w:val="0"/>
                <w:sz w:val="24"/>
                <w:highlight w:val="none"/>
              </w:rPr>
              <w:t xml:space="preserve">    人：</w:t>
            </w:r>
          </w:p>
        </w:tc>
        <w:tc>
          <w:tcPr>
            <w:tcW w:w="6578" w:type="dxa"/>
            <w:gridSpan w:val="4"/>
            <w:tcBorders>
              <w:top w:val="nil"/>
              <w:left w:val="nil"/>
              <w:bottom w:val="single" w:color="auto" w:sz="4" w:space="0"/>
              <w:right w:val="nil"/>
            </w:tcBorders>
            <w:vAlign w:val="bottom"/>
          </w:tcPr>
          <w:p>
            <w:pPr>
              <w:jc w:val="left"/>
              <w:rPr>
                <w:rFonts w:ascii="Calibri" w:hAnsi="Calibri" w:cs="Arial"/>
                <w:color w:val="auto"/>
                <w:kern w:val="0"/>
                <w:sz w:val="24"/>
                <w:highlight w:val="none"/>
              </w:rPr>
            </w:pPr>
            <w:r>
              <w:rPr>
                <w:rFonts w:ascii="Calibri" w:hAnsi="Calibri" w:cs="Arial"/>
                <w:color w:val="auto"/>
                <w:kern w:val="0"/>
                <w:sz w:val="24"/>
                <w:highlight w:val="none"/>
              </w:rPr>
              <w:t>　</w:t>
            </w:r>
          </w:p>
        </w:tc>
      </w:tr>
      <w:tr>
        <w:tblPrEx>
          <w:tblCellMar>
            <w:top w:w="0" w:type="dxa"/>
            <w:left w:w="108" w:type="dxa"/>
            <w:bottom w:w="0" w:type="dxa"/>
            <w:right w:w="108" w:type="dxa"/>
          </w:tblCellMar>
        </w:tblPrEx>
        <w:trPr>
          <w:trHeight w:val="949" w:hRule="atLeast"/>
          <w:jc w:val="center"/>
        </w:trPr>
        <w:tc>
          <w:tcPr>
            <w:tcW w:w="2442" w:type="dxa"/>
            <w:gridSpan w:val="2"/>
            <w:tcBorders>
              <w:top w:val="nil"/>
              <w:left w:val="nil"/>
              <w:bottom w:val="nil"/>
              <w:right w:val="nil"/>
            </w:tcBorders>
            <w:vAlign w:val="bottom"/>
          </w:tcPr>
          <w:p>
            <w:pPr>
              <w:jc w:val="left"/>
              <w:rPr>
                <w:rFonts w:ascii="Calibri" w:hAnsi="Calibri" w:cs="Arial"/>
                <w:color w:val="auto"/>
                <w:kern w:val="0"/>
                <w:sz w:val="24"/>
                <w:highlight w:val="none"/>
              </w:rPr>
            </w:pPr>
            <w:r>
              <w:rPr>
                <w:rFonts w:ascii="Calibri" w:hAnsi="Calibri" w:cs="Arial"/>
                <w:color w:val="auto"/>
                <w:kern w:val="0"/>
                <w:sz w:val="24"/>
                <w:highlight w:val="none"/>
              </w:rPr>
              <w:t>工  程  名  称：</w:t>
            </w:r>
          </w:p>
        </w:tc>
        <w:tc>
          <w:tcPr>
            <w:tcW w:w="6578" w:type="dxa"/>
            <w:gridSpan w:val="4"/>
            <w:tcBorders>
              <w:top w:val="nil"/>
              <w:left w:val="nil"/>
              <w:bottom w:val="single" w:color="auto" w:sz="4" w:space="0"/>
              <w:right w:val="nil"/>
            </w:tcBorders>
            <w:vAlign w:val="bottom"/>
          </w:tcPr>
          <w:p>
            <w:pPr>
              <w:jc w:val="left"/>
              <w:rPr>
                <w:rFonts w:ascii="Calibri" w:hAnsi="Calibri" w:cs="Arial"/>
                <w:color w:val="auto"/>
                <w:kern w:val="0"/>
                <w:sz w:val="24"/>
                <w:highlight w:val="none"/>
              </w:rPr>
            </w:pPr>
            <w:r>
              <w:rPr>
                <w:rFonts w:ascii="Calibri" w:hAnsi="Calibri" w:cs="Arial"/>
                <w:color w:val="auto"/>
                <w:kern w:val="0"/>
                <w:sz w:val="24"/>
                <w:highlight w:val="none"/>
              </w:rPr>
              <w:t>　</w:t>
            </w:r>
          </w:p>
        </w:tc>
      </w:tr>
      <w:tr>
        <w:tblPrEx>
          <w:tblCellMar>
            <w:top w:w="0" w:type="dxa"/>
            <w:left w:w="108" w:type="dxa"/>
            <w:bottom w:w="0" w:type="dxa"/>
            <w:right w:w="108" w:type="dxa"/>
          </w:tblCellMar>
        </w:tblPrEx>
        <w:trPr>
          <w:trHeight w:val="945" w:hRule="atLeast"/>
          <w:jc w:val="center"/>
        </w:trPr>
        <w:tc>
          <w:tcPr>
            <w:tcW w:w="2442" w:type="dxa"/>
            <w:gridSpan w:val="2"/>
            <w:tcBorders>
              <w:top w:val="nil"/>
              <w:left w:val="nil"/>
              <w:bottom w:val="nil"/>
              <w:right w:val="nil"/>
            </w:tcBorders>
            <w:vAlign w:val="bottom"/>
          </w:tcPr>
          <w:p>
            <w:pPr>
              <w:jc w:val="left"/>
              <w:rPr>
                <w:rFonts w:ascii="Calibri" w:hAnsi="Calibri" w:cs="Arial"/>
                <w:color w:val="auto"/>
                <w:kern w:val="0"/>
                <w:sz w:val="24"/>
                <w:highlight w:val="none"/>
              </w:rPr>
            </w:pPr>
            <w:r>
              <w:rPr>
                <w:rFonts w:ascii="Calibri" w:hAnsi="Calibri" w:cs="Arial"/>
                <w:color w:val="auto"/>
                <w:kern w:val="0"/>
                <w:sz w:val="24"/>
                <w:highlight w:val="none"/>
              </w:rPr>
              <w:t>投标总价（小写）：</w:t>
            </w:r>
          </w:p>
        </w:tc>
        <w:tc>
          <w:tcPr>
            <w:tcW w:w="6578" w:type="dxa"/>
            <w:gridSpan w:val="4"/>
            <w:tcBorders>
              <w:top w:val="nil"/>
              <w:left w:val="nil"/>
              <w:bottom w:val="nil"/>
              <w:right w:val="nil"/>
            </w:tcBorders>
            <w:vAlign w:val="bottom"/>
          </w:tcPr>
          <w:p>
            <w:pPr>
              <w:jc w:val="left"/>
              <w:rPr>
                <w:rFonts w:ascii="Calibri" w:hAnsi="Calibri" w:cs="Arial"/>
                <w:color w:val="auto"/>
                <w:kern w:val="0"/>
                <w:sz w:val="24"/>
                <w:highlight w:val="none"/>
              </w:rPr>
            </w:pPr>
          </w:p>
        </w:tc>
      </w:tr>
      <w:tr>
        <w:tblPrEx>
          <w:tblCellMar>
            <w:top w:w="0" w:type="dxa"/>
            <w:left w:w="108" w:type="dxa"/>
            <w:bottom w:w="0" w:type="dxa"/>
            <w:right w:w="108" w:type="dxa"/>
          </w:tblCellMar>
        </w:tblPrEx>
        <w:trPr>
          <w:trHeight w:val="852" w:hRule="atLeast"/>
          <w:jc w:val="center"/>
        </w:trPr>
        <w:tc>
          <w:tcPr>
            <w:tcW w:w="2442" w:type="dxa"/>
            <w:gridSpan w:val="2"/>
            <w:tcBorders>
              <w:top w:val="nil"/>
              <w:left w:val="nil"/>
              <w:bottom w:val="nil"/>
              <w:right w:val="nil"/>
            </w:tcBorders>
            <w:vAlign w:val="bottom"/>
          </w:tcPr>
          <w:p>
            <w:pPr>
              <w:rPr>
                <w:rFonts w:ascii="Calibri" w:hAnsi="Calibri" w:cs="Arial"/>
                <w:color w:val="auto"/>
                <w:kern w:val="0"/>
                <w:sz w:val="24"/>
                <w:highlight w:val="none"/>
              </w:rPr>
            </w:pPr>
            <w:r>
              <w:rPr>
                <w:rFonts w:ascii="Calibri" w:hAnsi="Calibri" w:cs="Arial"/>
                <w:color w:val="auto"/>
                <w:kern w:val="0"/>
                <w:sz w:val="24"/>
                <w:highlight w:val="none"/>
              </w:rPr>
              <w:t xml:space="preserve">       （大写）：</w:t>
            </w:r>
          </w:p>
        </w:tc>
        <w:tc>
          <w:tcPr>
            <w:tcW w:w="6578" w:type="dxa"/>
            <w:gridSpan w:val="4"/>
            <w:tcBorders>
              <w:top w:val="single" w:color="auto" w:sz="4" w:space="0"/>
              <w:left w:val="nil"/>
              <w:bottom w:val="single" w:color="auto" w:sz="4" w:space="0"/>
              <w:right w:val="nil"/>
            </w:tcBorders>
            <w:vAlign w:val="bottom"/>
          </w:tcPr>
          <w:p>
            <w:pPr>
              <w:jc w:val="left"/>
              <w:rPr>
                <w:rFonts w:ascii="Calibri" w:hAnsi="Calibri" w:cs="Arial"/>
                <w:color w:val="auto"/>
                <w:kern w:val="0"/>
                <w:sz w:val="24"/>
                <w:highlight w:val="none"/>
              </w:rPr>
            </w:pPr>
            <w:r>
              <w:rPr>
                <w:rFonts w:ascii="Calibri" w:hAnsi="Calibri" w:cs="Arial"/>
                <w:color w:val="auto"/>
                <w:kern w:val="0"/>
                <w:sz w:val="24"/>
                <w:highlight w:val="none"/>
              </w:rPr>
              <w:t>　</w:t>
            </w:r>
          </w:p>
        </w:tc>
      </w:tr>
      <w:tr>
        <w:tblPrEx>
          <w:tblCellMar>
            <w:top w:w="0" w:type="dxa"/>
            <w:left w:w="108" w:type="dxa"/>
            <w:bottom w:w="0" w:type="dxa"/>
            <w:right w:w="108" w:type="dxa"/>
          </w:tblCellMar>
        </w:tblPrEx>
        <w:trPr>
          <w:trHeight w:val="614" w:hRule="atLeast"/>
          <w:jc w:val="center"/>
        </w:trPr>
        <w:tc>
          <w:tcPr>
            <w:tcW w:w="1100" w:type="dxa"/>
            <w:tcBorders>
              <w:top w:val="nil"/>
              <w:left w:val="nil"/>
              <w:bottom w:val="nil"/>
              <w:right w:val="nil"/>
            </w:tcBorders>
            <w:vAlign w:val="bottom"/>
          </w:tcPr>
          <w:p>
            <w:pPr>
              <w:ind w:firstLine="200" w:firstLineChars="100"/>
              <w:jc w:val="left"/>
              <w:rPr>
                <w:rFonts w:ascii="Calibri" w:hAnsi="Calibri" w:cs="Arial"/>
                <w:color w:val="auto"/>
                <w:kern w:val="0"/>
                <w:sz w:val="20"/>
                <w:highlight w:val="none"/>
              </w:rPr>
            </w:pPr>
          </w:p>
        </w:tc>
        <w:tc>
          <w:tcPr>
            <w:tcW w:w="1342"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c>
          <w:tcPr>
            <w:tcW w:w="1198"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c>
          <w:tcPr>
            <w:tcW w:w="2420"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c>
          <w:tcPr>
            <w:tcW w:w="960"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c>
          <w:tcPr>
            <w:tcW w:w="2000"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r>
      <w:tr>
        <w:tblPrEx>
          <w:tblCellMar>
            <w:top w:w="0" w:type="dxa"/>
            <w:left w:w="108" w:type="dxa"/>
            <w:bottom w:w="0" w:type="dxa"/>
            <w:right w:w="108" w:type="dxa"/>
          </w:tblCellMar>
        </w:tblPrEx>
        <w:trPr>
          <w:trHeight w:val="792" w:hRule="atLeast"/>
          <w:jc w:val="center"/>
        </w:trPr>
        <w:tc>
          <w:tcPr>
            <w:tcW w:w="2442" w:type="dxa"/>
            <w:gridSpan w:val="2"/>
            <w:tcBorders>
              <w:top w:val="nil"/>
              <w:left w:val="nil"/>
              <w:bottom w:val="nil"/>
              <w:right w:val="nil"/>
            </w:tcBorders>
            <w:vAlign w:val="bottom"/>
          </w:tcPr>
          <w:p>
            <w:pPr>
              <w:ind w:left="480" w:hanging="480" w:hangingChars="200"/>
              <w:jc w:val="left"/>
              <w:rPr>
                <w:rFonts w:ascii="Calibri" w:hAnsi="Calibri" w:cs="Arial"/>
                <w:color w:val="auto"/>
                <w:kern w:val="0"/>
                <w:sz w:val="24"/>
                <w:highlight w:val="none"/>
              </w:rPr>
            </w:pPr>
            <w:r>
              <w:rPr>
                <w:rFonts w:hint="eastAsia" w:ascii="Calibri" w:hAnsi="Calibri" w:cs="Arial"/>
                <w:color w:val="auto"/>
                <w:kern w:val="0"/>
                <w:sz w:val="24"/>
                <w:highlight w:val="none"/>
              </w:rPr>
              <w:t>供    应    商</w:t>
            </w:r>
            <w:r>
              <w:rPr>
                <w:rFonts w:ascii="Calibri" w:hAnsi="Calibri" w:cs="Arial"/>
                <w:color w:val="auto"/>
                <w:kern w:val="0"/>
                <w:sz w:val="24"/>
                <w:highlight w:val="none"/>
              </w:rPr>
              <w:t>：</w:t>
            </w:r>
          </w:p>
        </w:tc>
        <w:tc>
          <w:tcPr>
            <w:tcW w:w="6578" w:type="dxa"/>
            <w:gridSpan w:val="4"/>
            <w:tcBorders>
              <w:top w:val="nil"/>
              <w:left w:val="nil"/>
              <w:bottom w:val="single" w:color="auto" w:sz="4" w:space="0"/>
              <w:right w:val="nil"/>
            </w:tcBorders>
            <w:vAlign w:val="bottom"/>
          </w:tcPr>
          <w:p>
            <w:pPr>
              <w:jc w:val="left"/>
              <w:rPr>
                <w:rFonts w:ascii="Calibri" w:hAnsi="Calibri" w:cs="Arial"/>
                <w:color w:val="auto"/>
                <w:kern w:val="0"/>
                <w:sz w:val="24"/>
                <w:highlight w:val="none"/>
              </w:rPr>
            </w:pPr>
            <w:r>
              <w:rPr>
                <w:rFonts w:ascii="Calibri" w:hAnsi="Calibri" w:cs="Arial"/>
                <w:color w:val="auto"/>
                <w:kern w:val="0"/>
                <w:sz w:val="24"/>
                <w:highlight w:val="none"/>
              </w:rPr>
              <w:t>　</w:t>
            </w:r>
          </w:p>
        </w:tc>
      </w:tr>
      <w:tr>
        <w:tblPrEx>
          <w:tblCellMar>
            <w:top w:w="0" w:type="dxa"/>
            <w:left w:w="108" w:type="dxa"/>
            <w:bottom w:w="0" w:type="dxa"/>
            <w:right w:w="108" w:type="dxa"/>
          </w:tblCellMar>
        </w:tblPrEx>
        <w:trPr>
          <w:trHeight w:val="570" w:hRule="atLeast"/>
          <w:jc w:val="center"/>
        </w:trPr>
        <w:tc>
          <w:tcPr>
            <w:tcW w:w="1100" w:type="dxa"/>
            <w:tcBorders>
              <w:top w:val="nil"/>
              <w:left w:val="nil"/>
              <w:bottom w:val="nil"/>
              <w:right w:val="nil"/>
            </w:tcBorders>
            <w:vAlign w:val="bottom"/>
          </w:tcPr>
          <w:p>
            <w:pPr>
              <w:ind w:firstLine="198" w:firstLineChars="90"/>
              <w:jc w:val="left"/>
              <w:rPr>
                <w:rFonts w:ascii="Calibri" w:hAnsi="Calibri" w:cs="Arial"/>
                <w:color w:val="auto"/>
                <w:kern w:val="0"/>
                <w:sz w:val="22"/>
                <w:szCs w:val="22"/>
                <w:highlight w:val="none"/>
              </w:rPr>
            </w:pPr>
          </w:p>
        </w:tc>
        <w:tc>
          <w:tcPr>
            <w:tcW w:w="1342" w:type="dxa"/>
            <w:tcBorders>
              <w:top w:val="nil"/>
              <w:left w:val="nil"/>
              <w:bottom w:val="nil"/>
              <w:right w:val="nil"/>
            </w:tcBorders>
            <w:vAlign w:val="bottom"/>
          </w:tcPr>
          <w:p>
            <w:pPr>
              <w:ind w:firstLine="440"/>
              <w:jc w:val="left"/>
              <w:rPr>
                <w:rFonts w:ascii="Calibri" w:hAnsi="Calibri" w:cs="Arial"/>
                <w:color w:val="auto"/>
                <w:kern w:val="0"/>
                <w:sz w:val="22"/>
                <w:szCs w:val="22"/>
                <w:highlight w:val="none"/>
              </w:rPr>
            </w:pPr>
          </w:p>
        </w:tc>
        <w:tc>
          <w:tcPr>
            <w:tcW w:w="6578" w:type="dxa"/>
            <w:gridSpan w:val="4"/>
            <w:tcBorders>
              <w:top w:val="nil"/>
              <w:left w:val="nil"/>
              <w:bottom w:val="nil"/>
              <w:right w:val="nil"/>
            </w:tcBorders>
            <w:vAlign w:val="center"/>
          </w:tcPr>
          <w:p>
            <w:pPr>
              <w:ind w:firstLine="440"/>
              <w:jc w:val="center"/>
              <w:rPr>
                <w:rFonts w:ascii="Calibri" w:hAnsi="Calibri" w:cs="Arial"/>
                <w:color w:val="auto"/>
                <w:kern w:val="0"/>
                <w:sz w:val="22"/>
                <w:szCs w:val="22"/>
                <w:highlight w:val="none"/>
              </w:rPr>
            </w:pPr>
            <w:r>
              <w:rPr>
                <w:rFonts w:ascii="Calibri" w:hAnsi="Calibri" w:cs="Arial"/>
                <w:color w:val="auto"/>
                <w:kern w:val="0"/>
                <w:sz w:val="22"/>
                <w:szCs w:val="22"/>
                <w:highlight w:val="none"/>
              </w:rPr>
              <w:t>（单位盖章）</w:t>
            </w:r>
          </w:p>
        </w:tc>
      </w:tr>
      <w:tr>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pPr>
              <w:jc w:val="left"/>
              <w:rPr>
                <w:rFonts w:ascii="Calibri" w:hAnsi="Calibri" w:cs="Arial"/>
                <w:color w:val="auto"/>
                <w:kern w:val="0"/>
                <w:sz w:val="24"/>
                <w:highlight w:val="none"/>
              </w:rPr>
            </w:pPr>
            <w:r>
              <w:rPr>
                <w:rFonts w:ascii="Calibri" w:hAnsi="Calibri" w:cs="Arial"/>
                <w:color w:val="auto"/>
                <w:kern w:val="0"/>
                <w:sz w:val="24"/>
                <w:highlight w:val="none"/>
              </w:rPr>
              <w:t>法 定 代 表 人</w:t>
            </w:r>
          </w:p>
          <w:p>
            <w:pPr>
              <w:jc w:val="left"/>
              <w:rPr>
                <w:rFonts w:ascii="Calibri" w:hAnsi="Calibri" w:cs="Arial"/>
                <w:color w:val="auto"/>
                <w:kern w:val="0"/>
                <w:sz w:val="24"/>
                <w:highlight w:val="none"/>
              </w:rPr>
            </w:pPr>
            <w:r>
              <w:rPr>
                <w:rFonts w:ascii="Calibri" w:hAnsi="Calibri" w:cs="Arial"/>
                <w:color w:val="auto"/>
                <w:kern w:val="0"/>
                <w:sz w:val="24"/>
                <w:highlight w:val="none"/>
              </w:rPr>
              <w:t>或 其 授 权 人：</w:t>
            </w:r>
          </w:p>
        </w:tc>
        <w:tc>
          <w:tcPr>
            <w:tcW w:w="6578" w:type="dxa"/>
            <w:gridSpan w:val="4"/>
            <w:tcBorders>
              <w:top w:val="nil"/>
              <w:left w:val="nil"/>
              <w:bottom w:val="nil"/>
              <w:right w:val="nil"/>
            </w:tcBorders>
            <w:vAlign w:val="bottom"/>
          </w:tcPr>
          <w:p>
            <w:pPr>
              <w:jc w:val="left"/>
              <w:rPr>
                <w:rFonts w:ascii="Calibri" w:hAnsi="Calibri" w:cs="Arial"/>
                <w:color w:val="auto"/>
                <w:kern w:val="0"/>
                <w:sz w:val="24"/>
                <w:highlight w:val="none"/>
              </w:rPr>
            </w:pPr>
          </w:p>
        </w:tc>
      </w:tr>
      <w:tr>
        <w:tblPrEx>
          <w:tblCellMar>
            <w:top w:w="0" w:type="dxa"/>
            <w:left w:w="108" w:type="dxa"/>
            <w:bottom w:w="0" w:type="dxa"/>
            <w:right w:w="108" w:type="dxa"/>
          </w:tblCellMar>
        </w:tblPrEx>
        <w:trPr>
          <w:trHeight w:val="465" w:hRule="atLeast"/>
          <w:jc w:val="center"/>
        </w:trPr>
        <w:tc>
          <w:tcPr>
            <w:tcW w:w="1100" w:type="dxa"/>
            <w:tcBorders>
              <w:top w:val="nil"/>
              <w:left w:val="nil"/>
              <w:bottom w:val="nil"/>
              <w:right w:val="nil"/>
            </w:tcBorders>
            <w:vAlign w:val="bottom"/>
          </w:tcPr>
          <w:p>
            <w:pPr>
              <w:ind w:firstLine="440"/>
              <w:jc w:val="left"/>
              <w:rPr>
                <w:rFonts w:ascii="Calibri" w:hAnsi="Calibri" w:cs="Arial"/>
                <w:color w:val="auto"/>
                <w:kern w:val="0"/>
                <w:sz w:val="22"/>
                <w:szCs w:val="22"/>
                <w:highlight w:val="none"/>
              </w:rPr>
            </w:pPr>
          </w:p>
        </w:tc>
        <w:tc>
          <w:tcPr>
            <w:tcW w:w="1342" w:type="dxa"/>
            <w:tcBorders>
              <w:top w:val="nil"/>
              <w:left w:val="nil"/>
              <w:bottom w:val="nil"/>
              <w:right w:val="nil"/>
            </w:tcBorders>
            <w:vAlign w:val="bottom"/>
          </w:tcPr>
          <w:p>
            <w:pPr>
              <w:ind w:firstLine="440"/>
              <w:jc w:val="left"/>
              <w:rPr>
                <w:rFonts w:ascii="Calibri" w:hAnsi="Calibri" w:cs="Arial"/>
                <w:color w:val="auto"/>
                <w:kern w:val="0"/>
                <w:sz w:val="22"/>
                <w:szCs w:val="22"/>
                <w:highlight w:val="none"/>
              </w:rPr>
            </w:pPr>
          </w:p>
        </w:tc>
        <w:tc>
          <w:tcPr>
            <w:tcW w:w="6578" w:type="dxa"/>
            <w:gridSpan w:val="4"/>
            <w:tcBorders>
              <w:top w:val="single" w:color="auto" w:sz="4" w:space="0"/>
              <w:left w:val="nil"/>
              <w:bottom w:val="nil"/>
              <w:right w:val="nil"/>
            </w:tcBorders>
            <w:vAlign w:val="center"/>
          </w:tcPr>
          <w:p>
            <w:pPr>
              <w:ind w:firstLine="440"/>
              <w:jc w:val="center"/>
              <w:rPr>
                <w:rFonts w:ascii="Calibri" w:hAnsi="Calibri" w:cs="Arial"/>
                <w:color w:val="auto"/>
                <w:kern w:val="0"/>
                <w:sz w:val="22"/>
                <w:szCs w:val="22"/>
                <w:highlight w:val="none"/>
              </w:rPr>
            </w:pPr>
            <w:r>
              <w:rPr>
                <w:rFonts w:ascii="Calibri" w:hAnsi="Calibri" w:cs="Arial"/>
                <w:color w:val="auto"/>
                <w:kern w:val="0"/>
                <w:sz w:val="22"/>
                <w:szCs w:val="22"/>
                <w:highlight w:val="none"/>
              </w:rPr>
              <w:t>（签字或盖章）</w:t>
            </w:r>
          </w:p>
        </w:tc>
      </w:tr>
      <w:tr>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pPr>
              <w:jc w:val="left"/>
              <w:rPr>
                <w:rFonts w:ascii="Calibri" w:hAnsi="Calibri" w:cs="Arial"/>
                <w:color w:val="auto"/>
                <w:kern w:val="0"/>
                <w:sz w:val="24"/>
                <w:highlight w:val="none"/>
              </w:rPr>
            </w:pPr>
            <w:r>
              <w:rPr>
                <w:rFonts w:ascii="Calibri" w:hAnsi="Calibri" w:cs="Arial"/>
                <w:color w:val="auto"/>
                <w:kern w:val="0"/>
                <w:sz w:val="24"/>
                <w:highlight w:val="none"/>
              </w:rPr>
              <w:t>编制时间：</w:t>
            </w:r>
          </w:p>
        </w:tc>
        <w:tc>
          <w:tcPr>
            <w:tcW w:w="3618" w:type="dxa"/>
            <w:gridSpan w:val="2"/>
            <w:tcBorders>
              <w:top w:val="nil"/>
              <w:left w:val="nil"/>
              <w:bottom w:val="nil"/>
              <w:right w:val="nil"/>
            </w:tcBorders>
            <w:vAlign w:val="bottom"/>
          </w:tcPr>
          <w:p>
            <w:pPr>
              <w:ind w:firstLine="480"/>
              <w:jc w:val="left"/>
              <w:rPr>
                <w:rFonts w:ascii="Calibri" w:hAnsi="Calibri" w:cs="Arial"/>
                <w:color w:val="auto"/>
                <w:kern w:val="0"/>
                <w:sz w:val="24"/>
                <w:highlight w:val="none"/>
              </w:rPr>
            </w:pPr>
            <w:r>
              <w:rPr>
                <w:rFonts w:ascii="Calibri" w:hAnsi="Calibri" w:cs="Arial"/>
                <w:color w:val="auto"/>
                <w:kern w:val="0"/>
                <w:sz w:val="24"/>
                <w:highlight w:val="none"/>
              </w:rPr>
              <w:t xml:space="preserve">             </w:t>
            </w:r>
          </w:p>
          <w:p>
            <w:pPr>
              <w:ind w:firstLine="480"/>
              <w:jc w:val="left"/>
              <w:rPr>
                <w:rFonts w:ascii="Calibri" w:hAnsi="Calibri" w:cs="Arial"/>
                <w:color w:val="auto"/>
                <w:kern w:val="0"/>
                <w:sz w:val="24"/>
                <w:highlight w:val="none"/>
              </w:rPr>
            </w:pPr>
            <w:r>
              <w:rPr>
                <w:rFonts w:ascii="Calibri" w:hAnsi="Calibri" w:cs="Arial"/>
                <w:color w:val="auto"/>
                <w:kern w:val="0"/>
                <w:sz w:val="24"/>
                <w:highlight w:val="none"/>
              </w:rPr>
              <w:t xml:space="preserve"> 年      月       日 </w:t>
            </w:r>
          </w:p>
        </w:tc>
        <w:tc>
          <w:tcPr>
            <w:tcW w:w="960"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c>
          <w:tcPr>
            <w:tcW w:w="2000"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r>
      <w:tr>
        <w:tblPrEx>
          <w:tblCellMar>
            <w:top w:w="0" w:type="dxa"/>
            <w:left w:w="108" w:type="dxa"/>
            <w:bottom w:w="0" w:type="dxa"/>
            <w:right w:w="108" w:type="dxa"/>
          </w:tblCellMar>
        </w:tblPrEx>
        <w:trPr>
          <w:trHeight w:val="390" w:hRule="atLeast"/>
          <w:jc w:val="center"/>
        </w:trPr>
        <w:tc>
          <w:tcPr>
            <w:tcW w:w="1100"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c>
          <w:tcPr>
            <w:tcW w:w="1342"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c>
          <w:tcPr>
            <w:tcW w:w="1198"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c>
          <w:tcPr>
            <w:tcW w:w="2420"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c>
          <w:tcPr>
            <w:tcW w:w="960" w:type="dxa"/>
            <w:tcBorders>
              <w:top w:val="nil"/>
              <w:left w:val="nil"/>
              <w:bottom w:val="nil"/>
              <w:right w:val="nil"/>
            </w:tcBorders>
            <w:vAlign w:val="bottom"/>
          </w:tcPr>
          <w:p>
            <w:pPr>
              <w:ind w:firstLine="480"/>
              <w:jc w:val="left"/>
              <w:rPr>
                <w:rFonts w:ascii="Calibri" w:hAnsi="Calibri" w:cs="Arial"/>
                <w:color w:val="auto"/>
                <w:kern w:val="0"/>
                <w:sz w:val="24"/>
                <w:highlight w:val="none"/>
              </w:rPr>
            </w:pPr>
          </w:p>
        </w:tc>
        <w:tc>
          <w:tcPr>
            <w:tcW w:w="2000" w:type="dxa"/>
            <w:tcBorders>
              <w:top w:val="nil"/>
              <w:left w:val="nil"/>
              <w:bottom w:val="nil"/>
              <w:right w:val="nil"/>
            </w:tcBorders>
            <w:vAlign w:val="bottom"/>
          </w:tcPr>
          <w:p>
            <w:pPr>
              <w:ind w:firstLine="480"/>
              <w:jc w:val="right"/>
              <w:rPr>
                <w:rFonts w:ascii="Calibri" w:hAnsi="Calibri" w:cs="Arial"/>
                <w:color w:val="auto"/>
                <w:kern w:val="0"/>
                <w:sz w:val="24"/>
                <w:highlight w:val="none"/>
              </w:rPr>
            </w:pPr>
          </w:p>
        </w:tc>
      </w:tr>
    </w:tbl>
    <w:p>
      <w:pPr>
        <w:tabs>
          <w:tab w:val="center" w:pos="4755"/>
          <w:tab w:val="right" w:pos="9070"/>
        </w:tabs>
        <w:spacing w:before="100" w:beforeAutospacing="1" w:after="100" w:afterAutospacing="1" w:line="300" w:lineRule="exact"/>
        <w:rPr>
          <w:rFonts w:hAnsi="宋体"/>
          <w:b/>
          <w:color w:val="auto"/>
          <w:kern w:val="0"/>
          <w:sz w:val="32"/>
          <w:szCs w:val="32"/>
          <w:highlight w:val="none"/>
        </w:rPr>
      </w:pPr>
    </w:p>
    <w:p>
      <w:pPr>
        <w:tabs>
          <w:tab w:val="center" w:pos="4755"/>
          <w:tab w:val="right" w:pos="9070"/>
        </w:tabs>
        <w:spacing w:before="100" w:beforeAutospacing="1" w:after="100" w:afterAutospacing="1" w:line="300" w:lineRule="exact"/>
        <w:rPr>
          <w:rFonts w:hAnsi="宋体"/>
          <w:b/>
          <w:color w:val="auto"/>
          <w:kern w:val="0"/>
          <w:sz w:val="32"/>
          <w:szCs w:val="32"/>
          <w:highlight w:val="none"/>
        </w:rPr>
      </w:pPr>
    </w:p>
    <w:p>
      <w:pPr>
        <w:tabs>
          <w:tab w:val="center" w:pos="4755"/>
          <w:tab w:val="right" w:pos="9070"/>
        </w:tabs>
        <w:spacing w:before="100" w:beforeAutospacing="1" w:after="100" w:afterAutospacing="1" w:line="300" w:lineRule="exact"/>
        <w:rPr>
          <w:rFonts w:hAnsi="宋体"/>
          <w:b/>
          <w:color w:val="auto"/>
          <w:kern w:val="0"/>
          <w:sz w:val="32"/>
          <w:szCs w:val="32"/>
          <w:highlight w:val="none"/>
        </w:rPr>
      </w:pPr>
    </w:p>
    <w:p>
      <w:pPr>
        <w:tabs>
          <w:tab w:val="center" w:pos="4755"/>
          <w:tab w:val="right" w:pos="9070"/>
        </w:tabs>
        <w:spacing w:before="100" w:beforeAutospacing="1" w:after="100" w:afterAutospacing="1"/>
        <w:ind w:firstLine="321" w:firstLineChars="100"/>
        <w:jc w:val="center"/>
        <w:rPr>
          <w:rFonts w:hAnsi="宋体"/>
          <w:b/>
          <w:color w:val="auto"/>
          <w:kern w:val="0"/>
          <w:sz w:val="32"/>
          <w:szCs w:val="32"/>
          <w:highlight w:val="none"/>
        </w:rPr>
      </w:pPr>
    </w:p>
    <w:p>
      <w:pPr>
        <w:tabs>
          <w:tab w:val="center" w:pos="4755"/>
          <w:tab w:val="right" w:pos="9070"/>
        </w:tabs>
        <w:spacing w:before="100" w:beforeAutospacing="1" w:after="100" w:afterAutospacing="1"/>
        <w:ind w:firstLine="321" w:firstLineChars="100"/>
        <w:jc w:val="center"/>
        <w:rPr>
          <w:rFonts w:hAnsi="宋体"/>
          <w:b/>
          <w:color w:val="auto"/>
          <w:kern w:val="0"/>
          <w:sz w:val="32"/>
          <w:szCs w:val="32"/>
          <w:highlight w:val="none"/>
        </w:rPr>
      </w:pPr>
      <w:r>
        <w:rPr>
          <w:rFonts w:hint="eastAsia" w:hAnsi="宋体"/>
          <w:b/>
          <w:color w:val="auto"/>
          <w:kern w:val="0"/>
          <w:sz w:val="32"/>
          <w:szCs w:val="32"/>
          <w:highlight w:val="none"/>
        </w:rPr>
        <w:t>工程量清单报价说明</w:t>
      </w:r>
    </w:p>
    <w:p>
      <w:pPr>
        <w:tabs>
          <w:tab w:val="center" w:pos="4755"/>
          <w:tab w:val="right" w:pos="9070"/>
        </w:tabs>
        <w:spacing w:before="100" w:beforeAutospacing="1" w:after="100" w:afterAutospacing="1"/>
        <w:ind w:firstLine="105" w:firstLineChars="50"/>
        <w:jc w:val="left"/>
        <w:rPr>
          <w:rFonts w:hAnsi="宋体"/>
          <w:color w:val="auto"/>
          <w:kern w:val="0"/>
          <w:szCs w:val="21"/>
          <w:highlight w:val="none"/>
        </w:rPr>
      </w:pPr>
      <w:r>
        <w:rPr>
          <w:rFonts w:hint="eastAsia" w:hAnsi="宋体"/>
          <w:color w:val="auto"/>
          <w:kern w:val="0"/>
          <w:szCs w:val="21"/>
          <w:highlight w:val="none"/>
        </w:rPr>
        <w:t>工程名称：                                                            第    页共    页</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4" w:hRule="atLeast"/>
          <w:jc w:val="center"/>
        </w:trPr>
        <w:tc>
          <w:tcPr>
            <w:tcW w:w="9286" w:type="dxa"/>
          </w:tcPr>
          <w:p>
            <w:pPr>
              <w:tabs>
                <w:tab w:val="center" w:pos="4755"/>
                <w:tab w:val="right" w:pos="9070"/>
              </w:tabs>
              <w:spacing w:before="100" w:beforeAutospacing="1" w:after="100" w:afterAutospacing="1"/>
              <w:rPr>
                <w:rFonts w:hAnsi="宋体"/>
                <w:b/>
                <w:color w:val="auto"/>
                <w:kern w:val="0"/>
                <w:sz w:val="44"/>
                <w:szCs w:val="44"/>
                <w:highlight w:val="none"/>
              </w:rPr>
            </w:pPr>
          </w:p>
        </w:tc>
      </w:tr>
    </w:tbl>
    <w:p>
      <w:pPr>
        <w:tabs>
          <w:tab w:val="center" w:pos="4755"/>
          <w:tab w:val="right" w:pos="9070"/>
        </w:tabs>
        <w:spacing w:before="100" w:beforeAutospacing="1" w:after="100" w:afterAutospacing="1"/>
        <w:ind w:firstLine="210" w:firstLineChars="100"/>
        <w:rPr>
          <w:rFonts w:hAnsi="宋体"/>
          <w:color w:val="auto"/>
          <w:kern w:val="0"/>
          <w:szCs w:val="28"/>
          <w:highlight w:val="none"/>
        </w:rPr>
      </w:pPr>
      <w:r>
        <w:rPr>
          <w:rFonts w:hint="eastAsia" w:hAnsi="宋体"/>
          <w:color w:val="auto"/>
          <w:kern w:val="0"/>
          <w:szCs w:val="28"/>
          <w:highlight w:val="none"/>
        </w:rPr>
        <w:t xml:space="preserve">                    </w:t>
      </w:r>
    </w:p>
    <w:p>
      <w:pPr>
        <w:tabs>
          <w:tab w:val="center" w:pos="4755"/>
          <w:tab w:val="right" w:pos="9070"/>
        </w:tabs>
        <w:jc w:val="center"/>
        <w:rPr>
          <w:rFonts w:hAnsi="宋体"/>
          <w:b/>
          <w:color w:val="auto"/>
          <w:kern w:val="0"/>
          <w:sz w:val="32"/>
          <w:szCs w:val="32"/>
          <w:highlight w:val="none"/>
        </w:rPr>
      </w:pPr>
    </w:p>
    <w:p>
      <w:pPr>
        <w:tabs>
          <w:tab w:val="center" w:pos="4755"/>
          <w:tab w:val="right" w:pos="9070"/>
        </w:tabs>
        <w:jc w:val="center"/>
        <w:rPr>
          <w:rFonts w:ascii="宋体" w:hAnsi="宋体" w:cs="宋体"/>
          <w:b/>
          <w:color w:val="auto"/>
          <w:szCs w:val="21"/>
          <w:highlight w:val="none"/>
        </w:rPr>
      </w:pPr>
    </w:p>
    <w:p>
      <w:pPr>
        <w:tabs>
          <w:tab w:val="center" w:pos="4755"/>
          <w:tab w:val="right" w:pos="9070"/>
        </w:tabs>
        <w:jc w:val="center"/>
        <w:rPr>
          <w:rFonts w:ascii="宋体" w:hAnsi="宋体" w:cs="宋体"/>
          <w:b/>
          <w:color w:val="auto"/>
          <w:szCs w:val="21"/>
          <w:highlight w:val="none"/>
        </w:rPr>
      </w:pPr>
    </w:p>
    <w:p>
      <w:pPr>
        <w:tabs>
          <w:tab w:val="center" w:pos="4755"/>
          <w:tab w:val="right" w:pos="9070"/>
        </w:tabs>
        <w:jc w:val="center"/>
        <w:rPr>
          <w:rFonts w:ascii="宋体" w:hAnsi="宋体" w:cs="宋体"/>
          <w:b/>
          <w:color w:val="auto"/>
          <w:szCs w:val="21"/>
          <w:highlight w:val="none"/>
        </w:rPr>
      </w:pPr>
    </w:p>
    <w:p>
      <w:pPr>
        <w:tabs>
          <w:tab w:val="center" w:pos="4755"/>
          <w:tab w:val="right" w:pos="9070"/>
        </w:tabs>
        <w:jc w:val="center"/>
        <w:rPr>
          <w:rFonts w:ascii="宋体" w:hAnsi="宋体" w:cs="宋体"/>
          <w:b/>
          <w:color w:val="auto"/>
          <w:szCs w:val="21"/>
          <w:highlight w:val="none"/>
        </w:rPr>
      </w:pPr>
    </w:p>
    <w:p>
      <w:pPr>
        <w:tabs>
          <w:tab w:val="center" w:pos="4755"/>
          <w:tab w:val="right" w:pos="9070"/>
        </w:tabs>
        <w:jc w:val="center"/>
        <w:rPr>
          <w:rFonts w:ascii="宋体" w:hAnsi="宋体" w:cs="宋体"/>
          <w:b/>
          <w:color w:val="auto"/>
          <w:szCs w:val="21"/>
          <w:highlight w:val="none"/>
        </w:rPr>
      </w:pPr>
    </w:p>
    <w:p>
      <w:pPr>
        <w:tabs>
          <w:tab w:val="center" w:pos="4755"/>
          <w:tab w:val="right" w:pos="9070"/>
        </w:tabs>
        <w:jc w:val="center"/>
        <w:rPr>
          <w:rFonts w:ascii="宋体" w:hAnsi="宋体" w:cs="宋体"/>
          <w:b/>
          <w:color w:val="auto"/>
          <w:szCs w:val="21"/>
          <w:highlight w:val="none"/>
        </w:rPr>
      </w:pPr>
      <w:r>
        <w:rPr>
          <w:rFonts w:hint="eastAsia" w:ascii="宋体" w:hAnsi="宋体" w:cs="宋体"/>
          <w:b/>
          <w:color w:val="auto"/>
          <w:szCs w:val="21"/>
          <w:highlight w:val="none"/>
        </w:rPr>
        <w:t>表1-1-1  工程项目报价汇总表</w:t>
      </w:r>
    </w:p>
    <w:p>
      <w:pPr>
        <w:pStyle w:val="2"/>
        <w:rPr>
          <w:color w:val="auto"/>
          <w:highlight w:val="none"/>
        </w:rPr>
      </w:pPr>
    </w:p>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工程名称：</w:t>
      </w:r>
    </w:p>
    <w:tbl>
      <w:tblPr>
        <w:tblStyle w:val="21"/>
        <w:tblW w:w="93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6300"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1978"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一</w:t>
            </w: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单位工程费合计</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（单位工程1，如1号楼）</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（单位工程2）</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二</w:t>
            </w: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未纳入单位工程费的其他费用[（一）+（二）+（三）+（四）]</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（一）</w:t>
            </w:r>
          </w:p>
        </w:tc>
        <w:tc>
          <w:tcPr>
            <w:tcW w:w="6300" w:type="dxa"/>
            <w:vAlign w:val="center"/>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整体措施项目清单（1+2）</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组织措施项目清单</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技术措施项目清单</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（二）</w:t>
            </w: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整体其他项目清单</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（三）</w:t>
            </w:r>
          </w:p>
        </w:tc>
        <w:tc>
          <w:tcPr>
            <w:tcW w:w="6300" w:type="dxa"/>
          </w:tcPr>
          <w:p>
            <w:pPr>
              <w:tabs>
                <w:tab w:val="center" w:pos="4755"/>
                <w:tab w:val="right" w:pos="9070"/>
              </w:tabs>
              <w:spacing w:before="100" w:beforeAutospacing="1" w:after="100" w:afterAutospacing="1" w:line="360" w:lineRule="auto"/>
              <w:rPr>
                <w:rFonts w:ascii="宋体" w:hAnsi="宋体" w:cs="宋体"/>
                <w:strike/>
                <w:color w:val="auto"/>
                <w:szCs w:val="21"/>
                <w:highlight w:val="none"/>
              </w:rPr>
            </w:pPr>
            <w:r>
              <w:rPr>
                <w:rFonts w:hint="eastAsia" w:ascii="宋体" w:hAnsi="宋体" w:cs="宋体"/>
                <w:color w:val="auto"/>
                <w:szCs w:val="21"/>
                <w:highlight w:val="none"/>
              </w:rPr>
              <w:t>整体措施项目规费</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（四）</w:t>
            </w: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税金 {[（一）+（二）+（三）]×费率}</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c>
          <w:tcPr>
            <w:tcW w:w="6300"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总报价 [一 + 二 ]</w:t>
            </w:r>
          </w:p>
        </w:tc>
        <w:tc>
          <w:tcPr>
            <w:tcW w:w="1978" w:type="dxa"/>
          </w:tcPr>
          <w:p>
            <w:pPr>
              <w:tabs>
                <w:tab w:val="center" w:pos="4755"/>
                <w:tab w:val="right" w:pos="9070"/>
              </w:tabs>
              <w:spacing w:before="100" w:beforeAutospacing="1" w:after="100" w:afterAutospacing="1"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总报价（大写）：</w:t>
            </w:r>
          </w:p>
        </w:tc>
      </w:tr>
    </w:tbl>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注：1.本表适用于：（1）有2个及以上单位工程的群体项目的总报价汇总；（2）单位工程发包且有2个及以上专业工程分部分项工程量清单的采购项目总报价汇总。本表应在表1-1-2基础上汇总。</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2．本表中的整体项目措施清单报价指根据采购人要求和项目特点应从采购项目整体上考虑的措施项目报价。</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3．本表中的整体其他项目清单报价指根据采购人要求需按采购项目整体考虑的其他项目清单报价。</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4．本表中的规费指整体措施清单项目应计取的规费。</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5．本表中的税金指未纳入单位工程费的整体措施项目清单、其他项目清单以及相应规费等费用应计取的税金。</w:t>
      </w:r>
    </w:p>
    <w:p>
      <w:pPr>
        <w:tabs>
          <w:tab w:val="center" w:pos="4755"/>
          <w:tab w:val="right" w:pos="9070"/>
        </w:tabs>
        <w:ind w:firstLine="420" w:firstLineChars="200"/>
        <w:rPr>
          <w:rFonts w:ascii="宋体" w:hAnsi="宋体" w:cs="宋体"/>
          <w:color w:val="auto"/>
          <w:szCs w:val="21"/>
          <w:highlight w:val="none"/>
        </w:rPr>
      </w:pPr>
    </w:p>
    <w:p>
      <w:pPr>
        <w:tabs>
          <w:tab w:val="center" w:pos="4755"/>
          <w:tab w:val="right" w:pos="9070"/>
        </w:tabs>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p>
    <w:p>
      <w:pPr>
        <w:tabs>
          <w:tab w:val="center" w:pos="4755"/>
          <w:tab w:val="right" w:pos="9070"/>
        </w:tabs>
        <w:ind w:firstLine="210" w:firstLineChars="100"/>
        <w:rPr>
          <w:rFonts w:ascii="宋体" w:hAnsi="宋体" w:cs="宋体"/>
          <w:color w:val="auto"/>
          <w:szCs w:val="21"/>
          <w:highlight w:val="none"/>
        </w:rPr>
        <w:sectPr>
          <w:pgSz w:w="12240" w:h="15840"/>
          <w:pgMar w:top="1304" w:right="964" w:bottom="964" w:left="1531" w:header="720" w:footer="720" w:gutter="0"/>
          <w:cols w:space="720" w:num="1"/>
          <w:docGrid w:linePitch="312" w:charSpace="0"/>
        </w:sectPr>
      </w:pPr>
    </w:p>
    <w:p>
      <w:pPr>
        <w:tabs>
          <w:tab w:val="center" w:pos="4755"/>
          <w:tab w:val="right" w:pos="9070"/>
        </w:tabs>
        <w:spacing w:before="100" w:beforeAutospacing="1" w:after="100" w:afterAutospacing="1"/>
        <w:jc w:val="center"/>
        <w:rPr>
          <w:rFonts w:ascii="宋体" w:hAnsi="宋体" w:cs="宋体"/>
          <w:b/>
          <w:color w:val="auto"/>
          <w:szCs w:val="21"/>
          <w:highlight w:val="none"/>
        </w:rPr>
      </w:pPr>
      <w:r>
        <w:rPr>
          <w:rFonts w:hint="eastAsia" w:ascii="宋体" w:hAnsi="宋体" w:cs="宋体"/>
          <w:b/>
          <w:color w:val="auto"/>
          <w:szCs w:val="21"/>
          <w:highlight w:val="none"/>
        </w:rPr>
        <w:t>表1-1-2 单位工程报价汇总表</w:t>
      </w:r>
    </w:p>
    <w:p>
      <w:pPr>
        <w:tabs>
          <w:tab w:val="center" w:pos="4755"/>
          <w:tab w:val="right" w:pos="9070"/>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工程名称：                    </w:t>
      </w:r>
    </w:p>
    <w:p>
      <w:pPr>
        <w:tabs>
          <w:tab w:val="center" w:pos="4755"/>
          <w:tab w:val="right" w:pos="9070"/>
        </w:tabs>
        <w:spacing w:line="360" w:lineRule="auto"/>
        <w:rPr>
          <w:rFonts w:ascii="宋体" w:hAnsi="宋体" w:cs="宋体"/>
          <w:color w:val="auto"/>
          <w:szCs w:val="21"/>
          <w:highlight w:val="none"/>
        </w:rPr>
      </w:pPr>
      <w:r>
        <w:rPr>
          <w:rFonts w:hint="eastAsia" w:ascii="宋体" w:hAnsi="宋体" w:cs="宋体"/>
          <w:color w:val="auto"/>
          <w:szCs w:val="21"/>
          <w:highlight w:val="none"/>
        </w:rPr>
        <w:t>单位工程名称：</w:t>
      </w:r>
    </w:p>
    <w:tbl>
      <w:tblPr>
        <w:tblStyle w:val="21"/>
        <w:tblW w:w="96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600" w:type="dxa"/>
            <w:vMerge w:val="restart"/>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1236" w:type="dxa"/>
            <w:vMerge w:val="restart"/>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报价合计</w:t>
            </w:r>
          </w:p>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948" w:type="dxa"/>
            <w:vAlign w:val="center"/>
          </w:tcPr>
          <w:p>
            <w:pPr>
              <w:tabs>
                <w:tab w:val="center" w:pos="4755"/>
                <w:tab w:val="right" w:pos="907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（清单号）</w:t>
            </w:r>
          </w:p>
        </w:tc>
        <w:tc>
          <w:tcPr>
            <w:tcW w:w="1856" w:type="dxa"/>
            <w:vAlign w:val="center"/>
          </w:tcPr>
          <w:p>
            <w:pPr>
              <w:tabs>
                <w:tab w:val="center" w:pos="4755"/>
                <w:tab w:val="right" w:pos="907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pPr>
              <w:keepNext/>
              <w:keepLines/>
              <w:tabs>
                <w:tab w:val="center" w:pos="4755"/>
                <w:tab w:val="right" w:pos="9070"/>
              </w:tabs>
              <w:spacing w:before="100" w:beforeAutospacing="1" w:after="100" w:afterAutospacing="1" w:line="360" w:lineRule="auto"/>
              <w:jc w:val="center"/>
              <w:outlineLvl w:val="0"/>
              <w:rPr>
                <w:rFonts w:ascii="宋体" w:hAnsi="宋体" w:cs="宋体"/>
                <w:color w:val="auto"/>
                <w:szCs w:val="21"/>
                <w:highlight w:val="none"/>
              </w:rPr>
            </w:pPr>
          </w:p>
        </w:tc>
        <w:tc>
          <w:tcPr>
            <w:tcW w:w="3600" w:type="dxa"/>
            <w:vMerge w:val="continue"/>
            <w:vAlign w:val="center"/>
          </w:tcPr>
          <w:p>
            <w:pPr>
              <w:keepNext/>
              <w:keepLines/>
              <w:tabs>
                <w:tab w:val="center" w:pos="4755"/>
                <w:tab w:val="right" w:pos="9070"/>
              </w:tabs>
              <w:spacing w:before="100" w:beforeAutospacing="1" w:after="100" w:afterAutospacing="1" w:line="360" w:lineRule="auto"/>
              <w:jc w:val="center"/>
              <w:outlineLvl w:val="0"/>
              <w:rPr>
                <w:rFonts w:ascii="宋体" w:hAnsi="宋体" w:cs="宋体"/>
                <w:color w:val="auto"/>
                <w:szCs w:val="21"/>
                <w:highlight w:val="none"/>
              </w:rPr>
            </w:pPr>
          </w:p>
        </w:tc>
        <w:tc>
          <w:tcPr>
            <w:tcW w:w="1236" w:type="dxa"/>
            <w:vMerge w:val="continue"/>
            <w:vAlign w:val="center"/>
          </w:tcPr>
          <w:p>
            <w:pPr>
              <w:keepNext/>
              <w:keepLines/>
              <w:tabs>
                <w:tab w:val="center" w:pos="4755"/>
                <w:tab w:val="right" w:pos="9070"/>
              </w:tabs>
              <w:spacing w:before="340" w:after="330" w:line="360" w:lineRule="auto"/>
              <w:jc w:val="center"/>
              <w:outlineLvl w:val="0"/>
              <w:rPr>
                <w:rFonts w:ascii="宋体" w:hAnsi="宋体" w:cs="宋体"/>
                <w:color w:val="auto"/>
                <w:szCs w:val="21"/>
                <w:highlight w:val="none"/>
              </w:rPr>
            </w:pPr>
          </w:p>
        </w:tc>
        <w:tc>
          <w:tcPr>
            <w:tcW w:w="1948" w:type="dxa"/>
            <w:vAlign w:val="center"/>
          </w:tcPr>
          <w:p>
            <w:pPr>
              <w:tabs>
                <w:tab w:val="center" w:pos="4755"/>
                <w:tab w:val="right" w:pos="907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(专业工程1)</w:t>
            </w:r>
          </w:p>
        </w:tc>
        <w:tc>
          <w:tcPr>
            <w:tcW w:w="1856" w:type="dxa"/>
            <w:vAlign w:val="center"/>
          </w:tcPr>
          <w:p>
            <w:pPr>
              <w:tabs>
                <w:tab w:val="center" w:pos="4755"/>
                <w:tab w:val="right" w:pos="907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一</w:t>
            </w:r>
          </w:p>
        </w:tc>
        <w:tc>
          <w:tcPr>
            <w:tcW w:w="3600" w:type="dxa"/>
            <w:vAlign w:val="center"/>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分部分项工程量清单</w:t>
            </w:r>
          </w:p>
        </w:tc>
        <w:tc>
          <w:tcPr>
            <w:tcW w:w="1236"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1948"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1856" w:type="dxa"/>
            <w:vAlign w:val="center"/>
          </w:tcPr>
          <w:p>
            <w:pPr>
              <w:tabs>
                <w:tab w:val="center" w:pos="4755"/>
                <w:tab w:val="right" w:pos="9070"/>
              </w:tabs>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center" w:pos="4755"/>
                <w:tab w:val="right" w:pos="907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二</w:t>
            </w:r>
          </w:p>
        </w:tc>
        <w:tc>
          <w:tcPr>
            <w:tcW w:w="3600" w:type="dxa"/>
            <w:vAlign w:val="center"/>
          </w:tcPr>
          <w:p>
            <w:pPr>
              <w:tabs>
                <w:tab w:val="center" w:pos="4755"/>
                <w:tab w:val="right" w:pos="9070"/>
              </w:tabs>
              <w:spacing w:line="360" w:lineRule="auto"/>
              <w:rPr>
                <w:rFonts w:ascii="宋体" w:hAnsi="宋体" w:cs="宋体"/>
                <w:color w:val="auto"/>
                <w:szCs w:val="21"/>
                <w:highlight w:val="none"/>
              </w:rPr>
            </w:pPr>
            <w:r>
              <w:rPr>
                <w:rFonts w:hint="eastAsia" w:ascii="宋体" w:hAnsi="宋体" w:cs="宋体"/>
                <w:color w:val="auto"/>
                <w:szCs w:val="21"/>
                <w:highlight w:val="none"/>
              </w:rPr>
              <w:t>措施项目清单（1+2）</w:t>
            </w:r>
          </w:p>
        </w:tc>
        <w:tc>
          <w:tcPr>
            <w:tcW w:w="1236"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1948"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1856" w:type="dxa"/>
            <w:vAlign w:val="center"/>
          </w:tcPr>
          <w:p>
            <w:pPr>
              <w:tabs>
                <w:tab w:val="center" w:pos="4755"/>
                <w:tab w:val="right" w:pos="9070"/>
              </w:tabs>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center" w:pos="4755"/>
                <w:tab w:val="right" w:pos="907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600" w:type="dxa"/>
            <w:vAlign w:val="center"/>
          </w:tcPr>
          <w:p>
            <w:pPr>
              <w:tabs>
                <w:tab w:val="center" w:pos="4755"/>
                <w:tab w:val="right" w:pos="9070"/>
              </w:tabs>
              <w:spacing w:line="360" w:lineRule="auto"/>
              <w:rPr>
                <w:rFonts w:ascii="宋体" w:hAnsi="宋体" w:cs="宋体"/>
                <w:color w:val="auto"/>
                <w:szCs w:val="21"/>
                <w:highlight w:val="none"/>
              </w:rPr>
            </w:pPr>
            <w:r>
              <w:rPr>
                <w:rFonts w:hint="eastAsia" w:ascii="宋体" w:hAnsi="宋体" w:cs="宋体"/>
                <w:color w:val="auto"/>
                <w:szCs w:val="21"/>
                <w:highlight w:val="none"/>
              </w:rPr>
              <w:t>组织措施项目清单</w:t>
            </w:r>
          </w:p>
        </w:tc>
        <w:tc>
          <w:tcPr>
            <w:tcW w:w="1236"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1948"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1856" w:type="dxa"/>
            <w:vAlign w:val="center"/>
          </w:tcPr>
          <w:p>
            <w:pPr>
              <w:tabs>
                <w:tab w:val="center" w:pos="4755"/>
                <w:tab w:val="right" w:pos="9070"/>
              </w:tabs>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tabs>
                <w:tab w:val="center" w:pos="4755"/>
                <w:tab w:val="right" w:pos="907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600" w:type="dxa"/>
            <w:vAlign w:val="center"/>
          </w:tcPr>
          <w:p>
            <w:pPr>
              <w:tabs>
                <w:tab w:val="center" w:pos="4755"/>
                <w:tab w:val="right" w:pos="9070"/>
              </w:tabs>
              <w:spacing w:line="360" w:lineRule="auto"/>
              <w:rPr>
                <w:rFonts w:ascii="宋体" w:hAnsi="宋体" w:cs="宋体"/>
                <w:color w:val="auto"/>
                <w:szCs w:val="21"/>
                <w:highlight w:val="none"/>
              </w:rPr>
            </w:pPr>
            <w:r>
              <w:rPr>
                <w:rFonts w:hint="eastAsia" w:ascii="宋体" w:hAnsi="宋体" w:cs="宋体"/>
                <w:color w:val="auto"/>
                <w:szCs w:val="21"/>
                <w:highlight w:val="none"/>
              </w:rPr>
              <w:t>技术措施项目清单</w:t>
            </w:r>
          </w:p>
        </w:tc>
        <w:tc>
          <w:tcPr>
            <w:tcW w:w="1236"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1948"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1856" w:type="dxa"/>
            <w:vAlign w:val="center"/>
          </w:tcPr>
          <w:p>
            <w:pPr>
              <w:tabs>
                <w:tab w:val="center" w:pos="4755"/>
                <w:tab w:val="right" w:pos="9070"/>
              </w:tabs>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三</w:t>
            </w:r>
          </w:p>
        </w:tc>
        <w:tc>
          <w:tcPr>
            <w:tcW w:w="3600" w:type="dxa"/>
            <w:vAlign w:val="center"/>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其他项目清单</w:t>
            </w:r>
          </w:p>
        </w:tc>
        <w:tc>
          <w:tcPr>
            <w:tcW w:w="1236"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3804" w:type="dxa"/>
            <w:gridSpan w:val="2"/>
            <w:vAlign w:val="center"/>
          </w:tcPr>
          <w:p>
            <w:pPr>
              <w:tabs>
                <w:tab w:val="center" w:pos="4755"/>
                <w:tab w:val="right" w:pos="9070"/>
              </w:tabs>
              <w:spacing w:line="360" w:lineRule="auto"/>
              <w:jc w:val="center"/>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8890</wp:posOffset>
                      </wp:positionV>
                      <wp:extent cx="2352675" cy="276225"/>
                      <wp:effectExtent l="635" t="4445" r="889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0288;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o7m01QAAAAcBAAAPAAAAAAAAAAEAIAAAACIAAABkcnMvZG93bnJldi54bWxQSwECFAAU&#10;AAAACACHTuJAtQUeYPQBAADHAwAADgAAAAAAAAABACAAAAAkAQAAZHJzL2Uyb0RvYy54bWxQSwUG&#10;AAAAAAYABgBZAQAAigU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pPr>
              <w:spacing w:after="100" w:line="259" w:lineRule="auto"/>
              <w:rPr>
                <w:rFonts w:ascii="宋体" w:hAnsi="宋体" w:cs="宋体"/>
                <w:color w:val="auto"/>
                <w:szCs w:val="21"/>
                <w:highlight w:val="none"/>
              </w:rPr>
            </w:pPr>
            <w:r>
              <w:rPr>
                <w:rFonts w:hint="eastAsia" w:ascii="宋体" w:hAnsi="宋体" w:cs="宋体"/>
                <w:color w:val="auto"/>
                <w:szCs w:val="21"/>
                <w:highlight w:val="none"/>
              </w:rPr>
              <w:t>四</w:t>
            </w:r>
          </w:p>
        </w:tc>
        <w:tc>
          <w:tcPr>
            <w:tcW w:w="3600" w:type="dxa"/>
            <w:vAlign w:val="center"/>
          </w:tcPr>
          <w:p>
            <w:pPr>
              <w:tabs>
                <w:tab w:val="center" w:pos="4755"/>
                <w:tab w:val="right" w:pos="9070"/>
              </w:tabs>
              <w:spacing w:line="360" w:lineRule="auto"/>
              <w:rPr>
                <w:rFonts w:ascii="宋体" w:hAnsi="宋体" w:cs="宋体"/>
                <w:color w:val="auto"/>
                <w:szCs w:val="21"/>
                <w:highlight w:val="none"/>
              </w:rPr>
            </w:pPr>
            <w:r>
              <w:rPr>
                <w:rFonts w:hint="eastAsia" w:ascii="宋体" w:hAnsi="宋体" w:cs="宋体"/>
                <w:color w:val="auto"/>
                <w:szCs w:val="21"/>
                <w:highlight w:val="none"/>
              </w:rPr>
              <w:t>规费</w:t>
            </w:r>
          </w:p>
        </w:tc>
        <w:tc>
          <w:tcPr>
            <w:tcW w:w="1236"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1948"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1856" w:type="dxa"/>
            <w:vAlign w:val="center"/>
          </w:tcPr>
          <w:p>
            <w:pPr>
              <w:tabs>
                <w:tab w:val="center" w:pos="4755"/>
                <w:tab w:val="right" w:pos="9070"/>
              </w:tabs>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五</w:t>
            </w:r>
          </w:p>
        </w:tc>
        <w:tc>
          <w:tcPr>
            <w:tcW w:w="3600" w:type="dxa"/>
            <w:vAlign w:val="center"/>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税金[（一 + 二+三 + 四）×*费率]</w:t>
            </w:r>
          </w:p>
        </w:tc>
        <w:tc>
          <w:tcPr>
            <w:tcW w:w="1236"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3804" w:type="dxa"/>
            <w:gridSpan w:val="2"/>
            <w:vMerge w:val="restart"/>
            <w:vAlign w:val="center"/>
          </w:tcPr>
          <w:p>
            <w:pPr>
              <w:tabs>
                <w:tab w:val="center" w:pos="4755"/>
                <w:tab w:val="right" w:pos="9070"/>
              </w:tabs>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pPr>
              <w:tabs>
                <w:tab w:val="center" w:pos="4755"/>
                <w:tab w:val="right" w:pos="9070"/>
              </w:tabs>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六</w:t>
            </w:r>
          </w:p>
        </w:tc>
        <w:tc>
          <w:tcPr>
            <w:tcW w:w="3600" w:type="dxa"/>
            <w:vAlign w:val="center"/>
          </w:tcPr>
          <w:p>
            <w:pPr>
              <w:tabs>
                <w:tab w:val="center" w:pos="4755"/>
                <w:tab w:val="right" w:pos="9070"/>
              </w:tabs>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总报价（一+二+三+四+五）</w:t>
            </w:r>
          </w:p>
        </w:tc>
        <w:tc>
          <w:tcPr>
            <w:tcW w:w="1236" w:type="dxa"/>
            <w:vAlign w:val="center"/>
          </w:tcPr>
          <w:p>
            <w:pPr>
              <w:tabs>
                <w:tab w:val="center" w:pos="4755"/>
                <w:tab w:val="right" w:pos="9070"/>
              </w:tabs>
              <w:spacing w:line="360" w:lineRule="auto"/>
              <w:jc w:val="center"/>
              <w:rPr>
                <w:rFonts w:ascii="宋体" w:hAnsi="宋体" w:cs="宋体"/>
                <w:color w:val="auto"/>
                <w:szCs w:val="21"/>
                <w:highlight w:val="none"/>
              </w:rPr>
            </w:pPr>
          </w:p>
        </w:tc>
        <w:tc>
          <w:tcPr>
            <w:tcW w:w="3804" w:type="dxa"/>
            <w:gridSpan w:val="2"/>
            <w:vMerge w:val="continue"/>
            <w:vAlign w:val="center"/>
          </w:tcPr>
          <w:p>
            <w:pPr>
              <w:tabs>
                <w:tab w:val="center" w:pos="4755"/>
                <w:tab w:val="right" w:pos="9070"/>
              </w:tabs>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pPr>
              <w:tabs>
                <w:tab w:val="center" w:pos="4755"/>
                <w:tab w:val="right" w:pos="9070"/>
              </w:tabs>
              <w:spacing w:line="360" w:lineRule="auto"/>
              <w:rPr>
                <w:rFonts w:ascii="宋体" w:hAnsi="宋体" w:cs="宋体"/>
                <w:color w:val="auto"/>
                <w:szCs w:val="21"/>
                <w:highlight w:val="none"/>
              </w:rPr>
            </w:pPr>
            <w:r>
              <w:rPr>
                <w:rFonts w:hint="eastAsia" w:ascii="宋体" w:hAnsi="宋体" w:cs="宋体"/>
                <w:color w:val="auto"/>
                <w:szCs w:val="21"/>
                <w:highlight w:val="none"/>
              </w:rPr>
              <w:t>总报价(大写)：</w:t>
            </w:r>
          </w:p>
        </w:tc>
      </w:tr>
    </w:tbl>
    <w:p>
      <w:pPr>
        <w:tabs>
          <w:tab w:val="center" w:pos="4755"/>
          <w:tab w:val="right" w:pos="9070"/>
        </w:tabs>
        <w:spacing w:line="360" w:lineRule="auto"/>
        <w:ind w:left="315" w:hanging="315" w:hangingChars="150"/>
        <w:rPr>
          <w:rFonts w:ascii="宋体" w:hAnsi="宋体" w:cs="宋体"/>
          <w:color w:val="auto"/>
          <w:szCs w:val="21"/>
          <w:highlight w:val="none"/>
        </w:rPr>
      </w:pPr>
      <w:r>
        <w:rPr>
          <w:rFonts w:hint="eastAsia" w:ascii="宋体" w:hAnsi="宋体" w:cs="宋体"/>
          <w:color w:val="auto"/>
          <w:szCs w:val="21"/>
          <w:highlight w:val="none"/>
        </w:rPr>
        <w:t>注：本表适用于：</w:t>
      </w:r>
    </w:p>
    <w:p>
      <w:pPr>
        <w:tabs>
          <w:tab w:val="center" w:pos="4755"/>
          <w:tab w:val="right" w:pos="9070"/>
        </w:tabs>
        <w:ind w:left="315" w:leftChars="100" w:hanging="105" w:hangingChars="50"/>
        <w:rPr>
          <w:rFonts w:ascii="宋体" w:hAnsi="宋体" w:cs="宋体"/>
          <w:color w:val="auto"/>
          <w:szCs w:val="21"/>
          <w:highlight w:val="none"/>
        </w:rPr>
      </w:pPr>
      <w:r>
        <w:rPr>
          <w:rFonts w:hint="eastAsia" w:ascii="宋体" w:hAnsi="宋体" w:cs="宋体"/>
          <w:color w:val="auto"/>
          <w:szCs w:val="21"/>
          <w:highlight w:val="none"/>
        </w:rPr>
        <w:t>（1）只有1个专业工程分部分项工程量清单的单位工程发包项目的报价汇总；</w:t>
      </w:r>
    </w:p>
    <w:p>
      <w:pPr>
        <w:tabs>
          <w:tab w:val="center" w:pos="4755"/>
          <w:tab w:val="right" w:pos="9070"/>
        </w:tabs>
        <w:ind w:left="315" w:leftChars="100" w:hanging="105" w:hangingChars="50"/>
        <w:rPr>
          <w:rFonts w:ascii="宋体" w:hAnsi="宋体" w:cs="宋体"/>
          <w:color w:val="auto"/>
          <w:szCs w:val="21"/>
          <w:highlight w:val="none"/>
        </w:rPr>
      </w:pPr>
      <w:r>
        <w:rPr>
          <w:rFonts w:hint="eastAsia" w:ascii="宋体" w:hAnsi="宋体" w:cs="宋体"/>
          <w:color w:val="auto"/>
          <w:szCs w:val="21"/>
          <w:highlight w:val="none"/>
        </w:rPr>
        <w:t>（2）其余采购项目的单位工程报价汇总。</w:t>
      </w:r>
    </w:p>
    <w:p>
      <w:pPr>
        <w:tabs>
          <w:tab w:val="center" w:pos="4755"/>
          <w:tab w:val="right" w:pos="9070"/>
        </w:tabs>
        <w:spacing w:line="360" w:lineRule="auto"/>
        <w:rPr>
          <w:rFonts w:ascii="宋体" w:hAnsi="宋体" w:cs="宋体"/>
          <w:color w:val="auto"/>
          <w:szCs w:val="21"/>
          <w:highlight w:val="none"/>
        </w:rPr>
      </w:pPr>
    </w:p>
    <w:p>
      <w:pPr>
        <w:tabs>
          <w:tab w:val="center" w:pos="4755"/>
          <w:tab w:val="right" w:pos="9070"/>
        </w:tabs>
        <w:spacing w:line="360" w:lineRule="auto"/>
        <w:rPr>
          <w:rFonts w:ascii="宋体" w:hAnsi="宋体" w:cs="宋体"/>
          <w:color w:val="auto"/>
          <w:szCs w:val="21"/>
          <w:highlight w:val="none"/>
        </w:rPr>
        <w:sectPr>
          <w:footerReference r:id="rId6" w:type="default"/>
          <w:footerReference r:id="rId7" w:type="even"/>
          <w:pgSz w:w="12240" w:h="15840"/>
          <w:pgMar w:top="1304" w:right="964" w:bottom="964" w:left="1531" w:header="720" w:footer="720" w:gutter="0"/>
          <w:cols w:space="720" w:num="1"/>
          <w:docGrid w:linePitch="312" w:charSpace="0"/>
        </w:sectPr>
      </w:pPr>
      <w:r>
        <w:rPr>
          <w:rFonts w:hint="eastAsia" w:ascii="宋体" w:hAnsi="宋体" w:cs="宋体"/>
          <w:color w:val="auto"/>
          <w:szCs w:val="21"/>
          <w:highlight w:val="none"/>
        </w:rPr>
        <w:t xml:space="preserve">                     </w:t>
      </w:r>
    </w:p>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b/>
          <w:color w:val="auto"/>
          <w:szCs w:val="21"/>
          <w:highlight w:val="none"/>
        </w:rPr>
        <w:t>表1-2  分部分项工程量清单及计价表</w:t>
      </w:r>
      <w:r>
        <w:rPr>
          <w:rFonts w:hint="eastAsia" w:ascii="宋体" w:hAnsi="宋体" w:cs="宋体"/>
          <w:color w:val="auto"/>
          <w:szCs w:val="21"/>
          <w:highlight w:val="none"/>
        </w:rPr>
        <w:t>(      号清单)</w:t>
      </w:r>
    </w:p>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 xml:space="preserve">单位工程及专业工程名称：                                                                     </w:t>
      </w:r>
    </w:p>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第   页共   页</w:t>
      </w:r>
    </w:p>
    <w:tbl>
      <w:tblPr>
        <w:tblStyle w:val="21"/>
        <w:tblW w:w="139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94" w:type="dxa"/>
            <w:gridSpan w:val="2"/>
            <w:vMerge w:val="restart"/>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项目编码</w:t>
            </w:r>
          </w:p>
        </w:tc>
        <w:tc>
          <w:tcPr>
            <w:tcW w:w="1260" w:type="dxa"/>
            <w:vMerge w:val="restart"/>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440" w:type="dxa"/>
            <w:vMerge w:val="restart"/>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项目特征</w:t>
            </w:r>
          </w:p>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描述</w:t>
            </w:r>
          </w:p>
        </w:tc>
        <w:tc>
          <w:tcPr>
            <w:tcW w:w="1440" w:type="dxa"/>
            <w:vMerge w:val="restart"/>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计量单位</w:t>
            </w:r>
          </w:p>
        </w:tc>
        <w:tc>
          <w:tcPr>
            <w:tcW w:w="1260" w:type="dxa"/>
            <w:vMerge w:val="restart"/>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工程量</w:t>
            </w:r>
          </w:p>
        </w:tc>
        <w:tc>
          <w:tcPr>
            <w:tcW w:w="1260" w:type="dxa"/>
            <w:vMerge w:val="restart"/>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综合单价</w:t>
            </w:r>
          </w:p>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026" w:type="dxa"/>
            <w:vMerge w:val="restart"/>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合  价</w:t>
            </w:r>
          </w:p>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(元)</w:t>
            </w:r>
          </w:p>
        </w:tc>
        <w:tc>
          <w:tcPr>
            <w:tcW w:w="3420" w:type="dxa"/>
            <w:gridSpan w:val="6"/>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900" w:type="dxa"/>
            <w:gridSpan w:val="2"/>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94" w:type="dxa"/>
            <w:gridSpan w:val="2"/>
            <w:vMerge w:val="continue"/>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Merge w:val="continue"/>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Merge w:val="continue"/>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vMerge w:val="continue"/>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vMerge w:val="continue"/>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Merge w:val="continue"/>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26" w:type="dxa"/>
            <w:vMerge w:val="continue"/>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gridSpan w:val="2"/>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人工费</w:t>
            </w:r>
          </w:p>
        </w:tc>
        <w:tc>
          <w:tcPr>
            <w:tcW w:w="1260" w:type="dxa"/>
            <w:gridSpan w:val="2"/>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机械费</w:t>
            </w:r>
          </w:p>
        </w:tc>
        <w:tc>
          <w:tcPr>
            <w:tcW w:w="900" w:type="dxa"/>
            <w:gridSpan w:val="2"/>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管理费</w:t>
            </w:r>
          </w:p>
        </w:tc>
        <w:tc>
          <w:tcPr>
            <w:tcW w:w="900" w:type="dxa"/>
            <w:gridSpan w:val="2"/>
            <w:vMerge w:val="continue"/>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（2）</w:t>
            </w:r>
          </w:p>
        </w:tc>
        <w:tc>
          <w:tcPr>
            <w:tcW w:w="126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（3）</w:t>
            </w:r>
          </w:p>
        </w:tc>
        <w:tc>
          <w:tcPr>
            <w:tcW w:w="144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（4）</w:t>
            </w:r>
          </w:p>
        </w:tc>
        <w:tc>
          <w:tcPr>
            <w:tcW w:w="144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（5）</w:t>
            </w:r>
          </w:p>
        </w:tc>
        <w:tc>
          <w:tcPr>
            <w:tcW w:w="126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（6）</w:t>
            </w: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26"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4"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3"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26"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4"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3"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26"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4"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3"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26"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4"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3"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26"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4"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3"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26"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4"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53"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894"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合    计</w:t>
            </w:r>
          </w:p>
        </w:tc>
        <w:tc>
          <w:tcPr>
            <w:tcW w:w="1026"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0" w:type="dxa"/>
            <w:gridSpan w:val="2"/>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0" w:type="dxa"/>
            <w:gridSpan w:val="2"/>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bl>
    <w:p>
      <w:pPr>
        <w:tabs>
          <w:tab w:val="center" w:pos="4755"/>
          <w:tab w:val="right" w:pos="9070"/>
        </w:tabs>
        <w:rPr>
          <w:rFonts w:ascii="宋体" w:hAnsi="宋体" w:cs="宋体"/>
          <w:color w:val="auto"/>
          <w:szCs w:val="21"/>
          <w:highlight w:val="none"/>
        </w:rPr>
      </w:pPr>
    </w:p>
    <w:p>
      <w:pPr>
        <w:tabs>
          <w:tab w:val="center" w:pos="4755"/>
          <w:tab w:val="right" w:pos="9070"/>
        </w:tabs>
        <w:rPr>
          <w:rFonts w:ascii="宋体" w:hAnsi="宋体" w:cs="宋体"/>
          <w:b/>
          <w:color w:val="auto"/>
          <w:szCs w:val="21"/>
          <w:highlight w:val="none"/>
        </w:rPr>
        <w:sectPr>
          <w:pgSz w:w="15840" w:h="12240" w:orient="landscape"/>
          <w:pgMar w:top="1531" w:right="1304" w:bottom="964" w:left="964" w:header="720" w:footer="720" w:gutter="0"/>
          <w:cols w:space="720" w:num="1"/>
          <w:docGrid w:linePitch="312" w:charSpace="0"/>
        </w:sectPr>
      </w:pPr>
      <w:r>
        <w:rPr>
          <w:rFonts w:hint="eastAsia" w:ascii="宋体" w:hAnsi="宋体" w:cs="宋体"/>
          <w:color w:val="auto"/>
          <w:szCs w:val="21"/>
          <w:highlight w:val="none"/>
        </w:rPr>
        <w:t>注：表中（1）～〔6）栏由采购人提供内容，（7）栏由采购人按需提出要求，如采购人需要供应商提供清单项目综合单价的计算分析和工料机分析，请在（7）备注中明确。</w:t>
      </w:r>
    </w:p>
    <w:p>
      <w:pPr>
        <w:tabs>
          <w:tab w:val="center" w:pos="4755"/>
          <w:tab w:val="right" w:pos="9070"/>
        </w:tabs>
        <w:spacing w:before="100" w:beforeAutospacing="1" w:after="100" w:afterAutospacing="1"/>
        <w:jc w:val="center"/>
        <w:rPr>
          <w:rFonts w:ascii="宋体" w:hAnsi="宋体" w:cs="宋体"/>
          <w:b/>
          <w:color w:val="auto"/>
          <w:szCs w:val="21"/>
          <w:highlight w:val="none"/>
        </w:rPr>
      </w:pPr>
      <w:r>
        <w:rPr>
          <w:rFonts w:hint="eastAsia" w:ascii="宋体" w:hAnsi="宋体" w:cs="宋体"/>
          <w:b/>
          <w:color w:val="auto"/>
          <w:szCs w:val="21"/>
          <w:highlight w:val="none"/>
        </w:rPr>
        <w:t>表1-3-A  组织措施项目（整体）清单及计价表</w:t>
      </w:r>
    </w:p>
    <w:p>
      <w:pPr>
        <w:tabs>
          <w:tab w:val="center" w:pos="4755"/>
          <w:tab w:val="right" w:pos="9070"/>
        </w:tabs>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工程名称：                                                                                                                       第页共页</w:t>
      </w:r>
    </w:p>
    <w:tbl>
      <w:tblPr>
        <w:tblStyle w:val="21"/>
        <w:tblW w:w="98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9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4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金额(元)</w:t>
            </w:r>
          </w:p>
        </w:tc>
        <w:tc>
          <w:tcPr>
            <w:tcW w:w="270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w:t>
            </w:r>
          </w:p>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一</w:t>
            </w:r>
          </w:p>
          <w:p>
            <w:pPr>
              <w:tabs>
                <w:tab w:val="center" w:pos="4755"/>
                <w:tab w:val="right" w:pos="9070"/>
              </w:tabs>
              <w:spacing w:before="100" w:beforeAutospacing="1" w:after="100" w:afterAutospacing="1"/>
              <w:jc w:val="center"/>
              <w:rPr>
                <w:rFonts w:ascii="宋体" w:hAnsi="宋体" w:cs="宋体"/>
                <w:color w:val="auto"/>
                <w:position w:val="-6"/>
                <w:szCs w:val="21"/>
                <w:highlight w:val="none"/>
              </w:rPr>
            </w:pPr>
            <w:r>
              <w:rPr>
                <w:rFonts w:hint="eastAsia" w:ascii="宋体" w:hAnsi="宋体" w:cs="宋体"/>
                <w:color w:val="auto"/>
                <w:position w:val="-6"/>
                <w:szCs w:val="21"/>
                <w:highlight w:val="none"/>
              </w:rPr>
              <w:t>二</w:t>
            </w:r>
          </w:p>
          <w:p>
            <w:pPr>
              <w:tabs>
                <w:tab w:val="center" w:pos="4755"/>
                <w:tab w:val="right" w:pos="9070"/>
              </w:tabs>
              <w:spacing w:before="100" w:beforeAutospacing="1" w:after="100" w:afterAutospacing="1"/>
              <w:jc w:val="center"/>
              <w:rPr>
                <w:rFonts w:ascii="宋体" w:hAnsi="宋体" w:cs="宋体"/>
                <w:color w:val="auto"/>
                <w:position w:val="-6"/>
                <w:szCs w:val="21"/>
                <w:highlight w:val="none"/>
              </w:rPr>
            </w:pPr>
            <w:r>
              <w:rPr>
                <w:rFonts w:hint="eastAsia" w:ascii="宋体" w:hAnsi="宋体" w:cs="宋体"/>
                <w:color w:val="auto"/>
                <w:position w:val="-6"/>
                <w:szCs w:val="21"/>
                <w:highlight w:val="none"/>
              </w:rPr>
              <w:t>1</w:t>
            </w:r>
          </w:p>
          <w:p>
            <w:pPr>
              <w:tabs>
                <w:tab w:val="center" w:pos="4755"/>
                <w:tab w:val="right" w:pos="9070"/>
              </w:tabs>
              <w:spacing w:before="100" w:beforeAutospacing="1" w:after="100" w:afterAutospacing="1"/>
              <w:jc w:val="center"/>
              <w:rPr>
                <w:rFonts w:ascii="宋体" w:hAnsi="宋体" w:cs="宋体"/>
                <w:color w:val="auto"/>
                <w:position w:val="-6"/>
                <w:szCs w:val="21"/>
                <w:highlight w:val="none"/>
              </w:rPr>
            </w:pPr>
            <w:r>
              <w:rPr>
                <w:rFonts w:hint="eastAsia" w:ascii="宋体" w:hAnsi="宋体" w:cs="宋体"/>
                <w:color w:val="auto"/>
                <w:position w:val="-6"/>
                <w:szCs w:val="21"/>
                <w:highlight w:val="none"/>
              </w:rPr>
              <w:t>2</w:t>
            </w:r>
          </w:p>
          <w:p>
            <w:pPr>
              <w:tabs>
                <w:tab w:val="center" w:pos="4755"/>
                <w:tab w:val="right" w:pos="9070"/>
              </w:tabs>
              <w:spacing w:before="100" w:beforeAutospacing="1" w:after="100" w:afterAutospacing="1"/>
              <w:jc w:val="center"/>
              <w:rPr>
                <w:rFonts w:ascii="宋体" w:hAnsi="宋体" w:cs="宋体"/>
                <w:color w:val="auto"/>
                <w:position w:val="-6"/>
                <w:szCs w:val="21"/>
                <w:highlight w:val="none"/>
              </w:rPr>
            </w:pPr>
            <w:r>
              <w:rPr>
                <w:rFonts w:hint="eastAsia" w:ascii="宋体" w:hAnsi="宋体" w:cs="宋体"/>
                <w:color w:val="auto"/>
                <w:position w:val="-6"/>
                <w:szCs w:val="21"/>
                <w:highlight w:val="none"/>
              </w:rPr>
              <w:t>3</w:t>
            </w:r>
          </w:p>
          <w:p>
            <w:pPr>
              <w:tabs>
                <w:tab w:val="center" w:pos="4755"/>
                <w:tab w:val="right" w:pos="9070"/>
              </w:tabs>
              <w:spacing w:before="100" w:beforeAutospacing="1" w:after="100" w:afterAutospacing="1"/>
              <w:jc w:val="center"/>
              <w:rPr>
                <w:rFonts w:ascii="宋体" w:hAnsi="宋体" w:cs="宋体"/>
                <w:color w:val="auto"/>
                <w:position w:val="-6"/>
                <w:szCs w:val="21"/>
                <w:highlight w:val="none"/>
              </w:rPr>
            </w:pPr>
            <w:r>
              <w:rPr>
                <w:rFonts w:hint="eastAsia" w:ascii="宋体" w:hAnsi="宋体" w:cs="宋体"/>
                <w:color w:val="auto"/>
                <w:position w:val="-6"/>
                <w:szCs w:val="21"/>
                <w:highlight w:val="none"/>
              </w:rPr>
              <w:t>4</w:t>
            </w:r>
          </w:p>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position w:val="-6"/>
                <w:szCs w:val="21"/>
                <w:highlight w:val="none"/>
              </w:rPr>
            </w:pPr>
          </w:p>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position w:val="-6"/>
                <w:szCs w:val="21"/>
                <w:highlight w:val="none"/>
              </w:rPr>
            </w:pPr>
          </w:p>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position w:val="-6"/>
                <w:szCs w:val="21"/>
                <w:highlight w:val="none"/>
              </w:rPr>
            </w:pPr>
          </w:p>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position w:val="-6"/>
                <w:szCs w:val="21"/>
                <w:highlight w:val="none"/>
              </w:rPr>
            </w:pPr>
          </w:p>
        </w:tc>
        <w:tc>
          <w:tcPr>
            <w:tcW w:w="2590" w:type="dxa"/>
          </w:tcPr>
          <w:p>
            <w:pPr>
              <w:tabs>
                <w:tab w:val="center" w:pos="4755"/>
                <w:tab w:val="right" w:pos="9070"/>
              </w:tabs>
              <w:spacing w:before="100" w:beforeAutospacing="1" w:after="100" w:afterAutospacing="1"/>
              <w:jc w:val="center"/>
              <w:rPr>
                <w:rFonts w:ascii="宋体" w:hAnsi="宋体" w:cs="宋体"/>
                <w:color w:val="auto"/>
                <w:spacing w:val="-16"/>
                <w:szCs w:val="21"/>
                <w:highlight w:val="none"/>
              </w:rPr>
            </w:pPr>
            <w:r>
              <w:rPr>
                <w:rFonts w:hint="eastAsia" w:ascii="宋体" w:hAnsi="宋体" w:cs="宋体"/>
                <w:color w:val="auto"/>
                <w:spacing w:val="-16"/>
                <w:szCs w:val="21"/>
                <w:highlight w:val="none"/>
              </w:rPr>
              <w:t>（2）</w:t>
            </w:r>
          </w:p>
          <w:p>
            <w:pPr>
              <w:tabs>
                <w:tab w:val="center" w:pos="4755"/>
                <w:tab w:val="right" w:pos="9070"/>
              </w:tabs>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安全文明施工措施项目</w:t>
            </w:r>
          </w:p>
          <w:p>
            <w:pPr>
              <w:tabs>
                <w:tab w:val="center" w:pos="4755"/>
                <w:tab w:val="right" w:pos="9070"/>
              </w:tabs>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其他组织措施项目</w:t>
            </w:r>
          </w:p>
          <w:p>
            <w:pPr>
              <w:tabs>
                <w:tab w:val="center" w:pos="4755"/>
                <w:tab w:val="right" w:pos="9070"/>
              </w:tabs>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提前竣工增加费</w:t>
            </w:r>
          </w:p>
          <w:p>
            <w:pPr>
              <w:tabs>
                <w:tab w:val="center" w:pos="4755"/>
                <w:tab w:val="right" w:pos="9070"/>
              </w:tabs>
              <w:spacing w:before="100" w:beforeAutospacing="1" w:after="100" w:afterAutospacing="1"/>
              <w:rPr>
                <w:rFonts w:ascii="宋体" w:hAnsi="宋体" w:cs="宋体"/>
                <w:color w:val="auto"/>
                <w:spacing w:val="-16"/>
                <w:szCs w:val="21"/>
                <w:highlight w:val="none"/>
              </w:rPr>
            </w:pPr>
            <w:r>
              <w:rPr>
                <w:rFonts w:hint="eastAsia" w:ascii="宋体" w:hAnsi="宋体" w:cs="宋体"/>
                <w:color w:val="auto"/>
                <w:spacing w:val="-16"/>
                <w:szCs w:val="21"/>
                <w:highlight w:val="none"/>
              </w:rPr>
              <w:t>二次搬运费</w:t>
            </w:r>
          </w:p>
          <w:p>
            <w:pPr>
              <w:tabs>
                <w:tab w:val="center" w:pos="4755"/>
                <w:tab w:val="right" w:pos="9070"/>
              </w:tabs>
              <w:spacing w:before="100" w:beforeAutospacing="1" w:after="100" w:afterAutospacing="1"/>
              <w:rPr>
                <w:rFonts w:ascii="宋体" w:hAnsi="宋体" w:cs="宋体"/>
                <w:color w:val="auto"/>
                <w:spacing w:val="-16"/>
                <w:szCs w:val="21"/>
                <w:highlight w:val="none"/>
              </w:rPr>
            </w:pPr>
            <w:r>
              <w:rPr>
                <w:rFonts w:hint="eastAsia" w:ascii="宋体" w:hAnsi="宋体" w:cs="宋体"/>
                <w:color w:val="auto"/>
                <w:spacing w:val="-16"/>
                <w:szCs w:val="21"/>
                <w:highlight w:val="none"/>
              </w:rPr>
              <w:t>冬雨季施工增加费</w:t>
            </w:r>
          </w:p>
          <w:p>
            <w:pPr>
              <w:tabs>
                <w:tab w:val="center" w:pos="4755"/>
                <w:tab w:val="right" w:pos="9070"/>
              </w:tabs>
              <w:spacing w:before="100" w:beforeAutospacing="1" w:after="100" w:afterAutospacing="1"/>
              <w:rPr>
                <w:rFonts w:ascii="宋体" w:hAnsi="宋体" w:cs="宋体"/>
                <w:color w:val="auto"/>
                <w:spacing w:val="-16"/>
                <w:szCs w:val="21"/>
                <w:highlight w:val="none"/>
              </w:rPr>
            </w:pPr>
            <w:r>
              <w:rPr>
                <w:rFonts w:hint="eastAsia" w:ascii="宋体" w:hAnsi="宋体" w:cs="宋体"/>
                <w:color w:val="auto"/>
                <w:spacing w:val="-16"/>
                <w:szCs w:val="21"/>
                <w:highlight w:val="none"/>
              </w:rPr>
              <w:t>行车、行人干扰增加费</w:t>
            </w:r>
          </w:p>
          <w:p>
            <w:pPr>
              <w:tabs>
                <w:tab w:val="center" w:pos="4755"/>
                <w:tab w:val="right" w:pos="9070"/>
              </w:tabs>
              <w:spacing w:before="100" w:beforeAutospacing="1" w:after="100" w:afterAutospacing="1"/>
              <w:rPr>
                <w:rFonts w:ascii="宋体" w:hAnsi="宋体" w:cs="宋体"/>
                <w:color w:val="auto"/>
                <w:spacing w:val="-16"/>
                <w:szCs w:val="21"/>
                <w:highlight w:val="none"/>
              </w:rPr>
            </w:pPr>
          </w:p>
          <w:p>
            <w:pPr>
              <w:tabs>
                <w:tab w:val="center" w:pos="4755"/>
                <w:tab w:val="right" w:pos="9070"/>
              </w:tabs>
              <w:spacing w:before="100" w:beforeAutospacing="1" w:after="100" w:afterAutospacing="1"/>
              <w:rPr>
                <w:rFonts w:ascii="宋体" w:hAnsi="宋体" w:cs="宋体"/>
                <w:color w:val="auto"/>
                <w:spacing w:val="-16"/>
                <w:szCs w:val="21"/>
                <w:highlight w:val="none"/>
              </w:rPr>
            </w:pP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44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270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提供分析清单（表1-3-A-1）</w:t>
            </w:r>
          </w:p>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7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bl>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注：1.表中列项供参考，（1）、（2）栏由采购人提供，供应商可按工程实际作补充。</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3.专业工程组织措施项目清单表1-3-B中已报价的组织措施费不得与整体组织措施项目清单表1-3-A中的其他组织措施项目重复报价。</w:t>
      </w:r>
    </w:p>
    <w:p>
      <w:pPr>
        <w:tabs>
          <w:tab w:val="center" w:pos="4755"/>
          <w:tab w:val="right" w:pos="9070"/>
        </w:tabs>
        <w:spacing w:before="100" w:beforeAutospacing="1" w:after="100" w:afterAutospacing="1"/>
        <w:jc w:val="center"/>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表1-3-B  组织措施项目（专业工程）清单及计价表</w:t>
      </w:r>
    </w:p>
    <w:p>
      <w:pPr>
        <w:tabs>
          <w:tab w:val="center" w:pos="4755"/>
          <w:tab w:val="right" w:pos="9070"/>
        </w:tabs>
        <w:ind w:left="5670" w:hanging="5670" w:hangingChars="2700"/>
        <w:rPr>
          <w:rFonts w:ascii="宋体" w:hAnsi="宋体" w:cs="宋体"/>
          <w:color w:val="auto"/>
          <w:szCs w:val="21"/>
          <w:highlight w:val="none"/>
        </w:rPr>
      </w:pPr>
      <w:r>
        <w:rPr>
          <w:rFonts w:hint="eastAsia" w:ascii="宋体" w:hAnsi="宋体" w:cs="宋体"/>
          <w:color w:val="auto"/>
          <w:szCs w:val="21"/>
          <w:highlight w:val="none"/>
        </w:rPr>
        <w:t xml:space="preserve">工程名称：                                            </w:t>
      </w:r>
    </w:p>
    <w:p>
      <w:pPr>
        <w:tabs>
          <w:tab w:val="center" w:pos="4755"/>
          <w:tab w:val="right" w:pos="9070"/>
        </w:tabs>
        <w:ind w:left="5670" w:hanging="5670" w:hangingChars="2700"/>
        <w:rPr>
          <w:rFonts w:ascii="宋体" w:hAnsi="宋体" w:cs="宋体"/>
          <w:color w:val="auto"/>
          <w:szCs w:val="21"/>
          <w:highlight w:val="none"/>
        </w:rPr>
      </w:pPr>
      <w:r>
        <w:rPr>
          <w:rFonts w:hint="eastAsia" w:ascii="宋体" w:hAnsi="宋体" w:cs="宋体"/>
          <w:color w:val="auto"/>
          <w:szCs w:val="21"/>
          <w:highlight w:val="none"/>
        </w:rPr>
        <w:t>单位工程及专业工程名称：第页共页</w:t>
      </w:r>
    </w:p>
    <w:tbl>
      <w:tblPr>
        <w:tblStyle w:val="21"/>
        <w:tblW w:w="97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338"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05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925"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79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金额(元)</w:t>
            </w:r>
          </w:p>
        </w:tc>
        <w:tc>
          <w:tcPr>
            <w:tcW w:w="2644"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pPr>
              <w:tabs>
                <w:tab w:val="center" w:pos="4755"/>
                <w:tab w:val="right" w:pos="9070"/>
              </w:tabs>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（1）</w:t>
            </w:r>
          </w:p>
          <w:p>
            <w:pPr>
              <w:tabs>
                <w:tab w:val="center" w:pos="4755"/>
                <w:tab w:val="right" w:pos="9070"/>
              </w:tabs>
              <w:spacing w:before="100" w:beforeAutospacing="1" w:after="100" w:afterAutospacing="1"/>
              <w:jc w:val="center"/>
              <w:rPr>
                <w:rFonts w:ascii="宋体" w:hAnsi="宋体" w:cs="宋体"/>
                <w:color w:val="auto"/>
                <w:position w:val="-6"/>
                <w:szCs w:val="21"/>
                <w:highlight w:val="none"/>
              </w:rPr>
            </w:pPr>
            <w:r>
              <w:rPr>
                <w:rFonts w:hint="eastAsia" w:ascii="宋体" w:hAnsi="宋体" w:cs="宋体"/>
                <w:color w:val="auto"/>
                <w:position w:val="-6"/>
                <w:szCs w:val="21"/>
                <w:highlight w:val="none"/>
              </w:rPr>
              <w:t>1</w:t>
            </w:r>
          </w:p>
          <w:p>
            <w:pPr>
              <w:tabs>
                <w:tab w:val="center" w:pos="4755"/>
                <w:tab w:val="right" w:pos="9070"/>
              </w:tabs>
              <w:spacing w:before="100" w:beforeAutospacing="1" w:after="100" w:afterAutospacing="1"/>
              <w:jc w:val="center"/>
              <w:rPr>
                <w:rFonts w:ascii="宋体" w:hAnsi="宋体" w:cs="宋体"/>
                <w:color w:val="auto"/>
                <w:position w:val="-6"/>
                <w:szCs w:val="21"/>
                <w:highlight w:val="none"/>
              </w:rPr>
            </w:pPr>
            <w:r>
              <w:rPr>
                <w:rFonts w:hint="eastAsia" w:ascii="宋体" w:hAnsi="宋体" w:cs="宋体"/>
                <w:color w:val="auto"/>
                <w:position w:val="-6"/>
                <w:szCs w:val="21"/>
                <w:highlight w:val="none"/>
              </w:rPr>
              <w:t>2</w:t>
            </w:r>
          </w:p>
          <w:p>
            <w:pPr>
              <w:tabs>
                <w:tab w:val="center" w:pos="4755"/>
                <w:tab w:val="right" w:pos="9070"/>
              </w:tabs>
              <w:spacing w:before="100" w:beforeAutospacing="1" w:after="100" w:afterAutospacing="1"/>
              <w:jc w:val="center"/>
              <w:rPr>
                <w:rFonts w:ascii="宋体" w:hAnsi="宋体" w:cs="宋体"/>
                <w:color w:val="auto"/>
                <w:position w:val="-6"/>
                <w:szCs w:val="21"/>
                <w:highlight w:val="none"/>
              </w:rPr>
            </w:pPr>
            <w:r>
              <w:rPr>
                <w:rFonts w:hint="eastAsia" w:ascii="宋体" w:hAnsi="宋体" w:cs="宋体"/>
                <w:color w:val="auto"/>
                <w:position w:val="-6"/>
                <w:szCs w:val="21"/>
                <w:highlight w:val="none"/>
              </w:rPr>
              <w:t>3</w:t>
            </w:r>
          </w:p>
          <w:p>
            <w:pPr>
              <w:tabs>
                <w:tab w:val="center" w:pos="4755"/>
                <w:tab w:val="right" w:pos="9070"/>
              </w:tabs>
              <w:spacing w:before="100" w:beforeAutospacing="1" w:after="100" w:afterAutospacing="1"/>
              <w:jc w:val="center"/>
              <w:rPr>
                <w:rFonts w:ascii="宋体" w:hAnsi="宋体" w:cs="宋体"/>
                <w:color w:val="auto"/>
                <w:position w:val="-6"/>
                <w:szCs w:val="21"/>
                <w:highlight w:val="none"/>
              </w:rPr>
            </w:pPr>
            <w:r>
              <w:rPr>
                <w:rFonts w:hint="eastAsia" w:ascii="宋体" w:hAnsi="宋体" w:cs="宋体"/>
                <w:color w:val="auto"/>
                <w:position w:val="-6"/>
                <w:szCs w:val="21"/>
                <w:highlight w:val="none"/>
              </w:rPr>
              <w:t>4</w:t>
            </w:r>
          </w:p>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position w:val="-6"/>
                <w:szCs w:val="21"/>
                <w:highlight w:val="none"/>
              </w:rPr>
            </w:pPr>
          </w:p>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position w:val="-6"/>
                <w:szCs w:val="21"/>
                <w:highlight w:val="none"/>
              </w:rPr>
            </w:pPr>
          </w:p>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position w:val="-6"/>
                <w:szCs w:val="21"/>
                <w:highlight w:val="none"/>
              </w:rPr>
            </w:pPr>
          </w:p>
          <w:p>
            <w:pPr>
              <w:keepNext/>
              <w:keepLines/>
              <w:tabs>
                <w:tab w:val="center" w:pos="4755"/>
                <w:tab w:val="right" w:pos="9070"/>
              </w:tabs>
              <w:spacing w:before="100" w:beforeAutospacing="1" w:after="100" w:afterAutospacing="1" w:line="576" w:lineRule="auto"/>
              <w:outlineLvl w:val="0"/>
              <w:rPr>
                <w:rFonts w:ascii="宋体" w:hAnsi="宋体" w:cs="宋体"/>
                <w:color w:val="auto"/>
                <w:position w:val="-6"/>
                <w:szCs w:val="21"/>
                <w:highlight w:val="none"/>
              </w:rPr>
            </w:pPr>
          </w:p>
          <w:p>
            <w:pPr>
              <w:keepNext/>
              <w:keepLines/>
              <w:tabs>
                <w:tab w:val="center" w:pos="4755"/>
                <w:tab w:val="right" w:pos="9070"/>
              </w:tabs>
              <w:spacing w:before="100" w:beforeAutospacing="1" w:after="100" w:afterAutospacing="1" w:line="576" w:lineRule="auto"/>
              <w:outlineLvl w:val="0"/>
              <w:rPr>
                <w:rFonts w:ascii="宋体" w:hAnsi="宋体" w:cs="宋体"/>
                <w:color w:val="auto"/>
                <w:position w:val="-6"/>
                <w:szCs w:val="21"/>
                <w:highlight w:val="none"/>
              </w:rPr>
            </w:pPr>
          </w:p>
        </w:tc>
        <w:tc>
          <w:tcPr>
            <w:tcW w:w="2338" w:type="dxa"/>
          </w:tcPr>
          <w:p>
            <w:pPr>
              <w:tabs>
                <w:tab w:val="center" w:pos="4755"/>
                <w:tab w:val="right" w:pos="9070"/>
              </w:tabs>
              <w:spacing w:before="100" w:beforeAutospacing="1" w:after="100" w:afterAutospacing="1"/>
              <w:jc w:val="center"/>
              <w:rPr>
                <w:rFonts w:ascii="宋体" w:hAnsi="宋体" w:cs="宋体"/>
                <w:color w:val="auto"/>
                <w:spacing w:val="-16"/>
                <w:szCs w:val="21"/>
                <w:highlight w:val="none"/>
              </w:rPr>
            </w:pPr>
            <w:r>
              <w:rPr>
                <w:rFonts w:hint="eastAsia" w:ascii="宋体" w:hAnsi="宋体" w:cs="宋体"/>
                <w:color w:val="auto"/>
                <w:spacing w:val="-16"/>
                <w:szCs w:val="21"/>
                <w:highlight w:val="none"/>
              </w:rPr>
              <w:t>（2）</w:t>
            </w:r>
          </w:p>
          <w:p>
            <w:pPr>
              <w:tabs>
                <w:tab w:val="center" w:pos="4755"/>
                <w:tab w:val="right" w:pos="9070"/>
              </w:tabs>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提前竣工增加费</w:t>
            </w:r>
          </w:p>
          <w:p>
            <w:pPr>
              <w:tabs>
                <w:tab w:val="center" w:pos="4755"/>
                <w:tab w:val="right" w:pos="9070"/>
              </w:tabs>
              <w:spacing w:before="100" w:beforeAutospacing="1" w:after="100" w:afterAutospacing="1"/>
              <w:rPr>
                <w:rFonts w:ascii="宋体" w:hAnsi="宋体" w:cs="宋体"/>
                <w:color w:val="auto"/>
                <w:spacing w:val="-16"/>
                <w:szCs w:val="21"/>
                <w:highlight w:val="none"/>
              </w:rPr>
            </w:pPr>
            <w:r>
              <w:rPr>
                <w:rFonts w:hint="eastAsia" w:ascii="宋体" w:hAnsi="宋体" w:cs="宋体"/>
                <w:color w:val="auto"/>
                <w:spacing w:val="-16"/>
                <w:szCs w:val="21"/>
                <w:highlight w:val="none"/>
              </w:rPr>
              <w:t>二次搬运费</w:t>
            </w:r>
          </w:p>
          <w:p>
            <w:pPr>
              <w:tabs>
                <w:tab w:val="center" w:pos="4755"/>
                <w:tab w:val="right" w:pos="9070"/>
              </w:tabs>
              <w:spacing w:before="100" w:beforeAutospacing="1" w:after="100" w:afterAutospacing="1"/>
              <w:rPr>
                <w:rFonts w:ascii="宋体" w:hAnsi="宋体" w:cs="宋体"/>
                <w:color w:val="auto"/>
                <w:spacing w:val="-16"/>
                <w:szCs w:val="21"/>
                <w:highlight w:val="none"/>
              </w:rPr>
            </w:pPr>
            <w:r>
              <w:rPr>
                <w:rFonts w:hint="eastAsia" w:ascii="宋体" w:hAnsi="宋体" w:cs="宋体"/>
                <w:color w:val="auto"/>
                <w:spacing w:val="-16"/>
                <w:szCs w:val="21"/>
                <w:highlight w:val="none"/>
              </w:rPr>
              <w:t>冬雨季施工增加费</w:t>
            </w:r>
          </w:p>
          <w:p>
            <w:pPr>
              <w:tabs>
                <w:tab w:val="center" w:pos="4755"/>
                <w:tab w:val="right" w:pos="9070"/>
              </w:tabs>
              <w:spacing w:before="100" w:beforeAutospacing="1" w:after="100" w:afterAutospacing="1"/>
              <w:rPr>
                <w:rFonts w:ascii="宋体" w:hAnsi="宋体" w:cs="宋体"/>
                <w:color w:val="auto"/>
                <w:spacing w:val="-16"/>
                <w:szCs w:val="21"/>
                <w:highlight w:val="none"/>
              </w:rPr>
            </w:pPr>
            <w:r>
              <w:rPr>
                <w:rFonts w:hint="eastAsia" w:ascii="宋体" w:hAnsi="宋体" w:cs="宋体"/>
                <w:color w:val="auto"/>
                <w:spacing w:val="-16"/>
                <w:szCs w:val="21"/>
                <w:highlight w:val="none"/>
              </w:rPr>
              <w:t>行车、行人干扰增加费</w:t>
            </w:r>
          </w:p>
          <w:p>
            <w:pPr>
              <w:tabs>
                <w:tab w:val="center" w:pos="4755"/>
                <w:tab w:val="right" w:pos="9070"/>
              </w:tabs>
              <w:spacing w:before="100" w:beforeAutospacing="1" w:after="100" w:afterAutospacing="1"/>
              <w:rPr>
                <w:rFonts w:ascii="宋体" w:hAnsi="宋体" w:cs="宋体"/>
                <w:color w:val="auto"/>
                <w:spacing w:val="-16"/>
                <w:szCs w:val="21"/>
                <w:highlight w:val="none"/>
              </w:rPr>
            </w:pPr>
          </w:p>
        </w:tc>
        <w:tc>
          <w:tcPr>
            <w:tcW w:w="1057"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925"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79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2644" w:type="dxa"/>
          </w:tcPr>
          <w:p>
            <w:pPr>
              <w:tabs>
                <w:tab w:val="center" w:pos="4755"/>
                <w:tab w:val="right" w:pos="9070"/>
              </w:tabs>
              <w:spacing w:before="100" w:beforeAutospacing="1" w:after="100" w:afterAutospacing="1"/>
              <w:rPr>
                <w:rFonts w:ascii="宋体" w:hAnsi="宋体" w:cs="宋体"/>
                <w:color w:val="auto"/>
                <w:szCs w:val="21"/>
                <w:highlight w:val="none"/>
              </w:rPr>
            </w:pPr>
          </w:p>
          <w:p>
            <w:pPr>
              <w:tabs>
                <w:tab w:val="center" w:pos="4755"/>
                <w:tab w:val="right" w:pos="9070"/>
              </w:tabs>
              <w:spacing w:before="100" w:beforeAutospacing="1" w:after="100" w:afterAutospacing="1"/>
              <w:jc w:val="center"/>
              <w:rPr>
                <w:rFonts w:ascii="宋体" w:hAnsi="宋体" w:cs="宋体"/>
                <w:color w:val="auto"/>
                <w:szCs w:val="21"/>
                <w:highlight w:val="none"/>
              </w:rPr>
            </w:pPr>
          </w:p>
          <w:p>
            <w:pPr>
              <w:tabs>
                <w:tab w:val="center" w:pos="4755"/>
                <w:tab w:val="right" w:pos="9070"/>
              </w:tabs>
              <w:spacing w:before="100" w:beforeAutospacing="1" w:after="100" w:afterAutospacing="1"/>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1793"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6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bl>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注： 1.表中列项供参考，（1）、（2）栏由采购人提供，供应商可按工程实际作补充。</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2．当采购项目为单位工程发包且只有1个分部分项工程量清单时，组织措施项目清单应按表1-3-A报价。</w:t>
      </w:r>
    </w:p>
    <w:p>
      <w:pPr>
        <w:tabs>
          <w:tab w:val="center" w:pos="4755"/>
          <w:tab w:val="right" w:pos="9070"/>
        </w:tabs>
        <w:jc w:val="center"/>
        <w:rPr>
          <w:rFonts w:ascii="宋体" w:hAnsi="宋体" w:cs="宋体"/>
          <w:b/>
          <w:color w:val="auto"/>
          <w:szCs w:val="21"/>
          <w:highlight w:val="none"/>
        </w:rPr>
        <w:sectPr>
          <w:pgSz w:w="12240" w:h="15840"/>
          <w:pgMar w:top="1304" w:right="964" w:bottom="964" w:left="1531" w:header="720" w:footer="720" w:gutter="0"/>
          <w:cols w:space="720" w:num="1"/>
          <w:docGrid w:linePitch="312" w:charSpace="0"/>
        </w:sectPr>
      </w:pPr>
    </w:p>
    <w:p>
      <w:pPr>
        <w:tabs>
          <w:tab w:val="center" w:pos="4755"/>
          <w:tab w:val="right" w:pos="9070"/>
        </w:tabs>
        <w:jc w:val="center"/>
        <w:rPr>
          <w:rFonts w:ascii="宋体" w:hAnsi="宋体" w:cs="宋体"/>
          <w:b/>
          <w:color w:val="auto"/>
          <w:szCs w:val="21"/>
          <w:highlight w:val="none"/>
        </w:rPr>
      </w:pPr>
      <w:r>
        <w:rPr>
          <w:rFonts w:hint="eastAsia" w:ascii="宋体" w:hAnsi="宋体" w:cs="宋体"/>
          <w:b/>
          <w:color w:val="auto"/>
          <w:szCs w:val="21"/>
          <w:highlight w:val="none"/>
        </w:rPr>
        <w:t>表1-3-C  技术措施项目清单及计价表</w:t>
      </w:r>
    </w:p>
    <w:p>
      <w:pPr>
        <w:tabs>
          <w:tab w:val="center" w:pos="4755"/>
          <w:tab w:val="right" w:pos="9070"/>
        </w:tabs>
        <w:ind w:left="8295" w:hanging="8295" w:hangingChars="3950"/>
        <w:rPr>
          <w:rFonts w:ascii="宋体" w:hAnsi="宋体" w:cs="宋体"/>
          <w:color w:val="auto"/>
          <w:szCs w:val="21"/>
          <w:highlight w:val="none"/>
        </w:rPr>
      </w:pPr>
      <w:r>
        <w:rPr>
          <w:rFonts w:hint="eastAsia" w:ascii="宋体" w:hAnsi="宋体" w:cs="宋体"/>
          <w:color w:val="auto"/>
          <w:szCs w:val="21"/>
          <w:highlight w:val="none"/>
        </w:rPr>
        <w:t xml:space="preserve">工程名称：                                                                              单位工程及专业工程名称：                                                                        </w:t>
      </w:r>
    </w:p>
    <w:tbl>
      <w:tblPr>
        <w:tblStyle w:val="21"/>
        <w:tblW w:w="13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pPr>
              <w:tabs>
                <w:tab w:val="center" w:pos="4755"/>
                <w:tab w:val="right" w:pos="9070"/>
              </w:tabs>
              <w:snapToGrid w:val="0"/>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31" w:type="dxa"/>
            <w:vMerge w:val="restart"/>
            <w:vAlign w:val="center"/>
          </w:tcPr>
          <w:p>
            <w:pPr>
              <w:tabs>
                <w:tab w:val="center" w:pos="4755"/>
                <w:tab w:val="right" w:pos="9070"/>
              </w:tabs>
              <w:snapToGrid w:val="0"/>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项目编码</w:t>
            </w:r>
          </w:p>
        </w:tc>
        <w:tc>
          <w:tcPr>
            <w:tcW w:w="1390" w:type="dxa"/>
            <w:vMerge w:val="restart"/>
            <w:vAlign w:val="center"/>
          </w:tcPr>
          <w:p>
            <w:pPr>
              <w:tabs>
                <w:tab w:val="center" w:pos="4755"/>
                <w:tab w:val="right" w:pos="9070"/>
              </w:tabs>
              <w:snapToGrid w:val="0"/>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390" w:type="dxa"/>
            <w:vMerge w:val="restart"/>
            <w:vAlign w:val="center"/>
          </w:tcPr>
          <w:p>
            <w:pPr>
              <w:tabs>
                <w:tab w:val="center" w:pos="4755"/>
                <w:tab w:val="right" w:pos="9070"/>
              </w:tabs>
              <w:snapToGrid w:val="0"/>
              <w:jc w:val="center"/>
              <w:rPr>
                <w:rFonts w:ascii="宋体" w:hAnsi="宋体" w:cs="宋体"/>
                <w:color w:val="auto"/>
                <w:szCs w:val="21"/>
                <w:highlight w:val="none"/>
              </w:rPr>
            </w:pPr>
            <w:r>
              <w:rPr>
                <w:rFonts w:hint="eastAsia" w:ascii="宋体" w:hAnsi="宋体" w:cs="宋体"/>
                <w:color w:val="auto"/>
                <w:szCs w:val="21"/>
                <w:highlight w:val="none"/>
              </w:rPr>
              <w:t>项目特征</w:t>
            </w:r>
          </w:p>
          <w:p>
            <w:pPr>
              <w:tabs>
                <w:tab w:val="center" w:pos="4755"/>
                <w:tab w:val="right" w:pos="9070"/>
              </w:tabs>
              <w:snapToGrid w:val="0"/>
              <w:jc w:val="center"/>
              <w:rPr>
                <w:rFonts w:ascii="宋体" w:hAnsi="宋体" w:cs="宋体"/>
                <w:color w:val="auto"/>
                <w:szCs w:val="21"/>
                <w:highlight w:val="none"/>
              </w:rPr>
            </w:pPr>
            <w:r>
              <w:rPr>
                <w:rFonts w:hint="eastAsia" w:ascii="宋体" w:hAnsi="宋体" w:cs="宋体"/>
                <w:color w:val="auto"/>
                <w:szCs w:val="21"/>
                <w:highlight w:val="none"/>
              </w:rPr>
              <w:t>描述</w:t>
            </w:r>
          </w:p>
        </w:tc>
        <w:tc>
          <w:tcPr>
            <w:tcW w:w="1217" w:type="dxa"/>
            <w:vMerge w:val="restart"/>
            <w:vAlign w:val="center"/>
          </w:tcPr>
          <w:p>
            <w:pPr>
              <w:tabs>
                <w:tab w:val="center" w:pos="4755"/>
                <w:tab w:val="right" w:pos="9070"/>
              </w:tabs>
              <w:snapToGrid w:val="0"/>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计量单位</w:t>
            </w:r>
          </w:p>
        </w:tc>
        <w:tc>
          <w:tcPr>
            <w:tcW w:w="1217" w:type="dxa"/>
            <w:vMerge w:val="restart"/>
            <w:vAlign w:val="center"/>
          </w:tcPr>
          <w:p>
            <w:pPr>
              <w:tabs>
                <w:tab w:val="center" w:pos="4755"/>
                <w:tab w:val="right" w:pos="9070"/>
              </w:tabs>
              <w:snapToGrid w:val="0"/>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工程量</w:t>
            </w:r>
          </w:p>
        </w:tc>
        <w:tc>
          <w:tcPr>
            <w:tcW w:w="1205" w:type="dxa"/>
            <w:vMerge w:val="restart"/>
            <w:vAlign w:val="center"/>
          </w:tcPr>
          <w:p>
            <w:pPr>
              <w:tabs>
                <w:tab w:val="center" w:pos="4755"/>
                <w:tab w:val="right" w:pos="9070"/>
              </w:tabs>
              <w:snapToGrid w:val="0"/>
              <w:jc w:val="center"/>
              <w:rPr>
                <w:rFonts w:ascii="宋体" w:hAnsi="宋体" w:cs="宋体"/>
                <w:color w:val="auto"/>
                <w:szCs w:val="21"/>
                <w:highlight w:val="none"/>
              </w:rPr>
            </w:pPr>
            <w:r>
              <w:rPr>
                <w:rFonts w:hint="eastAsia" w:ascii="宋体" w:hAnsi="宋体" w:cs="宋体"/>
                <w:color w:val="auto"/>
                <w:szCs w:val="21"/>
                <w:highlight w:val="none"/>
              </w:rPr>
              <w:t>综合单价</w:t>
            </w:r>
          </w:p>
          <w:p>
            <w:pPr>
              <w:tabs>
                <w:tab w:val="center" w:pos="4755"/>
                <w:tab w:val="right" w:pos="9070"/>
              </w:tabs>
              <w:snapToGrid w:val="0"/>
              <w:jc w:val="center"/>
              <w:rPr>
                <w:rFonts w:ascii="宋体" w:hAnsi="宋体" w:cs="宋体"/>
                <w:color w:val="auto"/>
                <w:szCs w:val="21"/>
                <w:highlight w:val="none"/>
              </w:rPr>
            </w:pPr>
            <w:r>
              <w:rPr>
                <w:rFonts w:hint="eastAsia" w:ascii="宋体" w:hAnsi="宋体" w:cs="宋体"/>
                <w:color w:val="auto"/>
                <w:szCs w:val="21"/>
                <w:highlight w:val="none"/>
              </w:rPr>
              <w:t>(元)</w:t>
            </w:r>
          </w:p>
        </w:tc>
        <w:tc>
          <w:tcPr>
            <w:tcW w:w="987" w:type="dxa"/>
            <w:vMerge w:val="restart"/>
            <w:vAlign w:val="center"/>
          </w:tcPr>
          <w:p>
            <w:pPr>
              <w:tabs>
                <w:tab w:val="center" w:pos="4755"/>
                <w:tab w:val="right" w:pos="9070"/>
              </w:tabs>
              <w:snapToGrid w:val="0"/>
              <w:jc w:val="center"/>
              <w:rPr>
                <w:rFonts w:ascii="宋体" w:hAnsi="宋体" w:cs="宋体"/>
                <w:color w:val="auto"/>
                <w:szCs w:val="21"/>
                <w:highlight w:val="none"/>
              </w:rPr>
            </w:pPr>
            <w:r>
              <w:rPr>
                <w:rFonts w:hint="eastAsia" w:ascii="宋体" w:hAnsi="宋体" w:cs="宋体"/>
                <w:color w:val="auto"/>
                <w:szCs w:val="21"/>
                <w:highlight w:val="none"/>
              </w:rPr>
              <w:t>合  价</w:t>
            </w:r>
          </w:p>
          <w:p>
            <w:pPr>
              <w:tabs>
                <w:tab w:val="center" w:pos="4755"/>
                <w:tab w:val="right" w:pos="9070"/>
              </w:tabs>
              <w:snapToGrid w:val="0"/>
              <w:jc w:val="center"/>
              <w:rPr>
                <w:rFonts w:ascii="宋体" w:hAnsi="宋体" w:cs="宋体"/>
                <w:color w:val="auto"/>
                <w:szCs w:val="21"/>
                <w:highlight w:val="none"/>
              </w:rPr>
            </w:pPr>
            <w:r>
              <w:rPr>
                <w:rFonts w:hint="eastAsia" w:ascii="宋体" w:hAnsi="宋体" w:cs="宋体"/>
                <w:color w:val="auto"/>
                <w:szCs w:val="21"/>
                <w:highlight w:val="none"/>
              </w:rPr>
              <w:t>(元)</w:t>
            </w:r>
          </w:p>
        </w:tc>
        <w:tc>
          <w:tcPr>
            <w:tcW w:w="3461" w:type="dxa"/>
            <w:gridSpan w:val="4"/>
            <w:vAlign w:val="center"/>
          </w:tcPr>
          <w:p>
            <w:pPr>
              <w:tabs>
                <w:tab w:val="center" w:pos="4755"/>
                <w:tab w:val="right" w:pos="9070"/>
              </w:tabs>
              <w:snapToGrid w:val="0"/>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923" w:type="dxa"/>
            <w:vMerge w:val="restart"/>
            <w:vAlign w:val="center"/>
          </w:tcPr>
          <w:p>
            <w:pPr>
              <w:tabs>
                <w:tab w:val="center" w:pos="4755"/>
                <w:tab w:val="right" w:pos="9070"/>
              </w:tabs>
              <w:snapToGrid w:val="0"/>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pPr>
              <w:tabs>
                <w:tab w:val="center" w:pos="4755"/>
                <w:tab w:val="right" w:pos="9070"/>
              </w:tabs>
              <w:snapToGrid w:val="0"/>
              <w:spacing w:before="100" w:beforeAutospacing="1" w:after="100" w:afterAutospacing="1" w:line="576" w:lineRule="auto"/>
              <w:jc w:val="center"/>
              <w:outlineLvl w:val="0"/>
              <w:rPr>
                <w:rFonts w:ascii="宋体" w:hAnsi="宋体" w:cs="宋体"/>
                <w:color w:val="auto"/>
                <w:szCs w:val="21"/>
                <w:highlight w:val="none"/>
              </w:rPr>
            </w:pPr>
          </w:p>
        </w:tc>
        <w:tc>
          <w:tcPr>
            <w:tcW w:w="1231" w:type="dxa"/>
            <w:vMerge w:val="continue"/>
            <w:vAlign w:val="center"/>
          </w:tcPr>
          <w:p>
            <w:pPr>
              <w:tabs>
                <w:tab w:val="center" w:pos="4755"/>
                <w:tab w:val="right" w:pos="9070"/>
              </w:tabs>
              <w:snapToGrid w:val="0"/>
              <w:spacing w:before="100" w:beforeAutospacing="1" w:after="100" w:afterAutospacing="1" w:line="576" w:lineRule="auto"/>
              <w:jc w:val="center"/>
              <w:outlineLvl w:val="0"/>
              <w:rPr>
                <w:rFonts w:ascii="宋体" w:hAnsi="宋体" w:cs="宋体"/>
                <w:color w:val="auto"/>
                <w:szCs w:val="21"/>
                <w:highlight w:val="none"/>
              </w:rPr>
            </w:pPr>
          </w:p>
        </w:tc>
        <w:tc>
          <w:tcPr>
            <w:tcW w:w="1390" w:type="dxa"/>
            <w:vMerge w:val="continue"/>
            <w:vAlign w:val="center"/>
          </w:tcPr>
          <w:p>
            <w:pPr>
              <w:tabs>
                <w:tab w:val="center" w:pos="4755"/>
                <w:tab w:val="right" w:pos="9070"/>
              </w:tabs>
              <w:snapToGrid w:val="0"/>
              <w:spacing w:before="100" w:beforeAutospacing="1" w:after="100" w:afterAutospacing="1" w:line="576" w:lineRule="auto"/>
              <w:jc w:val="center"/>
              <w:outlineLvl w:val="0"/>
              <w:rPr>
                <w:rFonts w:ascii="宋体" w:hAnsi="宋体" w:cs="宋体"/>
                <w:color w:val="auto"/>
                <w:szCs w:val="21"/>
                <w:highlight w:val="none"/>
              </w:rPr>
            </w:pPr>
          </w:p>
        </w:tc>
        <w:tc>
          <w:tcPr>
            <w:tcW w:w="1390" w:type="dxa"/>
            <w:vMerge w:val="continue"/>
          </w:tcPr>
          <w:p>
            <w:pPr>
              <w:tabs>
                <w:tab w:val="center" w:pos="4755"/>
                <w:tab w:val="right" w:pos="9070"/>
              </w:tabs>
              <w:snapToGrid w:val="0"/>
              <w:spacing w:before="100" w:beforeAutospacing="1" w:after="100" w:afterAutospacing="1" w:line="576" w:lineRule="auto"/>
              <w:outlineLvl w:val="0"/>
              <w:rPr>
                <w:rFonts w:ascii="宋体" w:hAnsi="宋体" w:cs="宋体"/>
                <w:color w:val="auto"/>
                <w:szCs w:val="21"/>
                <w:highlight w:val="none"/>
              </w:rPr>
            </w:pPr>
          </w:p>
        </w:tc>
        <w:tc>
          <w:tcPr>
            <w:tcW w:w="1217" w:type="dxa"/>
            <w:vMerge w:val="continue"/>
          </w:tcPr>
          <w:p>
            <w:pPr>
              <w:tabs>
                <w:tab w:val="center" w:pos="4755"/>
                <w:tab w:val="right" w:pos="9070"/>
              </w:tabs>
              <w:snapToGrid w:val="0"/>
              <w:spacing w:before="100" w:beforeAutospacing="1" w:after="100" w:afterAutospacing="1" w:line="576" w:lineRule="auto"/>
              <w:outlineLvl w:val="0"/>
              <w:rPr>
                <w:rFonts w:ascii="宋体" w:hAnsi="宋体" w:cs="宋体"/>
                <w:color w:val="auto"/>
                <w:szCs w:val="21"/>
                <w:highlight w:val="none"/>
              </w:rPr>
            </w:pPr>
          </w:p>
        </w:tc>
        <w:tc>
          <w:tcPr>
            <w:tcW w:w="1217" w:type="dxa"/>
            <w:vMerge w:val="continue"/>
            <w:vAlign w:val="center"/>
          </w:tcPr>
          <w:p>
            <w:pPr>
              <w:tabs>
                <w:tab w:val="center" w:pos="4755"/>
                <w:tab w:val="right" w:pos="9070"/>
              </w:tabs>
              <w:snapToGrid w:val="0"/>
              <w:spacing w:before="100" w:beforeAutospacing="1" w:after="100" w:afterAutospacing="1" w:line="576" w:lineRule="auto"/>
              <w:jc w:val="center"/>
              <w:outlineLvl w:val="0"/>
              <w:rPr>
                <w:rFonts w:ascii="宋体" w:hAnsi="宋体" w:cs="宋体"/>
                <w:color w:val="auto"/>
                <w:szCs w:val="21"/>
                <w:highlight w:val="none"/>
              </w:rPr>
            </w:pPr>
          </w:p>
        </w:tc>
        <w:tc>
          <w:tcPr>
            <w:tcW w:w="1205" w:type="dxa"/>
            <w:vMerge w:val="continue"/>
            <w:vAlign w:val="center"/>
          </w:tcPr>
          <w:p>
            <w:pPr>
              <w:tabs>
                <w:tab w:val="center" w:pos="4755"/>
                <w:tab w:val="right" w:pos="9070"/>
              </w:tabs>
              <w:snapToGrid w:val="0"/>
              <w:spacing w:before="100" w:beforeAutospacing="1" w:after="100" w:afterAutospacing="1" w:line="576" w:lineRule="auto"/>
              <w:jc w:val="center"/>
              <w:outlineLvl w:val="0"/>
              <w:rPr>
                <w:rFonts w:ascii="宋体" w:hAnsi="宋体" w:cs="宋体"/>
                <w:color w:val="auto"/>
                <w:szCs w:val="21"/>
                <w:highlight w:val="none"/>
              </w:rPr>
            </w:pPr>
          </w:p>
        </w:tc>
        <w:tc>
          <w:tcPr>
            <w:tcW w:w="987" w:type="dxa"/>
            <w:vMerge w:val="continue"/>
          </w:tcPr>
          <w:p>
            <w:pPr>
              <w:tabs>
                <w:tab w:val="center" w:pos="4755"/>
                <w:tab w:val="right" w:pos="9070"/>
              </w:tabs>
              <w:snapToGrid w:val="0"/>
              <w:spacing w:before="100" w:beforeAutospacing="1" w:after="100" w:afterAutospacing="1" w:line="576" w:lineRule="auto"/>
              <w:jc w:val="center"/>
              <w:outlineLvl w:val="0"/>
              <w:rPr>
                <w:rFonts w:ascii="宋体" w:hAnsi="宋体" w:cs="宋体"/>
                <w:color w:val="auto"/>
                <w:szCs w:val="21"/>
                <w:highlight w:val="none"/>
              </w:rPr>
            </w:pPr>
          </w:p>
        </w:tc>
        <w:tc>
          <w:tcPr>
            <w:tcW w:w="1216" w:type="dxa"/>
            <w:vAlign w:val="center"/>
          </w:tcPr>
          <w:p>
            <w:pPr>
              <w:tabs>
                <w:tab w:val="center" w:pos="4755"/>
                <w:tab w:val="right" w:pos="9070"/>
              </w:tabs>
              <w:snapToGrid w:val="0"/>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人工费</w:t>
            </w:r>
          </w:p>
        </w:tc>
        <w:tc>
          <w:tcPr>
            <w:tcW w:w="1216" w:type="dxa"/>
            <w:vAlign w:val="center"/>
          </w:tcPr>
          <w:p>
            <w:pPr>
              <w:tabs>
                <w:tab w:val="center" w:pos="4755"/>
                <w:tab w:val="right" w:pos="9070"/>
              </w:tabs>
              <w:snapToGrid w:val="0"/>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机械费</w:t>
            </w:r>
          </w:p>
        </w:tc>
        <w:tc>
          <w:tcPr>
            <w:tcW w:w="1029" w:type="dxa"/>
            <w:gridSpan w:val="2"/>
            <w:vAlign w:val="center"/>
          </w:tcPr>
          <w:p>
            <w:pPr>
              <w:tabs>
                <w:tab w:val="center" w:pos="4755"/>
                <w:tab w:val="right" w:pos="9070"/>
              </w:tabs>
              <w:snapToGrid w:val="0"/>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管理费</w:t>
            </w:r>
          </w:p>
        </w:tc>
        <w:tc>
          <w:tcPr>
            <w:tcW w:w="923" w:type="dxa"/>
            <w:vMerge w:val="continue"/>
            <w:vAlign w:val="center"/>
          </w:tcPr>
          <w:p>
            <w:pPr>
              <w:tabs>
                <w:tab w:val="center" w:pos="4755"/>
                <w:tab w:val="right" w:pos="9070"/>
              </w:tabs>
              <w:snapToGrid w:val="0"/>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pPr>
              <w:tabs>
                <w:tab w:val="center" w:pos="4755"/>
                <w:tab w:val="right" w:pos="9070"/>
              </w:tabs>
              <w:jc w:val="center"/>
              <w:rPr>
                <w:rFonts w:ascii="宋体" w:hAnsi="宋体" w:cs="宋体"/>
                <w:color w:val="auto"/>
                <w:spacing w:val="-16"/>
                <w:szCs w:val="21"/>
                <w:highlight w:val="none"/>
              </w:rPr>
            </w:pPr>
            <w:r>
              <w:rPr>
                <w:rFonts w:hint="eastAsia" w:ascii="宋体" w:hAnsi="宋体" w:cs="宋体"/>
                <w:color w:val="auto"/>
                <w:spacing w:val="-16"/>
                <w:szCs w:val="21"/>
                <w:highlight w:val="none"/>
              </w:rPr>
              <w:t>（1）</w:t>
            </w:r>
          </w:p>
        </w:tc>
        <w:tc>
          <w:tcPr>
            <w:tcW w:w="1231" w:type="dxa"/>
            <w:vAlign w:val="center"/>
          </w:tcPr>
          <w:p>
            <w:pPr>
              <w:tabs>
                <w:tab w:val="center" w:pos="4755"/>
                <w:tab w:val="right" w:pos="9070"/>
              </w:tabs>
              <w:jc w:val="center"/>
              <w:rPr>
                <w:rFonts w:ascii="宋体" w:hAnsi="宋体" w:cs="宋体"/>
                <w:color w:val="auto"/>
                <w:spacing w:val="-16"/>
                <w:szCs w:val="21"/>
                <w:highlight w:val="none"/>
              </w:rPr>
            </w:pPr>
            <w:r>
              <w:rPr>
                <w:rFonts w:hint="eastAsia" w:ascii="宋体" w:hAnsi="宋体" w:cs="宋体"/>
                <w:color w:val="auto"/>
                <w:spacing w:val="-16"/>
                <w:szCs w:val="21"/>
                <w:highlight w:val="none"/>
              </w:rPr>
              <w:t>（2）</w:t>
            </w:r>
          </w:p>
        </w:tc>
        <w:tc>
          <w:tcPr>
            <w:tcW w:w="1390" w:type="dxa"/>
            <w:vAlign w:val="center"/>
          </w:tcPr>
          <w:p>
            <w:pPr>
              <w:tabs>
                <w:tab w:val="center" w:pos="4755"/>
                <w:tab w:val="right" w:pos="9070"/>
              </w:tabs>
              <w:jc w:val="center"/>
              <w:rPr>
                <w:rFonts w:ascii="宋体" w:hAnsi="宋体" w:cs="宋体"/>
                <w:color w:val="auto"/>
                <w:spacing w:val="-16"/>
                <w:szCs w:val="21"/>
                <w:highlight w:val="none"/>
              </w:rPr>
            </w:pPr>
            <w:r>
              <w:rPr>
                <w:rFonts w:hint="eastAsia" w:ascii="宋体" w:hAnsi="宋体" w:cs="宋体"/>
                <w:color w:val="auto"/>
                <w:spacing w:val="-16"/>
                <w:szCs w:val="21"/>
                <w:highlight w:val="none"/>
              </w:rPr>
              <w:t>（3）</w:t>
            </w:r>
          </w:p>
        </w:tc>
        <w:tc>
          <w:tcPr>
            <w:tcW w:w="1390" w:type="dxa"/>
            <w:vAlign w:val="center"/>
          </w:tcPr>
          <w:p>
            <w:pPr>
              <w:tabs>
                <w:tab w:val="center" w:pos="4755"/>
                <w:tab w:val="right" w:pos="9070"/>
              </w:tabs>
              <w:jc w:val="center"/>
              <w:rPr>
                <w:rFonts w:ascii="宋体" w:hAnsi="宋体" w:cs="宋体"/>
                <w:color w:val="auto"/>
                <w:spacing w:val="-16"/>
                <w:szCs w:val="21"/>
                <w:highlight w:val="none"/>
              </w:rPr>
            </w:pPr>
            <w:r>
              <w:rPr>
                <w:rFonts w:hint="eastAsia" w:ascii="宋体" w:hAnsi="宋体" w:cs="宋体"/>
                <w:color w:val="auto"/>
                <w:spacing w:val="-16"/>
                <w:szCs w:val="21"/>
                <w:highlight w:val="none"/>
              </w:rPr>
              <w:t>（4）</w:t>
            </w:r>
          </w:p>
        </w:tc>
        <w:tc>
          <w:tcPr>
            <w:tcW w:w="1217" w:type="dxa"/>
            <w:vAlign w:val="center"/>
          </w:tcPr>
          <w:p>
            <w:pPr>
              <w:tabs>
                <w:tab w:val="center" w:pos="4755"/>
                <w:tab w:val="right" w:pos="9070"/>
              </w:tabs>
              <w:jc w:val="center"/>
              <w:rPr>
                <w:rFonts w:ascii="宋体" w:hAnsi="宋体" w:cs="宋体"/>
                <w:color w:val="auto"/>
                <w:spacing w:val="-16"/>
                <w:szCs w:val="21"/>
                <w:highlight w:val="none"/>
              </w:rPr>
            </w:pPr>
            <w:r>
              <w:rPr>
                <w:rFonts w:hint="eastAsia" w:ascii="宋体" w:hAnsi="宋体" w:cs="宋体"/>
                <w:color w:val="auto"/>
                <w:spacing w:val="-16"/>
                <w:szCs w:val="21"/>
                <w:highlight w:val="none"/>
              </w:rPr>
              <w:t>（5）</w:t>
            </w:r>
          </w:p>
        </w:tc>
        <w:tc>
          <w:tcPr>
            <w:tcW w:w="1217" w:type="dxa"/>
            <w:vAlign w:val="center"/>
          </w:tcPr>
          <w:p>
            <w:pPr>
              <w:tabs>
                <w:tab w:val="center" w:pos="4755"/>
                <w:tab w:val="right" w:pos="9070"/>
              </w:tabs>
              <w:jc w:val="center"/>
              <w:rPr>
                <w:rFonts w:ascii="宋体" w:hAnsi="宋体" w:cs="宋体"/>
                <w:color w:val="auto"/>
                <w:spacing w:val="-16"/>
                <w:szCs w:val="21"/>
                <w:highlight w:val="none"/>
              </w:rPr>
            </w:pPr>
          </w:p>
        </w:tc>
        <w:tc>
          <w:tcPr>
            <w:tcW w:w="1205" w:type="dxa"/>
            <w:vAlign w:val="center"/>
          </w:tcPr>
          <w:p>
            <w:pPr>
              <w:tabs>
                <w:tab w:val="center" w:pos="4755"/>
                <w:tab w:val="right" w:pos="9070"/>
              </w:tabs>
              <w:jc w:val="center"/>
              <w:rPr>
                <w:rFonts w:ascii="宋体" w:hAnsi="宋体" w:cs="宋体"/>
                <w:color w:val="auto"/>
                <w:spacing w:val="-16"/>
                <w:szCs w:val="21"/>
                <w:highlight w:val="none"/>
              </w:rPr>
            </w:pPr>
          </w:p>
        </w:tc>
        <w:tc>
          <w:tcPr>
            <w:tcW w:w="987" w:type="dxa"/>
            <w:vAlign w:val="center"/>
          </w:tcPr>
          <w:p>
            <w:pPr>
              <w:tabs>
                <w:tab w:val="center" w:pos="4755"/>
                <w:tab w:val="right" w:pos="9070"/>
              </w:tabs>
              <w:jc w:val="center"/>
              <w:rPr>
                <w:rFonts w:ascii="宋体" w:hAnsi="宋体" w:cs="宋体"/>
                <w:color w:val="auto"/>
                <w:spacing w:val="-16"/>
                <w:szCs w:val="21"/>
                <w:highlight w:val="none"/>
              </w:rPr>
            </w:pPr>
          </w:p>
        </w:tc>
        <w:tc>
          <w:tcPr>
            <w:tcW w:w="1216" w:type="dxa"/>
            <w:vAlign w:val="center"/>
          </w:tcPr>
          <w:p>
            <w:pPr>
              <w:tabs>
                <w:tab w:val="center" w:pos="4755"/>
                <w:tab w:val="right" w:pos="9070"/>
              </w:tabs>
              <w:jc w:val="center"/>
              <w:rPr>
                <w:rFonts w:ascii="宋体" w:hAnsi="宋体" w:cs="宋体"/>
                <w:color w:val="auto"/>
                <w:spacing w:val="-16"/>
                <w:szCs w:val="21"/>
                <w:highlight w:val="none"/>
              </w:rPr>
            </w:pPr>
          </w:p>
        </w:tc>
        <w:tc>
          <w:tcPr>
            <w:tcW w:w="1222" w:type="dxa"/>
            <w:gridSpan w:val="2"/>
            <w:vAlign w:val="center"/>
          </w:tcPr>
          <w:p>
            <w:pPr>
              <w:tabs>
                <w:tab w:val="center" w:pos="4755"/>
                <w:tab w:val="right" w:pos="9070"/>
              </w:tabs>
              <w:jc w:val="center"/>
              <w:rPr>
                <w:rFonts w:ascii="宋体" w:hAnsi="宋体" w:cs="宋体"/>
                <w:color w:val="auto"/>
                <w:spacing w:val="-16"/>
                <w:szCs w:val="21"/>
                <w:highlight w:val="none"/>
              </w:rPr>
            </w:pPr>
          </w:p>
        </w:tc>
        <w:tc>
          <w:tcPr>
            <w:tcW w:w="1023" w:type="dxa"/>
            <w:vAlign w:val="center"/>
          </w:tcPr>
          <w:p>
            <w:pPr>
              <w:tabs>
                <w:tab w:val="center" w:pos="4755"/>
                <w:tab w:val="right" w:pos="9070"/>
              </w:tabs>
              <w:jc w:val="center"/>
              <w:rPr>
                <w:rFonts w:ascii="宋体" w:hAnsi="宋体" w:cs="宋体"/>
                <w:color w:val="auto"/>
                <w:spacing w:val="-16"/>
                <w:szCs w:val="21"/>
                <w:highlight w:val="none"/>
              </w:rPr>
            </w:pPr>
          </w:p>
        </w:tc>
        <w:tc>
          <w:tcPr>
            <w:tcW w:w="923" w:type="dxa"/>
            <w:vAlign w:val="center"/>
          </w:tcPr>
          <w:p>
            <w:pPr>
              <w:tabs>
                <w:tab w:val="center" w:pos="4755"/>
                <w:tab w:val="right" w:pos="9070"/>
              </w:tabs>
              <w:jc w:val="center"/>
              <w:rPr>
                <w:rFonts w:ascii="宋体" w:hAnsi="宋体" w:cs="宋体"/>
                <w:color w:val="auto"/>
                <w:spacing w:val="-16"/>
                <w:szCs w:val="21"/>
                <w:highlight w:val="none"/>
              </w:rPr>
            </w:pPr>
            <w:r>
              <w:rPr>
                <w:rFonts w:hint="eastAsia" w:ascii="宋体" w:hAnsi="宋体" w:cs="宋体"/>
                <w:color w:val="auto"/>
                <w:spacing w:val="-16"/>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31" w:type="dxa"/>
            <w:vAlign w:val="center"/>
          </w:tcPr>
          <w:p>
            <w:pPr>
              <w:keepNext/>
              <w:keepLines/>
              <w:tabs>
                <w:tab w:val="center" w:pos="4755"/>
                <w:tab w:val="right" w:pos="9070"/>
              </w:tabs>
              <w:spacing w:before="340" w:after="330"/>
              <w:outlineLvl w:val="0"/>
              <w:rPr>
                <w:rFonts w:ascii="宋体" w:hAnsi="宋体" w:cs="宋体"/>
                <w:color w:val="auto"/>
                <w:spacing w:val="-16"/>
                <w:szCs w:val="21"/>
                <w:highlight w:val="none"/>
              </w:rPr>
            </w:pPr>
          </w:p>
        </w:tc>
        <w:tc>
          <w:tcPr>
            <w:tcW w:w="1390" w:type="dxa"/>
            <w:vAlign w:val="center"/>
          </w:tcPr>
          <w:p>
            <w:pPr>
              <w:tabs>
                <w:tab w:val="center" w:pos="4755"/>
                <w:tab w:val="right" w:pos="9070"/>
              </w:tabs>
              <w:rPr>
                <w:rFonts w:ascii="宋体" w:hAnsi="宋体" w:cs="宋体"/>
                <w:color w:val="auto"/>
                <w:spacing w:val="-16"/>
                <w:szCs w:val="21"/>
                <w:highlight w:val="none"/>
              </w:rPr>
            </w:pPr>
            <w:r>
              <w:rPr>
                <w:rFonts w:hint="eastAsia" w:ascii="宋体" w:hAnsi="宋体" w:cs="宋体"/>
                <w:color w:val="auto"/>
                <w:spacing w:val="-16"/>
                <w:szCs w:val="21"/>
                <w:highlight w:val="none"/>
              </w:rPr>
              <w:t>大型机械设备进出场及安拆</w:t>
            </w:r>
          </w:p>
        </w:tc>
        <w:tc>
          <w:tcPr>
            <w:tcW w:w="1390" w:type="dxa"/>
            <w:tcBorders>
              <w:tr2bl w:val="single" w:color="auto" w:sz="4" w:space="0"/>
            </w:tcBorders>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17"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17"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05"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987"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16"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22" w:type="dxa"/>
            <w:gridSpan w:val="2"/>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023"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923"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31" w:type="dxa"/>
            <w:vAlign w:val="center"/>
          </w:tcPr>
          <w:p>
            <w:pPr>
              <w:tabs>
                <w:tab w:val="center" w:pos="4755"/>
                <w:tab w:val="right" w:pos="9070"/>
              </w:tabs>
              <w:jc w:val="center"/>
              <w:rPr>
                <w:rFonts w:ascii="宋体" w:hAnsi="宋体" w:cs="宋体"/>
                <w:color w:val="auto"/>
                <w:szCs w:val="21"/>
                <w:highlight w:val="none"/>
              </w:rPr>
            </w:pPr>
          </w:p>
        </w:tc>
        <w:tc>
          <w:tcPr>
            <w:tcW w:w="1390" w:type="dxa"/>
            <w:vAlign w:val="center"/>
          </w:tcPr>
          <w:p>
            <w:pPr>
              <w:tabs>
                <w:tab w:val="center" w:pos="4755"/>
                <w:tab w:val="right" w:pos="9070"/>
              </w:tabs>
              <w:rPr>
                <w:rFonts w:ascii="宋体" w:hAnsi="宋体" w:cs="宋体"/>
                <w:color w:val="auto"/>
                <w:spacing w:val="-16"/>
                <w:szCs w:val="21"/>
                <w:highlight w:val="none"/>
              </w:rPr>
            </w:pPr>
            <w:r>
              <w:rPr>
                <w:rFonts w:hint="eastAsia" w:ascii="宋体" w:hAnsi="宋体" w:cs="宋体"/>
                <w:color w:val="auto"/>
                <w:spacing w:val="-16"/>
                <w:szCs w:val="21"/>
                <w:highlight w:val="none"/>
              </w:rPr>
              <w:t>施工降水</w:t>
            </w:r>
          </w:p>
        </w:tc>
        <w:tc>
          <w:tcPr>
            <w:tcW w:w="1390" w:type="dxa"/>
            <w:tcBorders>
              <w:tr2bl w:val="single" w:color="auto" w:sz="4" w:space="0"/>
            </w:tcBorders>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05"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98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6"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22" w:type="dxa"/>
            <w:gridSpan w:val="2"/>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023"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923"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31" w:type="dxa"/>
            <w:vAlign w:val="center"/>
          </w:tcPr>
          <w:p>
            <w:pPr>
              <w:keepNext/>
              <w:keepLines/>
              <w:tabs>
                <w:tab w:val="center" w:pos="4755"/>
                <w:tab w:val="right" w:pos="9070"/>
              </w:tabs>
              <w:spacing w:before="340" w:after="330"/>
              <w:jc w:val="center"/>
              <w:outlineLvl w:val="0"/>
              <w:rPr>
                <w:rFonts w:ascii="宋体" w:hAnsi="宋体" w:cs="宋体"/>
                <w:b/>
                <w:color w:val="auto"/>
                <w:szCs w:val="21"/>
                <w:highlight w:val="none"/>
              </w:rPr>
            </w:pPr>
          </w:p>
        </w:tc>
        <w:tc>
          <w:tcPr>
            <w:tcW w:w="1390" w:type="dxa"/>
            <w:vAlign w:val="center"/>
          </w:tcPr>
          <w:p>
            <w:pPr>
              <w:tabs>
                <w:tab w:val="center" w:pos="4755"/>
                <w:tab w:val="right" w:pos="9070"/>
              </w:tabs>
              <w:rPr>
                <w:rFonts w:ascii="宋体" w:hAnsi="宋体" w:cs="宋体"/>
                <w:color w:val="auto"/>
                <w:spacing w:val="-16"/>
                <w:szCs w:val="21"/>
                <w:highlight w:val="none"/>
              </w:rPr>
            </w:pPr>
            <w:r>
              <w:rPr>
                <w:rFonts w:hint="eastAsia" w:ascii="宋体" w:hAnsi="宋体" w:cs="宋体"/>
                <w:color w:val="auto"/>
                <w:spacing w:val="-16"/>
                <w:szCs w:val="21"/>
                <w:highlight w:val="none"/>
              </w:rPr>
              <w:t>施工排水</w:t>
            </w:r>
          </w:p>
        </w:tc>
        <w:tc>
          <w:tcPr>
            <w:tcW w:w="1390" w:type="dxa"/>
            <w:tcBorders>
              <w:tr2bl w:val="single" w:color="auto" w:sz="4" w:space="0"/>
            </w:tcBorders>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05"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98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6"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22" w:type="dxa"/>
            <w:gridSpan w:val="2"/>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023"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923"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31" w:type="dxa"/>
            <w:vAlign w:val="center"/>
          </w:tcPr>
          <w:p>
            <w:pPr>
              <w:keepNext/>
              <w:keepLines/>
              <w:tabs>
                <w:tab w:val="center" w:pos="4755"/>
                <w:tab w:val="right" w:pos="9070"/>
              </w:tabs>
              <w:spacing w:before="340" w:after="330"/>
              <w:outlineLvl w:val="0"/>
              <w:rPr>
                <w:rFonts w:ascii="宋体" w:hAnsi="宋体" w:cs="宋体"/>
                <w:b/>
                <w:color w:val="auto"/>
                <w:szCs w:val="21"/>
                <w:highlight w:val="none"/>
              </w:rPr>
            </w:pPr>
          </w:p>
        </w:tc>
        <w:tc>
          <w:tcPr>
            <w:tcW w:w="1390" w:type="dxa"/>
            <w:vAlign w:val="center"/>
          </w:tcPr>
          <w:p>
            <w:pPr>
              <w:tabs>
                <w:tab w:val="center" w:pos="4755"/>
                <w:tab w:val="right" w:pos="9070"/>
              </w:tabs>
              <w:rPr>
                <w:rFonts w:ascii="宋体" w:hAnsi="宋体" w:cs="宋体"/>
                <w:color w:val="auto"/>
                <w:spacing w:val="-16"/>
                <w:szCs w:val="21"/>
                <w:highlight w:val="none"/>
              </w:rPr>
            </w:pPr>
            <w:r>
              <w:rPr>
                <w:rFonts w:hint="eastAsia" w:ascii="宋体" w:hAnsi="宋体" w:cs="宋体"/>
                <w:color w:val="auto"/>
                <w:spacing w:val="-16"/>
                <w:szCs w:val="21"/>
                <w:highlight w:val="none"/>
              </w:rPr>
              <w:t>地下、地下设施或建筑物的临时保护措施</w:t>
            </w:r>
          </w:p>
        </w:tc>
        <w:tc>
          <w:tcPr>
            <w:tcW w:w="1390" w:type="dxa"/>
            <w:tcBorders>
              <w:tr2bl w:val="single" w:color="auto" w:sz="4" w:space="0"/>
            </w:tcBorders>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17"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17"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05"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987"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16"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22" w:type="dxa"/>
            <w:gridSpan w:val="2"/>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023"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923"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231"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39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b/>
                <w:color w:val="auto"/>
                <w:szCs w:val="21"/>
                <w:highlight w:val="none"/>
              </w:rPr>
              <w:t>……</w:t>
            </w:r>
          </w:p>
        </w:tc>
        <w:tc>
          <w:tcPr>
            <w:tcW w:w="1390"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05"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98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6"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22" w:type="dxa"/>
            <w:gridSpan w:val="2"/>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023"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923"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31"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39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模板</w:t>
            </w:r>
          </w:p>
        </w:tc>
        <w:tc>
          <w:tcPr>
            <w:tcW w:w="1390"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05"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987"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16"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222" w:type="dxa"/>
            <w:gridSpan w:val="2"/>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1023"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c>
          <w:tcPr>
            <w:tcW w:w="923" w:type="dxa"/>
          </w:tcPr>
          <w:p>
            <w:pPr>
              <w:keepNext/>
              <w:keepLines/>
              <w:tabs>
                <w:tab w:val="center" w:pos="4755"/>
                <w:tab w:val="right" w:pos="9070"/>
              </w:tabs>
              <w:spacing w:before="100" w:beforeAutospacing="1" w:after="100" w:afterAutospacing="1"/>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合    计</w:t>
            </w:r>
          </w:p>
        </w:tc>
        <w:tc>
          <w:tcPr>
            <w:tcW w:w="987" w:type="dxa"/>
          </w:tcPr>
          <w:p>
            <w:pPr>
              <w:keepNext/>
              <w:keepLines/>
              <w:tabs>
                <w:tab w:val="center" w:pos="4755"/>
                <w:tab w:val="right" w:pos="9070"/>
              </w:tabs>
              <w:spacing w:before="100" w:beforeAutospacing="1" w:after="100" w:afterAutospacing="1"/>
              <w:outlineLvl w:val="0"/>
              <w:rPr>
                <w:rFonts w:ascii="宋体" w:hAnsi="宋体" w:cs="宋体"/>
                <w:color w:val="auto"/>
                <w:szCs w:val="21"/>
                <w:highlight w:val="none"/>
              </w:rPr>
            </w:pPr>
          </w:p>
        </w:tc>
        <w:tc>
          <w:tcPr>
            <w:tcW w:w="1216" w:type="dxa"/>
          </w:tcPr>
          <w:p>
            <w:pPr>
              <w:keepNext/>
              <w:keepLines/>
              <w:tabs>
                <w:tab w:val="center" w:pos="4755"/>
                <w:tab w:val="right" w:pos="9070"/>
              </w:tabs>
              <w:spacing w:before="100" w:beforeAutospacing="1" w:after="100" w:afterAutospacing="1"/>
              <w:outlineLvl w:val="0"/>
              <w:rPr>
                <w:rFonts w:ascii="宋体" w:hAnsi="宋体" w:cs="宋体"/>
                <w:color w:val="auto"/>
                <w:szCs w:val="21"/>
                <w:highlight w:val="none"/>
              </w:rPr>
            </w:pPr>
          </w:p>
        </w:tc>
        <w:tc>
          <w:tcPr>
            <w:tcW w:w="1216" w:type="dxa"/>
          </w:tcPr>
          <w:p>
            <w:pPr>
              <w:keepNext/>
              <w:keepLines/>
              <w:tabs>
                <w:tab w:val="center" w:pos="4755"/>
                <w:tab w:val="right" w:pos="9070"/>
              </w:tabs>
              <w:spacing w:before="100" w:beforeAutospacing="1" w:after="100" w:afterAutospacing="1"/>
              <w:outlineLvl w:val="0"/>
              <w:rPr>
                <w:rFonts w:ascii="宋体" w:hAnsi="宋体" w:cs="宋体"/>
                <w:color w:val="auto"/>
                <w:szCs w:val="21"/>
                <w:highlight w:val="none"/>
              </w:rPr>
            </w:pPr>
          </w:p>
        </w:tc>
        <w:tc>
          <w:tcPr>
            <w:tcW w:w="1029" w:type="dxa"/>
            <w:gridSpan w:val="2"/>
          </w:tcPr>
          <w:p>
            <w:pPr>
              <w:keepNext/>
              <w:keepLines/>
              <w:tabs>
                <w:tab w:val="center" w:pos="4755"/>
                <w:tab w:val="right" w:pos="9070"/>
              </w:tabs>
              <w:spacing w:before="100" w:beforeAutospacing="1" w:after="100" w:afterAutospacing="1"/>
              <w:outlineLvl w:val="0"/>
              <w:rPr>
                <w:rFonts w:ascii="宋体" w:hAnsi="宋体" w:cs="宋体"/>
                <w:color w:val="auto"/>
                <w:szCs w:val="21"/>
                <w:highlight w:val="none"/>
              </w:rPr>
            </w:pPr>
          </w:p>
        </w:tc>
        <w:tc>
          <w:tcPr>
            <w:tcW w:w="923" w:type="dxa"/>
          </w:tcPr>
          <w:p>
            <w:pPr>
              <w:keepNext/>
              <w:keepLines/>
              <w:tabs>
                <w:tab w:val="center" w:pos="4755"/>
                <w:tab w:val="right" w:pos="9070"/>
              </w:tabs>
              <w:spacing w:before="100" w:beforeAutospacing="1" w:after="100" w:afterAutospacing="1"/>
              <w:outlineLvl w:val="0"/>
              <w:rPr>
                <w:rFonts w:ascii="宋体" w:hAnsi="宋体" w:cs="宋体"/>
                <w:color w:val="auto"/>
                <w:szCs w:val="21"/>
                <w:highlight w:val="none"/>
              </w:rPr>
            </w:pPr>
          </w:p>
        </w:tc>
      </w:tr>
    </w:tbl>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注：1. 本表适用于以“项”为单位计价和以“分部分项工程量清单项目综合单价”方式计价的技术措施项目。</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2．措施项目应分整体措施项目和专业工程措施项目。如应用于整体措施项目，表头中只须填报工程名称；如应用于专业工程措施项目，表头中应分别填写工程名称、单位工程及专业工程名称。</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4．第（6）栏由采购人按需出要求，如采购人需要供应商提供清单项目综合单价的计算分析和工料机分析，请在备注中明确。</w:t>
      </w:r>
    </w:p>
    <w:p>
      <w:pPr>
        <w:tabs>
          <w:tab w:val="center" w:pos="4755"/>
          <w:tab w:val="right" w:pos="9070"/>
        </w:tabs>
        <w:ind w:firstLine="210" w:firstLineChars="100"/>
        <w:rPr>
          <w:rFonts w:ascii="宋体" w:hAnsi="宋体" w:cs="宋体"/>
          <w:color w:val="auto"/>
          <w:szCs w:val="21"/>
          <w:highlight w:val="none"/>
        </w:rPr>
        <w:sectPr>
          <w:pgSz w:w="15840" w:h="12240" w:orient="landscape"/>
          <w:pgMar w:top="1531" w:right="1304" w:bottom="964" w:left="964" w:header="720" w:footer="720" w:gutter="0"/>
          <w:cols w:space="720" w:num="1"/>
          <w:docGrid w:linePitch="312" w:charSpace="0"/>
        </w:sectPr>
      </w:pPr>
    </w:p>
    <w:p>
      <w:pPr>
        <w:jc w:val="center"/>
        <w:rPr>
          <w:rFonts w:ascii="宋体" w:hAnsi="宋体" w:cs="宋体"/>
          <w:b/>
          <w:bCs/>
          <w:color w:val="auto"/>
          <w:szCs w:val="21"/>
          <w:highlight w:val="none"/>
        </w:rPr>
      </w:pPr>
      <w:r>
        <w:rPr>
          <w:rFonts w:hint="eastAsia" w:ascii="宋体" w:hAnsi="宋体" w:cs="宋体"/>
          <w:b/>
          <w:bCs/>
          <w:color w:val="auto"/>
          <w:szCs w:val="21"/>
          <w:highlight w:val="none"/>
        </w:rPr>
        <w:t>表1-3-A-1  安全文明施工措施项目清单及计价表</w:t>
      </w:r>
    </w:p>
    <w:p>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工程名称:                                        第  页共  页</w:t>
      </w:r>
    </w:p>
    <w:tbl>
      <w:tblPr>
        <w:tblStyle w:val="21"/>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平面面积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垂直立面</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按栏杆长度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按防护面积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含人货两用升降机、货用</w:t>
            </w:r>
          </w:p>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升降机</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爆破工程</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按洞口水平面积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含安全爬梯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含救生衣、救生圈等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通航要求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b/>
                <w:bCs/>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塔吊、升降机等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含扬尘污染防治措施</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含洗车槽、自动冲洗或</w:t>
            </w:r>
          </w:p>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其他冲洗设备等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特殊工程要求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休息场所、文化娱乐设施等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附近外电线路</w:t>
            </w:r>
          </w:p>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防护设施等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r>
              <w:rPr>
                <w:rFonts w:hint="eastAsia" w:ascii="宋体" w:hAnsi="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r>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spacing w:line="300" w:lineRule="exact"/>
              <w:ind w:left="-53" w:leftChars="-25" w:right="-53" w:rightChars="-25"/>
              <w:jc w:val="center"/>
              <w:rPr>
                <w:rFonts w:ascii="宋体" w:hAnsi="宋体" w:cs="宋体"/>
                <w:color w:val="auto"/>
                <w:szCs w:val="21"/>
                <w:highlight w:val="none"/>
              </w:rPr>
            </w:pPr>
          </w:p>
        </w:tc>
      </w:tr>
    </w:tbl>
    <w:p>
      <w:pPr>
        <w:rPr>
          <w:rFonts w:ascii="宋体" w:hAnsi="宋体" w:cs="宋体"/>
          <w:color w:val="auto"/>
          <w:szCs w:val="21"/>
          <w:highlight w:val="none"/>
        </w:rPr>
      </w:pPr>
    </w:p>
    <w:p>
      <w:pPr>
        <w:ind w:firstLine="422" w:firstLineChars="200"/>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表中（1）～（3）栏由采购人根据具体工程特点提供，供应商可补充。安全文明施工措施项目及费用应按采购项目整体报价。</w:t>
      </w:r>
    </w:p>
    <w:p>
      <w:pPr>
        <w:snapToGrid w:val="0"/>
        <w:spacing w:line="360" w:lineRule="auto"/>
        <w:rPr>
          <w:rFonts w:ascii="宋体" w:hAnsi="宋体" w:cs="宋体"/>
          <w:color w:val="auto"/>
          <w:szCs w:val="21"/>
          <w:highlight w:val="none"/>
        </w:rPr>
      </w:pPr>
    </w:p>
    <w:p>
      <w:pPr>
        <w:spacing w:beforeLines="50"/>
        <w:rPr>
          <w:rFonts w:ascii="宋体" w:hAnsi="宋体" w:cs="宋体"/>
          <w:color w:val="auto"/>
          <w:szCs w:val="21"/>
          <w:highlight w:val="none"/>
        </w:rPr>
      </w:pPr>
    </w:p>
    <w:p>
      <w:pPr>
        <w:rPr>
          <w:rFonts w:ascii="宋体" w:hAnsi="宋体" w:cs="宋体"/>
          <w:b/>
          <w:bCs/>
          <w:color w:val="auto"/>
          <w:szCs w:val="21"/>
          <w:highlight w:val="none"/>
        </w:rPr>
      </w:pPr>
    </w:p>
    <w:p>
      <w:pPr>
        <w:tabs>
          <w:tab w:val="center" w:pos="4755"/>
          <w:tab w:val="right" w:pos="9070"/>
        </w:tabs>
        <w:spacing w:before="100" w:beforeAutospacing="1" w:after="100" w:afterAutospacing="1"/>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1-4  其他项目清单及计价表</w:t>
      </w:r>
    </w:p>
    <w:p>
      <w:pPr>
        <w:tabs>
          <w:tab w:val="center" w:pos="4755"/>
          <w:tab w:val="right" w:pos="9070"/>
        </w:tabs>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工程名称： </w:t>
      </w:r>
    </w:p>
    <w:p>
      <w:pPr>
        <w:tabs>
          <w:tab w:val="center" w:pos="4755"/>
          <w:tab w:val="right" w:pos="9070"/>
        </w:tabs>
        <w:ind w:left="420" w:leftChars="100" w:hanging="210" w:hangingChars="100"/>
        <w:rPr>
          <w:rFonts w:ascii="宋体" w:hAnsi="宋体" w:cs="宋体"/>
          <w:color w:val="auto"/>
          <w:szCs w:val="21"/>
          <w:highlight w:val="none"/>
        </w:rPr>
      </w:pPr>
      <w:r>
        <w:rPr>
          <w:rFonts w:hint="eastAsia" w:ascii="宋体" w:hAnsi="宋体" w:cs="宋体"/>
          <w:color w:val="auto"/>
          <w:szCs w:val="21"/>
          <w:highlight w:val="none"/>
        </w:rPr>
        <w:t>单位工程名称：                                                    第  页共 页</w:t>
      </w:r>
    </w:p>
    <w:tbl>
      <w:tblPr>
        <w:tblStyle w:val="21"/>
        <w:tblW w:w="946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68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3178"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金额(元)</w:t>
            </w:r>
          </w:p>
        </w:tc>
        <w:tc>
          <w:tcPr>
            <w:tcW w:w="2546"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w:t>
            </w:r>
          </w:p>
        </w:tc>
        <w:tc>
          <w:tcPr>
            <w:tcW w:w="268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暂列金额</w:t>
            </w:r>
          </w:p>
        </w:tc>
        <w:tc>
          <w:tcPr>
            <w:tcW w:w="3178" w:type="dxa"/>
            <w:vAlign w:val="center"/>
          </w:tcPr>
          <w:p>
            <w:pPr>
              <w:keepNext/>
              <w:keepLines/>
              <w:tabs>
                <w:tab w:val="left" w:pos="1000"/>
              </w:tabs>
              <w:spacing w:before="100" w:beforeAutospacing="1" w:after="100" w:afterAutospacing="1" w:line="576" w:lineRule="auto"/>
              <w:jc w:val="center"/>
              <w:outlineLvl w:val="0"/>
              <w:rPr>
                <w:rFonts w:ascii="宋体" w:hAnsi="宋体" w:cs="宋体"/>
                <w:color w:val="auto"/>
                <w:szCs w:val="21"/>
                <w:highlight w:val="none"/>
              </w:rPr>
            </w:pPr>
          </w:p>
        </w:tc>
        <w:tc>
          <w:tcPr>
            <w:tcW w:w="2546" w:type="dxa"/>
            <w:vAlign w:val="center"/>
          </w:tcPr>
          <w:p>
            <w:pPr>
              <w:keepNext/>
              <w:keepLines/>
              <w:tabs>
                <w:tab w:val="left" w:pos="100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2</w:t>
            </w:r>
          </w:p>
        </w:tc>
        <w:tc>
          <w:tcPr>
            <w:tcW w:w="268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计日工</w:t>
            </w:r>
          </w:p>
        </w:tc>
        <w:tc>
          <w:tcPr>
            <w:tcW w:w="3178"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2546"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3</w:t>
            </w:r>
          </w:p>
        </w:tc>
        <w:tc>
          <w:tcPr>
            <w:tcW w:w="268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总承包服务费</w:t>
            </w:r>
          </w:p>
        </w:tc>
        <w:tc>
          <w:tcPr>
            <w:tcW w:w="3178"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2546"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4</w:t>
            </w:r>
          </w:p>
        </w:tc>
        <w:tc>
          <w:tcPr>
            <w:tcW w:w="268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标化工地增加费</w:t>
            </w:r>
          </w:p>
        </w:tc>
        <w:tc>
          <w:tcPr>
            <w:tcW w:w="3178"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2546"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5</w:t>
            </w:r>
          </w:p>
        </w:tc>
        <w:tc>
          <w:tcPr>
            <w:tcW w:w="268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优质工程增加费</w:t>
            </w:r>
          </w:p>
        </w:tc>
        <w:tc>
          <w:tcPr>
            <w:tcW w:w="3178"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2546"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2687"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3178"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2546"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2687"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3178"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2546"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bl>
    <w:p>
      <w:pPr>
        <w:tabs>
          <w:tab w:val="center" w:pos="4755"/>
          <w:tab w:val="right" w:pos="9070"/>
        </w:tabs>
        <w:spacing w:before="100" w:beforeAutospacing="1" w:after="100" w:afterAutospacing="1"/>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表1-4-1  计日工表</w:t>
      </w:r>
    </w:p>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 xml:space="preserve">工程名称：                                   </w:t>
      </w:r>
    </w:p>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单位工程名称：                                     第  页共  页</w:t>
      </w:r>
    </w:p>
    <w:tbl>
      <w:tblPr>
        <w:tblStyle w:val="21"/>
        <w:tblW w:w="9189" w:type="dxa"/>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编号</w:t>
            </w:r>
          </w:p>
        </w:tc>
        <w:tc>
          <w:tcPr>
            <w:tcW w:w="2880"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项 目 名 称</w:t>
            </w:r>
          </w:p>
        </w:tc>
        <w:tc>
          <w:tcPr>
            <w:tcW w:w="960"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506"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509"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综合单价（元）</w:t>
            </w:r>
          </w:p>
        </w:tc>
        <w:tc>
          <w:tcPr>
            <w:tcW w:w="1506"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2880"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（2）</w:t>
            </w:r>
          </w:p>
        </w:tc>
        <w:tc>
          <w:tcPr>
            <w:tcW w:w="960"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6"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一</w:t>
            </w:r>
          </w:p>
        </w:tc>
        <w:tc>
          <w:tcPr>
            <w:tcW w:w="2880"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人    工</w:t>
            </w: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2</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3</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4</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人 工 小 计</w:t>
            </w: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二</w:t>
            </w:r>
          </w:p>
        </w:tc>
        <w:tc>
          <w:tcPr>
            <w:tcW w:w="2880"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材    料</w:t>
            </w: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2</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3</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4</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材 料 小 计</w:t>
            </w: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三</w:t>
            </w:r>
          </w:p>
        </w:tc>
        <w:tc>
          <w:tcPr>
            <w:tcW w:w="2880"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施工机械</w:t>
            </w: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2</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3</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4</w:t>
            </w:r>
          </w:p>
        </w:tc>
        <w:tc>
          <w:tcPr>
            <w:tcW w:w="2880" w:type="dxa"/>
            <w:vAlign w:val="center"/>
          </w:tcPr>
          <w:p>
            <w:pPr>
              <w:tabs>
                <w:tab w:val="left" w:pos="3780"/>
              </w:tabs>
              <w:jc w:val="center"/>
              <w:rPr>
                <w:rFonts w:ascii="宋体" w:hAnsi="宋体" w:cs="宋体"/>
                <w:color w:val="auto"/>
                <w:szCs w:val="21"/>
                <w:highlight w:val="none"/>
              </w:rPr>
            </w:pPr>
          </w:p>
        </w:tc>
        <w:tc>
          <w:tcPr>
            <w:tcW w:w="960"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c>
          <w:tcPr>
            <w:tcW w:w="1509" w:type="dxa"/>
            <w:vAlign w:val="center"/>
          </w:tcPr>
          <w:p>
            <w:pPr>
              <w:tabs>
                <w:tab w:val="left" w:pos="3780"/>
              </w:tabs>
              <w:jc w:val="center"/>
              <w:rPr>
                <w:rFonts w:ascii="宋体" w:hAnsi="宋体" w:cs="宋体"/>
                <w:color w:val="auto"/>
                <w:szCs w:val="21"/>
                <w:highlight w:val="none"/>
              </w:rPr>
            </w:pP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施工机械小计</w:t>
            </w:r>
          </w:p>
        </w:tc>
        <w:tc>
          <w:tcPr>
            <w:tcW w:w="1506"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合    计</w:t>
            </w:r>
          </w:p>
        </w:tc>
        <w:tc>
          <w:tcPr>
            <w:tcW w:w="1506" w:type="dxa"/>
            <w:vAlign w:val="center"/>
          </w:tcPr>
          <w:p>
            <w:pPr>
              <w:tabs>
                <w:tab w:val="left" w:pos="3780"/>
              </w:tabs>
              <w:jc w:val="center"/>
              <w:rPr>
                <w:rFonts w:ascii="宋体" w:hAnsi="宋体" w:cs="宋体"/>
                <w:color w:val="auto"/>
                <w:szCs w:val="21"/>
                <w:highlight w:val="none"/>
              </w:rPr>
            </w:pPr>
          </w:p>
        </w:tc>
      </w:tr>
    </w:tbl>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注：表中（1）～（4）由采购人按需要提出，其中第（4）栏数量为暂定。</w:t>
      </w:r>
    </w:p>
    <w:p>
      <w:pPr>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1-4-2   总承包服务费项目及计价表</w:t>
      </w:r>
    </w:p>
    <w:p>
      <w:pPr>
        <w:tabs>
          <w:tab w:val="left" w:pos="3780"/>
        </w:tabs>
        <w:rPr>
          <w:rFonts w:ascii="宋体" w:hAnsi="宋体" w:cs="宋体"/>
          <w:color w:val="auto"/>
          <w:szCs w:val="21"/>
          <w:highlight w:val="none"/>
        </w:rPr>
      </w:pPr>
    </w:p>
    <w:p>
      <w:pPr>
        <w:tabs>
          <w:tab w:val="left" w:pos="3780"/>
        </w:tabs>
        <w:spacing w:afterLines="25"/>
        <w:rPr>
          <w:rFonts w:ascii="宋体" w:hAnsi="宋体" w:cs="宋体"/>
          <w:color w:val="auto"/>
          <w:szCs w:val="21"/>
          <w:highlight w:val="none"/>
        </w:rPr>
      </w:pPr>
      <w:r>
        <w:rPr>
          <w:rFonts w:hint="eastAsia" w:ascii="宋体" w:hAnsi="宋体" w:cs="宋体"/>
          <w:color w:val="auto"/>
          <w:szCs w:val="21"/>
          <w:highlight w:val="none"/>
        </w:rPr>
        <w:t>工程名称：                                                    第   页 共   页</w:t>
      </w:r>
    </w:p>
    <w:tbl>
      <w:tblPr>
        <w:tblStyle w:val="21"/>
        <w:tblW w:w="9468" w:type="dxa"/>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09" w:type="dxa"/>
            <w:tcBorders>
              <w:top w:val="single" w:color="auto" w:sz="8" w:space="0"/>
            </w:tcBorders>
            <w:vAlign w:val="center"/>
          </w:tcPr>
          <w:p>
            <w:pPr>
              <w:tabs>
                <w:tab w:val="left" w:pos="3780"/>
              </w:tabs>
              <w:ind w:firstLine="420"/>
              <w:jc w:val="center"/>
              <w:rPr>
                <w:rFonts w:ascii="宋体" w:hAnsi="宋体" w:cs="宋体"/>
                <w:color w:val="auto"/>
                <w:szCs w:val="21"/>
                <w:highlight w:val="none"/>
              </w:rPr>
            </w:pPr>
            <w:r>
              <w:rPr>
                <w:rFonts w:hint="eastAsia" w:ascii="宋体" w:hAnsi="宋体" w:cs="宋体"/>
                <w:color w:val="auto"/>
                <w:szCs w:val="21"/>
                <w:highlight w:val="none"/>
              </w:rPr>
              <w:t>项 目 名 称</w:t>
            </w:r>
          </w:p>
        </w:tc>
        <w:tc>
          <w:tcPr>
            <w:tcW w:w="1620" w:type="dxa"/>
            <w:tcBorders>
              <w:top w:val="single" w:color="auto" w:sz="8" w:space="0"/>
            </w:tcBorders>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项目价值（元）</w:t>
            </w:r>
          </w:p>
        </w:tc>
        <w:tc>
          <w:tcPr>
            <w:tcW w:w="1440" w:type="dxa"/>
            <w:tcBorders>
              <w:top w:val="single" w:color="auto" w:sz="8" w:space="0"/>
              <w:bottom w:val="single" w:color="auto" w:sz="6" w:space="0"/>
            </w:tcBorders>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440" w:type="dxa"/>
            <w:tcBorders>
              <w:top w:val="single" w:color="auto" w:sz="8" w:space="0"/>
              <w:bottom w:val="single" w:color="auto" w:sz="6" w:space="0"/>
            </w:tcBorders>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费率（%）</w:t>
            </w:r>
          </w:p>
        </w:tc>
        <w:tc>
          <w:tcPr>
            <w:tcW w:w="1440" w:type="dxa"/>
            <w:tcBorders>
              <w:top w:val="single" w:color="auto" w:sz="8" w:space="0"/>
              <w:bottom w:val="single" w:color="auto" w:sz="6" w:space="0"/>
            </w:tcBorders>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rPr>
                <w:rFonts w:ascii="宋体" w:hAnsi="宋体" w:cs="宋体"/>
                <w:color w:val="auto"/>
                <w:szCs w:val="21"/>
                <w:highlight w:val="none"/>
              </w:rPr>
            </w:pPr>
            <w:r>
              <w:rPr>
                <w:rFonts w:hint="eastAsia" w:ascii="宋体" w:hAnsi="宋体" w:cs="宋体"/>
                <w:color w:val="auto"/>
                <w:szCs w:val="21"/>
                <w:highlight w:val="none"/>
              </w:rPr>
              <w:t>（1）</w:t>
            </w:r>
          </w:p>
        </w:tc>
        <w:tc>
          <w:tcPr>
            <w:tcW w:w="2709"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（2）</w:t>
            </w:r>
          </w:p>
        </w:tc>
        <w:tc>
          <w:tcPr>
            <w:tcW w:w="1620" w:type="dxa"/>
            <w:vAlign w:val="center"/>
          </w:tcPr>
          <w:p>
            <w:pPr>
              <w:tabs>
                <w:tab w:val="left" w:pos="3780"/>
              </w:tabs>
              <w:ind w:firstLine="420"/>
              <w:rPr>
                <w:rFonts w:ascii="宋体" w:hAnsi="宋体" w:cs="宋体"/>
                <w:color w:val="auto"/>
                <w:szCs w:val="21"/>
                <w:highlight w:val="none"/>
              </w:rPr>
            </w:pPr>
            <w:r>
              <w:rPr>
                <w:rFonts w:hint="eastAsia" w:ascii="宋体" w:hAnsi="宋体" w:cs="宋体"/>
                <w:color w:val="auto"/>
                <w:szCs w:val="21"/>
                <w:highlight w:val="none"/>
              </w:rPr>
              <w:t>（3）</w:t>
            </w:r>
          </w:p>
        </w:tc>
        <w:tc>
          <w:tcPr>
            <w:tcW w:w="1440" w:type="dxa"/>
            <w:tcBorders>
              <w:top w:val="single" w:color="auto" w:sz="6" w:space="0"/>
              <w:bottom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2709" w:type="dxa"/>
            <w:vAlign w:val="center"/>
          </w:tcPr>
          <w:p>
            <w:pPr>
              <w:tabs>
                <w:tab w:val="left" w:pos="3780"/>
              </w:tabs>
              <w:ind w:firstLine="210" w:firstLineChars="100"/>
              <w:rPr>
                <w:rFonts w:ascii="宋体" w:hAnsi="宋体" w:cs="宋体"/>
                <w:color w:val="auto"/>
                <w:szCs w:val="21"/>
                <w:highlight w:val="none"/>
              </w:rPr>
            </w:pPr>
            <w:r>
              <w:rPr>
                <w:rFonts w:hint="eastAsia" w:ascii="宋体" w:hAnsi="宋体" w:cs="宋体"/>
                <w:color w:val="auto"/>
                <w:szCs w:val="21"/>
                <w:highlight w:val="none"/>
              </w:rPr>
              <w:t>发包人分包专业工程</w:t>
            </w:r>
          </w:p>
        </w:tc>
        <w:tc>
          <w:tcPr>
            <w:tcW w:w="1620" w:type="dxa"/>
            <w:vAlign w:val="center"/>
          </w:tcPr>
          <w:p>
            <w:pPr>
              <w:tabs>
                <w:tab w:val="left" w:pos="3780"/>
              </w:tabs>
              <w:ind w:firstLine="420"/>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2709" w:type="dxa"/>
            <w:vAlign w:val="center"/>
          </w:tcPr>
          <w:p>
            <w:pPr>
              <w:tabs>
                <w:tab w:val="left" w:pos="3780"/>
              </w:tabs>
              <w:ind w:firstLine="420"/>
              <w:rPr>
                <w:rFonts w:ascii="宋体" w:hAnsi="宋体" w:cs="宋体"/>
                <w:color w:val="auto"/>
                <w:szCs w:val="21"/>
                <w:highlight w:val="none"/>
              </w:rPr>
            </w:pPr>
            <w:r>
              <w:rPr>
                <w:rFonts w:hint="eastAsia" w:ascii="宋体" w:hAnsi="宋体" w:cs="宋体"/>
                <w:color w:val="auto"/>
                <w:szCs w:val="21"/>
                <w:highlight w:val="none"/>
              </w:rPr>
              <w:t>发包人供应材料</w:t>
            </w:r>
          </w:p>
        </w:tc>
        <w:tc>
          <w:tcPr>
            <w:tcW w:w="1620" w:type="dxa"/>
            <w:vAlign w:val="center"/>
          </w:tcPr>
          <w:p>
            <w:pP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color w:val="auto"/>
                <w:szCs w:val="21"/>
                <w:highlight w:val="none"/>
              </w:rPr>
            </w:pPr>
          </w:p>
        </w:tc>
        <w:tc>
          <w:tcPr>
            <w:tcW w:w="2709" w:type="dxa"/>
            <w:vAlign w:val="center"/>
          </w:tcPr>
          <w:p>
            <w:pPr>
              <w:rPr>
                <w:rFonts w:ascii="宋体" w:hAnsi="宋体" w:cs="宋体"/>
                <w:color w:val="auto"/>
                <w:szCs w:val="21"/>
                <w:highlight w:val="none"/>
              </w:rPr>
            </w:pPr>
          </w:p>
        </w:tc>
        <w:tc>
          <w:tcPr>
            <w:tcW w:w="1620" w:type="dxa"/>
            <w:vAlign w:val="center"/>
          </w:tcPr>
          <w:p>
            <w:pP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color w:val="auto"/>
                <w:szCs w:val="21"/>
                <w:highlight w:val="none"/>
              </w:rPr>
            </w:pPr>
          </w:p>
        </w:tc>
        <w:tc>
          <w:tcPr>
            <w:tcW w:w="2709" w:type="dxa"/>
            <w:vAlign w:val="center"/>
          </w:tcPr>
          <w:p>
            <w:pPr>
              <w:tabs>
                <w:tab w:val="left" w:pos="3780"/>
              </w:tabs>
              <w:ind w:firstLine="420"/>
              <w:rPr>
                <w:rFonts w:ascii="宋体" w:hAnsi="宋体" w:cs="宋体"/>
                <w:color w:val="auto"/>
                <w:szCs w:val="21"/>
                <w:highlight w:val="none"/>
              </w:rPr>
            </w:pPr>
          </w:p>
        </w:tc>
        <w:tc>
          <w:tcPr>
            <w:tcW w:w="1620" w:type="dxa"/>
            <w:vAlign w:val="center"/>
          </w:tcPr>
          <w:p>
            <w:pPr>
              <w:tabs>
                <w:tab w:val="left" w:pos="3780"/>
              </w:tabs>
              <w:ind w:firstLine="420"/>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color w:val="auto"/>
                <w:szCs w:val="21"/>
                <w:highlight w:val="none"/>
              </w:rPr>
            </w:pPr>
          </w:p>
        </w:tc>
        <w:tc>
          <w:tcPr>
            <w:tcW w:w="2709" w:type="dxa"/>
            <w:vAlign w:val="center"/>
          </w:tcPr>
          <w:p>
            <w:pPr>
              <w:tabs>
                <w:tab w:val="left" w:pos="3780"/>
              </w:tabs>
              <w:ind w:firstLine="420"/>
              <w:rPr>
                <w:rFonts w:ascii="宋体" w:hAnsi="宋体" w:cs="宋体"/>
                <w:color w:val="auto"/>
                <w:szCs w:val="21"/>
                <w:highlight w:val="none"/>
              </w:rPr>
            </w:pPr>
          </w:p>
        </w:tc>
        <w:tc>
          <w:tcPr>
            <w:tcW w:w="1620" w:type="dxa"/>
            <w:vAlign w:val="center"/>
          </w:tcPr>
          <w:p>
            <w:pPr>
              <w:tabs>
                <w:tab w:val="left" w:pos="3780"/>
              </w:tabs>
              <w:ind w:firstLine="420"/>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color w:val="auto"/>
                <w:szCs w:val="21"/>
                <w:highlight w:val="none"/>
              </w:rPr>
            </w:pPr>
          </w:p>
        </w:tc>
        <w:tc>
          <w:tcPr>
            <w:tcW w:w="2709" w:type="dxa"/>
            <w:vAlign w:val="center"/>
          </w:tcPr>
          <w:p>
            <w:pPr>
              <w:tabs>
                <w:tab w:val="left" w:pos="3780"/>
              </w:tabs>
              <w:ind w:firstLine="420"/>
              <w:rPr>
                <w:rFonts w:ascii="宋体" w:hAnsi="宋体" w:cs="宋体"/>
                <w:color w:val="auto"/>
                <w:szCs w:val="21"/>
                <w:highlight w:val="none"/>
              </w:rPr>
            </w:pPr>
          </w:p>
        </w:tc>
        <w:tc>
          <w:tcPr>
            <w:tcW w:w="1620" w:type="dxa"/>
            <w:vAlign w:val="center"/>
          </w:tcPr>
          <w:p>
            <w:pPr>
              <w:tabs>
                <w:tab w:val="left" w:pos="3780"/>
              </w:tabs>
              <w:ind w:firstLine="420"/>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color w:val="auto"/>
                <w:szCs w:val="21"/>
                <w:highlight w:val="none"/>
              </w:rPr>
            </w:pPr>
          </w:p>
        </w:tc>
        <w:tc>
          <w:tcPr>
            <w:tcW w:w="2709" w:type="dxa"/>
            <w:vAlign w:val="center"/>
          </w:tcPr>
          <w:p>
            <w:pPr>
              <w:tabs>
                <w:tab w:val="left" w:pos="3780"/>
              </w:tabs>
              <w:ind w:firstLine="420"/>
              <w:rPr>
                <w:rFonts w:ascii="宋体" w:hAnsi="宋体" w:cs="宋体"/>
                <w:color w:val="auto"/>
                <w:szCs w:val="21"/>
                <w:highlight w:val="none"/>
              </w:rPr>
            </w:pPr>
          </w:p>
        </w:tc>
        <w:tc>
          <w:tcPr>
            <w:tcW w:w="1620" w:type="dxa"/>
            <w:vAlign w:val="center"/>
          </w:tcPr>
          <w:p>
            <w:pPr>
              <w:tabs>
                <w:tab w:val="left" w:pos="3780"/>
              </w:tabs>
              <w:ind w:firstLine="420"/>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color w:val="auto"/>
                <w:szCs w:val="21"/>
                <w:highlight w:val="none"/>
              </w:rPr>
            </w:pPr>
          </w:p>
        </w:tc>
        <w:tc>
          <w:tcPr>
            <w:tcW w:w="2709" w:type="dxa"/>
            <w:vAlign w:val="center"/>
          </w:tcPr>
          <w:p>
            <w:pPr>
              <w:tabs>
                <w:tab w:val="left" w:pos="3780"/>
              </w:tabs>
              <w:ind w:firstLine="420"/>
              <w:rPr>
                <w:rFonts w:ascii="宋体" w:hAnsi="宋体" w:cs="宋体"/>
                <w:color w:val="auto"/>
                <w:szCs w:val="21"/>
                <w:highlight w:val="none"/>
              </w:rPr>
            </w:pPr>
          </w:p>
        </w:tc>
        <w:tc>
          <w:tcPr>
            <w:tcW w:w="1620" w:type="dxa"/>
            <w:vAlign w:val="center"/>
          </w:tcPr>
          <w:p>
            <w:pPr>
              <w:tabs>
                <w:tab w:val="left" w:pos="3780"/>
              </w:tabs>
              <w:ind w:firstLine="420"/>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color w:val="auto"/>
                <w:szCs w:val="21"/>
                <w:highlight w:val="none"/>
              </w:rPr>
            </w:pPr>
          </w:p>
        </w:tc>
        <w:tc>
          <w:tcPr>
            <w:tcW w:w="2709" w:type="dxa"/>
            <w:vAlign w:val="center"/>
          </w:tcPr>
          <w:p>
            <w:pPr>
              <w:tabs>
                <w:tab w:val="left" w:pos="3780"/>
              </w:tabs>
              <w:ind w:firstLine="420"/>
              <w:rPr>
                <w:rFonts w:ascii="宋体" w:hAnsi="宋体" w:cs="宋体"/>
                <w:color w:val="auto"/>
                <w:szCs w:val="21"/>
                <w:highlight w:val="none"/>
              </w:rPr>
            </w:pPr>
          </w:p>
        </w:tc>
        <w:tc>
          <w:tcPr>
            <w:tcW w:w="1620" w:type="dxa"/>
            <w:vAlign w:val="center"/>
          </w:tcPr>
          <w:p>
            <w:pPr>
              <w:tabs>
                <w:tab w:val="left" w:pos="3780"/>
              </w:tabs>
              <w:ind w:firstLine="420"/>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color w:val="auto"/>
                <w:szCs w:val="21"/>
                <w:highlight w:val="none"/>
              </w:rPr>
            </w:pPr>
          </w:p>
        </w:tc>
        <w:tc>
          <w:tcPr>
            <w:tcW w:w="2709" w:type="dxa"/>
            <w:vAlign w:val="center"/>
          </w:tcPr>
          <w:p>
            <w:pPr>
              <w:tabs>
                <w:tab w:val="left" w:pos="3780"/>
              </w:tabs>
              <w:ind w:firstLine="420"/>
              <w:rPr>
                <w:rFonts w:ascii="宋体" w:hAnsi="宋体" w:cs="宋体"/>
                <w:color w:val="auto"/>
                <w:szCs w:val="21"/>
                <w:highlight w:val="none"/>
              </w:rPr>
            </w:pPr>
          </w:p>
        </w:tc>
        <w:tc>
          <w:tcPr>
            <w:tcW w:w="1620" w:type="dxa"/>
            <w:vAlign w:val="center"/>
          </w:tcPr>
          <w:p>
            <w:pPr>
              <w:tabs>
                <w:tab w:val="left" w:pos="3780"/>
              </w:tabs>
              <w:ind w:firstLine="420"/>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pPr>
              <w:tabs>
                <w:tab w:val="left" w:pos="3780"/>
              </w:tabs>
              <w:ind w:firstLine="560"/>
              <w:jc w:val="center"/>
              <w:rPr>
                <w:rFonts w:ascii="宋体" w:hAnsi="宋体" w:cs="宋体"/>
                <w:color w:val="auto"/>
                <w:szCs w:val="21"/>
                <w:highlight w:val="none"/>
              </w:rPr>
            </w:pPr>
          </w:p>
        </w:tc>
        <w:tc>
          <w:tcPr>
            <w:tcW w:w="2709" w:type="dxa"/>
            <w:vAlign w:val="center"/>
          </w:tcPr>
          <w:p>
            <w:pPr>
              <w:tabs>
                <w:tab w:val="left" w:pos="3780"/>
              </w:tabs>
              <w:ind w:firstLine="420"/>
              <w:rPr>
                <w:rFonts w:ascii="宋体" w:hAnsi="宋体" w:cs="宋体"/>
                <w:color w:val="auto"/>
                <w:szCs w:val="21"/>
                <w:highlight w:val="none"/>
              </w:rPr>
            </w:pPr>
          </w:p>
        </w:tc>
        <w:tc>
          <w:tcPr>
            <w:tcW w:w="1620" w:type="dxa"/>
            <w:vAlign w:val="center"/>
          </w:tcPr>
          <w:p>
            <w:pPr>
              <w:tabs>
                <w:tab w:val="left" w:pos="3780"/>
              </w:tabs>
              <w:ind w:firstLine="420"/>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c>
          <w:tcPr>
            <w:tcW w:w="1440" w:type="dxa"/>
            <w:tcBorders>
              <w:top w:val="single" w:color="auto" w:sz="6" w:space="0"/>
              <w:bottom w:val="single" w:color="auto" w:sz="6" w:space="0"/>
            </w:tcBorders>
            <w:vAlign w:val="center"/>
          </w:tcPr>
          <w:p>
            <w:pPr>
              <w:tabs>
                <w:tab w:val="left" w:pos="3780"/>
              </w:tabs>
              <w:ind w:firstLine="42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pPr>
              <w:tabs>
                <w:tab w:val="left" w:pos="3780"/>
              </w:tabs>
              <w:ind w:firstLine="560"/>
              <w:jc w:val="center"/>
              <w:rPr>
                <w:rFonts w:ascii="宋体" w:hAnsi="宋体" w:cs="宋体"/>
                <w:color w:val="auto"/>
                <w:szCs w:val="21"/>
                <w:highlight w:val="none"/>
              </w:rPr>
            </w:pPr>
            <w:r>
              <w:rPr>
                <w:rFonts w:hint="eastAsia" w:ascii="宋体" w:hAnsi="宋体" w:cs="宋体"/>
                <w:color w:val="auto"/>
                <w:szCs w:val="21"/>
                <w:highlight w:val="none"/>
              </w:rPr>
              <w:t>合    计</w:t>
            </w:r>
          </w:p>
        </w:tc>
        <w:tc>
          <w:tcPr>
            <w:tcW w:w="1440" w:type="dxa"/>
            <w:tcBorders>
              <w:top w:val="single" w:color="auto" w:sz="6" w:space="0"/>
              <w:left w:val="single" w:color="auto" w:sz="6" w:space="0"/>
              <w:bottom w:val="single" w:color="auto" w:sz="8" w:space="0"/>
            </w:tcBorders>
            <w:vAlign w:val="center"/>
          </w:tcPr>
          <w:p>
            <w:pPr>
              <w:keepNext/>
              <w:keepLines/>
              <w:tabs>
                <w:tab w:val="left" w:pos="3780"/>
              </w:tabs>
              <w:spacing w:before="340" w:after="330" w:line="576" w:lineRule="auto"/>
              <w:ind w:firstLine="420"/>
              <w:jc w:val="center"/>
              <w:outlineLvl w:val="0"/>
              <w:rPr>
                <w:rFonts w:ascii="宋体" w:hAnsi="宋体" w:cs="宋体"/>
                <w:color w:val="auto"/>
                <w:szCs w:val="21"/>
                <w:highlight w:val="none"/>
              </w:rPr>
            </w:pPr>
          </w:p>
        </w:tc>
      </w:tr>
    </w:tbl>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注：表中（1）～（4）由采购人按需要提出。</w:t>
      </w:r>
    </w:p>
    <w:p>
      <w:pPr>
        <w:tabs>
          <w:tab w:val="center" w:pos="4755"/>
          <w:tab w:val="right" w:pos="9070"/>
        </w:tabs>
        <w:rPr>
          <w:rFonts w:ascii="宋体" w:hAnsi="宋体" w:cs="宋体"/>
          <w:color w:val="auto"/>
          <w:szCs w:val="21"/>
          <w:highlight w:val="none"/>
        </w:rPr>
      </w:pPr>
    </w:p>
    <w:p>
      <w:pPr>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表1-5  主要工日价格表</w:t>
      </w: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工程名称：                                           第  页共  页</w:t>
      </w:r>
    </w:p>
    <w:tbl>
      <w:tblPr>
        <w:tblStyle w:val="21"/>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04"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工  种</w:t>
            </w:r>
          </w:p>
        </w:tc>
        <w:tc>
          <w:tcPr>
            <w:tcW w:w="108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44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98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单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tabs>
                <w:tab w:val="center" w:pos="4755"/>
                <w:tab w:val="right" w:pos="9070"/>
              </w:tabs>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（1）</w:t>
            </w:r>
          </w:p>
        </w:tc>
        <w:tc>
          <w:tcPr>
            <w:tcW w:w="2504" w:type="dxa"/>
          </w:tcPr>
          <w:p>
            <w:pPr>
              <w:tabs>
                <w:tab w:val="center" w:pos="4755"/>
                <w:tab w:val="right" w:pos="9070"/>
              </w:tabs>
              <w:spacing w:before="100" w:beforeAutospacing="1" w:after="100" w:afterAutospacing="1"/>
              <w:ind w:firstLine="315" w:firstLineChars="150"/>
              <w:rPr>
                <w:rFonts w:ascii="宋体" w:hAnsi="宋体" w:cs="宋体"/>
                <w:color w:val="auto"/>
                <w:szCs w:val="21"/>
                <w:highlight w:val="none"/>
              </w:rPr>
            </w:pPr>
            <w:r>
              <w:rPr>
                <w:rFonts w:hint="eastAsia" w:ascii="宋体" w:hAnsi="宋体" w:cs="宋体"/>
                <w:color w:val="auto"/>
                <w:szCs w:val="21"/>
                <w:highlight w:val="none"/>
              </w:rPr>
              <w:t>（2）</w:t>
            </w: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工日</w:t>
            </w: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50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50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50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50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50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50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50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50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50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50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9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bl>
    <w:p>
      <w:pPr>
        <w:tabs>
          <w:tab w:val="center" w:pos="4755"/>
          <w:tab w:val="right" w:pos="9070"/>
        </w:tabs>
        <w:ind w:firstLine="525" w:firstLineChars="250"/>
        <w:rPr>
          <w:rFonts w:ascii="宋体" w:hAnsi="宋体" w:cs="宋体"/>
          <w:color w:val="auto"/>
          <w:szCs w:val="21"/>
          <w:highlight w:val="none"/>
        </w:rPr>
      </w:pPr>
      <w:r>
        <w:rPr>
          <w:rFonts w:hint="eastAsia" w:ascii="宋体" w:hAnsi="宋体" w:cs="宋体"/>
          <w:color w:val="auto"/>
          <w:szCs w:val="21"/>
          <w:highlight w:val="none"/>
        </w:rPr>
        <w:t>注：本表（1）、（2）栏由采购人按需要提出。</w:t>
      </w:r>
    </w:p>
    <w:p>
      <w:pPr>
        <w:tabs>
          <w:tab w:val="center" w:pos="4755"/>
          <w:tab w:val="right" w:pos="9070"/>
        </w:tabs>
        <w:ind w:firstLine="210" w:firstLineChars="100"/>
        <w:rPr>
          <w:rFonts w:ascii="宋体" w:hAnsi="宋体" w:cs="宋体"/>
          <w:color w:val="auto"/>
          <w:szCs w:val="21"/>
          <w:highlight w:val="none"/>
        </w:rPr>
      </w:pPr>
    </w:p>
    <w:p>
      <w:pPr>
        <w:tabs>
          <w:tab w:val="center" w:pos="4755"/>
          <w:tab w:val="right" w:pos="9070"/>
        </w:tabs>
        <w:ind w:firstLine="210" w:firstLineChars="100"/>
        <w:rPr>
          <w:rFonts w:ascii="宋体" w:hAnsi="宋体" w:cs="宋体"/>
          <w:color w:val="auto"/>
          <w:szCs w:val="21"/>
          <w:highlight w:val="none"/>
        </w:rPr>
      </w:pPr>
    </w:p>
    <w:p>
      <w:pPr>
        <w:tabs>
          <w:tab w:val="center" w:pos="4755"/>
          <w:tab w:val="right" w:pos="9070"/>
        </w:tabs>
        <w:spacing w:before="100" w:beforeAutospacing="1" w:after="100" w:afterAutospacing="1"/>
        <w:ind w:firstLine="211" w:firstLineChars="100"/>
        <w:jc w:val="center"/>
        <w:rPr>
          <w:rFonts w:ascii="宋体" w:hAnsi="宋体" w:cs="宋体"/>
          <w:b/>
          <w:color w:val="auto"/>
          <w:szCs w:val="21"/>
          <w:highlight w:val="none"/>
        </w:rPr>
        <w:sectPr>
          <w:pgSz w:w="12240" w:h="15840"/>
          <w:pgMar w:top="1304" w:right="964" w:bottom="964" w:left="1531" w:header="720" w:footer="720" w:gutter="0"/>
          <w:cols w:space="720" w:num="1"/>
          <w:docGrid w:linePitch="312" w:charSpace="0"/>
        </w:sectPr>
      </w:pPr>
    </w:p>
    <w:p>
      <w:pPr>
        <w:tabs>
          <w:tab w:val="center" w:pos="4755"/>
          <w:tab w:val="right" w:pos="9070"/>
        </w:tabs>
        <w:spacing w:before="100" w:beforeAutospacing="1" w:after="100" w:afterAutospacing="1"/>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表1-6  主要材料及设备价格表</w:t>
      </w:r>
    </w:p>
    <w:p>
      <w:pPr>
        <w:tabs>
          <w:tab w:val="center" w:pos="4755"/>
          <w:tab w:val="right" w:pos="9070"/>
        </w:tabs>
        <w:ind w:left="-359" w:leftChars="-171"/>
        <w:rPr>
          <w:rFonts w:ascii="宋体" w:hAnsi="宋体" w:cs="宋体"/>
          <w:b/>
          <w:color w:val="auto"/>
          <w:szCs w:val="21"/>
          <w:highlight w:val="none"/>
        </w:rPr>
      </w:pPr>
      <w:r>
        <w:rPr>
          <w:rFonts w:hint="eastAsia" w:ascii="宋体" w:hAnsi="宋体" w:cs="宋体"/>
          <w:color w:val="auto"/>
          <w:szCs w:val="21"/>
          <w:highlight w:val="none"/>
        </w:rPr>
        <w:t>工程名称：                                                           第  页 共  页</w:t>
      </w:r>
    </w:p>
    <w:tbl>
      <w:tblPr>
        <w:tblStyle w:val="21"/>
        <w:tblW w:w="100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8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编码</w:t>
            </w:r>
          </w:p>
        </w:tc>
        <w:tc>
          <w:tcPr>
            <w:tcW w:w="180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材料或设备名称</w:t>
            </w:r>
          </w:p>
        </w:tc>
        <w:tc>
          <w:tcPr>
            <w:tcW w:w="126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126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26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6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60" w:type="dxa"/>
            <w:tcBorders>
              <w:bottom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（2）</w:t>
            </w:r>
          </w:p>
        </w:tc>
        <w:tc>
          <w:tcPr>
            <w:tcW w:w="180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（3）</w:t>
            </w:r>
          </w:p>
        </w:tc>
        <w:tc>
          <w:tcPr>
            <w:tcW w:w="126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（4）</w:t>
            </w:r>
          </w:p>
        </w:tc>
        <w:tc>
          <w:tcPr>
            <w:tcW w:w="126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（5）</w:t>
            </w: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26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0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bl>
    <w:p>
      <w:pPr>
        <w:tabs>
          <w:tab w:val="left" w:pos="1470"/>
        </w:tabs>
        <w:ind w:left="420" w:hanging="420" w:hangingChars="200"/>
        <w:rPr>
          <w:rFonts w:ascii="宋体" w:hAnsi="宋体" w:cs="宋体"/>
          <w:color w:val="auto"/>
          <w:szCs w:val="21"/>
          <w:highlight w:val="none"/>
        </w:rPr>
      </w:pPr>
      <w:r>
        <w:rPr>
          <w:rFonts w:hint="eastAsia" w:ascii="宋体" w:hAnsi="宋体" w:cs="宋体"/>
          <w:color w:val="auto"/>
          <w:szCs w:val="21"/>
          <w:highlight w:val="none"/>
        </w:rPr>
        <w:t>注：1、表（1）（2）（3）（5）（6）栏由采购人按需要提出，供应商可补充。</w:t>
      </w:r>
    </w:p>
    <w:p>
      <w:pPr>
        <w:tabs>
          <w:tab w:val="center" w:pos="4755"/>
          <w:tab w:val="right" w:pos="9070"/>
        </w:tabs>
        <w:ind w:left="227" w:leftChars="108" w:firstLine="210" w:firstLineChars="100"/>
        <w:rPr>
          <w:rFonts w:ascii="宋体" w:hAnsi="宋体" w:cs="宋体"/>
          <w:color w:val="auto"/>
          <w:szCs w:val="21"/>
          <w:highlight w:val="none"/>
        </w:rPr>
      </w:pPr>
      <w:r>
        <w:rPr>
          <w:rFonts w:hint="eastAsia" w:ascii="宋体" w:hAnsi="宋体" w:cs="宋体"/>
          <w:color w:val="auto"/>
          <w:szCs w:val="21"/>
          <w:highlight w:val="none"/>
        </w:rPr>
        <w:t>2、本表的材料及设备包括原材料、燃料、构配件以及按规定应计入建筑安装工程造价的设备。</w:t>
      </w:r>
    </w:p>
    <w:p>
      <w:pPr>
        <w:tabs>
          <w:tab w:val="center" w:pos="4755"/>
          <w:tab w:val="right" w:pos="9070"/>
        </w:tabs>
        <w:ind w:firstLine="315" w:firstLineChars="150"/>
        <w:rPr>
          <w:rFonts w:ascii="宋体" w:hAnsi="宋体" w:cs="宋体"/>
          <w:color w:val="auto"/>
          <w:szCs w:val="21"/>
          <w:highlight w:val="none"/>
        </w:rPr>
        <w:sectPr>
          <w:pgSz w:w="12240" w:h="15840"/>
          <w:pgMar w:top="1304" w:right="964" w:bottom="964" w:left="1531" w:header="720" w:footer="720" w:gutter="0"/>
          <w:cols w:space="720" w:num="1"/>
          <w:docGrid w:linePitch="312" w:charSpace="0"/>
        </w:sectPr>
      </w:pPr>
      <w:r>
        <w:rPr>
          <w:rFonts w:hint="eastAsia" w:ascii="宋体" w:hAnsi="宋体" w:cs="宋体"/>
          <w:color w:val="auto"/>
          <w:szCs w:val="21"/>
          <w:highlight w:val="none"/>
        </w:rPr>
        <w:t xml:space="preserve"> 3、采购人指定、提供或暂定的材料和设备，按杭州市工程量清单计价实施细则的规定填写。</w:t>
      </w:r>
    </w:p>
    <w:p>
      <w:pPr>
        <w:tabs>
          <w:tab w:val="center" w:pos="4755"/>
          <w:tab w:val="right" w:pos="9070"/>
        </w:tabs>
        <w:spacing w:before="100" w:beforeAutospacing="1" w:after="100" w:afterAutospacing="1"/>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表1-7  主要机械台班价格表</w:t>
      </w:r>
    </w:p>
    <w:p>
      <w:pPr>
        <w:tabs>
          <w:tab w:val="center" w:pos="4755"/>
          <w:tab w:val="right" w:pos="9070"/>
        </w:tabs>
        <w:ind w:firstLine="210" w:firstLineChars="100"/>
        <w:rPr>
          <w:rFonts w:ascii="宋体" w:hAnsi="宋体" w:cs="宋体"/>
          <w:color w:val="auto"/>
          <w:szCs w:val="21"/>
          <w:highlight w:val="none"/>
        </w:rPr>
      </w:pPr>
      <w:r>
        <w:rPr>
          <w:rFonts w:hint="eastAsia" w:ascii="宋体" w:hAnsi="宋体" w:cs="宋体"/>
          <w:color w:val="auto"/>
          <w:szCs w:val="21"/>
          <w:highlight w:val="none"/>
        </w:rPr>
        <w:t>工程名称：第  页共  页</w:t>
      </w:r>
    </w:p>
    <w:tbl>
      <w:tblPr>
        <w:tblStyle w:val="21"/>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6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机械设备名称</w:t>
            </w:r>
          </w:p>
        </w:tc>
        <w:tc>
          <w:tcPr>
            <w:tcW w:w="1244"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26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34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w:t>
            </w:r>
          </w:p>
        </w:tc>
        <w:tc>
          <w:tcPr>
            <w:tcW w:w="306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（2）</w:t>
            </w:r>
          </w:p>
        </w:tc>
        <w:tc>
          <w:tcPr>
            <w:tcW w:w="1244"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台班</w:t>
            </w:r>
          </w:p>
        </w:tc>
        <w:tc>
          <w:tcPr>
            <w:tcW w:w="126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30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44"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26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23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bl>
    <w:p>
      <w:pPr>
        <w:tabs>
          <w:tab w:val="center" w:pos="4755"/>
          <w:tab w:val="right" w:pos="9070"/>
        </w:tabs>
        <w:ind w:firstLine="210" w:firstLineChars="100"/>
        <w:rPr>
          <w:rFonts w:ascii="宋体" w:hAnsi="宋体" w:cs="宋体"/>
          <w:color w:val="auto"/>
          <w:szCs w:val="21"/>
          <w:highlight w:val="none"/>
        </w:rPr>
      </w:pPr>
      <w:r>
        <w:rPr>
          <w:rFonts w:hint="eastAsia" w:ascii="宋体" w:hAnsi="宋体" w:cs="宋体"/>
          <w:color w:val="auto"/>
          <w:szCs w:val="21"/>
          <w:highlight w:val="none"/>
        </w:rPr>
        <w:t>注：表（1）（2）由采购人按需要提出，供应商可补充。</w:t>
      </w:r>
    </w:p>
    <w:p>
      <w:pPr>
        <w:tabs>
          <w:tab w:val="center" w:pos="4755"/>
          <w:tab w:val="right" w:pos="9070"/>
        </w:tabs>
        <w:ind w:firstLine="210" w:firstLineChars="100"/>
        <w:rPr>
          <w:rFonts w:ascii="宋体" w:hAnsi="宋体" w:cs="宋体"/>
          <w:color w:val="auto"/>
          <w:szCs w:val="21"/>
          <w:highlight w:val="none"/>
        </w:rPr>
      </w:pPr>
    </w:p>
    <w:p>
      <w:pPr>
        <w:tabs>
          <w:tab w:val="center" w:pos="4755"/>
          <w:tab w:val="right" w:pos="9070"/>
        </w:tabs>
        <w:spacing w:before="100" w:beforeAutospacing="1" w:after="100" w:afterAutospacing="1"/>
        <w:ind w:firstLine="211" w:firstLineChars="100"/>
        <w:jc w:val="center"/>
        <w:rPr>
          <w:rFonts w:ascii="宋体" w:hAnsi="宋体" w:cs="宋体"/>
          <w:b/>
          <w:color w:val="auto"/>
          <w:szCs w:val="21"/>
          <w:highlight w:val="none"/>
        </w:rPr>
        <w:sectPr>
          <w:pgSz w:w="12240" w:h="15840"/>
          <w:pgMar w:top="1304" w:right="964" w:bottom="964" w:left="1531" w:header="720" w:footer="720" w:gutter="0"/>
          <w:cols w:space="720" w:num="1"/>
          <w:docGrid w:linePitch="312" w:charSpace="0"/>
        </w:sectPr>
      </w:pPr>
    </w:p>
    <w:p>
      <w:pPr>
        <w:tabs>
          <w:tab w:val="center" w:pos="4755"/>
          <w:tab w:val="right" w:pos="9070"/>
        </w:tabs>
        <w:spacing w:before="100" w:beforeAutospacing="1" w:after="100" w:afterAutospacing="1"/>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表2-1  分部分项工程量清单综合单价分析表</w:t>
      </w:r>
      <w:r>
        <w:rPr>
          <w:rFonts w:hint="eastAsia" w:ascii="宋体" w:hAnsi="宋体" w:cs="宋体"/>
          <w:b/>
          <w:bCs/>
          <w:color w:val="auto"/>
          <w:szCs w:val="21"/>
          <w:highlight w:val="none"/>
        </w:rPr>
        <w:t>（成交后按采购人要求提供）</w:t>
      </w:r>
    </w:p>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工程名称：                                                                                           第   页共   页</w:t>
      </w:r>
    </w:p>
    <w:tbl>
      <w:tblPr>
        <w:tblStyle w:val="21"/>
        <w:tblW w:w="151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3"/>
        <w:gridCol w:w="1843"/>
        <w:gridCol w:w="992"/>
        <w:gridCol w:w="902"/>
        <w:gridCol w:w="1080"/>
        <w:gridCol w:w="1080"/>
        <w:gridCol w:w="1080"/>
        <w:gridCol w:w="1080"/>
        <w:gridCol w:w="900"/>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0"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843"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编号</w:t>
            </w:r>
          </w:p>
        </w:tc>
        <w:tc>
          <w:tcPr>
            <w:tcW w:w="1843"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992"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计量单位</w:t>
            </w:r>
          </w:p>
        </w:tc>
        <w:tc>
          <w:tcPr>
            <w:tcW w:w="902"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380" w:type="dxa"/>
            <w:gridSpan w:val="7"/>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综  合  单  价（元）</w:t>
            </w:r>
          </w:p>
        </w:tc>
        <w:tc>
          <w:tcPr>
            <w:tcW w:w="1440"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0" w:type="dxa"/>
            <w:vMerge w:val="continue"/>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43" w:type="dxa"/>
            <w:vMerge w:val="continue"/>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843" w:type="dxa"/>
            <w:vMerge w:val="continue"/>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992" w:type="dxa"/>
            <w:vMerge w:val="continue"/>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902" w:type="dxa"/>
            <w:vMerge w:val="continue"/>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人工费</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材料费</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机械费</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管理费</w:t>
            </w:r>
          </w:p>
        </w:tc>
        <w:tc>
          <w:tcPr>
            <w:tcW w:w="90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利润</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风险费用</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小计</w:t>
            </w:r>
          </w:p>
        </w:tc>
        <w:tc>
          <w:tcPr>
            <w:tcW w:w="1440" w:type="dxa"/>
            <w:vMerge w:val="continue"/>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tcPr>
          <w:p>
            <w:pPr>
              <w:keepNext/>
              <w:keepLines/>
              <w:tabs>
                <w:tab w:val="center" w:pos="4755"/>
                <w:tab w:val="right" w:pos="9070"/>
              </w:tabs>
              <w:spacing w:before="100" w:beforeAutospacing="1" w:after="100" w:afterAutospacing="1" w:line="576" w:lineRule="auto"/>
              <w:ind w:firstLine="315" w:firstLineChars="150"/>
              <w:outlineLvl w:val="0"/>
              <w:rPr>
                <w:rFonts w:ascii="宋体" w:hAnsi="宋体" w:cs="宋体"/>
                <w:color w:val="auto"/>
                <w:szCs w:val="21"/>
                <w:highlight w:val="none"/>
              </w:rPr>
            </w:pPr>
          </w:p>
        </w:tc>
        <w:tc>
          <w:tcPr>
            <w:tcW w:w="1843" w:type="dxa"/>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w:t>
            </w:r>
          </w:p>
        </w:tc>
        <w:tc>
          <w:tcPr>
            <w:tcW w:w="1843" w:type="dxa"/>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（2）</w:t>
            </w:r>
          </w:p>
        </w:tc>
        <w:tc>
          <w:tcPr>
            <w:tcW w:w="992" w:type="dxa"/>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（3）</w:t>
            </w:r>
          </w:p>
        </w:tc>
        <w:tc>
          <w:tcPr>
            <w:tcW w:w="902" w:type="dxa"/>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（4）</w:t>
            </w: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(5)</w:t>
            </w: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(6)</w:t>
            </w:r>
          </w:p>
        </w:tc>
        <w:tc>
          <w:tcPr>
            <w:tcW w:w="1080" w:type="dxa"/>
          </w:tcPr>
          <w:p>
            <w:pPr>
              <w:tabs>
                <w:tab w:val="center" w:pos="4755"/>
                <w:tab w:val="right" w:pos="9070"/>
              </w:tabs>
              <w:spacing w:before="100" w:beforeAutospacing="1" w:after="100" w:afterAutospacing="1"/>
              <w:ind w:firstLine="315" w:firstLineChars="150"/>
              <w:rPr>
                <w:rFonts w:ascii="宋体" w:hAnsi="宋体" w:cs="宋体"/>
                <w:color w:val="auto"/>
                <w:szCs w:val="21"/>
                <w:highlight w:val="none"/>
              </w:rPr>
            </w:pPr>
            <w:r>
              <w:rPr>
                <w:rFonts w:hint="eastAsia" w:ascii="宋体" w:hAnsi="宋体" w:cs="宋体"/>
                <w:color w:val="auto"/>
                <w:szCs w:val="21"/>
                <w:highlight w:val="none"/>
              </w:rPr>
              <w:t>(7)</w:t>
            </w:r>
          </w:p>
        </w:tc>
        <w:tc>
          <w:tcPr>
            <w:tcW w:w="1080" w:type="dxa"/>
          </w:tcPr>
          <w:p>
            <w:pPr>
              <w:tabs>
                <w:tab w:val="center" w:pos="4755"/>
                <w:tab w:val="right" w:pos="9070"/>
              </w:tabs>
              <w:spacing w:before="100" w:beforeAutospacing="1" w:after="100" w:afterAutospacing="1"/>
              <w:ind w:firstLine="315" w:firstLineChars="150"/>
              <w:rPr>
                <w:rFonts w:ascii="宋体" w:hAnsi="宋体" w:cs="宋体"/>
                <w:color w:val="auto"/>
                <w:szCs w:val="21"/>
                <w:highlight w:val="none"/>
              </w:rPr>
            </w:pPr>
            <w:r>
              <w:rPr>
                <w:rFonts w:hint="eastAsia" w:ascii="宋体" w:hAnsi="宋体" w:cs="宋体"/>
                <w:color w:val="auto"/>
                <w:szCs w:val="21"/>
                <w:highlight w:val="none"/>
              </w:rPr>
              <w:t>(8)</w:t>
            </w:r>
          </w:p>
        </w:tc>
        <w:tc>
          <w:tcPr>
            <w:tcW w:w="900" w:type="dxa"/>
          </w:tcPr>
          <w:p>
            <w:pPr>
              <w:tabs>
                <w:tab w:val="center" w:pos="4755"/>
                <w:tab w:val="right" w:pos="9070"/>
              </w:tabs>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(9)</w:t>
            </w:r>
          </w:p>
        </w:tc>
        <w:tc>
          <w:tcPr>
            <w:tcW w:w="1080" w:type="dxa"/>
          </w:tcPr>
          <w:p>
            <w:pPr>
              <w:tabs>
                <w:tab w:val="center" w:pos="4755"/>
                <w:tab w:val="right" w:pos="9070"/>
              </w:tabs>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（10）</w:t>
            </w:r>
          </w:p>
        </w:tc>
        <w:tc>
          <w:tcPr>
            <w:tcW w:w="1080" w:type="dxa"/>
          </w:tcPr>
          <w:p>
            <w:pPr>
              <w:tabs>
                <w:tab w:val="center" w:pos="4755"/>
                <w:tab w:val="right" w:pos="9070"/>
              </w:tabs>
              <w:spacing w:before="100" w:beforeAutospacing="1" w:after="100" w:afterAutospacing="1"/>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440" w:type="dxa"/>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tabs>
                <w:tab w:val="center" w:pos="4755"/>
                <w:tab w:val="right" w:pos="9070"/>
              </w:tabs>
              <w:spacing w:before="100" w:beforeAutospacing="1" w:after="100" w:afterAutospacing="1"/>
              <w:ind w:firstLine="315" w:firstLineChars="150"/>
              <w:jc w:val="center"/>
              <w:rPr>
                <w:rFonts w:ascii="宋体" w:hAnsi="宋体" w:cs="宋体"/>
                <w:color w:val="auto"/>
                <w:szCs w:val="21"/>
                <w:highlight w:val="none"/>
              </w:rPr>
            </w:pPr>
            <w:r>
              <w:rPr>
                <w:rFonts w:hint="eastAsia" w:ascii="宋体" w:hAnsi="宋体" w:cs="宋体"/>
                <w:color w:val="auto"/>
                <w:szCs w:val="21"/>
                <w:highlight w:val="none"/>
              </w:rPr>
              <w:t>1</w:t>
            </w: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（清单编码）</w:t>
            </w: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(清单名称)</w:t>
            </w:r>
          </w:p>
        </w:tc>
        <w:tc>
          <w:tcPr>
            <w:tcW w:w="992"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2"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（定额编号）</w:t>
            </w:r>
          </w:p>
        </w:tc>
        <w:tc>
          <w:tcPr>
            <w:tcW w:w="1843" w:type="dxa"/>
            <w:vAlign w:val="center"/>
          </w:tcPr>
          <w:p>
            <w:pPr>
              <w:tabs>
                <w:tab w:val="center" w:pos="4755"/>
                <w:tab w:val="right" w:pos="9070"/>
              </w:tabs>
              <w:spacing w:before="100" w:beforeAutospacing="1" w:after="100" w:afterAutospacing="1"/>
              <w:rPr>
                <w:rFonts w:ascii="宋体" w:hAnsi="宋体" w:cs="宋体"/>
                <w:color w:val="auto"/>
                <w:szCs w:val="21"/>
                <w:highlight w:val="none"/>
              </w:rPr>
            </w:pPr>
            <w:r>
              <w:rPr>
                <w:rFonts w:hint="eastAsia" w:ascii="宋体" w:hAnsi="宋体" w:cs="宋体"/>
                <w:color w:val="auto"/>
                <w:szCs w:val="21"/>
                <w:highlight w:val="none"/>
              </w:rPr>
              <w:t>（定额名称）</w:t>
            </w:r>
          </w:p>
        </w:tc>
        <w:tc>
          <w:tcPr>
            <w:tcW w:w="992"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902"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90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08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440" w:type="dxa"/>
          </w:tcPr>
          <w:p>
            <w:pPr>
              <w:tabs>
                <w:tab w:val="center" w:pos="4755"/>
                <w:tab w:val="right" w:pos="9070"/>
              </w:tabs>
              <w:spacing w:before="100" w:beforeAutospacing="1" w:after="100" w:afterAutospacing="1"/>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w:t>
            </w: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w:t>
            </w:r>
          </w:p>
        </w:tc>
        <w:tc>
          <w:tcPr>
            <w:tcW w:w="992"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2"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2</w:t>
            </w: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（清单编码）</w:t>
            </w: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(清单名称)</w:t>
            </w:r>
          </w:p>
        </w:tc>
        <w:tc>
          <w:tcPr>
            <w:tcW w:w="992"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2"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（定额编号）</w:t>
            </w: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（定额名称）</w:t>
            </w:r>
          </w:p>
        </w:tc>
        <w:tc>
          <w:tcPr>
            <w:tcW w:w="992"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2"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w:t>
            </w:r>
          </w:p>
        </w:tc>
        <w:tc>
          <w:tcPr>
            <w:tcW w:w="1843"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w:t>
            </w:r>
          </w:p>
        </w:tc>
        <w:tc>
          <w:tcPr>
            <w:tcW w:w="992"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2"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90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08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c>
          <w:tcPr>
            <w:tcW w:w="1440" w:type="dxa"/>
          </w:tcPr>
          <w:p>
            <w:pPr>
              <w:keepNext/>
              <w:keepLines/>
              <w:tabs>
                <w:tab w:val="center" w:pos="4755"/>
                <w:tab w:val="right" w:pos="9070"/>
              </w:tabs>
              <w:spacing w:before="100" w:beforeAutospacing="1" w:after="100" w:afterAutospacing="1" w:line="576" w:lineRule="auto"/>
              <w:jc w:val="center"/>
              <w:outlineLvl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3680" w:type="dxa"/>
            <w:gridSpan w:val="12"/>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合  计</w:t>
            </w:r>
          </w:p>
        </w:tc>
        <w:tc>
          <w:tcPr>
            <w:tcW w:w="1440" w:type="dxa"/>
          </w:tcPr>
          <w:p>
            <w:pPr>
              <w:keepNext/>
              <w:keepLines/>
              <w:tabs>
                <w:tab w:val="center" w:pos="4755"/>
                <w:tab w:val="right" w:pos="9070"/>
              </w:tabs>
              <w:spacing w:before="100" w:beforeAutospacing="1" w:after="100" w:afterAutospacing="1" w:line="576" w:lineRule="auto"/>
              <w:outlineLvl w:val="0"/>
              <w:rPr>
                <w:rFonts w:ascii="宋体" w:hAnsi="宋体" w:cs="宋体"/>
                <w:color w:val="auto"/>
                <w:szCs w:val="21"/>
                <w:highlight w:val="none"/>
              </w:rPr>
            </w:pPr>
          </w:p>
        </w:tc>
      </w:tr>
    </w:tbl>
    <w:p>
      <w:pPr>
        <w:tabs>
          <w:tab w:val="center" w:pos="4755"/>
          <w:tab w:val="right" w:pos="9070"/>
        </w:tabs>
        <w:ind w:left="-91" w:leftChars="-171" w:hanging="268" w:hangingChars="128"/>
        <w:rPr>
          <w:rFonts w:ascii="宋体" w:hAnsi="宋体" w:cs="宋体"/>
          <w:color w:val="auto"/>
          <w:szCs w:val="21"/>
          <w:highlight w:val="none"/>
        </w:rPr>
      </w:pPr>
      <w:r>
        <w:rPr>
          <w:rFonts w:hint="eastAsia" w:ascii="宋体" w:hAnsi="宋体" w:cs="宋体"/>
          <w:color w:val="auto"/>
          <w:szCs w:val="21"/>
          <w:highlight w:val="none"/>
        </w:rPr>
        <w:t>注： 表（1）～（4）栏中的清单编号、清单名称、清单计量单位和数量由采购人按需要提出。</w:t>
      </w:r>
    </w:p>
    <w:p>
      <w:pPr>
        <w:tabs>
          <w:tab w:val="center" w:pos="4755"/>
          <w:tab w:val="right" w:pos="9070"/>
        </w:tabs>
        <w:spacing w:before="100" w:beforeAutospacing="1" w:after="100" w:afterAutospacing="1"/>
        <w:ind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表2-2  措施项目清单分析表</w:t>
      </w:r>
      <w:r>
        <w:rPr>
          <w:rFonts w:hint="eastAsia" w:ascii="宋体" w:hAnsi="宋体" w:cs="宋体"/>
          <w:b/>
          <w:bCs/>
          <w:color w:val="auto"/>
          <w:szCs w:val="21"/>
          <w:highlight w:val="none"/>
        </w:rPr>
        <w:t>（成交后按采购人要求提供）</w:t>
      </w:r>
    </w:p>
    <w:p>
      <w:pPr>
        <w:tabs>
          <w:tab w:val="center" w:pos="4755"/>
          <w:tab w:val="right" w:pos="9070"/>
        </w:tabs>
        <w:ind w:left="-91" w:leftChars="-171" w:hanging="268" w:hangingChars="128"/>
        <w:rPr>
          <w:rFonts w:ascii="宋体" w:hAnsi="宋体" w:cs="宋体"/>
          <w:color w:val="auto"/>
          <w:szCs w:val="21"/>
          <w:highlight w:val="none"/>
        </w:rPr>
      </w:pPr>
      <w:r>
        <w:rPr>
          <w:rFonts w:hint="eastAsia" w:ascii="宋体" w:hAnsi="宋体" w:cs="宋体"/>
          <w:color w:val="auto"/>
          <w:szCs w:val="21"/>
          <w:highlight w:val="none"/>
        </w:rPr>
        <w:t>工程名称：</w:t>
      </w:r>
    </w:p>
    <w:p>
      <w:pPr>
        <w:tabs>
          <w:tab w:val="center" w:pos="4755"/>
          <w:tab w:val="right" w:pos="9070"/>
        </w:tabs>
        <w:ind w:left="-91" w:leftChars="-171" w:hanging="268" w:hangingChars="128"/>
        <w:rPr>
          <w:rFonts w:ascii="宋体" w:hAnsi="宋体" w:cs="宋体"/>
          <w:color w:val="auto"/>
          <w:szCs w:val="21"/>
          <w:highlight w:val="none"/>
        </w:rPr>
      </w:pPr>
      <w:r>
        <w:rPr>
          <w:rFonts w:hint="eastAsia" w:ascii="宋体" w:hAnsi="宋体" w:cs="宋体"/>
          <w:color w:val="auto"/>
          <w:szCs w:val="21"/>
          <w:highlight w:val="none"/>
        </w:rPr>
        <w:t xml:space="preserve">单位工程名称：                                                                                    </w:t>
      </w:r>
    </w:p>
    <w:p>
      <w:pPr>
        <w:tabs>
          <w:tab w:val="center" w:pos="4755"/>
          <w:tab w:val="right" w:pos="9070"/>
        </w:tabs>
        <w:ind w:left="-91" w:leftChars="-171" w:hanging="268" w:hangingChars="128"/>
        <w:rPr>
          <w:rFonts w:ascii="宋体" w:hAnsi="宋体" w:cs="宋体"/>
          <w:color w:val="auto"/>
          <w:szCs w:val="21"/>
          <w:highlight w:val="none"/>
        </w:rPr>
      </w:pPr>
      <w:r>
        <w:rPr>
          <w:rFonts w:hint="eastAsia" w:ascii="宋体" w:hAnsi="宋体" w:cs="宋体"/>
          <w:color w:val="auto"/>
          <w:szCs w:val="21"/>
          <w:highlight w:val="none"/>
        </w:rPr>
        <w:t>第   页共   页</w:t>
      </w:r>
    </w:p>
    <w:tbl>
      <w:tblPr>
        <w:tblStyle w:val="21"/>
        <w:tblW w:w="15132" w:type="dxa"/>
        <w:tblInd w:w="-6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812"/>
        <w:gridCol w:w="1836"/>
        <w:gridCol w:w="996"/>
        <w:gridCol w:w="912"/>
        <w:gridCol w:w="1068"/>
        <w:gridCol w:w="1080"/>
        <w:gridCol w:w="1044"/>
        <w:gridCol w:w="1116"/>
        <w:gridCol w:w="871"/>
        <w:gridCol w:w="1181"/>
        <w:gridCol w:w="996"/>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80"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812"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编号</w:t>
            </w:r>
          </w:p>
        </w:tc>
        <w:tc>
          <w:tcPr>
            <w:tcW w:w="1836"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996"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计量</w:t>
            </w:r>
          </w:p>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912" w:type="dxa"/>
            <w:vMerge w:val="restart"/>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356" w:type="dxa"/>
            <w:gridSpan w:val="7"/>
            <w:tcBorders>
              <w:right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综 合 单 价（元）</w:t>
            </w:r>
          </w:p>
        </w:tc>
        <w:tc>
          <w:tcPr>
            <w:tcW w:w="1440" w:type="dxa"/>
            <w:vMerge w:val="restart"/>
            <w:tcBorders>
              <w:left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合计</w:t>
            </w:r>
          </w:p>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80" w:type="dxa"/>
            <w:vMerge w:val="continue"/>
            <w:vAlign w:val="center"/>
          </w:tcPr>
          <w:p>
            <w:pPr>
              <w:tabs>
                <w:tab w:val="left" w:pos="3780"/>
              </w:tabs>
              <w:ind w:firstLine="360"/>
              <w:jc w:val="center"/>
              <w:rPr>
                <w:rFonts w:ascii="宋体" w:hAnsi="宋体" w:cs="宋体"/>
                <w:color w:val="auto"/>
                <w:szCs w:val="21"/>
                <w:highlight w:val="none"/>
              </w:rPr>
            </w:pPr>
          </w:p>
        </w:tc>
        <w:tc>
          <w:tcPr>
            <w:tcW w:w="1812" w:type="dxa"/>
            <w:vMerge w:val="continue"/>
            <w:vAlign w:val="center"/>
          </w:tcPr>
          <w:p>
            <w:pPr>
              <w:tabs>
                <w:tab w:val="left" w:pos="3780"/>
              </w:tabs>
              <w:ind w:firstLine="360"/>
              <w:jc w:val="center"/>
              <w:rPr>
                <w:rFonts w:ascii="宋体" w:hAnsi="宋体" w:cs="宋体"/>
                <w:color w:val="auto"/>
                <w:szCs w:val="21"/>
                <w:highlight w:val="none"/>
              </w:rPr>
            </w:pPr>
          </w:p>
        </w:tc>
        <w:tc>
          <w:tcPr>
            <w:tcW w:w="1836" w:type="dxa"/>
            <w:vMerge w:val="continue"/>
            <w:vAlign w:val="center"/>
          </w:tcPr>
          <w:p>
            <w:pPr>
              <w:tabs>
                <w:tab w:val="left" w:pos="3780"/>
              </w:tabs>
              <w:ind w:firstLine="360"/>
              <w:jc w:val="center"/>
              <w:rPr>
                <w:rFonts w:ascii="宋体" w:hAnsi="宋体" w:cs="宋体"/>
                <w:color w:val="auto"/>
                <w:szCs w:val="21"/>
                <w:highlight w:val="none"/>
              </w:rPr>
            </w:pPr>
          </w:p>
        </w:tc>
        <w:tc>
          <w:tcPr>
            <w:tcW w:w="996" w:type="dxa"/>
            <w:vMerge w:val="continue"/>
            <w:vAlign w:val="center"/>
          </w:tcPr>
          <w:p>
            <w:pPr>
              <w:tabs>
                <w:tab w:val="left" w:pos="3780"/>
              </w:tabs>
              <w:ind w:firstLine="360"/>
              <w:jc w:val="center"/>
              <w:rPr>
                <w:rFonts w:ascii="宋体" w:hAnsi="宋体" w:cs="宋体"/>
                <w:color w:val="auto"/>
                <w:szCs w:val="21"/>
                <w:highlight w:val="none"/>
              </w:rPr>
            </w:pPr>
          </w:p>
        </w:tc>
        <w:tc>
          <w:tcPr>
            <w:tcW w:w="912" w:type="dxa"/>
            <w:vMerge w:val="continue"/>
            <w:vAlign w:val="center"/>
          </w:tcPr>
          <w:p>
            <w:pPr>
              <w:tabs>
                <w:tab w:val="left" w:pos="3780"/>
              </w:tabs>
              <w:ind w:firstLine="360"/>
              <w:jc w:val="center"/>
              <w:rPr>
                <w:rFonts w:ascii="宋体" w:hAnsi="宋体" w:cs="宋体"/>
                <w:color w:val="auto"/>
                <w:szCs w:val="21"/>
                <w:highlight w:val="none"/>
              </w:rPr>
            </w:pPr>
          </w:p>
        </w:tc>
        <w:tc>
          <w:tcPr>
            <w:tcW w:w="1068"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人工费</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材料费</w:t>
            </w:r>
          </w:p>
        </w:tc>
        <w:tc>
          <w:tcPr>
            <w:tcW w:w="1044"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机械费</w:t>
            </w:r>
          </w:p>
        </w:tc>
        <w:tc>
          <w:tcPr>
            <w:tcW w:w="1116"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管理费</w:t>
            </w:r>
          </w:p>
        </w:tc>
        <w:tc>
          <w:tcPr>
            <w:tcW w:w="871"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利润</w:t>
            </w:r>
          </w:p>
        </w:tc>
        <w:tc>
          <w:tcPr>
            <w:tcW w:w="1181"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风险费用</w:t>
            </w:r>
          </w:p>
        </w:tc>
        <w:tc>
          <w:tcPr>
            <w:tcW w:w="996" w:type="dxa"/>
            <w:tcBorders>
              <w:right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小计</w:t>
            </w:r>
          </w:p>
        </w:tc>
        <w:tc>
          <w:tcPr>
            <w:tcW w:w="1440" w:type="dxa"/>
            <w:vMerge w:val="continue"/>
            <w:tcBorders>
              <w:left w:val="single" w:color="auto" w:sz="4" w:space="0"/>
            </w:tcBorders>
            <w:vAlign w:val="center"/>
          </w:tcPr>
          <w:p>
            <w:pPr>
              <w:tabs>
                <w:tab w:val="left" w:pos="3780"/>
              </w:tabs>
              <w:ind w:firstLine="36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宋体" w:hAnsi="宋体" w:cs="宋体"/>
                <w:color w:val="auto"/>
                <w:szCs w:val="21"/>
                <w:highlight w:val="none"/>
              </w:rPr>
            </w:pPr>
          </w:p>
        </w:tc>
        <w:tc>
          <w:tcPr>
            <w:tcW w:w="1812"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1836"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（2）</w:t>
            </w:r>
          </w:p>
        </w:tc>
        <w:tc>
          <w:tcPr>
            <w:tcW w:w="996"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（3）</w:t>
            </w:r>
          </w:p>
        </w:tc>
        <w:tc>
          <w:tcPr>
            <w:tcW w:w="912"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（4）</w:t>
            </w:r>
          </w:p>
        </w:tc>
        <w:tc>
          <w:tcPr>
            <w:tcW w:w="1068"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(5)</w:t>
            </w:r>
          </w:p>
        </w:tc>
        <w:tc>
          <w:tcPr>
            <w:tcW w:w="1080"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(6)</w:t>
            </w:r>
          </w:p>
        </w:tc>
        <w:tc>
          <w:tcPr>
            <w:tcW w:w="1044" w:type="dxa"/>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(7)</w:t>
            </w:r>
          </w:p>
        </w:tc>
        <w:tc>
          <w:tcPr>
            <w:tcW w:w="1116" w:type="dxa"/>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(8)</w:t>
            </w:r>
          </w:p>
        </w:tc>
        <w:tc>
          <w:tcPr>
            <w:tcW w:w="871" w:type="dxa"/>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(9)</w:t>
            </w:r>
          </w:p>
        </w:tc>
        <w:tc>
          <w:tcPr>
            <w:tcW w:w="1181" w:type="dxa"/>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（10）</w:t>
            </w:r>
          </w:p>
        </w:tc>
        <w:tc>
          <w:tcPr>
            <w:tcW w:w="996" w:type="dxa"/>
            <w:tcBorders>
              <w:right w:val="single" w:color="auto" w:sz="4" w:space="0"/>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(11)</w:t>
            </w:r>
          </w:p>
        </w:tc>
        <w:tc>
          <w:tcPr>
            <w:tcW w:w="1440" w:type="dxa"/>
            <w:tcBorders>
              <w:left w:val="single" w:color="auto" w:sz="4" w:space="0"/>
            </w:tcBorders>
            <w:vAlign w:val="center"/>
          </w:tcPr>
          <w:p>
            <w:pPr>
              <w:tabs>
                <w:tab w:val="center" w:pos="4755"/>
                <w:tab w:val="right" w:pos="9070"/>
              </w:tabs>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1812"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 xml:space="preserve"> （清单编码）</w:t>
            </w:r>
          </w:p>
        </w:tc>
        <w:tc>
          <w:tcPr>
            <w:tcW w:w="1836" w:type="dxa"/>
            <w:vAlign w:val="center"/>
          </w:tcPr>
          <w:p>
            <w:pPr>
              <w:tabs>
                <w:tab w:val="left" w:pos="3780"/>
              </w:tabs>
              <w:rPr>
                <w:rFonts w:ascii="宋体" w:hAnsi="宋体" w:cs="宋体"/>
                <w:color w:val="auto"/>
                <w:szCs w:val="21"/>
                <w:highlight w:val="none"/>
              </w:rPr>
            </w:pPr>
            <w:r>
              <w:rPr>
                <w:rFonts w:hint="eastAsia" w:ascii="宋体" w:hAnsi="宋体" w:cs="宋体"/>
                <w:color w:val="auto"/>
                <w:szCs w:val="21"/>
                <w:highlight w:val="none"/>
              </w:rPr>
              <w:t>（清单名称）</w:t>
            </w:r>
          </w:p>
        </w:tc>
        <w:tc>
          <w:tcPr>
            <w:tcW w:w="996" w:type="dxa"/>
            <w:vAlign w:val="center"/>
          </w:tcPr>
          <w:p>
            <w:pPr>
              <w:tabs>
                <w:tab w:val="left" w:pos="3780"/>
              </w:tabs>
              <w:ind w:firstLine="360"/>
              <w:jc w:val="center"/>
              <w:rPr>
                <w:rFonts w:ascii="宋体" w:hAnsi="宋体" w:cs="宋体"/>
                <w:color w:val="auto"/>
                <w:szCs w:val="21"/>
                <w:highlight w:val="none"/>
              </w:rPr>
            </w:pPr>
          </w:p>
        </w:tc>
        <w:tc>
          <w:tcPr>
            <w:tcW w:w="912" w:type="dxa"/>
            <w:vAlign w:val="center"/>
          </w:tcPr>
          <w:p>
            <w:pPr>
              <w:tabs>
                <w:tab w:val="left" w:pos="3780"/>
              </w:tabs>
              <w:ind w:firstLine="360"/>
              <w:jc w:val="center"/>
              <w:rPr>
                <w:rFonts w:ascii="宋体" w:hAnsi="宋体" w:cs="宋体"/>
                <w:color w:val="auto"/>
                <w:szCs w:val="21"/>
                <w:highlight w:val="none"/>
              </w:rPr>
            </w:pPr>
          </w:p>
        </w:tc>
        <w:tc>
          <w:tcPr>
            <w:tcW w:w="1068" w:type="dxa"/>
            <w:vAlign w:val="center"/>
          </w:tcPr>
          <w:p>
            <w:pPr>
              <w:tabs>
                <w:tab w:val="left" w:pos="3780"/>
              </w:tabs>
              <w:ind w:firstLine="360"/>
              <w:jc w:val="center"/>
              <w:rPr>
                <w:rFonts w:ascii="宋体" w:hAnsi="宋体" w:cs="宋体"/>
                <w:color w:val="auto"/>
                <w:szCs w:val="21"/>
                <w:highlight w:val="none"/>
              </w:rPr>
            </w:pPr>
          </w:p>
        </w:tc>
        <w:tc>
          <w:tcPr>
            <w:tcW w:w="1080" w:type="dxa"/>
            <w:vAlign w:val="center"/>
          </w:tcPr>
          <w:p>
            <w:pPr>
              <w:tabs>
                <w:tab w:val="left" w:pos="3780"/>
              </w:tabs>
              <w:ind w:firstLine="360"/>
              <w:jc w:val="center"/>
              <w:rPr>
                <w:rFonts w:ascii="宋体" w:hAnsi="宋体" w:cs="宋体"/>
                <w:color w:val="auto"/>
                <w:szCs w:val="21"/>
                <w:highlight w:val="none"/>
              </w:rPr>
            </w:pPr>
          </w:p>
        </w:tc>
        <w:tc>
          <w:tcPr>
            <w:tcW w:w="1044" w:type="dxa"/>
            <w:vAlign w:val="center"/>
          </w:tcPr>
          <w:p>
            <w:pPr>
              <w:tabs>
                <w:tab w:val="left" w:pos="3780"/>
              </w:tabs>
              <w:ind w:firstLine="360"/>
              <w:jc w:val="center"/>
              <w:rPr>
                <w:rFonts w:ascii="宋体" w:hAnsi="宋体" w:cs="宋体"/>
                <w:color w:val="auto"/>
                <w:szCs w:val="21"/>
                <w:highlight w:val="none"/>
              </w:rPr>
            </w:pPr>
          </w:p>
        </w:tc>
        <w:tc>
          <w:tcPr>
            <w:tcW w:w="1116" w:type="dxa"/>
            <w:vAlign w:val="center"/>
          </w:tcPr>
          <w:p>
            <w:pPr>
              <w:tabs>
                <w:tab w:val="left" w:pos="3780"/>
              </w:tabs>
              <w:ind w:firstLine="360"/>
              <w:jc w:val="center"/>
              <w:rPr>
                <w:rFonts w:ascii="宋体" w:hAnsi="宋体" w:cs="宋体"/>
                <w:color w:val="auto"/>
                <w:szCs w:val="21"/>
                <w:highlight w:val="none"/>
              </w:rPr>
            </w:pPr>
          </w:p>
        </w:tc>
        <w:tc>
          <w:tcPr>
            <w:tcW w:w="871" w:type="dxa"/>
            <w:vAlign w:val="center"/>
          </w:tcPr>
          <w:p>
            <w:pPr>
              <w:tabs>
                <w:tab w:val="left" w:pos="3780"/>
              </w:tabs>
              <w:ind w:firstLine="360"/>
              <w:jc w:val="center"/>
              <w:rPr>
                <w:rFonts w:ascii="宋体" w:hAnsi="宋体" w:cs="宋体"/>
                <w:color w:val="auto"/>
                <w:szCs w:val="21"/>
                <w:highlight w:val="none"/>
              </w:rPr>
            </w:pPr>
          </w:p>
        </w:tc>
        <w:tc>
          <w:tcPr>
            <w:tcW w:w="1181" w:type="dxa"/>
            <w:vAlign w:val="center"/>
          </w:tcPr>
          <w:p>
            <w:pPr>
              <w:tabs>
                <w:tab w:val="left" w:pos="3780"/>
              </w:tabs>
              <w:ind w:firstLine="360"/>
              <w:jc w:val="center"/>
              <w:rPr>
                <w:rFonts w:ascii="宋体" w:hAnsi="宋体" w:cs="宋体"/>
                <w:color w:val="auto"/>
                <w:szCs w:val="21"/>
                <w:highlight w:val="none"/>
              </w:rPr>
            </w:pPr>
          </w:p>
        </w:tc>
        <w:tc>
          <w:tcPr>
            <w:tcW w:w="996" w:type="dxa"/>
            <w:tcBorders>
              <w:right w:val="single" w:color="auto" w:sz="4" w:space="0"/>
            </w:tcBorders>
            <w:vAlign w:val="center"/>
          </w:tcPr>
          <w:p>
            <w:pPr>
              <w:tabs>
                <w:tab w:val="left" w:pos="3780"/>
              </w:tabs>
              <w:ind w:firstLine="360"/>
              <w:jc w:val="center"/>
              <w:rPr>
                <w:rFonts w:ascii="宋体" w:hAnsi="宋体" w:cs="宋体"/>
                <w:color w:val="auto"/>
                <w:szCs w:val="21"/>
                <w:highlight w:val="none"/>
              </w:rPr>
            </w:pPr>
          </w:p>
        </w:tc>
        <w:tc>
          <w:tcPr>
            <w:tcW w:w="1440" w:type="dxa"/>
            <w:tcBorders>
              <w:left w:val="single" w:color="auto" w:sz="4" w:space="0"/>
            </w:tcBorders>
            <w:vAlign w:val="center"/>
          </w:tcPr>
          <w:p>
            <w:pPr>
              <w:tabs>
                <w:tab w:val="left" w:pos="3780"/>
              </w:tabs>
              <w:ind w:firstLine="36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宋体" w:hAnsi="宋体" w:cs="宋体"/>
                <w:color w:val="auto"/>
                <w:szCs w:val="21"/>
                <w:highlight w:val="none"/>
              </w:rPr>
            </w:pPr>
          </w:p>
        </w:tc>
        <w:tc>
          <w:tcPr>
            <w:tcW w:w="1812"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 xml:space="preserve"> （定额编号）</w:t>
            </w:r>
          </w:p>
        </w:tc>
        <w:tc>
          <w:tcPr>
            <w:tcW w:w="1836" w:type="dxa"/>
            <w:vAlign w:val="center"/>
          </w:tcPr>
          <w:p>
            <w:pPr>
              <w:tabs>
                <w:tab w:val="left" w:pos="3780"/>
              </w:tabs>
              <w:rPr>
                <w:rFonts w:ascii="宋体" w:hAnsi="宋体" w:cs="宋体"/>
                <w:color w:val="auto"/>
                <w:szCs w:val="21"/>
                <w:highlight w:val="none"/>
              </w:rPr>
            </w:pPr>
            <w:r>
              <w:rPr>
                <w:rFonts w:hint="eastAsia" w:ascii="宋体" w:hAnsi="宋体" w:cs="宋体"/>
                <w:color w:val="auto"/>
                <w:szCs w:val="21"/>
                <w:highlight w:val="none"/>
              </w:rPr>
              <w:t>（定额名称）</w:t>
            </w:r>
          </w:p>
        </w:tc>
        <w:tc>
          <w:tcPr>
            <w:tcW w:w="996" w:type="dxa"/>
            <w:vAlign w:val="center"/>
          </w:tcPr>
          <w:p>
            <w:pPr>
              <w:tabs>
                <w:tab w:val="left" w:pos="3780"/>
              </w:tabs>
              <w:ind w:firstLine="360"/>
              <w:jc w:val="center"/>
              <w:rPr>
                <w:rFonts w:ascii="宋体" w:hAnsi="宋体" w:cs="宋体"/>
                <w:color w:val="auto"/>
                <w:szCs w:val="21"/>
                <w:highlight w:val="none"/>
              </w:rPr>
            </w:pPr>
          </w:p>
        </w:tc>
        <w:tc>
          <w:tcPr>
            <w:tcW w:w="912" w:type="dxa"/>
            <w:vAlign w:val="center"/>
          </w:tcPr>
          <w:p>
            <w:pPr>
              <w:tabs>
                <w:tab w:val="left" w:pos="3780"/>
              </w:tabs>
              <w:ind w:firstLine="360"/>
              <w:jc w:val="center"/>
              <w:rPr>
                <w:rFonts w:ascii="宋体" w:hAnsi="宋体" w:cs="宋体"/>
                <w:color w:val="auto"/>
                <w:szCs w:val="21"/>
                <w:highlight w:val="none"/>
              </w:rPr>
            </w:pPr>
          </w:p>
        </w:tc>
        <w:tc>
          <w:tcPr>
            <w:tcW w:w="1068" w:type="dxa"/>
            <w:vAlign w:val="center"/>
          </w:tcPr>
          <w:p>
            <w:pPr>
              <w:tabs>
                <w:tab w:val="left" w:pos="3780"/>
              </w:tabs>
              <w:ind w:firstLine="360"/>
              <w:jc w:val="center"/>
              <w:rPr>
                <w:rFonts w:ascii="宋体" w:hAnsi="宋体" w:cs="宋体"/>
                <w:color w:val="auto"/>
                <w:szCs w:val="21"/>
                <w:highlight w:val="none"/>
              </w:rPr>
            </w:pPr>
          </w:p>
        </w:tc>
        <w:tc>
          <w:tcPr>
            <w:tcW w:w="1080" w:type="dxa"/>
            <w:vAlign w:val="center"/>
          </w:tcPr>
          <w:p>
            <w:pPr>
              <w:tabs>
                <w:tab w:val="left" w:pos="3780"/>
              </w:tabs>
              <w:ind w:firstLine="360"/>
              <w:jc w:val="center"/>
              <w:rPr>
                <w:rFonts w:ascii="宋体" w:hAnsi="宋体" w:cs="宋体"/>
                <w:color w:val="auto"/>
                <w:szCs w:val="21"/>
                <w:highlight w:val="none"/>
              </w:rPr>
            </w:pPr>
          </w:p>
        </w:tc>
        <w:tc>
          <w:tcPr>
            <w:tcW w:w="1044" w:type="dxa"/>
            <w:vAlign w:val="center"/>
          </w:tcPr>
          <w:p>
            <w:pPr>
              <w:tabs>
                <w:tab w:val="left" w:pos="3780"/>
              </w:tabs>
              <w:ind w:firstLine="360"/>
              <w:jc w:val="center"/>
              <w:rPr>
                <w:rFonts w:ascii="宋体" w:hAnsi="宋体" w:cs="宋体"/>
                <w:color w:val="auto"/>
                <w:szCs w:val="21"/>
                <w:highlight w:val="none"/>
              </w:rPr>
            </w:pPr>
          </w:p>
        </w:tc>
        <w:tc>
          <w:tcPr>
            <w:tcW w:w="1116" w:type="dxa"/>
            <w:vAlign w:val="center"/>
          </w:tcPr>
          <w:p>
            <w:pPr>
              <w:tabs>
                <w:tab w:val="left" w:pos="3780"/>
              </w:tabs>
              <w:ind w:firstLine="360"/>
              <w:jc w:val="center"/>
              <w:rPr>
                <w:rFonts w:ascii="宋体" w:hAnsi="宋体" w:cs="宋体"/>
                <w:color w:val="auto"/>
                <w:szCs w:val="21"/>
                <w:highlight w:val="none"/>
              </w:rPr>
            </w:pPr>
          </w:p>
        </w:tc>
        <w:tc>
          <w:tcPr>
            <w:tcW w:w="871" w:type="dxa"/>
            <w:vAlign w:val="center"/>
          </w:tcPr>
          <w:p>
            <w:pPr>
              <w:tabs>
                <w:tab w:val="left" w:pos="3780"/>
              </w:tabs>
              <w:ind w:firstLine="360"/>
              <w:jc w:val="center"/>
              <w:rPr>
                <w:rFonts w:ascii="宋体" w:hAnsi="宋体" w:cs="宋体"/>
                <w:color w:val="auto"/>
                <w:szCs w:val="21"/>
                <w:highlight w:val="none"/>
              </w:rPr>
            </w:pPr>
          </w:p>
        </w:tc>
        <w:tc>
          <w:tcPr>
            <w:tcW w:w="1181" w:type="dxa"/>
            <w:vAlign w:val="center"/>
          </w:tcPr>
          <w:p>
            <w:pPr>
              <w:tabs>
                <w:tab w:val="left" w:pos="3780"/>
              </w:tabs>
              <w:ind w:firstLine="360"/>
              <w:jc w:val="center"/>
              <w:rPr>
                <w:rFonts w:ascii="宋体" w:hAnsi="宋体" w:cs="宋体"/>
                <w:color w:val="auto"/>
                <w:szCs w:val="21"/>
                <w:highlight w:val="none"/>
              </w:rPr>
            </w:pPr>
          </w:p>
        </w:tc>
        <w:tc>
          <w:tcPr>
            <w:tcW w:w="996" w:type="dxa"/>
            <w:vAlign w:val="center"/>
          </w:tcPr>
          <w:p>
            <w:pPr>
              <w:tabs>
                <w:tab w:val="left" w:pos="3780"/>
              </w:tabs>
              <w:ind w:firstLine="360"/>
              <w:jc w:val="center"/>
              <w:rPr>
                <w:rFonts w:ascii="宋体" w:hAnsi="宋体" w:cs="宋体"/>
                <w:color w:val="auto"/>
                <w:szCs w:val="21"/>
                <w:highlight w:val="none"/>
              </w:rPr>
            </w:pPr>
          </w:p>
        </w:tc>
        <w:tc>
          <w:tcPr>
            <w:tcW w:w="1440" w:type="dxa"/>
            <w:vAlign w:val="center"/>
          </w:tcPr>
          <w:p>
            <w:pPr>
              <w:tabs>
                <w:tab w:val="left" w:pos="3780"/>
              </w:tabs>
              <w:ind w:firstLine="36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宋体" w:hAnsi="宋体" w:cs="宋体"/>
                <w:color w:val="auto"/>
                <w:szCs w:val="21"/>
                <w:highlight w:val="none"/>
              </w:rPr>
            </w:pPr>
          </w:p>
        </w:tc>
        <w:tc>
          <w:tcPr>
            <w:tcW w:w="1812"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w:t>
            </w:r>
          </w:p>
        </w:tc>
        <w:tc>
          <w:tcPr>
            <w:tcW w:w="1836"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w:t>
            </w:r>
          </w:p>
        </w:tc>
        <w:tc>
          <w:tcPr>
            <w:tcW w:w="996" w:type="dxa"/>
            <w:vAlign w:val="center"/>
          </w:tcPr>
          <w:p>
            <w:pPr>
              <w:tabs>
                <w:tab w:val="left" w:pos="3780"/>
              </w:tabs>
              <w:jc w:val="center"/>
              <w:rPr>
                <w:rFonts w:ascii="宋体" w:hAnsi="宋体" w:cs="宋体"/>
                <w:color w:val="auto"/>
                <w:szCs w:val="21"/>
                <w:highlight w:val="none"/>
              </w:rPr>
            </w:pPr>
          </w:p>
        </w:tc>
        <w:tc>
          <w:tcPr>
            <w:tcW w:w="912" w:type="dxa"/>
            <w:vAlign w:val="center"/>
          </w:tcPr>
          <w:p>
            <w:pPr>
              <w:tabs>
                <w:tab w:val="left" w:pos="3780"/>
              </w:tabs>
              <w:jc w:val="center"/>
              <w:rPr>
                <w:rFonts w:ascii="宋体" w:hAnsi="宋体" w:cs="宋体"/>
                <w:color w:val="auto"/>
                <w:szCs w:val="21"/>
                <w:highlight w:val="none"/>
              </w:rPr>
            </w:pPr>
          </w:p>
        </w:tc>
        <w:tc>
          <w:tcPr>
            <w:tcW w:w="1068" w:type="dxa"/>
            <w:vAlign w:val="center"/>
          </w:tcPr>
          <w:p>
            <w:pPr>
              <w:tabs>
                <w:tab w:val="left" w:pos="3780"/>
              </w:tabs>
              <w:jc w:val="center"/>
              <w:rPr>
                <w:rFonts w:ascii="宋体" w:hAnsi="宋体" w:cs="宋体"/>
                <w:color w:val="auto"/>
                <w:szCs w:val="21"/>
                <w:highlight w:val="none"/>
              </w:rPr>
            </w:pPr>
          </w:p>
        </w:tc>
        <w:tc>
          <w:tcPr>
            <w:tcW w:w="1080" w:type="dxa"/>
            <w:vAlign w:val="center"/>
          </w:tcPr>
          <w:p>
            <w:pPr>
              <w:tabs>
                <w:tab w:val="left" w:pos="3780"/>
              </w:tabs>
              <w:jc w:val="center"/>
              <w:rPr>
                <w:rFonts w:ascii="宋体" w:hAnsi="宋体" w:cs="宋体"/>
                <w:color w:val="auto"/>
                <w:szCs w:val="21"/>
                <w:highlight w:val="none"/>
              </w:rPr>
            </w:pPr>
          </w:p>
        </w:tc>
        <w:tc>
          <w:tcPr>
            <w:tcW w:w="1044" w:type="dxa"/>
            <w:vAlign w:val="center"/>
          </w:tcPr>
          <w:p>
            <w:pPr>
              <w:tabs>
                <w:tab w:val="left" w:pos="3780"/>
              </w:tabs>
              <w:jc w:val="center"/>
              <w:rPr>
                <w:rFonts w:ascii="宋体" w:hAnsi="宋体" w:cs="宋体"/>
                <w:color w:val="auto"/>
                <w:szCs w:val="21"/>
                <w:highlight w:val="none"/>
              </w:rPr>
            </w:pPr>
          </w:p>
        </w:tc>
        <w:tc>
          <w:tcPr>
            <w:tcW w:w="1116" w:type="dxa"/>
            <w:vAlign w:val="center"/>
          </w:tcPr>
          <w:p>
            <w:pPr>
              <w:tabs>
                <w:tab w:val="left" w:pos="3780"/>
              </w:tabs>
              <w:jc w:val="center"/>
              <w:rPr>
                <w:rFonts w:ascii="宋体" w:hAnsi="宋体" w:cs="宋体"/>
                <w:color w:val="auto"/>
                <w:szCs w:val="21"/>
                <w:highlight w:val="none"/>
              </w:rPr>
            </w:pPr>
          </w:p>
        </w:tc>
        <w:tc>
          <w:tcPr>
            <w:tcW w:w="871" w:type="dxa"/>
            <w:vAlign w:val="center"/>
          </w:tcPr>
          <w:p>
            <w:pPr>
              <w:tabs>
                <w:tab w:val="left" w:pos="3780"/>
              </w:tabs>
              <w:jc w:val="center"/>
              <w:rPr>
                <w:rFonts w:ascii="宋体" w:hAnsi="宋体" w:cs="宋体"/>
                <w:color w:val="auto"/>
                <w:szCs w:val="21"/>
                <w:highlight w:val="none"/>
              </w:rPr>
            </w:pPr>
          </w:p>
        </w:tc>
        <w:tc>
          <w:tcPr>
            <w:tcW w:w="1181" w:type="dxa"/>
            <w:vAlign w:val="center"/>
          </w:tcPr>
          <w:p>
            <w:pPr>
              <w:tabs>
                <w:tab w:val="left" w:pos="3780"/>
              </w:tabs>
              <w:jc w:val="center"/>
              <w:rPr>
                <w:rFonts w:ascii="宋体" w:hAnsi="宋体" w:cs="宋体"/>
                <w:color w:val="auto"/>
                <w:szCs w:val="21"/>
                <w:highlight w:val="none"/>
              </w:rPr>
            </w:pPr>
          </w:p>
        </w:tc>
        <w:tc>
          <w:tcPr>
            <w:tcW w:w="996" w:type="dxa"/>
            <w:vAlign w:val="center"/>
          </w:tcPr>
          <w:p>
            <w:pPr>
              <w:tabs>
                <w:tab w:val="left" w:pos="3780"/>
              </w:tabs>
              <w:jc w:val="center"/>
              <w:rPr>
                <w:rFonts w:ascii="宋体" w:hAnsi="宋体" w:cs="宋体"/>
                <w:color w:val="auto"/>
                <w:szCs w:val="21"/>
                <w:highlight w:val="none"/>
              </w:rPr>
            </w:pPr>
          </w:p>
        </w:tc>
        <w:tc>
          <w:tcPr>
            <w:tcW w:w="1440"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2</w:t>
            </w:r>
          </w:p>
        </w:tc>
        <w:tc>
          <w:tcPr>
            <w:tcW w:w="1812"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（清单编码）</w:t>
            </w:r>
          </w:p>
        </w:tc>
        <w:tc>
          <w:tcPr>
            <w:tcW w:w="1836"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（清单名称）</w:t>
            </w:r>
          </w:p>
        </w:tc>
        <w:tc>
          <w:tcPr>
            <w:tcW w:w="996" w:type="dxa"/>
            <w:vAlign w:val="center"/>
          </w:tcPr>
          <w:p>
            <w:pPr>
              <w:tabs>
                <w:tab w:val="left" w:pos="3780"/>
              </w:tabs>
              <w:ind w:firstLine="360"/>
              <w:jc w:val="center"/>
              <w:rPr>
                <w:rFonts w:ascii="宋体" w:hAnsi="宋体" w:cs="宋体"/>
                <w:color w:val="auto"/>
                <w:szCs w:val="21"/>
                <w:highlight w:val="none"/>
              </w:rPr>
            </w:pPr>
          </w:p>
        </w:tc>
        <w:tc>
          <w:tcPr>
            <w:tcW w:w="912" w:type="dxa"/>
            <w:vAlign w:val="center"/>
          </w:tcPr>
          <w:p>
            <w:pPr>
              <w:tabs>
                <w:tab w:val="left" w:pos="3780"/>
              </w:tabs>
              <w:ind w:firstLine="360"/>
              <w:jc w:val="center"/>
              <w:rPr>
                <w:rFonts w:ascii="宋体" w:hAnsi="宋体" w:cs="宋体"/>
                <w:color w:val="auto"/>
                <w:szCs w:val="21"/>
                <w:highlight w:val="none"/>
              </w:rPr>
            </w:pPr>
          </w:p>
        </w:tc>
        <w:tc>
          <w:tcPr>
            <w:tcW w:w="1068" w:type="dxa"/>
            <w:vAlign w:val="center"/>
          </w:tcPr>
          <w:p>
            <w:pPr>
              <w:tabs>
                <w:tab w:val="left" w:pos="3780"/>
              </w:tabs>
              <w:ind w:firstLine="360"/>
              <w:jc w:val="center"/>
              <w:rPr>
                <w:rFonts w:ascii="宋体" w:hAnsi="宋体" w:cs="宋体"/>
                <w:color w:val="auto"/>
                <w:szCs w:val="21"/>
                <w:highlight w:val="none"/>
              </w:rPr>
            </w:pPr>
          </w:p>
        </w:tc>
        <w:tc>
          <w:tcPr>
            <w:tcW w:w="1080" w:type="dxa"/>
            <w:vAlign w:val="center"/>
          </w:tcPr>
          <w:p>
            <w:pPr>
              <w:tabs>
                <w:tab w:val="left" w:pos="3780"/>
              </w:tabs>
              <w:ind w:firstLine="360"/>
              <w:jc w:val="center"/>
              <w:rPr>
                <w:rFonts w:ascii="宋体" w:hAnsi="宋体" w:cs="宋体"/>
                <w:color w:val="auto"/>
                <w:szCs w:val="21"/>
                <w:highlight w:val="none"/>
              </w:rPr>
            </w:pPr>
          </w:p>
        </w:tc>
        <w:tc>
          <w:tcPr>
            <w:tcW w:w="1044" w:type="dxa"/>
            <w:vAlign w:val="center"/>
          </w:tcPr>
          <w:p>
            <w:pPr>
              <w:tabs>
                <w:tab w:val="left" w:pos="3780"/>
              </w:tabs>
              <w:ind w:firstLine="360"/>
              <w:jc w:val="center"/>
              <w:rPr>
                <w:rFonts w:ascii="宋体" w:hAnsi="宋体" w:cs="宋体"/>
                <w:color w:val="auto"/>
                <w:szCs w:val="21"/>
                <w:highlight w:val="none"/>
              </w:rPr>
            </w:pPr>
          </w:p>
        </w:tc>
        <w:tc>
          <w:tcPr>
            <w:tcW w:w="1116" w:type="dxa"/>
            <w:vAlign w:val="center"/>
          </w:tcPr>
          <w:p>
            <w:pPr>
              <w:tabs>
                <w:tab w:val="left" w:pos="3780"/>
              </w:tabs>
              <w:ind w:firstLine="360"/>
              <w:jc w:val="center"/>
              <w:rPr>
                <w:rFonts w:ascii="宋体" w:hAnsi="宋体" w:cs="宋体"/>
                <w:color w:val="auto"/>
                <w:szCs w:val="21"/>
                <w:highlight w:val="none"/>
              </w:rPr>
            </w:pPr>
          </w:p>
        </w:tc>
        <w:tc>
          <w:tcPr>
            <w:tcW w:w="871" w:type="dxa"/>
            <w:vAlign w:val="center"/>
          </w:tcPr>
          <w:p>
            <w:pPr>
              <w:tabs>
                <w:tab w:val="left" w:pos="3780"/>
              </w:tabs>
              <w:ind w:firstLine="360"/>
              <w:jc w:val="center"/>
              <w:rPr>
                <w:rFonts w:ascii="宋体" w:hAnsi="宋体" w:cs="宋体"/>
                <w:color w:val="auto"/>
                <w:szCs w:val="21"/>
                <w:highlight w:val="none"/>
              </w:rPr>
            </w:pPr>
          </w:p>
        </w:tc>
        <w:tc>
          <w:tcPr>
            <w:tcW w:w="1181" w:type="dxa"/>
            <w:vAlign w:val="center"/>
          </w:tcPr>
          <w:p>
            <w:pPr>
              <w:tabs>
                <w:tab w:val="left" w:pos="3780"/>
              </w:tabs>
              <w:ind w:firstLine="360"/>
              <w:jc w:val="center"/>
              <w:rPr>
                <w:rFonts w:ascii="宋体" w:hAnsi="宋体" w:cs="宋体"/>
                <w:color w:val="auto"/>
                <w:szCs w:val="21"/>
                <w:highlight w:val="none"/>
              </w:rPr>
            </w:pPr>
          </w:p>
        </w:tc>
        <w:tc>
          <w:tcPr>
            <w:tcW w:w="996" w:type="dxa"/>
            <w:vAlign w:val="center"/>
          </w:tcPr>
          <w:p>
            <w:pPr>
              <w:tabs>
                <w:tab w:val="left" w:pos="3780"/>
              </w:tabs>
              <w:ind w:firstLine="360"/>
              <w:jc w:val="center"/>
              <w:rPr>
                <w:rFonts w:ascii="宋体" w:hAnsi="宋体" w:cs="宋体"/>
                <w:color w:val="auto"/>
                <w:szCs w:val="21"/>
                <w:highlight w:val="none"/>
              </w:rPr>
            </w:pPr>
          </w:p>
        </w:tc>
        <w:tc>
          <w:tcPr>
            <w:tcW w:w="1440" w:type="dxa"/>
            <w:vAlign w:val="center"/>
          </w:tcPr>
          <w:p>
            <w:pPr>
              <w:tabs>
                <w:tab w:val="left" w:pos="3780"/>
              </w:tabs>
              <w:ind w:firstLine="36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宋体" w:hAnsi="宋体" w:cs="宋体"/>
                <w:color w:val="auto"/>
                <w:szCs w:val="21"/>
                <w:highlight w:val="none"/>
              </w:rPr>
            </w:pPr>
          </w:p>
        </w:tc>
        <w:tc>
          <w:tcPr>
            <w:tcW w:w="1812"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（定额编号）</w:t>
            </w:r>
          </w:p>
        </w:tc>
        <w:tc>
          <w:tcPr>
            <w:tcW w:w="1836"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（定额名称）</w:t>
            </w:r>
          </w:p>
        </w:tc>
        <w:tc>
          <w:tcPr>
            <w:tcW w:w="996" w:type="dxa"/>
            <w:vAlign w:val="center"/>
          </w:tcPr>
          <w:p>
            <w:pPr>
              <w:tabs>
                <w:tab w:val="left" w:pos="3780"/>
              </w:tabs>
              <w:ind w:firstLine="360"/>
              <w:jc w:val="center"/>
              <w:rPr>
                <w:rFonts w:ascii="宋体" w:hAnsi="宋体" w:cs="宋体"/>
                <w:color w:val="auto"/>
                <w:szCs w:val="21"/>
                <w:highlight w:val="none"/>
              </w:rPr>
            </w:pPr>
          </w:p>
        </w:tc>
        <w:tc>
          <w:tcPr>
            <w:tcW w:w="912" w:type="dxa"/>
            <w:vAlign w:val="center"/>
          </w:tcPr>
          <w:p>
            <w:pPr>
              <w:tabs>
                <w:tab w:val="left" w:pos="3780"/>
              </w:tabs>
              <w:ind w:firstLine="360"/>
              <w:jc w:val="center"/>
              <w:rPr>
                <w:rFonts w:ascii="宋体" w:hAnsi="宋体" w:cs="宋体"/>
                <w:color w:val="auto"/>
                <w:szCs w:val="21"/>
                <w:highlight w:val="none"/>
              </w:rPr>
            </w:pPr>
          </w:p>
        </w:tc>
        <w:tc>
          <w:tcPr>
            <w:tcW w:w="1068" w:type="dxa"/>
            <w:vAlign w:val="center"/>
          </w:tcPr>
          <w:p>
            <w:pPr>
              <w:tabs>
                <w:tab w:val="left" w:pos="3780"/>
              </w:tabs>
              <w:ind w:firstLine="360"/>
              <w:jc w:val="center"/>
              <w:rPr>
                <w:rFonts w:ascii="宋体" w:hAnsi="宋体" w:cs="宋体"/>
                <w:color w:val="auto"/>
                <w:szCs w:val="21"/>
                <w:highlight w:val="none"/>
              </w:rPr>
            </w:pPr>
          </w:p>
        </w:tc>
        <w:tc>
          <w:tcPr>
            <w:tcW w:w="1080" w:type="dxa"/>
            <w:vAlign w:val="center"/>
          </w:tcPr>
          <w:p>
            <w:pPr>
              <w:tabs>
                <w:tab w:val="left" w:pos="3780"/>
              </w:tabs>
              <w:ind w:firstLine="360"/>
              <w:jc w:val="center"/>
              <w:rPr>
                <w:rFonts w:ascii="宋体" w:hAnsi="宋体" w:cs="宋体"/>
                <w:color w:val="auto"/>
                <w:szCs w:val="21"/>
                <w:highlight w:val="none"/>
              </w:rPr>
            </w:pPr>
          </w:p>
        </w:tc>
        <w:tc>
          <w:tcPr>
            <w:tcW w:w="1044" w:type="dxa"/>
            <w:vAlign w:val="center"/>
          </w:tcPr>
          <w:p>
            <w:pPr>
              <w:tabs>
                <w:tab w:val="left" w:pos="3780"/>
              </w:tabs>
              <w:ind w:firstLine="360"/>
              <w:jc w:val="center"/>
              <w:rPr>
                <w:rFonts w:ascii="宋体" w:hAnsi="宋体" w:cs="宋体"/>
                <w:color w:val="auto"/>
                <w:szCs w:val="21"/>
                <w:highlight w:val="none"/>
              </w:rPr>
            </w:pPr>
          </w:p>
        </w:tc>
        <w:tc>
          <w:tcPr>
            <w:tcW w:w="1116" w:type="dxa"/>
            <w:vAlign w:val="center"/>
          </w:tcPr>
          <w:p>
            <w:pPr>
              <w:tabs>
                <w:tab w:val="left" w:pos="3780"/>
              </w:tabs>
              <w:ind w:firstLine="360"/>
              <w:jc w:val="center"/>
              <w:rPr>
                <w:rFonts w:ascii="宋体" w:hAnsi="宋体" w:cs="宋体"/>
                <w:color w:val="auto"/>
                <w:szCs w:val="21"/>
                <w:highlight w:val="none"/>
              </w:rPr>
            </w:pPr>
          </w:p>
        </w:tc>
        <w:tc>
          <w:tcPr>
            <w:tcW w:w="871" w:type="dxa"/>
            <w:vAlign w:val="center"/>
          </w:tcPr>
          <w:p>
            <w:pPr>
              <w:tabs>
                <w:tab w:val="left" w:pos="3780"/>
              </w:tabs>
              <w:ind w:firstLine="360"/>
              <w:jc w:val="center"/>
              <w:rPr>
                <w:rFonts w:ascii="宋体" w:hAnsi="宋体" w:cs="宋体"/>
                <w:color w:val="auto"/>
                <w:szCs w:val="21"/>
                <w:highlight w:val="none"/>
              </w:rPr>
            </w:pPr>
          </w:p>
        </w:tc>
        <w:tc>
          <w:tcPr>
            <w:tcW w:w="1181" w:type="dxa"/>
            <w:vAlign w:val="center"/>
          </w:tcPr>
          <w:p>
            <w:pPr>
              <w:tabs>
                <w:tab w:val="left" w:pos="3780"/>
              </w:tabs>
              <w:ind w:firstLine="360"/>
              <w:jc w:val="center"/>
              <w:rPr>
                <w:rFonts w:ascii="宋体" w:hAnsi="宋体" w:cs="宋体"/>
                <w:color w:val="auto"/>
                <w:szCs w:val="21"/>
                <w:highlight w:val="none"/>
              </w:rPr>
            </w:pPr>
          </w:p>
        </w:tc>
        <w:tc>
          <w:tcPr>
            <w:tcW w:w="996" w:type="dxa"/>
            <w:vAlign w:val="center"/>
          </w:tcPr>
          <w:p>
            <w:pPr>
              <w:tabs>
                <w:tab w:val="left" w:pos="3780"/>
              </w:tabs>
              <w:ind w:firstLine="360"/>
              <w:jc w:val="center"/>
              <w:rPr>
                <w:rFonts w:ascii="宋体" w:hAnsi="宋体" w:cs="宋体"/>
                <w:color w:val="auto"/>
                <w:szCs w:val="21"/>
                <w:highlight w:val="none"/>
              </w:rPr>
            </w:pPr>
          </w:p>
        </w:tc>
        <w:tc>
          <w:tcPr>
            <w:tcW w:w="1440" w:type="dxa"/>
            <w:vAlign w:val="center"/>
          </w:tcPr>
          <w:p>
            <w:pPr>
              <w:tabs>
                <w:tab w:val="left" w:pos="3780"/>
              </w:tabs>
              <w:ind w:firstLine="360"/>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pPr>
              <w:tabs>
                <w:tab w:val="left" w:pos="3780"/>
              </w:tabs>
              <w:jc w:val="center"/>
              <w:rPr>
                <w:rFonts w:ascii="宋体" w:hAnsi="宋体" w:cs="宋体"/>
                <w:color w:val="auto"/>
                <w:szCs w:val="21"/>
                <w:highlight w:val="none"/>
              </w:rPr>
            </w:pPr>
          </w:p>
        </w:tc>
        <w:tc>
          <w:tcPr>
            <w:tcW w:w="1812"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w:t>
            </w:r>
          </w:p>
        </w:tc>
        <w:tc>
          <w:tcPr>
            <w:tcW w:w="1836" w:type="dxa"/>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w:t>
            </w:r>
          </w:p>
        </w:tc>
        <w:tc>
          <w:tcPr>
            <w:tcW w:w="996" w:type="dxa"/>
            <w:vAlign w:val="center"/>
          </w:tcPr>
          <w:p>
            <w:pPr>
              <w:tabs>
                <w:tab w:val="left" w:pos="3780"/>
              </w:tabs>
              <w:jc w:val="center"/>
              <w:rPr>
                <w:rFonts w:ascii="宋体" w:hAnsi="宋体" w:cs="宋体"/>
                <w:color w:val="auto"/>
                <w:szCs w:val="21"/>
                <w:highlight w:val="none"/>
              </w:rPr>
            </w:pPr>
          </w:p>
        </w:tc>
        <w:tc>
          <w:tcPr>
            <w:tcW w:w="912" w:type="dxa"/>
            <w:vAlign w:val="center"/>
          </w:tcPr>
          <w:p>
            <w:pPr>
              <w:tabs>
                <w:tab w:val="left" w:pos="3780"/>
              </w:tabs>
              <w:jc w:val="center"/>
              <w:rPr>
                <w:rFonts w:ascii="宋体" w:hAnsi="宋体" w:cs="宋体"/>
                <w:color w:val="auto"/>
                <w:szCs w:val="21"/>
                <w:highlight w:val="none"/>
              </w:rPr>
            </w:pPr>
          </w:p>
        </w:tc>
        <w:tc>
          <w:tcPr>
            <w:tcW w:w="1068" w:type="dxa"/>
            <w:vAlign w:val="center"/>
          </w:tcPr>
          <w:p>
            <w:pPr>
              <w:tabs>
                <w:tab w:val="left" w:pos="3780"/>
              </w:tabs>
              <w:jc w:val="center"/>
              <w:rPr>
                <w:rFonts w:ascii="宋体" w:hAnsi="宋体" w:cs="宋体"/>
                <w:color w:val="auto"/>
                <w:szCs w:val="21"/>
                <w:highlight w:val="none"/>
              </w:rPr>
            </w:pPr>
          </w:p>
        </w:tc>
        <w:tc>
          <w:tcPr>
            <w:tcW w:w="1080" w:type="dxa"/>
            <w:vAlign w:val="center"/>
          </w:tcPr>
          <w:p>
            <w:pPr>
              <w:tabs>
                <w:tab w:val="left" w:pos="3780"/>
              </w:tabs>
              <w:jc w:val="center"/>
              <w:rPr>
                <w:rFonts w:ascii="宋体" w:hAnsi="宋体" w:cs="宋体"/>
                <w:color w:val="auto"/>
                <w:szCs w:val="21"/>
                <w:highlight w:val="none"/>
              </w:rPr>
            </w:pPr>
          </w:p>
        </w:tc>
        <w:tc>
          <w:tcPr>
            <w:tcW w:w="1044" w:type="dxa"/>
            <w:vAlign w:val="center"/>
          </w:tcPr>
          <w:p>
            <w:pPr>
              <w:tabs>
                <w:tab w:val="left" w:pos="3780"/>
              </w:tabs>
              <w:jc w:val="center"/>
              <w:rPr>
                <w:rFonts w:ascii="宋体" w:hAnsi="宋体" w:cs="宋体"/>
                <w:color w:val="auto"/>
                <w:szCs w:val="21"/>
                <w:highlight w:val="none"/>
              </w:rPr>
            </w:pPr>
          </w:p>
        </w:tc>
        <w:tc>
          <w:tcPr>
            <w:tcW w:w="1116" w:type="dxa"/>
            <w:vAlign w:val="center"/>
          </w:tcPr>
          <w:p>
            <w:pPr>
              <w:tabs>
                <w:tab w:val="left" w:pos="3780"/>
              </w:tabs>
              <w:jc w:val="center"/>
              <w:rPr>
                <w:rFonts w:ascii="宋体" w:hAnsi="宋体" w:cs="宋体"/>
                <w:color w:val="auto"/>
                <w:szCs w:val="21"/>
                <w:highlight w:val="none"/>
              </w:rPr>
            </w:pPr>
          </w:p>
        </w:tc>
        <w:tc>
          <w:tcPr>
            <w:tcW w:w="871" w:type="dxa"/>
            <w:vAlign w:val="center"/>
          </w:tcPr>
          <w:p>
            <w:pPr>
              <w:tabs>
                <w:tab w:val="left" w:pos="3780"/>
              </w:tabs>
              <w:jc w:val="center"/>
              <w:rPr>
                <w:rFonts w:ascii="宋体" w:hAnsi="宋体" w:cs="宋体"/>
                <w:color w:val="auto"/>
                <w:szCs w:val="21"/>
                <w:highlight w:val="none"/>
              </w:rPr>
            </w:pPr>
          </w:p>
        </w:tc>
        <w:tc>
          <w:tcPr>
            <w:tcW w:w="1181" w:type="dxa"/>
            <w:vAlign w:val="center"/>
          </w:tcPr>
          <w:p>
            <w:pPr>
              <w:tabs>
                <w:tab w:val="left" w:pos="3780"/>
              </w:tabs>
              <w:jc w:val="center"/>
              <w:rPr>
                <w:rFonts w:ascii="宋体" w:hAnsi="宋体" w:cs="宋体"/>
                <w:color w:val="auto"/>
                <w:szCs w:val="21"/>
                <w:highlight w:val="none"/>
              </w:rPr>
            </w:pPr>
          </w:p>
        </w:tc>
        <w:tc>
          <w:tcPr>
            <w:tcW w:w="996" w:type="dxa"/>
            <w:vAlign w:val="center"/>
          </w:tcPr>
          <w:p>
            <w:pPr>
              <w:tabs>
                <w:tab w:val="left" w:pos="3780"/>
              </w:tabs>
              <w:jc w:val="center"/>
              <w:rPr>
                <w:rFonts w:ascii="宋体" w:hAnsi="宋体" w:cs="宋体"/>
                <w:color w:val="auto"/>
                <w:szCs w:val="21"/>
                <w:highlight w:val="none"/>
              </w:rPr>
            </w:pPr>
          </w:p>
        </w:tc>
        <w:tc>
          <w:tcPr>
            <w:tcW w:w="1440" w:type="dxa"/>
            <w:vAlign w:val="center"/>
          </w:tcPr>
          <w:p>
            <w:pPr>
              <w:tabs>
                <w:tab w:val="left" w:pos="3780"/>
              </w:tabs>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13692" w:type="dxa"/>
            <w:gridSpan w:val="12"/>
            <w:vAlign w:val="center"/>
          </w:tcPr>
          <w:p>
            <w:pPr>
              <w:tabs>
                <w:tab w:val="left" w:pos="3780"/>
              </w:tabs>
              <w:jc w:val="center"/>
              <w:rPr>
                <w:rFonts w:ascii="宋体" w:hAnsi="宋体" w:cs="宋体"/>
                <w:color w:val="auto"/>
                <w:szCs w:val="21"/>
                <w:highlight w:val="none"/>
              </w:rPr>
            </w:pPr>
            <w:r>
              <w:rPr>
                <w:rFonts w:hint="eastAsia" w:ascii="宋体" w:hAnsi="宋体" w:cs="宋体"/>
                <w:color w:val="auto"/>
                <w:szCs w:val="21"/>
                <w:highlight w:val="none"/>
              </w:rPr>
              <w:t>合  计：</w:t>
            </w:r>
          </w:p>
        </w:tc>
        <w:tc>
          <w:tcPr>
            <w:tcW w:w="1440" w:type="dxa"/>
            <w:vAlign w:val="center"/>
          </w:tcPr>
          <w:p>
            <w:pPr>
              <w:tabs>
                <w:tab w:val="left" w:pos="3780"/>
              </w:tabs>
              <w:jc w:val="center"/>
              <w:rPr>
                <w:rFonts w:ascii="宋体" w:hAnsi="宋体" w:cs="宋体"/>
                <w:color w:val="auto"/>
                <w:szCs w:val="21"/>
                <w:highlight w:val="none"/>
              </w:rPr>
            </w:pPr>
          </w:p>
        </w:tc>
      </w:tr>
    </w:tbl>
    <w:p>
      <w:pPr>
        <w:tabs>
          <w:tab w:val="center" w:pos="4755"/>
          <w:tab w:val="right" w:pos="9070"/>
        </w:tabs>
        <w:ind w:left="-91" w:leftChars="-171" w:hanging="268" w:hangingChars="128"/>
        <w:rPr>
          <w:rFonts w:ascii="宋体" w:hAnsi="宋体" w:cs="宋体"/>
          <w:color w:val="auto"/>
          <w:szCs w:val="21"/>
          <w:highlight w:val="none"/>
        </w:rPr>
      </w:pPr>
      <w:r>
        <w:rPr>
          <w:rFonts w:hint="eastAsia" w:ascii="宋体" w:hAnsi="宋体" w:cs="宋体"/>
          <w:color w:val="auto"/>
          <w:szCs w:val="21"/>
          <w:highlight w:val="none"/>
        </w:rPr>
        <w:t>注：  表（1）、（2）栏中清单编号和措施项目清单名称由采购人按需要提出。</w:t>
      </w:r>
    </w:p>
    <w:p>
      <w:pPr>
        <w:tabs>
          <w:tab w:val="center" w:pos="4755"/>
          <w:tab w:val="right" w:pos="9070"/>
        </w:tabs>
        <w:spacing w:before="100" w:beforeAutospacing="1" w:after="100" w:afterAutospacing="1"/>
        <w:ind w:firstLine="211" w:firstLineChars="100"/>
        <w:rPr>
          <w:rFonts w:ascii="宋体" w:hAnsi="宋体" w:cs="宋体"/>
          <w:b/>
          <w:color w:val="auto"/>
          <w:szCs w:val="21"/>
          <w:highlight w:val="none"/>
        </w:rPr>
        <w:sectPr>
          <w:pgSz w:w="15840" w:h="12240" w:orient="landscape"/>
          <w:pgMar w:top="1531" w:right="1304" w:bottom="964" w:left="964" w:header="720" w:footer="720" w:gutter="0"/>
          <w:cols w:space="720" w:num="1"/>
          <w:docGrid w:linePitch="312" w:charSpace="0"/>
        </w:sectPr>
      </w:pPr>
    </w:p>
    <w:p>
      <w:pPr>
        <w:tabs>
          <w:tab w:val="center" w:pos="4755"/>
          <w:tab w:val="right" w:pos="9070"/>
        </w:tabs>
        <w:jc w:val="center"/>
        <w:rPr>
          <w:rFonts w:ascii="宋体" w:hAnsi="宋体" w:cs="宋体"/>
          <w:b/>
          <w:bCs/>
          <w:color w:val="auto"/>
          <w:szCs w:val="21"/>
          <w:highlight w:val="none"/>
        </w:rPr>
      </w:pPr>
      <w:r>
        <w:rPr>
          <w:rFonts w:hint="eastAsia" w:ascii="宋体" w:hAnsi="宋体" w:cs="宋体"/>
          <w:b/>
          <w:bCs/>
          <w:color w:val="auto"/>
          <w:szCs w:val="21"/>
          <w:highlight w:val="none"/>
        </w:rPr>
        <w:t>表2-3  综合单价工料机分析表（成交后按采购人要求提供）</w:t>
      </w:r>
    </w:p>
    <w:p>
      <w:pPr>
        <w:tabs>
          <w:tab w:val="center" w:pos="4755"/>
          <w:tab w:val="right" w:pos="9070"/>
        </w:tabs>
        <w:spacing w:line="360" w:lineRule="auto"/>
        <w:rPr>
          <w:rFonts w:ascii="宋体" w:hAnsi="宋体" w:cs="宋体"/>
          <w:color w:val="auto"/>
          <w:szCs w:val="21"/>
          <w:highlight w:val="none"/>
        </w:rPr>
      </w:pPr>
      <w:r>
        <w:rPr>
          <w:rFonts w:hint="eastAsia" w:ascii="宋体" w:hAnsi="宋体" w:cs="宋体"/>
          <w:color w:val="auto"/>
          <w:szCs w:val="21"/>
          <w:highlight w:val="none"/>
        </w:rPr>
        <w:t>项目编码：                                                   计量单位：</w:t>
      </w:r>
    </w:p>
    <w:p>
      <w:pPr>
        <w:tabs>
          <w:tab w:val="center" w:pos="4755"/>
          <w:tab w:val="right" w:pos="9070"/>
        </w:tabs>
        <w:spacing w:line="360" w:lineRule="auto"/>
        <w:rPr>
          <w:rFonts w:ascii="宋体" w:hAnsi="宋体" w:cs="宋体"/>
          <w:color w:val="auto"/>
          <w:szCs w:val="21"/>
          <w:highlight w:val="none"/>
        </w:rPr>
      </w:pPr>
      <w:r>
        <w:rPr>
          <w:rFonts w:hint="eastAsia" w:ascii="宋体" w:hAnsi="宋体" w:cs="宋体"/>
          <w:color w:val="auto"/>
          <w:szCs w:val="21"/>
          <w:highlight w:val="none"/>
        </w:rPr>
        <w:t>项目名称：                                                第   页共  页</w:t>
      </w:r>
    </w:p>
    <w:tbl>
      <w:tblPr>
        <w:tblStyle w:val="21"/>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outlineLvl w:val="0"/>
              <w:rPr>
                <w:rFonts w:ascii="宋体" w:hAnsi="宋体" w:cs="宋体"/>
                <w:color w:val="auto"/>
                <w:szCs w:val="21"/>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outlineLvl w:val="0"/>
              <w:rPr>
                <w:rFonts w:ascii="宋体" w:hAnsi="宋体" w:cs="宋体"/>
                <w:color w:val="auto"/>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outlineLvl w:val="0"/>
              <w:rPr>
                <w:rFonts w:ascii="宋体" w:hAnsi="宋体" w:cs="宋体"/>
                <w:color w:val="auto"/>
                <w:szCs w:val="21"/>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outlineLvl w:val="0"/>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pPr>
              <w:keepNext/>
              <w:keepLines/>
              <w:tabs>
                <w:tab w:val="center" w:pos="4755"/>
                <w:tab w:val="right" w:pos="9070"/>
              </w:tabs>
              <w:spacing w:before="340" w:after="330" w:line="576" w:lineRule="auto"/>
              <w:outlineLvl w:val="0"/>
              <w:rPr>
                <w:rFonts w:ascii="宋体" w:hAnsi="宋体" w:cs="宋体"/>
                <w:color w:val="auto"/>
                <w:szCs w:val="21"/>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工日</w:t>
            </w: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工日</w:t>
            </w: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工日</w:t>
            </w: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人工费小计</w:t>
            </w: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pPr>
              <w:tabs>
                <w:tab w:val="center" w:pos="4755"/>
                <w:tab w:val="right" w:pos="9070"/>
              </w:tabs>
              <w:jc w:val="center"/>
              <w:rPr>
                <w:rFonts w:ascii="宋体" w:hAnsi="宋体" w:cs="宋体"/>
                <w:color w:val="auto"/>
                <w:szCs w:val="21"/>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主要</w:t>
            </w:r>
          </w:p>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材料</w:t>
            </w:r>
          </w:p>
        </w:tc>
        <w:tc>
          <w:tcPr>
            <w:tcW w:w="126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outlineLvl w:val="0"/>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outlineLvl w:val="0"/>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jc w:val="center"/>
              <w:outlineLvl w:val="0"/>
              <w:rPr>
                <w:rFonts w:ascii="宋体" w:hAnsi="宋体" w:cs="宋体"/>
                <w:color w:val="auto"/>
                <w:szCs w:val="21"/>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其他材料费</w:t>
            </w: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材料费小计</w:t>
            </w: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主要</w:t>
            </w:r>
          </w:p>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机械</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jc w:val="center"/>
              <w:outlineLvl w:val="0"/>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jc w:val="center"/>
              <w:outlineLvl w:val="0"/>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jc w:val="center"/>
              <w:outlineLvl w:val="0"/>
              <w:rPr>
                <w:rFonts w:ascii="宋体" w:hAnsi="宋体" w:cs="宋体"/>
                <w:color w:val="auto"/>
                <w:szCs w:val="21"/>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其他机械费</w:t>
            </w: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机械费小计</w:t>
            </w: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直接工程费(1+2+3)</w:t>
            </w: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管理费</w:t>
            </w: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利润</w:t>
            </w: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风险费用</w:t>
            </w: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综合单价（4+5+6+7）</w:t>
            </w:r>
          </w:p>
        </w:tc>
        <w:tc>
          <w:tcPr>
            <w:tcW w:w="1620" w:type="dxa"/>
            <w:tcBorders>
              <w:top w:val="single" w:color="auto" w:sz="4" w:space="0"/>
              <w:left w:val="single" w:color="auto" w:sz="4" w:space="0"/>
              <w:bottom w:val="single" w:color="auto" w:sz="4" w:space="0"/>
              <w:right w:val="single" w:color="auto" w:sz="4" w:space="0"/>
            </w:tcBorders>
          </w:tcPr>
          <w:p>
            <w:pPr>
              <w:tabs>
                <w:tab w:val="center" w:pos="4755"/>
                <w:tab w:val="right" w:pos="9070"/>
              </w:tabs>
              <w:rPr>
                <w:rFonts w:ascii="宋体" w:hAnsi="宋体" w:cs="宋体"/>
                <w:color w:val="auto"/>
                <w:szCs w:val="21"/>
                <w:highlight w:val="none"/>
              </w:rPr>
            </w:pPr>
          </w:p>
        </w:tc>
      </w:tr>
    </w:tbl>
    <w:p>
      <w:pPr>
        <w:tabs>
          <w:tab w:val="center" w:pos="4755"/>
          <w:tab w:val="right" w:pos="9070"/>
        </w:tabs>
        <w:rPr>
          <w:rFonts w:ascii="宋体" w:hAnsi="宋体" w:cs="宋体"/>
          <w:color w:val="auto"/>
          <w:szCs w:val="21"/>
          <w:highlight w:val="none"/>
        </w:rPr>
        <w:sectPr>
          <w:pgSz w:w="12240" w:h="15840"/>
          <w:pgMar w:top="1304" w:right="964" w:bottom="964" w:left="1531" w:header="720" w:footer="720" w:gutter="0"/>
          <w:cols w:space="720" w:num="1"/>
          <w:docGrid w:linePitch="312" w:charSpace="0"/>
        </w:sectPr>
      </w:pPr>
      <w:r>
        <w:rPr>
          <w:rFonts w:hint="eastAsia" w:ascii="宋体" w:hAnsi="宋体" w:cs="宋体"/>
          <w:color w:val="auto"/>
          <w:szCs w:val="21"/>
          <w:highlight w:val="none"/>
        </w:rPr>
        <w:t>注：本表由采购人按需要提出</w:t>
      </w:r>
    </w:p>
    <w:p>
      <w:pPr>
        <w:jc w:val="center"/>
        <w:rPr>
          <w:rFonts w:ascii="宋体" w:hAnsi="宋体" w:cs="宋体"/>
          <w:b/>
          <w:bCs/>
          <w:color w:val="auto"/>
          <w:szCs w:val="21"/>
          <w:highlight w:val="none"/>
        </w:rPr>
      </w:pPr>
      <w:r>
        <w:rPr>
          <w:rFonts w:hint="eastAsia" w:ascii="宋体" w:hAnsi="宋体" w:cs="宋体"/>
          <w:b/>
          <w:bCs/>
          <w:color w:val="auto"/>
          <w:szCs w:val="21"/>
          <w:highlight w:val="none"/>
        </w:rPr>
        <w:t>表2-4  措施项目工料机分析表（成交后按采购人要求提供）</w:t>
      </w:r>
    </w:p>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项目编码：                                             计量单位：</w:t>
      </w:r>
    </w:p>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项目名称：                                             第   页 共  页</w:t>
      </w:r>
    </w:p>
    <w:tbl>
      <w:tblPr>
        <w:tblStyle w:val="21"/>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outlineLvl w:val="0"/>
              <w:rPr>
                <w:rFonts w:ascii="宋体" w:hAnsi="宋体" w:cs="宋体"/>
                <w:color w:val="auto"/>
                <w:szCs w:val="21"/>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outlineLvl w:val="0"/>
              <w:rPr>
                <w:rFonts w:ascii="宋体" w:hAnsi="宋体" w:cs="宋体"/>
                <w:color w:val="auto"/>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outlineLvl w:val="0"/>
              <w:rPr>
                <w:rFonts w:ascii="宋体" w:hAnsi="宋体" w:cs="宋体"/>
                <w:color w:val="auto"/>
                <w:szCs w:val="21"/>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outlineLvl w:val="0"/>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keepNext/>
              <w:keepLines/>
              <w:tabs>
                <w:tab w:val="center" w:pos="4755"/>
                <w:tab w:val="right" w:pos="9070"/>
              </w:tabs>
              <w:spacing w:before="340" w:after="330" w:line="576" w:lineRule="auto"/>
              <w:outlineLvl w:val="0"/>
              <w:rPr>
                <w:rFonts w:ascii="宋体" w:hAnsi="宋体" w:cs="宋体"/>
                <w:color w:val="auto"/>
                <w:szCs w:val="21"/>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ind w:firstLine="210" w:firstLineChars="100"/>
              <w:rPr>
                <w:rFonts w:ascii="宋体" w:hAnsi="宋体" w:cs="宋体"/>
                <w:color w:val="auto"/>
                <w:szCs w:val="21"/>
                <w:highlight w:val="none"/>
              </w:rPr>
            </w:pPr>
            <w:r>
              <w:rPr>
                <w:rFonts w:hint="eastAsia" w:ascii="宋体" w:hAnsi="宋体" w:cs="宋体"/>
                <w:color w:val="auto"/>
                <w:szCs w:val="21"/>
                <w:highlight w:val="none"/>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ind w:firstLine="210" w:firstLineChars="100"/>
              <w:rPr>
                <w:rFonts w:ascii="宋体" w:hAnsi="宋体" w:cs="宋体"/>
                <w:color w:val="auto"/>
                <w:szCs w:val="21"/>
                <w:highlight w:val="none"/>
              </w:rPr>
            </w:pPr>
            <w:r>
              <w:rPr>
                <w:rFonts w:hint="eastAsia" w:ascii="宋体" w:hAnsi="宋体" w:cs="宋体"/>
                <w:color w:val="auto"/>
                <w:szCs w:val="21"/>
                <w:highlight w:val="none"/>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管理费</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利润</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jc w:val="center"/>
              <w:rPr>
                <w:rFonts w:ascii="宋体" w:hAnsi="宋体" w:cs="宋体"/>
                <w:color w:val="auto"/>
                <w:szCs w:val="21"/>
                <w:highlight w:val="none"/>
              </w:rPr>
            </w:pPr>
            <w:r>
              <w:rPr>
                <w:rFonts w:hint="eastAsia" w:ascii="宋体" w:hAnsi="宋体" w:cs="宋体"/>
                <w:color w:val="auto"/>
                <w:szCs w:val="21"/>
                <w:highlight w:val="none"/>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合计（4+5+6+7）</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rPr>
                <w:rFonts w:ascii="宋体" w:hAnsi="宋体" w:cs="宋体"/>
                <w:color w:val="auto"/>
                <w:szCs w:val="21"/>
                <w:highlight w:val="none"/>
              </w:rPr>
            </w:pPr>
          </w:p>
        </w:tc>
      </w:tr>
    </w:tbl>
    <w:p>
      <w:pPr>
        <w:tabs>
          <w:tab w:val="center" w:pos="4755"/>
          <w:tab w:val="right" w:pos="9070"/>
        </w:tabs>
        <w:rPr>
          <w:rFonts w:ascii="宋体" w:hAnsi="宋体" w:cs="宋体"/>
          <w:color w:val="auto"/>
          <w:szCs w:val="21"/>
          <w:highlight w:val="none"/>
        </w:rPr>
      </w:pPr>
      <w:r>
        <w:rPr>
          <w:rFonts w:hint="eastAsia" w:ascii="宋体" w:hAnsi="宋体" w:cs="宋体"/>
          <w:color w:val="auto"/>
          <w:szCs w:val="21"/>
          <w:highlight w:val="none"/>
        </w:rPr>
        <w:t>注：本表由采购人按需要提出</w:t>
      </w:r>
    </w:p>
    <w:p>
      <w:pPr>
        <w:tabs>
          <w:tab w:val="left" w:pos="2310"/>
        </w:tabs>
        <w:rPr>
          <w:rFonts w:ascii="宋体" w:hAnsi="宋体" w:cs="宋体"/>
          <w:color w:val="auto"/>
          <w:szCs w:val="21"/>
          <w:highlight w:val="none"/>
        </w:rPr>
      </w:pPr>
      <w:r>
        <w:rPr>
          <w:rFonts w:hint="eastAsia" w:ascii="宋体" w:hAnsi="宋体" w:cs="宋体"/>
          <w:color w:val="auto"/>
          <w:szCs w:val="21"/>
          <w:highlight w:val="none"/>
        </w:rPr>
        <w:tab/>
      </w:r>
    </w:p>
    <w:p>
      <w:pPr>
        <w:tabs>
          <w:tab w:val="left" w:pos="2310"/>
        </w:tabs>
        <w:rPr>
          <w:rFonts w:ascii="宋体" w:hAnsi="宋体" w:cs="宋体"/>
          <w:color w:val="auto"/>
          <w:szCs w:val="21"/>
          <w:highlight w:val="none"/>
        </w:rPr>
      </w:pPr>
    </w:p>
    <w:p>
      <w:pPr>
        <w:jc w:val="center"/>
        <w:rPr>
          <w:rFonts w:ascii="宋体" w:hAnsi="宋体" w:cs="宋体"/>
          <w:b/>
          <w:bCs/>
          <w:color w:val="auto"/>
          <w:szCs w:val="21"/>
          <w:highlight w:val="none"/>
        </w:rPr>
      </w:pPr>
      <w:r>
        <w:rPr>
          <w:rFonts w:hint="eastAsia" w:ascii="宋体" w:hAnsi="宋体" w:cs="宋体"/>
          <w:b/>
          <w:color w:val="auto"/>
          <w:szCs w:val="21"/>
          <w:highlight w:val="none"/>
        </w:rPr>
        <w:br w:type="page"/>
      </w:r>
      <w:r>
        <w:rPr>
          <w:rFonts w:hint="eastAsia" w:ascii="宋体" w:hAnsi="宋体" w:cs="宋体"/>
          <w:b/>
          <w:bCs/>
          <w:color w:val="auto"/>
          <w:szCs w:val="21"/>
          <w:highlight w:val="none"/>
        </w:rPr>
        <w:t>表2-5  临时宿舍取暖降温等费用分析表</w:t>
      </w:r>
    </w:p>
    <w:p>
      <w:pPr>
        <w:tabs>
          <w:tab w:val="center" w:pos="4755"/>
          <w:tab w:val="right" w:pos="9070"/>
        </w:tabs>
        <w:rPr>
          <w:rFonts w:ascii="宋体" w:hAnsi="宋体" w:cs="宋体"/>
          <w:color w:val="auto"/>
          <w:szCs w:val="21"/>
          <w:highlight w:val="none"/>
        </w:rPr>
      </w:pPr>
    </w:p>
    <w:p>
      <w:pPr>
        <w:tabs>
          <w:tab w:val="center" w:pos="4755"/>
          <w:tab w:val="right" w:pos="9070"/>
        </w:tabs>
        <w:ind w:firstLine="420" w:firstLineChars="200"/>
        <w:rPr>
          <w:rFonts w:ascii="宋体" w:hAnsi="宋体" w:cs="宋体"/>
          <w:color w:val="auto"/>
          <w:szCs w:val="21"/>
          <w:highlight w:val="none"/>
        </w:rPr>
      </w:pPr>
      <w:r>
        <w:rPr>
          <w:rFonts w:hint="eastAsia" w:ascii="宋体" w:hAnsi="宋体" w:cs="宋体"/>
          <w:color w:val="auto"/>
          <w:szCs w:val="21"/>
          <w:highlight w:val="none"/>
        </w:rPr>
        <w:t>工程名称：                                        第  页共  页</w:t>
      </w:r>
    </w:p>
    <w:tbl>
      <w:tblPr>
        <w:tblStyle w:val="21"/>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182"/>
        <w:gridCol w:w="884"/>
        <w:gridCol w:w="996"/>
        <w:gridCol w:w="152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费用名称</w:t>
            </w: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一</w:t>
            </w: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r>
              <w:rPr>
                <w:rFonts w:hint="eastAsia" w:ascii="宋体" w:hAnsi="宋体" w:cs="宋体"/>
                <w:b/>
                <w:color w:val="auto"/>
                <w:szCs w:val="21"/>
                <w:highlight w:val="none"/>
              </w:rPr>
              <w:t>现场临时宿舍空调设施</w:t>
            </w: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b/>
                <w:color w:val="auto"/>
                <w:szCs w:val="21"/>
                <w:highlight w:val="none"/>
              </w:rPr>
            </w:pPr>
            <w:r>
              <w:rPr>
                <w:rFonts w:hint="eastAsia" w:ascii="宋体" w:hAnsi="宋体" w:cs="宋体"/>
                <w:b/>
                <w:color w:val="auto"/>
                <w:szCs w:val="21"/>
                <w:highlight w:val="none"/>
              </w:rPr>
              <w:t>安全生产责任保险</w:t>
            </w: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318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88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996"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524"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c>
          <w:tcPr>
            <w:tcW w:w="1362" w:type="dxa"/>
            <w:vAlign w:val="center"/>
          </w:tcPr>
          <w:p>
            <w:pPr>
              <w:tabs>
                <w:tab w:val="center" w:pos="4755"/>
                <w:tab w:val="right" w:pos="9070"/>
              </w:tabs>
              <w:spacing w:line="320" w:lineRule="exact"/>
              <w:ind w:left="-53" w:leftChars="-25" w:right="-53" w:rightChars="-25"/>
              <w:jc w:val="center"/>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本表为企业管理费部分内容的报价分析表，由供应商根据市政府、市建设行政主管部门颁发的有关文件对于现场民工宿舍空调的设置要求或标准、安责险等规定进行相应数量和费用的报价。</w:t>
      </w:r>
    </w:p>
    <w:p>
      <w:pPr>
        <w:adjustRightInd w:val="0"/>
        <w:snapToGrid w:val="0"/>
        <w:spacing w:line="360" w:lineRule="auto"/>
        <w:rPr>
          <w:rFonts w:ascii="Arial" w:hAnsi="宋体" w:cs="Arial"/>
          <w:color w:val="auto"/>
          <w:szCs w:val="20"/>
          <w:highlight w:val="none"/>
        </w:rPr>
      </w:pPr>
    </w:p>
    <w:p>
      <w:pPr>
        <w:snapToGrid w:val="0"/>
        <w:spacing w:line="360" w:lineRule="auto"/>
        <w:jc w:val="left"/>
        <w:rPr>
          <w:rStyle w:val="41"/>
          <w:color w:val="auto"/>
          <w:highlight w:val="none"/>
        </w:rPr>
      </w:pPr>
      <w:r>
        <w:rPr>
          <w:rFonts w:ascii="宋体" w:hAnsi="宋体" w:cs="宋体"/>
          <w:b/>
          <w:color w:val="auto"/>
          <w:highlight w:val="none"/>
        </w:rPr>
        <w:br w:type="page"/>
      </w:r>
      <w:bookmarkEnd w:id="815"/>
      <w:bookmarkEnd w:id="816"/>
      <w:r>
        <w:rPr>
          <w:rStyle w:val="41"/>
          <w:rFonts w:ascii="宋体" w:hAnsi="宋体" w:cs="宋体"/>
          <w:b/>
          <w:bCs/>
          <w:color w:val="auto"/>
          <w:szCs w:val="32"/>
          <w:highlight w:val="none"/>
        </w:rPr>
        <w:t>四、缴纳采购代理服务费承诺书</w:t>
      </w:r>
    </w:p>
    <w:p>
      <w:pPr>
        <w:snapToGrid w:val="0"/>
        <w:spacing w:line="300" w:lineRule="auto"/>
        <w:ind w:firstLine="422"/>
        <w:jc w:val="center"/>
        <w:rPr>
          <w:rStyle w:val="41"/>
          <w:rFonts w:ascii="宋体" w:hAnsi="宋体" w:cs="宋体"/>
          <w:b/>
          <w:bCs/>
          <w:color w:val="auto"/>
          <w:sz w:val="24"/>
          <w:highlight w:val="none"/>
        </w:rPr>
      </w:pPr>
    </w:p>
    <w:p>
      <w:pPr>
        <w:snapToGrid w:val="0"/>
        <w:spacing w:line="360" w:lineRule="auto"/>
        <w:jc w:val="center"/>
        <w:rPr>
          <w:rStyle w:val="41"/>
          <w:rFonts w:ascii="Arial" w:hAnsi="Arial" w:cs="Arial"/>
          <w:b/>
          <w:bCs/>
          <w:color w:val="auto"/>
          <w:sz w:val="32"/>
          <w:highlight w:val="none"/>
        </w:rPr>
      </w:pPr>
      <w:r>
        <w:rPr>
          <w:rStyle w:val="41"/>
          <w:rFonts w:ascii="Arial" w:hAnsi="Arial" w:cs="Arial"/>
          <w:b/>
          <w:bCs/>
          <w:color w:val="auto"/>
          <w:sz w:val="32"/>
          <w:highlight w:val="none"/>
        </w:rPr>
        <w:t>缴纳采购代理服务费承诺书</w:t>
      </w:r>
    </w:p>
    <w:p>
      <w:pPr>
        <w:snapToGrid w:val="0"/>
        <w:spacing w:line="360" w:lineRule="auto"/>
        <w:rPr>
          <w:rStyle w:val="41"/>
          <w:rFonts w:ascii="Arial" w:hAnsi="Arial"/>
          <w:color w:val="auto"/>
          <w:szCs w:val="21"/>
          <w:highlight w:val="none"/>
        </w:rPr>
      </w:pPr>
      <w:r>
        <w:rPr>
          <w:rStyle w:val="41"/>
          <w:rFonts w:ascii="Arial" w:hAnsi="宋体"/>
          <w:color w:val="auto"/>
          <w:szCs w:val="21"/>
          <w:highlight w:val="none"/>
        </w:rPr>
        <w:t>浙江省成套招标代理有限公司：</w:t>
      </w:r>
    </w:p>
    <w:p>
      <w:pPr>
        <w:snapToGrid w:val="0"/>
        <w:spacing w:line="360" w:lineRule="auto"/>
        <w:ind w:firstLine="420" w:firstLineChars="200"/>
        <w:rPr>
          <w:rStyle w:val="41"/>
          <w:rFonts w:ascii="Arial" w:hAnsi="Arial"/>
          <w:color w:val="auto"/>
          <w:szCs w:val="21"/>
          <w:highlight w:val="none"/>
        </w:rPr>
      </w:pPr>
    </w:p>
    <w:p>
      <w:pPr>
        <w:snapToGrid w:val="0"/>
        <w:spacing w:line="360" w:lineRule="auto"/>
        <w:ind w:firstLine="420" w:firstLineChars="200"/>
        <w:rPr>
          <w:rStyle w:val="41"/>
          <w:rFonts w:ascii="Arial" w:hAnsi="Arial"/>
          <w:color w:val="auto"/>
          <w:szCs w:val="21"/>
          <w:highlight w:val="none"/>
        </w:rPr>
      </w:pPr>
      <w:r>
        <w:rPr>
          <w:rStyle w:val="41"/>
          <w:rFonts w:ascii="Arial" w:hAnsi="宋体"/>
          <w:color w:val="auto"/>
          <w:szCs w:val="21"/>
          <w:highlight w:val="none"/>
        </w:rPr>
        <w:t>我公司在贵公司组织的</w:t>
      </w:r>
      <w:r>
        <w:rPr>
          <w:rStyle w:val="41"/>
          <w:rFonts w:ascii="Arial" w:hAnsi="Arial"/>
          <w:color w:val="auto"/>
          <w:szCs w:val="21"/>
          <w:highlight w:val="none"/>
        </w:rPr>
        <w:t xml:space="preserve"> </w:t>
      </w:r>
      <w:r>
        <w:rPr>
          <w:rStyle w:val="41"/>
          <w:rFonts w:ascii="Arial" w:hAnsi="Arial"/>
          <w:color w:val="auto"/>
          <w:szCs w:val="21"/>
          <w:highlight w:val="none"/>
          <w:u w:val="single" w:color="000000"/>
        </w:rPr>
        <w:t xml:space="preserve">  </w:t>
      </w:r>
      <w:r>
        <w:rPr>
          <w:rStyle w:val="41"/>
          <w:rFonts w:hint="eastAsia" w:ascii="Arial" w:hAnsi="Arial"/>
          <w:color w:val="auto"/>
          <w:szCs w:val="21"/>
          <w:highlight w:val="none"/>
          <w:u w:val="single" w:color="000000"/>
          <w:lang w:eastAsia="zh-CN"/>
        </w:rPr>
        <w:t>浙江理工大学下沙校区教学东区消防管网改造工程</w:t>
      </w:r>
      <w:r>
        <w:rPr>
          <w:rStyle w:val="41"/>
          <w:rFonts w:ascii="Arial" w:hAnsi="Arial"/>
          <w:color w:val="auto"/>
          <w:szCs w:val="21"/>
          <w:highlight w:val="none"/>
          <w:u w:val="single" w:color="000000"/>
        </w:rPr>
        <w:t xml:space="preserve">  </w:t>
      </w:r>
      <w:r>
        <w:rPr>
          <w:rStyle w:val="41"/>
          <w:rFonts w:ascii="Arial" w:hAnsi="宋体"/>
          <w:color w:val="auto"/>
          <w:szCs w:val="21"/>
          <w:highlight w:val="none"/>
          <w:u w:val="single" w:color="000000"/>
        </w:rPr>
        <w:t>（</w:t>
      </w:r>
      <w:r>
        <w:rPr>
          <w:rStyle w:val="41"/>
          <w:rFonts w:ascii="Arial" w:hAnsi="宋体"/>
          <w:color w:val="auto"/>
          <w:szCs w:val="21"/>
          <w:highlight w:val="none"/>
        </w:rPr>
        <w:t>项目名称）的采购中若获成交，我公司保证在</w:t>
      </w:r>
      <w:r>
        <w:rPr>
          <w:rStyle w:val="41"/>
          <w:rFonts w:ascii="Arial" w:hAnsi="宋体"/>
          <w:b/>
          <w:color w:val="auto"/>
          <w:szCs w:val="21"/>
          <w:highlight w:val="none"/>
        </w:rPr>
        <w:t>收到贵公司通知后</w:t>
      </w:r>
      <w:r>
        <w:rPr>
          <w:rStyle w:val="41"/>
          <w:rFonts w:ascii="Arial" w:hAnsi="宋体"/>
          <w:color w:val="auto"/>
          <w:szCs w:val="21"/>
          <w:highlight w:val="none"/>
        </w:rPr>
        <w:t>按</w:t>
      </w:r>
      <w:r>
        <w:rPr>
          <w:rStyle w:val="41"/>
          <w:rFonts w:ascii="Arial" w:hAnsi="宋体"/>
          <w:b/>
          <w:color w:val="auto"/>
          <w:szCs w:val="21"/>
          <w:highlight w:val="none"/>
        </w:rPr>
        <w:t>供应商须知前附表</w:t>
      </w:r>
      <w:r>
        <w:rPr>
          <w:rStyle w:val="41"/>
          <w:rFonts w:ascii="Arial" w:hAnsi="宋体"/>
          <w:color w:val="auto"/>
          <w:szCs w:val="21"/>
          <w:highlight w:val="none"/>
        </w:rPr>
        <w:t>的规定，向贵公司即浙江省成套招标代理有限公司支付采购代理费。如我公司未按上述承诺支付采购代理费，由此产生的一切法律后果和责任由我公司承担。我公司声明放弃对此提出任何异议和追索的权利。</w:t>
      </w:r>
    </w:p>
    <w:p>
      <w:pPr>
        <w:pStyle w:val="114"/>
        <w:snapToGrid w:val="0"/>
        <w:spacing w:line="360" w:lineRule="auto"/>
        <w:ind w:left="5250" w:firstLine="420" w:firstLineChars="200"/>
        <w:rPr>
          <w:rStyle w:val="41"/>
          <w:rFonts w:ascii="Arial" w:hAnsi="宋体"/>
          <w:color w:val="auto"/>
          <w:szCs w:val="21"/>
          <w:highlight w:val="none"/>
        </w:rPr>
      </w:pPr>
      <w:r>
        <w:rPr>
          <w:rStyle w:val="41"/>
          <w:rFonts w:ascii="Arial" w:hAnsi="宋体"/>
          <w:color w:val="auto"/>
          <w:szCs w:val="21"/>
          <w:highlight w:val="none"/>
        </w:rPr>
        <w:t>特此承诺。</w:t>
      </w:r>
    </w:p>
    <w:p>
      <w:pPr>
        <w:snapToGrid w:val="0"/>
        <w:spacing w:line="360" w:lineRule="auto"/>
        <w:rPr>
          <w:rStyle w:val="41"/>
          <w:rFonts w:ascii="Arial" w:hAnsi="Arial"/>
          <w:color w:val="auto"/>
          <w:highlight w:val="none"/>
        </w:rPr>
      </w:pPr>
    </w:p>
    <w:p>
      <w:pPr>
        <w:snapToGrid w:val="0"/>
        <w:spacing w:line="360" w:lineRule="auto"/>
        <w:rPr>
          <w:rStyle w:val="41"/>
          <w:rFonts w:ascii="Arial" w:hAnsi="Arial"/>
          <w:b/>
          <w:color w:val="auto"/>
          <w:spacing w:val="20"/>
          <w:highlight w:val="none"/>
          <w:u w:val="single"/>
        </w:rPr>
      </w:pPr>
      <w:r>
        <w:rPr>
          <w:rStyle w:val="41"/>
          <w:rFonts w:ascii="Arial" w:hAnsi="Arial"/>
          <w:b/>
          <w:color w:val="auto"/>
          <w:highlight w:val="none"/>
        </w:rPr>
        <w:t>供应商全称（盖单位公章）：</w:t>
      </w:r>
    </w:p>
    <w:p>
      <w:pPr>
        <w:snapToGrid w:val="0"/>
        <w:spacing w:line="360" w:lineRule="auto"/>
        <w:rPr>
          <w:rStyle w:val="41"/>
          <w:rFonts w:ascii="Arial" w:hAnsi="Arial"/>
          <w:b/>
          <w:color w:val="auto"/>
          <w:spacing w:val="20"/>
          <w:highlight w:val="none"/>
          <w:u w:val="single"/>
        </w:rPr>
      </w:pPr>
      <w:r>
        <w:rPr>
          <w:rStyle w:val="41"/>
          <w:rFonts w:ascii="Arial" w:hAnsi="Arial"/>
          <w:b/>
          <w:color w:val="auto"/>
          <w:highlight w:val="none"/>
        </w:rPr>
        <w:t xml:space="preserve"> </w:t>
      </w:r>
    </w:p>
    <w:p>
      <w:pPr>
        <w:snapToGrid w:val="0"/>
        <w:spacing w:line="360" w:lineRule="auto"/>
        <w:rPr>
          <w:rStyle w:val="41"/>
          <w:rFonts w:ascii="Arial" w:hAnsi="Arial"/>
          <w:b/>
          <w:color w:val="auto"/>
          <w:spacing w:val="20"/>
          <w:highlight w:val="none"/>
        </w:rPr>
      </w:pPr>
      <w:r>
        <w:rPr>
          <w:rStyle w:val="41"/>
          <w:rFonts w:ascii="Arial" w:hAnsi="Arial"/>
          <w:b/>
          <w:color w:val="auto"/>
          <w:spacing w:val="20"/>
          <w:highlight w:val="none"/>
        </w:rPr>
        <w:t>日期：</w:t>
      </w:r>
      <w:r>
        <w:rPr>
          <w:rStyle w:val="41"/>
          <w:rFonts w:ascii="Arial" w:hAnsi="Arial"/>
          <w:b/>
          <w:color w:val="auto"/>
          <w:highlight w:val="none"/>
        </w:rPr>
        <w:t xml:space="preserve">   年  月  日</w:t>
      </w:r>
    </w:p>
    <w:p>
      <w:pPr>
        <w:snapToGrid w:val="0"/>
        <w:spacing w:line="360" w:lineRule="auto"/>
        <w:rPr>
          <w:rStyle w:val="41"/>
          <w:rFonts w:ascii="Arial" w:hAnsi="宋体"/>
          <w:color w:val="auto"/>
          <w:szCs w:val="20"/>
          <w:highlight w:val="none"/>
        </w:rPr>
      </w:pPr>
    </w:p>
    <w:p>
      <w:pPr>
        <w:snapToGrid w:val="0"/>
        <w:spacing w:line="360" w:lineRule="auto"/>
        <w:rPr>
          <w:rStyle w:val="41"/>
          <w:rFonts w:ascii="宋体" w:hAnsi="宋体"/>
          <w:b/>
          <w:color w:val="auto"/>
          <w:highlight w:val="none"/>
        </w:rPr>
      </w:pPr>
      <w:r>
        <w:rPr>
          <w:rStyle w:val="41"/>
          <w:rFonts w:ascii="宋体" w:hAnsi="宋体"/>
          <w:b/>
          <w:color w:val="auto"/>
          <w:highlight w:val="none"/>
        </w:rPr>
        <w:br w:type="page"/>
      </w:r>
    </w:p>
    <w:p>
      <w:pPr>
        <w:snapToGrid w:val="0"/>
        <w:spacing w:line="360" w:lineRule="auto"/>
        <w:rPr>
          <w:rStyle w:val="41"/>
          <w:rFonts w:ascii="宋体" w:hAnsi="宋体"/>
          <w:b/>
          <w:color w:val="auto"/>
          <w:kern w:val="0"/>
          <w:szCs w:val="21"/>
          <w:highlight w:val="none"/>
        </w:rPr>
      </w:pPr>
      <w:r>
        <w:rPr>
          <w:rStyle w:val="41"/>
          <w:rFonts w:ascii="宋体" w:hAnsi="宋体"/>
          <w:b/>
          <w:color w:val="auto"/>
          <w:kern w:val="0"/>
          <w:szCs w:val="21"/>
          <w:highlight w:val="none"/>
        </w:rPr>
        <w:t xml:space="preserve"> </w:t>
      </w:r>
    </w:p>
    <w:p>
      <w:pPr>
        <w:tabs>
          <w:tab w:val="left" w:pos="2580"/>
          <w:tab w:val="left" w:pos="5940"/>
        </w:tabs>
        <w:snapToGrid w:val="0"/>
        <w:spacing w:line="360" w:lineRule="auto"/>
        <w:ind w:right="-20"/>
        <w:rPr>
          <w:rStyle w:val="41"/>
          <w:rFonts w:ascii="宋体" w:hAnsi="宋体"/>
          <w:color w:val="auto"/>
          <w:kern w:val="0"/>
          <w:sz w:val="28"/>
          <w:highlight w:val="none"/>
        </w:rPr>
      </w:pPr>
      <w:r>
        <w:rPr>
          <w:rStyle w:val="41"/>
          <w:rFonts w:ascii="宋体" w:hAnsi="宋体"/>
          <w:color w:val="auto"/>
          <w:kern w:val="0"/>
          <w:sz w:val="28"/>
          <w:highlight w:val="none"/>
        </w:rPr>
        <w:t>商务技术文件封面</w:t>
      </w:r>
    </w:p>
    <w:p>
      <w:pPr>
        <w:tabs>
          <w:tab w:val="left" w:pos="2580"/>
          <w:tab w:val="left" w:pos="5940"/>
        </w:tabs>
        <w:snapToGrid w:val="0"/>
        <w:spacing w:line="360" w:lineRule="auto"/>
        <w:ind w:right="-20"/>
        <w:rPr>
          <w:rStyle w:val="41"/>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1"/>
          <w:rFonts w:ascii="宋体" w:hAnsi="宋体"/>
          <w:color w:val="auto"/>
          <w:kern w:val="0"/>
          <w:sz w:val="28"/>
          <w:highlight w:val="none"/>
          <w:u w:val="single"/>
        </w:rPr>
      </w:pPr>
      <w:r>
        <w:rPr>
          <w:rStyle w:val="41"/>
          <w:rFonts w:ascii="宋体" w:hAnsi="宋体"/>
          <w:color w:val="auto"/>
          <w:kern w:val="0"/>
          <w:sz w:val="28"/>
          <w:highlight w:val="none"/>
        </w:rPr>
        <w:t>项目名称：</w:t>
      </w:r>
      <w:r>
        <w:rPr>
          <w:rStyle w:val="41"/>
          <w:rFonts w:hint="eastAsia" w:ascii="宋体" w:hAnsi="宋体"/>
          <w:color w:val="auto"/>
          <w:kern w:val="0"/>
          <w:sz w:val="28"/>
          <w:highlight w:val="none"/>
          <w:u w:val="single" w:color="000000"/>
          <w:lang w:eastAsia="zh-CN"/>
        </w:rPr>
        <w:t>浙江理工大学下沙校区教学东区消防管网改造工程</w:t>
      </w:r>
      <w:r>
        <w:rPr>
          <w:rStyle w:val="41"/>
          <w:rFonts w:ascii="宋体" w:hAnsi="宋体"/>
          <w:color w:val="auto"/>
          <w:kern w:val="0"/>
          <w:sz w:val="28"/>
          <w:highlight w:val="none"/>
          <w:u w:val="single" w:color="000000"/>
        </w:rPr>
        <w:t xml:space="preserve"> </w:t>
      </w:r>
    </w:p>
    <w:p>
      <w:pPr>
        <w:tabs>
          <w:tab w:val="left" w:pos="2580"/>
          <w:tab w:val="left" w:pos="5940"/>
        </w:tabs>
        <w:snapToGrid w:val="0"/>
        <w:spacing w:line="360" w:lineRule="auto"/>
        <w:ind w:right="-20" w:firstLine="980" w:firstLineChars="350"/>
        <w:rPr>
          <w:rStyle w:val="41"/>
          <w:rFonts w:ascii="宋体" w:hAnsi="宋体"/>
          <w:color w:val="auto"/>
          <w:kern w:val="0"/>
          <w:sz w:val="28"/>
          <w:highlight w:val="none"/>
        </w:rPr>
      </w:pPr>
    </w:p>
    <w:p>
      <w:pPr>
        <w:tabs>
          <w:tab w:val="left" w:pos="2580"/>
          <w:tab w:val="left" w:pos="5940"/>
        </w:tabs>
        <w:snapToGrid w:val="0"/>
        <w:spacing w:line="360" w:lineRule="auto"/>
        <w:ind w:right="-20" w:firstLine="980" w:firstLineChars="350"/>
        <w:rPr>
          <w:rStyle w:val="41"/>
          <w:rFonts w:ascii="宋体" w:hAnsi="宋体" w:cs="宋体"/>
          <w:b/>
          <w:bCs/>
          <w:color w:val="auto"/>
          <w:kern w:val="0"/>
          <w:sz w:val="32"/>
          <w:szCs w:val="32"/>
          <w:highlight w:val="none"/>
          <w:u w:val="single"/>
        </w:rPr>
      </w:pPr>
      <w:r>
        <w:rPr>
          <w:rStyle w:val="41"/>
          <w:rFonts w:ascii="宋体" w:hAnsi="宋体"/>
          <w:color w:val="auto"/>
          <w:kern w:val="0"/>
          <w:sz w:val="28"/>
          <w:highlight w:val="none"/>
        </w:rPr>
        <w:t>项目编号：</w:t>
      </w:r>
      <w:r>
        <w:rPr>
          <w:rStyle w:val="41"/>
          <w:rFonts w:ascii="宋体" w:hAnsi="宋体"/>
          <w:color w:val="auto"/>
          <w:kern w:val="0"/>
          <w:sz w:val="28"/>
          <w:highlight w:val="none"/>
          <w:u w:val="single" w:color="000000"/>
        </w:rPr>
        <w:t xml:space="preserve">         </w:t>
      </w:r>
      <w:r>
        <w:rPr>
          <w:rStyle w:val="41"/>
          <w:rFonts w:hint="eastAsia" w:ascii="宋体" w:hAnsi="宋体"/>
          <w:color w:val="auto"/>
          <w:kern w:val="0"/>
          <w:sz w:val="28"/>
          <w:highlight w:val="none"/>
          <w:u w:val="single" w:color="000000"/>
          <w:lang w:eastAsia="zh-CN"/>
        </w:rPr>
        <w:t>CTZB-2024050477</w:t>
      </w:r>
      <w:r>
        <w:rPr>
          <w:rStyle w:val="41"/>
          <w:rFonts w:hint="eastAsia" w:ascii="宋体" w:hAnsi="宋体"/>
          <w:color w:val="auto"/>
          <w:kern w:val="0"/>
          <w:sz w:val="28"/>
          <w:highlight w:val="none"/>
          <w:u w:val="single"/>
        </w:rPr>
        <w:t xml:space="preserve">   </w:t>
      </w:r>
      <w:r>
        <w:rPr>
          <w:rStyle w:val="41"/>
          <w:rFonts w:ascii="宋体" w:hAnsi="宋体"/>
          <w:color w:val="auto"/>
          <w:kern w:val="0"/>
          <w:sz w:val="28"/>
          <w:highlight w:val="none"/>
          <w:u w:val="single"/>
        </w:rPr>
        <w:t xml:space="preserve">   </w:t>
      </w:r>
      <w:r>
        <w:rPr>
          <w:rStyle w:val="41"/>
          <w:rFonts w:ascii="宋体" w:hAnsi="宋体"/>
          <w:color w:val="auto"/>
          <w:kern w:val="0"/>
          <w:sz w:val="28"/>
          <w:highlight w:val="none"/>
          <w:u w:val="single" w:color="000000"/>
        </w:rPr>
        <w:t xml:space="preserve">               </w:t>
      </w:r>
    </w:p>
    <w:p>
      <w:pPr>
        <w:snapToGrid w:val="0"/>
        <w:spacing w:line="360" w:lineRule="auto"/>
        <w:jc w:val="left"/>
        <w:rPr>
          <w:rStyle w:val="41"/>
          <w:rFonts w:ascii="宋体" w:hAnsi="宋体" w:cs="宋体"/>
          <w:b/>
          <w:bCs/>
          <w:color w:val="auto"/>
          <w:kern w:val="0"/>
          <w:sz w:val="44"/>
          <w:szCs w:val="44"/>
          <w:highlight w:val="none"/>
        </w:rPr>
      </w:pPr>
    </w:p>
    <w:p>
      <w:pPr>
        <w:snapToGrid w:val="0"/>
        <w:spacing w:line="360" w:lineRule="auto"/>
        <w:jc w:val="left"/>
        <w:rPr>
          <w:rStyle w:val="41"/>
          <w:rFonts w:ascii="宋体" w:hAnsi="宋体"/>
          <w:color w:val="auto"/>
          <w:kern w:val="0"/>
          <w:sz w:val="24"/>
          <w:highlight w:val="none"/>
        </w:rPr>
      </w:pPr>
    </w:p>
    <w:p>
      <w:pPr>
        <w:snapToGrid w:val="0"/>
        <w:spacing w:line="360" w:lineRule="auto"/>
        <w:jc w:val="left"/>
        <w:rPr>
          <w:rStyle w:val="41"/>
          <w:rFonts w:ascii="宋体" w:hAnsi="宋体"/>
          <w:color w:val="auto"/>
          <w:kern w:val="0"/>
          <w:sz w:val="24"/>
          <w:highlight w:val="none"/>
        </w:rPr>
      </w:pPr>
    </w:p>
    <w:p>
      <w:pPr>
        <w:snapToGrid w:val="0"/>
        <w:spacing w:line="360" w:lineRule="auto"/>
        <w:jc w:val="left"/>
        <w:rPr>
          <w:rStyle w:val="41"/>
          <w:rFonts w:ascii="宋体" w:hAnsi="宋体"/>
          <w:color w:val="auto"/>
          <w:kern w:val="0"/>
          <w:sz w:val="24"/>
          <w:highlight w:val="none"/>
        </w:rPr>
      </w:pPr>
    </w:p>
    <w:p>
      <w:pPr>
        <w:snapToGrid w:val="0"/>
        <w:spacing w:line="360" w:lineRule="auto"/>
        <w:jc w:val="left"/>
        <w:rPr>
          <w:rStyle w:val="41"/>
          <w:rFonts w:ascii="宋体" w:hAnsi="宋体"/>
          <w:color w:val="auto"/>
          <w:kern w:val="0"/>
          <w:sz w:val="24"/>
          <w:highlight w:val="none"/>
        </w:rPr>
      </w:pPr>
    </w:p>
    <w:p>
      <w:pPr>
        <w:tabs>
          <w:tab w:val="left" w:pos="1805"/>
          <w:tab w:val="left" w:pos="5360"/>
        </w:tabs>
        <w:snapToGrid w:val="0"/>
        <w:spacing w:line="360" w:lineRule="auto"/>
        <w:ind w:right="-20"/>
        <w:jc w:val="center"/>
        <w:rPr>
          <w:rStyle w:val="41"/>
          <w:rFonts w:ascii="宋体" w:hAnsi="宋体"/>
          <w:color w:val="auto"/>
          <w:kern w:val="0"/>
          <w:sz w:val="72"/>
          <w:highlight w:val="none"/>
        </w:rPr>
      </w:pPr>
      <w:r>
        <w:rPr>
          <w:rStyle w:val="41"/>
          <w:rFonts w:ascii="宋体" w:hAnsi="宋体"/>
          <w:color w:val="auto"/>
          <w:kern w:val="0"/>
          <w:sz w:val="72"/>
          <w:highlight w:val="none"/>
        </w:rPr>
        <w:t>响应文件</w:t>
      </w:r>
    </w:p>
    <w:p>
      <w:pPr>
        <w:tabs>
          <w:tab w:val="left" w:pos="1805"/>
          <w:tab w:val="left" w:pos="5360"/>
        </w:tabs>
        <w:snapToGrid w:val="0"/>
        <w:spacing w:line="360" w:lineRule="auto"/>
        <w:ind w:right="-20"/>
        <w:jc w:val="center"/>
        <w:rPr>
          <w:rStyle w:val="41"/>
          <w:rFonts w:ascii="宋体" w:hAnsi="宋体"/>
          <w:color w:val="auto"/>
          <w:kern w:val="0"/>
          <w:sz w:val="72"/>
          <w:highlight w:val="none"/>
        </w:rPr>
      </w:pPr>
      <w:r>
        <w:rPr>
          <w:rStyle w:val="41"/>
          <w:rFonts w:ascii="宋体" w:hAnsi="宋体"/>
          <w:color w:val="auto"/>
          <w:kern w:val="0"/>
          <w:sz w:val="72"/>
          <w:highlight w:val="none"/>
        </w:rPr>
        <w:t>（商务技术文件）</w:t>
      </w:r>
    </w:p>
    <w:p>
      <w:pPr>
        <w:snapToGrid w:val="0"/>
        <w:spacing w:line="360" w:lineRule="auto"/>
        <w:jc w:val="left"/>
        <w:rPr>
          <w:rStyle w:val="41"/>
          <w:rFonts w:ascii="宋体" w:hAnsi="宋体"/>
          <w:color w:val="auto"/>
          <w:kern w:val="0"/>
          <w:sz w:val="16"/>
          <w:highlight w:val="none"/>
        </w:rPr>
      </w:pPr>
    </w:p>
    <w:p>
      <w:pPr>
        <w:snapToGrid w:val="0"/>
        <w:spacing w:line="360" w:lineRule="auto"/>
        <w:jc w:val="left"/>
        <w:rPr>
          <w:rStyle w:val="41"/>
          <w:rFonts w:ascii="宋体" w:hAnsi="宋体"/>
          <w:color w:val="auto"/>
          <w:kern w:val="0"/>
          <w:sz w:val="20"/>
          <w:highlight w:val="none"/>
        </w:rPr>
      </w:pPr>
    </w:p>
    <w:p>
      <w:pPr>
        <w:snapToGrid w:val="0"/>
        <w:spacing w:line="360" w:lineRule="auto"/>
        <w:jc w:val="left"/>
        <w:rPr>
          <w:rStyle w:val="41"/>
          <w:rFonts w:ascii="宋体" w:hAnsi="宋体"/>
          <w:color w:val="auto"/>
          <w:kern w:val="0"/>
          <w:sz w:val="20"/>
          <w:highlight w:val="none"/>
        </w:rPr>
      </w:pPr>
    </w:p>
    <w:p>
      <w:pPr>
        <w:snapToGrid w:val="0"/>
        <w:spacing w:line="360" w:lineRule="auto"/>
        <w:jc w:val="left"/>
        <w:rPr>
          <w:rStyle w:val="41"/>
          <w:rFonts w:ascii="宋体" w:hAnsi="宋体"/>
          <w:color w:val="auto"/>
          <w:kern w:val="0"/>
          <w:sz w:val="20"/>
          <w:highlight w:val="none"/>
        </w:rPr>
      </w:pPr>
    </w:p>
    <w:p>
      <w:pPr>
        <w:snapToGrid w:val="0"/>
        <w:spacing w:line="360" w:lineRule="auto"/>
        <w:jc w:val="left"/>
        <w:rPr>
          <w:rStyle w:val="41"/>
          <w:rFonts w:ascii="宋体" w:hAnsi="宋体"/>
          <w:color w:val="auto"/>
          <w:kern w:val="0"/>
          <w:sz w:val="20"/>
          <w:highlight w:val="none"/>
        </w:rPr>
      </w:pPr>
    </w:p>
    <w:p>
      <w:pPr>
        <w:snapToGrid w:val="0"/>
        <w:spacing w:line="360" w:lineRule="auto"/>
        <w:jc w:val="left"/>
        <w:rPr>
          <w:rStyle w:val="41"/>
          <w:rFonts w:ascii="宋体" w:hAnsi="宋体"/>
          <w:color w:val="auto"/>
          <w:kern w:val="0"/>
          <w:sz w:val="20"/>
          <w:highlight w:val="none"/>
        </w:rPr>
      </w:pPr>
    </w:p>
    <w:p>
      <w:pPr>
        <w:snapToGrid w:val="0"/>
        <w:spacing w:line="360" w:lineRule="auto"/>
        <w:jc w:val="left"/>
        <w:rPr>
          <w:rStyle w:val="41"/>
          <w:rFonts w:ascii="宋体" w:hAnsi="宋体"/>
          <w:color w:val="auto"/>
          <w:kern w:val="0"/>
          <w:sz w:val="20"/>
          <w:highlight w:val="none"/>
        </w:rPr>
      </w:pPr>
    </w:p>
    <w:p>
      <w:pPr>
        <w:snapToGrid w:val="0"/>
        <w:spacing w:line="360" w:lineRule="auto"/>
        <w:jc w:val="left"/>
        <w:rPr>
          <w:rStyle w:val="41"/>
          <w:rFonts w:ascii="宋体" w:hAnsi="宋体"/>
          <w:color w:val="auto"/>
          <w:kern w:val="0"/>
          <w:sz w:val="20"/>
          <w:highlight w:val="none"/>
        </w:rPr>
      </w:pPr>
    </w:p>
    <w:p>
      <w:pPr>
        <w:tabs>
          <w:tab w:val="left" w:pos="6080"/>
          <w:tab w:val="left" w:pos="6640"/>
        </w:tabs>
        <w:snapToGrid w:val="0"/>
        <w:spacing w:line="360" w:lineRule="auto"/>
        <w:ind w:left="774" w:right="403"/>
        <w:jc w:val="left"/>
        <w:rPr>
          <w:rStyle w:val="41"/>
          <w:rFonts w:ascii="宋体" w:hAnsi="宋体"/>
          <w:b/>
          <w:color w:val="auto"/>
          <w:kern w:val="0"/>
          <w:sz w:val="28"/>
          <w:highlight w:val="none"/>
        </w:rPr>
      </w:pPr>
      <w:r>
        <w:rPr>
          <w:rStyle w:val="41"/>
          <w:rFonts w:ascii="宋体" w:hAnsi="宋体"/>
          <w:b/>
          <w:color w:val="auto"/>
          <w:kern w:val="0"/>
          <w:sz w:val="28"/>
          <w:highlight w:val="none"/>
        </w:rPr>
        <w:t>供应商：</w:t>
      </w:r>
      <w:r>
        <w:rPr>
          <w:rStyle w:val="41"/>
          <w:rFonts w:ascii="宋体" w:hAnsi="宋体"/>
          <w:b/>
          <w:color w:val="auto"/>
          <w:kern w:val="0"/>
          <w:sz w:val="28"/>
          <w:highlight w:val="none"/>
          <w:u w:val="single" w:color="000000"/>
        </w:rPr>
        <w:t xml:space="preserve">                          </w:t>
      </w:r>
      <w:r>
        <w:rPr>
          <w:rStyle w:val="41"/>
          <w:rFonts w:ascii="宋体" w:hAnsi="宋体"/>
          <w:b/>
          <w:color w:val="auto"/>
          <w:kern w:val="0"/>
          <w:sz w:val="28"/>
          <w:highlight w:val="none"/>
        </w:rPr>
        <w:t>（盖单位公章）</w:t>
      </w:r>
    </w:p>
    <w:p>
      <w:pPr>
        <w:tabs>
          <w:tab w:val="left" w:pos="6080"/>
          <w:tab w:val="left" w:pos="6640"/>
        </w:tabs>
        <w:snapToGrid w:val="0"/>
        <w:spacing w:line="360" w:lineRule="auto"/>
        <w:ind w:left="774" w:right="403"/>
        <w:jc w:val="left"/>
        <w:rPr>
          <w:rStyle w:val="41"/>
          <w:rFonts w:ascii="宋体" w:hAnsi="宋体"/>
          <w:b/>
          <w:color w:val="auto"/>
          <w:kern w:val="0"/>
          <w:sz w:val="28"/>
          <w:highlight w:val="none"/>
        </w:rPr>
      </w:pPr>
    </w:p>
    <w:p>
      <w:pPr>
        <w:tabs>
          <w:tab w:val="left" w:pos="3280"/>
          <w:tab w:val="left" w:pos="4680"/>
          <w:tab w:val="left" w:pos="6080"/>
        </w:tabs>
        <w:snapToGrid w:val="0"/>
        <w:spacing w:line="360" w:lineRule="auto"/>
        <w:ind w:left="2173" w:leftChars="1035" w:right="-20" w:firstLine="548" w:firstLineChars="195"/>
        <w:jc w:val="left"/>
        <w:rPr>
          <w:rStyle w:val="41"/>
          <w:rFonts w:ascii="宋体" w:hAnsi="宋体"/>
          <w:b/>
          <w:color w:val="auto"/>
          <w:kern w:val="0"/>
          <w:sz w:val="28"/>
          <w:highlight w:val="none"/>
        </w:rPr>
      </w:pPr>
      <w:r>
        <w:rPr>
          <w:rStyle w:val="41"/>
          <w:rFonts w:ascii="宋体" w:hAnsi="宋体"/>
          <w:b/>
          <w:color w:val="auto"/>
          <w:kern w:val="0"/>
          <w:sz w:val="28"/>
          <w:highlight w:val="none"/>
          <w:u w:val="single" w:color="000000"/>
        </w:rPr>
        <w:t xml:space="preserve">      </w:t>
      </w:r>
      <w:r>
        <w:rPr>
          <w:rStyle w:val="41"/>
          <w:rFonts w:ascii="宋体" w:hAnsi="宋体"/>
          <w:b/>
          <w:color w:val="auto"/>
          <w:kern w:val="0"/>
          <w:sz w:val="28"/>
          <w:highlight w:val="none"/>
        </w:rPr>
        <w:t>年</w:t>
      </w:r>
      <w:r>
        <w:rPr>
          <w:rStyle w:val="41"/>
          <w:rFonts w:ascii="宋体" w:hAnsi="宋体"/>
          <w:b/>
          <w:color w:val="auto"/>
          <w:kern w:val="0"/>
          <w:sz w:val="28"/>
          <w:highlight w:val="none"/>
          <w:u w:val="single" w:color="000000"/>
        </w:rPr>
        <w:t xml:space="preserve">   </w:t>
      </w:r>
      <w:r>
        <w:rPr>
          <w:rStyle w:val="41"/>
          <w:rFonts w:ascii="宋体" w:hAnsi="宋体"/>
          <w:b/>
          <w:color w:val="auto"/>
          <w:kern w:val="0"/>
          <w:sz w:val="28"/>
          <w:highlight w:val="none"/>
        </w:rPr>
        <w:t>月</w:t>
      </w:r>
      <w:r>
        <w:rPr>
          <w:rStyle w:val="41"/>
          <w:rFonts w:ascii="宋体" w:hAnsi="宋体"/>
          <w:b/>
          <w:color w:val="auto"/>
          <w:kern w:val="0"/>
          <w:sz w:val="28"/>
          <w:highlight w:val="none"/>
          <w:u w:val="single" w:color="000000"/>
        </w:rPr>
        <w:t xml:space="preserve">   </w:t>
      </w:r>
      <w:r>
        <w:rPr>
          <w:rStyle w:val="41"/>
          <w:rFonts w:ascii="宋体" w:hAnsi="宋体"/>
          <w:b/>
          <w:color w:val="auto"/>
          <w:kern w:val="0"/>
          <w:sz w:val="28"/>
          <w:highlight w:val="none"/>
        </w:rPr>
        <w:t>日</w:t>
      </w:r>
    </w:p>
    <w:p>
      <w:pPr>
        <w:tabs>
          <w:tab w:val="left" w:pos="3280"/>
          <w:tab w:val="left" w:pos="4680"/>
          <w:tab w:val="left" w:pos="6080"/>
        </w:tabs>
        <w:snapToGrid w:val="0"/>
        <w:spacing w:line="360" w:lineRule="auto"/>
        <w:ind w:right="-20"/>
        <w:jc w:val="left"/>
        <w:rPr>
          <w:rStyle w:val="41"/>
          <w:rFonts w:ascii="宋体" w:hAnsi="宋体"/>
          <w:color w:val="auto"/>
          <w:kern w:val="0"/>
          <w:sz w:val="28"/>
          <w:highlight w:val="none"/>
        </w:rPr>
      </w:pPr>
    </w:p>
    <w:p>
      <w:pPr>
        <w:snapToGrid w:val="0"/>
        <w:spacing w:line="360" w:lineRule="auto"/>
        <w:rPr>
          <w:rStyle w:val="41"/>
          <w:rFonts w:ascii="宋体" w:hAnsi="宋体" w:cs="宋体"/>
          <w:b/>
          <w:bCs/>
          <w:color w:val="auto"/>
          <w:szCs w:val="32"/>
          <w:highlight w:val="none"/>
        </w:rPr>
      </w:pPr>
      <w:r>
        <w:rPr>
          <w:rStyle w:val="41"/>
          <w:rFonts w:ascii="宋体" w:hAnsi="宋体" w:cs="宋体"/>
          <w:b/>
          <w:bCs/>
          <w:color w:val="auto"/>
          <w:szCs w:val="32"/>
          <w:highlight w:val="none"/>
        </w:rPr>
        <w:t xml:space="preserve">一、法定代表人资格证明书及授权书委托格式  </w:t>
      </w:r>
    </w:p>
    <w:p>
      <w:pPr>
        <w:snapToGrid w:val="0"/>
        <w:spacing w:line="360" w:lineRule="auto"/>
        <w:ind w:firstLine="643"/>
        <w:jc w:val="center"/>
        <w:rPr>
          <w:rStyle w:val="41"/>
          <w:rFonts w:ascii="宋体" w:hAnsi="宋体" w:cs="宋体"/>
          <w:b/>
          <w:bCs/>
          <w:color w:val="auto"/>
          <w:sz w:val="32"/>
          <w:szCs w:val="20"/>
          <w:highlight w:val="none"/>
        </w:rPr>
      </w:pPr>
      <w:r>
        <w:rPr>
          <w:rStyle w:val="41"/>
          <w:rFonts w:ascii="宋体" w:hAnsi="宋体" w:cs="宋体"/>
          <w:b/>
          <w:bCs/>
          <w:color w:val="auto"/>
          <w:sz w:val="32"/>
          <w:szCs w:val="20"/>
          <w:highlight w:val="none"/>
        </w:rPr>
        <w:t>法定代表人资格证明书</w:t>
      </w:r>
    </w:p>
    <w:p>
      <w:pPr>
        <w:snapToGrid w:val="0"/>
        <w:spacing w:line="360" w:lineRule="auto"/>
        <w:ind w:firstLine="480" w:firstLineChars="229"/>
        <w:rPr>
          <w:rStyle w:val="41"/>
          <w:rFonts w:ascii="宋体" w:hAnsi="宋体"/>
          <w:color w:val="auto"/>
          <w:szCs w:val="20"/>
          <w:highlight w:val="none"/>
          <w:u w:val="single"/>
        </w:rPr>
      </w:pPr>
      <w:r>
        <w:rPr>
          <w:rStyle w:val="41"/>
          <w:rFonts w:ascii="宋体" w:hAnsi="宋体"/>
          <w:color w:val="auto"/>
          <w:szCs w:val="20"/>
          <w:highlight w:val="none"/>
          <w:u w:val="single" w:color="000000"/>
        </w:rPr>
        <w:t xml:space="preserve">浙江理工大学 （采购人单位名称）： </w:t>
      </w:r>
    </w:p>
    <w:p>
      <w:pPr>
        <w:snapToGrid w:val="0"/>
        <w:spacing w:line="360" w:lineRule="auto"/>
        <w:ind w:firstLine="482"/>
        <w:rPr>
          <w:rStyle w:val="41"/>
          <w:rFonts w:ascii="宋体" w:hAnsi="宋体"/>
          <w:color w:val="auto"/>
          <w:szCs w:val="20"/>
          <w:highlight w:val="none"/>
          <w:u w:val="single"/>
        </w:rPr>
      </w:pPr>
      <w:r>
        <w:rPr>
          <w:rStyle w:val="41"/>
          <w:rFonts w:ascii="宋体" w:hAnsi="宋体"/>
          <w:color w:val="auto"/>
          <w:szCs w:val="20"/>
          <w:highlight w:val="none"/>
          <w:u w:val="single" w:color="000000"/>
        </w:rPr>
        <w:t>浙江省成套招标代理有限公司：</w:t>
      </w:r>
    </w:p>
    <w:p>
      <w:pPr>
        <w:snapToGrid w:val="0"/>
        <w:spacing w:line="360" w:lineRule="auto"/>
        <w:ind w:firstLine="482"/>
        <w:rPr>
          <w:rStyle w:val="41"/>
          <w:rFonts w:ascii="宋体" w:hAnsi="宋体"/>
          <w:color w:val="auto"/>
          <w:szCs w:val="20"/>
          <w:highlight w:val="none"/>
        </w:rPr>
      </w:pPr>
    </w:p>
    <w:p>
      <w:pPr>
        <w:snapToGrid w:val="0"/>
        <w:spacing w:line="360" w:lineRule="auto"/>
        <w:ind w:firstLine="420" w:firstLineChars="200"/>
        <w:textAlignment w:val="bottom"/>
        <w:rPr>
          <w:rStyle w:val="41"/>
          <w:rFonts w:ascii="宋体" w:hAnsi="宋体"/>
          <w:color w:val="auto"/>
          <w:kern w:val="0"/>
          <w:szCs w:val="21"/>
          <w:highlight w:val="none"/>
        </w:rPr>
      </w:pPr>
      <w:r>
        <w:rPr>
          <w:rStyle w:val="41"/>
          <w:rFonts w:ascii="宋体" w:hAnsi="宋体"/>
          <w:color w:val="auto"/>
          <w:kern w:val="0"/>
          <w:szCs w:val="21"/>
          <w:highlight w:val="none"/>
          <w:u w:val="single" w:color="000000"/>
        </w:rPr>
        <w:t xml:space="preserve">     （姓名）    </w:t>
      </w:r>
      <w:r>
        <w:rPr>
          <w:rStyle w:val="41"/>
          <w:rFonts w:ascii="宋体" w:hAnsi="宋体"/>
          <w:color w:val="auto"/>
          <w:kern w:val="0"/>
          <w:szCs w:val="21"/>
          <w:highlight w:val="none"/>
        </w:rPr>
        <w:t>系</w:t>
      </w:r>
      <w:r>
        <w:rPr>
          <w:rStyle w:val="41"/>
          <w:rFonts w:ascii="宋体" w:hAnsi="宋体"/>
          <w:color w:val="auto"/>
          <w:kern w:val="0"/>
          <w:szCs w:val="21"/>
          <w:highlight w:val="none"/>
          <w:u w:val="single" w:color="000000"/>
        </w:rPr>
        <w:t xml:space="preserve">  （单位名称）  </w:t>
      </w:r>
      <w:r>
        <w:rPr>
          <w:rStyle w:val="41"/>
          <w:rFonts w:ascii="宋体" w:hAnsi="宋体"/>
          <w:color w:val="auto"/>
          <w:kern w:val="0"/>
          <w:szCs w:val="21"/>
          <w:highlight w:val="none"/>
        </w:rPr>
        <w:t>的法定代表人，</w:t>
      </w:r>
      <w:r>
        <w:rPr>
          <w:rStyle w:val="41"/>
          <w:rFonts w:ascii="宋体" w:hAnsi="宋体"/>
          <w:color w:val="auto"/>
          <w:kern w:val="0"/>
          <w:szCs w:val="21"/>
          <w:highlight w:val="none"/>
          <w:u w:val="single" w:color="000000"/>
        </w:rPr>
        <w:t xml:space="preserve">   （身份证号）     </w:t>
      </w:r>
      <w:r>
        <w:rPr>
          <w:rStyle w:val="41"/>
          <w:rFonts w:ascii="宋体" w:hAnsi="宋体"/>
          <w:color w:val="auto"/>
          <w:kern w:val="0"/>
          <w:szCs w:val="21"/>
          <w:highlight w:val="none"/>
        </w:rPr>
        <w:t>。</w:t>
      </w:r>
    </w:p>
    <w:p>
      <w:pPr>
        <w:snapToGrid w:val="0"/>
        <w:spacing w:line="360" w:lineRule="auto"/>
        <w:ind w:firstLine="420" w:firstLineChars="200"/>
        <w:textAlignment w:val="bottom"/>
        <w:rPr>
          <w:rStyle w:val="41"/>
          <w:rFonts w:ascii="宋体" w:hAnsi="宋体"/>
          <w:color w:val="auto"/>
          <w:kern w:val="0"/>
          <w:szCs w:val="21"/>
          <w:highlight w:val="none"/>
        </w:rPr>
      </w:pPr>
      <w:r>
        <w:rPr>
          <w:rStyle w:val="41"/>
          <w:rFonts w:ascii="宋体" w:hAnsi="宋体"/>
          <w:color w:val="auto"/>
          <w:kern w:val="0"/>
          <w:szCs w:val="21"/>
          <w:highlight w:val="none"/>
        </w:rPr>
        <w:t>特此证明。</w:t>
      </w:r>
    </w:p>
    <w:p>
      <w:pPr>
        <w:snapToGrid w:val="0"/>
        <w:spacing w:line="360" w:lineRule="auto"/>
        <w:ind w:firstLine="422" w:firstLineChars="200"/>
        <w:textAlignment w:val="bottom"/>
        <w:rPr>
          <w:rStyle w:val="41"/>
          <w:rFonts w:ascii="宋体" w:hAnsi="宋体"/>
          <w:b/>
          <w:color w:val="auto"/>
          <w:kern w:val="0"/>
          <w:szCs w:val="21"/>
          <w:highlight w:val="none"/>
        </w:rPr>
      </w:pPr>
      <w:r>
        <w:rPr>
          <w:rStyle w:val="41"/>
          <w:rFonts w:ascii="宋体" w:hAnsi="宋体"/>
          <w:b/>
          <w:color w:val="auto"/>
          <w:kern w:val="0"/>
          <w:szCs w:val="21"/>
          <w:highlight w:val="none"/>
        </w:rPr>
        <w:t>供应商：（盖单位公章）</w:t>
      </w:r>
    </w:p>
    <w:p>
      <w:pPr>
        <w:snapToGrid w:val="0"/>
        <w:spacing w:line="360" w:lineRule="auto"/>
        <w:ind w:firstLine="422" w:firstLineChars="200"/>
        <w:rPr>
          <w:rStyle w:val="41"/>
          <w:rFonts w:ascii="宋体" w:hAnsi="宋体"/>
          <w:b/>
          <w:color w:val="auto"/>
          <w:kern w:val="0"/>
          <w:szCs w:val="21"/>
          <w:highlight w:val="none"/>
        </w:rPr>
      </w:pPr>
      <w:r>
        <w:rPr>
          <w:rStyle w:val="41"/>
          <w:rFonts w:ascii="宋体" w:hAnsi="宋体"/>
          <w:b/>
          <w:color w:val="auto"/>
          <w:kern w:val="0"/>
          <w:szCs w:val="21"/>
          <w:highlight w:val="none"/>
        </w:rPr>
        <w:t>日期：</w:t>
      </w:r>
      <w:r>
        <w:rPr>
          <w:rStyle w:val="41"/>
          <w:rFonts w:ascii="宋体" w:hAnsi="宋体"/>
          <w:b/>
          <w:color w:val="auto"/>
          <w:kern w:val="0"/>
          <w:szCs w:val="21"/>
          <w:highlight w:val="none"/>
          <w:u w:val="single" w:color="000000"/>
        </w:rPr>
        <w:t xml:space="preserve">      </w:t>
      </w:r>
      <w:r>
        <w:rPr>
          <w:rStyle w:val="41"/>
          <w:rFonts w:ascii="宋体" w:hAnsi="宋体"/>
          <w:b/>
          <w:color w:val="auto"/>
          <w:kern w:val="0"/>
          <w:szCs w:val="21"/>
          <w:highlight w:val="none"/>
        </w:rPr>
        <w:t>年</w:t>
      </w:r>
      <w:r>
        <w:rPr>
          <w:rStyle w:val="41"/>
          <w:rFonts w:ascii="宋体" w:hAnsi="宋体"/>
          <w:b/>
          <w:color w:val="auto"/>
          <w:kern w:val="0"/>
          <w:szCs w:val="21"/>
          <w:highlight w:val="none"/>
          <w:u w:val="single" w:color="000000"/>
        </w:rPr>
        <w:t xml:space="preserve">    </w:t>
      </w:r>
      <w:r>
        <w:rPr>
          <w:rStyle w:val="41"/>
          <w:rFonts w:ascii="宋体" w:hAnsi="宋体"/>
          <w:b/>
          <w:color w:val="auto"/>
          <w:kern w:val="0"/>
          <w:szCs w:val="21"/>
          <w:highlight w:val="none"/>
        </w:rPr>
        <w:t>月</w:t>
      </w:r>
      <w:r>
        <w:rPr>
          <w:rStyle w:val="41"/>
          <w:rFonts w:ascii="宋体" w:hAnsi="宋体"/>
          <w:b/>
          <w:color w:val="auto"/>
          <w:kern w:val="0"/>
          <w:szCs w:val="21"/>
          <w:highlight w:val="none"/>
          <w:u w:val="single" w:color="000000"/>
        </w:rPr>
        <w:t xml:space="preserve">     </w:t>
      </w:r>
      <w:r>
        <w:rPr>
          <w:rStyle w:val="41"/>
          <w:rFonts w:ascii="宋体" w:hAnsi="宋体"/>
          <w:b/>
          <w:color w:val="auto"/>
          <w:kern w:val="0"/>
          <w:szCs w:val="21"/>
          <w:highlight w:val="none"/>
        </w:rPr>
        <w:t>日</w:t>
      </w:r>
    </w:p>
    <w:p>
      <w:pPr>
        <w:snapToGrid w:val="0"/>
        <w:spacing w:line="360" w:lineRule="auto"/>
        <w:ind w:firstLine="420" w:firstLineChars="200"/>
        <w:rPr>
          <w:rStyle w:val="41"/>
          <w:rFonts w:ascii="宋体" w:hAnsi="宋体"/>
          <w:color w:val="auto"/>
          <w:kern w:val="0"/>
          <w:szCs w:val="21"/>
          <w:highlight w:val="none"/>
        </w:rPr>
      </w:pPr>
      <w:r>
        <w:rPr>
          <w:rStyle w:val="41"/>
          <w:rFonts w:ascii="宋体" w:hAnsi="宋体"/>
          <w:color w:val="auto"/>
          <w:kern w:val="0"/>
          <w:szCs w:val="21"/>
          <w:highlight w:val="none"/>
        </w:rPr>
        <w:t>附：</w:t>
      </w:r>
    </w:p>
    <w:p>
      <w:pPr>
        <w:snapToGrid w:val="0"/>
        <w:spacing w:line="360" w:lineRule="auto"/>
        <w:ind w:firstLine="420" w:firstLineChars="200"/>
        <w:rPr>
          <w:rStyle w:val="41"/>
          <w:rFonts w:ascii="宋体" w:hAnsi="宋体"/>
          <w:color w:val="auto"/>
          <w:kern w:val="0"/>
          <w:szCs w:val="21"/>
          <w:highlight w:val="none"/>
        </w:rPr>
      </w:pPr>
      <w:r>
        <w:rPr>
          <w:rStyle w:val="41"/>
          <w:rFonts w:ascii="宋体" w:hAnsi="宋体"/>
          <w:color w:val="auto"/>
          <w:kern w:val="0"/>
          <w:szCs w:val="21"/>
          <w:highlight w:val="none"/>
        </w:rPr>
        <w:t>法定代表人身份证复印件（正反两面）</w:t>
      </w:r>
    </w:p>
    <w:p>
      <w:pPr>
        <w:snapToGrid w:val="0"/>
        <w:spacing w:line="360" w:lineRule="auto"/>
        <w:ind w:firstLine="422" w:firstLineChars="200"/>
        <w:rPr>
          <w:rStyle w:val="41"/>
          <w:rFonts w:ascii="宋体" w:hAnsi="宋体"/>
          <w:b/>
          <w:color w:val="auto"/>
          <w:kern w:val="0"/>
          <w:szCs w:val="21"/>
          <w:highlight w:val="none"/>
        </w:rPr>
      </w:pPr>
    </w:p>
    <w:tbl>
      <w:tblPr>
        <w:tblStyle w:val="21"/>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7390"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法定代表人身份证复印件粘贴处（正、反面）</w:t>
            </w:r>
          </w:p>
        </w:tc>
      </w:tr>
    </w:tbl>
    <w:p>
      <w:pPr>
        <w:snapToGrid w:val="0"/>
        <w:spacing w:line="360" w:lineRule="auto"/>
        <w:ind w:firstLine="422" w:firstLineChars="200"/>
        <w:rPr>
          <w:rStyle w:val="41"/>
          <w:rFonts w:ascii="宋体" w:hAnsi="宋体"/>
          <w:b/>
          <w:color w:val="auto"/>
          <w:kern w:val="0"/>
          <w:szCs w:val="21"/>
          <w:highlight w:val="none"/>
        </w:rPr>
      </w:pPr>
    </w:p>
    <w:p>
      <w:pPr>
        <w:snapToGrid w:val="0"/>
        <w:spacing w:line="360" w:lineRule="auto"/>
        <w:ind w:firstLine="422" w:firstLineChars="200"/>
        <w:rPr>
          <w:rStyle w:val="41"/>
          <w:rFonts w:ascii="宋体" w:hAnsi="宋体"/>
          <w:b/>
          <w:color w:val="auto"/>
          <w:kern w:val="0"/>
          <w:szCs w:val="21"/>
          <w:highlight w:val="none"/>
        </w:rPr>
      </w:pPr>
    </w:p>
    <w:p>
      <w:pPr>
        <w:snapToGrid w:val="0"/>
        <w:spacing w:line="360" w:lineRule="auto"/>
        <w:ind w:firstLine="422" w:firstLineChars="200"/>
        <w:rPr>
          <w:rStyle w:val="41"/>
          <w:rFonts w:ascii="宋体" w:hAnsi="宋体"/>
          <w:b/>
          <w:color w:val="auto"/>
          <w:kern w:val="0"/>
          <w:szCs w:val="21"/>
          <w:highlight w:val="none"/>
        </w:rPr>
      </w:pPr>
      <w:r>
        <w:rPr>
          <w:rStyle w:val="41"/>
          <w:rFonts w:ascii="宋体" w:hAnsi="宋体"/>
          <w:b/>
          <w:color w:val="auto"/>
          <w:kern w:val="0"/>
          <w:szCs w:val="21"/>
          <w:highlight w:val="none"/>
        </w:rPr>
        <w:t>注：法定代表人直接签署响应文件并参加投标的，在响应文件中出具此资格证明书及身份证复印件。</w:t>
      </w:r>
    </w:p>
    <w:p>
      <w:pPr>
        <w:snapToGrid w:val="0"/>
        <w:spacing w:line="360" w:lineRule="auto"/>
        <w:ind w:firstLine="643"/>
        <w:jc w:val="center"/>
        <w:rPr>
          <w:rStyle w:val="41"/>
          <w:rFonts w:ascii="宋体" w:hAnsi="宋体" w:cs="宋体"/>
          <w:b/>
          <w:bCs/>
          <w:color w:val="auto"/>
          <w:sz w:val="32"/>
          <w:szCs w:val="20"/>
          <w:highlight w:val="none"/>
        </w:rPr>
      </w:pPr>
      <w:r>
        <w:rPr>
          <w:rStyle w:val="41"/>
          <w:rFonts w:ascii="宋体" w:hAnsi="宋体" w:cs="宋体"/>
          <w:b/>
          <w:bCs/>
          <w:color w:val="auto"/>
          <w:sz w:val="32"/>
          <w:szCs w:val="20"/>
          <w:highlight w:val="none"/>
        </w:rPr>
        <w:br w:type="page"/>
      </w:r>
      <w:r>
        <w:rPr>
          <w:rStyle w:val="41"/>
          <w:rFonts w:ascii="宋体" w:hAnsi="宋体" w:cs="宋体"/>
          <w:b/>
          <w:bCs/>
          <w:color w:val="auto"/>
          <w:sz w:val="32"/>
          <w:szCs w:val="20"/>
          <w:highlight w:val="none"/>
        </w:rPr>
        <w:t>法定代表人授权委托书</w:t>
      </w:r>
    </w:p>
    <w:p>
      <w:pPr>
        <w:snapToGrid w:val="0"/>
        <w:spacing w:line="360" w:lineRule="auto"/>
        <w:ind w:firstLine="420" w:firstLineChars="200"/>
        <w:rPr>
          <w:rStyle w:val="41"/>
          <w:rFonts w:ascii="宋体" w:hAnsi="宋体"/>
          <w:color w:val="auto"/>
          <w:highlight w:val="none"/>
        </w:rPr>
      </w:pPr>
      <w:r>
        <w:rPr>
          <w:rStyle w:val="41"/>
          <w:rFonts w:ascii="宋体" w:hAnsi="宋体"/>
          <w:color w:val="auto"/>
          <w:szCs w:val="20"/>
          <w:highlight w:val="none"/>
          <w:u w:val="single" w:color="000000"/>
        </w:rPr>
        <w:t>浙江理工大学 （采购人单位名称）：</w:t>
      </w:r>
      <w:r>
        <w:rPr>
          <w:rStyle w:val="41"/>
          <w:rFonts w:ascii="宋体" w:hAnsi="宋体"/>
          <w:color w:val="auto"/>
          <w:highlight w:val="none"/>
        </w:rPr>
        <w:t xml:space="preserve"> </w:t>
      </w:r>
    </w:p>
    <w:p>
      <w:pPr>
        <w:snapToGrid w:val="0"/>
        <w:spacing w:line="360" w:lineRule="auto"/>
        <w:ind w:firstLine="420" w:firstLineChars="200"/>
        <w:rPr>
          <w:rStyle w:val="41"/>
          <w:rFonts w:ascii="宋体" w:hAnsi="宋体"/>
          <w:color w:val="auto"/>
          <w:szCs w:val="20"/>
          <w:highlight w:val="none"/>
          <w:u w:val="single"/>
        </w:rPr>
      </w:pPr>
      <w:r>
        <w:rPr>
          <w:rStyle w:val="41"/>
          <w:rFonts w:ascii="宋体" w:hAnsi="宋体"/>
          <w:color w:val="auto"/>
          <w:szCs w:val="20"/>
          <w:highlight w:val="none"/>
          <w:u w:val="single" w:color="000000"/>
        </w:rPr>
        <w:t>浙江省成套招标代理有限公司：</w:t>
      </w:r>
    </w:p>
    <w:p>
      <w:pPr>
        <w:snapToGrid w:val="0"/>
        <w:spacing w:line="360" w:lineRule="auto"/>
        <w:ind w:firstLine="420" w:firstLineChars="200"/>
        <w:rPr>
          <w:rStyle w:val="41"/>
          <w:rFonts w:ascii="宋体" w:hAnsi="宋体"/>
          <w:color w:val="auto"/>
          <w:szCs w:val="20"/>
          <w:highlight w:val="none"/>
        </w:rPr>
      </w:pPr>
      <w:r>
        <w:rPr>
          <w:rStyle w:val="41"/>
          <w:rFonts w:ascii="宋体" w:hAnsi="宋体"/>
          <w:color w:val="auto"/>
          <w:szCs w:val="20"/>
          <w:highlight w:val="none"/>
        </w:rPr>
        <w:t>我以</w:t>
      </w:r>
      <w:r>
        <w:rPr>
          <w:rStyle w:val="41"/>
          <w:rFonts w:ascii="宋体" w:hAnsi="宋体"/>
          <w:color w:val="auto"/>
          <w:szCs w:val="20"/>
          <w:highlight w:val="none"/>
          <w:u w:val="single" w:color="000000"/>
        </w:rPr>
        <w:t xml:space="preserve">        （供应商全称）    </w:t>
      </w:r>
      <w:r>
        <w:rPr>
          <w:rStyle w:val="41"/>
          <w:rFonts w:ascii="宋体" w:hAnsi="宋体"/>
          <w:color w:val="auto"/>
          <w:szCs w:val="20"/>
          <w:highlight w:val="none"/>
        </w:rPr>
        <w:t>法定代表人的身份授权</w:t>
      </w:r>
      <w:r>
        <w:rPr>
          <w:rStyle w:val="41"/>
          <w:rFonts w:ascii="宋体" w:hAnsi="宋体"/>
          <w:color w:val="auto"/>
          <w:szCs w:val="20"/>
          <w:highlight w:val="none"/>
          <w:u w:val="single" w:color="000000"/>
        </w:rPr>
        <w:t>（全权代表姓名）</w:t>
      </w:r>
      <w:r>
        <w:rPr>
          <w:rStyle w:val="41"/>
          <w:rFonts w:ascii="宋体" w:hAnsi="宋体"/>
          <w:color w:val="auto"/>
          <w:szCs w:val="20"/>
          <w:highlight w:val="none"/>
        </w:rPr>
        <w:t>、</w:t>
      </w:r>
      <w:r>
        <w:rPr>
          <w:rStyle w:val="41"/>
          <w:rFonts w:ascii="宋体" w:hAnsi="宋体"/>
          <w:color w:val="auto"/>
          <w:szCs w:val="20"/>
          <w:highlight w:val="none"/>
          <w:u w:val="single" w:color="000000"/>
        </w:rPr>
        <w:t xml:space="preserve">  （身份证号</w:t>
      </w:r>
      <w:r>
        <w:rPr>
          <w:rStyle w:val="41"/>
          <w:rFonts w:ascii="宋体" w:hAnsi="宋体"/>
          <w:color w:val="auto"/>
          <w:szCs w:val="20"/>
          <w:highlight w:val="none"/>
          <w:u w:val="single" w:color="000000"/>
        </w:rPr>
        <w:tab/>
      </w:r>
      <w:r>
        <w:rPr>
          <w:rStyle w:val="41"/>
          <w:rFonts w:ascii="宋体" w:hAnsi="宋体"/>
          <w:color w:val="auto"/>
          <w:szCs w:val="20"/>
          <w:highlight w:val="none"/>
          <w:u w:val="single" w:color="000000"/>
        </w:rPr>
        <w:tab/>
      </w:r>
      <w:r>
        <w:rPr>
          <w:rStyle w:val="41"/>
          <w:rFonts w:ascii="宋体" w:hAnsi="宋体"/>
          <w:color w:val="auto"/>
          <w:szCs w:val="20"/>
          <w:highlight w:val="none"/>
          <w:u w:val="single" w:color="000000"/>
        </w:rPr>
        <w:t xml:space="preserve">）  </w:t>
      </w:r>
      <w:r>
        <w:rPr>
          <w:rStyle w:val="41"/>
          <w:rFonts w:ascii="宋体" w:hAnsi="宋体"/>
          <w:color w:val="auto"/>
          <w:szCs w:val="20"/>
          <w:highlight w:val="none"/>
        </w:rPr>
        <w:t>，为我单位的全权代表，参加贵处组织的</w:t>
      </w:r>
      <w:r>
        <w:rPr>
          <w:rStyle w:val="41"/>
          <w:rFonts w:ascii="宋体" w:hAnsi="宋体"/>
          <w:color w:val="auto"/>
          <w:szCs w:val="20"/>
          <w:highlight w:val="none"/>
          <w:u w:val="single" w:color="000000"/>
        </w:rPr>
        <w:t xml:space="preserve"> </w:t>
      </w:r>
      <w:r>
        <w:rPr>
          <w:rStyle w:val="41"/>
          <w:rFonts w:hint="eastAsia" w:ascii="宋体" w:hAnsi="宋体"/>
          <w:color w:val="auto"/>
          <w:szCs w:val="20"/>
          <w:highlight w:val="none"/>
          <w:u w:val="single" w:color="000000"/>
          <w:lang w:eastAsia="zh-CN"/>
        </w:rPr>
        <w:t>浙江理工大学下沙校区教学东区消防管网改造工程</w:t>
      </w:r>
      <w:r>
        <w:rPr>
          <w:rStyle w:val="41"/>
          <w:rFonts w:ascii="宋体" w:hAnsi="宋体"/>
          <w:color w:val="auto"/>
          <w:szCs w:val="20"/>
          <w:highlight w:val="none"/>
          <w:u w:val="single" w:color="000000"/>
        </w:rPr>
        <w:t xml:space="preserve">（项目名称） </w:t>
      </w:r>
      <w:r>
        <w:rPr>
          <w:rStyle w:val="41"/>
          <w:rFonts w:hint="eastAsia" w:ascii="宋体" w:hAnsi="宋体"/>
          <w:color w:val="auto"/>
          <w:szCs w:val="20"/>
          <w:highlight w:val="none"/>
          <w:u w:val="single" w:color="000000"/>
          <w:lang w:eastAsia="zh-CN"/>
        </w:rPr>
        <w:t>CTZB-2024050477</w:t>
      </w:r>
      <w:r>
        <w:rPr>
          <w:rStyle w:val="41"/>
          <w:rFonts w:ascii="宋体" w:hAnsi="宋体"/>
          <w:color w:val="auto"/>
          <w:szCs w:val="20"/>
          <w:highlight w:val="none"/>
          <w:u w:val="single" w:color="000000"/>
        </w:rPr>
        <w:t xml:space="preserve"> （项目编号）</w:t>
      </w:r>
      <w:r>
        <w:rPr>
          <w:rStyle w:val="41"/>
          <w:rFonts w:ascii="宋体" w:hAnsi="宋体"/>
          <w:color w:val="auto"/>
          <w:szCs w:val="20"/>
          <w:highlight w:val="none"/>
        </w:rPr>
        <w:t>的招标，签署本项目相关响应文件并全权处理投标活动中的一切事宜。我单位承认全权代表做出的与本项目招投标活动有关的全部行为。</w:t>
      </w:r>
    </w:p>
    <w:p>
      <w:pPr>
        <w:snapToGrid w:val="0"/>
        <w:spacing w:line="360" w:lineRule="auto"/>
        <w:ind w:firstLine="422" w:firstLineChars="200"/>
        <w:rPr>
          <w:rStyle w:val="41"/>
          <w:rFonts w:ascii="宋体" w:hAnsi="宋体"/>
          <w:b/>
          <w:color w:val="auto"/>
          <w:szCs w:val="20"/>
          <w:highlight w:val="none"/>
        </w:rPr>
      </w:pPr>
      <w:r>
        <w:rPr>
          <w:rStyle w:val="41"/>
          <w:rFonts w:ascii="宋体" w:hAnsi="宋体"/>
          <w:b/>
          <w:color w:val="auto"/>
          <w:szCs w:val="20"/>
          <w:highlight w:val="none"/>
        </w:rPr>
        <w:t>供应商全称（盖单位公章）：</w:t>
      </w:r>
    </w:p>
    <w:p>
      <w:pPr>
        <w:snapToGrid w:val="0"/>
        <w:spacing w:line="360" w:lineRule="auto"/>
        <w:ind w:firstLine="422" w:firstLineChars="200"/>
        <w:rPr>
          <w:rStyle w:val="41"/>
          <w:rFonts w:ascii="宋体" w:hAnsi="宋体"/>
          <w:b/>
          <w:color w:val="auto"/>
          <w:szCs w:val="20"/>
          <w:highlight w:val="none"/>
        </w:rPr>
      </w:pPr>
      <w:r>
        <w:rPr>
          <w:rStyle w:val="41"/>
          <w:rFonts w:hint="eastAsia" w:ascii="宋体" w:hAnsi="宋体"/>
          <w:b/>
          <w:color w:val="auto"/>
          <w:szCs w:val="20"/>
          <w:highlight w:val="none"/>
        </w:rPr>
        <w:t xml:space="preserve"> </w:t>
      </w:r>
    </w:p>
    <w:p>
      <w:pPr>
        <w:snapToGrid w:val="0"/>
        <w:spacing w:line="360" w:lineRule="auto"/>
        <w:ind w:firstLine="422" w:firstLineChars="200"/>
        <w:rPr>
          <w:rStyle w:val="41"/>
          <w:rFonts w:ascii="宋体" w:hAnsi="宋体"/>
          <w:b/>
          <w:color w:val="auto"/>
          <w:szCs w:val="20"/>
          <w:highlight w:val="none"/>
        </w:rPr>
      </w:pPr>
      <w:r>
        <w:rPr>
          <w:rStyle w:val="41"/>
          <w:rFonts w:hint="eastAsia" w:ascii="宋体" w:hAnsi="宋体"/>
          <w:b/>
          <w:color w:val="auto"/>
          <w:szCs w:val="20"/>
          <w:highlight w:val="none"/>
        </w:rPr>
        <w:t xml:space="preserve"> </w:t>
      </w:r>
    </w:p>
    <w:p>
      <w:pPr>
        <w:snapToGrid w:val="0"/>
        <w:spacing w:line="360" w:lineRule="auto"/>
        <w:ind w:firstLine="422" w:firstLineChars="200"/>
        <w:rPr>
          <w:rStyle w:val="41"/>
          <w:rFonts w:ascii="宋体" w:hAnsi="宋体"/>
          <w:b/>
          <w:color w:val="auto"/>
          <w:szCs w:val="20"/>
          <w:highlight w:val="none"/>
        </w:rPr>
      </w:pPr>
      <w:r>
        <w:rPr>
          <w:rStyle w:val="41"/>
          <w:rFonts w:ascii="宋体" w:hAnsi="宋体"/>
          <w:b/>
          <w:color w:val="auto"/>
          <w:szCs w:val="20"/>
          <w:highlight w:val="none"/>
        </w:rPr>
        <w:t>日期：</w:t>
      </w:r>
    </w:p>
    <w:p>
      <w:pPr>
        <w:snapToGrid w:val="0"/>
        <w:spacing w:line="360" w:lineRule="auto"/>
        <w:ind w:firstLine="480"/>
        <w:rPr>
          <w:rStyle w:val="41"/>
          <w:rFonts w:ascii="宋体" w:hAnsi="宋体"/>
          <w:b/>
          <w:color w:val="auto"/>
          <w:szCs w:val="20"/>
          <w:highlight w:val="none"/>
        </w:rPr>
      </w:pPr>
      <w:r>
        <w:rPr>
          <w:rStyle w:val="41"/>
          <w:rFonts w:ascii="宋体" w:hAnsi="宋体"/>
          <w:b/>
          <w:color w:val="auto"/>
          <w:szCs w:val="20"/>
          <w:highlight w:val="none"/>
        </w:rPr>
        <w:t>附：</w:t>
      </w:r>
    </w:p>
    <w:p>
      <w:pPr>
        <w:snapToGrid w:val="0"/>
        <w:spacing w:line="360" w:lineRule="auto"/>
        <w:ind w:firstLine="480"/>
        <w:rPr>
          <w:rStyle w:val="41"/>
          <w:rFonts w:ascii="宋体" w:hAnsi="宋体"/>
          <w:color w:val="auto"/>
          <w:szCs w:val="20"/>
          <w:highlight w:val="none"/>
        </w:rPr>
      </w:pPr>
      <w:r>
        <w:rPr>
          <w:rStyle w:val="41"/>
          <w:rFonts w:ascii="宋体" w:hAnsi="宋体"/>
          <w:color w:val="auto"/>
          <w:szCs w:val="20"/>
          <w:highlight w:val="none"/>
        </w:rPr>
        <w:t xml:space="preserve">全权代表姓名：   </w:t>
      </w:r>
      <w:r>
        <w:rPr>
          <w:rStyle w:val="41"/>
          <w:rFonts w:hint="eastAsia" w:ascii="宋体" w:hAnsi="宋体"/>
          <w:color w:val="auto"/>
          <w:szCs w:val="20"/>
          <w:highlight w:val="none"/>
        </w:rPr>
        <w:t xml:space="preserve"> </w:t>
      </w:r>
      <w:r>
        <w:rPr>
          <w:rStyle w:val="41"/>
          <w:rFonts w:ascii="宋体" w:hAnsi="宋体"/>
          <w:color w:val="auto"/>
          <w:szCs w:val="20"/>
          <w:highlight w:val="none"/>
        </w:rPr>
        <w:t xml:space="preserve">   职  务：         电  话：</w:t>
      </w:r>
    </w:p>
    <w:p>
      <w:pPr>
        <w:snapToGrid w:val="0"/>
        <w:spacing w:line="360" w:lineRule="auto"/>
        <w:ind w:firstLine="422" w:firstLineChars="200"/>
        <w:rPr>
          <w:rStyle w:val="41"/>
          <w:rFonts w:ascii="宋体" w:hAnsi="宋体"/>
          <w:b/>
          <w:color w:val="auto"/>
          <w:highlight w:val="none"/>
        </w:rPr>
      </w:pPr>
      <w:r>
        <w:rPr>
          <w:rStyle w:val="41"/>
          <w:rFonts w:hint="eastAsia" w:ascii="宋体" w:hAnsi="宋体"/>
          <w:b/>
          <w:color w:val="auto"/>
          <w:highlight w:val="none"/>
        </w:rPr>
        <w:t xml:space="preserve"> </w:t>
      </w:r>
    </w:p>
    <w:p>
      <w:pPr>
        <w:snapToGrid w:val="0"/>
        <w:spacing w:line="360" w:lineRule="auto"/>
        <w:ind w:firstLine="422" w:firstLineChars="200"/>
        <w:rPr>
          <w:rStyle w:val="41"/>
          <w:rFonts w:ascii="宋体" w:hAnsi="宋体"/>
          <w:b/>
          <w:color w:val="auto"/>
          <w:highlight w:val="none"/>
        </w:rPr>
      </w:pPr>
      <w:r>
        <w:rPr>
          <w:rStyle w:val="41"/>
          <w:rFonts w:ascii="宋体" w:hAnsi="宋体"/>
          <w:b/>
          <w:color w:val="auto"/>
          <w:highlight w:val="none"/>
        </w:rPr>
        <w:t>注：法定代表人授权其公司员工签署及参加投标的，在响应文件中同时出具法定代表人资格证明书及此授权书。</w:t>
      </w:r>
    </w:p>
    <w:p>
      <w:pPr>
        <w:snapToGrid w:val="0"/>
        <w:spacing w:line="360" w:lineRule="auto"/>
        <w:ind w:firstLine="422" w:firstLineChars="200"/>
        <w:rPr>
          <w:rStyle w:val="41"/>
          <w:rFonts w:ascii="宋体" w:hAnsi="宋体"/>
          <w:b/>
          <w:color w:val="auto"/>
          <w:highlight w:val="none"/>
        </w:rPr>
      </w:pPr>
      <w:r>
        <w:rPr>
          <w:rStyle w:val="41"/>
          <w:rFonts w:ascii="宋体" w:hAnsi="宋体"/>
          <w:b/>
          <w:color w:val="auto"/>
          <w:highlight w:val="none"/>
        </w:rPr>
        <w:t>响应文件格式中所提到的响应文件签署人是指以上两文件确定的签署人员。</w:t>
      </w:r>
    </w:p>
    <w:p>
      <w:pPr>
        <w:snapToGrid w:val="0"/>
        <w:spacing w:line="360" w:lineRule="auto"/>
        <w:ind w:firstLine="422" w:firstLineChars="200"/>
        <w:rPr>
          <w:rStyle w:val="41"/>
          <w:rFonts w:ascii="宋体" w:hAnsi="宋体"/>
          <w:b/>
          <w:color w:val="auto"/>
          <w:highlight w:val="none"/>
        </w:rPr>
      </w:pPr>
      <w:r>
        <w:rPr>
          <w:rStyle w:val="41"/>
          <w:rFonts w:ascii="宋体" w:hAnsi="宋体"/>
          <w:b/>
          <w:color w:val="auto"/>
          <w:highlight w:val="none"/>
        </w:rPr>
        <w:t>如参加开标并在开评标过程中签署文件的人员与响应文件签署人不一致，须另行提供授权书。</w:t>
      </w:r>
    </w:p>
    <w:p>
      <w:pPr>
        <w:snapToGrid w:val="0"/>
        <w:spacing w:line="360" w:lineRule="auto"/>
        <w:jc w:val="left"/>
        <w:rPr>
          <w:rStyle w:val="41"/>
          <w:rFonts w:ascii="宋体" w:hAnsi="宋体" w:cs="宋体"/>
          <w:b/>
          <w:bCs/>
          <w:color w:val="auto"/>
          <w:szCs w:val="32"/>
          <w:highlight w:val="none"/>
        </w:rPr>
      </w:pPr>
      <w:r>
        <w:rPr>
          <w:rStyle w:val="41"/>
          <w:rFonts w:ascii="宋体" w:hAnsi="宋体" w:cs="宋体"/>
          <w:b/>
          <w:bCs/>
          <w:color w:val="auto"/>
          <w:spacing w:val="20"/>
          <w:szCs w:val="32"/>
          <w:highlight w:val="none"/>
        </w:rPr>
        <w:t>二</w:t>
      </w:r>
      <w:r>
        <w:rPr>
          <w:rStyle w:val="41"/>
          <w:rFonts w:ascii="宋体" w:hAnsi="宋体" w:cs="宋体"/>
          <w:b/>
          <w:bCs/>
          <w:color w:val="auto"/>
          <w:szCs w:val="32"/>
          <w:highlight w:val="none"/>
        </w:rPr>
        <w:t>、资格审查资料</w:t>
      </w:r>
    </w:p>
    <w:p>
      <w:pPr>
        <w:snapToGrid w:val="0"/>
        <w:spacing w:line="360" w:lineRule="auto"/>
        <w:ind w:left="321" w:hanging="321"/>
        <w:jc w:val="center"/>
        <w:rPr>
          <w:rStyle w:val="41"/>
          <w:rFonts w:ascii="宋体" w:hAnsi="宋体" w:cs="宋体"/>
          <w:b/>
          <w:bCs/>
          <w:color w:val="auto"/>
          <w:sz w:val="32"/>
          <w:szCs w:val="32"/>
          <w:highlight w:val="none"/>
        </w:rPr>
      </w:pPr>
      <w:r>
        <w:rPr>
          <w:rStyle w:val="41"/>
          <w:rFonts w:ascii="宋体" w:hAnsi="宋体" w:cs="宋体"/>
          <w:b/>
          <w:bCs/>
          <w:color w:val="auto"/>
          <w:sz w:val="32"/>
          <w:szCs w:val="32"/>
          <w:highlight w:val="none"/>
        </w:rPr>
        <w:t>资格审查资料</w:t>
      </w:r>
    </w:p>
    <w:p>
      <w:pPr>
        <w:snapToGrid w:val="0"/>
        <w:spacing w:line="360" w:lineRule="auto"/>
        <w:ind w:firstLine="420" w:firstLineChars="200"/>
        <w:jc w:val="left"/>
        <w:rPr>
          <w:rStyle w:val="41"/>
          <w:rFonts w:ascii="宋体" w:hAnsi="宋体"/>
          <w:color w:val="auto"/>
          <w:kern w:val="0"/>
          <w:highlight w:val="none"/>
        </w:rPr>
      </w:pPr>
      <w:r>
        <w:rPr>
          <w:rStyle w:val="41"/>
          <w:rFonts w:ascii="宋体" w:hAnsi="宋体"/>
          <w:color w:val="auto"/>
          <w:kern w:val="0"/>
          <w:highlight w:val="none"/>
        </w:rPr>
        <w:t>（一）资格审查须知</w:t>
      </w:r>
    </w:p>
    <w:p>
      <w:pPr>
        <w:snapToGrid w:val="0"/>
        <w:spacing w:line="360" w:lineRule="auto"/>
        <w:ind w:firstLine="420" w:firstLineChars="200"/>
        <w:jc w:val="left"/>
        <w:rPr>
          <w:rStyle w:val="41"/>
          <w:rFonts w:ascii="宋体" w:hAnsi="宋体"/>
          <w:color w:val="auto"/>
          <w:kern w:val="0"/>
          <w:highlight w:val="none"/>
        </w:rPr>
      </w:pPr>
      <w:r>
        <w:rPr>
          <w:rStyle w:val="41"/>
          <w:rFonts w:ascii="宋体" w:hAnsi="宋体"/>
          <w:color w:val="auto"/>
          <w:kern w:val="0"/>
          <w:highlight w:val="none"/>
        </w:rPr>
        <w:t>1、供应商必须认真填写竞争性磋商文件规定的所有表格，并对其真实性负责，采购人有权对其进行调查核实和要求澄清。</w:t>
      </w:r>
    </w:p>
    <w:p>
      <w:pPr>
        <w:snapToGrid w:val="0"/>
        <w:spacing w:line="360" w:lineRule="auto"/>
        <w:ind w:firstLine="420" w:firstLineChars="200"/>
        <w:jc w:val="left"/>
        <w:rPr>
          <w:rStyle w:val="41"/>
          <w:rFonts w:ascii="宋体" w:hAnsi="宋体"/>
          <w:color w:val="auto"/>
          <w:kern w:val="0"/>
          <w:highlight w:val="none"/>
        </w:rPr>
      </w:pPr>
      <w:r>
        <w:rPr>
          <w:rStyle w:val="41"/>
          <w:rFonts w:ascii="宋体" w:hAnsi="宋体"/>
          <w:color w:val="auto"/>
          <w:kern w:val="0"/>
          <w:highlight w:val="none"/>
        </w:rPr>
        <w:t>2、资格审查按通过和不通过两种方式进行评定，供应商的资格等方面的要求作为资格审查通过的强制性资格条件，经核实有一项不符合要求，则供应商的资格为不通过，不通过的供应商对其响应文件不进行后续评审。</w:t>
      </w:r>
    </w:p>
    <w:p>
      <w:pPr>
        <w:snapToGrid w:val="0"/>
        <w:spacing w:line="360" w:lineRule="auto"/>
        <w:ind w:firstLine="420" w:firstLineChars="200"/>
        <w:jc w:val="left"/>
        <w:rPr>
          <w:rStyle w:val="41"/>
          <w:rFonts w:ascii="宋体" w:hAnsi="宋体"/>
          <w:color w:val="auto"/>
          <w:kern w:val="0"/>
          <w:highlight w:val="none"/>
        </w:rPr>
      </w:pPr>
      <w:r>
        <w:rPr>
          <w:rStyle w:val="41"/>
          <w:rFonts w:ascii="宋体" w:hAnsi="宋体"/>
          <w:color w:val="auto"/>
          <w:kern w:val="0"/>
          <w:highlight w:val="none"/>
        </w:rPr>
        <w:t>（二）资格审查资料格式</w:t>
      </w:r>
    </w:p>
    <w:p>
      <w:pPr>
        <w:snapToGrid w:val="0"/>
        <w:spacing w:line="360" w:lineRule="auto"/>
        <w:ind w:firstLine="420" w:firstLineChars="200"/>
        <w:jc w:val="left"/>
        <w:rPr>
          <w:rStyle w:val="41"/>
          <w:rFonts w:ascii="宋体" w:hAnsi="宋体"/>
          <w:color w:val="auto"/>
          <w:kern w:val="0"/>
          <w:highlight w:val="none"/>
        </w:rPr>
      </w:pPr>
      <w:r>
        <w:rPr>
          <w:rStyle w:val="41"/>
          <w:rFonts w:ascii="宋体" w:hAnsi="宋体"/>
          <w:color w:val="auto"/>
          <w:kern w:val="0"/>
          <w:highlight w:val="none"/>
        </w:rPr>
        <w:t>详见附件</w:t>
      </w:r>
    </w:p>
    <w:p>
      <w:pPr>
        <w:snapToGrid w:val="0"/>
        <w:spacing w:line="360" w:lineRule="auto"/>
        <w:ind w:left="280" w:hanging="280"/>
        <w:rPr>
          <w:rStyle w:val="41"/>
          <w:rFonts w:ascii="宋体" w:hAnsi="宋体"/>
          <w:color w:val="auto"/>
          <w:sz w:val="28"/>
          <w:szCs w:val="28"/>
          <w:highlight w:val="none"/>
        </w:rPr>
      </w:pPr>
      <w:r>
        <w:rPr>
          <w:rStyle w:val="41"/>
          <w:rFonts w:ascii="宋体" w:hAnsi="宋体"/>
          <w:color w:val="auto"/>
          <w:sz w:val="28"/>
          <w:szCs w:val="28"/>
          <w:highlight w:val="none"/>
        </w:rPr>
        <w:br w:type="page"/>
      </w:r>
    </w:p>
    <w:p>
      <w:pPr>
        <w:snapToGrid w:val="0"/>
        <w:spacing w:line="360" w:lineRule="auto"/>
        <w:ind w:left="280" w:hanging="280"/>
        <w:rPr>
          <w:rStyle w:val="41"/>
          <w:rFonts w:ascii="宋体" w:hAnsi="宋体"/>
          <w:color w:val="auto"/>
          <w:highlight w:val="none"/>
        </w:rPr>
      </w:pPr>
      <w:r>
        <w:rPr>
          <w:rStyle w:val="41"/>
          <w:rFonts w:ascii="宋体" w:hAnsi="宋体"/>
          <w:color w:val="auto"/>
          <w:highlight w:val="none"/>
        </w:rPr>
        <w:t>附件：强制性资格条件</w:t>
      </w:r>
    </w:p>
    <w:tbl>
      <w:tblPr>
        <w:tblStyle w:val="21"/>
        <w:tblW w:w="85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4362"/>
        <w:gridCol w:w="3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序号</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强制性资格条件</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证明资料附后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1</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kern w:val="0"/>
                <w:szCs w:val="21"/>
                <w:highlight w:val="none"/>
              </w:rPr>
            </w:pPr>
            <w:r>
              <w:rPr>
                <w:rStyle w:val="41"/>
                <w:rFonts w:ascii="宋体" w:hAnsi="宋体"/>
                <w:color w:val="auto"/>
                <w:highlight w:val="none"/>
              </w:rPr>
              <w:t>具有独立承担民事责任的能力</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color w:val="auto"/>
                <w:szCs w:val="21"/>
                <w:highlight w:val="none"/>
              </w:rPr>
            </w:pPr>
            <w:r>
              <w:rPr>
                <w:rStyle w:val="41"/>
                <w:rFonts w:ascii="宋体" w:hAnsi="宋体"/>
                <w:color w:val="auto"/>
                <w:szCs w:val="21"/>
                <w:highlight w:val="none"/>
              </w:rPr>
              <w:t>营业执照(或事业法人登记证书或其它工商等登记证明材料；自然人参与政府采购，提供身份证)复印件、实施“五证合一、一照一码”登记制度改革的，只需提供改革后取得的营业执照复印件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2</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highlight w:val="none"/>
              </w:rPr>
            </w:pPr>
            <w:r>
              <w:rPr>
                <w:rStyle w:val="41"/>
                <w:rFonts w:ascii="宋体" w:hAnsi="宋体"/>
                <w:color w:val="auto"/>
                <w:highlight w:val="none"/>
              </w:rPr>
              <w:t>具有良好的商业信誉和健全的财务会计制度</w:t>
            </w:r>
          </w:p>
        </w:tc>
        <w:tc>
          <w:tcPr>
            <w:tcW w:w="3653"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color w:val="auto"/>
                <w:highlight w:val="none"/>
              </w:rPr>
            </w:pPr>
            <w:r>
              <w:rPr>
                <w:rStyle w:val="41"/>
                <w:rFonts w:ascii="宋体" w:hAnsi="宋体"/>
                <w:color w:val="auto"/>
                <w:highlight w:val="none"/>
              </w:rPr>
              <w:t>详见承诺函格式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3</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highlight w:val="none"/>
              </w:rPr>
            </w:pPr>
            <w:r>
              <w:rPr>
                <w:rStyle w:val="41"/>
                <w:rFonts w:ascii="宋体" w:hAnsi="宋体"/>
                <w:color w:val="auto"/>
                <w:highlight w:val="none"/>
              </w:rPr>
              <w:t>具有履行合同所必需的设备和专业技术能力</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4</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highlight w:val="none"/>
              </w:rPr>
            </w:pPr>
            <w:r>
              <w:rPr>
                <w:rStyle w:val="41"/>
                <w:rFonts w:ascii="宋体" w:hAnsi="宋体"/>
                <w:color w:val="auto"/>
                <w:highlight w:val="none"/>
              </w:rPr>
              <w:t>有依法缴纳税收和社会保障资金的良好记录</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5</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highlight w:val="none"/>
              </w:rPr>
            </w:pPr>
            <w:r>
              <w:rPr>
                <w:rStyle w:val="41"/>
                <w:rFonts w:ascii="宋体" w:hAnsi="宋体"/>
                <w:color w:val="auto"/>
                <w:highlight w:val="none"/>
              </w:rPr>
              <w:t>参加政府采购活动前三年内，在经营活动中没有重大违法记录</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6</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highlight w:val="none"/>
              </w:rPr>
            </w:pPr>
            <w:r>
              <w:rPr>
                <w:rStyle w:val="41"/>
                <w:rFonts w:ascii="宋体" w:hAnsi="宋体"/>
                <w:color w:val="auto"/>
                <w:kern w:val="0"/>
                <w:szCs w:val="21"/>
                <w:highlight w:val="none"/>
              </w:rPr>
              <w:t>未被“信用中国”（www.creditchina.gov.cn）、中国政府采购网（www.ccgp.gov.cn）列入失信被执行人、重大税收违法案件当事人名单、政府采购严重违法失信行为记录名单</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7</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kern w:val="0"/>
                <w:szCs w:val="21"/>
                <w:highlight w:val="none"/>
              </w:rPr>
            </w:pPr>
            <w:r>
              <w:rPr>
                <w:rStyle w:val="41"/>
                <w:rFonts w:ascii="宋体" w:hAnsi="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36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8</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hint="eastAsia" w:ascii="宋体" w:hAnsi="宋体"/>
                <w:color w:val="auto"/>
                <w:kern w:val="0"/>
                <w:szCs w:val="21"/>
                <w:highlight w:val="none"/>
                <w:lang w:eastAsia="zh-CN"/>
              </w:rPr>
            </w:pPr>
            <w:r>
              <w:rPr>
                <w:rStyle w:val="41"/>
                <w:rFonts w:hint="eastAsia" w:ascii="宋体" w:hAnsi="宋体"/>
                <w:color w:val="auto"/>
                <w:kern w:val="0"/>
                <w:szCs w:val="21"/>
                <w:highlight w:val="none"/>
              </w:rPr>
              <w:t>供应商具有消防设施</w:t>
            </w:r>
            <w:r>
              <w:rPr>
                <w:rStyle w:val="41"/>
                <w:rFonts w:hint="eastAsia" w:ascii="宋体" w:hAnsi="宋体"/>
                <w:color w:val="auto"/>
                <w:kern w:val="0"/>
                <w:szCs w:val="21"/>
                <w:highlight w:val="none"/>
                <w:lang w:val="en-US" w:eastAsia="zh-CN"/>
              </w:rPr>
              <w:t>工程专业承包资质</w:t>
            </w:r>
            <w:r>
              <w:rPr>
                <w:rStyle w:val="41"/>
                <w:rFonts w:hint="eastAsia" w:ascii="宋体" w:hAnsi="宋体"/>
                <w:color w:val="auto"/>
                <w:kern w:val="0"/>
                <w:szCs w:val="21"/>
                <w:highlight w:val="none"/>
              </w:rPr>
              <w:t>二级及以上资质</w:t>
            </w:r>
            <w:r>
              <w:rPr>
                <w:rStyle w:val="41"/>
                <w:rFonts w:hint="eastAsia" w:ascii="宋体" w:hAnsi="宋体"/>
                <w:color w:val="auto"/>
                <w:kern w:val="0"/>
                <w:szCs w:val="21"/>
                <w:highlight w:val="none"/>
                <w:lang w:eastAsia="zh-CN"/>
              </w:rPr>
              <w:t>；</w:t>
            </w:r>
          </w:p>
          <w:p>
            <w:pPr>
              <w:snapToGrid w:val="0"/>
              <w:rPr>
                <w:rStyle w:val="41"/>
                <w:color w:val="auto"/>
                <w:highlight w:val="none"/>
              </w:rPr>
            </w:pPr>
            <w:r>
              <w:rPr>
                <w:rFonts w:hint="eastAsia"/>
                <w:color w:val="auto"/>
                <w:highlight w:val="none"/>
                <w:lang w:val="en-US" w:eastAsia="zh-CN"/>
              </w:rPr>
              <w:t>供应商</w:t>
            </w:r>
            <w:r>
              <w:rPr>
                <w:rFonts w:hint="eastAsia"/>
                <w:color w:val="auto"/>
                <w:highlight w:val="none"/>
              </w:rPr>
              <w:t>具有有效的安全生产许可证</w:t>
            </w:r>
            <w:r>
              <w:rPr>
                <w:rStyle w:val="41"/>
                <w:color w:val="auto"/>
                <w:highlight w:val="none"/>
              </w:rPr>
              <w:t>；</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hint="default" w:ascii="宋体" w:hAnsi="宋体" w:eastAsia="宋体"/>
                <w:color w:val="auto"/>
                <w:highlight w:val="none"/>
                <w:lang w:val="en-US" w:eastAsia="zh-CN"/>
              </w:rPr>
            </w:pPr>
            <w:r>
              <w:rPr>
                <w:rStyle w:val="41"/>
                <w:rFonts w:ascii="宋体" w:hAnsi="宋体"/>
                <w:color w:val="auto"/>
                <w:highlight w:val="none"/>
              </w:rPr>
              <w:t>提供资质证书</w:t>
            </w:r>
            <w:r>
              <w:rPr>
                <w:rStyle w:val="41"/>
                <w:rFonts w:hint="eastAsia" w:ascii="宋体" w:hAnsi="宋体"/>
                <w:color w:val="auto"/>
                <w:highlight w:val="none"/>
                <w:lang w:val="en-US" w:eastAsia="zh-CN"/>
              </w:rPr>
              <w:t>及安全生产许可证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9</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szCs w:val="21"/>
                <w:highlight w:val="none"/>
              </w:rPr>
            </w:pPr>
            <w:r>
              <w:rPr>
                <w:rStyle w:val="41"/>
                <w:rFonts w:ascii="宋体" w:hAnsi="宋体"/>
                <w:color w:val="auto"/>
                <w:szCs w:val="21"/>
                <w:highlight w:val="none"/>
              </w:rPr>
              <w:t>落实政府采购政策需满足的资格要求：</w:t>
            </w:r>
          </w:p>
          <w:p>
            <w:pPr>
              <w:snapToGrid w:val="0"/>
              <w:rPr>
                <w:rStyle w:val="41"/>
                <w:rFonts w:ascii="宋体" w:hAnsi="宋体"/>
                <w:color w:val="auto"/>
                <w:szCs w:val="21"/>
                <w:highlight w:val="none"/>
              </w:rPr>
            </w:pPr>
            <w:r>
              <w:rPr>
                <w:rStyle w:val="41"/>
                <w:rFonts w:ascii="宋体" w:hAnsi="宋体"/>
                <w:color w:val="auto"/>
                <w:szCs w:val="21"/>
                <w:highlight w:val="none"/>
              </w:rPr>
              <w:t>专门面向中小企业（</w:t>
            </w:r>
            <w:r>
              <w:rPr>
                <w:rStyle w:val="41"/>
                <w:rFonts w:ascii="宋体" w:hAnsi="宋体"/>
                <w:color w:val="auto"/>
                <w:kern w:val="0"/>
                <w:szCs w:val="21"/>
                <w:highlight w:val="none"/>
              </w:rPr>
              <w:t>监狱企业，残疾人福利性企业视同为小微企业</w:t>
            </w:r>
            <w:r>
              <w:rPr>
                <w:rStyle w:val="41"/>
                <w:rFonts w:ascii="宋体" w:hAnsi="宋体"/>
                <w:color w:val="auto"/>
                <w:szCs w:val="21"/>
                <w:highlight w:val="none"/>
              </w:rPr>
              <w:t>）；</w:t>
            </w:r>
          </w:p>
          <w:p>
            <w:pPr>
              <w:snapToGrid w:val="0"/>
              <w:rPr>
                <w:rStyle w:val="41"/>
                <w:rFonts w:ascii="宋体" w:hAnsi="宋体"/>
                <w:color w:val="auto"/>
                <w:kern w:val="0"/>
                <w:szCs w:val="21"/>
                <w:highlight w:val="none"/>
              </w:rPr>
            </w:pPr>
            <w:r>
              <w:rPr>
                <w:rStyle w:val="41"/>
                <w:rFonts w:ascii="宋体" w:hAnsi="宋体"/>
                <w:color w:val="auto"/>
                <w:szCs w:val="21"/>
                <w:highlight w:val="none"/>
              </w:rPr>
              <w:t>工程全部由符合政策要求的中小企业承接，提供中小企业声明函。</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highlight w:val="none"/>
              </w:rPr>
            </w:pPr>
            <w:r>
              <w:rPr>
                <w:rStyle w:val="41"/>
                <w:rFonts w:ascii="宋体" w:hAnsi="宋体"/>
                <w:color w:val="auto"/>
                <w:highlight w:val="none"/>
              </w:rPr>
              <w:t>详见中小企业声明函格式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color w:val="auto"/>
                <w:szCs w:val="21"/>
                <w:highlight w:val="none"/>
              </w:rPr>
            </w:pPr>
            <w:r>
              <w:rPr>
                <w:rStyle w:val="41"/>
                <w:rFonts w:ascii="宋体" w:hAnsi="宋体"/>
                <w:color w:val="auto"/>
                <w:szCs w:val="21"/>
                <w:highlight w:val="none"/>
              </w:rPr>
              <w:t>10</w:t>
            </w:r>
          </w:p>
        </w:tc>
        <w:tc>
          <w:tcPr>
            <w:tcW w:w="4362"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szCs w:val="21"/>
                <w:highlight w:val="none"/>
              </w:rPr>
            </w:pPr>
            <w:r>
              <w:rPr>
                <w:rStyle w:val="41"/>
                <w:rFonts w:ascii="宋体" w:hAnsi="宋体"/>
                <w:color w:val="auto"/>
                <w:szCs w:val="21"/>
                <w:highlight w:val="none"/>
              </w:rPr>
              <w:t>本项目接受联合体投标</w:t>
            </w:r>
          </w:p>
        </w:tc>
        <w:tc>
          <w:tcPr>
            <w:tcW w:w="3653" w:type="dxa"/>
            <w:tcBorders>
              <w:top w:val="single" w:color="000000" w:sz="4" w:space="0"/>
              <w:left w:val="single" w:color="000000" w:sz="4" w:space="0"/>
              <w:bottom w:val="single" w:color="000000" w:sz="4" w:space="0"/>
              <w:right w:val="single" w:color="000000" w:sz="4" w:space="0"/>
            </w:tcBorders>
            <w:vAlign w:val="center"/>
          </w:tcPr>
          <w:p>
            <w:pPr>
              <w:snapToGrid w:val="0"/>
              <w:rPr>
                <w:rStyle w:val="41"/>
                <w:rFonts w:ascii="宋体" w:hAnsi="宋体"/>
                <w:color w:val="auto"/>
                <w:highlight w:val="none"/>
              </w:rPr>
            </w:pPr>
            <w:r>
              <w:rPr>
                <w:rStyle w:val="41"/>
                <w:rFonts w:ascii="宋体" w:hAnsi="宋体"/>
                <w:color w:val="auto"/>
                <w:highlight w:val="none"/>
              </w:rPr>
              <w:t>如以联合体形式参与政府采购的，提供联合协议。详见联合协议格式。</w:t>
            </w:r>
          </w:p>
        </w:tc>
      </w:tr>
    </w:tbl>
    <w:p>
      <w:pPr>
        <w:snapToGrid w:val="0"/>
        <w:spacing w:line="360" w:lineRule="auto"/>
        <w:rPr>
          <w:rStyle w:val="41"/>
          <w:rFonts w:ascii="宋体" w:hAnsi="宋体"/>
          <w:b/>
          <w:color w:val="auto"/>
          <w:kern w:val="0"/>
          <w:szCs w:val="21"/>
          <w:highlight w:val="none"/>
        </w:rPr>
      </w:pPr>
      <w:r>
        <w:rPr>
          <w:rStyle w:val="41"/>
          <w:rFonts w:ascii="宋体" w:hAnsi="宋体"/>
          <w:b/>
          <w:color w:val="auto"/>
          <w:kern w:val="0"/>
          <w:szCs w:val="21"/>
          <w:highlight w:val="none"/>
        </w:rPr>
        <w:t>注：1、证明材料复印件需齐全，不得缺页，否则证明无效。</w:t>
      </w:r>
    </w:p>
    <w:p>
      <w:pPr>
        <w:snapToGrid w:val="0"/>
        <w:spacing w:line="360" w:lineRule="auto"/>
        <w:ind w:firstLine="422" w:firstLineChars="200"/>
        <w:rPr>
          <w:rStyle w:val="41"/>
          <w:rFonts w:ascii="宋体" w:hAnsi="宋体"/>
          <w:b/>
          <w:color w:val="auto"/>
          <w:kern w:val="0"/>
          <w:szCs w:val="21"/>
          <w:highlight w:val="none"/>
        </w:rPr>
      </w:pPr>
      <w:r>
        <w:rPr>
          <w:rStyle w:val="41"/>
          <w:rFonts w:ascii="宋体" w:hAnsi="宋体"/>
          <w:b/>
          <w:color w:val="auto"/>
          <w:kern w:val="0"/>
          <w:szCs w:val="21"/>
          <w:highlight w:val="none"/>
        </w:rPr>
        <w:t>2、证明材料应具备充分性，与要求相对应，否则由此产生的责任和风险供应商承担。</w:t>
      </w:r>
    </w:p>
    <w:p>
      <w:pPr>
        <w:snapToGrid w:val="0"/>
        <w:spacing w:line="360" w:lineRule="auto"/>
        <w:rPr>
          <w:rStyle w:val="41"/>
          <w:rFonts w:ascii="宋体" w:hAnsi="宋体"/>
          <w:b/>
          <w:color w:val="auto"/>
          <w:highlight w:val="none"/>
        </w:rPr>
      </w:pPr>
      <w:r>
        <w:rPr>
          <w:rStyle w:val="41"/>
          <w:rFonts w:hint="eastAsia" w:ascii="宋体" w:hAnsi="宋体"/>
          <w:b/>
          <w:color w:val="auto"/>
          <w:szCs w:val="21"/>
          <w:highlight w:val="none"/>
        </w:rPr>
        <w:t xml:space="preserve"> </w:t>
      </w:r>
    </w:p>
    <w:p>
      <w:pPr>
        <w:snapToGrid w:val="0"/>
        <w:spacing w:line="360" w:lineRule="auto"/>
        <w:rPr>
          <w:rStyle w:val="41"/>
          <w:rFonts w:ascii="宋体" w:hAnsi="宋体"/>
          <w:b/>
          <w:color w:val="auto"/>
          <w:highlight w:val="none"/>
        </w:rPr>
      </w:pPr>
    </w:p>
    <w:p>
      <w:pPr>
        <w:snapToGrid w:val="0"/>
        <w:spacing w:line="360" w:lineRule="auto"/>
        <w:rPr>
          <w:rStyle w:val="41"/>
          <w:rFonts w:ascii="宋体" w:hAnsi="宋体"/>
          <w:b/>
          <w:color w:val="auto"/>
          <w:highlight w:val="none"/>
        </w:rPr>
      </w:pPr>
    </w:p>
    <w:p>
      <w:pPr>
        <w:snapToGrid w:val="0"/>
        <w:spacing w:line="360" w:lineRule="auto"/>
        <w:rPr>
          <w:rStyle w:val="41"/>
          <w:rFonts w:ascii="宋体" w:hAnsi="宋体"/>
          <w:b/>
          <w:color w:val="auto"/>
          <w:highlight w:val="none"/>
        </w:rPr>
      </w:pPr>
    </w:p>
    <w:p>
      <w:pPr>
        <w:snapToGrid w:val="0"/>
        <w:spacing w:line="360" w:lineRule="auto"/>
        <w:rPr>
          <w:rStyle w:val="41"/>
          <w:rFonts w:ascii="宋体" w:hAnsi="宋体"/>
          <w:b/>
          <w:color w:val="auto"/>
          <w:highlight w:val="none"/>
        </w:rPr>
      </w:pPr>
    </w:p>
    <w:p>
      <w:pPr>
        <w:snapToGrid w:val="0"/>
        <w:spacing w:line="360" w:lineRule="auto"/>
        <w:rPr>
          <w:rStyle w:val="41"/>
          <w:rFonts w:ascii="宋体" w:hAnsi="宋体"/>
          <w:b/>
          <w:color w:val="auto"/>
          <w:highlight w:val="none"/>
        </w:rPr>
      </w:pPr>
    </w:p>
    <w:p>
      <w:pPr>
        <w:snapToGrid w:val="0"/>
        <w:spacing w:line="360" w:lineRule="auto"/>
        <w:rPr>
          <w:rStyle w:val="41"/>
          <w:rFonts w:ascii="宋体" w:hAnsi="宋体"/>
          <w:b/>
          <w:color w:val="auto"/>
          <w:highlight w:val="none"/>
        </w:rPr>
      </w:pPr>
    </w:p>
    <w:p>
      <w:pPr>
        <w:snapToGrid w:val="0"/>
        <w:spacing w:line="360" w:lineRule="auto"/>
        <w:rPr>
          <w:rStyle w:val="41"/>
          <w:rFonts w:ascii="宋体" w:hAnsi="宋体"/>
          <w:b/>
          <w:color w:val="auto"/>
          <w:highlight w:val="none"/>
        </w:rPr>
      </w:pPr>
    </w:p>
    <w:p>
      <w:pPr>
        <w:snapToGrid w:val="0"/>
        <w:spacing w:line="360" w:lineRule="auto"/>
        <w:rPr>
          <w:rStyle w:val="41"/>
          <w:rFonts w:ascii="宋体" w:hAnsi="宋体"/>
          <w:b/>
          <w:color w:val="auto"/>
          <w:highlight w:val="none"/>
        </w:rPr>
      </w:pPr>
    </w:p>
    <w:p>
      <w:pPr>
        <w:snapToGrid w:val="0"/>
        <w:spacing w:line="360" w:lineRule="auto"/>
        <w:rPr>
          <w:rStyle w:val="41"/>
          <w:rFonts w:ascii="宋体" w:hAnsi="宋体"/>
          <w:b/>
          <w:color w:val="auto"/>
          <w:highlight w:val="none"/>
        </w:rPr>
      </w:pPr>
      <w:r>
        <w:rPr>
          <w:rStyle w:val="41"/>
          <w:rFonts w:ascii="宋体" w:hAnsi="宋体"/>
          <w:b/>
          <w:color w:val="auto"/>
          <w:highlight w:val="none"/>
        </w:rPr>
        <w:t>附件一：</w:t>
      </w:r>
      <w:r>
        <w:rPr>
          <w:rStyle w:val="41"/>
          <w:rFonts w:ascii="宋体" w:hAnsi="宋体"/>
          <w:b/>
          <w:color w:val="auto"/>
          <w:szCs w:val="21"/>
          <w:highlight w:val="none"/>
        </w:rPr>
        <w:t>营业执照(或事业法人登记证书或其它工商等登记证明材料；自然人参与政府采购，提供身份证)复印件</w:t>
      </w:r>
    </w:p>
    <w:p>
      <w:pPr>
        <w:snapToGrid w:val="0"/>
        <w:spacing w:line="360" w:lineRule="auto"/>
        <w:jc w:val="left"/>
        <w:rPr>
          <w:rStyle w:val="41"/>
          <w:rFonts w:ascii="宋体" w:hAnsi="宋体"/>
          <w:b/>
          <w:color w:val="auto"/>
          <w:szCs w:val="21"/>
          <w:highlight w:val="none"/>
        </w:rPr>
      </w:pPr>
    </w:p>
    <w:p>
      <w:pPr>
        <w:snapToGrid w:val="0"/>
        <w:spacing w:line="360" w:lineRule="auto"/>
        <w:jc w:val="left"/>
        <w:rPr>
          <w:rStyle w:val="41"/>
          <w:rFonts w:ascii="宋体" w:hAnsi="宋体"/>
          <w:b/>
          <w:color w:val="auto"/>
          <w:szCs w:val="21"/>
          <w:highlight w:val="none"/>
        </w:rPr>
      </w:pPr>
      <w:r>
        <w:rPr>
          <w:rStyle w:val="41"/>
          <w:rFonts w:ascii="宋体" w:hAnsi="宋体"/>
          <w:b/>
          <w:color w:val="auto"/>
          <w:szCs w:val="21"/>
          <w:highlight w:val="none"/>
        </w:rPr>
        <w:t>附件二：承诺函</w:t>
      </w:r>
    </w:p>
    <w:p>
      <w:pPr>
        <w:snapToGrid w:val="0"/>
        <w:spacing w:line="360" w:lineRule="auto"/>
        <w:jc w:val="center"/>
        <w:rPr>
          <w:rStyle w:val="41"/>
          <w:rFonts w:ascii="宋体" w:hAnsi="宋体"/>
          <w:b/>
          <w:color w:val="auto"/>
          <w:sz w:val="30"/>
          <w:szCs w:val="30"/>
          <w:highlight w:val="none"/>
        </w:rPr>
      </w:pPr>
      <w:r>
        <w:rPr>
          <w:rStyle w:val="41"/>
          <w:rFonts w:ascii="宋体" w:hAnsi="宋体"/>
          <w:b/>
          <w:color w:val="auto"/>
          <w:sz w:val="30"/>
          <w:szCs w:val="30"/>
          <w:highlight w:val="none"/>
        </w:rPr>
        <w:t>承诺函</w:t>
      </w:r>
    </w:p>
    <w:p>
      <w:pPr>
        <w:snapToGrid w:val="0"/>
        <w:spacing w:line="360" w:lineRule="auto"/>
        <w:rPr>
          <w:rStyle w:val="41"/>
          <w:rFonts w:ascii="宋体" w:hAnsi="宋体"/>
          <w:color w:val="auto"/>
          <w:kern w:val="0"/>
          <w:szCs w:val="21"/>
          <w:highlight w:val="none"/>
        </w:rPr>
      </w:pPr>
      <w:r>
        <w:rPr>
          <w:rStyle w:val="41"/>
          <w:rFonts w:ascii="宋体" w:hAnsi="宋体"/>
          <w:color w:val="auto"/>
          <w:kern w:val="0"/>
          <w:szCs w:val="21"/>
          <w:highlight w:val="none"/>
          <w:u w:val="single" w:color="000000"/>
        </w:rPr>
        <w:t>（采购人名称）：</w:t>
      </w:r>
    </w:p>
    <w:p>
      <w:pPr>
        <w:snapToGrid w:val="0"/>
        <w:spacing w:line="360" w:lineRule="auto"/>
        <w:ind w:firstLine="420" w:firstLineChars="200"/>
        <w:jc w:val="left"/>
        <w:rPr>
          <w:rStyle w:val="41"/>
          <w:rFonts w:ascii="宋体" w:hAnsi="宋体"/>
          <w:color w:val="auto"/>
          <w:kern w:val="0"/>
          <w:szCs w:val="21"/>
          <w:highlight w:val="none"/>
        </w:rPr>
      </w:pPr>
      <w:r>
        <w:rPr>
          <w:rStyle w:val="41"/>
          <w:rFonts w:ascii="宋体" w:hAnsi="宋体"/>
          <w:color w:val="auto"/>
          <w:szCs w:val="21"/>
          <w:highlight w:val="none"/>
        </w:rPr>
        <w:t>我方此次参加</w:t>
      </w:r>
      <w:r>
        <w:rPr>
          <w:rStyle w:val="41"/>
          <w:rFonts w:ascii="宋体" w:hAnsi="宋体"/>
          <w:b/>
          <w:color w:val="auto"/>
          <w:kern w:val="0"/>
          <w:szCs w:val="21"/>
          <w:highlight w:val="none"/>
          <w:u w:val="single" w:color="000000"/>
        </w:rPr>
        <w:t xml:space="preserve">             （项目名称）</w:t>
      </w:r>
      <w:r>
        <w:rPr>
          <w:rStyle w:val="41"/>
          <w:rFonts w:ascii="宋体" w:hAnsi="宋体"/>
          <w:color w:val="auto"/>
          <w:szCs w:val="21"/>
          <w:highlight w:val="none"/>
        </w:rPr>
        <w:t>的投标，</w:t>
      </w:r>
      <w:r>
        <w:rPr>
          <w:rStyle w:val="41"/>
          <w:rFonts w:ascii="宋体" w:hAnsi="宋体"/>
          <w:color w:val="auto"/>
          <w:kern w:val="0"/>
          <w:szCs w:val="21"/>
          <w:highlight w:val="none"/>
        </w:rPr>
        <w:t>郑重承诺如下：</w:t>
      </w:r>
    </w:p>
    <w:p>
      <w:pPr>
        <w:snapToGrid w:val="0"/>
        <w:spacing w:line="360" w:lineRule="auto"/>
        <w:ind w:firstLine="420" w:firstLineChars="200"/>
        <w:jc w:val="left"/>
        <w:rPr>
          <w:rStyle w:val="41"/>
          <w:rFonts w:ascii="宋体" w:hAnsi="宋体"/>
          <w:color w:val="auto"/>
          <w:kern w:val="0"/>
          <w:szCs w:val="21"/>
          <w:highlight w:val="none"/>
        </w:rPr>
      </w:pPr>
      <w:r>
        <w:rPr>
          <w:rStyle w:val="41"/>
          <w:rFonts w:ascii="宋体" w:hAnsi="宋体"/>
          <w:color w:val="auto"/>
          <w:kern w:val="0"/>
          <w:szCs w:val="21"/>
          <w:highlight w:val="none"/>
        </w:rPr>
        <w:t>1、我方承诺</w:t>
      </w:r>
      <w:r>
        <w:rPr>
          <w:rStyle w:val="41"/>
          <w:rFonts w:ascii="宋体" w:hAnsi="宋体"/>
          <w:color w:val="auto"/>
          <w:szCs w:val="21"/>
          <w:highlight w:val="none"/>
        </w:rPr>
        <w:t>具有良好的商业信誉和健全的财务会计</w:t>
      </w:r>
      <w:r>
        <w:rPr>
          <w:rStyle w:val="41"/>
          <w:rFonts w:ascii="宋体" w:hAnsi="宋体"/>
          <w:color w:val="auto"/>
          <w:highlight w:val="none"/>
        </w:rPr>
        <w:t>制度</w:t>
      </w:r>
      <w:r>
        <w:rPr>
          <w:rStyle w:val="41"/>
          <w:rFonts w:ascii="宋体" w:hAnsi="宋体"/>
          <w:color w:val="auto"/>
          <w:kern w:val="0"/>
          <w:szCs w:val="21"/>
          <w:highlight w:val="none"/>
        </w:rPr>
        <w:t>。如有虚假，采购人可取消我方任何资格（投标/中标/签订合同），我方对此无任何异议。</w:t>
      </w:r>
    </w:p>
    <w:p>
      <w:pPr>
        <w:snapToGrid w:val="0"/>
        <w:spacing w:line="360" w:lineRule="auto"/>
        <w:ind w:firstLine="420" w:firstLineChars="200"/>
        <w:jc w:val="left"/>
        <w:rPr>
          <w:rStyle w:val="41"/>
          <w:rFonts w:ascii="宋体" w:hAnsi="宋体"/>
          <w:color w:val="auto"/>
          <w:kern w:val="0"/>
          <w:szCs w:val="21"/>
          <w:highlight w:val="none"/>
        </w:rPr>
      </w:pPr>
      <w:r>
        <w:rPr>
          <w:rStyle w:val="41"/>
          <w:rFonts w:ascii="宋体" w:hAnsi="宋体"/>
          <w:color w:val="auto"/>
          <w:kern w:val="0"/>
          <w:szCs w:val="21"/>
          <w:highlight w:val="none"/>
        </w:rPr>
        <w:t>2、我方承诺具有履行合同所必需的设备和专业技术能力。如有虚假，采购人可取消我方任何资格（投标/中标/签订合同），我方对此无任何异议。</w:t>
      </w:r>
    </w:p>
    <w:p>
      <w:pPr>
        <w:snapToGrid w:val="0"/>
        <w:spacing w:line="360" w:lineRule="auto"/>
        <w:ind w:firstLine="420" w:firstLineChars="200"/>
        <w:rPr>
          <w:rStyle w:val="41"/>
          <w:rFonts w:ascii="宋体" w:hAnsi="宋体"/>
          <w:color w:val="auto"/>
          <w:kern w:val="0"/>
          <w:szCs w:val="21"/>
          <w:highlight w:val="none"/>
        </w:rPr>
      </w:pPr>
      <w:r>
        <w:rPr>
          <w:rStyle w:val="41"/>
          <w:rFonts w:ascii="宋体" w:hAnsi="宋体"/>
          <w:color w:val="auto"/>
          <w:kern w:val="0"/>
          <w:szCs w:val="21"/>
          <w:highlight w:val="none"/>
        </w:rPr>
        <w:t>3、我公司郑重声明，我司严格依法缴纳税收和社会保障资金，本文件中所提供的相关材料均真实有效，不存在虚假、造假行为。如有违反，愿承担一切责任。</w:t>
      </w:r>
    </w:p>
    <w:p>
      <w:pPr>
        <w:snapToGrid w:val="0"/>
        <w:spacing w:line="360" w:lineRule="auto"/>
        <w:ind w:firstLine="420" w:firstLineChars="200"/>
        <w:rPr>
          <w:rStyle w:val="41"/>
          <w:rFonts w:ascii="宋体" w:hAnsi="宋体"/>
          <w:color w:val="auto"/>
          <w:szCs w:val="21"/>
          <w:highlight w:val="none"/>
        </w:rPr>
      </w:pPr>
      <w:r>
        <w:rPr>
          <w:rStyle w:val="41"/>
          <w:rFonts w:ascii="宋体" w:hAnsi="宋体"/>
          <w:color w:val="auto"/>
          <w:szCs w:val="21"/>
          <w:highlight w:val="none"/>
        </w:rPr>
        <w:t>4、我方具有良好的商业信誉，依法缴纳税收和社会保障资金，</w:t>
      </w:r>
      <w:r>
        <w:rPr>
          <w:rStyle w:val="41"/>
          <w:rFonts w:ascii="宋体" w:hAnsi="宋体"/>
          <w:color w:val="auto"/>
          <w:kern w:val="0"/>
          <w:szCs w:val="21"/>
          <w:highlight w:val="none"/>
        </w:rPr>
        <w:t>未被列入失信被执行人名单、重大税收违法案件当事人名单、政府采购严重违法失信行为记录名单，</w:t>
      </w:r>
      <w:r>
        <w:rPr>
          <w:rStyle w:val="41"/>
          <w:rFonts w:ascii="宋体" w:hAnsi="宋体"/>
          <w:color w:val="auto"/>
          <w:szCs w:val="21"/>
          <w:highlight w:val="none"/>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Style w:val="41"/>
          <w:rFonts w:ascii="宋体" w:hAnsi="宋体"/>
          <w:color w:val="auto"/>
          <w:kern w:val="0"/>
          <w:szCs w:val="21"/>
          <w:highlight w:val="none"/>
        </w:rPr>
        <w:t>。如有虚假，采购人可取消我方任何资格（投标/中标/签订合同），我方对此无任何异议。</w:t>
      </w:r>
    </w:p>
    <w:p>
      <w:pPr>
        <w:snapToGrid w:val="0"/>
        <w:spacing w:line="360" w:lineRule="auto"/>
        <w:ind w:firstLine="420" w:firstLineChars="200"/>
        <w:rPr>
          <w:rStyle w:val="41"/>
          <w:rFonts w:ascii="宋体" w:hAnsi="宋体"/>
          <w:color w:val="auto"/>
          <w:szCs w:val="21"/>
          <w:highlight w:val="none"/>
        </w:rPr>
      </w:pPr>
      <w:r>
        <w:rPr>
          <w:rStyle w:val="41"/>
          <w:rFonts w:ascii="宋体" w:hAnsi="宋体"/>
          <w:color w:val="auto"/>
          <w:szCs w:val="21"/>
          <w:highlight w:val="none"/>
        </w:rPr>
        <w:t>5、我方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napToGrid w:val="0"/>
        <w:spacing w:line="360" w:lineRule="auto"/>
        <w:ind w:firstLine="420" w:firstLineChars="200"/>
        <w:rPr>
          <w:rStyle w:val="41"/>
          <w:rFonts w:ascii="宋体" w:hAnsi="宋体"/>
          <w:color w:val="auto"/>
          <w:szCs w:val="21"/>
          <w:highlight w:val="none"/>
        </w:rPr>
      </w:pPr>
      <w:r>
        <w:rPr>
          <w:rStyle w:val="41"/>
          <w:rFonts w:ascii="宋体" w:hAnsi="宋体"/>
          <w:color w:val="auto"/>
          <w:szCs w:val="21"/>
          <w:highlight w:val="none"/>
        </w:rPr>
        <w:t>6、我方郑重承诺，我方此次参加投标，与参加本次项目同一合同项下政府采购活动的其他供应商不存在单位负责人为同一人或者直接控股、管理关系。</w:t>
      </w:r>
    </w:p>
    <w:p>
      <w:pPr>
        <w:snapToGrid w:val="0"/>
        <w:spacing w:line="360" w:lineRule="auto"/>
        <w:ind w:firstLine="420" w:firstLineChars="200"/>
        <w:rPr>
          <w:rStyle w:val="41"/>
          <w:rFonts w:ascii="宋体" w:hAnsi="宋体"/>
          <w:color w:val="auto"/>
          <w:szCs w:val="21"/>
          <w:highlight w:val="none"/>
        </w:rPr>
      </w:pPr>
      <w:r>
        <w:rPr>
          <w:rStyle w:val="41"/>
          <w:rFonts w:ascii="宋体" w:hAnsi="宋体"/>
          <w:color w:val="auto"/>
          <w:szCs w:val="21"/>
          <w:highlight w:val="none"/>
        </w:rPr>
        <w:t>7、我方郑重承诺，我方此次参加投标，不属于以下情况：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20" w:firstLineChars="200"/>
        <w:rPr>
          <w:rStyle w:val="41"/>
          <w:rFonts w:ascii="宋体" w:hAnsi="宋体"/>
          <w:b/>
          <w:color w:val="auto"/>
          <w:szCs w:val="21"/>
          <w:highlight w:val="none"/>
        </w:rPr>
      </w:pPr>
      <w:r>
        <w:rPr>
          <w:rStyle w:val="41"/>
          <w:rFonts w:ascii="宋体" w:hAnsi="宋体"/>
          <w:color w:val="auto"/>
          <w:szCs w:val="21"/>
          <w:highlight w:val="none"/>
        </w:rPr>
        <w:t>8、我方郑重承诺，我方此次参加投标的拟派项目负责人未存在在其他任何在建合同工程上担任项目负责人的情况，如有虚假或隐瞒，愿意承担一切后果。</w:t>
      </w:r>
    </w:p>
    <w:p>
      <w:pPr>
        <w:snapToGrid w:val="0"/>
        <w:spacing w:line="360" w:lineRule="auto"/>
        <w:ind w:firstLine="422" w:firstLineChars="200"/>
        <w:rPr>
          <w:rStyle w:val="41"/>
          <w:rFonts w:ascii="宋体" w:hAnsi="宋体"/>
          <w:b/>
          <w:color w:val="auto"/>
          <w:szCs w:val="21"/>
          <w:highlight w:val="none"/>
        </w:rPr>
      </w:pPr>
      <w:r>
        <w:rPr>
          <w:rStyle w:val="41"/>
          <w:rFonts w:ascii="宋体" w:hAnsi="宋体"/>
          <w:b/>
          <w:color w:val="auto"/>
          <w:szCs w:val="21"/>
          <w:highlight w:val="none"/>
        </w:rPr>
        <w:t>特此承诺！</w:t>
      </w:r>
    </w:p>
    <w:p>
      <w:pPr>
        <w:snapToGrid w:val="0"/>
        <w:spacing w:line="360" w:lineRule="auto"/>
        <w:ind w:firstLine="422" w:firstLineChars="200"/>
        <w:rPr>
          <w:rStyle w:val="41"/>
          <w:rFonts w:ascii="宋体" w:hAnsi="宋体"/>
          <w:b/>
          <w:color w:val="auto"/>
          <w:szCs w:val="21"/>
          <w:highlight w:val="none"/>
        </w:rPr>
      </w:pPr>
      <w:r>
        <w:rPr>
          <w:rStyle w:val="41"/>
          <w:rFonts w:ascii="宋体" w:hAnsi="宋体"/>
          <w:b/>
          <w:color w:val="auto"/>
          <w:szCs w:val="21"/>
          <w:highlight w:val="none"/>
        </w:rPr>
        <w:t>供应商全称（</w:t>
      </w:r>
      <w:r>
        <w:rPr>
          <w:rStyle w:val="41"/>
          <w:rFonts w:ascii="宋体" w:hAnsi="宋体"/>
          <w:b/>
          <w:color w:val="auto"/>
          <w:highlight w:val="none"/>
        </w:rPr>
        <w:t>盖单位公章</w:t>
      </w:r>
      <w:r>
        <w:rPr>
          <w:rStyle w:val="41"/>
          <w:rFonts w:ascii="宋体" w:hAnsi="宋体"/>
          <w:b/>
          <w:color w:val="auto"/>
          <w:szCs w:val="21"/>
          <w:highlight w:val="none"/>
        </w:rPr>
        <w:t xml:space="preserve">）： </w:t>
      </w:r>
    </w:p>
    <w:p>
      <w:pPr>
        <w:snapToGrid w:val="0"/>
        <w:spacing w:line="360" w:lineRule="auto"/>
        <w:ind w:firstLine="422" w:firstLineChars="200"/>
        <w:rPr>
          <w:rStyle w:val="41"/>
          <w:rFonts w:ascii="宋体" w:hAnsi="宋体"/>
          <w:b/>
          <w:color w:val="auto"/>
          <w:highlight w:val="none"/>
        </w:rPr>
      </w:pPr>
      <w:r>
        <w:rPr>
          <w:rStyle w:val="41"/>
          <w:rFonts w:ascii="宋体" w:hAnsi="宋体"/>
          <w:b/>
          <w:color w:val="auto"/>
          <w:szCs w:val="21"/>
          <w:highlight w:val="none"/>
        </w:rPr>
        <w:t>日期：</w:t>
      </w:r>
    </w:p>
    <w:p>
      <w:pPr>
        <w:snapToGrid w:val="0"/>
        <w:spacing w:line="360" w:lineRule="auto"/>
        <w:rPr>
          <w:rStyle w:val="41"/>
          <w:rFonts w:ascii="宋体" w:hAnsi="宋体"/>
          <w:b/>
          <w:color w:val="auto"/>
          <w:highlight w:val="none"/>
        </w:rPr>
      </w:pPr>
    </w:p>
    <w:p>
      <w:pPr>
        <w:snapToGrid w:val="0"/>
        <w:jc w:val="left"/>
        <w:rPr>
          <w:rStyle w:val="41"/>
          <w:color w:val="auto"/>
          <w:highlight w:val="none"/>
        </w:rPr>
      </w:pPr>
      <w:r>
        <w:rPr>
          <w:rStyle w:val="41"/>
          <w:color w:val="auto"/>
          <w:highlight w:val="none"/>
        </w:rPr>
        <w:t>附件三：中小企业声明函（工程）</w:t>
      </w:r>
    </w:p>
    <w:p>
      <w:pPr>
        <w:snapToGrid w:val="0"/>
        <w:jc w:val="center"/>
        <w:rPr>
          <w:rStyle w:val="41"/>
          <w:rFonts w:ascii="宋体" w:hAnsi="宋体"/>
          <w:b/>
          <w:color w:val="auto"/>
          <w:kern w:val="0"/>
          <w:highlight w:val="none"/>
        </w:rPr>
      </w:pPr>
      <w:r>
        <w:rPr>
          <w:rStyle w:val="41"/>
          <w:rFonts w:ascii="宋体" w:hAnsi="宋体"/>
          <w:b/>
          <w:color w:val="auto"/>
          <w:kern w:val="0"/>
          <w:highlight w:val="none"/>
        </w:rPr>
        <w:t>中小企业声明函（工程）</w:t>
      </w:r>
    </w:p>
    <w:p>
      <w:pPr>
        <w:snapToGrid w:val="0"/>
        <w:spacing w:line="360" w:lineRule="auto"/>
        <w:rPr>
          <w:rStyle w:val="41"/>
          <w:color w:val="auto"/>
          <w:highlight w:val="none"/>
        </w:rPr>
      </w:pPr>
    </w:p>
    <w:p>
      <w:pPr>
        <w:snapToGrid w:val="0"/>
        <w:spacing w:line="360" w:lineRule="auto"/>
        <w:ind w:firstLine="630" w:firstLineChars="300"/>
        <w:rPr>
          <w:rStyle w:val="41"/>
          <w:color w:val="auto"/>
          <w:highlight w:val="none"/>
        </w:rPr>
      </w:pPr>
      <w:r>
        <w:rPr>
          <w:rStyle w:val="41"/>
          <w:color w:val="auto"/>
          <w:highlight w:val="none"/>
        </w:rPr>
        <w:t>本公司（联合体）郑重声明，根据《政府采购促进中小企业发展管理办法》（财库﹝2020﹞46 号）的规定，本公司</w:t>
      </w:r>
      <w:r>
        <w:rPr>
          <w:rStyle w:val="41"/>
          <w:color w:val="auto"/>
          <w:highlight w:val="none"/>
          <w:u w:val="single" w:color="000000"/>
        </w:rPr>
        <w:t>（联合体）</w:t>
      </w:r>
      <w:r>
        <w:rPr>
          <w:rStyle w:val="41"/>
          <w:color w:val="auto"/>
          <w:highlight w:val="none"/>
        </w:rPr>
        <w:t xml:space="preserve">参加 </w:t>
      </w:r>
      <w:r>
        <w:rPr>
          <w:rStyle w:val="41"/>
          <w:color w:val="auto"/>
          <w:highlight w:val="none"/>
          <w:u w:val="single" w:color="000000"/>
        </w:rPr>
        <w:t xml:space="preserve">（单位名称） </w:t>
      </w:r>
      <w:r>
        <w:rPr>
          <w:rStyle w:val="41"/>
          <w:color w:val="auto"/>
          <w:highlight w:val="none"/>
        </w:rPr>
        <w:t>的</w:t>
      </w:r>
      <w:r>
        <w:rPr>
          <w:rStyle w:val="41"/>
          <w:color w:val="auto"/>
          <w:highlight w:val="none"/>
          <w:u w:val="single" w:color="000000"/>
        </w:rPr>
        <w:t xml:space="preserve">（项目名称） </w:t>
      </w:r>
      <w:r>
        <w:rPr>
          <w:rStyle w:val="41"/>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630" w:firstLineChars="300"/>
        <w:rPr>
          <w:rStyle w:val="41"/>
          <w:color w:val="auto"/>
          <w:highlight w:val="none"/>
        </w:rPr>
      </w:pPr>
      <w:r>
        <w:rPr>
          <w:rStyle w:val="41"/>
          <w:color w:val="auto"/>
          <w:highlight w:val="none"/>
        </w:rPr>
        <w:t xml:space="preserve">1. </w:t>
      </w:r>
      <w:r>
        <w:rPr>
          <w:rStyle w:val="41"/>
          <w:color w:val="auto"/>
          <w:highlight w:val="none"/>
          <w:u w:val="single" w:color="000000"/>
        </w:rPr>
        <w:t xml:space="preserve">（标的名称） </w:t>
      </w:r>
      <w:r>
        <w:rPr>
          <w:rStyle w:val="41"/>
          <w:color w:val="auto"/>
          <w:highlight w:val="none"/>
        </w:rPr>
        <w:t xml:space="preserve">，属于 </w:t>
      </w:r>
      <w:r>
        <w:rPr>
          <w:rStyle w:val="41"/>
          <w:color w:val="auto"/>
          <w:highlight w:val="none"/>
          <w:u w:val="single" w:color="000000"/>
        </w:rPr>
        <w:t xml:space="preserve">（建筑业） </w:t>
      </w:r>
      <w:r>
        <w:rPr>
          <w:rStyle w:val="41"/>
          <w:color w:val="auto"/>
          <w:highlight w:val="none"/>
        </w:rPr>
        <w:t>；承建（承接）企业为</w:t>
      </w:r>
      <w:r>
        <w:rPr>
          <w:rStyle w:val="41"/>
          <w:color w:val="auto"/>
          <w:highlight w:val="none"/>
          <w:u w:val="single" w:color="000000"/>
        </w:rPr>
        <w:t xml:space="preserve"> （企业名称） </w:t>
      </w:r>
      <w:r>
        <w:rPr>
          <w:rStyle w:val="41"/>
          <w:color w:val="auto"/>
          <w:highlight w:val="none"/>
        </w:rPr>
        <w:t>，从业人员</w:t>
      </w:r>
      <w:r>
        <w:rPr>
          <w:rStyle w:val="41"/>
          <w:color w:val="auto"/>
          <w:highlight w:val="none"/>
          <w:u w:val="single" w:color="000000"/>
        </w:rPr>
        <w:t xml:space="preserve">     </w:t>
      </w:r>
      <w:r>
        <w:rPr>
          <w:rStyle w:val="41"/>
          <w:color w:val="auto"/>
          <w:highlight w:val="none"/>
        </w:rPr>
        <w:t>人，营业收入为</w:t>
      </w:r>
      <w:r>
        <w:rPr>
          <w:rStyle w:val="41"/>
          <w:color w:val="auto"/>
          <w:highlight w:val="none"/>
          <w:u w:val="single" w:color="000000"/>
        </w:rPr>
        <w:t xml:space="preserve">     </w:t>
      </w:r>
      <w:r>
        <w:rPr>
          <w:rStyle w:val="41"/>
          <w:color w:val="auto"/>
          <w:highlight w:val="none"/>
        </w:rPr>
        <w:t>万元，资产总额为</w:t>
      </w:r>
      <w:r>
        <w:rPr>
          <w:rStyle w:val="41"/>
          <w:color w:val="auto"/>
          <w:highlight w:val="none"/>
          <w:u w:val="single" w:color="000000"/>
        </w:rPr>
        <w:t xml:space="preserve">    </w:t>
      </w:r>
      <w:r>
        <w:rPr>
          <w:rStyle w:val="41"/>
          <w:color w:val="auto"/>
          <w:highlight w:val="none"/>
        </w:rPr>
        <w:t>万元，属于</w:t>
      </w:r>
      <w:r>
        <w:rPr>
          <w:rStyle w:val="41"/>
          <w:color w:val="auto"/>
          <w:highlight w:val="none"/>
          <w:u w:val="single" w:color="000000"/>
        </w:rPr>
        <w:t xml:space="preserve"> （中型企业、小型企业、微型企业） </w:t>
      </w:r>
      <w:r>
        <w:rPr>
          <w:rStyle w:val="41"/>
          <w:color w:val="auto"/>
          <w:highlight w:val="none"/>
        </w:rPr>
        <w:t>；</w:t>
      </w:r>
    </w:p>
    <w:p>
      <w:pPr>
        <w:snapToGrid w:val="0"/>
        <w:spacing w:line="360" w:lineRule="auto"/>
        <w:ind w:firstLine="630" w:firstLineChars="300"/>
        <w:rPr>
          <w:rStyle w:val="41"/>
          <w:color w:val="auto"/>
          <w:highlight w:val="none"/>
        </w:rPr>
      </w:pPr>
      <w:r>
        <w:rPr>
          <w:rStyle w:val="41"/>
          <w:color w:val="auto"/>
          <w:highlight w:val="none"/>
        </w:rPr>
        <w:t xml:space="preserve">2. </w:t>
      </w:r>
      <w:r>
        <w:rPr>
          <w:rStyle w:val="41"/>
          <w:color w:val="auto"/>
          <w:highlight w:val="none"/>
          <w:u w:val="single" w:color="000000"/>
        </w:rPr>
        <w:t xml:space="preserve">（标的名称） </w:t>
      </w:r>
      <w:r>
        <w:rPr>
          <w:rStyle w:val="41"/>
          <w:color w:val="auto"/>
          <w:highlight w:val="none"/>
        </w:rPr>
        <w:t>，属于</w:t>
      </w:r>
      <w:r>
        <w:rPr>
          <w:rStyle w:val="41"/>
          <w:color w:val="auto"/>
          <w:highlight w:val="none"/>
          <w:u w:val="single" w:color="000000"/>
        </w:rPr>
        <w:t xml:space="preserve"> （建筑业） </w:t>
      </w:r>
      <w:r>
        <w:rPr>
          <w:rStyle w:val="41"/>
          <w:color w:val="auto"/>
          <w:highlight w:val="none"/>
        </w:rPr>
        <w:t>；承建（承接）企业为</w:t>
      </w:r>
      <w:r>
        <w:rPr>
          <w:rStyle w:val="41"/>
          <w:color w:val="auto"/>
          <w:highlight w:val="none"/>
          <w:u w:val="single" w:color="000000"/>
        </w:rPr>
        <w:t xml:space="preserve"> （企业名称） </w:t>
      </w:r>
      <w:r>
        <w:rPr>
          <w:rStyle w:val="41"/>
          <w:color w:val="auto"/>
          <w:highlight w:val="none"/>
        </w:rPr>
        <w:t xml:space="preserve">，从业人员 </w:t>
      </w:r>
      <w:r>
        <w:rPr>
          <w:rStyle w:val="41"/>
          <w:color w:val="auto"/>
          <w:highlight w:val="none"/>
          <w:u w:val="single" w:color="000000"/>
        </w:rPr>
        <w:t xml:space="preserve">     </w:t>
      </w:r>
      <w:r>
        <w:rPr>
          <w:rStyle w:val="41"/>
          <w:color w:val="auto"/>
          <w:highlight w:val="none"/>
        </w:rPr>
        <w:t>人，营业收入为</w:t>
      </w:r>
      <w:r>
        <w:rPr>
          <w:rStyle w:val="41"/>
          <w:color w:val="auto"/>
          <w:highlight w:val="none"/>
          <w:u w:val="single" w:color="000000"/>
        </w:rPr>
        <w:t xml:space="preserve">     </w:t>
      </w:r>
      <w:r>
        <w:rPr>
          <w:rStyle w:val="41"/>
          <w:color w:val="auto"/>
          <w:highlight w:val="none"/>
        </w:rPr>
        <w:t>万元，资产总额为</w:t>
      </w:r>
      <w:r>
        <w:rPr>
          <w:rStyle w:val="41"/>
          <w:color w:val="auto"/>
          <w:highlight w:val="none"/>
          <w:u w:val="single" w:color="000000"/>
        </w:rPr>
        <w:t xml:space="preserve">    </w:t>
      </w:r>
      <w:r>
        <w:rPr>
          <w:rStyle w:val="41"/>
          <w:color w:val="auto"/>
          <w:highlight w:val="none"/>
        </w:rPr>
        <w:t>万元，属于 （中型企业、小型企业、微型企业） ；</w:t>
      </w:r>
    </w:p>
    <w:p>
      <w:pPr>
        <w:snapToGrid w:val="0"/>
        <w:spacing w:line="360" w:lineRule="auto"/>
        <w:rPr>
          <w:rStyle w:val="41"/>
          <w:color w:val="auto"/>
          <w:highlight w:val="none"/>
          <w:u w:val="single"/>
        </w:rPr>
      </w:pPr>
      <w:r>
        <w:rPr>
          <w:rStyle w:val="41"/>
          <w:color w:val="auto"/>
          <w:highlight w:val="none"/>
        </w:rPr>
        <w:t>……</w:t>
      </w:r>
    </w:p>
    <w:p>
      <w:pPr>
        <w:snapToGrid w:val="0"/>
        <w:spacing w:line="360" w:lineRule="auto"/>
        <w:ind w:firstLine="420" w:firstLineChars="200"/>
        <w:rPr>
          <w:rStyle w:val="41"/>
          <w:color w:val="auto"/>
          <w:highlight w:val="none"/>
        </w:rPr>
      </w:pPr>
      <w:r>
        <w:rPr>
          <w:rStyle w:val="41"/>
          <w:color w:val="auto"/>
          <w:highlight w:val="none"/>
        </w:rPr>
        <w:t>以上企业，不属于大企业的分支机构，不存在控股股东为大企业的情形，也不存在与大企业的负责人为同一人的情形。</w:t>
      </w:r>
    </w:p>
    <w:p>
      <w:pPr>
        <w:snapToGrid w:val="0"/>
        <w:spacing w:line="360" w:lineRule="auto"/>
        <w:ind w:firstLine="420" w:firstLineChars="200"/>
        <w:rPr>
          <w:rStyle w:val="41"/>
          <w:color w:val="auto"/>
          <w:highlight w:val="none"/>
        </w:rPr>
      </w:pPr>
      <w:r>
        <w:rPr>
          <w:rStyle w:val="41"/>
          <w:color w:val="auto"/>
          <w:highlight w:val="none"/>
        </w:rPr>
        <w:t>本企业对上述声明内容的真实性负责。如有虚假，将依法承担相应责任。</w:t>
      </w:r>
    </w:p>
    <w:p>
      <w:pPr>
        <w:snapToGrid w:val="0"/>
        <w:spacing w:line="360" w:lineRule="auto"/>
        <w:ind w:firstLine="420" w:firstLineChars="200"/>
        <w:jc w:val="left"/>
        <w:rPr>
          <w:rStyle w:val="41"/>
          <w:rFonts w:ascii="宋体" w:hAnsi="宋体"/>
          <w:color w:val="auto"/>
          <w:kern w:val="0"/>
          <w:highlight w:val="none"/>
        </w:rPr>
      </w:pPr>
    </w:p>
    <w:p>
      <w:pPr>
        <w:snapToGrid w:val="0"/>
        <w:spacing w:line="360" w:lineRule="auto"/>
        <w:ind w:firstLine="420" w:firstLineChars="200"/>
        <w:jc w:val="left"/>
        <w:rPr>
          <w:rStyle w:val="41"/>
          <w:rFonts w:ascii="宋体" w:hAnsi="宋体"/>
          <w:color w:val="auto"/>
          <w:kern w:val="0"/>
          <w:highlight w:val="none"/>
        </w:rPr>
      </w:pPr>
    </w:p>
    <w:p>
      <w:pPr>
        <w:snapToGrid w:val="0"/>
        <w:spacing w:line="360" w:lineRule="auto"/>
        <w:ind w:firstLine="420" w:firstLineChars="200"/>
        <w:jc w:val="left"/>
        <w:rPr>
          <w:rStyle w:val="41"/>
          <w:rFonts w:ascii="宋体" w:hAnsi="宋体"/>
          <w:color w:val="auto"/>
          <w:kern w:val="0"/>
          <w:highlight w:val="none"/>
        </w:rPr>
      </w:pPr>
      <w:r>
        <w:rPr>
          <w:rStyle w:val="41"/>
          <w:rFonts w:ascii="宋体" w:hAnsi="宋体"/>
          <w:color w:val="auto"/>
          <w:kern w:val="0"/>
          <w:highlight w:val="none"/>
        </w:rPr>
        <w:t>供应商全称（盖章） ：</w:t>
      </w:r>
    </w:p>
    <w:p>
      <w:pPr>
        <w:snapToGrid w:val="0"/>
        <w:ind w:right="630" w:firstLine="630" w:firstLineChars="300"/>
        <w:jc w:val="left"/>
        <w:rPr>
          <w:rStyle w:val="41"/>
          <w:color w:val="auto"/>
          <w:highlight w:val="none"/>
        </w:rPr>
      </w:pPr>
      <w:r>
        <w:rPr>
          <w:rStyle w:val="41"/>
          <w:color w:val="auto"/>
          <w:highlight w:val="none"/>
        </w:rPr>
        <w:t>日 期：</w:t>
      </w:r>
    </w:p>
    <w:p>
      <w:pPr>
        <w:snapToGrid w:val="0"/>
        <w:spacing w:line="276" w:lineRule="auto"/>
        <w:ind w:firstLine="422" w:firstLineChars="200"/>
        <w:rPr>
          <w:rStyle w:val="41"/>
          <w:rFonts w:ascii="宋体" w:hAnsi="宋体"/>
          <w:b/>
          <w:color w:val="auto"/>
          <w:highlight w:val="none"/>
        </w:rPr>
      </w:pPr>
    </w:p>
    <w:p>
      <w:pPr>
        <w:snapToGrid w:val="0"/>
        <w:spacing w:line="360" w:lineRule="auto"/>
        <w:jc w:val="center"/>
        <w:rPr>
          <w:rStyle w:val="41"/>
          <w:rFonts w:ascii="宋体" w:hAnsi="宋体" w:cs="宋体"/>
          <w:b/>
          <w:bCs/>
          <w:color w:val="auto"/>
          <w:sz w:val="32"/>
          <w:highlight w:val="none"/>
        </w:rPr>
      </w:pPr>
    </w:p>
    <w:p>
      <w:pPr>
        <w:snapToGrid w:val="0"/>
        <w:spacing w:line="360" w:lineRule="auto"/>
        <w:jc w:val="center"/>
        <w:rPr>
          <w:rStyle w:val="41"/>
          <w:rFonts w:ascii="宋体" w:hAnsi="宋体" w:cs="宋体"/>
          <w:b/>
          <w:bCs/>
          <w:color w:val="auto"/>
          <w:sz w:val="32"/>
          <w:highlight w:val="none"/>
        </w:rPr>
      </w:pPr>
    </w:p>
    <w:p>
      <w:pPr>
        <w:snapToGrid w:val="0"/>
        <w:spacing w:line="360" w:lineRule="auto"/>
        <w:jc w:val="center"/>
        <w:rPr>
          <w:rStyle w:val="41"/>
          <w:rFonts w:ascii="宋体" w:hAnsi="宋体" w:cs="宋体"/>
          <w:b/>
          <w:bCs/>
          <w:color w:val="auto"/>
          <w:sz w:val="32"/>
          <w:highlight w:val="none"/>
        </w:rPr>
      </w:pPr>
    </w:p>
    <w:p>
      <w:pPr>
        <w:snapToGrid w:val="0"/>
        <w:spacing w:line="360" w:lineRule="auto"/>
        <w:jc w:val="center"/>
        <w:rPr>
          <w:rStyle w:val="41"/>
          <w:rFonts w:ascii="宋体" w:hAnsi="宋体" w:cs="宋体"/>
          <w:b/>
          <w:bCs/>
          <w:color w:val="auto"/>
          <w:sz w:val="32"/>
          <w:highlight w:val="none"/>
        </w:rPr>
      </w:pPr>
    </w:p>
    <w:p>
      <w:pPr>
        <w:snapToGrid w:val="0"/>
        <w:spacing w:line="360" w:lineRule="auto"/>
        <w:rPr>
          <w:rStyle w:val="41"/>
          <w:rFonts w:ascii="宋体" w:hAnsi="宋体" w:cs="宋体"/>
          <w:b/>
          <w:bCs/>
          <w:color w:val="auto"/>
          <w:sz w:val="32"/>
          <w:highlight w:val="none"/>
        </w:rPr>
      </w:pPr>
    </w:p>
    <w:p>
      <w:pPr>
        <w:snapToGrid w:val="0"/>
        <w:spacing w:line="360" w:lineRule="auto"/>
        <w:jc w:val="center"/>
        <w:rPr>
          <w:rStyle w:val="41"/>
          <w:rFonts w:ascii="宋体" w:hAnsi="宋体" w:cs="宋体"/>
          <w:b/>
          <w:bCs/>
          <w:color w:val="auto"/>
          <w:sz w:val="32"/>
          <w:highlight w:val="none"/>
        </w:rPr>
      </w:pPr>
    </w:p>
    <w:p>
      <w:pPr>
        <w:snapToGrid w:val="0"/>
        <w:spacing w:line="360" w:lineRule="auto"/>
        <w:jc w:val="both"/>
        <w:rPr>
          <w:rStyle w:val="41"/>
          <w:rFonts w:ascii="宋体" w:hAnsi="宋体" w:cs="宋体"/>
          <w:b/>
          <w:bCs/>
          <w:color w:val="auto"/>
          <w:sz w:val="32"/>
          <w:highlight w:val="none"/>
        </w:rPr>
      </w:pPr>
      <w:r>
        <w:rPr>
          <w:rStyle w:val="41"/>
          <w:rFonts w:ascii="宋体" w:hAnsi="宋体" w:cs="宋体"/>
          <w:b/>
          <w:bCs/>
          <w:color w:val="auto"/>
          <w:sz w:val="32"/>
          <w:highlight w:val="none"/>
        </w:rPr>
        <w:br w:type="page"/>
      </w:r>
      <w:r>
        <w:rPr>
          <w:rStyle w:val="41"/>
          <w:rFonts w:ascii="宋体" w:hAnsi="宋体" w:cs="宋体"/>
          <w:b/>
          <w:bCs/>
          <w:color w:val="auto"/>
          <w:sz w:val="32"/>
          <w:highlight w:val="none"/>
        </w:rPr>
        <w:t>监狱企业声明函</w:t>
      </w:r>
    </w:p>
    <w:p>
      <w:pPr>
        <w:snapToGrid w:val="0"/>
        <w:spacing w:line="360" w:lineRule="auto"/>
        <w:jc w:val="center"/>
        <w:rPr>
          <w:rStyle w:val="41"/>
          <w:rFonts w:ascii="宋体" w:hAnsi="宋体"/>
          <w:b/>
          <w:color w:val="auto"/>
          <w:sz w:val="40"/>
          <w:szCs w:val="21"/>
          <w:highlight w:val="none"/>
          <w:u w:val="single"/>
        </w:rPr>
      </w:pPr>
      <w:r>
        <w:rPr>
          <w:rStyle w:val="41"/>
          <w:rFonts w:ascii="宋体" w:hAnsi="宋体"/>
          <w:b/>
          <w:color w:val="auto"/>
          <w:sz w:val="40"/>
          <w:szCs w:val="21"/>
          <w:highlight w:val="none"/>
          <w:u w:val="single" w:color="000000"/>
        </w:rPr>
        <w:t>【不属于监狱企业的无需填写、递交】</w:t>
      </w:r>
    </w:p>
    <w:p>
      <w:pPr>
        <w:snapToGrid w:val="0"/>
        <w:spacing w:line="360" w:lineRule="auto"/>
        <w:ind w:firstLine="420" w:firstLineChars="200"/>
        <w:jc w:val="left"/>
        <w:rPr>
          <w:rStyle w:val="41"/>
          <w:rFonts w:ascii="宋体" w:hAnsi="宋体"/>
          <w:color w:val="auto"/>
          <w:szCs w:val="21"/>
          <w:highlight w:val="none"/>
        </w:rPr>
      </w:pPr>
      <w:r>
        <w:rPr>
          <w:rStyle w:val="41"/>
          <w:rFonts w:ascii="宋体" w:hAnsi="宋体"/>
          <w:color w:val="auto"/>
          <w:szCs w:val="21"/>
          <w:highlight w:val="none"/>
        </w:rPr>
        <w:t>本企业郑重声明，根据《关于政府采购支持监狱企业发展有关问题的通知》（财库[2014]68号）的规定，本企业为</w:t>
      </w:r>
      <w:r>
        <w:rPr>
          <w:rStyle w:val="41"/>
          <w:rFonts w:ascii="宋体" w:hAnsi="宋体"/>
          <w:color w:val="auto"/>
          <w:szCs w:val="21"/>
          <w:highlight w:val="none"/>
          <w:u w:val="single" w:color="000000"/>
        </w:rPr>
        <w:t>监狱企业</w:t>
      </w:r>
      <w:r>
        <w:rPr>
          <w:rStyle w:val="41"/>
          <w:rFonts w:ascii="宋体" w:hAnsi="宋体"/>
          <w:color w:val="auto"/>
          <w:szCs w:val="21"/>
          <w:highlight w:val="none"/>
        </w:rPr>
        <w:t>。</w:t>
      </w:r>
    </w:p>
    <w:p>
      <w:pPr>
        <w:snapToGrid w:val="0"/>
        <w:spacing w:line="360" w:lineRule="auto"/>
        <w:ind w:firstLine="420" w:firstLineChars="200"/>
        <w:jc w:val="left"/>
        <w:rPr>
          <w:rStyle w:val="41"/>
          <w:rFonts w:ascii="宋体" w:hAnsi="宋体"/>
          <w:color w:val="auto"/>
          <w:szCs w:val="21"/>
          <w:highlight w:val="none"/>
        </w:rPr>
      </w:pPr>
      <w:r>
        <w:rPr>
          <w:rStyle w:val="41"/>
          <w:rFonts w:ascii="宋体" w:hAnsi="宋体"/>
          <w:color w:val="auto"/>
          <w:szCs w:val="21"/>
          <w:highlight w:val="none"/>
        </w:rPr>
        <w:t>根据上述标准，我企业属于</w:t>
      </w:r>
      <w:r>
        <w:rPr>
          <w:rStyle w:val="41"/>
          <w:rFonts w:ascii="宋体" w:hAnsi="宋体"/>
          <w:color w:val="auto"/>
          <w:szCs w:val="21"/>
          <w:highlight w:val="none"/>
          <w:u w:val="single" w:color="000000"/>
        </w:rPr>
        <w:t>监狱企业</w:t>
      </w:r>
      <w:r>
        <w:rPr>
          <w:rStyle w:val="41"/>
          <w:rFonts w:ascii="宋体" w:hAnsi="宋体"/>
          <w:color w:val="auto"/>
          <w:szCs w:val="21"/>
          <w:highlight w:val="none"/>
        </w:rPr>
        <w:t>的理由为：。</w:t>
      </w:r>
    </w:p>
    <w:p>
      <w:pPr>
        <w:snapToGrid w:val="0"/>
        <w:spacing w:line="360" w:lineRule="auto"/>
        <w:ind w:firstLine="420" w:firstLineChars="200"/>
        <w:rPr>
          <w:rStyle w:val="41"/>
          <w:rFonts w:ascii="宋体" w:hAnsi="宋体"/>
          <w:color w:val="auto"/>
          <w:szCs w:val="21"/>
          <w:highlight w:val="none"/>
        </w:rPr>
      </w:pPr>
      <w:r>
        <w:rPr>
          <w:rStyle w:val="41"/>
          <w:rFonts w:ascii="宋体" w:hAnsi="宋体"/>
          <w:color w:val="auto"/>
          <w:szCs w:val="21"/>
          <w:highlight w:val="none"/>
        </w:rPr>
        <w:t>本企业为参加（项目名称）（项目编号：）采购活动提供本企业的产品（工程）。</w:t>
      </w:r>
    </w:p>
    <w:p>
      <w:pPr>
        <w:snapToGrid w:val="0"/>
        <w:ind w:firstLine="803" w:firstLineChars="200"/>
        <w:rPr>
          <w:rStyle w:val="41"/>
          <w:rFonts w:ascii="宋体" w:hAnsi="宋体"/>
          <w:b/>
          <w:color w:val="auto"/>
          <w:szCs w:val="21"/>
          <w:highlight w:val="none"/>
        </w:rPr>
      </w:pPr>
      <w:r>
        <w:rPr>
          <w:rStyle w:val="41"/>
          <w:rFonts w:ascii="宋体" w:hAnsi="宋体"/>
          <w:b/>
          <w:color w:val="auto"/>
          <w:sz w:val="40"/>
          <w:szCs w:val="21"/>
          <w:highlight w:val="none"/>
        </w:rPr>
        <w:t>本企业对上述声明的真实性负责。如有虚假，将依法承担相应责任。</w:t>
      </w:r>
    </w:p>
    <w:p>
      <w:pPr>
        <w:snapToGrid w:val="0"/>
        <w:spacing w:line="360" w:lineRule="auto"/>
        <w:ind w:firstLine="422" w:firstLineChars="200"/>
        <w:rPr>
          <w:rStyle w:val="41"/>
          <w:rFonts w:ascii="宋体" w:hAnsi="宋体"/>
          <w:b/>
          <w:color w:val="auto"/>
          <w:szCs w:val="20"/>
          <w:highlight w:val="none"/>
        </w:rPr>
      </w:pPr>
    </w:p>
    <w:p>
      <w:pPr>
        <w:snapToGrid w:val="0"/>
        <w:spacing w:line="360" w:lineRule="auto"/>
        <w:ind w:firstLine="422" w:firstLineChars="200"/>
        <w:rPr>
          <w:rStyle w:val="41"/>
          <w:rFonts w:ascii="宋体" w:hAnsi="宋体"/>
          <w:b/>
          <w:color w:val="auto"/>
          <w:kern w:val="0"/>
          <w:szCs w:val="21"/>
          <w:highlight w:val="none"/>
          <w:u w:val="single"/>
        </w:rPr>
      </w:pPr>
      <w:r>
        <w:rPr>
          <w:rStyle w:val="41"/>
          <w:rFonts w:ascii="宋体" w:hAnsi="宋体"/>
          <w:b/>
          <w:color w:val="auto"/>
          <w:szCs w:val="20"/>
          <w:highlight w:val="none"/>
        </w:rPr>
        <w:t>供应商全称</w:t>
      </w:r>
      <w:r>
        <w:rPr>
          <w:rStyle w:val="41"/>
          <w:rFonts w:ascii="宋体" w:hAnsi="宋体"/>
          <w:b/>
          <w:color w:val="auto"/>
          <w:kern w:val="0"/>
          <w:szCs w:val="21"/>
          <w:highlight w:val="none"/>
        </w:rPr>
        <w:t>（盖单位公章）：</w:t>
      </w:r>
    </w:p>
    <w:p>
      <w:pPr>
        <w:snapToGrid w:val="0"/>
        <w:spacing w:line="360" w:lineRule="auto"/>
        <w:ind w:firstLine="422" w:firstLineChars="200"/>
        <w:rPr>
          <w:rStyle w:val="41"/>
          <w:rFonts w:ascii="宋体" w:hAnsi="宋体"/>
          <w:b/>
          <w:color w:val="auto"/>
          <w:kern w:val="0"/>
          <w:szCs w:val="21"/>
          <w:highlight w:val="none"/>
        </w:rPr>
      </w:pPr>
      <w:r>
        <w:rPr>
          <w:rStyle w:val="41"/>
          <w:rFonts w:ascii="宋体" w:hAnsi="宋体"/>
          <w:b/>
          <w:color w:val="auto"/>
          <w:kern w:val="0"/>
          <w:szCs w:val="21"/>
          <w:highlight w:val="none"/>
        </w:rPr>
        <w:t>日期：年月日</w:t>
      </w:r>
    </w:p>
    <w:p>
      <w:pPr>
        <w:snapToGrid w:val="0"/>
        <w:spacing w:line="360" w:lineRule="auto"/>
        <w:ind w:firstLine="420" w:firstLineChars="200"/>
        <w:rPr>
          <w:rStyle w:val="41"/>
          <w:rFonts w:ascii="宋体" w:hAnsi="宋体"/>
          <w:color w:val="auto"/>
          <w:kern w:val="0"/>
          <w:szCs w:val="21"/>
          <w:highlight w:val="none"/>
        </w:rPr>
      </w:pPr>
      <w:r>
        <w:rPr>
          <w:rStyle w:val="41"/>
          <w:rFonts w:ascii="宋体" w:hAnsi="宋体"/>
          <w:color w:val="auto"/>
          <w:kern w:val="0"/>
          <w:szCs w:val="21"/>
          <w:highlight w:val="none"/>
        </w:rPr>
        <w:t>监狱企业参加政府采购活动时，应当提供由省级以上监狱管理局、戒毒管理局（含新疆生产建设兵团）出具的属于监狱企业的证明文件。</w:t>
      </w:r>
    </w:p>
    <w:p>
      <w:pPr>
        <w:snapToGrid w:val="0"/>
        <w:spacing w:line="360" w:lineRule="auto"/>
        <w:rPr>
          <w:rStyle w:val="41"/>
          <w:rFonts w:ascii="宋体" w:hAnsi="宋体"/>
          <w:color w:val="auto"/>
          <w:szCs w:val="20"/>
          <w:highlight w:val="none"/>
        </w:rPr>
      </w:pPr>
      <w:r>
        <w:rPr>
          <w:rStyle w:val="41"/>
          <w:rFonts w:ascii="宋体" w:hAnsi="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jc w:val="center"/>
        <w:rPr>
          <w:rStyle w:val="41"/>
          <w:rFonts w:ascii="宋体" w:hAnsi="宋体" w:cs="宋体"/>
          <w:b/>
          <w:bCs/>
          <w:color w:val="auto"/>
          <w:sz w:val="32"/>
          <w:szCs w:val="32"/>
          <w:highlight w:val="none"/>
        </w:rPr>
      </w:pPr>
    </w:p>
    <w:p>
      <w:pPr>
        <w:snapToGrid w:val="0"/>
        <w:spacing w:line="360" w:lineRule="auto"/>
        <w:jc w:val="center"/>
        <w:rPr>
          <w:rStyle w:val="41"/>
          <w:rFonts w:ascii="宋体" w:hAnsi="宋体" w:cs="宋体"/>
          <w:b/>
          <w:bCs/>
          <w:color w:val="auto"/>
          <w:sz w:val="32"/>
          <w:szCs w:val="32"/>
          <w:highlight w:val="none"/>
        </w:rPr>
      </w:pPr>
      <w:r>
        <w:rPr>
          <w:rStyle w:val="41"/>
          <w:rFonts w:ascii="宋体" w:hAnsi="宋体" w:cs="宋体"/>
          <w:b/>
          <w:bCs/>
          <w:color w:val="auto"/>
          <w:sz w:val="32"/>
          <w:szCs w:val="32"/>
          <w:highlight w:val="none"/>
        </w:rPr>
        <w:t>残疾人福利性单位声明函</w:t>
      </w:r>
    </w:p>
    <w:p>
      <w:pPr>
        <w:snapToGrid w:val="0"/>
        <w:spacing w:line="360" w:lineRule="auto"/>
        <w:jc w:val="center"/>
        <w:rPr>
          <w:rStyle w:val="41"/>
          <w:rFonts w:ascii="宋体" w:hAnsi="宋体"/>
          <w:b/>
          <w:color w:val="auto"/>
          <w:sz w:val="36"/>
          <w:szCs w:val="21"/>
          <w:highlight w:val="none"/>
          <w:u w:val="single"/>
        </w:rPr>
      </w:pPr>
      <w:r>
        <w:rPr>
          <w:rStyle w:val="41"/>
          <w:rFonts w:ascii="宋体" w:hAnsi="宋体"/>
          <w:b/>
          <w:color w:val="auto"/>
          <w:sz w:val="36"/>
          <w:szCs w:val="21"/>
          <w:highlight w:val="none"/>
          <w:u w:val="single" w:color="000000"/>
        </w:rPr>
        <w:t>【不属于残疾人福利性单位的无需填写、递交】</w:t>
      </w:r>
    </w:p>
    <w:p>
      <w:pPr>
        <w:snapToGrid w:val="0"/>
        <w:spacing w:line="360" w:lineRule="auto"/>
        <w:rPr>
          <w:rStyle w:val="41"/>
          <w:rFonts w:ascii="宋体" w:hAnsi="宋体"/>
          <w:color w:val="auto"/>
          <w:kern w:val="0"/>
          <w:szCs w:val="21"/>
          <w:highlight w:val="none"/>
        </w:rPr>
      </w:pPr>
      <w:r>
        <w:rPr>
          <w:rStyle w:val="41"/>
          <w:rFonts w:ascii="宋体" w:hAnsi="宋体"/>
          <w:color w:val="auto"/>
          <w:kern w:val="0"/>
          <w:szCs w:val="21"/>
          <w:highlight w:val="none"/>
        </w:rPr>
        <w:t>本单位郑重声明，根据《财政部 民政部 中国残疾人联合会关于促进残疾人就业政府采购政策的通知》（财库〔2017〕141号）的规定，本单位为符合条件的残疾人福利性单位，且本单位参加</w:t>
      </w:r>
      <w:r>
        <w:rPr>
          <w:rStyle w:val="41"/>
          <w:rFonts w:ascii="宋体" w:hAnsi="宋体"/>
          <w:color w:val="auto"/>
          <w:kern w:val="0"/>
          <w:szCs w:val="21"/>
          <w:highlight w:val="none"/>
          <w:u w:val="single" w:color="000000"/>
        </w:rPr>
        <w:t xml:space="preserve"> （采购人名称）</w:t>
      </w:r>
      <w:r>
        <w:rPr>
          <w:rStyle w:val="41"/>
          <w:rFonts w:ascii="宋体" w:hAnsi="宋体"/>
          <w:color w:val="auto"/>
          <w:kern w:val="0"/>
          <w:szCs w:val="21"/>
          <w:highlight w:val="none"/>
        </w:rPr>
        <w:t xml:space="preserve">  单位的</w:t>
      </w:r>
      <w:r>
        <w:rPr>
          <w:rStyle w:val="41"/>
          <w:rFonts w:ascii="宋体" w:hAnsi="宋体"/>
          <w:color w:val="auto"/>
          <w:kern w:val="0"/>
          <w:szCs w:val="21"/>
          <w:highlight w:val="none"/>
          <w:u w:val="single" w:color="000000"/>
        </w:rPr>
        <w:t xml:space="preserve">   （项目名称）   </w:t>
      </w:r>
      <w:r>
        <w:rPr>
          <w:rStyle w:val="41"/>
          <w:rFonts w:ascii="宋体" w:hAnsi="宋体"/>
          <w:color w:val="auto"/>
          <w:kern w:val="0"/>
          <w:szCs w:val="21"/>
          <w:highlight w:val="none"/>
        </w:rPr>
        <w:t xml:space="preserve"> 项目采购活动提供本单位制造的</w:t>
      </w:r>
      <w:r>
        <w:rPr>
          <w:rStyle w:val="41"/>
          <w:rFonts w:ascii="宋体" w:hAnsi="宋体"/>
          <w:color w:val="auto"/>
          <w:kern w:val="0"/>
          <w:szCs w:val="21"/>
          <w:highlight w:val="none"/>
          <w:u w:val="single" w:color="000000"/>
        </w:rPr>
        <w:t>货物（由本单位承担工程/提供服务）</w:t>
      </w:r>
      <w:r>
        <w:rPr>
          <w:rStyle w:val="41"/>
          <w:rFonts w:ascii="宋体" w:hAnsi="宋体"/>
          <w:color w:val="auto"/>
          <w:kern w:val="0"/>
          <w:szCs w:val="21"/>
          <w:highlight w:val="none"/>
        </w:rPr>
        <w:t>，或者提供其他残疾人福利性单位制造的货物（不包括使用非残疾人福利性单位注册商标的货物）。</w:t>
      </w:r>
    </w:p>
    <w:p>
      <w:pPr>
        <w:snapToGrid w:val="0"/>
        <w:ind w:firstLine="803" w:firstLineChars="200"/>
        <w:rPr>
          <w:rStyle w:val="41"/>
          <w:rFonts w:ascii="宋体" w:hAnsi="宋体"/>
          <w:b/>
          <w:color w:val="auto"/>
          <w:szCs w:val="21"/>
          <w:highlight w:val="none"/>
        </w:rPr>
      </w:pPr>
      <w:r>
        <w:rPr>
          <w:rStyle w:val="41"/>
          <w:rFonts w:ascii="宋体" w:hAnsi="宋体"/>
          <w:b/>
          <w:color w:val="auto"/>
          <w:sz w:val="40"/>
          <w:szCs w:val="21"/>
          <w:highlight w:val="none"/>
        </w:rPr>
        <w:t>本企业对上述声明的真实性负责。如有虚假，将依法承担相应责任。</w:t>
      </w:r>
    </w:p>
    <w:p>
      <w:pPr>
        <w:snapToGrid w:val="0"/>
        <w:spacing w:line="360" w:lineRule="auto"/>
        <w:rPr>
          <w:rStyle w:val="41"/>
          <w:rFonts w:ascii="宋体" w:hAnsi="宋体"/>
          <w:color w:val="auto"/>
          <w:kern w:val="0"/>
          <w:szCs w:val="21"/>
          <w:highlight w:val="none"/>
        </w:rPr>
      </w:pPr>
    </w:p>
    <w:p>
      <w:pPr>
        <w:snapToGrid w:val="0"/>
        <w:spacing w:line="360" w:lineRule="auto"/>
        <w:rPr>
          <w:rStyle w:val="41"/>
          <w:rFonts w:ascii="宋体" w:hAnsi="宋体"/>
          <w:b/>
          <w:color w:val="auto"/>
          <w:kern w:val="0"/>
          <w:szCs w:val="21"/>
          <w:highlight w:val="none"/>
        </w:rPr>
      </w:pPr>
      <w:r>
        <w:rPr>
          <w:rStyle w:val="41"/>
          <w:rFonts w:ascii="宋体" w:hAnsi="宋体"/>
          <w:b/>
          <w:color w:val="auto"/>
          <w:kern w:val="0"/>
          <w:szCs w:val="21"/>
          <w:highlight w:val="none"/>
        </w:rPr>
        <w:t>供应商全称（盖单位公章）：</w:t>
      </w:r>
    </w:p>
    <w:p>
      <w:pPr>
        <w:snapToGrid w:val="0"/>
        <w:spacing w:line="360" w:lineRule="auto"/>
        <w:rPr>
          <w:rStyle w:val="41"/>
          <w:rFonts w:ascii="宋体" w:hAnsi="宋体"/>
          <w:b/>
          <w:color w:val="auto"/>
          <w:kern w:val="0"/>
          <w:szCs w:val="21"/>
          <w:highlight w:val="none"/>
        </w:rPr>
      </w:pPr>
      <w:r>
        <w:rPr>
          <w:rStyle w:val="41"/>
          <w:rFonts w:ascii="宋体" w:hAnsi="宋体"/>
          <w:b/>
          <w:color w:val="auto"/>
          <w:kern w:val="0"/>
          <w:szCs w:val="21"/>
          <w:highlight w:val="none"/>
        </w:rPr>
        <w:t>日期：年月日</w:t>
      </w:r>
    </w:p>
    <w:p>
      <w:pPr>
        <w:snapToGrid w:val="0"/>
        <w:spacing w:line="276" w:lineRule="auto"/>
        <w:ind w:firstLine="422" w:firstLineChars="200"/>
        <w:rPr>
          <w:rStyle w:val="41"/>
          <w:rFonts w:ascii="宋体" w:hAnsi="宋体"/>
          <w:b/>
          <w:color w:val="auto"/>
          <w:highlight w:val="none"/>
        </w:rPr>
      </w:pPr>
    </w:p>
    <w:p>
      <w:pPr>
        <w:snapToGrid w:val="0"/>
        <w:spacing w:line="276" w:lineRule="auto"/>
        <w:ind w:firstLine="422" w:firstLineChars="200"/>
        <w:rPr>
          <w:rStyle w:val="41"/>
          <w:rFonts w:ascii="宋体" w:hAnsi="宋体"/>
          <w:b/>
          <w:color w:val="auto"/>
          <w:highlight w:val="none"/>
        </w:rPr>
      </w:pPr>
    </w:p>
    <w:p>
      <w:pPr>
        <w:snapToGrid w:val="0"/>
        <w:spacing w:line="276" w:lineRule="auto"/>
        <w:ind w:firstLine="422" w:firstLineChars="200"/>
        <w:rPr>
          <w:rStyle w:val="41"/>
          <w:rFonts w:ascii="宋体" w:hAnsi="宋体"/>
          <w:b/>
          <w:color w:val="auto"/>
          <w:highlight w:val="none"/>
        </w:rPr>
      </w:pPr>
      <w:r>
        <w:rPr>
          <w:rStyle w:val="41"/>
          <w:rFonts w:ascii="宋体" w:hAnsi="宋体"/>
          <w:b/>
          <w:color w:val="auto"/>
          <w:highlight w:val="none"/>
        </w:rPr>
        <w:t>附件四：特定资质证书及其他相关证明材料。</w:t>
      </w:r>
    </w:p>
    <w:p>
      <w:pPr>
        <w:snapToGrid w:val="0"/>
        <w:spacing w:line="276" w:lineRule="auto"/>
        <w:ind w:firstLine="422" w:firstLineChars="200"/>
        <w:rPr>
          <w:rStyle w:val="41"/>
          <w:rFonts w:ascii="宋体" w:hAnsi="宋体"/>
          <w:b/>
          <w:color w:val="auto"/>
          <w:highlight w:val="none"/>
        </w:rPr>
      </w:pPr>
    </w:p>
    <w:p>
      <w:pPr>
        <w:snapToGrid w:val="0"/>
        <w:spacing w:line="276" w:lineRule="auto"/>
        <w:rPr>
          <w:rStyle w:val="41"/>
          <w:rFonts w:ascii="宋体" w:hAnsi="宋体"/>
          <w:b/>
          <w:color w:val="auto"/>
          <w:highlight w:val="none"/>
        </w:rPr>
      </w:pPr>
    </w:p>
    <w:p>
      <w:pPr>
        <w:snapToGrid w:val="0"/>
        <w:spacing w:line="276" w:lineRule="auto"/>
        <w:ind w:firstLine="422" w:firstLineChars="200"/>
        <w:rPr>
          <w:rStyle w:val="41"/>
          <w:rFonts w:ascii="宋体" w:hAnsi="宋体"/>
          <w:b/>
          <w:color w:val="auto"/>
          <w:highlight w:val="none"/>
        </w:rPr>
      </w:pPr>
    </w:p>
    <w:p>
      <w:pPr>
        <w:snapToGrid w:val="0"/>
        <w:spacing w:line="276" w:lineRule="auto"/>
        <w:ind w:firstLine="422" w:firstLineChars="200"/>
        <w:rPr>
          <w:rStyle w:val="41"/>
          <w:rFonts w:ascii="宋体" w:hAnsi="宋体"/>
          <w:b/>
          <w:color w:val="auto"/>
          <w:highlight w:val="none"/>
        </w:rPr>
      </w:pPr>
      <w:r>
        <w:rPr>
          <w:rStyle w:val="41"/>
          <w:rFonts w:ascii="宋体" w:hAnsi="宋体"/>
          <w:b/>
          <w:color w:val="auto"/>
          <w:highlight w:val="none"/>
        </w:rPr>
        <w:t>附件五：</w:t>
      </w:r>
      <w:r>
        <w:rPr>
          <w:rStyle w:val="41"/>
          <w:rFonts w:ascii="宋体" w:hAnsi="宋体" w:cs="宋体"/>
          <w:b/>
          <w:bCs/>
          <w:color w:val="auto"/>
          <w:highlight w:val="none"/>
          <w:lang w:val="zh-CN"/>
        </w:rPr>
        <w:t>联合</w:t>
      </w:r>
      <w:r>
        <w:rPr>
          <w:rStyle w:val="41"/>
          <w:rFonts w:ascii="宋体" w:hAnsi="宋体" w:cs="宋体"/>
          <w:b/>
          <w:bCs/>
          <w:color w:val="auto"/>
          <w:szCs w:val="32"/>
          <w:highlight w:val="none"/>
          <w:lang w:val="zh-CN"/>
        </w:rPr>
        <w:t>协议</w:t>
      </w:r>
      <w:r>
        <w:rPr>
          <w:rStyle w:val="41"/>
          <w:rFonts w:ascii="宋体" w:hAnsi="宋体"/>
          <w:b/>
          <w:color w:val="auto"/>
          <w:kern w:val="0"/>
          <w:szCs w:val="21"/>
          <w:highlight w:val="none"/>
        </w:rPr>
        <w:t>格式</w:t>
      </w:r>
    </w:p>
    <w:p>
      <w:pPr>
        <w:snapToGrid w:val="0"/>
        <w:spacing w:line="360" w:lineRule="auto"/>
        <w:ind w:firstLine="643"/>
        <w:jc w:val="center"/>
        <w:rPr>
          <w:rStyle w:val="41"/>
          <w:rFonts w:ascii="宋体" w:hAnsi="宋体" w:cs="宋体"/>
          <w:b/>
          <w:bCs/>
          <w:color w:val="auto"/>
          <w:sz w:val="32"/>
          <w:szCs w:val="20"/>
          <w:highlight w:val="none"/>
        </w:rPr>
      </w:pPr>
      <w:r>
        <w:rPr>
          <w:rStyle w:val="41"/>
          <w:rFonts w:ascii="宋体" w:hAnsi="宋体" w:cs="宋体"/>
          <w:b/>
          <w:bCs/>
          <w:color w:val="auto"/>
          <w:sz w:val="32"/>
          <w:szCs w:val="20"/>
          <w:highlight w:val="none"/>
        </w:rPr>
        <w:t>联合协议</w:t>
      </w:r>
    </w:p>
    <w:p>
      <w:pPr>
        <w:snapToGrid w:val="0"/>
        <w:spacing w:line="360" w:lineRule="auto"/>
        <w:ind w:firstLine="422" w:firstLineChars="200"/>
        <w:jc w:val="center"/>
        <w:rPr>
          <w:rStyle w:val="41"/>
          <w:rFonts w:ascii="宋体" w:hAnsi="宋体"/>
          <w:b/>
          <w:color w:val="auto"/>
          <w:szCs w:val="21"/>
          <w:highlight w:val="none"/>
        </w:rPr>
      </w:pPr>
      <w:r>
        <w:rPr>
          <w:rStyle w:val="41"/>
          <w:rFonts w:ascii="宋体" w:hAnsi="宋体"/>
          <w:b/>
          <w:color w:val="auto"/>
          <w:szCs w:val="21"/>
          <w:highlight w:val="none"/>
        </w:rPr>
        <w:t>（如以联合体形式参与政府采购的，提供联合协议，否则不需要提供。）</w:t>
      </w:r>
    </w:p>
    <w:p>
      <w:pPr>
        <w:snapToGrid w:val="0"/>
        <w:spacing w:line="360" w:lineRule="auto"/>
        <w:ind w:firstLine="576"/>
        <w:rPr>
          <w:rStyle w:val="41"/>
          <w:rFonts w:ascii="宋体" w:hAnsi="宋体"/>
          <w:color w:val="auto"/>
          <w:kern w:val="0"/>
          <w:szCs w:val="21"/>
          <w:highlight w:val="none"/>
          <w:lang w:val="zh-CN"/>
        </w:rPr>
      </w:pPr>
      <w:r>
        <w:rPr>
          <w:rStyle w:val="41"/>
          <w:rFonts w:ascii="宋体" w:hAnsi="宋体"/>
          <w:color w:val="auto"/>
          <w:kern w:val="0"/>
          <w:szCs w:val="21"/>
          <w:highlight w:val="none"/>
          <w:u w:val="single" w:color="000000"/>
        </w:rPr>
        <w:t>（联合体所有成员名称）</w:t>
      </w:r>
      <w:r>
        <w:rPr>
          <w:rStyle w:val="41"/>
          <w:rFonts w:ascii="宋体" w:hAnsi="宋体"/>
          <w:color w:val="auto"/>
          <w:kern w:val="0"/>
          <w:szCs w:val="21"/>
          <w:highlight w:val="none"/>
        </w:rPr>
        <w:t>自愿</w:t>
      </w:r>
      <w:r>
        <w:rPr>
          <w:rStyle w:val="41"/>
          <w:rFonts w:ascii="宋体" w:hAnsi="宋体"/>
          <w:color w:val="auto"/>
          <w:kern w:val="0"/>
          <w:szCs w:val="21"/>
          <w:highlight w:val="none"/>
          <w:lang w:val="zh-CN"/>
        </w:rPr>
        <w:t>组成一个联合体，以一个</w:t>
      </w:r>
      <w:r>
        <w:rPr>
          <w:rStyle w:val="41"/>
          <w:rFonts w:ascii="宋体" w:hAnsi="宋体"/>
          <w:color w:val="auto"/>
          <w:kern w:val="0"/>
          <w:szCs w:val="21"/>
          <w:highlight w:val="none"/>
        </w:rPr>
        <w:t>供应商</w:t>
      </w:r>
      <w:r>
        <w:rPr>
          <w:rStyle w:val="41"/>
          <w:rFonts w:ascii="宋体" w:hAnsi="宋体"/>
          <w:color w:val="auto"/>
          <w:kern w:val="0"/>
          <w:szCs w:val="21"/>
          <w:highlight w:val="none"/>
          <w:lang w:val="zh-CN"/>
        </w:rPr>
        <w:t>的身份</w:t>
      </w:r>
      <w:r>
        <w:rPr>
          <w:rStyle w:val="41"/>
          <w:rFonts w:ascii="宋体" w:hAnsi="宋体"/>
          <w:color w:val="auto"/>
          <w:kern w:val="0"/>
          <w:szCs w:val="21"/>
          <w:highlight w:val="none"/>
        </w:rPr>
        <w:t>参加</w:t>
      </w:r>
      <w:r>
        <w:rPr>
          <w:rStyle w:val="41"/>
          <w:rFonts w:ascii="宋体" w:hAnsi="宋体"/>
          <w:color w:val="auto"/>
          <w:szCs w:val="21"/>
          <w:highlight w:val="none"/>
        </w:rPr>
        <w:t>（项目名称）（项目编号）</w:t>
      </w:r>
      <w:r>
        <w:rPr>
          <w:rStyle w:val="41"/>
          <w:rFonts w:ascii="宋体" w:hAnsi="宋体"/>
          <w:color w:val="auto"/>
          <w:kern w:val="0"/>
          <w:szCs w:val="21"/>
          <w:highlight w:val="none"/>
        </w:rPr>
        <w:t>政府采购活动</w:t>
      </w:r>
      <w:r>
        <w:rPr>
          <w:rStyle w:val="41"/>
          <w:rFonts w:ascii="宋体" w:hAnsi="宋体"/>
          <w:color w:val="auto"/>
          <w:kern w:val="0"/>
          <w:szCs w:val="21"/>
          <w:highlight w:val="none"/>
          <w:lang w:val="zh-CN"/>
        </w:rPr>
        <w:t xml:space="preserve">。 </w:t>
      </w:r>
    </w:p>
    <w:p>
      <w:pPr>
        <w:snapToGrid w:val="0"/>
        <w:spacing w:line="360" w:lineRule="auto"/>
        <w:ind w:firstLine="420" w:firstLineChars="200"/>
        <w:rPr>
          <w:rStyle w:val="41"/>
          <w:rFonts w:ascii="宋体" w:hAnsi="宋体"/>
          <w:color w:val="auto"/>
          <w:kern w:val="0"/>
          <w:szCs w:val="21"/>
          <w:highlight w:val="none"/>
          <w:lang w:val="zh-CN"/>
        </w:rPr>
      </w:pPr>
      <w:r>
        <w:rPr>
          <w:rStyle w:val="41"/>
          <w:rFonts w:ascii="宋体" w:hAnsi="宋体"/>
          <w:color w:val="auto"/>
          <w:kern w:val="0"/>
          <w:szCs w:val="21"/>
          <w:highlight w:val="none"/>
          <w:lang w:val="zh-CN"/>
        </w:rPr>
        <w:t>一、各方一致决定，</w:t>
      </w:r>
      <w:r>
        <w:rPr>
          <w:rStyle w:val="41"/>
          <w:rFonts w:ascii="宋体" w:hAnsi="宋体"/>
          <w:color w:val="auto"/>
          <w:kern w:val="0"/>
          <w:szCs w:val="21"/>
          <w:highlight w:val="none"/>
          <w:u w:val="single" w:color="000000"/>
        </w:rPr>
        <w:t>（某联合体成员名称）</w:t>
      </w:r>
      <w:r>
        <w:rPr>
          <w:rStyle w:val="41"/>
          <w:rFonts w:ascii="宋体" w:hAnsi="宋体"/>
          <w:color w:val="auto"/>
          <w:kern w:val="0"/>
          <w:szCs w:val="21"/>
          <w:highlight w:val="none"/>
        </w:rPr>
        <w:t>为联合体</w:t>
      </w:r>
      <w:r>
        <w:rPr>
          <w:rStyle w:val="41"/>
          <w:rFonts w:ascii="宋体" w:hAnsi="宋体"/>
          <w:color w:val="auto"/>
          <w:kern w:val="0"/>
          <w:szCs w:val="21"/>
          <w:highlight w:val="none"/>
          <w:lang w:val="zh-CN"/>
        </w:rPr>
        <w:t>牵头人</w:t>
      </w:r>
      <w:r>
        <w:rPr>
          <w:rStyle w:val="41"/>
          <w:rFonts w:ascii="宋体" w:hAnsi="宋体"/>
          <w:color w:val="auto"/>
          <w:szCs w:val="21"/>
          <w:highlight w:val="none"/>
        </w:rPr>
        <w:t>，代表所有联合体成员负责投标和合同实施阶段的主办、协调工作</w:t>
      </w:r>
      <w:r>
        <w:rPr>
          <w:rStyle w:val="41"/>
          <w:rFonts w:ascii="宋体" w:hAnsi="宋体"/>
          <w:color w:val="auto"/>
          <w:kern w:val="0"/>
          <w:szCs w:val="21"/>
          <w:highlight w:val="none"/>
          <w:lang w:val="zh-CN"/>
        </w:rPr>
        <w:t>。</w:t>
      </w:r>
    </w:p>
    <w:p>
      <w:pPr>
        <w:pStyle w:val="180"/>
        <w:snapToGrid w:val="0"/>
        <w:spacing w:line="360" w:lineRule="auto"/>
        <w:ind w:firstLine="420"/>
        <w:rPr>
          <w:rStyle w:val="41"/>
          <w:rFonts w:ascii="宋体" w:hAnsi="宋体"/>
          <w:color w:val="auto"/>
          <w:kern w:val="0"/>
          <w:szCs w:val="21"/>
          <w:highlight w:val="none"/>
          <w:lang w:val="zh-CN"/>
        </w:rPr>
      </w:pPr>
      <w:r>
        <w:rPr>
          <w:rStyle w:val="41"/>
          <w:rFonts w:ascii="宋体" w:hAnsi="宋体"/>
          <w:color w:val="auto"/>
          <w:kern w:val="0"/>
          <w:szCs w:val="21"/>
          <w:highlight w:val="none"/>
          <w:lang w:val="zh-CN"/>
        </w:rPr>
        <w:t>二、</w:t>
      </w:r>
      <w:r>
        <w:rPr>
          <w:rStyle w:val="41"/>
          <w:rFonts w:ascii="宋体" w:hAnsi="宋体"/>
          <w:color w:val="auto"/>
          <w:szCs w:val="21"/>
          <w:highlight w:val="none"/>
        </w:rPr>
        <w:t>所有联合体成员各方签署授权书，授权书载明的</w:t>
      </w:r>
      <w:r>
        <w:rPr>
          <w:rStyle w:val="41"/>
          <w:rFonts w:ascii="宋体" w:hAnsi="宋体"/>
          <w:color w:val="auto"/>
          <w:kern w:val="0"/>
          <w:szCs w:val="21"/>
          <w:highlight w:val="none"/>
          <w:lang w:val="zh-CN"/>
        </w:rPr>
        <w:t>授权代表根据</w:t>
      </w:r>
      <w:r>
        <w:rPr>
          <w:rStyle w:val="41"/>
          <w:rFonts w:ascii="宋体" w:hAnsi="宋体"/>
          <w:color w:val="auto"/>
          <w:kern w:val="0"/>
          <w:szCs w:val="21"/>
          <w:highlight w:val="none"/>
        </w:rPr>
        <w:t>磋商</w:t>
      </w:r>
      <w:r>
        <w:rPr>
          <w:rStyle w:val="41"/>
          <w:rFonts w:ascii="宋体" w:hAnsi="宋体"/>
          <w:color w:val="auto"/>
          <w:kern w:val="0"/>
          <w:szCs w:val="21"/>
          <w:highlight w:val="none"/>
          <w:lang w:val="zh-CN"/>
        </w:rPr>
        <w:t>文件规定及</w:t>
      </w:r>
      <w:r>
        <w:rPr>
          <w:rStyle w:val="41"/>
          <w:rFonts w:ascii="宋体" w:hAnsi="宋体"/>
          <w:color w:val="auto"/>
          <w:kern w:val="0"/>
          <w:szCs w:val="21"/>
          <w:highlight w:val="none"/>
        </w:rPr>
        <w:t>响应</w:t>
      </w:r>
      <w:r>
        <w:rPr>
          <w:rStyle w:val="41"/>
          <w:rFonts w:ascii="宋体" w:hAnsi="宋体"/>
          <w:color w:val="auto"/>
          <w:kern w:val="0"/>
          <w:szCs w:val="21"/>
          <w:highlight w:val="none"/>
          <w:lang w:val="zh-CN"/>
        </w:rPr>
        <w:t>内容而对采购人、采购代理机构所作的任何合法承诺，包括书面澄清及相应等均对联合</w:t>
      </w:r>
      <w:r>
        <w:rPr>
          <w:rStyle w:val="41"/>
          <w:rFonts w:ascii="宋体" w:hAnsi="宋体"/>
          <w:color w:val="auto"/>
          <w:kern w:val="0"/>
          <w:szCs w:val="21"/>
          <w:highlight w:val="none"/>
        </w:rPr>
        <w:t>体</w:t>
      </w:r>
      <w:r>
        <w:rPr>
          <w:rStyle w:val="41"/>
          <w:rFonts w:ascii="宋体" w:hAnsi="宋体"/>
          <w:color w:val="auto"/>
          <w:kern w:val="0"/>
          <w:szCs w:val="21"/>
          <w:highlight w:val="none"/>
          <w:lang w:val="zh-CN"/>
        </w:rPr>
        <w:t>各方产生约束力。</w:t>
      </w:r>
    </w:p>
    <w:p>
      <w:pPr>
        <w:snapToGrid w:val="0"/>
        <w:spacing w:line="360" w:lineRule="auto"/>
        <w:ind w:firstLine="420" w:firstLineChars="200"/>
        <w:rPr>
          <w:rStyle w:val="41"/>
          <w:rFonts w:ascii="宋体" w:hAnsi="宋体"/>
          <w:color w:val="auto"/>
          <w:kern w:val="0"/>
          <w:szCs w:val="21"/>
          <w:highlight w:val="none"/>
          <w:lang w:val="zh-CN"/>
        </w:rPr>
      </w:pPr>
      <w:r>
        <w:rPr>
          <w:rStyle w:val="41"/>
          <w:rFonts w:ascii="宋体" w:hAnsi="宋体"/>
          <w:color w:val="auto"/>
          <w:kern w:val="0"/>
          <w:szCs w:val="21"/>
          <w:highlight w:val="none"/>
          <w:lang w:val="zh-CN"/>
        </w:rPr>
        <w:t>三、本次联合投标中，分工如下：</w:t>
      </w:r>
      <w:r>
        <w:rPr>
          <w:rStyle w:val="41"/>
          <w:rFonts w:ascii="宋体" w:hAnsi="宋体"/>
          <w:color w:val="auto"/>
          <w:kern w:val="0"/>
          <w:szCs w:val="21"/>
          <w:highlight w:val="none"/>
          <w:u w:val="single" w:color="000000"/>
        </w:rPr>
        <w:t>（联合体其中一方成员名称）</w:t>
      </w:r>
      <w:r>
        <w:rPr>
          <w:rStyle w:val="41"/>
          <w:rFonts w:ascii="宋体" w:hAnsi="宋体"/>
          <w:color w:val="auto"/>
          <w:kern w:val="0"/>
          <w:szCs w:val="21"/>
          <w:highlight w:val="none"/>
          <w:lang w:val="zh-CN"/>
        </w:rPr>
        <w:t>承担的工作和义务为：</w:t>
      </w:r>
      <w:r>
        <w:rPr>
          <w:rStyle w:val="41"/>
          <w:rFonts w:ascii="宋体" w:hAnsi="宋体"/>
          <w:color w:val="auto"/>
          <w:szCs w:val="21"/>
          <w:highlight w:val="none"/>
          <w:u w:val="single" w:color="000000"/>
        </w:rPr>
        <w:t xml:space="preserve">             </w:t>
      </w:r>
      <w:r>
        <w:rPr>
          <w:rStyle w:val="41"/>
          <w:rFonts w:ascii="宋体" w:hAnsi="宋体"/>
          <w:color w:val="auto"/>
          <w:kern w:val="0"/>
          <w:szCs w:val="21"/>
          <w:highlight w:val="none"/>
          <w:lang w:val="zh-CN"/>
        </w:rPr>
        <w:t>；……。</w:t>
      </w:r>
    </w:p>
    <w:p>
      <w:pPr>
        <w:snapToGrid w:val="0"/>
        <w:spacing w:line="360" w:lineRule="auto"/>
        <w:ind w:firstLine="420" w:firstLineChars="200"/>
        <w:rPr>
          <w:rStyle w:val="41"/>
          <w:rFonts w:ascii="宋体" w:hAnsi="宋体"/>
          <w:b/>
          <w:color w:val="auto"/>
          <w:kern w:val="0"/>
          <w:szCs w:val="21"/>
          <w:highlight w:val="none"/>
          <w:lang w:val="zh-CN"/>
        </w:rPr>
      </w:pPr>
      <w:r>
        <w:rPr>
          <w:rStyle w:val="41"/>
          <w:rFonts w:ascii="宋体" w:hAnsi="宋体"/>
          <w:color w:val="auto"/>
          <w:kern w:val="0"/>
          <w:szCs w:val="21"/>
          <w:highlight w:val="none"/>
          <w:lang w:val="zh-CN"/>
        </w:rPr>
        <w:t>四、</w:t>
      </w:r>
      <w:r>
        <w:rPr>
          <w:rStyle w:val="41"/>
          <w:rFonts w:ascii="宋体" w:hAnsi="宋体"/>
          <w:color w:val="auto"/>
          <w:kern w:val="0"/>
          <w:szCs w:val="21"/>
          <w:highlight w:val="none"/>
          <w:u w:val="single" w:color="000000"/>
        </w:rPr>
        <w:t>（联合体其中一方成员名称）</w:t>
      </w:r>
      <w:r>
        <w:rPr>
          <w:rStyle w:val="41"/>
          <w:rFonts w:ascii="宋体" w:hAnsi="宋体"/>
          <w:color w:val="auto"/>
          <w:kern w:val="0"/>
          <w:szCs w:val="21"/>
          <w:highlight w:val="none"/>
        </w:rPr>
        <w:t>为</w:t>
      </w:r>
      <w:r>
        <w:rPr>
          <w:rStyle w:val="41"/>
          <w:rFonts w:ascii="宋体" w:hAnsi="宋体"/>
          <w:color w:val="auto"/>
          <w:szCs w:val="21"/>
          <w:highlight w:val="none"/>
        </w:rPr>
        <w:t>中小企业</w:t>
      </w:r>
      <w:r>
        <w:rPr>
          <w:rStyle w:val="41"/>
          <w:rFonts w:ascii="宋体" w:hAnsi="宋体"/>
          <w:color w:val="auto"/>
          <w:kern w:val="0"/>
          <w:szCs w:val="21"/>
          <w:highlight w:val="none"/>
        </w:rPr>
        <w:t>，其合同份额占到合同总金额</w:t>
      </w:r>
      <w:r>
        <w:rPr>
          <w:rStyle w:val="41"/>
          <w:rFonts w:ascii="宋体" w:hAnsi="宋体"/>
          <w:color w:val="auto"/>
          <w:kern w:val="0"/>
          <w:szCs w:val="21"/>
          <w:highlight w:val="none"/>
          <w:u w:val="single" w:color="000000"/>
        </w:rPr>
        <w:t xml:space="preserve">     </w:t>
      </w:r>
      <w:r>
        <w:rPr>
          <w:rStyle w:val="41"/>
          <w:rFonts w:ascii="宋体" w:hAnsi="宋体"/>
          <w:color w:val="auto"/>
          <w:kern w:val="0"/>
          <w:szCs w:val="21"/>
          <w:highlight w:val="none"/>
        </w:rPr>
        <w:t>%以上；</w:t>
      </w:r>
      <w:r>
        <w:rPr>
          <w:rStyle w:val="41"/>
          <w:rFonts w:ascii="宋体" w:hAnsi="宋体"/>
          <w:color w:val="auto"/>
          <w:kern w:val="0"/>
          <w:szCs w:val="21"/>
          <w:highlight w:val="none"/>
          <w:lang w:val="zh-CN"/>
        </w:rPr>
        <w:t>……。</w:t>
      </w:r>
    </w:p>
    <w:p>
      <w:pPr>
        <w:snapToGrid w:val="0"/>
        <w:spacing w:line="360" w:lineRule="auto"/>
        <w:ind w:firstLine="420" w:firstLineChars="200"/>
        <w:rPr>
          <w:rStyle w:val="41"/>
          <w:rFonts w:ascii="宋体" w:hAnsi="宋体"/>
          <w:color w:val="auto"/>
          <w:kern w:val="0"/>
          <w:szCs w:val="21"/>
          <w:highlight w:val="none"/>
          <w:lang w:val="zh-CN"/>
        </w:rPr>
      </w:pPr>
      <w:r>
        <w:rPr>
          <w:rStyle w:val="41"/>
          <w:rFonts w:ascii="宋体" w:hAnsi="宋体"/>
          <w:color w:val="auto"/>
          <w:kern w:val="0"/>
          <w:szCs w:val="21"/>
          <w:highlight w:val="none"/>
          <w:lang w:val="zh-CN"/>
        </w:rPr>
        <w:t>五、如果</w:t>
      </w:r>
      <w:r>
        <w:rPr>
          <w:rStyle w:val="41"/>
          <w:rFonts w:ascii="宋体" w:hAnsi="宋体"/>
          <w:color w:val="auto"/>
          <w:kern w:val="0"/>
          <w:szCs w:val="21"/>
          <w:highlight w:val="none"/>
        </w:rPr>
        <w:t>成交</w:t>
      </w:r>
      <w:r>
        <w:rPr>
          <w:rStyle w:val="41"/>
          <w:rFonts w:ascii="宋体" w:hAnsi="宋体"/>
          <w:color w:val="auto"/>
          <w:kern w:val="0"/>
          <w:szCs w:val="21"/>
          <w:highlight w:val="none"/>
          <w:lang w:val="zh-CN"/>
        </w:rPr>
        <w:t>，</w:t>
      </w:r>
      <w:r>
        <w:rPr>
          <w:rStyle w:val="41"/>
          <w:rFonts w:ascii="宋体" w:hAnsi="宋体"/>
          <w:color w:val="auto"/>
          <w:szCs w:val="21"/>
          <w:highlight w:val="none"/>
        </w:rPr>
        <w:t>联合体各成员方共同与采购人签订合同，并就采购合同约定的事项对采购人承担连带责任。</w:t>
      </w:r>
    </w:p>
    <w:p>
      <w:pPr>
        <w:snapToGrid w:val="0"/>
        <w:spacing w:line="360" w:lineRule="auto"/>
        <w:ind w:firstLine="420" w:firstLineChars="200"/>
        <w:rPr>
          <w:rStyle w:val="41"/>
          <w:rFonts w:ascii="宋体" w:hAnsi="宋体"/>
          <w:color w:val="auto"/>
          <w:kern w:val="0"/>
          <w:szCs w:val="21"/>
          <w:highlight w:val="none"/>
          <w:lang w:val="zh-CN"/>
        </w:rPr>
      </w:pPr>
      <w:r>
        <w:rPr>
          <w:rStyle w:val="41"/>
          <w:rFonts w:ascii="宋体" w:hAnsi="宋体"/>
          <w:color w:val="auto"/>
          <w:kern w:val="0"/>
          <w:szCs w:val="21"/>
          <w:highlight w:val="none"/>
          <w:lang w:val="zh-CN"/>
        </w:rPr>
        <w:t>六、有关本次联合</w:t>
      </w:r>
      <w:r>
        <w:rPr>
          <w:rStyle w:val="41"/>
          <w:rFonts w:ascii="宋体" w:hAnsi="宋体"/>
          <w:color w:val="auto"/>
          <w:kern w:val="0"/>
          <w:szCs w:val="21"/>
          <w:highlight w:val="none"/>
        </w:rPr>
        <w:t>参与政府采购</w:t>
      </w:r>
      <w:r>
        <w:rPr>
          <w:rStyle w:val="41"/>
          <w:rFonts w:ascii="宋体" w:hAnsi="宋体"/>
          <w:color w:val="auto"/>
          <w:kern w:val="0"/>
          <w:szCs w:val="21"/>
          <w:highlight w:val="none"/>
          <w:lang w:val="zh-CN"/>
        </w:rPr>
        <w:t>的其他事宜：</w:t>
      </w:r>
    </w:p>
    <w:p>
      <w:pPr>
        <w:snapToGrid w:val="0"/>
        <w:spacing w:line="360" w:lineRule="auto"/>
        <w:ind w:firstLine="420" w:firstLineChars="200"/>
        <w:rPr>
          <w:rStyle w:val="41"/>
          <w:rFonts w:ascii="宋体" w:hAnsi="宋体"/>
          <w:color w:val="auto"/>
          <w:kern w:val="0"/>
          <w:szCs w:val="21"/>
          <w:highlight w:val="none"/>
          <w:lang w:val="zh-CN"/>
        </w:rPr>
      </w:pPr>
      <w:r>
        <w:rPr>
          <w:rStyle w:val="41"/>
          <w:rFonts w:ascii="宋体" w:hAnsi="宋体"/>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420" w:firstLineChars="200"/>
        <w:rPr>
          <w:rStyle w:val="41"/>
          <w:rFonts w:ascii="宋体" w:hAnsi="宋体"/>
          <w:color w:val="auto"/>
          <w:kern w:val="0"/>
          <w:szCs w:val="21"/>
          <w:highlight w:val="none"/>
          <w:lang w:val="zh-CN"/>
        </w:rPr>
      </w:pPr>
      <w:r>
        <w:rPr>
          <w:rStyle w:val="41"/>
          <w:rFonts w:ascii="宋体" w:hAnsi="宋体"/>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420" w:firstLineChars="200"/>
        <w:rPr>
          <w:rStyle w:val="41"/>
          <w:rFonts w:ascii="宋体" w:hAnsi="宋体"/>
          <w:color w:val="auto"/>
          <w:kern w:val="0"/>
          <w:szCs w:val="21"/>
          <w:highlight w:val="none"/>
          <w:lang w:val="zh-CN"/>
        </w:rPr>
      </w:pPr>
      <w:r>
        <w:rPr>
          <w:rStyle w:val="41"/>
          <w:rFonts w:ascii="宋体" w:hAnsi="宋体"/>
          <w:color w:val="auto"/>
          <w:kern w:val="0"/>
          <w:szCs w:val="21"/>
          <w:highlight w:val="none"/>
          <w:lang w:val="zh-CN"/>
        </w:rPr>
        <w:t>3、本协议提交采购人、采购代理机构后，联合体各方不得以任何形式对上述内容进行修改或撤销。</w:t>
      </w:r>
    </w:p>
    <w:p>
      <w:pPr>
        <w:pStyle w:val="104"/>
        <w:snapToGrid w:val="0"/>
        <w:rPr>
          <w:rStyle w:val="41"/>
          <w:rFonts w:ascii="宋体" w:hAnsi="宋体"/>
          <w:color w:val="auto"/>
          <w:highlight w:val="none"/>
          <w:lang w:val="zh-CN"/>
        </w:rPr>
      </w:pPr>
      <w:r>
        <w:rPr>
          <w:rStyle w:val="41"/>
          <w:rFonts w:ascii="宋体" w:hAnsi="宋体"/>
          <w:color w:val="auto"/>
          <w:kern w:val="0"/>
          <w:szCs w:val="21"/>
          <w:highlight w:val="none"/>
        </w:rPr>
        <w:t>4、除磋商文件要求联合体双方盖章的部分外，</w:t>
      </w:r>
      <w:r>
        <w:rPr>
          <w:rStyle w:val="41"/>
          <w:rFonts w:ascii="宋体" w:hAnsi="宋体"/>
          <w:color w:val="auto"/>
          <w:szCs w:val="21"/>
          <w:highlight w:val="none"/>
        </w:rPr>
        <w:t>其余部分由牵头人盖章即可。</w:t>
      </w:r>
    </w:p>
    <w:p>
      <w:pPr>
        <w:snapToGrid w:val="0"/>
        <w:spacing w:line="360" w:lineRule="auto"/>
        <w:ind w:firstLine="4410" w:firstLineChars="2100"/>
        <w:rPr>
          <w:rStyle w:val="41"/>
          <w:rFonts w:ascii="宋体" w:hAnsi="宋体"/>
          <w:color w:val="auto"/>
          <w:kern w:val="0"/>
          <w:szCs w:val="21"/>
          <w:highlight w:val="none"/>
          <w:lang w:val="zh-CN"/>
        </w:rPr>
      </w:pPr>
    </w:p>
    <w:p>
      <w:pPr>
        <w:snapToGrid w:val="0"/>
        <w:spacing w:line="360" w:lineRule="auto"/>
        <w:ind w:firstLine="4410" w:firstLineChars="2100"/>
        <w:rPr>
          <w:rStyle w:val="41"/>
          <w:rFonts w:ascii="宋体" w:hAnsi="宋体"/>
          <w:color w:val="auto"/>
          <w:kern w:val="0"/>
          <w:szCs w:val="21"/>
          <w:highlight w:val="none"/>
          <w:lang w:val="zh-CN"/>
        </w:rPr>
      </w:pPr>
    </w:p>
    <w:p>
      <w:pPr>
        <w:snapToGrid w:val="0"/>
        <w:spacing w:line="360" w:lineRule="auto"/>
        <w:ind w:firstLine="4410" w:firstLineChars="2100"/>
        <w:rPr>
          <w:rStyle w:val="41"/>
          <w:rFonts w:ascii="宋体" w:hAnsi="宋体"/>
          <w:color w:val="auto"/>
          <w:kern w:val="0"/>
          <w:szCs w:val="21"/>
          <w:highlight w:val="none"/>
          <w:lang w:val="zh-CN"/>
        </w:rPr>
      </w:pPr>
      <w:r>
        <w:rPr>
          <w:rStyle w:val="41"/>
          <w:rFonts w:ascii="宋体" w:hAnsi="宋体"/>
          <w:color w:val="auto"/>
          <w:kern w:val="0"/>
          <w:szCs w:val="21"/>
          <w:highlight w:val="none"/>
          <w:lang w:val="zh-CN"/>
        </w:rPr>
        <w:t>联合体成员名称（盖单位公章）：</w:t>
      </w:r>
    </w:p>
    <w:p>
      <w:pPr>
        <w:snapToGrid w:val="0"/>
        <w:spacing w:line="360" w:lineRule="auto"/>
        <w:ind w:firstLine="4410" w:firstLineChars="2100"/>
        <w:rPr>
          <w:rStyle w:val="41"/>
          <w:rFonts w:ascii="宋体" w:hAnsi="宋体"/>
          <w:color w:val="auto"/>
          <w:kern w:val="0"/>
          <w:szCs w:val="21"/>
          <w:highlight w:val="none"/>
          <w:lang w:val="zh-CN"/>
        </w:rPr>
      </w:pPr>
      <w:r>
        <w:rPr>
          <w:rStyle w:val="41"/>
          <w:rFonts w:ascii="宋体" w:hAnsi="宋体"/>
          <w:color w:val="auto"/>
          <w:kern w:val="0"/>
          <w:szCs w:val="21"/>
          <w:highlight w:val="none"/>
          <w:lang w:val="zh-CN"/>
        </w:rPr>
        <w:t>联合体成员名称（盖单位公章）：</w:t>
      </w:r>
    </w:p>
    <w:p>
      <w:pPr>
        <w:snapToGrid w:val="0"/>
        <w:spacing w:line="360" w:lineRule="auto"/>
        <w:ind w:firstLine="5670" w:firstLineChars="2700"/>
        <w:rPr>
          <w:rStyle w:val="41"/>
          <w:rFonts w:ascii="宋体" w:hAnsi="宋体"/>
          <w:color w:val="auto"/>
          <w:szCs w:val="21"/>
          <w:highlight w:val="none"/>
        </w:rPr>
      </w:pPr>
      <w:r>
        <w:rPr>
          <w:rStyle w:val="41"/>
          <w:rFonts w:ascii="宋体" w:hAnsi="宋体"/>
          <w:color w:val="auto"/>
          <w:kern w:val="0"/>
          <w:szCs w:val="21"/>
          <w:highlight w:val="none"/>
          <w:lang w:val="zh-CN"/>
        </w:rPr>
        <w:t>……</w:t>
      </w:r>
    </w:p>
    <w:p>
      <w:pPr>
        <w:snapToGrid w:val="0"/>
        <w:spacing w:line="360" w:lineRule="auto"/>
        <w:rPr>
          <w:rStyle w:val="41"/>
          <w:rFonts w:ascii="宋体" w:hAnsi="宋体" w:cs="宋体"/>
          <w:b/>
          <w:bCs/>
          <w:color w:val="auto"/>
          <w:szCs w:val="32"/>
          <w:highlight w:val="none"/>
        </w:rPr>
      </w:pPr>
      <w:r>
        <w:rPr>
          <w:rStyle w:val="41"/>
          <w:rFonts w:ascii="宋体" w:hAnsi="宋体" w:cs="宋体"/>
          <w:b/>
          <w:bCs/>
          <w:color w:val="auto"/>
          <w:szCs w:val="32"/>
          <w:highlight w:val="none"/>
        </w:rPr>
        <w:br w:type="page"/>
      </w:r>
    </w:p>
    <w:p>
      <w:pPr>
        <w:snapToGrid w:val="0"/>
        <w:spacing w:line="360" w:lineRule="auto"/>
        <w:rPr>
          <w:rStyle w:val="41"/>
          <w:rFonts w:ascii="宋体" w:hAnsi="宋体"/>
          <w:b/>
          <w:color w:val="auto"/>
          <w:highlight w:val="none"/>
        </w:rPr>
      </w:pPr>
      <w:r>
        <w:rPr>
          <w:rStyle w:val="41"/>
          <w:rFonts w:ascii="宋体" w:hAnsi="宋体"/>
          <w:b/>
          <w:color w:val="auto"/>
          <w:highlight w:val="none"/>
        </w:rPr>
        <w:t>三、偏离表</w:t>
      </w:r>
    </w:p>
    <w:p>
      <w:pPr>
        <w:snapToGrid w:val="0"/>
        <w:spacing w:line="360" w:lineRule="auto"/>
        <w:ind w:left="361" w:hanging="361"/>
        <w:jc w:val="center"/>
        <w:rPr>
          <w:rStyle w:val="41"/>
          <w:rFonts w:ascii="宋体" w:hAnsi="宋体"/>
          <w:b/>
          <w:color w:val="auto"/>
          <w:highlight w:val="none"/>
        </w:rPr>
      </w:pPr>
      <w:r>
        <w:rPr>
          <w:rStyle w:val="41"/>
          <w:rFonts w:ascii="宋体" w:hAnsi="宋体" w:cs="宋体"/>
          <w:b/>
          <w:bCs/>
          <w:color w:val="auto"/>
          <w:spacing w:val="20"/>
          <w:sz w:val="32"/>
          <w:szCs w:val="32"/>
          <w:highlight w:val="none"/>
        </w:rPr>
        <w:t>偏离表</w:t>
      </w:r>
    </w:p>
    <w:p>
      <w:pPr>
        <w:snapToGrid w:val="0"/>
        <w:spacing w:line="360" w:lineRule="auto"/>
        <w:rPr>
          <w:rStyle w:val="41"/>
          <w:rFonts w:hint="eastAsia" w:ascii="宋体" w:hAnsi="宋体" w:eastAsia="宋体"/>
          <w:color w:val="auto"/>
          <w:highlight w:val="none"/>
          <w:lang w:eastAsia="zh-CN"/>
        </w:rPr>
      </w:pPr>
      <w:r>
        <w:rPr>
          <w:rStyle w:val="41"/>
          <w:rFonts w:ascii="宋体" w:hAnsi="宋体"/>
          <w:color w:val="auto"/>
          <w:highlight w:val="none"/>
        </w:rPr>
        <w:t>项目名称：</w:t>
      </w:r>
      <w:r>
        <w:rPr>
          <w:rStyle w:val="41"/>
          <w:rFonts w:hint="eastAsia" w:ascii="宋体" w:hAnsi="宋体"/>
          <w:color w:val="auto"/>
          <w:highlight w:val="none"/>
          <w:lang w:eastAsia="zh-CN"/>
        </w:rPr>
        <w:t>浙江理工大学下沙校区教学东区消防管网改造工程</w:t>
      </w:r>
    </w:p>
    <w:p>
      <w:pPr>
        <w:snapToGrid w:val="0"/>
        <w:spacing w:line="360" w:lineRule="auto"/>
        <w:rPr>
          <w:rStyle w:val="41"/>
          <w:rFonts w:ascii="宋体" w:hAnsi="宋体"/>
          <w:color w:val="auto"/>
          <w:highlight w:val="none"/>
        </w:rPr>
      </w:pPr>
      <w:r>
        <w:rPr>
          <w:rStyle w:val="41"/>
          <w:rFonts w:ascii="宋体" w:hAnsi="宋体"/>
          <w:color w:val="auto"/>
          <w:highlight w:val="none"/>
        </w:rPr>
        <w:t>项目编号：</w:t>
      </w:r>
      <w:r>
        <w:rPr>
          <w:rStyle w:val="41"/>
          <w:rFonts w:hint="eastAsia" w:ascii="宋体" w:hAnsi="宋体"/>
          <w:color w:val="auto"/>
          <w:highlight w:val="none"/>
          <w:lang w:eastAsia="zh-CN"/>
        </w:rPr>
        <w:t>CTZB-2024050477</w:t>
      </w:r>
      <w:r>
        <w:rPr>
          <w:rStyle w:val="41"/>
          <w:rFonts w:ascii="宋体" w:hAnsi="宋体"/>
          <w:color w:val="auto"/>
          <w:highlight w:val="none"/>
        </w:rPr>
        <w:t xml:space="preserve"> </w:t>
      </w:r>
    </w:p>
    <w:tbl>
      <w:tblPr>
        <w:tblStyle w:val="21"/>
        <w:tblW w:w="8528"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584"/>
        <w:gridCol w:w="648"/>
        <w:gridCol w:w="1946"/>
        <w:gridCol w:w="1945"/>
        <w:gridCol w:w="1784"/>
        <w:gridCol w:w="162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4"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r>
              <w:rPr>
                <w:rStyle w:val="41"/>
                <w:rFonts w:ascii="宋体" w:hAnsi="宋体"/>
                <w:color w:val="auto"/>
                <w:highlight w:val="none"/>
              </w:rPr>
              <w:t>序号</w:t>
            </w:r>
          </w:p>
        </w:tc>
        <w:tc>
          <w:tcPr>
            <w:tcW w:w="648" w:type="dxa"/>
            <w:tcBorders>
              <w:top w:val="single" w:color="000000" w:sz="4" w:space="0"/>
              <w:left w:val="single" w:color="000000" w:sz="4"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r>
              <w:rPr>
                <w:rStyle w:val="41"/>
                <w:rFonts w:ascii="宋体" w:hAnsi="宋体"/>
                <w:color w:val="auto"/>
                <w:highlight w:val="none"/>
              </w:rPr>
              <w:t>类别</w:t>
            </w:r>
          </w:p>
        </w:tc>
        <w:tc>
          <w:tcPr>
            <w:tcW w:w="1946" w:type="dxa"/>
            <w:tcBorders>
              <w:top w:val="single" w:color="000000" w:sz="4"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r>
              <w:rPr>
                <w:rStyle w:val="41"/>
                <w:rFonts w:ascii="宋体" w:hAnsi="宋体"/>
                <w:color w:val="auto"/>
                <w:highlight w:val="none"/>
              </w:rPr>
              <w:t>招标要求</w:t>
            </w:r>
          </w:p>
        </w:tc>
        <w:tc>
          <w:tcPr>
            <w:tcW w:w="1945"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r>
              <w:rPr>
                <w:rStyle w:val="41"/>
                <w:rFonts w:ascii="宋体" w:hAnsi="宋体"/>
                <w:color w:val="auto"/>
                <w:highlight w:val="none"/>
              </w:rPr>
              <w:t>投标响应</w:t>
            </w:r>
          </w:p>
        </w:tc>
        <w:tc>
          <w:tcPr>
            <w:tcW w:w="1784"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r>
              <w:rPr>
                <w:rStyle w:val="41"/>
                <w:rFonts w:ascii="宋体" w:hAnsi="宋体"/>
                <w:color w:val="auto"/>
                <w:highlight w:val="none"/>
              </w:rPr>
              <w:t>是否偏离</w:t>
            </w:r>
          </w:p>
        </w:tc>
        <w:tc>
          <w:tcPr>
            <w:tcW w:w="1621" w:type="dxa"/>
            <w:tcBorders>
              <w:top w:val="single" w:color="000000" w:sz="4" w:space="0"/>
              <w:left w:val="single" w:color="000000" w:sz="6"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r>
              <w:rPr>
                <w:rStyle w:val="41"/>
                <w:rFonts w:ascii="宋体" w:hAnsi="宋体"/>
                <w:color w:val="auto"/>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648" w:type="dxa"/>
            <w:vMerge w:val="restart"/>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r>
              <w:rPr>
                <w:rStyle w:val="41"/>
                <w:rFonts w:ascii="宋体" w:hAnsi="宋体"/>
                <w:color w:val="auto"/>
                <w:highlight w:val="none"/>
              </w:rPr>
              <w:t>商务偏离</w:t>
            </w: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648" w:type="dxa"/>
            <w:vMerge w:val="restart"/>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r>
              <w:rPr>
                <w:rStyle w:val="41"/>
                <w:rFonts w:ascii="宋体" w:hAnsi="宋体"/>
                <w:color w:val="auto"/>
                <w:highlight w:val="none"/>
              </w:rPr>
              <w:t>技术偏离</w:t>
            </w: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648" w:type="dxa"/>
            <w:vMerge w:val="continue"/>
            <w:tcBorders>
              <w:top w:val="single" w:color="000000" w:sz="6" w:space="0"/>
              <w:left w:val="single" w:color="000000" w:sz="4"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c>
          <w:tcPr>
            <w:tcW w:w="1946" w:type="dxa"/>
            <w:tcBorders>
              <w:top w:val="single" w:color="000000" w:sz="6" w:space="0"/>
              <w:left w:val="single" w:color="000000" w:sz="4"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94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78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621" w:type="dxa"/>
            <w:tcBorders>
              <w:top w:val="single" w:color="000000" w:sz="6" w:space="0"/>
              <w:left w:val="single" w:color="000000" w:sz="6" w:space="0"/>
              <w:bottom w:val="single" w:color="000000" w:sz="6" w:space="0"/>
              <w:right w:val="single" w:color="000000" w:sz="4" w:space="0"/>
            </w:tcBorders>
            <w:vAlign w:val="center"/>
          </w:tcPr>
          <w:p>
            <w:pPr>
              <w:snapToGrid w:val="0"/>
              <w:spacing w:line="360" w:lineRule="auto"/>
              <w:jc w:val="center"/>
              <w:rPr>
                <w:rStyle w:val="41"/>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atLeast"/>
        </w:trPr>
        <w:tc>
          <w:tcPr>
            <w:tcW w:w="584" w:type="dxa"/>
            <w:tcBorders>
              <w:top w:val="single" w:color="000000" w:sz="6" w:space="0"/>
              <w:left w:val="single" w:color="000000" w:sz="4" w:space="0"/>
              <w:bottom w:val="single" w:color="000000" w:sz="4"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648" w:type="dxa"/>
            <w:vMerge w:val="continue"/>
            <w:tcBorders>
              <w:top w:val="single" w:color="000000" w:sz="6" w:space="0"/>
              <w:left w:val="single" w:color="000000" w:sz="4" w:space="0"/>
              <w:bottom w:val="single" w:color="000000" w:sz="4" w:space="0"/>
              <w:right w:val="single" w:color="000000" w:sz="4" w:space="0"/>
            </w:tcBorders>
            <w:vAlign w:val="center"/>
          </w:tcPr>
          <w:p>
            <w:pPr>
              <w:snapToGrid w:val="0"/>
              <w:spacing w:line="360" w:lineRule="auto"/>
              <w:jc w:val="center"/>
              <w:rPr>
                <w:rStyle w:val="41"/>
                <w:rFonts w:ascii="宋体" w:hAnsi="宋体"/>
                <w:color w:val="auto"/>
                <w:highlight w:val="none"/>
              </w:rPr>
            </w:pPr>
          </w:p>
        </w:tc>
        <w:tc>
          <w:tcPr>
            <w:tcW w:w="1946" w:type="dxa"/>
            <w:tcBorders>
              <w:top w:val="single" w:color="000000" w:sz="6" w:space="0"/>
              <w:left w:val="single" w:color="000000" w:sz="4" w:space="0"/>
              <w:bottom w:val="single" w:color="000000" w:sz="4"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945"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784" w:type="dxa"/>
            <w:tcBorders>
              <w:top w:val="single" w:color="000000" w:sz="6" w:space="0"/>
              <w:left w:val="single" w:color="000000" w:sz="6" w:space="0"/>
              <w:bottom w:val="single" w:color="000000" w:sz="4" w:space="0"/>
              <w:right w:val="single" w:color="000000" w:sz="6" w:space="0"/>
            </w:tcBorders>
            <w:vAlign w:val="center"/>
          </w:tcPr>
          <w:p>
            <w:pPr>
              <w:snapToGrid w:val="0"/>
              <w:spacing w:line="360" w:lineRule="auto"/>
              <w:jc w:val="center"/>
              <w:rPr>
                <w:rStyle w:val="41"/>
                <w:rFonts w:ascii="宋体" w:hAnsi="宋体"/>
                <w:color w:val="auto"/>
                <w:highlight w:val="none"/>
              </w:rPr>
            </w:pPr>
          </w:p>
        </w:tc>
        <w:tc>
          <w:tcPr>
            <w:tcW w:w="1621" w:type="dxa"/>
            <w:tcBorders>
              <w:top w:val="single" w:color="000000" w:sz="6" w:space="0"/>
              <w:left w:val="single" w:color="000000" w:sz="6" w:space="0"/>
              <w:bottom w:val="single" w:color="000000" w:sz="4" w:space="0"/>
              <w:right w:val="single" w:color="000000" w:sz="4" w:space="0"/>
            </w:tcBorders>
            <w:vAlign w:val="center"/>
          </w:tcPr>
          <w:p>
            <w:pPr>
              <w:snapToGrid w:val="0"/>
              <w:spacing w:line="360" w:lineRule="auto"/>
              <w:jc w:val="center"/>
              <w:rPr>
                <w:rStyle w:val="41"/>
                <w:rFonts w:ascii="宋体" w:hAnsi="宋体"/>
                <w:color w:val="auto"/>
                <w:highlight w:val="none"/>
              </w:rPr>
            </w:pPr>
          </w:p>
        </w:tc>
      </w:tr>
    </w:tbl>
    <w:p>
      <w:pPr>
        <w:snapToGrid w:val="0"/>
        <w:spacing w:line="360" w:lineRule="auto"/>
        <w:rPr>
          <w:rStyle w:val="41"/>
          <w:rFonts w:ascii="宋体" w:hAnsi="宋体"/>
          <w:b/>
          <w:color w:val="auto"/>
          <w:highlight w:val="none"/>
        </w:rPr>
      </w:pPr>
      <w:r>
        <w:rPr>
          <w:rStyle w:val="41"/>
          <w:rFonts w:ascii="宋体" w:hAnsi="宋体"/>
          <w:b/>
          <w:color w:val="auto"/>
          <w:highlight w:val="none"/>
        </w:rPr>
        <w:t>填表说明：</w:t>
      </w:r>
      <w:r>
        <w:rPr>
          <w:rStyle w:val="41"/>
          <w:rFonts w:ascii="宋体" w:hAnsi="宋体"/>
          <w:color w:val="auto"/>
          <w:highlight w:val="none"/>
        </w:rPr>
        <w:t>对磋商文件有任何偏离（包括正偏离及负偏离）均应汇总并填写在此表中，不填写此表视作完全响应本磋商文件要求。</w:t>
      </w:r>
    </w:p>
    <w:p>
      <w:pPr>
        <w:snapToGrid w:val="0"/>
        <w:spacing w:line="360" w:lineRule="auto"/>
        <w:rPr>
          <w:rStyle w:val="41"/>
          <w:rFonts w:ascii="宋体" w:hAnsi="宋体"/>
          <w:b/>
          <w:color w:val="auto"/>
          <w:highlight w:val="none"/>
        </w:rPr>
      </w:pPr>
    </w:p>
    <w:p>
      <w:pPr>
        <w:snapToGrid w:val="0"/>
        <w:spacing w:line="360" w:lineRule="auto"/>
        <w:rPr>
          <w:rStyle w:val="41"/>
          <w:rFonts w:ascii="宋体" w:hAnsi="宋体"/>
          <w:b/>
          <w:color w:val="auto"/>
          <w:spacing w:val="20"/>
          <w:highlight w:val="none"/>
        </w:rPr>
      </w:pPr>
      <w:r>
        <w:rPr>
          <w:rStyle w:val="41"/>
          <w:rFonts w:ascii="宋体" w:hAnsi="宋体"/>
          <w:b/>
          <w:color w:val="auto"/>
          <w:highlight w:val="none"/>
        </w:rPr>
        <w:t xml:space="preserve">供应商全称（盖单位公章）： </w:t>
      </w:r>
      <w:r>
        <w:rPr>
          <w:rStyle w:val="41"/>
          <w:rFonts w:ascii="宋体" w:hAnsi="宋体"/>
          <w:b/>
          <w:color w:val="auto"/>
          <w:spacing w:val="20"/>
          <w:highlight w:val="none"/>
        </w:rPr>
        <w:t xml:space="preserve">  </w:t>
      </w:r>
    </w:p>
    <w:p>
      <w:pPr>
        <w:snapToGrid w:val="0"/>
        <w:spacing w:line="360" w:lineRule="auto"/>
        <w:rPr>
          <w:rStyle w:val="41"/>
          <w:rFonts w:ascii="宋体" w:hAnsi="宋体"/>
          <w:b/>
          <w:color w:val="auto"/>
          <w:spacing w:val="20"/>
          <w:highlight w:val="none"/>
        </w:rPr>
      </w:pPr>
      <w:r>
        <w:rPr>
          <w:rStyle w:val="41"/>
          <w:rFonts w:ascii="宋体" w:hAnsi="宋体"/>
          <w:b/>
          <w:color w:val="auto"/>
          <w:highlight w:val="none"/>
        </w:rPr>
        <w:t xml:space="preserve"> </w:t>
      </w:r>
    </w:p>
    <w:p>
      <w:pPr>
        <w:snapToGrid w:val="0"/>
        <w:spacing w:line="360" w:lineRule="auto"/>
        <w:rPr>
          <w:rStyle w:val="41"/>
          <w:rFonts w:ascii="宋体" w:hAnsi="宋体" w:cs="宋体"/>
          <w:b/>
          <w:bCs/>
          <w:color w:val="auto"/>
          <w:szCs w:val="32"/>
          <w:highlight w:val="none"/>
        </w:rPr>
      </w:pPr>
      <w:r>
        <w:rPr>
          <w:rStyle w:val="41"/>
          <w:rFonts w:ascii="宋体" w:hAnsi="宋体"/>
          <w:b/>
          <w:color w:val="auto"/>
          <w:spacing w:val="20"/>
          <w:highlight w:val="none"/>
        </w:rPr>
        <w:t>日期：</w:t>
      </w:r>
    </w:p>
    <w:p>
      <w:pPr>
        <w:snapToGrid w:val="0"/>
        <w:spacing w:line="400" w:lineRule="exact"/>
        <w:textAlignment w:val="bottom"/>
        <w:rPr>
          <w:rStyle w:val="41"/>
          <w:rFonts w:ascii="宋体" w:hAnsi="宋体"/>
          <w:b/>
          <w:color w:val="auto"/>
          <w:highlight w:val="none"/>
        </w:rPr>
      </w:pPr>
      <w:r>
        <w:rPr>
          <w:rStyle w:val="41"/>
          <w:rFonts w:ascii="宋体" w:hAnsi="宋体"/>
          <w:b/>
          <w:color w:val="auto"/>
          <w:highlight w:val="none"/>
        </w:rPr>
        <w:br w:type="page"/>
      </w:r>
    </w:p>
    <w:p>
      <w:pPr>
        <w:snapToGrid w:val="0"/>
        <w:spacing w:line="400" w:lineRule="exact"/>
        <w:textAlignment w:val="bottom"/>
        <w:rPr>
          <w:rStyle w:val="41"/>
          <w:rFonts w:ascii="Arial" w:hAnsi="宋体" w:cs="Arial"/>
          <w:b/>
          <w:bCs/>
          <w:color w:val="auto"/>
          <w:szCs w:val="32"/>
          <w:highlight w:val="none"/>
        </w:rPr>
      </w:pPr>
      <w:r>
        <w:rPr>
          <w:rStyle w:val="41"/>
          <w:rFonts w:ascii="宋体" w:hAnsi="宋体"/>
          <w:b/>
          <w:color w:val="auto"/>
          <w:highlight w:val="none"/>
        </w:rPr>
        <w:t>四</w:t>
      </w:r>
      <w:r>
        <w:rPr>
          <w:rStyle w:val="41"/>
          <w:rFonts w:ascii="宋体" w:hAnsi="宋体" w:cs="宋体"/>
          <w:b/>
          <w:bCs/>
          <w:color w:val="auto"/>
          <w:szCs w:val="32"/>
          <w:highlight w:val="none"/>
        </w:rPr>
        <w:t>、</w:t>
      </w:r>
      <w:r>
        <w:rPr>
          <w:rStyle w:val="41"/>
          <w:rFonts w:ascii="Arial" w:hAnsi="宋体" w:cs="Arial"/>
          <w:b/>
          <w:bCs/>
          <w:color w:val="auto"/>
          <w:szCs w:val="32"/>
          <w:highlight w:val="none"/>
        </w:rPr>
        <w:t>商务技术要求（格式仅供参照，无格式的格式自拟）：</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（1）工程业绩；</w:t>
      </w:r>
    </w:p>
    <w:p>
      <w:pPr>
        <w:snapToGrid w:val="0"/>
        <w:spacing w:line="360" w:lineRule="auto"/>
        <w:ind w:left="420"/>
        <w:rPr>
          <w:rStyle w:val="41"/>
          <w:rFonts w:ascii="宋体" w:hAnsi="宋体"/>
          <w:color w:val="auto"/>
          <w:highlight w:val="none"/>
        </w:rPr>
      </w:pPr>
      <w:r>
        <w:rPr>
          <w:rStyle w:val="41"/>
          <w:rFonts w:ascii="宋体" w:hAnsi="宋体"/>
          <w:color w:val="auto"/>
          <w:highlight w:val="none"/>
        </w:rPr>
        <w:t>（2）技术文件部分；</w:t>
      </w:r>
    </w:p>
    <w:p>
      <w:pPr>
        <w:pStyle w:val="180"/>
        <w:snapToGrid w:val="0"/>
        <w:spacing w:line="360" w:lineRule="auto"/>
        <w:ind w:firstLine="420"/>
        <w:rPr>
          <w:rStyle w:val="41"/>
          <w:rFonts w:ascii="宋体" w:hAnsi="宋体"/>
          <w:color w:val="auto"/>
          <w:highlight w:val="none"/>
        </w:rPr>
      </w:pPr>
      <w:r>
        <w:rPr>
          <w:rStyle w:val="41"/>
          <w:rFonts w:ascii="宋体" w:hAnsi="宋体"/>
          <w:color w:val="auto"/>
          <w:szCs w:val="21"/>
          <w:highlight w:val="none"/>
        </w:rPr>
        <w:t>（3）供应商认为需要提供的资料、采</w:t>
      </w:r>
      <w:r>
        <w:rPr>
          <w:rStyle w:val="41"/>
          <w:rFonts w:ascii="宋体" w:hAnsi="宋体"/>
          <w:color w:val="auto"/>
          <w:highlight w:val="none"/>
        </w:rPr>
        <w:t>购文件要求提供的其他资料</w:t>
      </w:r>
      <w:r>
        <w:rPr>
          <w:rStyle w:val="41"/>
          <w:rFonts w:ascii="宋体" w:hAnsi="宋体"/>
          <w:color w:val="auto"/>
          <w:szCs w:val="21"/>
          <w:highlight w:val="none"/>
        </w:rPr>
        <w:t>。</w:t>
      </w:r>
    </w:p>
    <w:p>
      <w:pPr>
        <w:pStyle w:val="33"/>
        <w:snapToGrid w:val="0"/>
        <w:spacing w:line="480" w:lineRule="auto"/>
        <w:ind w:firstLine="418"/>
        <w:jc w:val="center"/>
        <w:rPr>
          <w:rStyle w:val="41"/>
          <w:rFonts w:cs="Arial"/>
          <w:color w:val="auto"/>
          <w:w w:val="99"/>
          <w:kern w:val="0"/>
          <w:highlight w:val="none"/>
        </w:rPr>
      </w:pPr>
      <w:r>
        <w:rPr>
          <w:rStyle w:val="41"/>
          <w:rFonts w:cs="Arial"/>
          <w:color w:val="auto"/>
          <w:w w:val="99"/>
          <w:kern w:val="0"/>
          <w:highlight w:val="none"/>
        </w:rPr>
        <w:br w:type="page"/>
      </w:r>
    </w:p>
    <w:p>
      <w:pPr>
        <w:pStyle w:val="33"/>
        <w:snapToGrid w:val="0"/>
        <w:spacing w:line="480" w:lineRule="auto"/>
        <w:ind w:firstLine="422"/>
        <w:jc w:val="center"/>
        <w:rPr>
          <w:rStyle w:val="41"/>
          <w:rFonts w:cs="Arial"/>
          <w:color w:val="auto"/>
          <w:highlight w:val="none"/>
        </w:rPr>
      </w:pPr>
      <w:r>
        <w:rPr>
          <w:rStyle w:val="41"/>
          <w:rFonts w:cs="Arial"/>
          <w:color w:val="auto"/>
          <w:highlight w:val="none"/>
        </w:rPr>
        <w:t>拟投入的主要施工机械设备表</w:t>
      </w:r>
    </w:p>
    <w:tbl>
      <w:tblPr>
        <w:tblStyle w:val="21"/>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116"/>
        <w:gridCol w:w="1116"/>
        <w:gridCol w:w="1117"/>
        <w:gridCol w:w="1116"/>
        <w:gridCol w:w="1116"/>
        <w:gridCol w:w="1117"/>
        <w:gridCol w:w="1116"/>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highlight w:val="none"/>
              </w:rPr>
            </w:pPr>
            <w:r>
              <w:rPr>
                <w:rStyle w:val="41"/>
                <w:rFonts w:ascii="Arial" w:hAnsi="Arial"/>
                <w:color w:val="auto"/>
                <w:highlight w:val="none"/>
              </w:rPr>
              <w:t>序号</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highlight w:val="none"/>
              </w:rPr>
            </w:pPr>
            <w:r>
              <w:rPr>
                <w:rStyle w:val="41"/>
                <w:rFonts w:ascii="Arial" w:hAnsi="Arial"/>
                <w:color w:val="auto"/>
                <w:highlight w:val="none"/>
              </w:rPr>
              <w:t>机械或</w:t>
            </w:r>
          </w:p>
          <w:p>
            <w:pPr>
              <w:snapToGrid w:val="0"/>
              <w:jc w:val="center"/>
              <w:rPr>
                <w:rStyle w:val="41"/>
                <w:rFonts w:ascii="Arial" w:hAnsi="Arial"/>
                <w:color w:val="auto"/>
                <w:highlight w:val="none"/>
              </w:rPr>
            </w:pPr>
            <w:r>
              <w:rPr>
                <w:rStyle w:val="41"/>
                <w:rFonts w:ascii="Arial" w:hAnsi="Arial"/>
                <w:color w:val="auto"/>
                <w:highlight w:val="none"/>
              </w:rPr>
              <w:t>设备名称</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highlight w:val="none"/>
              </w:rPr>
            </w:pPr>
            <w:r>
              <w:rPr>
                <w:rStyle w:val="41"/>
                <w:rFonts w:ascii="Arial" w:hAnsi="Arial"/>
                <w:color w:val="auto"/>
                <w:highlight w:val="none"/>
              </w:rPr>
              <w:t>型号</w:t>
            </w:r>
          </w:p>
          <w:p>
            <w:pPr>
              <w:snapToGrid w:val="0"/>
              <w:jc w:val="center"/>
              <w:rPr>
                <w:rStyle w:val="41"/>
                <w:rFonts w:ascii="Arial" w:hAnsi="Arial"/>
                <w:color w:val="auto"/>
                <w:highlight w:val="none"/>
              </w:rPr>
            </w:pPr>
            <w:r>
              <w:rPr>
                <w:rStyle w:val="41"/>
                <w:rFonts w:ascii="Arial" w:hAnsi="Arial"/>
                <w:color w:val="auto"/>
                <w:highlight w:val="none"/>
              </w:rPr>
              <w:t>规格</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highlight w:val="none"/>
              </w:rPr>
            </w:pPr>
            <w:r>
              <w:rPr>
                <w:rStyle w:val="41"/>
                <w:rFonts w:ascii="Arial" w:hAnsi="Arial"/>
                <w:color w:val="auto"/>
                <w:highlight w:val="none"/>
              </w:rPr>
              <w:t>数量</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highlight w:val="none"/>
              </w:rPr>
            </w:pPr>
            <w:r>
              <w:rPr>
                <w:rStyle w:val="41"/>
                <w:rFonts w:ascii="Arial" w:hAnsi="Arial"/>
                <w:color w:val="auto"/>
                <w:highlight w:val="none"/>
              </w:rPr>
              <w:t>国别</w:t>
            </w:r>
          </w:p>
          <w:p>
            <w:pPr>
              <w:snapToGrid w:val="0"/>
              <w:jc w:val="center"/>
              <w:rPr>
                <w:rStyle w:val="41"/>
                <w:rFonts w:ascii="Arial" w:hAnsi="Arial"/>
                <w:color w:val="auto"/>
                <w:highlight w:val="none"/>
              </w:rPr>
            </w:pPr>
            <w:r>
              <w:rPr>
                <w:rStyle w:val="41"/>
                <w:rFonts w:ascii="Arial" w:hAnsi="Arial"/>
                <w:color w:val="auto"/>
                <w:highlight w:val="none"/>
              </w:rPr>
              <w:t>产地</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highlight w:val="none"/>
              </w:rPr>
            </w:pPr>
            <w:r>
              <w:rPr>
                <w:rStyle w:val="41"/>
                <w:rFonts w:ascii="Arial" w:hAnsi="Arial"/>
                <w:color w:val="auto"/>
                <w:highlight w:val="none"/>
              </w:rPr>
              <w:t>制造</w:t>
            </w:r>
          </w:p>
          <w:p>
            <w:pPr>
              <w:snapToGrid w:val="0"/>
              <w:jc w:val="center"/>
              <w:rPr>
                <w:rStyle w:val="41"/>
                <w:rFonts w:ascii="Arial" w:hAnsi="Arial"/>
                <w:color w:val="auto"/>
                <w:highlight w:val="none"/>
              </w:rPr>
            </w:pPr>
            <w:r>
              <w:rPr>
                <w:rStyle w:val="41"/>
                <w:rFonts w:ascii="Arial" w:hAnsi="Arial"/>
                <w:color w:val="auto"/>
                <w:highlight w:val="none"/>
              </w:rPr>
              <w:t>年份</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highlight w:val="none"/>
              </w:rPr>
            </w:pPr>
            <w:r>
              <w:rPr>
                <w:rStyle w:val="41"/>
                <w:rFonts w:ascii="Arial" w:hAnsi="Arial"/>
                <w:color w:val="auto"/>
                <w:highlight w:val="none"/>
              </w:rPr>
              <w:t>额定功率（KW）</w:t>
            </w:r>
          </w:p>
        </w:tc>
        <w:tc>
          <w:tcPr>
            <w:tcW w:w="111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highlight w:val="none"/>
              </w:rPr>
            </w:pPr>
            <w:r>
              <w:rPr>
                <w:rStyle w:val="41"/>
                <w:rFonts w:ascii="Arial" w:hAnsi="Arial"/>
                <w:color w:val="auto"/>
                <w:highlight w:val="none"/>
              </w:rPr>
              <w:t>生产</w:t>
            </w:r>
          </w:p>
          <w:p>
            <w:pPr>
              <w:snapToGrid w:val="0"/>
              <w:jc w:val="center"/>
              <w:rPr>
                <w:rStyle w:val="41"/>
                <w:rFonts w:ascii="Arial" w:hAnsi="Arial"/>
                <w:color w:val="auto"/>
                <w:highlight w:val="none"/>
              </w:rPr>
            </w:pPr>
            <w:r>
              <w:rPr>
                <w:rStyle w:val="41"/>
                <w:rFonts w:ascii="Arial" w:hAnsi="Arial"/>
                <w:color w:val="auto"/>
                <w:highlight w:val="none"/>
              </w:rPr>
              <w:t>能力</w:t>
            </w:r>
          </w:p>
        </w:tc>
        <w:tc>
          <w:tcPr>
            <w:tcW w:w="11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highlight w:val="none"/>
              </w:rPr>
            </w:pPr>
            <w:r>
              <w:rPr>
                <w:rStyle w:val="41"/>
                <w:rFonts w:ascii="Arial" w:hAnsi="Arial"/>
                <w:color w:val="auto"/>
                <w:highlight w:val="none"/>
              </w:rPr>
              <w:t>用于施工部位备注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5"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6"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tcPr>
          <w:p>
            <w:pPr>
              <w:snapToGrid w:val="0"/>
              <w:spacing w:after="360"/>
              <w:rPr>
                <w:rStyle w:val="41"/>
                <w:rFonts w:ascii="Arial" w:hAnsi="Arial"/>
                <w:color w:val="auto"/>
                <w:sz w:val="24"/>
                <w:highlight w:val="none"/>
              </w:rPr>
            </w:pPr>
          </w:p>
        </w:tc>
      </w:tr>
    </w:tbl>
    <w:p>
      <w:pPr>
        <w:snapToGrid w:val="0"/>
        <w:spacing w:after="360"/>
        <w:ind w:left="627"/>
        <w:rPr>
          <w:rStyle w:val="41"/>
          <w:rFonts w:ascii="Arial" w:hAnsi="Arial"/>
          <w:color w:val="auto"/>
          <w:sz w:val="24"/>
          <w:highlight w:val="none"/>
        </w:rPr>
      </w:pPr>
    </w:p>
    <w:p>
      <w:pPr>
        <w:pStyle w:val="33"/>
        <w:snapToGrid w:val="0"/>
        <w:ind w:firstLine="482"/>
        <w:jc w:val="center"/>
        <w:rPr>
          <w:rStyle w:val="41"/>
          <w:rFonts w:cs="Arial"/>
          <w:color w:val="auto"/>
          <w:sz w:val="24"/>
          <w:highlight w:val="none"/>
        </w:rPr>
      </w:pPr>
      <w:r>
        <w:rPr>
          <w:rStyle w:val="41"/>
          <w:rFonts w:cs="Arial"/>
          <w:color w:val="auto"/>
          <w:sz w:val="24"/>
          <w:highlight w:val="none"/>
        </w:rPr>
        <w:br w:type="page"/>
      </w:r>
    </w:p>
    <w:p>
      <w:pPr>
        <w:pStyle w:val="33"/>
        <w:snapToGrid w:val="0"/>
        <w:ind w:firstLine="422"/>
        <w:jc w:val="center"/>
        <w:rPr>
          <w:rStyle w:val="41"/>
          <w:rFonts w:cs="Arial"/>
          <w:color w:val="auto"/>
          <w:highlight w:val="none"/>
        </w:rPr>
      </w:pPr>
      <w:r>
        <w:rPr>
          <w:rStyle w:val="41"/>
          <w:rFonts w:cs="Arial"/>
          <w:color w:val="auto"/>
          <w:highlight w:val="none"/>
        </w:rPr>
        <w:t>劳动力计划表</w:t>
      </w:r>
    </w:p>
    <w:p>
      <w:pPr>
        <w:snapToGrid w:val="0"/>
        <w:spacing w:after="120"/>
        <w:ind w:left="629"/>
        <w:rPr>
          <w:rStyle w:val="41"/>
          <w:rFonts w:ascii="Arial" w:hAnsi="Arial"/>
          <w:color w:val="auto"/>
          <w:sz w:val="24"/>
          <w:highlight w:val="none"/>
        </w:rPr>
      </w:pPr>
      <w:r>
        <w:rPr>
          <w:rStyle w:val="41"/>
          <w:rFonts w:ascii="Arial" w:hAnsi="Arial"/>
          <w:color w:val="auto"/>
          <w:sz w:val="24"/>
          <w:highlight w:val="none"/>
        </w:rPr>
        <w:t>单位：人</w:t>
      </w:r>
    </w:p>
    <w:tbl>
      <w:tblPr>
        <w:tblStyle w:val="21"/>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1222"/>
        <w:gridCol w:w="1222"/>
        <w:gridCol w:w="1222"/>
        <w:gridCol w:w="1223"/>
        <w:gridCol w:w="1222"/>
        <w:gridCol w:w="1222"/>
        <w:gridCol w:w="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atLeast"/>
        </w:trPr>
        <w:tc>
          <w:tcPr>
            <w:tcW w:w="1050" w:type="dxa"/>
            <w:vMerge w:val="restart"/>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highlight w:val="none"/>
              </w:rPr>
            </w:pPr>
          </w:p>
        </w:tc>
        <w:tc>
          <w:tcPr>
            <w:tcW w:w="8556" w:type="dxa"/>
            <w:gridSpan w:val="7"/>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highlight w:val="none"/>
              </w:rPr>
            </w:pPr>
            <w:r>
              <w:rPr>
                <w:rStyle w:val="41"/>
                <w:rFonts w:ascii="Arial" w:hAnsi="Arial"/>
                <w:color w:val="auto"/>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trPr>
        <w:tc>
          <w:tcPr>
            <w:tcW w:w="1050" w:type="dxa"/>
            <w:vMerge w:val="continue"/>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050"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c>
          <w:tcPr>
            <w:tcW w:w="1223" w:type="dxa"/>
            <w:tcBorders>
              <w:top w:val="single" w:color="000000" w:sz="4" w:space="0"/>
              <w:left w:val="single" w:color="000000" w:sz="4" w:space="0"/>
              <w:bottom w:val="single" w:color="000000" w:sz="4" w:space="0"/>
              <w:right w:val="single" w:color="000000" w:sz="4" w:space="0"/>
            </w:tcBorders>
          </w:tcPr>
          <w:p>
            <w:pPr>
              <w:snapToGrid w:val="0"/>
              <w:rPr>
                <w:rStyle w:val="41"/>
                <w:rFonts w:ascii="Arial" w:hAnsi="Arial"/>
                <w:color w:val="auto"/>
                <w:sz w:val="24"/>
                <w:highlight w:val="none"/>
              </w:rPr>
            </w:pPr>
          </w:p>
        </w:tc>
      </w:tr>
    </w:tbl>
    <w:p>
      <w:pPr>
        <w:snapToGrid w:val="0"/>
        <w:spacing w:line="400" w:lineRule="exact"/>
        <w:rPr>
          <w:rStyle w:val="41"/>
          <w:rFonts w:ascii="Arial" w:hAnsi="Arial"/>
          <w:color w:val="auto"/>
          <w:szCs w:val="21"/>
          <w:highlight w:val="none"/>
        </w:rPr>
      </w:pPr>
      <w:r>
        <w:rPr>
          <w:rStyle w:val="41"/>
          <w:rFonts w:ascii="Arial" w:hAnsi="Arial"/>
          <w:color w:val="auto"/>
          <w:szCs w:val="21"/>
          <w:highlight w:val="none"/>
        </w:rPr>
        <w:t>注：供应商应按所列格式提交包括分包在内的劳动力计划表。</w:t>
      </w:r>
    </w:p>
    <w:p>
      <w:pPr>
        <w:snapToGrid w:val="0"/>
        <w:spacing w:line="400" w:lineRule="exact"/>
        <w:rPr>
          <w:rStyle w:val="41"/>
          <w:rFonts w:ascii="Arial" w:hAnsi="Arial"/>
          <w:color w:val="auto"/>
          <w:szCs w:val="21"/>
          <w:highlight w:val="none"/>
        </w:rPr>
      </w:pPr>
      <w:r>
        <w:rPr>
          <w:rStyle w:val="41"/>
          <w:rFonts w:ascii="Arial" w:hAnsi="Arial"/>
          <w:color w:val="auto"/>
          <w:szCs w:val="21"/>
          <w:highlight w:val="none"/>
        </w:rPr>
        <w:t>本计划表是以每班八小时工作制为基础的。</w:t>
      </w:r>
    </w:p>
    <w:p>
      <w:pPr>
        <w:pStyle w:val="33"/>
        <w:snapToGrid w:val="0"/>
        <w:ind w:firstLine="422"/>
        <w:jc w:val="center"/>
        <w:rPr>
          <w:rStyle w:val="41"/>
          <w:rFonts w:cs="Arial"/>
          <w:color w:val="auto"/>
          <w:szCs w:val="21"/>
          <w:highlight w:val="none"/>
        </w:rPr>
      </w:pPr>
      <w:r>
        <w:rPr>
          <w:rStyle w:val="41"/>
          <w:rFonts w:cs="Arial"/>
          <w:color w:val="auto"/>
          <w:szCs w:val="21"/>
          <w:highlight w:val="none"/>
        </w:rPr>
        <w:br w:type="page"/>
      </w:r>
    </w:p>
    <w:p>
      <w:pPr>
        <w:pStyle w:val="33"/>
        <w:snapToGrid w:val="0"/>
        <w:ind w:firstLine="422"/>
        <w:jc w:val="center"/>
        <w:rPr>
          <w:rStyle w:val="41"/>
          <w:rFonts w:cs="Arial"/>
          <w:color w:val="auto"/>
          <w:highlight w:val="none"/>
        </w:rPr>
      </w:pPr>
      <w:r>
        <w:rPr>
          <w:rStyle w:val="41"/>
          <w:rFonts w:cs="Arial"/>
          <w:color w:val="auto"/>
          <w:highlight w:val="none"/>
        </w:rPr>
        <w:t>项目管理班子配备情况表</w:t>
      </w:r>
    </w:p>
    <w:p>
      <w:pPr>
        <w:snapToGrid w:val="0"/>
        <w:spacing w:line="360" w:lineRule="auto"/>
        <w:ind w:firstLine="717" w:firstLineChars="299"/>
        <w:rPr>
          <w:rStyle w:val="41"/>
          <w:rFonts w:ascii="Arial" w:hAnsi="Arial"/>
          <w:color w:val="auto"/>
          <w:kern w:val="0"/>
          <w:sz w:val="24"/>
          <w:highlight w:val="none"/>
        </w:rPr>
      </w:pPr>
    </w:p>
    <w:tbl>
      <w:tblPr>
        <w:tblStyle w:val="21"/>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720"/>
        <w:gridCol w:w="720"/>
        <w:gridCol w:w="888"/>
        <w:gridCol w:w="888"/>
        <w:gridCol w:w="888"/>
        <w:gridCol w:w="888"/>
        <w:gridCol w:w="1488"/>
        <w:gridCol w:w="889"/>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职务</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姓名</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职称</w:t>
            </w:r>
          </w:p>
        </w:tc>
        <w:tc>
          <w:tcPr>
            <w:tcW w:w="5040"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上岗资格证明</w:t>
            </w:r>
          </w:p>
        </w:tc>
        <w:tc>
          <w:tcPr>
            <w:tcW w:w="2478"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已承担在建工程情况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648"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证书</w:t>
            </w:r>
          </w:p>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名称</w:t>
            </w: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级别</w:t>
            </w: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证号</w:t>
            </w:r>
          </w:p>
        </w:tc>
        <w:tc>
          <w:tcPr>
            <w:tcW w:w="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专业</w:t>
            </w:r>
          </w:p>
        </w:tc>
        <w:tc>
          <w:tcPr>
            <w:tcW w:w="14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原服务单位</w:t>
            </w:r>
          </w:p>
        </w:tc>
        <w:tc>
          <w:tcPr>
            <w:tcW w:w="88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项目数</w:t>
            </w:r>
          </w:p>
        </w:tc>
        <w:tc>
          <w:tcPr>
            <w:tcW w:w="158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主要项目名称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64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720"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88"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58" w:hRule="exact"/>
        </w:trPr>
        <w:tc>
          <w:tcPr>
            <w:tcW w:w="9606" w:type="dxa"/>
            <w:gridSpan w:val="10"/>
            <w:tcBorders>
              <w:top w:val="single" w:color="000000" w:sz="4" w:space="0"/>
              <w:left w:val="single" w:color="000000" w:sz="4" w:space="0"/>
              <w:bottom w:val="single" w:color="000000" w:sz="4" w:space="0"/>
              <w:right w:val="single" w:color="000000" w:sz="4" w:space="0"/>
            </w:tcBorders>
          </w:tcPr>
          <w:p>
            <w:pPr>
              <w:snapToGrid w:val="0"/>
              <w:spacing w:line="360" w:lineRule="auto"/>
              <w:ind w:firstLine="472" w:firstLineChars="225"/>
              <w:rPr>
                <w:rStyle w:val="41"/>
                <w:rFonts w:ascii="Arial" w:hAnsi="Arial"/>
                <w:color w:val="auto"/>
                <w:kern w:val="0"/>
                <w:szCs w:val="28"/>
                <w:highlight w:val="none"/>
              </w:rPr>
            </w:pPr>
            <w:r>
              <w:rPr>
                <w:rStyle w:val="41"/>
                <w:rFonts w:ascii="Arial" w:hAnsi="Arial"/>
                <w:color w:val="auto"/>
                <w:kern w:val="0"/>
                <w:szCs w:val="28"/>
                <w:highlight w:val="none"/>
              </w:rPr>
              <w:t>本工程一旦我单位中标，将实行项目负责人负责制，并配备上述项目管理班子。上述填报内容真实，若不真实，愿按有关规定接受处理。项目管理班子机构设置、职责分工等情况另附资料说明。</w:t>
            </w:r>
          </w:p>
          <w:p>
            <w:pPr>
              <w:snapToGrid w:val="0"/>
              <w:spacing w:line="360" w:lineRule="auto"/>
              <w:ind w:firstLine="474" w:firstLineChars="225"/>
              <w:rPr>
                <w:rStyle w:val="41"/>
                <w:rFonts w:ascii="Arial" w:hAnsi="Arial"/>
                <w:color w:val="auto"/>
                <w:kern w:val="0"/>
                <w:szCs w:val="28"/>
                <w:highlight w:val="none"/>
              </w:rPr>
            </w:pPr>
            <w:r>
              <w:rPr>
                <w:rFonts w:hint="eastAsia" w:ascii="宋体" w:hAnsi="宋体" w:cs="Arial"/>
                <w:b/>
                <w:color w:val="auto"/>
                <w:highlight w:val="none"/>
              </w:rPr>
              <w:t>后附项目经理建机电工程二级及以上建造师注册证书复印件。</w:t>
            </w:r>
          </w:p>
        </w:tc>
      </w:tr>
    </w:tbl>
    <w:p>
      <w:pPr>
        <w:snapToGrid w:val="0"/>
        <w:spacing w:line="360" w:lineRule="auto"/>
        <w:ind w:firstLine="717" w:firstLineChars="299"/>
        <w:rPr>
          <w:rStyle w:val="41"/>
          <w:rFonts w:ascii="Arial" w:hAnsi="Arial"/>
          <w:color w:val="auto"/>
          <w:kern w:val="0"/>
          <w:sz w:val="24"/>
          <w:szCs w:val="28"/>
          <w:highlight w:val="none"/>
        </w:rPr>
      </w:pPr>
    </w:p>
    <w:p>
      <w:pPr>
        <w:pStyle w:val="33"/>
        <w:snapToGrid w:val="0"/>
        <w:ind w:firstLine="482"/>
        <w:jc w:val="center"/>
        <w:rPr>
          <w:rStyle w:val="41"/>
          <w:rFonts w:cs="Arial"/>
          <w:color w:val="auto"/>
          <w:kern w:val="0"/>
          <w:sz w:val="24"/>
          <w:szCs w:val="28"/>
          <w:highlight w:val="none"/>
        </w:rPr>
      </w:pPr>
      <w:r>
        <w:rPr>
          <w:rStyle w:val="41"/>
          <w:rFonts w:cs="Arial"/>
          <w:color w:val="auto"/>
          <w:kern w:val="0"/>
          <w:sz w:val="24"/>
          <w:szCs w:val="28"/>
          <w:highlight w:val="none"/>
        </w:rPr>
        <w:br w:type="page"/>
      </w:r>
    </w:p>
    <w:p>
      <w:pPr>
        <w:pStyle w:val="33"/>
        <w:snapToGrid w:val="0"/>
        <w:ind w:firstLine="422"/>
        <w:jc w:val="center"/>
        <w:rPr>
          <w:rStyle w:val="41"/>
          <w:rFonts w:cs="Arial"/>
          <w:color w:val="auto"/>
          <w:highlight w:val="none"/>
        </w:rPr>
      </w:pPr>
      <w:r>
        <w:rPr>
          <w:rStyle w:val="41"/>
          <w:rFonts w:cs="Arial"/>
          <w:color w:val="auto"/>
          <w:highlight w:val="none"/>
        </w:rPr>
        <w:t>工程施工人员配备情况表</w:t>
      </w:r>
    </w:p>
    <w:p>
      <w:pPr>
        <w:snapToGrid w:val="0"/>
        <w:spacing w:line="360" w:lineRule="auto"/>
        <w:ind w:firstLine="717" w:firstLineChars="299"/>
        <w:rPr>
          <w:rStyle w:val="41"/>
          <w:rFonts w:ascii="Arial" w:hAnsi="Arial"/>
          <w:color w:val="auto"/>
          <w:kern w:val="0"/>
          <w:sz w:val="24"/>
          <w:highlight w:val="none"/>
        </w:rPr>
      </w:pPr>
    </w:p>
    <w:tbl>
      <w:tblPr>
        <w:tblStyle w:val="21"/>
        <w:tblW w:w="85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861"/>
        <w:gridCol w:w="861"/>
        <w:gridCol w:w="1583"/>
        <w:gridCol w:w="1277"/>
        <w:gridCol w:w="1417"/>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77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职务</w:t>
            </w:r>
          </w:p>
        </w:tc>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姓名</w:t>
            </w:r>
          </w:p>
        </w:tc>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职称</w:t>
            </w:r>
          </w:p>
        </w:tc>
        <w:tc>
          <w:tcPr>
            <w:tcW w:w="6032"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上岗资格证明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774"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vMerge w:val="continue"/>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证书</w:t>
            </w:r>
          </w:p>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名称</w:t>
            </w:r>
          </w:p>
        </w:tc>
        <w:tc>
          <w:tcPr>
            <w:tcW w:w="12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级别</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证号</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color w:val="auto"/>
                <w:kern w:val="0"/>
                <w:szCs w:val="28"/>
                <w:highlight w:val="none"/>
              </w:rPr>
            </w:pPr>
            <w:r>
              <w:rPr>
                <w:rStyle w:val="41"/>
                <w:rFonts w:ascii="Arial" w:hAnsi="Arial"/>
                <w:color w:val="auto"/>
                <w:kern w:val="0"/>
                <w:szCs w:val="28"/>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74"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86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583"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27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417"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c>
          <w:tcPr>
            <w:tcW w:w="1755"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41"/>
                <w:rFonts w:ascii="Arial" w:hAnsi="Arial"/>
                <w:color w:val="auto"/>
                <w:kern w:val="0"/>
                <w:sz w:val="24"/>
                <w:szCs w:val="28"/>
                <w:highlight w:val="none"/>
              </w:rPr>
            </w:pPr>
          </w:p>
        </w:tc>
      </w:tr>
    </w:tbl>
    <w:p>
      <w:pPr>
        <w:snapToGrid w:val="0"/>
        <w:spacing w:line="360" w:lineRule="auto"/>
        <w:ind w:firstLine="717" w:firstLineChars="299"/>
        <w:rPr>
          <w:rStyle w:val="41"/>
          <w:rFonts w:ascii="Arial" w:hAnsi="Arial"/>
          <w:color w:val="auto"/>
          <w:kern w:val="0"/>
          <w:sz w:val="24"/>
          <w:szCs w:val="28"/>
          <w:highlight w:val="none"/>
        </w:rPr>
      </w:pPr>
    </w:p>
    <w:p>
      <w:pPr>
        <w:tabs>
          <w:tab w:val="left" w:pos="639"/>
          <w:tab w:val="left" w:pos="3663"/>
          <w:tab w:val="left" w:pos="4968"/>
          <w:tab w:val="left" w:pos="6559"/>
          <w:tab w:val="left" w:pos="8199"/>
        </w:tabs>
        <w:snapToGrid w:val="0"/>
        <w:jc w:val="left"/>
        <w:rPr>
          <w:rStyle w:val="41"/>
          <w:rFonts w:ascii="Arial" w:hAnsi="Arial"/>
          <w:color w:val="auto"/>
          <w:szCs w:val="21"/>
          <w:highlight w:val="none"/>
        </w:rPr>
      </w:pPr>
    </w:p>
    <w:p>
      <w:pPr>
        <w:tabs>
          <w:tab w:val="left" w:pos="639"/>
          <w:tab w:val="left" w:pos="3663"/>
          <w:tab w:val="left" w:pos="4968"/>
          <w:tab w:val="left" w:pos="6559"/>
          <w:tab w:val="left" w:pos="8199"/>
        </w:tabs>
        <w:snapToGrid w:val="0"/>
        <w:jc w:val="left"/>
        <w:rPr>
          <w:rStyle w:val="41"/>
          <w:rFonts w:ascii="Arial" w:hAnsi="Arial"/>
          <w:color w:val="auto"/>
          <w:szCs w:val="21"/>
          <w:highlight w:val="none"/>
        </w:rPr>
      </w:pPr>
    </w:p>
    <w:p>
      <w:pPr>
        <w:snapToGrid w:val="0"/>
        <w:spacing w:line="360" w:lineRule="auto"/>
        <w:jc w:val="center"/>
        <w:rPr>
          <w:rStyle w:val="41"/>
          <w:rFonts w:ascii="Arial" w:hAnsi="Arial" w:cs="Arial"/>
          <w:b/>
          <w:bCs/>
          <w:color w:val="auto"/>
          <w:szCs w:val="32"/>
          <w:highlight w:val="none"/>
        </w:rPr>
      </w:pPr>
    </w:p>
    <w:p>
      <w:pPr>
        <w:adjustRightInd w:val="0"/>
        <w:spacing w:line="360" w:lineRule="auto"/>
        <w:jc w:val="center"/>
        <w:rPr>
          <w:rFonts w:cs="Calibri"/>
          <w:color w:val="auto"/>
          <w:highlight w:val="none"/>
        </w:rPr>
      </w:pPr>
    </w:p>
    <w:p>
      <w:pPr>
        <w:pStyle w:val="30"/>
        <w:rPr>
          <w:rFonts w:cs="Calibri"/>
          <w:color w:val="auto"/>
          <w:highlight w:val="none"/>
        </w:rPr>
      </w:pPr>
    </w:p>
    <w:p>
      <w:pPr>
        <w:pStyle w:val="30"/>
        <w:rPr>
          <w:rFonts w:cs="Calibri"/>
          <w:color w:val="auto"/>
          <w:highlight w:val="none"/>
        </w:rPr>
      </w:pPr>
    </w:p>
    <w:p>
      <w:pPr>
        <w:pStyle w:val="30"/>
        <w:rPr>
          <w:rFonts w:cs="Calibri"/>
          <w:color w:val="auto"/>
          <w:highlight w:val="none"/>
        </w:rPr>
      </w:pPr>
    </w:p>
    <w:p>
      <w:pPr>
        <w:pStyle w:val="30"/>
        <w:rPr>
          <w:rFonts w:cs="Calibri"/>
          <w:color w:val="auto"/>
          <w:highlight w:val="none"/>
        </w:rPr>
      </w:pPr>
    </w:p>
    <w:p>
      <w:pPr>
        <w:pStyle w:val="30"/>
        <w:rPr>
          <w:rFonts w:cs="Calibri"/>
          <w:color w:val="auto"/>
          <w:highlight w:val="none"/>
        </w:rPr>
      </w:pPr>
    </w:p>
    <w:p>
      <w:pPr>
        <w:pStyle w:val="30"/>
        <w:rPr>
          <w:rFonts w:cs="Calibri"/>
          <w:color w:val="auto"/>
          <w:highlight w:val="none"/>
        </w:rPr>
      </w:pPr>
    </w:p>
    <w:p>
      <w:pPr>
        <w:pStyle w:val="30"/>
        <w:rPr>
          <w:rFonts w:cs="Calibri"/>
          <w:color w:val="auto"/>
          <w:highlight w:val="none"/>
        </w:rPr>
      </w:pPr>
    </w:p>
    <w:p>
      <w:pPr>
        <w:pStyle w:val="30"/>
        <w:rPr>
          <w:rFonts w:cs="Calibri"/>
          <w:color w:val="auto"/>
          <w:highlight w:val="none"/>
        </w:rPr>
      </w:pPr>
    </w:p>
    <w:p>
      <w:pPr>
        <w:pStyle w:val="4"/>
        <w:rPr>
          <w:rFonts w:cs="Calibri"/>
          <w:color w:val="auto"/>
          <w:szCs w:val="21"/>
          <w:highlight w:val="none"/>
        </w:rPr>
      </w:pPr>
      <w:r>
        <w:rPr>
          <w:rFonts w:hint="eastAsia" w:hAnsi="宋体" w:cs="宋体"/>
          <w:bCs/>
          <w:color w:val="auto"/>
          <w:szCs w:val="21"/>
          <w:highlight w:val="none"/>
        </w:rPr>
        <w:t xml:space="preserve"> </w:t>
      </w:r>
    </w:p>
    <w:p>
      <w:pPr>
        <w:snapToGrid w:val="0"/>
        <w:spacing w:line="300" w:lineRule="auto"/>
        <w:ind w:left="281" w:hanging="281" w:hangingChars="100"/>
        <w:jc w:val="center"/>
        <w:outlineLvl w:val="0"/>
        <w:rPr>
          <w:rFonts w:cs="Calibri"/>
          <w:b/>
          <w:bCs/>
          <w:color w:val="auto"/>
          <w:sz w:val="28"/>
          <w:szCs w:val="28"/>
          <w:highlight w:val="none"/>
        </w:rPr>
      </w:pPr>
      <w:bookmarkStart w:id="821" w:name="_Toc17674"/>
      <w:bookmarkStart w:id="822" w:name="_Toc17210"/>
      <w:r>
        <w:rPr>
          <w:rFonts w:cs="Calibri"/>
          <w:b/>
          <w:bCs/>
          <w:color w:val="auto"/>
          <w:sz w:val="28"/>
          <w:szCs w:val="28"/>
          <w:highlight w:val="none"/>
        </w:rPr>
        <w:t>项目经理无在建工程声明函</w:t>
      </w:r>
      <w:bookmarkEnd w:id="821"/>
      <w:bookmarkEnd w:id="822"/>
    </w:p>
    <w:p>
      <w:pPr>
        <w:pStyle w:val="10"/>
        <w:adjustRightInd w:val="0"/>
        <w:snapToGrid w:val="0"/>
        <w:spacing w:line="480" w:lineRule="auto"/>
        <w:rPr>
          <w:rFonts w:ascii="Calibri" w:hAnsi="Calibri" w:cs="Calibri"/>
          <w:color w:val="auto"/>
          <w:szCs w:val="21"/>
          <w:highlight w:val="none"/>
        </w:rPr>
      </w:pPr>
      <w:r>
        <w:rPr>
          <w:rFonts w:hint="eastAsia" w:cs="Calibri"/>
          <w:color w:val="auto"/>
          <w:szCs w:val="21"/>
          <w:highlight w:val="none"/>
          <w:u w:val="single"/>
        </w:rPr>
        <w:t>浙江理工大学</w:t>
      </w:r>
      <w:r>
        <w:rPr>
          <w:rFonts w:ascii="Calibri" w:hAnsi="Calibri" w:cs="Calibri"/>
          <w:color w:val="auto"/>
          <w:szCs w:val="21"/>
          <w:highlight w:val="none"/>
        </w:rPr>
        <w:t>：</w:t>
      </w:r>
    </w:p>
    <w:p>
      <w:pPr>
        <w:snapToGrid w:val="0"/>
        <w:spacing w:line="480" w:lineRule="auto"/>
        <w:jc w:val="left"/>
        <w:rPr>
          <w:rFonts w:cs="Calibri"/>
          <w:color w:val="auto"/>
          <w:highlight w:val="none"/>
        </w:rPr>
      </w:pPr>
      <w:r>
        <w:rPr>
          <w:rFonts w:cs="Calibri"/>
          <w:color w:val="auto"/>
          <w:highlight w:val="none"/>
          <w:u w:val="single"/>
        </w:rPr>
        <w:t>浙江省成套招标代理有限公司</w:t>
      </w:r>
      <w:r>
        <w:rPr>
          <w:rFonts w:cs="Calibri"/>
          <w:color w:val="auto"/>
          <w:highlight w:val="none"/>
        </w:rPr>
        <w:t>：</w:t>
      </w:r>
    </w:p>
    <w:p>
      <w:pPr>
        <w:keepNext w:val="0"/>
        <w:keepLines w:val="0"/>
        <w:pageBreakBefore w:val="0"/>
        <w:widowControl/>
        <w:kinsoku/>
        <w:wordWrap/>
        <w:overflowPunct/>
        <w:topLinePunct w:val="0"/>
        <w:autoSpaceDE/>
        <w:autoSpaceDN/>
        <w:bidi w:val="0"/>
        <w:adjustRightInd/>
        <w:snapToGrid w:val="0"/>
        <w:spacing w:line="480" w:lineRule="auto"/>
        <w:ind w:left="0" w:leftChars="0" w:firstLine="420" w:firstLineChars="200"/>
        <w:textAlignment w:val="baseline"/>
        <w:rPr>
          <w:rFonts w:cs="Calibri"/>
          <w:color w:val="auto"/>
          <w:szCs w:val="21"/>
          <w:highlight w:val="none"/>
        </w:rPr>
      </w:pPr>
      <w:r>
        <w:rPr>
          <w:rFonts w:cs="Calibri"/>
          <w:color w:val="auto"/>
          <w:szCs w:val="21"/>
          <w:highlight w:val="none"/>
        </w:rPr>
        <w:t>我方参加</w:t>
      </w:r>
      <w:r>
        <w:rPr>
          <w:rFonts w:hint="eastAsia" w:cs="Calibri"/>
          <w:color w:val="auto"/>
          <w:highlight w:val="none"/>
          <w:u w:val="single"/>
        </w:rPr>
        <w:t>浙江理工大学</w:t>
      </w:r>
      <w:r>
        <w:rPr>
          <w:rFonts w:cs="Calibri"/>
          <w:color w:val="auto"/>
          <w:highlight w:val="none"/>
        </w:rPr>
        <w:t>（采购人）</w:t>
      </w:r>
      <w:r>
        <w:rPr>
          <w:rFonts w:hint="eastAsia" w:cs="Calibri"/>
          <w:color w:val="auto"/>
          <w:highlight w:val="none"/>
          <w:u w:val="single"/>
          <w:lang w:eastAsia="zh-CN"/>
        </w:rPr>
        <w:t>浙江理工大学下沙校区教学东区消防管网改造工程</w:t>
      </w:r>
      <w:r>
        <w:rPr>
          <w:rFonts w:cs="Calibri"/>
          <w:color w:val="auto"/>
          <w:highlight w:val="none"/>
        </w:rPr>
        <w:t>（项目名称）</w:t>
      </w:r>
      <w:r>
        <w:rPr>
          <w:rFonts w:hint="eastAsia" w:cs="Calibri"/>
          <w:color w:val="auto"/>
          <w:highlight w:val="none"/>
          <w:u w:val="single"/>
          <w:lang w:eastAsia="zh-CN"/>
        </w:rPr>
        <w:t>CTZB-2024050477</w:t>
      </w:r>
      <w:r>
        <w:rPr>
          <w:rFonts w:cs="Calibri"/>
          <w:color w:val="auto"/>
          <w:highlight w:val="none"/>
        </w:rPr>
        <w:t>（项目编号）</w:t>
      </w:r>
      <w:r>
        <w:rPr>
          <w:rFonts w:hint="eastAsia" w:cs="Calibri"/>
          <w:color w:val="auto"/>
          <w:highlight w:val="none"/>
          <w:u w:val="single"/>
          <w:lang w:eastAsia="zh-CN"/>
        </w:rPr>
        <w:t>浙江理工大学下沙校区教学东区消防管网改造工程</w:t>
      </w:r>
      <w:r>
        <w:rPr>
          <w:rFonts w:cs="Calibri"/>
          <w:color w:val="auto"/>
          <w:highlight w:val="none"/>
        </w:rPr>
        <w:t>（标项名称）</w:t>
      </w:r>
      <w:r>
        <w:rPr>
          <w:rFonts w:cs="Calibri"/>
          <w:color w:val="auto"/>
          <w:szCs w:val="21"/>
          <w:highlight w:val="none"/>
        </w:rPr>
        <w:t>采购活动，拟派项目经理（</w:t>
      </w:r>
      <w:r>
        <w:rPr>
          <w:rFonts w:cs="Calibri"/>
          <w:color w:val="auto"/>
          <w:szCs w:val="21"/>
          <w:highlight w:val="none"/>
          <w:u w:val="single"/>
        </w:rPr>
        <w:t>姓名及身份证号码</w:t>
      </w:r>
      <w:r>
        <w:rPr>
          <w:rFonts w:cs="Calibri"/>
          <w:color w:val="auto"/>
          <w:szCs w:val="21"/>
          <w:highlight w:val="none"/>
        </w:rPr>
        <w:t>）无在建工程。</w:t>
      </w:r>
    </w:p>
    <w:p>
      <w:pPr>
        <w:keepNext w:val="0"/>
        <w:keepLines w:val="0"/>
        <w:pageBreakBefore w:val="0"/>
        <w:widowControl/>
        <w:kinsoku/>
        <w:wordWrap/>
        <w:overflowPunct/>
        <w:topLinePunct w:val="0"/>
        <w:autoSpaceDE/>
        <w:autoSpaceDN/>
        <w:bidi w:val="0"/>
        <w:adjustRightInd/>
        <w:snapToGrid w:val="0"/>
        <w:spacing w:line="480" w:lineRule="auto"/>
        <w:ind w:left="0" w:leftChars="0" w:firstLine="420" w:firstLineChars="200"/>
        <w:textAlignment w:val="baseline"/>
        <w:rPr>
          <w:rFonts w:cs="Calibri"/>
          <w:color w:val="auto"/>
          <w:kern w:val="0"/>
          <w:szCs w:val="21"/>
          <w:highlight w:val="none"/>
        </w:rPr>
      </w:pPr>
      <w:r>
        <w:rPr>
          <w:rFonts w:cs="Calibri"/>
          <w:color w:val="auto"/>
          <w:kern w:val="0"/>
          <w:szCs w:val="21"/>
          <w:highlight w:val="none"/>
        </w:rPr>
        <w:t>本公司对上述声明的真实性负责。如有虚假，愿意承担相应责任，对此无任何异议。</w:t>
      </w:r>
    </w:p>
    <w:p>
      <w:pPr>
        <w:snapToGrid w:val="0"/>
        <w:spacing w:line="480" w:lineRule="auto"/>
        <w:ind w:firstLine="420" w:firstLineChars="200"/>
        <w:rPr>
          <w:rFonts w:cs="Calibri"/>
          <w:color w:val="auto"/>
          <w:szCs w:val="21"/>
          <w:highlight w:val="none"/>
        </w:rPr>
      </w:pPr>
      <w:r>
        <w:rPr>
          <w:rFonts w:cs="Calibri"/>
          <w:color w:val="auto"/>
          <w:szCs w:val="21"/>
          <w:highlight w:val="none"/>
        </w:rPr>
        <w:t>特此声明！</w:t>
      </w:r>
    </w:p>
    <w:p>
      <w:pPr>
        <w:adjustRightInd w:val="0"/>
        <w:snapToGrid w:val="0"/>
        <w:spacing w:line="480" w:lineRule="auto"/>
        <w:ind w:firstLine="420" w:firstLineChars="200"/>
        <w:rPr>
          <w:rFonts w:cs="Calibri"/>
          <w:color w:val="auto"/>
          <w:spacing w:val="20"/>
          <w:szCs w:val="21"/>
          <w:highlight w:val="none"/>
          <w:u w:val="single"/>
        </w:rPr>
      </w:pPr>
      <w:r>
        <w:rPr>
          <w:rFonts w:cs="Calibri"/>
          <w:color w:val="auto"/>
          <w:szCs w:val="21"/>
          <w:highlight w:val="none"/>
        </w:rPr>
        <w:t>供应商全称：（盖单位公章）</w:t>
      </w:r>
    </w:p>
    <w:p>
      <w:pPr>
        <w:pStyle w:val="5"/>
        <w:spacing w:line="480" w:lineRule="auto"/>
        <w:rPr>
          <w:rFonts w:cs="Calibri"/>
          <w:color w:val="auto"/>
          <w:sz w:val="21"/>
          <w:szCs w:val="21"/>
          <w:highlight w:val="none"/>
          <w:lang w:val="en-US"/>
        </w:rPr>
      </w:pPr>
      <w:r>
        <w:rPr>
          <w:rFonts w:ascii="Calibri" w:hAnsi="Calibri" w:cs="Calibri"/>
          <w:color w:val="auto"/>
          <w:sz w:val="21"/>
          <w:szCs w:val="21"/>
          <w:highlight w:val="none"/>
        </w:rPr>
        <w:t>日期</w:t>
      </w:r>
      <w:r>
        <w:rPr>
          <w:rFonts w:ascii="Calibri" w:hAnsi="Calibri" w:cs="Calibri"/>
          <w:color w:val="auto"/>
          <w:sz w:val="21"/>
          <w:szCs w:val="21"/>
          <w:highlight w:val="none"/>
          <w:lang w:val="en-US"/>
        </w:rPr>
        <w:t>：</w:t>
      </w:r>
      <w:r>
        <w:rPr>
          <w:rFonts w:hint="eastAsia" w:ascii="Calibri" w:hAnsi="Calibri" w:cs="Calibri"/>
          <w:color w:val="auto"/>
          <w:sz w:val="21"/>
          <w:szCs w:val="21"/>
          <w:highlight w:val="none"/>
          <w:lang w:val="en-US"/>
        </w:rPr>
        <w:t>2024</w:t>
      </w:r>
      <w:r>
        <w:rPr>
          <w:rFonts w:ascii="Calibri" w:hAnsi="Calibri" w:cs="Calibri"/>
          <w:color w:val="auto"/>
          <w:sz w:val="21"/>
          <w:szCs w:val="21"/>
          <w:highlight w:val="none"/>
        </w:rPr>
        <w:t>年</w:t>
      </w:r>
      <w:r>
        <w:rPr>
          <w:rFonts w:hint="eastAsia" w:ascii="Calibri" w:hAnsi="Calibri" w:cs="Calibri"/>
          <w:color w:val="auto"/>
          <w:sz w:val="21"/>
          <w:szCs w:val="21"/>
          <w:highlight w:val="none"/>
          <w:lang w:val="en-US"/>
        </w:rPr>
        <w:t xml:space="preserve">  </w:t>
      </w:r>
      <w:r>
        <w:rPr>
          <w:rFonts w:ascii="Calibri" w:hAnsi="Calibri" w:cs="Calibri"/>
          <w:color w:val="auto"/>
          <w:sz w:val="21"/>
          <w:szCs w:val="21"/>
          <w:highlight w:val="none"/>
        </w:rPr>
        <w:t>月</w:t>
      </w:r>
      <w:r>
        <w:rPr>
          <w:rFonts w:hint="eastAsia" w:ascii="Calibri" w:hAnsi="Calibri" w:cs="Calibri"/>
          <w:color w:val="auto"/>
          <w:sz w:val="21"/>
          <w:szCs w:val="21"/>
          <w:highlight w:val="none"/>
          <w:lang w:val="en-US"/>
        </w:rPr>
        <w:t xml:space="preserve">   </w:t>
      </w:r>
      <w:r>
        <w:rPr>
          <w:rFonts w:ascii="Calibri" w:hAnsi="Calibri" w:cs="Calibri"/>
          <w:color w:val="auto"/>
          <w:sz w:val="21"/>
          <w:szCs w:val="21"/>
          <w:highlight w:val="none"/>
        </w:rPr>
        <w:t>日</w:t>
      </w:r>
    </w:p>
    <w:p>
      <w:pPr>
        <w:pStyle w:val="20"/>
        <w:spacing w:line="480" w:lineRule="auto"/>
        <w:ind w:firstLine="480"/>
        <w:rPr>
          <w:color w:val="auto"/>
          <w:highlight w:val="none"/>
        </w:rPr>
      </w:pPr>
    </w:p>
    <w:p>
      <w:pPr>
        <w:snapToGrid w:val="0"/>
        <w:spacing w:line="360" w:lineRule="auto"/>
        <w:jc w:val="center"/>
        <w:rPr>
          <w:rStyle w:val="41"/>
          <w:rFonts w:ascii="Arial" w:hAnsi="Arial" w:cs="Arial"/>
          <w:b/>
          <w:bCs/>
          <w:color w:val="auto"/>
          <w:szCs w:val="32"/>
          <w:highlight w:val="none"/>
        </w:rPr>
      </w:pPr>
    </w:p>
    <w:p>
      <w:pPr>
        <w:snapToGrid w:val="0"/>
        <w:spacing w:line="360" w:lineRule="auto"/>
        <w:jc w:val="center"/>
        <w:rPr>
          <w:rStyle w:val="41"/>
          <w:rFonts w:ascii="Arial" w:hAnsi="Arial" w:cs="Arial"/>
          <w:b/>
          <w:bCs/>
          <w:color w:val="auto"/>
          <w:szCs w:val="32"/>
          <w:highlight w:val="none"/>
        </w:rPr>
      </w:pPr>
    </w:p>
    <w:p>
      <w:pPr>
        <w:snapToGrid w:val="0"/>
        <w:spacing w:line="360" w:lineRule="auto"/>
        <w:jc w:val="center"/>
        <w:rPr>
          <w:rStyle w:val="41"/>
          <w:rFonts w:ascii="Arial" w:hAnsi="Arial" w:cs="Arial"/>
          <w:b/>
          <w:bCs/>
          <w:color w:val="auto"/>
          <w:szCs w:val="32"/>
          <w:highlight w:val="none"/>
        </w:rPr>
      </w:pPr>
    </w:p>
    <w:p>
      <w:pPr>
        <w:rPr>
          <w:rStyle w:val="41"/>
          <w:rFonts w:ascii="宋体" w:hAnsi="宋体" w:cs="Arial"/>
          <w:b/>
          <w:bCs/>
          <w:color w:val="auto"/>
          <w:szCs w:val="32"/>
          <w:highlight w:val="none"/>
        </w:rPr>
      </w:pPr>
      <w:r>
        <w:rPr>
          <w:rStyle w:val="41"/>
          <w:rFonts w:ascii="宋体" w:hAnsi="宋体" w:cs="Arial"/>
          <w:b/>
          <w:bCs/>
          <w:color w:val="auto"/>
          <w:szCs w:val="32"/>
          <w:highlight w:val="none"/>
        </w:rPr>
        <w:br w:type="page"/>
      </w:r>
    </w:p>
    <w:p>
      <w:pPr>
        <w:snapToGrid w:val="0"/>
        <w:spacing w:line="360" w:lineRule="auto"/>
        <w:jc w:val="center"/>
        <w:rPr>
          <w:rStyle w:val="41"/>
          <w:rFonts w:ascii="宋体" w:hAnsi="宋体" w:cs="Arial"/>
          <w:b/>
          <w:bCs/>
          <w:color w:val="auto"/>
          <w:szCs w:val="32"/>
          <w:highlight w:val="none"/>
        </w:rPr>
      </w:pPr>
      <w:r>
        <w:rPr>
          <w:rStyle w:val="41"/>
          <w:rFonts w:ascii="宋体" w:hAnsi="宋体" w:cs="Arial"/>
          <w:b/>
          <w:bCs/>
          <w:color w:val="auto"/>
          <w:szCs w:val="32"/>
          <w:highlight w:val="none"/>
        </w:rPr>
        <w:t>主要材料表</w:t>
      </w:r>
    </w:p>
    <w:tbl>
      <w:tblPr>
        <w:tblStyle w:val="21"/>
        <w:tblW w:w="79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3118"/>
        <w:gridCol w:w="35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1" w:hRule="exact"/>
          <w:tblHeader/>
          <w:jc w:val="center"/>
        </w:trPr>
        <w:tc>
          <w:tcPr>
            <w:tcW w:w="1231" w:type="dxa"/>
            <w:tcBorders>
              <w:top w:val="single" w:color="000000" w:sz="12"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ascii="宋体" w:hAnsi="宋体"/>
                <w:color w:val="auto"/>
                <w:sz w:val="18"/>
                <w:szCs w:val="18"/>
                <w:highlight w:val="none"/>
              </w:rPr>
              <w:t>序号</w:t>
            </w:r>
          </w:p>
        </w:tc>
        <w:tc>
          <w:tcPr>
            <w:tcW w:w="3118" w:type="dxa"/>
            <w:tcBorders>
              <w:top w:val="single" w:color="000000" w:sz="12" w:space="0"/>
              <w:left w:val="single" w:color="000000" w:sz="6"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ascii="宋体" w:hAnsi="宋体"/>
                <w:color w:val="auto"/>
                <w:sz w:val="18"/>
                <w:szCs w:val="18"/>
                <w:highlight w:val="none"/>
              </w:rPr>
              <w:t>材料名称</w:t>
            </w:r>
          </w:p>
        </w:tc>
        <w:tc>
          <w:tcPr>
            <w:tcW w:w="3589" w:type="dxa"/>
            <w:tcBorders>
              <w:top w:val="single" w:color="000000" w:sz="12" w:space="0"/>
              <w:left w:val="single" w:color="000000" w:sz="4" w:space="0"/>
              <w:bottom w:val="single" w:color="000000" w:sz="6" w:space="0"/>
              <w:right w:val="single" w:color="000000" w:sz="12" w:space="0"/>
            </w:tcBorders>
            <w:vAlign w:val="center"/>
          </w:tcPr>
          <w:p>
            <w:pPr>
              <w:snapToGrid w:val="0"/>
              <w:jc w:val="center"/>
              <w:rPr>
                <w:rStyle w:val="41"/>
                <w:rFonts w:ascii="宋体" w:hAnsi="宋体"/>
                <w:color w:val="auto"/>
                <w:sz w:val="18"/>
                <w:szCs w:val="18"/>
                <w:highlight w:val="none"/>
              </w:rPr>
            </w:pPr>
            <w:r>
              <w:rPr>
                <w:rStyle w:val="41"/>
                <w:rFonts w:ascii="宋体" w:hAnsi="宋体"/>
                <w:color w:val="auto"/>
                <w:sz w:val="18"/>
                <w:szCs w:val="18"/>
                <w:highlight w:val="none"/>
              </w:rPr>
              <w:t>品牌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1</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2</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3</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4</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5</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6</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7</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8</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9</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10</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11</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12</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13</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jc w:val="center"/>
              <w:rPr>
                <w:rStyle w:val="41"/>
                <w:rFonts w:ascii="宋体" w:hAnsi="宋体"/>
                <w:color w:val="auto"/>
                <w:sz w:val="18"/>
                <w:szCs w:val="18"/>
                <w:highlight w:val="none"/>
              </w:rPr>
            </w:pPr>
            <w:r>
              <w:rPr>
                <w:rStyle w:val="41"/>
                <w:rFonts w:hint="eastAsia" w:ascii="宋体" w:hAnsi="宋体"/>
                <w:color w:val="auto"/>
                <w:sz w:val="18"/>
                <w:szCs w:val="18"/>
                <w:highlight w:val="none"/>
              </w:rPr>
              <w:t>14</w:t>
            </w:r>
          </w:p>
        </w:tc>
        <w:tc>
          <w:tcPr>
            <w:tcW w:w="3118" w:type="dxa"/>
            <w:tcBorders>
              <w:top w:val="single" w:color="000000" w:sz="6" w:space="0"/>
              <w:left w:val="single" w:color="000000" w:sz="6" w:space="0"/>
              <w:bottom w:val="single" w:color="000000" w:sz="6" w:space="0"/>
              <w:right w:val="single" w:color="000000" w:sz="6" w:space="0"/>
            </w:tcBorders>
          </w:tcPr>
          <w:p>
            <w:pPr>
              <w:snapToGrid w:val="0"/>
              <w:jc w:val="center"/>
              <w:rPr>
                <w:rStyle w:val="41"/>
                <w:rFonts w:ascii="宋体" w:hAnsi="宋体"/>
                <w:color w:val="auto"/>
                <w:sz w:val="18"/>
                <w:szCs w:val="18"/>
                <w:highlight w:val="none"/>
              </w:rPr>
            </w:pPr>
          </w:p>
        </w:tc>
        <w:tc>
          <w:tcPr>
            <w:tcW w:w="3589" w:type="dxa"/>
            <w:tcBorders>
              <w:top w:val="single" w:color="000000" w:sz="6" w:space="0"/>
              <w:left w:val="single" w:color="000000" w:sz="4" w:space="0"/>
              <w:bottom w:val="single" w:color="000000" w:sz="6" w:space="0"/>
              <w:right w:val="single" w:color="000000" w:sz="12" w:space="0"/>
            </w:tcBorders>
          </w:tcPr>
          <w:p>
            <w:pPr>
              <w:snapToGrid w:val="0"/>
              <w:jc w:val="center"/>
              <w:rPr>
                <w:rStyle w:val="41"/>
                <w:rFonts w:ascii="宋体" w:hAnsi="宋体"/>
                <w:color w:val="auto"/>
                <w:sz w:val="18"/>
                <w:szCs w:val="18"/>
                <w:highlight w:val="none"/>
              </w:rPr>
            </w:pPr>
          </w:p>
        </w:tc>
      </w:tr>
    </w:tbl>
    <w:p>
      <w:pPr>
        <w:adjustRightInd w:val="0"/>
        <w:spacing w:line="360" w:lineRule="auto"/>
        <w:ind w:firstLine="211" w:firstLineChars="100"/>
        <w:rPr>
          <w:rStyle w:val="41"/>
          <w:color w:val="auto"/>
          <w:highlight w:val="none"/>
        </w:rPr>
      </w:pPr>
      <w:r>
        <w:rPr>
          <w:rFonts w:hint="eastAsia" w:ascii="宋体" w:hAnsi="宋体" w:cs="Arial"/>
          <w:b/>
          <w:color w:val="auto"/>
          <w:highlight w:val="none"/>
        </w:rPr>
        <w:t>供应商在招标工程量清单编制说明中任选一品牌填入此表，如选用其他品牌，请提供相关证明材料。</w:t>
      </w:r>
    </w:p>
    <w:p>
      <w:pPr>
        <w:snapToGrid w:val="0"/>
        <w:rPr>
          <w:rStyle w:val="41"/>
          <w:color w:val="auto"/>
          <w:highlight w:val="none"/>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720" w:footer="720" w:gutter="0"/>
      <w:cols w:space="425" w:num="1"/>
      <w:titlePg/>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EU-F1">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System">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Romantic">
    <w:altName w:val="Segoe Print"/>
    <w:panose1 w:val="00000400000000000000"/>
    <w:charset w:val="02"/>
    <w:family w:val="auto"/>
    <w:pitch w:val="default"/>
    <w:sig w:usb0="00000000" w:usb1="00000000" w:usb2="00000000" w:usb3="00000000" w:csb0="00000000" w:csb1="00000000"/>
  </w:font>
  <w:font w:name="微软大黑体">
    <w:altName w:val="宋体"/>
    <w:panose1 w:val="00000000000000000000"/>
    <w:charset w:val="86"/>
    <w:family w:val="modern"/>
    <w:pitch w:val="default"/>
    <w:sig w:usb0="00000000" w:usb1="00000000" w:usb2="00000010" w:usb3="00000000" w:csb0="00040000" w:csb1="00000000"/>
  </w:font>
  <w:font w:name="Optima">
    <w:altName w:val="Segoe Print"/>
    <w:panose1 w:val="00000000000000000000"/>
    <w:charset w:val="00"/>
    <w:family w:val="swiss"/>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61</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cR+45AgAAb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jpYV++r&#10;7gGm0LKw1Y+WxzRRKm9XhwBpk+JRoE4VdCoeMIepZ/3OxEH/85yinv4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0cR+45AgAAbwQAAA4AAAAAAAAAAQAgAAAAHwEAAGRycy9lMm9Eb2Mu&#10;eG1sUEsFBgAAAAAGAAYAWQEAAMoFAAAAAA==&#10;">
              <v:fill on="f" focussize="0,0"/>
              <v:stroke on="f" weight="0.5pt"/>
              <v:imagedata o:title=""/>
              <o:lock v:ext="edit" aspectratio="f"/>
              <v:textbox inset="0mm,0mm,0mm,0mm" style="mso-fit-shape-to-text:t;">
                <w:txbxContent>
                  <w:p>
                    <w:pPr>
                      <w:pStyle w:val="13"/>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61</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3175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72085" cy="317500"/>
                      </a:xfrm>
                      <a:prstGeom prst="rect">
                        <a:avLst/>
                      </a:prstGeom>
                      <a:noFill/>
                      <a:ln>
                        <a:noFill/>
                      </a:ln>
                      <a:effectLst/>
                    </wps:spPr>
                    <wps:txbx>
                      <w:txbxContent>
                        <w:p>
                          <w:pPr>
                            <w:pStyle w:val="13"/>
                            <w:rPr>
                              <w:rStyle w:val="25"/>
                            </w:rPr>
                          </w:pPr>
                          <w:r>
                            <w:fldChar w:fldCharType="begin"/>
                          </w:r>
                          <w:r>
                            <w:rPr>
                              <w:rStyle w:val="25"/>
                            </w:rPr>
                            <w:instrText xml:space="preserve">PAGE  </w:instrText>
                          </w:r>
                          <w:r>
                            <w:fldChar w:fldCharType="separate"/>
                          </w:r>
                          <w:r>
                            <w:rPr>
                              <w:rStyle w:val="25"/>
                            </w:rPr>
                            <w:t>85</w:t>
                          </w:r>
                          <w:r>
                            <w:fldChar w:fldCharType="end"/>
                          </w:r>
                        </w:p>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5pt;width:13.55pt;mso-position-horizontal:center;mso-position-horizontal-relative:margin;mso-wrap-style:none;z-index:251659264;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&#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eYCcbRAAAAAwEAAA8AAAAAAAAAAQAgAAAAIgAAAGRy&#10;cy9kb3ducmV2LnhtbFBLAQIUABQAAAAIAIdO4kBEgCAI0wEAAKUDAAAOAAAAAAAAAAEAIAAAACAB&#10;AABkcnMvZTJvRG9jLnhtbFBLBQYAAAAABgAGAFkBAABlBQAAAAA=&#10;">
              <v:fill on="f" focussize="0,0"/>
              <v:stroke on="f"/>
              <v:imagedata o:title=""/>
              <o:lock v:ext="edit" aspectratio="f"/>
              <v:textbox inset="0mm,0mm,0mm,0mm" style="mso-fit-shape-to-text:t;">
                <w:txbxContent>
                  <w:p>
                    <w:pPr>
                      <w:pStyle w:val="13"/>
                      <w:rPr>
                        <w:rStyle w:val="25"/>
                      </w:rPr>
                    </w:pPr>
                    <w:r>
                      <w:fldChar w:fldCharType="begin"/>
                    </w:r>
                    <w:r>
                      <w:rPr>
                        <w:rStyle w:val="25"/>
                      </w:rPr>
                      <w:instrText xml:space="preserve">PAGE  </w:instrText>
                    </w:r>
                    <w:r>
                      <w:fldChar w:fldCharType="separate"/>
                    </w:r>
                    <w:r>
                      <w:rPr>
                        <w:rStyle w:val="25"/>
                      </w:rPr>
                      <w:t>85</w:t>
                    </w:r>
                    <w: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3"/>
      <w:rPr>
        <w:rStyle w:val="25"/>
      </w:rPr>
    </w:pPr>
    <w:r>
      <w:fldChar w:fldCharType="begin"/>
    </w:r>
    <w:r>
      <w:rPr>
        <w:rStyle w:val="25"/>
      </w:rPr>
      <w:instrText xml:space="preserve">PAGE  </w:instrText>
    </w:r>
    <w:r>
      <w:fldChar w:fldCharType="separate"/>
    </w:r>
    <w:r>
      <w:rPr>
        <w:rStyle w:val="25"/>
      </w:rPr>
      <w:t>28</w: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4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4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4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vqmU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uL6pl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4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4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4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429"/>
      <w:lvlText w:val="（%1）"/>
      <w:lvlJc w:val="left"/>
      <w:pPr>
        <w:tabs>
          <w:tab w:val="left" w:pos="980"/>
        </w:tabs>
        <w:ind w:left="980" w:hanging="4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pStyle w:val="445"/>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1">
    <w:nsid w:val="0000001F"/>
    <w:multiLevelType w:val="multilevel"/>
    <w:tmpl w:val="0000001F"/>
    <w:lvl w:ilvl="0" w:tentative="0">
      <w:start w:val="1"/>
      <w:numFmt w:val="decimal"/>
      <w:pStyle w:val="530"/>
      <w:lvlText w:val="%1） "/>
      <w:lvlJc w:val="left"/>
      <w:pPr>
        <w:tabs>
          <w:tab w:val="left" w:pos="454"/>
        </w:tabs>
        <w:ind w:left="0" w:firstLine="4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2">
    <w:nsid w:val="23C33366"/>
    <w:multiLevelType w:val="multilevel"/>
    <w:tmpl w:val="23C33366"/>
    <w:lvl w:ilvl="0" w:tentative="0">
      <w:start w:val="4"/>
      <w:numFmt w:val="decimal"/>
      <w:pStyle w:val="403"/>
      <w:lvlText w:val="%1）"/>
      <w:lvlJc w:val="left"/>
      <w:pPr>
        <w:ind w:left="1050" w:hanging="720"/>
        <w:textAlignment w:val="baseline"/>
      </w:pPr>
    </w:lvl>
    <w:lvl w:ilvl="1" w:tentative="0">
      <w:start w:val="1"/>
      <w:numFmt w:val="lowerLetter"/>
      <w:lvlText w:val="%1)"/>
      <w:lvlJc w:val="left"/>
      <w:pPr>
        <w:ind w:left="1170" w:hanging="420"/>
        <w:textAlignment w:val="baseline"/>
      </w:pPr>
    </w:lvl>
    <w:lvl w:ilvl="2" w:tentative="0">
      <w:start w:val="1"/>
      <w:numFmt w:val="lowerRoman"/>
      <w:lvlText w:val="%1."/>
      <w:lvlJc w:val="right"/>
      <w:pPr>
        <w:ind w:left="1590" w:hanging="420"/>
        <w:textAlignment w:val="baseline"/>
      </w:pPr>
    </w:lvl>
    <w:lvl w:ilvl="3" w:tentative="0">
      <w:start w:val="1"/>
      <w:numFmt w:val="decimal"/>
      <w:lvlText w:val="%1."/>
      <w:lvlJc w:val="left"/>
      <w:pPr>
        <w:ind w:left="2010" w:hanging="420"/>
        <w:textAlignment w:val="baseline"/>
      </w:pPr>
    </w:lvl>
    <w:lvl w:ilvl="4" w:tentative="0">
      <w:start w:val="1"/>
      <w:numFmt w:val="lowerLetter"/>
      <w:lvlText w:val="%1)"/>
      <w:lvlJc w:val="left"/>
      <w:pPr>
        <w:ind w:left="2430" w:hanging="420"/>
        <w:textAlignment w:val="baseline"/>
      </w:pPr>
    </w:lvl>
    <w:lvl w:ilvl="5" w:tentative="0">
      <w:start w:val="1"/>
      <w:numFmt w:val="lowerRoman"/>
      <w:lvlText w:val="%1."/>
      <w:lvlJc w:val="right"/>
      <w:pPr>
        <w:ind w:left="2850" w:hanging="420"/>
        <w:textAlignment w:val="baseline"/>
      </w:pPr>
    </w:lvl>
    <w:lvl w:ilvl="6" w:tentative="0">
      <w:start w:val="1"/>
      <w:numFmt w:val="decimal"/>
      <w:lvlText w:val="%1."/>
      <w:lvlJc w:val="left"/>
      <w:pPr>
        <w:ind w:left="3270" w:hanging="420"/>
        <w:textAlignment w:val="baseline"/>
      </w:pPr>
    </w:lvl>
    <w:lvl w:ilvl="7" w:tentative="0">
      <w:start w:val="1"/>
      <w:numFmt w:val="lowerLetter"/>
      <w:lvlText w:val="%1)"/>
      <w:lvlJc w:val="left"/>
      <w:pPr>
        <w:ind w:left="3690" w:hanging="420"/>
        <w:textAlignment w:val="baseline"/>
      </w:pPr>
    </w:lvl>
    <w:lvl w:ilvl="8" w:tentative="0">
      <w:start w:val="1"/>
      <w:numFmt w:val="lowerRoman"/>
      <w:lvlText w:val="%1."/>
      <w:lvlJc w:val="right"/>
      <w:pPr>
        <w:ind w:left="4110" w:hanging="420"/>
        <w:textAlignment w:val="baseline"/>
      </w:pPr>
    </w:lvl>
  </w:abstractNum>
  <w:abstractNum w:abstractNumId="3">
    <w:nsid w:val="3CFB3441"/>
    <w:multiLevelType w:val="multilevel"/>
    <w:tmpl w:val="3CFB3441"/>
    <w:lvl w:ilvl="0" w:tentative="0">
      <w:start w:val="1"/>
      <w:numFmt w:val="decimal"/>
      <w:pStyle w:val="432"/>
      <w:lvlText w:val="%1）"/>
      <w:lvlJc w:val="left"/>
      <w:pPr>
        <w:tabs>
          <w:tab w:val="left" w:pos="454"/>
        </w:tabs>
        <w:ind w:left="0" w:firstLine="400"/>
        <w:textAlignment w:val="baseline"/>
      </w:pPr>
      <w:rPr>
        <w:rFonts w:ascii="宋体" w:hAnsi="宋体" w:eastAsia="宋体"/>
        <w:b w:val="0"/>
        <w:i w:val="0"/>
        <w:sz w:val="21"/>
      </w:r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4">
    <w:nsid w:val="5BBA2EDF"/>
    <w:multiLevelType w:val="multilevel"/>
    <w:tmpl w:val="5BBA2EDF"/>
    <w:lvl w:ilvl="0" w:tentative="0">
      <w:start w:val="1"/>
      <w:numFmt w:val="decimal"/>
      <w:lvlText w:val="%1、"/>
      <w:lvlJc w:val="left"/>
      <w:pPr>
        <w:ind w:left="833" w:hanging="360"/>
        <w:textAlignment w:val="baseline"/>
      </w:pPr>
    </w:lvl>
    <w:lvl w:ilvl="1" w:tentative="0">
      <w:start w:val="1"/>
      <w:numFmt w:val="lowerLetter"/>
      <w:lvlText w:val="%1)"/>
      <w:lvlJc w:val="left"/>
      <w:pPr>
        <w:ind w:left="1313" w:hanging="420"/>
        <w:textAlignment w:val="baseline"/>
      </w:pPr>
    </w:lvl>
    <w:lvl w:ilvl="2" w:tentative="0">
      <w:start w:val="1"/>
      <w:numFmt w:val="lowerRoman"/>
      <w:lvlText w:val="%1."/>
      <w:lvlJc w:val="right"/>
      <w:pPr>
        <w:ind w:left="1733" w:hanging="420"/>
        <w:textAlignment w:val="baseline"/>
      </w:pPr>
    </w:lvl>
    <w:lvl w:ilvl="3" w:tentative="0">
      <w:start w:val="1"/>
      <w:numFmt w:val="decimal"/>
      <w:lvlText w:val="%1."/>
      <w:lvlJc w:val="left"/>
      <w:pPr>
        <w:ind w:left="2153" w:hanging="420"/>
        <w:textAlignment w:val="baseline"/>
      </w:pPr>
    </w:lvl>
    <w:lvl w:ilvl="4" w:tentative="0">
      <w:start w:val="1"/>
      <w:numFmt w:val="lowerLetter"/>
      <w:lvlText w:val="%1)"/>
      <w:lvlJc w:val="left"/>
      <w:pPr>
        <w:ind w:left="2573" w:hanging="420"/>
        <w:textAlignment w:val="baseline"/>
      </w:pPr>
    </w:lvl>
    <w:lvl w:ilvl="5" w:tentative="0">
      <w:start w:val="1"/>
      <w:numFmt w:val="lowerRoman"/>
      <w:lvlText w:val="%1."/>
      <w:lvlJc w:val="right"/>
      <w:pPr>
        <w:ind w:left="2993" w:hanging="420"/>
        <w:textAlignment w:val="baseline"/>
      </w:pPr>
    </w:lvl>
    <w:lvl w:ilvl="6" w:tentative="0">
      <w:start w:val="1"/>
      <w:numFmt w:val="decimal"/>
      <w:lvlText w:val="%1."/>
      <w:lvlJc w:val="left"/>
      <w:pPr>
        <w:ind w:left="3413" w:hanging="420"/>
        <w:textAlignment w:val="baseline"/>
      </w:pPr>
    </w:lvl>
    <w:lvl w:ilvl="7" w:tentative="0">
      <w:start w:val="1"/>
      <w:numFmt w:val="lowerLetter"/>
      <w:lvlText w:val="%1)"/>
      <w:lvlJc w:val="left"/>
      <w:pPr>
        <w:ind w:left="3833" w:hanging="420"/>
        <w:textAlignment w:val="baseline"/>
      </w:pPr>
    </w:lvl>
    <w:lvl w:ilvl="8" w:tentative="0">
      <w:start w:val="1"/>
      <w:numFmt w:val="lowerRoman"/>
      <w:lvlText w:val="%1."/>
      <w:lvlJc w:val="right"/>
      <w:pPr>
        <w:ind w:left="4253" w:hanging="420"/>
        <w:textAlignment w:val="baseline"/>
      </w:pPr>
    </w:lvl>
  </w:abstractNum>
  <w:abstractNum w:abstractNumId="5">
    <w:nsid w:val="5DA55CB0"/>
    <w:multiLevelType w:val="multilevel"/>
    <w:tmpl w:val="5DA55CB0"/>
    <w:lvl w:ilvl="0" w:tentative="0">
      <w:start w:val="1"/>
      <w:numFmt w:val="japaneseCounting"/>
      <w:pStyle w:val="553"/>
      <w:lvlText w:val="%1、"/>
      <w:lvlJc w:val="left"/>
      <w:pPr>
        <w:ind w:left="863" w:hanging="450"/>
        <w:textAlignment w:val="baseline"/>
      </w:pPr>
      <w:rPr>
        <w:b/>
      </w:rPr>
    </w:lvl>
    <w:lvl w:ilvl="1" w:tentative="0">
      <w:start w:val="1"/>
      <w:numFmt w:val="lowerLetter"/>
      <w:lvlText w:val="%1)"/>
      <w:lvlJc w:val="left"/>
      <w:pPr>
        <w:ind w:left="1253" w:hanging="420"/>
        <w:textAlignment w:val="baseline"/>
      </w:pPr>
    </w:lvl>
    <w:lvl w:ilvl="2" w:tentative="0">
      <w:start w:val="1"/>
      <w:numFmt w:val="lowerRoman"/>
      <w:lvlText w:val="%1."/>
      <w:lvlJc w:val="right"/>
      <w:pPr>
        <w:ind w:left="1673" w:hanging="420"/>
        <w:textAlignment w:val="baseline"/>
      </w:pPr>
    </w:lvl>
    <w:lvl w:ilvl="3" w:tentative="0">
      <w:start w:val="1"/>
      <w:numFmt w:val="decimal"/>
      <w:lvlText w:val="%1."/>
      <w:lvlJc w:val="left"/>
      <w:pPr>
        <w:ind w:left="2093" w:hanging="420"/>
        <w:textAlignment w:val="baseline"/>
      </w:pPr>
    </w:lvl>
    <w:lvl w:ilvl="4" w:tentative="0">
      <w:start w:val="1"/>
      <w:numFmt w:val="lowerLetter"/>
      <w:lvlText w:val="%1)"/>
      <w:lvlJc w:val="left"/>
      <w:pPr>
        <w:ind w:left="2513" w:hanging="420"/>
        <w:textAlignment w:val="baseline"/>
      </w:pPr>
    </w:lvl>
    <w:lvl w:ilvl="5" w:tentative="0">
      <w:start w:val="1"/>
      <w:numFmt w:val="lowerRoman"/>
      <w:lvlText w:val="%1."/>
      <w:lvlJc w:val="right"/>
      <w:pPr>
        <w:ind w:left="2933" w:hanging="420"/>
        <w:textAlignment w:val="baseline"/>
      </w:pPr>
    </w:lvl>
    <w:lvl w:ilvl="6" w:tentative="0">
      <w:start w:val="1"/>
      <w:numFmt w:val="decimal"/>
      <w:lvlText w:val="%1."/>
      <w:lvlJc w:val="left"/>
      <w:pPr>
        <w:ind w:left="3353" w:hanging="420"/>
        <w:textAlignment w:val="baseline"/>
      </w:pPr>
    </w:lvl>
    <w:lvl w:ilvl="7" w:tentative="0">
      <w:start w:val="1"/>
      <w:numFmt w:val="lowerLetter"/>
      <w:lvlText w:val="%1)"/>
      <w:lvlJc w:val="left"/>
      <w:pPr>
        <w:ind w:left="3773" w:hanging="420"/>
        <w:textAlignment w:val="baseline"/>
      </w:pPr>
    </w:lvl>
    <w:lvl w:ilvl="8" w:tentative="0">
      <w:start w:val="1"/>
      <w:numFmt w:val="lowerRoman"/>
      <w:lvlText w:val="%1."/>
      <w:lvlJc w:val="right"/>
      <w:pPr>
        <w:ind w:left="4193" w:hanging="420"/>
        <w:textAlignment w:val="baseline"/>
      </w:pPr>
    </w:lvl>
  </w:abstractNum>
  <w:abstractNum w:abstractNumId="6">
    <w:nsid w:val="64457E41"/>
    <w:multiLevelType w:val="singleLevel"/>
    <w:tmpl w:val="64457E41"/>
    <w:lvl w:ilvl="0" w:tentative="0">
      <w:start w:val="4"/>
      <w:numFmt w:val="chineseCounting"/>
      <w:suff w:val="space"/>
      <w:lvlText w:val="第%1章"/>
      <w:lvlJc w:val="left"/>
      <w:pPr>
        <w:textAlignment w:val="baseline"/>
      </w:pPr>
    </w:lvl>
  </w:abstractNum>
  <w:abstractNum w:abstractNumId="7">
    <w:nsid w:val="766F41EB"/>
    <w:multiLevelType w:val="multilevel"/>
    <w:tmpl w:val="766F41EB"/>
    <w:lvl w:ilvl="0" w:tentative="0">
      <w:start w:val="3"/>
      <w:numFmt w:val="decimal"/>
      <w:lvlText w:val="%1"/>
      <w:lvlJc w:val="left"/>
      <w:pPr>
        <w:tabs>
          <w:tab w:val="left" w:pos="720"/>
        </w:tabs>
        <w:ind w:left="720" w:hanging="720"/>
        <w:textAlignment w:val="baseline"/>
      </w:pPr>
      <w:rPr>
        <w:rFonts w:ascii="Times New Roman" w:hAnsi="Times New Roman" w:eastAsia="黑体"/>
        <w:b/>
        <w:color w:val="000000"/>
      </w:rPr>
    </w:lvl>
    <w:lvl w:ilvl="1" w:tentative="0">
      <w:start w:val="3"/>
      <w:numFmt w:val="decimal"/>
      <w:lvlText w:val="%1.%2"/>
      <w:lvlJc w:val="left"/>
      <w:pPr>
        <w:tabs>
          <w:tab w:val="left" w:pos="720"/>
        </w:tabs>
        <w:ind w:left="720" w:hanging="720"/>
        <w:textAlignment w:val="baseline"/>
      </w:pPr>
      <w:rPr>
        <w:rFonts w:ascii="Times New Roman" w:hAnsi="Times New Roman" w:eastAsia="黑体"/>
        <w:b/>
        <w:color w:val="000000"/>
      </w:rPr>
    </w:lvl>
    <w:lvl w:ilvl="2" w:tentative="0">
      <w:start w:val="5"/>
      <w:numFmt w:val="decimal"/>
      <w:lvlText w:val="%1.%2.%3"/>
      <w:lvlJc w:val="left"/>
      <w:pPr>
        <w:tabs>
          <w:tab w:val="left" w:pos="720"/>
        </w:tabs>
        <w:ind w:left="720" w:hanging="720"/>
        <w:textAlignment w:val="baseline"/>
      </w:pPr>
      <w:rPr>
        <w:rFonts w:ascii="Times New Roman" w:hAnsi="Times New Roman" w:eastAsia="黑体"/>
        <w:b/>
        <w:color w:val="000000"/>
      </w:rPr>
    </w:lvl>
    <w:lvl w:ilvl="3" w:tentative="0">
      <w:start w:val="1"/>
      <w:numFmt w:val="decimal"/>
      <w:lvlText w:val="%1.%2.%3.%4"/>
      <w:lvlJc w:val="left"/>
      <w:pPr>
        <w:tabs>
          <w:tab w:val="left" w:pos="1080"/>
        </w:tabs>
        <w:ind w:left="1080" w:hanging="1080"/>
        <w:textAlignment w:val="baseline"/>
      </w:pPr>
      <w:rPr>
        <w:rFonts w:ascii="Times New Roman" w:hAnsi="Times New Roman" w:eastAsia="黑体"/>
        <w:b/>
        <w:color w:val="000000"/>
      </w:rPr>
    </w:lvl>
    <w:lvl w:ilvl="4" w:tentative="0">
      <w:start w:val="1"/>
      <w:numFmt w:val="decimal"/>
      <w:lvlText w:val="%1.%2.%3.%4.%5"/>
      <w:lvlJc w:val="left"/>
      <w:pPr>
        <w:tabs>
          <w:tab w:val="left" w:pos="1080"/>
        </w:tabs>
        <w:ind w:left="1080" w:hanging="1080"/>
        <w:textAlignment w:val="baseline"/>
      </w:pPr>
      <w:rPr>
        <w:rFonts w:ascii="Times New Roman" w:hAnsi="Times New Roman" w:eastAsia="黑体"/>
        <w:b/>
        <w:color w:val="000000"/>
      </w:rPr>
    </w:lvl>
    <w:lvl w:ilvl="5" w:tentative="0">
      <w:start w:val="1"/>
      <w:numFmt w:val="decimal"/>
      <w:lvlText w:val="%1.%2.%3.%4.%5.%6"/>
      <w:lvlJc w:val="left"/>
      <w:pPr>
        <w:tabs>
          <w:tab w:val="left" w:pos="1440"/>
        </w:tabs>
        <w:ind w:left="1440" w:hanging="1440"/>
        <w:textAlignment w:val="baseline"/>
      </w:pPr>
      <w:rPr>
        <w:rFonts w:ascii="Times New Roman" w:hAnsi="Times New Roman" w:eastAsia="黑体"/>
        <w:b/>
        <w:color w:val="000000"/>
      </w:rPr>
    </w:lvl>
    <w:lvl w:ilvl="6" w:tentative="0">
      <w:start w:val="1"/>
      <w:numFmt w:val="decimal"/>
      <w:lvlText w:val="%1.%2.%3.%4.%5.%6.%7"/>
      <w:lvlJc w:val="left"/>
      <w:pPr>
        <w:tabs>
          <w:tab w:val="left" w:pos="1800"/>
        </w:tabs>
        <w:ind w:left="1800" w:hanging="1800"/>
        <w:textAlignment w:val="baseline"/>
      </w:pPr>
      <w:rPr>
        <w:rFonts w:ascii="Times New Roman" w:hAnsi="Times New Roman" w:eastAsia="黑体"/>
        <w:b/>
        <w:color w:val="000000"/>
      </w:rPr>
    </w:lvl>
    <w:lvl w:ilvl="7" w:tentative="0">
      <w:start w:val="1"/>
      <w:numFmt w:val="decimal"/>
      <w:lvlText w:val="%1.%2.%3.%4.%5.%6.%7.%8"/>
      <w:lvlJc w:val="left"/>
      <w:pPr>
        <w:tabs>
          <w:tab w:val="left" w:pos="1800"/>
        </w:tabs>
        <w:ind w:left="1800" w:hanging="1800"/>
        <w:textAlignment w:val="baseline"/>
      </w:pPr>
      <w:rPr>
        <w:rFonts w:ascii="Times New Roman" w:hAnsi="Times New Roman" w:eastAsia="黑体"/>
        <w:b/>
        <w:color w:val="000000"/>
      </w:rPr>
    </w:lvl>
    <w:lvl w:ilvl="8" w:tentative="0">
      <w:start w:val="1"/>
      <w:numFmt w:val="decimal"/>
      <w:lvlText w:val="%1.%2.%3.%4.%5.%6.%7.%8.%9"/>
      <w:lvlJc w:val="left"/>
      <w:pPr>
        <w:tabs>
          <w:tab w:val="left" w:pos="2160"/>
        </w:tabs>
        <w:ind w:left="2160" w:hanging="2160"/>
        <w:textAlignment w:val="baseline"/>
      </w:pPr>
      <w:rPr>
        <w:rFonts w:ascii="Times New Roman" w:hAnsi="Times New Roman" w:eastAsia="黑体"/>
        <w:b/>
        <w:color w:val="000000"/>
      </w:r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3"/>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M2M4ZmUwNmYzZjc2NjA3YzYxNDk2NTExM2E0OTYifQ=="/>
    <w:docVar w:name="KSO_WPS_MARK_KEY" w:val="73b3d2f1-8e19-453c-a46e-a74ff51dc682"/>
  </w:docVars>
  <w:rsids>
    <w:rsidRoot w:val="008766C2"/>
    <w:rsid w:val="00003179"/>
    <w:rsid w:val="00046364"/>
    <w:rsid w:val="0006583B"/>
    <w:rsid w:val="000A5533"/>
    <w:rsid w:val="001014A2"/>
    <w:rsid w:val="00126CA8"/>
    <w:rsid w:val="0014392B"/>
    <w:rsid w:val="00155C59"/>
    <w:rsid w:val="001755FB"/>
    <w:rsid w:val="001C1EDA"/>
    <w:rsid w:val="001F3BBE"/>
    <w:rsid w:val="002353CA"/>
    <w:rsid w:val="00295387"/>
    <w:rsid w:val="002A46C5"/>
    <w:rsid w:val="002C63BB"/>
    <w:rsid w:val="002C64A7"/>
    <w:rsid w:val="002E34D6"/>
    <w:rsid w:val="002F0657"/>
    <w:rsid w:val="00364352"/>
    <w:rsid w:val="003742DC"/>
    <w:rsid w:val="003B5603"/>
    <w:rsid w:val="003B5D8D"/>
    <w:rsid w:val="003D5219"/>
    <w:rsid w:val="004730DD"/>
    <w:rsid w:val="004D2063"/>
    <w:rsid w:val="004E5C95"/>
    <w:rsid w:val="004E5DC3"/>
    <w:rsid w:val="00586C51"/>
    <w:rsid w:val="00595B0E"/>
    <w:rsid w:val="005C16C1"/>
    <w:rsid w:val="0060539D"/>
    <w:rsid w:val="006129CE"/>
    <w:rsid w:val="00644FB2"/>
    <w:rsid w:val="00667581"/>
    <w:rsid w:val="006858B8"/>
    <w:rsid w:val="006B591D"/>
    <w:rsid w:val="006E1911"/>
    <w:rsid w:val="006F1619"/>
    <w:rsid w:val="007049AE"/>
    <w:rsid w:val="00716507"/>
    <w:rsid w:val="00832300"/>
    <w:rsid w:val="00856B67"/>
    <w:rsid w:val="008766C2"/>
    <w:rsid w:val="008A5103"/>
    <w:rsid w:val="00907551"/>
    <w:rsid w:val="00924441"/>
    <w:rsid w:val="00955C50"/>
    <w:rsid w:val="00985E8D"/>
    <w:rsid w:val="009B77D0"/>
    <w:rsid w:val="009C5418"/>
    <w:rsid w:val="00A037AE"/>
    <w:rsid w:val="00A0485A"/>
    <w:rsid w:val="00A52ECE"/>
    <w:rsid w:val="00AA3301"/>
    <w:rsid w:val="00B05756"/>
    <w:rsid w:val="00B3607A"/>
    <w:rsid w:val="00B53182"/>
    <w:rsid w:val="00B7485B"/>
    <w:rsid w:val="00BA2C63"/>
    <w:rsid w:val="00BB0325"/>
    <w:rsid w:val="00BB69FD"/>
    <w:rsid w:val="00BC6235"/>
    <w:rsid w:val="00BE679C"/>
    <w:rsid w:val="00BF7082"/>
    <w:rsid w:val="00C06415"/>
    <w:rsid w:val="00C10147"/>
    <w:rsid w:val="00C16E16"/>
    <w:rsid w:val="00C4287A"/>
    <w:rsid w:val="00C47A19"/>
    <w:rsid w:val="00CA141D"/>
    <w:rsid w:val="00D0055E"/>
    <w:rsid w:val="00D26E2D"/>
    <w:rsid w:val="00D44E0C"/>
    <w:rsid w:val="00DB10E6"/>
    <w:rsid w:val="00DE59F3"/>
    <w:rsid w:val="00EA3BCC"/>
    <w:rsid w:val="00EB3A71"/>
    <w:rsid w:val="00ED52D1"/>
    <w:rsid w:val="00F02804"/>
    <w:rsid w:val="00F527FE"/>
    <w:rsid w:val="00F90136"/>
    <w:rsid w:val="00FF5545"/>
    <w:rsid w:val="014A7BF2"/>
    <w:rsid w:val="01972AED"/>
    <w:rsid w:val="021B4E7D"/>
    <w:rsid w:val="02A022A7"/>
    <w:rsid w:val="02E565E2"/>
    <w:rsid w:val="04267B2D"/>
    <w:rsid w:val="051008A9"/>
    <w:rsid w:val="05674A63"/>
    <w:rsid w:val="05B473FA"/>
    <w:rsid w:val="062D7896"/>
    <w:rsid w:val="07DC3926"/>
    <w:rsid w:val="08837A4B"/>
    <w:rsid w:val="09481422"/>
    <w:rsid w:val="094A7867"/>
    <w:rsid w:val="095E5C8F"/>
    <w:rsid w:val="0A814155"/>
    <w:rsid w:val="0AAB051E"/>
    <w:rsid w:val="0B4D2E95"/>
    <w:rsid w:val="0B690A70"/>
    <w:rsid w:val="0B7F7B23"/>
    <w:rsid w:val="0ED0234A"/>
    <w:rsid w:val="0F7F0898"/>
    <w:rsid w:val="0FEE4106"/>
    <w:rsid w:val="10A26B62"/>
    <w:rsid w:val="126D1873"/>
    <w:rsid w:val="12FE1373"/>
    <w:rsid w:val="12FE1C75"/>
    <w:rsid w:val="13ED3E63"/>
    <w:rsid w:val="14C71F31"/>
    <w:rsid w:val="15403EF7"/>
    <w:rsid w:val="15A329EB"/>
    <w:rsid w:val="162211A7"/>
    <w:rsid w:val="16D7751F"/>
    <w:rsid w:val="16F838E2"/>
    <w:rsid w:val="171262AF"/>
    <w:rsid w:val="171526BE"/>
    <w:rsid w:val="187043F3"/>
    <w:rsid w:val="18D21BDA"/>
    <w:rsid w:val="1A353895"/>
    <w:rsid w:val="1AB15A88"/>
    <w:rsid w:val="1BE36149"/>
    <w:rsid w:val="1CEB1412"/>
    <w:rsid w:val="1D0D398F"/>
    <w:rsid w:val="1D7768AC"/>
    <w:rsid w:val="1E55798A"/>
    <w:rsid w:val="1ED815CC"/>
    <w:rsid w:val="21604808"/>
    <w:rsid w:val="21653E1F"/>
    <w:rsid w:val="22695E6E"/>
    <w:rsid w:val="22AF4D3A"/>
    <w:rsid w:val="22B05A7D"/>
    <w:rsid w:val="22EC5646"/>
    <w:rsid w:val="232D1BB8"/>
    <w:rsid w:val="235C6C70"/>
    <w:rsid w:val="243E7020"/>
    <w:rsid w:val="25131E4F"/>
    <w:rsid w:val="25217505"/>
    <w:rsid w:val="2609260E"/>
    <w:rsid w:val="260D4251"/>
    <w:rsid w:val="282E35BB"/>
    <w:rsid w:val="2859068C"/>
    <w:rsid w:val="29815658"/>
    <w:rsid w:val="29A97CD1"/>
    <w:rsid w:val="2A4F5563"/>
    <w:rsid w:val="2AB30A99"/>
    <w:rsid w:val="2B817200"/>
    <w:rsid w:val="2BC419E8"/>
    <w:rsid w:val="2C2A46AF"/>
    <w:rsid w:val="2C526A5E"/>
    <w:rsid w:val="2DDC2A64"/>
    <w:rsid w:val="2E3F2714"/>
    <w:rsid w:val="2F7343C8"/>
    <w:rsid w:val="2FE4131C"/>
    <w:rsid w:val="30AF5507"/>
    <w:rsid w:val="31786007"/>
    <w:rsid w:val="31EB11BF"/>
    <w:rsid w:val="32406854"/>
    <w:rsid w:val="326A39E6"/>
    <w:rsid w:val="338D6D72"/>
    <w:rsid w:val="340D66CF"/>
    <w:rsid w:val="34717151"/>
    <w:rsid w:val="34987671"/>
    <w:rsid w:val="350E52FE"/>
    <w:rsid w:val="35783C55"/>
    <w:rsid w:val="36D066B2"/>
    <w:rsid w:val="36EB4FDA"/>
    <w:rsid w:val="37317AF2"/>
    <w:rsid w:val="377647FC"/>
    <w:rsid w:val="37A64320"/>
    <w:rsid w:val="381C0FE3"/>
    <w:rsid w:val="383829E7"/>
    <w:rsid w:val="390C19F9"/>
    <w:rsid w:val="395B6509"/>
    <w:rsid w:val="39D73DF6"/>
    <w:rsid w:val="3A024D93"/>
    <w:rsid w:val="3A434A18"/>
    <w:rsid w:val="3AC4756F"/>
    <w:rsid w:val="3CCE0BD4"/>
    <w:rsid w:val="3CDFAE37"/>
    <w:rsid w:val="3D582F4C"/>
    <w:rsid w:val="3D647F6F"/>
    <w:rsid w:val="3E703259"/>
    <w:rsid w:val="3F2502FE"/>
    <w:rsid w:val="3F3EF745"/>
    <w:rsid w:val="3F5016C0"/>
    <w:rsid w:val="3F516C74"/>
    <w:rsid w:val="3FF1763D"/>
    <w:rsid w:val="4042698B"/>
    <w:rsid w:val="40502DF0"/>
    <w:rsid w:val="40F655E8"/>
    <w:rsid w:val="40FF7824"/>
    <w:rsid w:val="41A718A9"/>
    <w:rsid w:val="42583085"/>
    <w:rsid w:val="426D6697"/>
    <w:rsid w:val="43BE3359"/>
    <w:rsid w:val="43E12A7C"/>
    <w:rsid w:val="43EB7B51"/>
    <w:rsid w:val="448D34E6"/>
    <w:rsid w:val="44A30924"/>
    <w:rsid w:val="45684A16"/>
    <w:rsid w:val="45A04342"/>
    <w:rsid w:val="45A4087C"/>
    <w:rsid w:val="464473C4"/>
    <w:rsid w:val="474A3669"/>
    <w:rsid w:val="479C322F"/>
    <w:rsid w:val="480A2A45"/>
    <w:rsid w:val="48277F24"/>
    <w:rsid w:val="492331A0"/>
    <w:rsid w:val="4A671C92"/>
    <w:rsid w:val="4C1E2465"/>
    <w:rsid w:val="4D043941"/>
    <w:rsid w:val="4DC32F02"/>
    <w:rsid w:val="4DC86FFC"/>
    <w:rsid w:val="4E9B77C0"/>
    <w:rsid w:val="4ECA2EA1"/>
    <w:rsid w:val="4FC535F0"/>
    <w:rsid w:val="4FE419FD"/>
    <w:rsid w:val="50B13AE7"/>
    <w:rsid w:val="527F6D1C"/>
    <w:rsid w:val="535D0132"/>
    <w:rsid w:val="5490496A"/>
    <w:rsid w:val="55811325"/>
    <w:rsid w:val="56A325F9"/>
    <w:rsid w:val="573F2B92"/>
    <w:rsid w:val="57D75062"/>
    <w:rsid w:val="591A426B"/>
    <w:rsid w:val="591F328A"/>
    <w:rsid w:val="59A34FE8"/>
    <w:rsid w:val="5A6B7ABF"/>
    <w:rsid w:val="5ABE53CA"/>
    <w:rsid w:val="5E8E0295"/>
    <w:rsid w:val="5F275817"/>
    <w:rsid w:val="5F7FC8B9"/>
    <w:rsid w:val="5FE7723B"/>
    <w:rsid w:val="60DA3590"/>
    <w:rsid w:val="61B1661E"/>
    <w:rsid w:val="61D74F63"/>
    <w:rsid w:val="623310F7"/>
    <w:rsid w:val="62550EF8"/>
    <w:rsid w:val="629F4F8A"/>
    <w:rsid w:val="634203D6"/>
    <w:rsid w:val="661C47F8"/>
    <w:rsid w:val="67672692"/>
    <w:rsid w:val="68A36CCD"/>
    <w:rsid w:val="68B63A4D"/>
    <w:rsid w:val="693E36D4"/>
    <w:rsid w:val="69457314"/>
    <w:rsid w:val="694E2D1C"/>
    <w:rsid w:val="6A037017"/>
    <w:rsid w:val="6A5D141D"/>
    <w:rsid w:val="6B5C6DAA"/>
    <w:rsid w:val="6BF04298"/>
    <w:rsid w:val="6C780316"/>
    <w:rsid w:val="6CB7737E"/>
    <w:rsid w:val="6FC35805"/>
    <w:rsid w:val="6FF728F2"/>
    <w:rsid w:val="71324866"/>
    <w:rsid w:val="715772B9"/>
    <w:rsid w:val="720B7A5B"/>
    <w:rsid w:val="735142DD"/>
    <w:rsid w:val="73EF52A1"/>
    <w:rsid w:val="74236F86"/>
    <w:rsid w:val="74C432FA"/>
    <w:rsid w:val="755F2193"/>
    <w:rsid w:val="76AC644A"/>
    <w:rsid w:val="774B4F43"/>
    <w:rsid w:val="775B139E"/>
    <w:rsid w:val="778573BC"/>
    <w:rsid w:val="77D7EB94"/>
    <w:rsid w:val="78244C42"/>
    <w:rsid w:val="79FD6EC3"/>
    <w:rsid w:val="7AE9B44D"/>
    <w:rsid w:val="7C036DD6"/>
    <w:rsid w:val="7C6B7945"/>
    <w:rsid w:val="7C851AEE"/>
    <w:rsid w:val="7D0B7045"/>
    <w:rsid w:val="7D1B5DB4"/>
    <w:rsid w:val="7D691C4E"/>
    <w:rsid w:val="7E4F632A"/>
    <w:rsid w:val="7ECA1D13"/>
    <w:rsid w:val="7FBE6159"/>
    <w:rsid w:val="DBFF054D"/>
    <w:rsid w:val="E2FF4ED1"/>
    <w:rsid w:val="F51A66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ind w:firstLine="200" w:firstLineChars="200"/>
      <w:outlineLvl w:val="1"/>
    </w:pPr>
    <w:rPr>
      <w:rFonts w:ascii="Arial" w:hAnsi="Arial"/>
      <w:b/>
      <w:bCs/>
      <w:szCs w:val="32"/>
    </w:rPr>
  </w:style>
  <w:style w:type="paragraph" w:styleId="4">
    <w:name w:val="heading 3"/>
    <w:basedOn w:val="1"/>
    <w:next w:val="1"/>
    <w:qFormat/>
    <w:uiPriority w:val="0"/>
    <w:pPr>
      <w:autoSpaceDE w:val="0"/>
      <w:autoSpaceDN w:val="0"/>
      <w:spacing w:before="120" w:after="120" w:line="300" w:lineRule="auto"/>
      <w:outlineLvl w:val="2"/>
    </w:pPr>
    <w:rPr>
      <w:sz w:val="24"/>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next w:val="1"/>
    <w:qFormat/>
    <w:uiPriority w:val="0"/>
    <w:pPr>
      <w:ind w:firstLine="420"/>
    </w:pPr>
    <w:rPr>
      <w:rFonts w:ascii="Arial" w:hAnsi="Arial"/>
      <w:kern w:val="0"/>
      <w:sz w:val="20"/>
      <w:lang w:val="zh-CN"/>
    </w:rPr>
  </w:style>
  <w:style w:type="paragraph" w:styleId="6">
    <w:name w:val="caption"/>
    <w:basedOn w:val="1"/>
    <w:next w:val="1"/>
    <w:qFormat/>
    <w:uiPriority w:val="0"/>
    <w:pPr>
      <w:ind w:firstLine="200" w:firstLineChars="200"/>
    </w:pPr>
    <w:rPr>
      <w:rFonts w:ascii="Calibri Light" w:hAnsi="Calibri Light" w:eastAsia="黑体"/>
      <w:sz w:val="20"/>
      <w:szCs w:val="20"/>
    </w:rPr>
  </w:style>
  <w:style w:type="paragraph" w:styleId="7">
    <w:name w:val="annotation text"/>
    <w:basedOn w:val="1"/>
    <w:link w:val="659"/>
    <w:qFormat/>
    <w:uiPriority w:val="0"/>
    <w:pPr>
      <w:jc w:val="left"/>
    </w:pPr>
  </w:style>
  <w:style w:type="paragraph" w:styleId="8">
    <w:name w:val="Body Text"/>
    <w:basedOn w:val="1"/>
    <w:next w:val="1"/>
    <w:qFormat/>
    <w:uiPriority w:val="99"/>
    <w:pPr>
      <w:adjustRightInd w:val="0"/>
      <w:spacing w:line="315" w:lineRule="atLeast"/>
      <w:jc w:val="left"/>
    </w:pPr>
    <w:rPr>
      <w:rFonts w:ascii="仿宋_GB2312" w:eastAsia="仿宋_GB2312"/>
      <w:kern w:val="0"/>
      <w:sz w:val="28"/>
      <w:szCs w:val="20"/>
    </w:rPr>
  </w:style>
  <w:style w:type="paragraph" w:styleId="9">
    <w:name w:val="Body Text Indent"/>
    <w:basedOn w:val="1"/>
    <w:next w:val="1"/>
    <w:qFormat/>
    <w:uiPriority w:val="0"/>
    <w:pPr>
      <w:spacing w:line="380" w:lineRule="exact"/>
      <w:ind w:firstLine="480"/>
    </w:pPr>
    <w:rPr>
      <w:rFonts w:eastAsia="方正书宋简体"/>
      <w:sz w:val="24"/>
    </w:rPr>
  </w:style>
  <w:style w:type="paragraph" w:styleId="10">
    <w:name w:val="Plain Text"/>
    <w:basedOn w:val="1"/>
    <w:qFormat/>
    <w:uiPriority w:val="0"/>
    <w:rPr>
      <w:rFonts w:ascii="宋体" w:hAnsi="Courier New"/>
      <w:szCs w:val="20"/>
    </w:rPr>
  </w:style>
  <w:style w:type="paragraph" w:styleId="11">
    <w:name w:val="Date"/>
    <w:basedOn w:val="1"/>
    <w:next w:val="1"/>
    <w:link w:val="87"/>
    <w:qFormat/>
    <w:uiPriority w:val="0"/>
    <w:pPr>
      <w:ind w:left="100" w:leftChars="2500"/>
    </w:pPr>
    <w:rPr>
      <w:color w:val="000000"/>
      <w:sz w:val="24"/>
    </w:rPr>
  </w:style>
  <w:style w:type="paragraph" w:styleId="12">
    <w:name w:val="Balloon Text"/>
    <w:basedOn w:val="1"/>
    <w:link w:val="661"/>
    <w:qFormat/>
    <w:uiPriority w:val="0"/>
    <w:rPr>
      <w:sz w:val="18"/>
      <w:szCs w:val="18"/>
    </w:rPr>
  </w:style>
  <w:style w:type="paragraph" w:styleId="13">
    <w:name w:val="footer"/>
    <w:basedOn w:val="1"/>
    <w:link w:val="273"/>
    <w:qFormat/>
    <w:uiPriority w:val="99"/>
    <w:pPr>
      <w:tabs>
        <w:tab w:val="center" w:pos="4153"/>
        <w:tab w:val="right" w:pos="8306"/>
      </w:tabs>
      <w:snapToGrid w:val="0"/>
      <w:jc w:val="left"/>
    </w:pPr>
    <w:rPr>
      <w:sz w:val="18"/>
      <w:szCs w:val="18"/>
    </w:rPr>
  </w:style>
  <w:style w:type="paragraph" w:styleId="14">
    <w:name w:val="header"/>
    <w:basedOn w:val="1"/>
    <w:link w:val="258"/>
    <w:qFormat/>
    <w:uiPriority w:val="0"/>
    <w:pPr>
      <w:pBdr>
        <w:bottom w:val="single" w:color="000000" w:sz="6" w:space="1"/>
      </w:pBdr>
      <w:tabs>
        <w:tab w:val="center" w:pos="4153"/>
        <w:tab w:val="right" w:pos="8306"/>
      </w:tabs>
      <w:snapToGrid w:val="0"/>
      <w:jc w:val="center"/>
    </w:pPr>
    <w:rPr>
      <w:sz w:val="18"/>
      <w:szCs w:val="18"/>
    </w:rPr>
  </w:style>
  <w:style w:type="paragraph" w:styleId="15">
    <w:name w:val="Subtitle"/>
    <w:basedOn w:val="1"/>
    <w:next w:val="1"/>
    <w:link w:val="62"/>
    <w:qFormat/>
    <w:uiPriority w:val="0"/>
    <w:pPr>
      <w:spacing w:before="240" w:after="60" w:line="312" w:lineRule="auto"/>
      <w:jc w:val="center"/>
    </w:pPr>
    <w:rPr>
      <w:rFonts w:ascii="Cambria" w:hAnsi="Cambria"/>
      <w:b/>
      <w:bCs/>
      <w:kern w:val="28"/>
      <w:sz w:val="32"/>
      <w:szCs w:val="32"/>
    </w:rPr>
  </w:style>
  <w:style w:type="paragraph" w:styleId="16">
    <w:name w:val="List"/>
    <w:basedOn w:val="1"/>
    <w:qFormat/>
    <w:uiPriority w:val="0"/>
    <w:pPr>
      <w:ind w:left="200" w:hanging="200" w:hangingChars="200"/>
    </w:pPr>
  </w:style>
  <w:style w:type="paragraph" w:styleId="17">
    <w:name w:val="Normal (Web)"/>
    <w:basedOn w:val="1"/>
    <w:qFormat/>
    <w:uiPriority w:val="99"/>
    <w:pPr>
      <w:spacing w:before="100" w:beforeAutospacing="1" w:after="100" w:afterAutospacing="1"/>
      <w:jc w:val="left"/>
    </w:pPr>
    <w:rPr>
      <w:rFonts w:ascii="宋体" w:hAnsi="宋体"/>
      <w:kern w:val="0"/>
      <w:sz w:val="24"/>
    </w:rPr>
  </w:style>
  <w:style w:type="paragraph" w:styleId="18">
    <w:name w:val="Title"/>
    <w:basedOn w:val="1"/>
    <w:link w:val="193"/>
    <w:qFormat/>
    <w:uiPriority w:val="0"/>
    <w:pPr>
      <w:jc w:val="center"/>
    </w:pPr>
    <w:rPr>
      <w:sz w:val="30"/>
    </w:rPr>
  </w:style>
  <w:style w:type="paragraph" w:styleId="19">
    <w:name w:val="annotation subject"/>
    <w:basedOn w:val="7"/>
    <w:next w:val="7"/>
    <w:link w:val="660"/>
    <w:qFormat/>
    <w:uiPriority w:val="0"/>
    <w:rPr>
      <w:b/>
      <w:bCs/>
    </w:rPr>
  </w:style>
  <w:style w:type="paragraph" w:styleId="20">
    <w:name w:val="Body Text First Indent 2"/>
    <w:basedOn w:val="9"/>
    <w:qFormat/>
    <w:uiPriority w:val="99"/>
    <w:pPr>
      <w:widowControl w:val="0"/>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rPr>
  </w:style>
  <w:style w:type="character" w:styleId="25">
    <w:name w:val="page number"/>
    <w:basedOn w:val="23"/>
    <w:qFormat/>
    <w:uiPriority w:val="0"/>
    <w:rPr>
      <w:rFonts w:ascii="Times New Roman" w:hAnsi="Times New Roman" w:eastAsia="Arial" w:cs="Times New Roman"/>
    </w:rPr>
  </w:style>
  <w:style w:type="character" w:styleId="26">
    <w:name w:val="FollowedHyperlink"/>
    <w:qFormat/>
    <w:uiPriority w:val="0"/>
    <w:rPr>
      <w:color w:val="800080"/>
      <w:u w:val="single"/>
    </w:rPr>
  </w:style>
  <w:style w:type="character" w:styleId="27">
    <w:name w:val="Emphasis"/>
    <w:qFormat/>
    <w:uiPriority w:val="0"/>
    <w:rPr>
      <w:color w:val="CC0033"/>
    </w:rPr>
  </w:style>
  <w:style w:type="character" w:styleId="28">
    <w:name w:val="Hyperlink"/>
    <w:qFormat/>
    <w:uiPriority w:val="0"/>
    <w:rPr>
      <w:color w:val="0000FF"/>
      <w:u w:val="single"/>
    </w:rPr>
  </w:style>
  <w:style w:type="character" w:styleId="29">
    <w:name w:val="annotation reference"/>
    <w:basedOn w:val="23"/>
    <w:qFormat/>
    <w:uiPriority w:val="0"/>
    <w:rPr>
      <w:sz w:val="21"/>
      <w:szCs w:val="21"/>
    </w:rPr>
  </w:style>
  <w:style w:type="paragraph" w:customStyle="1" w:styleId="30">
    <w:name w:val="首行缩进"/>
    <w:basedOn w:val="1"/>
    <w:qFormat/>
    <w:uiPriority w:val="0"/>
    <w:pPr>
      <w:spacing w:line="360" w:lineRule="auto"/>
      <w:ind w:firstLine="480" w:firstLineChars="200"/>
    </w:pPr>
    <w:rPr>
      <w:rFonts w:hAnsi="宋体" w:cs="宋体"/>
      <w:sz w:val="24"/>
    </w:rPr>
  </w:style>
  <w:style w:type="paragraph" w:customStyle="1" w:styleId="31">
    <w:name w:val="BodyText"/>
    <w:basedOn w:val="1"/>
    <w:link w:val="281"/>
    <w:qFormat/>
    <w:uiPriority w:val="0"/>
    <w:pPr>
      <w:spacing w:after="120"/>
    </w:pPr>
  </w:style>
  <w:style w:type="paragraph" w:customStyle="1" w:styleId="32">
    <w:name w:val="Heading1"/>
    <w:basedOn w:val="1"/>
    <w:next w:val="1"/>
    <w:link w:val="320"/>
    <w:qFormat/>
    <w:uiPriority w:val="0"/>
    <w:pPr>
      <w:keepNext/>
      <w:spacing w:line="360" w:lineRule="auto"/>
      <w:jc w:val="center"/>
    </w:pPr>
    <w:rPr>
      <w:b/>
      <w:color w:val="000000"/>
      <w:sz w:val="32"/>
    </w:rPr>
  </w:style>
  <w:style w:type="paragraph" w:customStyle="1" w:styleId="33">
    <w:name w:val="Heading2"/>
    <w:basedOn w:val="1"/>
    <w:next w:val="1"/>
    <w:link w:val="177"/>
    <w:qFormat/>
    <w:uiPriority w:val="0"/>
    <w:pPr>
      <w:keepNext/>
      <w:keepLines/>
      <w:spacing w:line="360" w:lineRule="auto"/>
      <w:ind w:firstLine="200" w:firstLineChars="200"/>
    </w:pPr>
    <w:rPr>
      <w:rFonts w:ascii="Arial" w:hAnsi="Arial"/>
      <w:b/>
      <w:bCs/>
      <w:szCs w:val="32"/>
    </w:rPr>
  </w:style>
  <w:style w:type="paragraph" w:customStyle="1" w:styleId="34">
    <w:name w:val="Heading3"/>
    <w:basedOn w:val="1"/>
    <w:next w:val="1"/>
    <w:link w:val="277"/>
    <w:qFormat/>
    <w:uiPriority w:val="0"/>
    <w:pPr>
      <w:spacing w:before="120" w:after="120" w:line="300" w:lineRule="auto"/>
    </w:pPr>
    <w:rPr>
      <w:sz w:val="24"/>
      <w:szCs w:val="20"/>
    </w:rPr>
  </w:style>
  <w:style w:type="paragraph" w:customStyle="1" w:styleId="35">
    <w:name w:val="Heading4"/>
    <w:basedOn w:val="1"/>
    <w:next w:val="1"/>
    <w:link w:val="231"/>
    <w:qFormat/>
    <w:uiPriority w:val="0"/>
    <w:pPr>
      <w:keepNext/>
      <w:keepLines/>
      <w:spacing w:before="280" w:after="290" w:line="376" w:lineRule="auto"/>
    </w:pPr>
    <w:rPr>
      <w:rFonts w:ascii="Cambria" w:hAnsi="Cambria"/>
      <w:b/>
      <w:bCs/>
      <w:sz w:val="28"/>
      <w:szCs w:val="28"/>
    </w:rPr>
  </w:style>
  <w:style w:type="paragraph" w:customStyle="1" w:styleId="36">
    <w:name w:val="Heading5"/>
    <w:basedOn w:val="1"/>
    <w:next w:val="1"/>
    <w:link w:val="254"/>
    <w:qFormat/>
    <w:uiPriority w:val="0"/>
    <w:pPr>
      <w:keepNext/>
      <w:keepLines/>
      <w:spacing w:before="280" w:after="290" w:line="376" w:lineRule="auto"/>
    </w:pPr>
    <w:rPr>
      <w:b/>
      <w:bCs/>
      <w:sz w:val="28"/>
      <w:szCs w:val="28"/>
    </w:rPr>
  </w:style>
  <w:style w:type="paragraph" w:customStyle="1" w:styleId="37">
    <w:name w:val="Heading6"/>
    <w:basedOn w:val="1"/>
    <w:next w:val="1"/>
    <w:link w:val="243"/>
    <w:qFormat/>
    <w:uiPriority w:val="0"/>
    <w:pPr>
      <w:keepNext/>
      <w:keepLines/>
      <w:spacing w:line="320" w:lineRule="auto"/>
    </w:pPr>
    <w:rPr>
      <w:rFonts w:ascii="Calibri Light" w:hAnsi="Calibri Light"/>
      <w:b/>
      <w:bCs/>
    </w:rPr>
  </w:style>
  <w:style w:type="paragraph" w:customStyle="1" w:styleId="38">
    <w:name w:val="Heading7"/>
    <w:basedOn w:val="1"/>
    <w:next w:val="1"/>
    <w:link w:val="262"/>
    <w:qFormat/>
    <w:uiPriority w:val="0"/>
    <w:pPr>
      <w:keepNext/>
      <w:keepLines/>
      <w:spacing w:before="240" w:after="64" w:line="320" w:lineRule="auto"/>
    </w:pPr>
    <w:rPr>
      <w:rFonts w:ascii="Calibri" w:hAnsi="Calibri" w:eastAsia="仿宋"/>
      <w:b/>
      <w:bCs/>
      <w:sz w:val="32"/>
    </w:rPr>
  </w:style>
  <w:style w:type="paragraph" w:customStyle="1" w:styleId="39">
    <w:name w:val="Heading8"/>
    <w:basedOn w:val="1"/>
    <w:next w:val="1"/>
    <w:link w:val="235"/>
    <w:qFormat/>
    <w:uiPriority w:val="0"/>
    <w:pPr>
      <w:keepNext/>
      <w:keepLines/>
      <w:spacing w:before="240" w:after="64" w:line="320" w:lineRule="auto"/>
    </w:pPr>
    <w:rPr>
      <w:rFonts w:ascii="Calibri Light" w:hAnsi="Calibri Light"/>
      <w:sz w:val="32"/>
    </w:rPr>
  </w:style>
  <w:style w:type="paragraph" w:customStyle="1" w:styleId="40">
    <w:name w:val="Heading9"/>
    <w:basedOn w:val="1"/>
    <w:next w:val="1"/>
    <w:link w:val="197"/>
    <w:qFormat/>
    <w:uiPriority w:val="0"/>
    <w:pPr>
      <w:keepNext/>
      <w:keepLines/>
      <w:spacing w:before="240" w:after="64" w:line="320" w:lineRule="auto"/>
    </w:pPr>
    <w:rPr>
      <w:rFonts w:ascii="Calibri Light" w:hAnsi="Calibri Light"/>
      <w:szCs w:val="21"/>
    </w:rPr>
  </w:style>
  <w:style w:type="character" w:customStyle="1" w:styleId="41">
    <w:name w:val="NormalCharacter"/>
    <w:qFormat/>
    <w:uiPriority w:val="0"/>
  </w:style>
  <w:style w:type="table" w:customStyle="1" w:styleId="42">
    <w:name w:val="TableNormal"/>
    <w:qFormat/>
    <w:uiPriority w:val="0"/>
    <w:tblPr>
      <w:tblCellMar>
        <w:top w:w="0" w:type="dxa"/>
        <w:left w:w="0" w:type="dxa"/>
        <w:bottom w:w="0" w:type="dxa"/>
        <w:right w:w="0" w:type="dxa"/>
      </w:tblCellMar>
    </w:tblPr>
  </w:style>
  <w:style w:type="character" w:customStyle="1" w:styleId="43">
    <w:name w:val="UserStyle_0"/>
    <w:qFormat/>
    <w:uiPriority w:val="0"/>
    <w:rPr>
      <w:rFonts w:eastAsia="宋体"/>
      <w:kern w:val="2"/>
      <w:sz w:val="21"/>
      <w:lang w:val="en-US" w:eastAsia="zh-CN" w:bidi="ar-SA"/>
    </w:rPr>
  </w:style>
  <w:style w:type="character" w:customStyle="1" w:styleId="44">
    <w:name w:val="UserStyle_1"/>
    <w:qFormat/>
    <w:uiPriority w:val="0"/>
    <w:rPr>
      <w:rFonts w:eastAsia="黑体"/>
      <w:spacing w:val="20"/>
      <w:kern w:val="2"/>
      <w:sz w:val="28"/>
    </w:rPr>
  </w:style>
  <w:style w:type="character" w:customStyle="1" w:styleId="45">
    <w:name w:val="AnnotationReference"/>
    <w:qFormat/>
    <w:uiPriority w:val="0"/>
    <w:rPr>
      <w:sz w:val="21"/>
      <w:szCs w:val="21"/>
    </w:rPr>
  </w:style>
  <w:style w:type="character" w:customStyle="1" w:styleId="46">
    <w:name w:val="UserStyle_2"/>
    <w:qFormat/>
    <w:uiPriority w:val="0"/>
    <w:rPr>
      <w:rFonts w:ascii="Arial" w:hAnsi="Arial"/>
      <w:b/>
      <w:sz w:val="32"/>
    </w:rPr>
  </w:style>
  <w:style w:type="character" w:customStyle="1" w:styleId="47">
    <w:name w:val="UserStyle_3"/>
    <w:qFormat/>
    <w:uiPriority w:val="0"/>
  </w:style>
  <w:style w:type="character" w:customStyle="1" w:styleId="48">
    <w:name w:val="UserStyle_4"/>
    <w:qFormat/>
    <w:uiPriority w:val="0"/>
    <w:rPr>
      <w:kern w:val="2"/>
      <w:sz w:val="21"/>
      <w:szCs w:val="24"/>
    </w:rPr>
  </w:style>
  <w:style w:type="character" w:customStyle="1" w:styleId="49">
    <w:name w:val="UserStyle_5"/>
    <w:qFormat/>
    <w:locked/>
    <w:uiPriority w:val="0"/>
    <w:rPr>
      <w:rFonts w:ascii="宋体" w:hAnsi="宋体" w:eastAsia="宋体"/>
      <w:kern w:val="2"/>
      <w:sz w:val="18"/>
      <w:lang w:val="en-US" w:eastAsia="zh-CN" w:bidi="ar-SA"/>
    </w:rPr>
  </w:style>
  <w:style w:type="character" w:customStyle="1" w:styleId="50">
    <w:name w:val="UserStyle_6"/>
    <w:qFormat/>
    <w:uiPriority w:val="0"/>
    <w:rPr>
      <w:rFonts w:ascii="Cambria" w:hAnsi="Cambria" w:eastAsia="宋体" w:cs="Times New Roman"/>
      <w:b/>
      <w:bCs/>
      <w:sz w:val="32"/>
      <w:szCs w:val="32"/>
    </w:rPr>
  </w:style>
  <w:style w:type="character" w:customStyle="1" w:styleId="51">
    <w:name w:val="UserStyle_7"/>
    <w:qFormat/>
    <w:uiPriority w:val="0"/>
    <w:rPr>
      <w:rFonts w:ascii="Arial" w:hAnsi="Arial" w:eastAsia="黑体"/>
      <w:kern w:val="0"/>
      <w:szCs w:val="21"/>
    </w:rPr>
  </w:style>
  <w:style w:type="character" w:customStyle="1" w:styleId="52">
    <w:name w:val="UserStyle_8"/>
    <w:qFormat/>
    <w:uiPriority w:val="0"/>
    <w:rPr>
      <w:rFonts w:ascii="宋体" w:eastAsia="宋体"/>
      <w:b/>
      <w:kern w:val="2"/>
      <w:sz w:val="28"/>
      <w:lang w:val="en-US" w:eastAsia="zh-CN" w:bidi="ar-SA"/>
    </w:rPr>
  </w:style>
  <w:style w:type="character" w:customStyle="1" w:styleId="53">
    <w:name w:val="UserStyle_9"/>
    <w:qFormat/>
    <w:uiPriority w:val="0"/>
    <w:rPr>
      <w:i/>
      <w:iCs/>
      <w:color w:val="000000"/>
      <w:kern w:val="2"/>
      <w:sz w:val="21"/>
      <w:szCs w:val="22"/>
    </w:rPr>
  </w:style>
  <w:style w:type="character" w:customStyle="1" w:styleId="54">
    <w:name w:val="UserStyle_10"/>
    <w:qFormat/>
    <w:uiPriority w:val="0"/>
    <w:rPr>
      <w:i/>
      <w:iCs/>
      <w:color w:val="000000"/>
      <w:kern w:val="2"/>
      <w:sz w:val="21"/>
      <w:szCs w:val="24"/>
    </w:rPr>
  </w:style>
  <w:style w:type="character" w:customStyle="1" w:styleId="55">
    <w:name w:val="UserStyle_11"/>
    <w:qFormat/>
    <w:uiPriority w:val="0"/>
    <w:rPr>
      <w:rFonts w:eastAsia="宋体"/>
      <w:kern w:val="2"/>
      <w:sz w:val="18"/>
      <w:szCs w:val="18"/>
      <w:lang w:val="en-US" w:eastAsia="zh-CN" w:bidi="ar-SA"/>
    </w:rPr>
  </w:style>
  <w:style w:type="character" w:customStyle="1" w:styleId="56">
    <w:name w:val="UserStyle_12"/>
    <w:qFormat/>
    <w:uiPriority w:val="0"/>
    <w:rPr>
      <w:rFonts w:ascii="Arial" w:hAnsi="Arial" w:eastAsia="宋体"/>
      <w:color w:val="000000"/>
      <w:sz w:val="20"/>
    </w:rPr>
  </w:style>
  <w:style w:type="character" w:customStyle="1" w:styleId="57">
    <w:name w:val="UserStyle_13"/>
    <w:qFormat/>
    <w:uiPriority w:val="0"/>
    <w:rPr>
      <w:rFonts w:ascii="Cambria" w:hAnsi="Cambria" w:eastAsia="宋体" w:cs="Times New Roman"/>
      <w:b/>
      <w:bCs/>
      <w:kern w:val="2"/>
      <w:sz w:val="32"/>
      <w:szCs w:val="32"/>
      <w:lang w:val="en-US" w:eastAsia="zh-CN" w:bidi="ar-SA"/>
    </w:rPr>
  </w:style>
  <w:style w:type="character" w:customStyle="1" w:styleId="58">
    <w:name w:val="PageNumber"/>
    <w:qFormat/>
    <w:uiPriority w:val="0"/>
    <w:rPr>
      <w:rFonts w:eastAsia="Arial"/>
    </w:rPr>
  </w:style>
  <w:style w:type="character" w:customStyle="1" w:styleId="59">
    <w:name w:val="FootnoteReference"/>
    <w:qFormat/>
    <w:uiPriority w:val="0"/>
    <w:rPr>
      <w:vertAlign w:val="superscript"/>
    </w:rPr>
  </w:style>
  <w:style w:type="character" w:customStyle="1" w:styleId="60">
    <w:name w:val="UserStyle_14"/>
    <w:link w:val="61"/>
    <w:qFormat/>
    <w:uiPriority w:val="0"/>
    <w:rPr>
      <w:rFonts w:ascii="宋体"/>
      <w:sz w:val="24"/>
    </w:rPr>
  </w:style>
  <w:style w:type="paragraph" w:customStyle="1" w:styleId="61">
    <w:name w:val="BodyTextIndent"/>
    <w:basedOn w:val="1"/>
    <w:link w:val="60"/>
    <w:qFormat/>
    <w:uiPriority w:val="0"/>
    <w:pPr>
      <w:snapToGrid w:val="0"/>
      <w:spacing w:before="120" w:line="400" w:lineRule="atLeast"/>
      <w:ind w:firstLine="570"/>
      <w:textAlignment w:val="bottom"/>
    </w:pPr>
    <w:rPr>
      <w:rFonts w:ascii="宋体"/>
      <w:kern w:val="0"/>
      <w:sz w:val="24"/>
      <w:szCs w:val="20"/>
    </w:rPr>
  </w:style>
  <w:style w:type="character" w:customStyle="1" w:styleId="62">
    <w:name w:val="副标题 Char"/>
    <w:link w:val="15"/>
    <w:qFormat/>
    <w:uiPriority w:val="0"/>
    <w:rPr>
      <w:rFonts w:ascii="Cambria" w:hAnsi="Cambria" w:cs="Times New Roman"/>
      <w:b/>
      <w:bCs/>
      <w:kern w:val="28"/>
      <w:sz w:val="32"/>
      <w:szCs w:val="32"/>
    </w:rPr>
  </w:style>
  <w:style w:type="character" w:customStyle="1" w:styleId="63">
    <w:name w:val="UserStyle_16"/>
    <w:qFormat/>
    <w:uiPriority w:val="0"/>
    <w:rPr>
      <w:color w:val="800080"/>
      <w:u w:val="single"/>
    </w:rPr>
  </w:style>
  <w:style w:type="character" w:customStyle="1" w:styleId="64">
    <w:name w:val="UserStyle_17"/>
    <w:qFormat/>
    <w:uiPriority w:val="0"/>
    <w:rPr>
      <w:sz w:val="20"/>
      <w:szCs w:val="20"/>
    </w:rPr>
  </w:style>
  <w:style w:type="character" w:customStyle="1" w:styleId="65">
    <w:name w:val="UserStyle_18"/>
    <w:link w:val="66"/>
    <w:qFormat/>
    <w:uiPriority w:val="0"/>
    <w:rPr>
      <w:rFonts w:ascii="宋体" w:hAnsi="宋体"/>
      <w:sz w:val="24"/>
      <w:szCs w:val="24"/>
    </w:rPr>
  </w:style>
  <w:style w:type="paragraph" w:customStyle="1" w:styleId="66">
    <w:name w:val="HtmlPre"/>
    <w:basedOn w:val="1"/>
    <w:link w:val="6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67">
    <w:name w:val="UserStyle_19"/>
    <w:qFormat/>
    <w:uiPriority w:val="0"/>
    <w:rPr>
      <w:rFonts w:ascii="Times New Roman" w:hAnsi="Times New Roman"/>
      <w:i/>
      <w:iCs/>
      <w:color w:val="000000"/>
      <w:kern w:val="2"/>
      <w:sz w:val="21"/>
    </w:rPr>
  </w:style>
  <w:style w:type="character" w:customStyle="1" w:styleId="68">
    <w:name w:val="UserStyle_20"/>
    <w:qFormat/>
    <w:uiPriority w:val="0"/>
    <w:rPr>
      <w:rFonts w:ascii="宋体" w:eastAsia="宋体"/>
      <w:kern w:val="2"/>
      <w:sz w:val="18"/>
      <w:szCs w:val="18"/>
      <w:lang w:val="en-US" w:eastAsia="zh-CN" w:bidi="ar-SA"/>
    </w:rPr>
  </w:style>
  <w:style w:type="character" w:customStyle="1" w:styleId="69">
    <w:name w:val="UserStyle_21"/>
    <w:link w:val="70"/>
    <w:qFormat/>
    <w:uiPriority w:val="0"/>
    <w:rPr>
      <w:rFonts w:ascii="Calibri" w:hAnsi="Calibri"/>
      <w:kern w:val="2"/>
      <w:sz w:val="21"/>
      <w:szCs w:val="22"/>
    </w:rPr>
  </w:style>
  <w:style w:type="paragraph" w:customStyle="1" w:styleId="70">
    <w:name w:val="UserStyle_22"/>
    <w:basedOn w:val="1"/>
    <w:link w:val="69"/>
    <w:qFormat/>
    <w:uiPriority w:val="0"/>
    <w:pPr>
      <w:ind w:firstLine="420" w:firstLineChars="200"/>
    </w:pPr>
    <w:rPr>
      <w:rFonts w:ascii="Calibri" w:hAnsi="Calibri"/>
      <w:szCs w:val="22"/>
    </w:rPr>
  </w:style>
  <w:style w:type="character" w:customStyle="1" w:styleId="71">
    <w:name w:val="UserStyle_23"/>
    <w:qFormat/>
    <w:uiPriority w:val="0"/>
    <w:rPr>
      <w:rFonts w:ascii="Cambria" w:hAnsi="Cambria" w:cs="Times New Roman"/>
      <w:b/>
      <w:bCs/>
      <w:kern w:val="28"/>
      <w:sz w:val="32"/>
      <w:szCs w:val="32"/>
    </w:rPr>
  </w:style>
  <w:style w:type="character" w:customStyle="1" w:styleId="72">
    <w:name w:val="UserStyle_24"/>
    <w:qFormat/>
    <w:uiPriority w:val="0"/>
    <w:rPr>
      <w:rFonts w:ascii="Times New Roman" w:hAnsi="Times New Roman" w:eastAsia="宋体"/>
      <w:sz w:val="18"/>
      <w:szCs w:val="18"/>
    </w:rPr>
  </w:style>
  <w:style w:type="character" w:customStyle="1" w:styleId="73">
    <w:name w:val="UserStyle_25"/>
    <w:semiHidden/>
    <w:qFormat/>
    <w:uiPriority w:val="0"/>
    <w:rPr>
      <w:rFonts w:ascii="Times New Roman" w:hAnsi="Times New Roman" w:eastAsia="宋体"/>
      <w:szCs w:val="24"/>
    </w:rPr>
  </w:style>
  <w:style w:type="character" w:customStyle="1" w:styleId="74">
    <w:name w:val="UserStyle_26"/>
    <w:qFormat/>
    <w:uiPriority w:val="0"/>
  </w:style>
  <w:style w:type="character" w:customStyle="1" w:styleId="75">
    <w:name w:val="UserStyle_27"/>
    <w:qFormat/>
    <w:uiPriority w:val="0"/>
  </w:style>
  <w:style w:type="character" w:customStyle="1" w:styleId="76">
    <w:name w:val="UserStyle_28"/>
    <w:qFormat/>
    <w:uiPriority w:val="0"/>
    <w:rPr>
      <w:kern w:val="2"/>
      <w:sz w:val="21"/>
    </w:rPr>
  </w:style>
  <w:style w:type="character" w:customStyle="1" w:styleId="77">
    <w:name w:val="UserStyle_29"/>
    <w:qFormat/>
    <w:uiPriority w:val="0"/>
    <w:rPr>
      <w:rFonts w:ascii="Arial" w:hAnsi="Arial" w:eastAsia="宋体" w:cs="Times New Roman"/>
      <w:b/>
      <w:bCs/>
      <w:kern w:val="2"/>
      <w:sz w:val="21"/>
      <w:szCs w:val="28"/>
      <w:lang w:val="en-US" w:eastAsia="zh-CN" w:bidi="ar-SA"/>
    </w:rPr>
  </w:style>
  <w:style w:type="character" w:customStyle="1" w:styleId="78">
    <w:name w:val="UserStyle_30"/>
    <w:qFormat/>
    <w:uiPriority w:val="0"/>
    <w:rPr>
      <w:rFonts w:ascii="Arial" w:hAnsi="Arial" w:eastAsia="黑体" w:cs="Times New Roman"/>
      <w:b/>
      <w:bCs/>
      <w:kern w:val="2"/>
      <w:sz w:val="28"/>
      <w:szCs w:val="28"/>
      <w:lang w:val="en-US" w:eastAsia="zh-CN" w:bidi="ar-SA"/>
    </w:rPr>
  </w:style>
  <w:style w:type="character" w:customStyle="1" w:styleId="79">
    <w:name w:val="UserStyle_31"/>
    <w:qFormat/>
    <w:uiPriority w:val="0"/>
    <w:rPr>
      <w:rFonts w:cs="Times New Roman"/>
      <w:b/>
      <w:bCs/>
      <w:sz w:val="24"/>
      <w:szCs w:val="24"/>
    </w:rPr>
  </w:style>
  <w:style w:type="character" w:customStyle="1" w:styleId="80">
    <w:name w:val="UserStyle_32"/>
    <w:link w:val="81"/>
    <w:qFormat/>
    <w:uiPriority w:val="0"/>
    <w:rPr>
      <w:kern w:val="2"/>
      <w:sz w:val="18"/>
      <w:szCs w:val="18"/>
    </w:rPr>
  </w:style>
  <w:style w:type="paragraph" w:customStyle="1" w:styleId="81">
    <w:name w:val="Acetate"/>
    <w:basedOn w:val="1"/>
    <w:link w:val="80"/>
    <w:qFormat/>
    <w:uiPriority w:val="0"/>
    <w:rPr>
      <w:sz w:val="18"/>
      <w:szCs w:val="18"/>
    </w:rPr>
  </w:style>
  <w:style w:type="character" w:customStyle="1" w:styleId="82">
    <w:name w:val="UserStyle_33"/>
    <w:qFormat/>
    <w:uiPriority w:val="0"/>
    <w:rPr>
      <w:rFonts w:ascii="宋体"/>
      <w:kern w:val="2"/>
      <w:sz w:val="18"/>
      <w:szCs w:val="18"/>
    </w:rPr>
  </w:style>
  <w:style w:type="character" w:customStyle="1" w:styleId="83">
    <w:name w:val="UserStyle_34"/>
    <w:link w:val="84"/>
    <w:qFormat/>
    <w:uiPriority w:val="0"/>
    <w:rPr>
      <w:kern w:val="2"/>
      <w:sz w:val="18"/>
    </w:rPr>
  </w:style>
  <w:style w:type="paragraph" w:customStyle="1" w:styleId="84">
    <w:name w:val="FootnoteText"/>
    <w:basedOn w:val="1"/>
    <w:link w:val="83"/>
    <w:qFormat/>
    <w:uiPriority w:val="0"/>
    <w:pPr>
      <w:snapToGrid w:val="0"/>
      <w:jc w:val="left"/>
    </w:pPr>
    <w:rPr>
      <w:sz w:val="18"/>
      <w:szCs w:val="20"/>
    </w:rPr>
  </w:style>
  <w:style w:type="character" w:customStyle="1" w:styleId="85">
    <w:name w:val="UserStyle_35"/>
    <w:qFormat/>
    <w:uiPriority w:val="0"/>
    <w:rPr>
      <w:kern w:val="2"/>
      <w:sz w:val="18"/>
      <w:szCs w:val="18"/>
    </w:rPr>
  </w:style>
  <w:style w:type="character" w:customStyle="1" w:styleId="86">
    <w:name w:val="UserStyle_36"/>
    <w:qFormat/>
    <w:uiPriority w:val="0"/>
    <w:rPr>
      <w:rFonts w:ascii="Arial" w:hAnsi="Arial" w:eastAsia="宋体"/>
      <w:spacing w:val="20"/>
      <w:kern w:val="2"/>
      <w:sz w:val="21"/>
      <w:lang w:val="en-US" w:eastAsia="zh-CN" w:bidi="ar-SA"/>
    </w:rPr>
  </w:style>
  <w:style w:type="character" w:customStyle="1" w:styleId="87">
    <w:name w:val="日期 Char"/>
    <w:link w:val="11"/>
    <w:qFormat/>
    <w:uiPriority w:val="0"/>
    <w:rPr>
      <w:color w:val="000000"/>
      <w:kern w:val="2"/>
      <w:sz w:val="24"/>
      <w:szCs w:val="24"/>
    </w:rPr>
  </w:style>
  <w:style w:type="character" w:customStyle="1" w:styleId="88">
    <w:name w:val="UserStyle_38"/>
    <w:qFormat/>
    <w:uiPriority w:val="0"/>
    <w:rPr>
      <w:kern w:val="2"/>
      <w:sz w:val="16"/>
      <w:szCs w:val="16"/>
      <w:lang w:bidi="ar-SA"/>
    </w:rPr>
  </w:style>
  <w:style w:type="character" w:customStyle="1" w:styleId="89">
    <w:name w:val="UserStyle_39"/>
    <w:qFormat/>
    <w:locked/>
    <w:uiPriority w:val="0"/>
    <w:rPr>
      <w:rFonts w:ascii="Calibri" w:hAnsi="Calibri" w:eastAsia="宋体" w:cs="Times New Roman"/>
      <w:b/>
      <w:bCs/>
      <w:kern w:val="2"/>
      <w:sz w:val="24"/>
      <w:szCs w:val="24"/>
      <w:lang w:bidi="ar-SA"/>
    </w:rPr>
  </w:style>
  <w:style w:type="character" w:customStyle="1" w:styleId="90">
    <w:name w:val="UserStyle_40"/>
    <w:link w:val="91"/>
    <w:qFormat/>
    <w:uiPriority w:val="0"/>
    <w:rPr>
      <w:rFonts w:ascii="Calibri" w:hAnsi="Calibri"/>
      <w:sz w:val="22"/>
      <w:szCs w:val="22"/>
      <w:lang w:eastAsia="en-US" w:bidi="en-US"/>
    </w:rPr>
  </w:style>
  <w:style w:type="paragraph" w:customStyle="1" w:styleId="91">
    <w:name w:val="BodyText1I2"/>
    <w:basedOn w:val="61"/>
    <w:link w:val="90"/>
    <w:qFormat/>
    <w:uiPriority w:val="0"/>
    <w:pPr>
      <w:spacing w:before="0" w:after="120" w:line="276" w:lineRule="auto"/>
      <w:ind w:left="420" w:leftChars="200" w:firstLine="200" w:firstLineChars="200"/>
      <w:jc w:val="left"/>
      <w:textAlignment w:val="auto"/>
    </w:pPr>
    <w:rPr>
      <w:rFonts w:ascii="Calibri" w:hAnsi="Calibri"/>
      <w:sz w:val="22"/>
      <w:szCs w:val="22"/>
      <w:lang w:eastAsia="en-US" w:bidi="en-US"/>
    </w:rPr>
  </w:style>
  <w:style w:type="character" w:customStyle="1" w:styleId="92">
    <w:name w:val="UserStyle_41"/>
    <w:qFormat/>
    <w:uiPriority w:val="0"/>
    <w:rPr>
      <w:rFonts w:ascii="宋体" w:hAnsi="Courier New" w:eastAsia="宋体"/>
      <w:kern w:val="0"/>
      <w:sz w:val="20"/>
      <w:szCs w:val="21"/>
      <w:lang w:val="zh-CN"/>
    </w:rPr>
  </w:style>
  <w:style w:type="character" w:customStyle="1" w:styleId="93">
    <w:name w:val="UserStyle_42"/>
    <w:link w:val="94"/>
    <w:qFormat/>
    <w:uiPriority w:val="0"/>
    <w:rPr>
      <w:kern w:val="2"/>
      <w:sz w:val="21"/>
      <w:szCs w:val="24"/>
    </w:rPr>
  </w:style>
  <w:style w:type="paragraph" w:customStyle="1" w:styleId="94">
    <w:name w:val="BodyText1I"/>
    <w:basedOn w:val="31"/>
    <w:link w:val="93"/>
    <w:qFormat/>
    <w:uiPriority w:val="0"/>
    <w:pPr>
      <w:ind w:firstLine="420" w:firstLineChars="100"/>
    </w:pPr>
  </w:style>
  <w:style w:type="character" w:customStyle="1" w:styleId="95">
    <w:name w:val="UserStyle_43"/>
    <w:qFormat/>
    <w:uiPriority w:val="0"/>
    <w:rPr>
      <w:rFonts w:ascii="Arial" w:hAnsi="Arial" w:eastAsia="宋体"/>
      <w:kern w:val="2"/>
      <w:sz w:val="21"/>
      <w:szCs w:val="24"/>
      <w:lang w:val="en-US" w:eastAsia="zh-CN" w:bidi="ar-SA"/>
    </w:rPr>
  </w:style>
  <w:style w:type="character" w:customStyle="1" w:styleId="96">
    <w:name w:val="UserStyle_44"/>
    <w:qFormat/>
    <w:uiPriority w:val="0"/>
    <w:rPr>
      <w:kern w:val="2"/>
      <w:sz w:val="21"/>
    </w:rPr>
  </w:style>
  <w:style w:type="character" w:customStyle="1" w:styleId="97">
    <w:name w:val="UserStyle_45"/>
    <w:qFormat/>
    <w:uiPriority w:val="0"/>
    <w:rPr>
      <w:rFonts w:ascii="宋体"/>
      <w:kern w:val="2"/>
      <w:sz w:val="18"/>
      <w:szCs w:val="18"/>
    </w:rPr>
  </w:style>
  <w:style w:type="character" w:customStyle="1" w:styleId="98">
    <w:name w:val="UserStyle_46"/>
    <w:qFormat/>
    <w:uiPriority w:val="0"/>
    <w:rPr>
      <w:rFonts w:ascii="宋体"/>
      <w:kern w:val="2"/>
      <w:sz w:val="18"/>
      <w:szCs w:val="18"/>
    </w:rPr>
  </w:style>
  <w:style w:type="character" w:customStyle="1" w:styleId="99">
    <w:name w:val="UserStyle_47"/>
    <w:qFormat/>
    <w:uiPriority w:val="0"/>
    <w:rPr>
      <w:kern w:val="2"/>
      <w:sz w:val="18"/>
      <w:szCs w:val="18"/>
    </w:rPr>
  </w:style>
  <w:style w:type="character" w:customStyle="1" w:styleId="100">
    <w:name w:val="UserStyle_48"/>
    <w:qFormat/>
    <w:uiPriority w:val="0"/>
    <w:rPr>
      <w:rFonts w:ascii="宋体" w:hAnsi="宋体" w:eastAsia="宋体"/>
      <w:kern w:val="2"/>
      <w:sz w:val="21"/>
      <w:szCs w:val="24"/>
      <w:u w:val="single"/>
      <w:lang w:val="en-US" w:eastAsia="zh-CN" w:bidi="ar-SA"/>
    </w:rPr>
  </w:style>
  <w:style w:type="character" w:customStyle="1" w:styleId="101">
    <w:name w:val="UserStyle_49"/>
    <w:link w:val="102"/>
    <w:qFormat/>
    <w:uiPriority w:val="0"/>
    <w:rPr>
      <w:rFonts w:eastAsia="黑体"/>
      <w:color w:val="000000"/>
      <w:kern w:val="2"/>
      <w:sz w:val="24"/>
      <w:szCs w:val="24"/>
    </w:rPr>
  </w:style>
  <w:style w:type="paragraph" w:customStyle="1" w:styleId="102">
    <w:name w:val="BodyTextIndent3"/>
    <w:basedOn w:val="1"/>
    <w:link w:val="101"/>
    <w:qFormat/>
    <w:uiPriority w:val="0"/>
    <w:pPr>
      <w:spacing w:line="400" w:lineRule="atLeast"/>
      <w:ind w:firstLine="443" w:firstLineChars="200"/>
      <w:textAlignment w:val="bottom"/>
    </w:pPr>
    <w:rPr>
      <w:rFonts w:eastAsia="黑体"/>
      <w:color w:val="000000"/>
      <w:sz w:val="24"/>
    </w:rPr>
  </w:style>
  <w:style w:type="character" w:customStyle="1" w:styleId="103">
    <w:name w:val="UserStyle_50"/>
    <w:link w:val="104"/>
    <w:qFormat/>
    <w:uiPriority w:val="0"/>
    <w:rPr>
      <w:kern w:val="2"/>
      <w:sz w:val="21"/>
      <w:szCs w:val="24"/>
    </w:rPr>
  </w:style>
  <w:style w:type="paragraph" w:customStyle="1" w:styleId="104">
    <w:name w:val="NormalIndent"/>
    <w:basedOn w:val="1"/>
    <w:link w:val="103"/>
    <w:qFormat/>
    <w:uiPriority w:val="0"/>
    <w:pPr>
      <w:ind w:firstLine="420" w:firstLineChars="200"/>
    </w:pPr>
  </w:style>
  <w:style w:type="character" w:customStyle="1" w:styleId="105">
    <w:name w:val="UserStyle_51"/>
    <w:link w:val="106"/>
    <w:qFormat/>
    <w:uiPriority w:val="0"/>
    <w:rPr>
      <w:rFonts w:cs="Times New Roman"/>
      <w:b/>
      <w:bCs/>
      <w:i/>
      <w:iCs/>
      <w:color w:val="4F81BD"/>
      <w:kern w:val="2"/>
      <w:sz w:val="21"/>
      <w:szCs w:val="22"/>
    </w:rPr>
  </w:style>
  <w:style w:type="paragraph" w:customStyle="1" w:styleId="106">
    <w:name w:val="UserStyle_52"/>
    <w:basedOn w:val="1"/>
    <w:next w:val="1"/>
    <w:link w:val="105"/>
    <w:qFormat/>
    <w:uiPriority w:val="0"/>
    <w:pPr>
      <w:pBdr>
        <w:bottom w:val="single" w:color="808080" w:sz="4" w:space="4"/>
      </w:pBdr>
      <w:spacing w:before="200" w:after="280"/>
      <w:ind w:left="936" w:right="936"/>
    </w:pPr>
    <w:rPr>
      <w:b/>
      <w:bCs/>
      <w:i/>
      <w:iCs/>
      <w:color w:val="4F81BD"/>
      <w:szCs w:val="22"/>
    </w:rPr>
  </w:style>
  <w:style w:type="character" w:customStyle="1" w:styleId="107">
    <w:name w:val="UserStyle_53"/>
    <w:qFormat/>
    <w:uiPriority w:val="0"/>
    <w:rPr>
      <w:vanish/>
      <w:color w:val="FF0000"/>
    </w:rPr>
  </w:style>
  <w:style w:type="character" w:customStyle="1" w:styleId="108">
    <w:name w:val="UserStyle_54"/>
    <w:link w:val="109"/>
    <w:qFormat/>
    <w:uiPriority w:val="0"/>
    <w:rPr>
      <w:rFonts w:ascii="Arial" w:hAnsi="Arial" w:eastAsia="新宋体" w:cs="Times New Roman"/>
      <w:b/>
      <w:bCs/>
      <w:kern w:val="2"/>
      <w:sz w:val="32"/>
      <w:szCs w:val="44"/>
    </w:rPr>
  </w:style>
  <w:style w:type="paragraph" w:customStyle="1" w:styleId="109">
    <w:name w:val="UserStyle_55"/>
    <w:basedOn w:val="32"/>
    <w:link w:val="108"/>
    <w:qFormat/>
    <w:uiPriority w:val="0"/>
    <w:pPr>
      <w:keepLines/>
      <w:snapToGrid w:val="0"/>
    </w:pPr>
    <w:rPr>
      <w:rFonts w:ascii="Arial" w:hAnsi="Arial" w:eastAsia="新宋体"/>
      <w:bCs/>
      <w:szCs w:val="44"/>
    </w:rPr>
  </w:style>
  <w:style w:type="character" w:customStyle="1" w:styleId="110">
    <w:name w:val="UserStyle_56"/>
    <w:qFormat/>
    <w:uiPriority w:val="0"/>
    <w:rPr>
      <w:kern w:val="2"/>
      <w:sz w:val="24"/>
      <w:szCs w:val="24"/>
      <w:u w:val="single"/>
    </w:rPr>
  </w:style>
  <w:style w:type="character" w:customStyle="1" w:styleId="111">
    <w:name w:val="UserStyle_57"/>
    <w:qFormat/>
    <w:uiPriority w:val="0"/>
    <w:rPr>
      <w:sz w:val="18"/>
      <w:szCs w:val="18"/>
    </w:rPr>
  </w:style>
  <w:style w:type="character" w:customStyle="1" w:styleId="112">
    <w:name w:val="UserStyle_58"/>
    <w:link w:val="113"/>
    <w:qFormat/>
    <w:uiPriority w:val="0"/>
    <w:rPr>
      <w:rFonts w:ascii="Arial" w:hAnsi="Arial"/>
      <w:color w:val="000000"/>
      <w:kern w:val="2"/>
      <w:sz w:val="21"/>
      <w:szCs w:val="21"/>
    </w:rPr>
  </w:style>
  <w:style w:type="paragraph" w:customStyle="1" w:styleId="113">
    <w:name w:val="UserStyle_59"/>
    <w:basedOn w:val="114"/>
    <w:link w:val="112"/>
    <w:qFormat/>
    <w:uiPriority w:val="0"/>
    <w:pPr>
      <w:snapToGrid w:val="0"/>
      <w:spacing w:line="400" w:lineRule="exact"/>
      <w:ind w:firstLine="200" w:firstLineChars="200"/>
    </w:pPr>
    <w:rPr>
      <w:rFonts w:ascii="Arial" w:hAnsi="Arial"/>
      <w:color w:val="000000"/>
      <w:szCs w:val="21"/>
    </w:rPr>
  </w:style>
  <w:style w:type="paragraph" w:customStyle="1" w:styleId="114">
    <w:name w:val="PlainText"/>
    <w:basedOn w:val="1"/>
    <w:link w:val="202"/>
    <w:qFormat/>
    <w:uiPriority w:val="0"/>
    <w:rPr>
      <w:rFonts w:ascii="宋体" w:hAnsi="Courier New"/>
      <w:szCs w:val="20"/>
    </w:rPr>
  </w:style>
  <w:style w:type="character" w:customStyle="1" w:styleId="115">
    <w:name w:val="UserStyle_60"/>
    <w:qFormat/>
    <w:uiPriority w:val="0"/>
    <w:rPr>
      <w:rFonts w:ascii="Arial" w:hAnsi="Arial" w:eastAsia="黑体" w:cs="Times New Roman"/>
      <w:b/>
      <w:bCs/>
      <w:kern w:val="2"/>
      <w:sz w:val="28"/>
      <w:szCs w:val="28"/>
    </w:rPr>
  </w:style>
  <w:style w:type="character" w:customStyle="1" w:styleId="116">
    <w:name w:val="UserStyle_61"/>
    <w:qFormat/>
    <w:uiPriority w:val="0"/>
    <w:rPr>
      <w:rFonts w:ascii="宋体" w:hAnsi="Times New Roman" w:eastAsia="宋体"/>
      <w:szCs w:val="20"/>
    </w:rPr>
  </w:style>
  <w:style w:type="character" w:customStyle="1" w:styleId="117">
    <w:name w:val="261"/>
    <w:qFormat/>
    <w:uiPriority w:val="0"/>
    <w:rPr>
      <w:rFonts w:cs="Times New Roman"/>
      <w:b/>
      <w:bCs/>
      <w:i/>
      <w:iCs/>
      <w:color w:val="4F81BD"/>
    </w:rPr>
  </w:style>
  <w:style w:type="character" w:customStyle="1" w:styleId="118">
    <w:name w:val="UserStyle_62"/>
    <w:qFormat/>
    <w:uiPriority w:val="0"/>
    <w:rPr>
      <w:rFonts w:cs="Times New Roman"/>
      <w:b/>
      <w:bCs/>
      <w:sz w:val="24"/>
      <w:szCs w:val="24"/>
    </w:rPr>
  </w:style>
  <w:style w:type="character" w:customStyle="1" w:styleId="119">
    <w:name w:val="UserStyle_63"/>
    <w:qFormat/>
    <w:uiPriority w:val="0"/>
    <w:rPr>
      <w:rFonts w:ascii="Calibri" w:hAnsi="Calibri"/>
      <w:sz w:val="22"/>
      <w:szCs w:val="22"/>
      <w:lang w:val="en-US" w:eastAsia="zh-CN" w:bidi="ar-SA"/>
    </w:rPr>
  </w:style>
  <w:style w:type="character" w:customStyle="1" w:styleId="120">
    <w:name w:val="UserStyle_64"/>
    <w:qFormat/>
    <w:uiPriority w:val="0"/>
    <w:rPr>
      <w:i/>
      <w:iCs/>
      <w:color w:val="000000"/>
      <w:kern w:val="2"/>
      <w:sz w:val="21"/>
      <w:szCs w:val="24"/>
    </w:rPr>
  </w:style>
  <w:style w:type="character" w:customStyle="1" w:styleId="121">
    <w:name w:val="UserStyle_65"/>
    <w:qFormat/>
    <w:uiPriority w:val="0"/>
    <w:rPr>
      <w:rFonts w:cs="Times New Roman"/>
      <w:b/>
      <w:bCs/>
      <w:i/>
      <w:iCs/>
      <w:color w:val="4F81BD"/>
      <w:kern w:val="2"/>
      <w:sz w:val="21"/>
      <w:szCs w:val="24"/>
    </w:rPr>
  </w:style>
  <w:style w:type="character" w:customStyle="1" w:styleId="122">
    <w:name w:val="UserStyle_66"/>
    <w:qFormat/>
    <w:uiPriority w:val="0"/>
    <w:rPr>
      <w:kern w:val="2"/>
      <w:sz w:val="21"/>
    </w:rPr>
  </w:style>
  <w:style w:type="character" w:customStyle="1" w:styleId="123">
    <w:name w:val="UserStyle_67"/>
    <w:qFormat/>
    <w:uiPriority w:val="0"/>
    <w:rPr>
      <w:rFonts w:ascii="黑体" w:hAnsi="Times New Roman" w:eastAsia="黑体"/>
      <w:b/>
      <w:color w:val="000000"/>
      <w:kern w:val="0"/>
      <w:sz w:val="28"/>
      <w:szCs w:val="20"/>
      <w:lang w:val="zh-CN" w:eastAsia="zh-CN"/>
    </w:rPr>
  </w:style>
  <w:style w:type="character" w:customStyle="1" w:styleId="124">
    <w:name w:val="UserStyle_68"/>
    <w:qFormat/>
    <w:uiPriority w:val="0"/>
    <w:rPr>
      <w:spacing w:val="20"/>
      <w:kern w:val="2"/>
      <w:sz w:val="28"/>
    </w:rPr>
  </w:style>
  <w:style w:type="character" w:customStyle="1" w:styleId="125">
    <w:name w:val="UserStyle_69"/>
    <w:qFormat/>
    <w:uiPriority w:val="0"/>
    <w:rPr>
      <w:kern w:val="2"/>
      <w:sz w:val="18"/>
      <w:szCs w:val="18"/>
    </w:rPr>
  </w:style>
  <w:style w:type="character" w:customStyle="1" w:styleId="126">
    <w:name w:val="UserStyle_70"/>
    <w:qFormat/>
    <w:uiPriority w:val="0"/>
    <w:rPr>
      <w:kern w:val="2"/>
      <w:sz w:val="21"/>
      <w:szCs w:val="24"/>
    </w:rPr>
  </w:style>
  <w:style w:type="character" w:customStyle="1" w:styleId="127">
    <w:name w:val="UserStyle_71"/>
    <w:link w:val="128"/>
    <w:qFormat/>
    <w:uiPriority w:val="0"/>
    <w:rPr>
      <w:i/>
      <w:iCs/>
      <w:color w:val="000000"/>
      <w:kern w:val="2"/>
      <w:sz w:val="21"/>
      <w:szCs w:val="22"/>
    </w:rPr>
  </w:style>
  <w:style w:type="paragraph" w:customStyle="1" w:styleId="128">
    <w:name w:val="UserStyle_72"/>
    <w:basedOn w:val="1"/>
    <w:next w:val="1"/>
    <w:link w:val="127"/>
    <w:qFormat/>
    <w:uiPriority w:val="0"/>
    <w:rPr>
      <w:i/>
      <w:iCs/>
      <w:color w:val="000000"/>
      <w:szCs w:val="22"/>
    </w:rPr>
  </w:style>
  <w:style w:type="character" w:customStyle="1" w:styleId="129">
    <w:name w:val="UserStyle_73"/>
    <w:qFormat/>
    <w:uiPriority w:val="0"/>
    <w:rPr>
      <w:rFonts w:ascii="Arial" w:hAnsi="Arial" w:eastAsia="宋体"/>
      <w:kern w:val="2"/>
      <w:sz w:val="21"/>
      <w:lang w:val="en-US" w:eastAsia="zh-CN" w:bidi="ar-SA"/>
    </w:rPr>
  </w:style>
  <w:style w:type="character" w:customStyle="1" w:styleId="130">
    <w:name w:val="UserStyle_74"/>
    <w:qFormat/>
    <w:uiPriority w:val="0"/>
    <w:rPr>
      <w:kern w:val="2"/>
      <w:sz w:val="21"/>
    </w:rPr>
  </w:style>
  <w:style w:type="character" w:customStyle="1" w:styleId="131">
    <w:name w:val="UserStyle_75"/>
    <w:qFormat/>
    <w:uiPriority w:val="0"/>
    <w:rPr>
      <w:sz w:val="18"/>
      <w:szCs w:val="18"/>
    </w:rPr>
  </w:style>
  <w:style w:type="character" w:customStyle="1" w:styleId="132">
    <w:name w:val="UserStyle_76"/>
    <w:qFormat/>
    <w:uiPriority w:val="0"/>
    <w:rPr>
      <w:rFonts w:eastAsia="黑体"/>
      <w:spacing w:val="20"/>
      <w:kern w:val="2"/>
      <w:sz w:val="28"/>
    </w:rPr>
  </w:style>
  <w:style w:type="character" w:customStyle="1" w:styleId="133">
    <w:name w:val="UserStyle_77"/>
    <w:qFormat/>
    <w:uiPriority w:val="0"/>
    <w:rPr>
      <w:rFonts w:cs="Times New Roman"/>
      <w:b/>
      <w:bCs/>
      <w:i/>
      <w:iCs/>
      <w:color w:val="4F81BD"/>
      <w:kern w:val="2"/>
      <w:sz w:val="21"/>
      <w:szCs w:val="24"/>
    </w:rPr>
  </w:style>
  <w:style w:type="character" w:customStyle="1" w:styleId="134">
    <w:name w:val="UserStyle_78"/>
    <w:qFormat/>
    <w:uiPriority w:val="0"/>
    <w:rPr>
      <w:rFonts w:cs="Times New Roman"/>
      <w:b/>
      <w:bCs/>
      <w:kern w:val="2"/>
      <w:sz w:val="32"/>
      <w:szCs w:val="44"/>
    </w:rPr>
  </w:style>
  <w:style w:type="character" w:customStyle="1" w:styleId="135">
    <w:name w:val="UserStyle_79"/>
    <w:qFormat/>
    <w:uiPriority w:val="0"/>
    <w:rPr>
      <w:rFonts w:ascii="黑体" w:eastAsia="黑体"/>
    </w:rPr>
  </w:style>
  <w:style w:type="character" w:customStyle="1" w:styleId="136">
    <w:name w:val="UserStyle_80"/>
    <w:qFormat/>
    <w:uiPriority w:val="0"/>
    <w:rPr>
      <w:rFonts w:ascii="Times New Roman" w:hAnsi="Times New Roman"/>
      <w:kern w:val="2"/>
      <w:sz w:val="21"/>
      <w:szCs w:val="24"/>
    </w:rPr>
  </w:style>
  <w:style w:type="character" w:customStyle="1" w:styleId="137">
    <w:name w:val="UserStyle_81"/>
    <w:link w:val="138"/>
    <w:qFormat/>
    <w:uiPriority w:val="0"/>
    <w:rPr>
      <w:rFonts w:cs="Times New Roman"/>
      <w:b/>
      <w:bCs/>
      <w:color w:val="000000"/>
      <w:kern w:val="2"/>
      <w:sz w:val="28"/>
      <w:szCs w:val="24"/>
    </w:rPr>
  </w:style>
  <w:style w:type="paragraph" w:customStyle="1" w:styleId="138">
    <w:name w:val="BodyText2"/>
    <w:basedOn w:val="1"/>
    <w:link w:val="137"/>
    <w:qFormat/>
    <w:uiPriority w:val="0"/>
    <w:rPr>
      <w:b/>
      <w:bCs/>
      <w:color w:val="000000"/>
      <w:sz w:val="28"/>
    </w:rPr>
  </w:style>
  <w:style w:type="character" w:customStyle="1" w:styleId="139">
    <w:name w:val="UserStyle_82"/>
    <w:qFormat/>
    <w:uiPriority w:val="0"/>
    <w:rPr>
      <w:kern w:val="2"/>
      <w:sz w:val="18"/>
      <w:szCs w:val="18"/>
    </w:rPr>
  </w:style>
  <w:style w:type="character" w:customStyle="1" w:styleId="140">
    <w:name w:val="264"/>
    <w:qFormat/>
    <w:uiPriority w:val="0"/>
    <w:rPr>
      <w:rFonts w:cs="Times New Roman"/>
      <w:b/>
      <w:bCs/>
      <w:smallCaps/>
      <w:spacing w:val="5"/>
    </w:rPr>
  </w:style>
  <w:style w:type="character" w:customStyle="1" w:styleId="141">
    <w:name w:val="UserStyle_83"/>
    <w:qFormat/>
    <w:uiPriority w:val="0"/>
    <w:rPr>
      <w:kern w:val="2"/>
      <w:sz w:val="21"/>
      <w:szCs w:val="22"/>
    </w:rPr>
  </w:style>
  <w:style w:type="character" w:customStyle="1" w:styleId="142">
    <w:name w:val="UserStyle_84"/>
    <w:qFormat/>
    <w:uiPriority w:val="0"/>
    <w:rPr>
      <w:kern w:val="2"/>
      <w:sz w:val="16"/>
      <w:szCs w:val="16"/>
    </w:rPr>
  </w:style>
  <w:style w:type="character" w:customStyle="1" w:styleId="143">
    <w:name w:val="UserStyle_85"/>
    <w:link w:val="144"/>
    <w:qFormat/>
    <w:uiPriority w:val="0"/>
    <w:rPr>
      <w:rFonts w:eastAsia="仿宋"/>
      <w:sz w:val="32"/>
    </w:rPr>
  </w:style>
  <w:style w:type="paragraph" w:customStyle="1" w:styleId="144">
    <w:name w:val="UserStyle_86"/>
    <w:basedOn w:val="1"/>
    <w:link w:val="143"/>
    <w:qFormat/>
    <w:uiPriority w:val="0"/>
    <w:pPr>
      <w:spacing w:line="360" w:lineRule="auto"/>
      <w:ind w:firstLine="480" w:firstLineChars="200"/>
    </w:pPr>
    <w:rPr>
      <w:rFonts w:eastAsia="仿宋"/>
      <w:kern w:val="0"/>
      <w:sz w:val="32"/>
      <w:szCs w:val="20"/>
    </w:rPr>
  </w:style>
  <w:style w:type="character" w:customStyle="1" w:styleId="145">
    <w:name w:val="UserStyle_87"/>
    <w:qFormat/>
    <w:uiPriority w:val="0"/>
    <w:rPr>
      <w:sz w:val="18"/>
      <w:szCs w:val="18"/>
    </w:rPr>
  </w:style>
  <w:style w:type="character" w:customStyle="1" w:styleId="146">
    <w:name w:val="UserStyle_88"/>
    <w:qFormat/>
    <w:uiPriority w:val="0"/>
    <w:rPr>
      <w:rFonts w:ascii="宋体" w:hAnsi="Arial" w:eastAsia="宋体"/>
      <w:b/>
      <w:color w:val="000000"/>
      <w:kern w:val="44"/>
      <w:sz w:val="36"/>
      <w:szCs w:val="20"/>
    </w:rPr>
  </w:style>
  <w:style w:type="character" w:customStyle="1" w:styleId="147">
    <w:name w:val="UserStyle_89"/>
    <w:qFormat/>
    <w:uiPriority w:val="0"/>
    <w:rPr>
      <w:rFonts w:ascii="Arial" w:hAnsi="Arial" w:eastAsia="宋体"/>
      <w:color w:val="000000"/>
      <w:sz w:val="20"/>
    </w:rPr>
  </w:style>
  <w:style w:type="character" w:customStyle="1" w:styleId="148">
    <w:name w:val="UserStyle_90"/>
    <w:link w:val="149"/>
    <w:qFormat/>
    <w:uiPriority w:val="0"/>
    <w:rPr>
      <w:rFonts w:ascii="宋体" w:hAnsi="Courier New" w:eastAsia="Times New Roman"/>
      <w:color w:val="000000"/>
      <w:kern w:val="2"/>
      <w:sz w:val="21"/>
      <w:szCs w:val="21"/>
    </w:rPr>
  </w:style>
  <w:style w:type="paragraph" w:customStyle="1" w:styleId="149">
    <w:name w:val="UserStyle_91"/>
    <w:basedOn w:val="114"/>
    <w:link w:val="148"/>
    <w:qFormat/>
    <w:uiPriority w:val="0"/>
    <w:rPr>
      <w:rFonts w:eastAsia="Times New Roman"/>
      <w:color w:val="000000"/>
      <w:szCs w:val="21"/>
    </w:rPr>
  </w:style>
  <w:style w:type="character" w:customStyle="1" w:styleId="150">
    <w:name w:val="UserStyle_92"/>
    <w:qFormat/>
    <w:uiPriority w:val="0"/>
    <w:rPr>
      <w:rFonts w:ascii="Times New Roman" w:hAnsi="Times New Roman" w:eastAsia="宋体" w:cs="Times New Roman"/>
      <w:b/>
      <w:bCs/>
      <w:kern w:val="0"/>
      <w:sz w:val="24"/>
      <w:szCs w:val="24"/>
    </w:rPr>
  </w:style>
  <w:style w:type="character" w:customStyle="1" w:styleId="151">
    <w:name w:val="UserStyle_93"/>
    <w:qFormat/>
    <w:uiPriority w:val="0"/>
    <w:rPr>
      <w:sz w:val="22"/>
      <w:szCs w:val="22"/>
    </w:rPr>
  </w:style>
  <w:style w:type="character" w:customStyle="1" w:styleId="152">
    <w:name w:val="UserStyle_94"/>
    <w:qFormat/>
    <w:uiPriority w:val="0"/>
    <w:rPr>
      <w:rFonts w:ascii="Times New Roman"/>
      <w:sz w:val="21"/>
      <w:szCs w:val="24"/>
    </w:rPr>
  </w:style>
  <w:style w:type="character" w:customStyle="1" w:styleId="153">
    <w:name w:val="UserStyle_95"/>
    <w:qFormat/>
    <w:uiPriority w:val="0"/>
    <w:rPr>
      <w:rFonts w:ascii="Arial" w:hAnsi="Arial" w:eastAsia="黑体" w:cs="Times New Roman"/>
      <w:b/>
      <w:bCs/>
      <w:kern w:val="2"/>
      <w:sz w:val="28"/>
      <w:szCs w:val="28"/>
      <w:lang w:val="en-US" w:eastAsia="zh-CN" w:bidi="ar-SA"/>
    </w:rPr>
  </w:style>
  <w:style w:type="character" w:customStyle="1" w:styleId="154">
    <w:name w:val="UserStyle_96"/>
    <w:qFormat/>
    <w:uiPriority w:val="0"/>
    <w:rPr>
      <w:rFonts w:ascii="宋体" w:eastAsia="宋体"/>
      <w:b/>
      <w:kern w:val="44"/>
      <w:sz w:val="36"/>
      <w:lang w:val="en-US" w:eastAsia="zh-CN" w:bidi="ar-SA"/>
    </w:rPr>
  </w:style>
  <w:style w:type="character" w:customStyle="1" w:styleId="155">
    <w:name w:val="UserStyle_97"/>
    <w:qFormat/>
    <w:uiPriority w:val="0"/>
    <w:rPr>
      <w:sz w:val="29"/>
      <w:szCs w:val="29"/>
    </w:rPr>
  </w:style>
  <w:style w:type="character" w:customStyle="1" w:styleId="156">
    <w:name w:val="UserStyle_98"/>
    <w:qFormat/>
    <w:uiPriority w:val="0"/>
    <w:rPr>
      <w:sz w:val="18"/>
      <w:szCs w:val="18"/>
    </w:rPr>
  </w:style>
  <w:style w:type="character" w:customStyle="1" w:styleId="157">
    <w:name w:val="UserStyle_99"/>
    <w:qFormat/>
    <w:uiPriority w:val="0"/>
    <w:rPr>
      <w:rFonts w:ascii="Cambria" w:hAnsi="Cambria" w:eastAsia="宋体" w:cs="Times New Roman"/>
      <w:b/>
      <w:bCs/>
      <w:kern w:val="2"/>
      <w:sz w:val="32"/>
      <w:szCs w:val="32"/>
      <w:lang w:val="en-US" w:eastAsia="zh-CN" w:bidi="ar-SA"/>
    </w:rPr>
  </w:style>
  <w:style w:type="character" w:customStyle="1" w:styleId="158">
    <w:name w:val="UserStyle_100"/>
    <w:link w:val="159"/>
    <w:qFormat/>
    <w:uiPriority w:val="0"/>
    <w:rPr>
      <w:rFonts w:ascii="Arial" w:hAnsi="Arial" w:cs="Times New Roman"/>
      <w:b/>
      <w:bCs/>
      <w:sz w:val="24"/>
      <w:szCs w:val="32"/>
    </w:rPr>
  </w:style>
  <w:style w:type="paragraph" w:customStyle="1" w:styleId="159">
    <w:name w:val="UserStyle_101"/>
    <w:basedOn w:val="34"/>
    <w:link w:val="158"/>
    <w:qFormat/>
    <w:uiPriority w:val="0"/>
    <w:pPr>
      <w:keepNext/>
      <w:keepLines/>
      <w:tabs>
        <w:tab w:val="left" w:pos="400"/>
      </w:tabs>
      <w:snapToGrid w:val="0"/>
      <w:spacing w:before="260" w:after="260" w:line="413" w:lineRule="auto"/>
    </w:pPr>
    <w:rPr>
      <w:rFonts w:ascii="Arial" w:hAnsi="Arial"/>
      <w:b/>
      <w:bCs/>
      <w:kern w:val="0"/>
      <w:szCs w:val="32"/>
    </w:rPr>
  </w:style>
  <w:style w:type="character" w:customStyle="1" w:styleId="160">
    <w:name w:val="UserStyle_102"/>
    <w:qFormat/>
    <w:uiPriority w:val="0"/>
    <w:rPr>
      <w:spacing w:val="20"/>
      <w:kern w:val="2"/>
      <w:sz w:val="28"/>
    </w:rPr>
  </w:style>
  <w:style w:type="character" w:customStyle="1" w:styleId="161">
    <w:name w:val="UserStyle_103"/>
    <w:qFormat/>
    <w:uiPriority w:val="0"/>
    <w:rPr>
      <w:rFonts w:eastAsia="宋体" w:cs="Times New Roman"/>
      <w:b/>
      <w:bCs/>
      <w:kern w:val="2"/>
      <w:sz w:val="21"/>
      <w:szCs w:val="24"/>
      <w:lang w:val="en-US" w:eastAsia="zh-CN" w:bidi="ar-SA"/>
    </w:rPr>
  </w:style>
  <w:style w:type="character" w:customStyle="1" w:styleId="162">
    <w:name w:val="UserStyle_104"/>
    <w:qFormat/>
    <w:uiPriority w:val="0"/>
    <w:rPr>
      <w:rFonts w:ascii="Cambria" w:hAnsi="Cambria" w:cs="Times New Roman"/>
      <w:b/>
      <w:bCs/>
      <w:kern w:val="28"/>
      <w:sz w:val="32"/>
      <w:szCs w:val="32"/>
    </w:rPr>
  </w:style>
  <w:style w:type="character" w:customStyle="1" w:styleId="163">
    <w:name w:val="UserStyle_105"/>
    <w:qFormat/>
    <w:uiPriority w:val="0"/>
    <w:rPr>
      <w:rFonts w:eastAsia="宋体"/>
      <w:kern w:val="2"/>
      <w:sz w:val="21"/>
      <w:szCs w:val="24"/>
      <w:lang w:val="en-US" w:eastAsia="zh-CN" w:bidi="ar-SA"/>
    </w:rPr>
  </w:style>
  <w:style w:type="character" w:customStyle="1" w:styleId="164">
    <w:name w:val="UserStyle_106"/>
    <w:qFormat/>
    <w:uiPriority w:val="0"/>
    <w:rPr>
      <w:rFonts w:ascii="宋体" w:eastAsia="宋体"/>
      <w:kern w:val="2"/>
      <w:sz w:val="18"/>
      <w:szCs w:val="18"/>
      <w:lang w:val="en-US" w:eastAsia="zh-CN" w:bidi="ar-SA"/>
    </w:rPr>
  </w:style>
  <w:style w:type="character" w:customStyle="1" w:styleId="165">
    <w:name w:val="UserStyle_107"/>
    <w:qFormat/>
    <w:uiPriority w:val="0"/>
    <w:rPr>
      <w:rFonts w:ascii="Arial" w:hAnsi="Arial" w:eastAsia="黑体"/>
      <w:sz w:val="21"/>
      <w:szCs w:val="21"/>
    </w:rPr>
  </w:style>
  <w:style w:type="character" w:customStyle="1" w:styleId="166">
    <w:name w:val="UserStyle_108"/>
    <w:link w:val="167"/>
    <w:qFormat/>
    <w:uiPriority w:val="0"/>
    <w:rPr>
      <w:sz w:val="36"/>
    </w:rPr>
  </w:style>
  <w:style w:type="paragraph" w:customStyle="1" w:styleId="167">
    <w:name w:val="UserStyle_109"/>
    <w:basedOn w:val="33"/>
    <w:link w:val="166"/>
    <w:qFormat/>
    <w:uiPriority w:val="0"/>
    <w:pPr>
      <w:tabs>
        <w:tab w:val="left" w:pos="420"/>
        <w:tab w:val="left" w:pos="454"/>
      </w:tabs>
      <w:spacing w:before="260" w:after="260" w:line="413" w:lineRule="auto"/>
      <w:ind w:firstLine="0" w:firstLineChars="0"/>
      <w:jc w:val="center"/>
    </w:pPr>
    <w:rPr>
      <w:rFonts w:ascii="Times New Roman" w:hAnsi="Times New Roman"/>
      <w:b w:val="0"/>
      <w:bCs w:val="0"/>
      <w:kern w:val="0"/>
      <w:sz w:val="36"/>
      <w:szCs w:val="20"/>
    </w:rPr>
  </w:style>
  <w:style w:type="character" w:customStyle="1" w:styleId="168">
    <w:name w:val="UserStyle_110"/>
    <w:link w:val="169"/>
    <w:qFormat/>
    <w:uiPriority w:val="0"/>
    <w:rPr>
      <w:kern w:val="2"/>
      <w:sz w:val="21"/>
      <w:szCs w:val="24"/>
      <w:shd w:val="clear" w:color="auto" w:fill="000080"/>
    </w:rPr>
  </w:style>
  <w:style w:type="paragraph" w:customStyle="1" w:styleId="169">
    <w:name w:val="NavPane"/>
    <w:basedOn w:val="1"/>
    <w:link w:val="168"/>
    <w:qFormat/>
    <w:uiPriority w:val="0"/>
    <w:pPr>
      <w:shd w:val="clear" w:color="auto" w:fill="000080"/>
    </w:pPr>
  </w:style>
  <w:style w:type="character" w:customStyle="1" w:styleId="170">
    <w:name w:val="UserStyle_111"/>
    <w:qFormat/>
    <w:uiPriority w:val="0"/>
    <w:rPr>
      <w:rFonts w:ascii="Arial" w:hAnsi="Arial"/>
      <w:b/>
      <w:sz w:val="32"/>
    </w:rPr>
  </w:style>
  <w:style w:type="character" w:customStyle="1" w:styleId="171">
    <w:name w:val="UserStyle_112"/>
    <w:qFormat/>
    <w:uiPriority w:val="0"/>
    <w:rPr>
      <w:rFonts w:ascii="Arial" w:hAnsi="Arial" w:eastAsia="宋体"/>
      <w:color w:val="000000"/>
      <w:sz w:val="20"/>
    </w:rPr>
  </w:style>
  <w:style w:type="character" w:customStyle="1" w:styleId="172">
    <w:name w:val="UserStyle_113"/>
    <w:qFormat/>
    <w:uiPriority w:val="0"/>
  </w:style>
  <w:style w:type="character" w:customStyle="1" w:styleId="173">
    <w:name w:val="UserStyle_114"/>
    <w:qFormat/>
    <w:uiPriority w:val="0"/>
    <w:rPr>
      <w:rFonts w:ascii="Arial" w:hAnsi="Arial" w:eastAsia="宋体"/>
      <w:kern w:val="2"/>
      <w:sz w:val="21"/>
      <w:szCs w:val="24"/>
      <w:lang w:val="en-US" w:eastAsia="zh-CN" w:bidi="ar-SA"/>
    </w:rPr>
  </w:style>
  <w:style w:type="character" w:customStyle="1" w:styleId="174">
    <w:name w:val="UserStyle_115"/>
    <w:qFormat/>
    <w:uiPriority w:val="0"/>
    <w:rPr>
      <w:rFonts w:ascii="Arial" w:hAnsi="Arial" w:eastAsia="黑体" w:cs="Times New Roman"/>
      <w:b/>
      <w:bCs/>
      <w:kern w:val="2"/>
      <w:sz w:val="28"/>
      <w:szCs w:val="28"/>
      <w:lang w:val="en-US" w:eastAsia="zh-CN" w:bidi="ar-SA"/>
    </w:rPr>
  </w:style>
  <w:style w:type="character" w:customStyle="1" w:styleId="175">
    <w:name w:val="UserStyle_116"/>
    <w:qFormat/>
    <w:uiPriority w:val="0"/>
    <w:rPr>
      <w:rFonts w:ascii="Times New Roman" w:hAnsi="Times New Roman" w:eastAsia="宋体"/>
      <w:sz w:val="18"/>
      <w:szCs w:val="18"/>
    </w:rPr>
  </w:style>
  <w:style w:type="character" w:customStyle="1" w:styleId="176">
    <w:name w:val="UserStyle_117"/>
    <w:qFormat/>
    <w:uiPriority w:val="0"/>
  </w:style>
  <w:style w:type="character" w:customStyle="1" w:styleId="177">
    <w:name w:val="UserStyle_118"/>
    <w:link w:val="33"/>
    <w:qFormat/>
    <w:uiPriority w:val="0"/>
    <w:rPr>
      <w:rFonts w:ascii="Arial" w:hAnsi="Arial" w:cs="Times New Roman"/>
      <w:b/>
      <w:bCs/>
      <w:kern w:val="2"/>
      <w:sz w:val="21"/>
      <w:szCs w:val="32"/>
    </w:rPr>
  </w:style>
  <w:style w:type="character" w:customStyle="1" w:styleId="178">
    <w:name w:val="UserStyle_119"/>
    <w:qFormat/>
    <w:uiPriority w:val="0"/>
  </w:style>
  <w:style w:type="character" w:customStyle="1" w:styleId="179">
    <w:name w:val="UserStyle_120"/>
    <w:link w:val="180"/>
    <w:qFormat/>
    <w:uiPriority w:val="0"/>
    <w:rPr>
      <w:rFonts w:ascii="Arial" w:hAnsi="Arial"/>
      <w:kern w:val="2"/>
      <w:sz w:val="21"/>
      <w:szCs w:val="24"/>
    </w:rPr>
  </w:style>
  <w:style w:type="paragraph" w:customStyle="1" w:styleId="180">
    <w:name w:val="UserStyle_121"/>
    <w:basedOn w:val="1"/>
    <w:link w:val="179"/>
    <w:qFormat/>
    <w:uiPriority w:val="0"/>
    <w:pPr>
      <w:spacing w:line="360" w:lineRule="exact"/>
      <w:ind w:firstLine="200" w:firstLineChars="200"/>
    </w:pPr>
    <w:rPr>
      <w:rFonts w:ascii="Arial" w:hAnsi="Arial"/>
    </w:rPr>
  </w:style>
  <w:style w:type="character" w:customStyle="1" w:styleId="181">
    <w:name w:val="UserStyle_122"/>
    <w:qFormat/>
    <w:uiPriority w:val="0"/>
    <w:rPr>
      <w:rFonts w:ascii="Arial" w:hAnsi="Arial" w:eastAsia="黑体"/>
      <w:sz w:val="24"/>
      <w:szCs w:val="24"/>
    </w:rPr>
  </w:style>
  <w:style w:type="character" w:customStyle="1" w:styleId="182">
    <w:name w:val="UserStyle_123"/>
    <w:qFormat/>
    <w:uiPriority w:val="0"/>
    <w:rPr>
      <w:rFonts w:ascii="Cambria" w:hAnsi="Cambria" w:cs="Times New Roman"/>
      <w:b/>
      <w:bCs/>
      <w:kern w:val="28"/>
      <w:sz w:val="32"/>
      <w:szCs w:val="32"/>
    </w:rPr>
  </w:style>
  <w:style w:type="character" w:customStyle="1" w:styleId="183">
    <w:name w:val="UserStyle_124"/>
    <w:qFormat/>
    <w:uiPriority w:val="0"/>
    <w:rPr>
      <w:rFonts w:ascii="宋体" w:hAnsi="Times New Roman" w:eastAsia="宋体"/>
      <w:sz w:val="24"/>
      <w:szCs w:val="20"/>
    </w:rPr>
  </w:style>
  <w:style w:type="character" w:customStyle="1" w:styleId="184">
    <w:name w:val="UserStyle_125"/>
    <w:qFormat/>
    <w:uiPriority w:val="0"/>
    <w:rPr>
      <w:rFonts w:ascii="Cambria" w:hAnsi="Cambria" w:eastAsia="宋体" w:cs="Times New Roman"/>
      <w:b/>
      <w:bCs/>
      <w:kern w:val="2"/>
      <w:sz w:val="32"/>
      <w:szCs w:val="32"/>
      <w:lang w:val="en-US" w:eastAsia="zh-CN" w:bidi="ar-SA"/>
    </w:rPr>
  </w:style>
  <w:style w:type="character" w:customStyle="1" w:styleId="185">
    <w:name w:val="UserStyle_126"/>
    <w:link w:val="186"/>
    <w:qFormat/>
    <w:uiPriority w:val="0"/>
    <w:rPr>
      <w:rFonts w:cs="Times New Roman"/>
      <w:b/>
      <w:bCs/>
      <w:i/>
      <w:iCs/>
      <w:color w:val="4F81BD"/>
      <w:kern w:val="2"/>
      <w:sz w:val="21"/>
      <w:szCs w:val="24"/>
    </w:rPr>
  </w:style>
  <w:style w:type="paragraph" w:customStyle="1" w:styleId="186">
    <w:name w:val="UserStyle_127"/>
    <w:basedOn w:val="1"/>
    <w:next w:val="1"/>
    <w:link w:val="185"/>
    <w:qFormat/>
    <w:uiPriority w:val="0"/>
    <w:pPr>
      <w:pBdr>
        <w:bottom w:val="single" w:color="808080" w:sz="4" w:space="4"/>
      </w:pBdr>
      <w:spacing w:before="200" w:after="280"/>
      <w:ind w:left="936" w:right="936"/>
    </w:pPr>
    <w:rPr>
      <w:b/>
      <w:bCs/>
      <w:i/>
      <w:iCs/>
      <w:color w:val="4F81BD"/>
    </w:rPr>
  </w:style>
  <w:style w:type="character" w:customStyle="1" w:styleId="187">
    <w:name w:val="UserStyle_128"/>
    <w:qFormat/>
    <w:uiPriority w:val="0"/>
    <w:rPr>
      <w:kern w:val="2"/>
      <w:sz w:val="16"/>
      <w:szCs w:val="16"/>
    </w:rPr>
  </w:style>
  <w:style w:type="character" w:customStyle="1" w:styleId="188">
    <w:name w:val="UserStyle_129"/>
    <w:qFormat/>
    <w:uiPriority w:val="0"/>
    <w:rPr>
      <w:rFonts w:ascii="宋体" w:hAnsi="???|CS?o｡ﾀ?"/>
      <w:sz w:val="21"/>
      <w:szCs w:val="28"/>
      <w:lang w:val="en-US" w:eastAsia="zh-CN" w:bidi="ar-SA"/>
    </w:rPr>
  </w:style>
  <w:style w:type="character" w:customStyle="1" w:styleId="189">
    <w:name w:val="UserStyle_130"/>
    <w:qFormat/>
    <w:uiPriority w:val="0"/>
  </w:style>
  <w:style w:type="character" w:customStyle="1" w:styleId="190">
    <w:name w:val="UserStyle_131"/>
    <w:link w:val="191"/>
    <w:qFormat/>
    <w:uiPriority w:val="0"/>
    <w:rPr>
      <w:rFonts w:ascii="楷体_GB2312" w:eastAsia="楷体_GB2312"/>
      <w:b/>
      <w:color w:val="000000"/>
      <w:kern w:val="2"/>
      <w:sz w:val="30"/>
      <w:szCs w:val="24"/>
    </w:rPr>
  </w:style>
  <w:style w:type="paragraph" w:customStyle="1" w:styleId="191">
    <w:name w:val="BodyText3"/>
    <w:basedOn w:val="1"/>
    <w:link w:val="190"/>
    <w:qFormat/>
    <w:uiPriority w:val="0"/>
    <w:pPr>
      <w:spacing w:line="440" w:lineRule="atLeast"/>
      <w:jc w:val="center"/>
    </w:pPr>
    <w:rPr>
      <w:rFonts w:ascii="楷体_GB2312" w:eastAsia="楷体_GB2312"/>
      <w:b/>
      <w:color w:val="000000"/>
      <w:sz w:val="30"/>
    </w:rPr>
  </w:style>
  <w:style w:type="character" w:customStyle="1" w:styleId="192">
    <w:name w:val="UserStyle_132"/>
    <w:qFormat/>
    <w:uiPriority w:val="0"/>
    <w:rPr>
      <w:spacing w:val="20"/>
      <w:kern w:val="2"/>
      <w:sz w:val="28"/>
    </w:rPr>
  </w:style>
  <w:style w:type="character" w:customStyle="1" w:styleId="193">
    <w:name w:val="标题 Char"/>
    <w:link w:val="18"/>
    <w:qFormat/>
    <w:uiPriority w:val="0"/>
    <w:rPr>
      <w:kern w:val="2"/>
      <w:sz w:val="30"/>
      <w:szCs w:val="24"/>
    </w:rPr>
  </w:style>
  <w:style w:type="character" w:customStyle="1" w:styleId="194">
    <w:name w:val="UserStyle_134"/>
    <w:link w:val="195"/>
    <w:qFormat/>
    <w:uiPriority w:val="0"/>
    <w:rPr>
      <w:rFonts w:eastAsia="仿宋_GB2312"/>
      <w:kern w:val="2"/>
      <w:sz w:val="32"/>
    </w:rPr>
  </w:style>
  <w:style w:type="paragraph" w:customStyle="1" w:styleId="195">
    <w:name w:val="UserStyle_135"/>
    <w:basedOn w:val="1"/>
    <w:link w:val="194"/>
    <w:qFormat/>
    <w:uiPriority w:val="0"/>
    <w:rPr>
      <w:rFonts w:eastAsia="仿宋_GB2312"/>
      <w:sz w:val="32"/>
      <w:szCs w:val="20"/>
    </w:rPr>
  </w:style>
  <w:style w:type="character" w:customStyle="1" w:styleId="196">
    <w:name w:val="UserStyle_136"/>
    <w:qFormat/>
    <w:uiPriority w:val="0"/>
    <w:rPr>
      <w:rFonts w:ascii="宋体" w:eastAsia="宋体"/>
      <w:b/>
      <w:kern w:val="44"/>
      <w:sz w:val="36"/>
      <w:lang w:val="en-US" w:eastAsia="zh-CN" w:bidi="ar-SA"/>
    </w:rPr>
  </w:style>
  <w:style w:type="character" w:customStyle="1" w:styleId="197">
    <w:name w:val="UserStyle_137"/>
    <w:link w:val="40"/>
    <w:qFormat/>
    <w:uiPriority w:val="0"/>
    <w:rPr>
      <w:rFonts w:ascii="Calibri Light" w:hAnsi="Calibri Light"/>
      <w:kern w:val="2"/>
      <w:sz w:val="21"/>
      <w:szCs w:val="21"/>
    </w:rPr>
  </w:style>
  <w:style w:type="character" w:customStyle="1" w:styleId="198">
    <w:name w:val="UserStyle_138"/>
    <w:qFormat/>
    <w:uiPriority w:val="0"/>
    <w:rPr>
      <w:rFonts w:ascii="Arial" w:hAnsi="Arial" w:eastAsia="黑体"/>
      <w:sz w:val="21"/>
      <w:szCs w:val="21"/>
    </w:rPr>
  </w:style>
  <w:style w:type="character" w:customStyle="1" w:styleId="199">
    <w:name w:val="UserStyle_139"/>
    <w:qFormat/>
    <w:uiPriority w:val="0"/>
    <w:rPr>
      <w:rFonts w:ascii="Arial" w:hAnsi="Arial" w:eastAsia="宋体" w:cs="Times New Roman"/>
      <w:b/>
      <w:bCs/>
      <w:kern w:val="2"/>
      <w:sz w:val="21"/>
      <w:szCs w:val="32"/>
      <w:lang w:val="en-US" w:eastAsia="zh-CN" w:bidi="ar-SA"/>
    </w:rPr>
  </w:style>
  <w:style w:type="character" w:customStyle="1" w:styleId="200">
    <w:name w:val="UserStyle_140"/>
    <w:qFormat/>
    <w:uiPriority w:val="0"/>
    <w:rPr>
      <w:rFonts w:ascii="仿宋_GB2312" w:hAnsi="仿宋_GB2312" w:eastAsia="仿宋_GB2312"/>
      <w:sz w:val="28"/>
    </w:rPr>
  </w:style>
  <w:style w:type="character" w:customStyle="1" w:styleId="201">
    <w:name w:val="UserStyle_141"/>
    <w:qFormat/>
    <w:uiPriority w:val="0"/>
    <w:rPr>
      <w:rFonts w:eastAsia="宋体"/>
      <w:kern w:val="2"/>
      <w:sz w:val="21"/>
      <w:szCs w:val="24"/>
      <w:lang w:val="en-US" w:eastAsia="zh-CN" w:bidi="ar-SA"/>
    </w:rPr>
  </w:style>
  <w:style w:type="character" w:customStyle="1" w:styleId="202">
    <w:name w:val="UserStyle_142"/>
    <w:link w:val="114"/>
    <w:qFormat/>
    <w:uiPriority w:val="0"/>
    <w:rPr>
      <w:rFonts w:ascii="宋体" w:hAnsi="Courier New"/>
      <w:kern w:val="2"/>
      <w:sz w:val="21"/>
    </w:rPr>
  </w:style>
  <w:style w:type="character" w:customStyle="1" w:styleId="203">
    <w:name w:val="UserStyle_143"/>
    <w:qFormat/>
    <w:uiPriority w:val="0"/>
  </w:style>
  <w:style w:type="character" w:customStyle="1" w:styleId="204">
    <w:name w:val="UserStyle_144"/>
    <w:link w:val="205"/>
    <w:qFormat/>
    <w:uiPriority w:val="0"/>
    <w:rPr>
      <w:rFonts w:ascii="Arial" w:hAnsi="Arial"/>
      <w:color w:val="000000"/>
      <w:kern w:val="2"/>
      <w:sz w:val="21"/>
    </w:rPr>
  </w:style>
  <w:style w:type="paragraph" w:customStyle="1" w:styleId="205">
    <w:name w:val="UserStyle_145"/>
    <w:basedOn w:val="1"/>
    <w:link w:val="204"/>
    <w:qFormat/>
    <w:uiPriority w:val="0"/>
    <w:pPr>
      <w:snapToGrid w:val="0"/>
      <w:spacing w:line="400" w:lineRule="exact"/>
      <w:ind w:firstLine="200" w:firstLineChars="200"/>
    </w:pPr>
    <w:rPr>
      <w:rFonts w:ascii="Arial" w:hAnsi="Arial"/>
      <w:color w:val="000000"/>
      <w:szCs w:val="20"/>
    </w:rPr>
  </w:style>
  <w:style w:type="character" w:customStyle="1" w:styleId="206">
    <w:name w:val="UserStyle_146"/>
    <w:qFormat/>
    <w:uiPriority w:val="0"/>
    <w:rPr>
      <w:rFonts w:ascii="宋体"/>
      <w:kern w:val="2"/>
      <w:sz w:val="18"/>
      <w:szCs w:val="18"/>
    </w:rPr>
  </w:style>
  <w:style w:type="character" w:customStyle="1" w:styleId="207">
    <w:name w:val="UserStyle_147"/>
    <w:qFormat/>
    <w:uiPriority w:val="0"/>
    <w:rPr>
      <w:rFonts w:ascii="Times New Roman" w:hAnsi="Times New Roman" w:eastAsia="宋体"/>
      <w:szCs w:val="20"/>
    </w:rPr>
  </w:style>
  <w:style w:type="character" w:customStyle="1" w:styleId="208">
    <w:name w:val="UserStyle_148"/>
    <w:qFormat/>
    <w:uiPriority w:val="0"/>
  </w:style>
  <w:style w:type="character" w:customStyle="1" w:styleId="209">
    <w:name w:val="UserStyle_149"/>
    <w:qFormat/>
    <w:uiPriority w:val="0"/>
    <w:rPr>
      <w:rFonts w:ascii="宋体" w:hAnsi="宋体" w:eastAsia="宋体"/>
      <w:szCs w:val="20"/>
      <w:u w:val="single"/>
    </w:rPr>
  </w:style>
  <w:style w:type="character" w:customStyle="1" w:styleId="210">
    <w:name w:val="UserStyle_150"/>
    <w:qFormat/>
    <w:uiPriority w:val="0"/>
    <w:rPr>
      <w:rFonts w:ascii="Cambria" w:hAnsi="Cambria" w:eastAsia="宋体" w:cs="Times New Roman"/>
      <w:b/>
      <w:bCs/>
      <w:kern w:val="2"/>
      <w:sz w:val="32"/>
      <w:szCs w:val="32"/>
    </w:rPr>
  </w:style>
  <w:style w:type="character" w:customStyle="1" w:styleId="211">
    <w:name w:val="UserStyle_151"/>
    <w:link w:val="212"/>
    <w:qFormat/>
    <w:uiPriority w:val="0"/>
    <w:rPr>
      <w:rFonts w:ascii="宋体" w:hAnsi="宋体"/>
      <w:b/>
      <w:color w:val="000000"/>
      <w:kern w:val="2"/>
      <w:sz w:val="21"/>
    </w:rPr>
  </w:style>
  <w:style w:type="paragraph" w:customStyle="1" w:styleId="212">
    <w:name w:val="UserStyle_152"/>
    <w:basedOn w:val="114"/>
    <w:link w:val="211"/>
    <w:qFormat/>
    <w:uiPriority w:val="0"/>
    <w:pPr>
      <w:spacing w:line="440" w:lineRule="exact"/>
      <w:ind w:firstLine="420" w:firstLineChars="200"/>
    </w:pPr>
    <w:rPr>
      <w:rFonts w:hAnsi="宋体"/>
      <w:b/>
      <w:color w:val="000000"/>
    </w:rPr>
  </w:style>
  <w:style w:type="character" w:customStyle="1" w:styleId="213">
    <w:name w:val="UserStyle_153"/>
    <w:qFormat/>
    <w:uiPriority w:val="0"/>
    <w:rPr>
      <w:rFonts w:ascii="宋体"/>
      <w:spacing w:val="20"/>
      <w:kern w:val="2"/>
      <w:sz w:val="21"/>
      <w:szCs w:val="24"/>
    </w:rPr>
  </w:style>
  <w:style w:type="character" w:customStyle="1" w:styleId="214">
    <w:name w:val="UserStyle_154"/>
    <w:qFormat/>
    <w:uiPriority w:val="0"/>
    <w:rPr>
      <w:rFonts w:eastAsia="宋体"/>
      <w:kern w:val="2"/>
      <w:sz w:val="21"/>
      <w:szCs w:val="24"/>
      <w:lang w:val="en-US" w:eastAsia="zh-CN" w:bidi="ar-SA"/>
    </w:rPr>
  </w:style>
  <w:style w:type="character" w:customStyle="1" w:styleId="215">
    <w:name w:val="UserStyle_155"/>
    <w:qFormat/>
    <w:uiPriority w:val="0"/>
    <w:rPr>
      <w:rFonts w:ascii="Arial" w:hAnsi="Arial" w:eastAsia="宋体"/>
      <w:color w:val="000000"/>
      <w:sz w:val="20"/>
    </w:rPr>
  </w:style>
  <w:style w:type="character" w:customStyle="1" w:styleId="216">
    <w:name w:val="UserStyle_156"/>
    <w:qFormat/>
    <w:uiPriority w:val="0"/>
    <w:rPr>
      <w:kern w:val="2"/>
      <w:sz w:val="21"/>
      <w:szCs w:val="24"/>
    </w:rPr>
  </w:style>
  <w:style w:type="character" w:customStyle="1" w:styleId="217">
    <w:name w:val="UserStyle_157"/>
    <w:qFormat/>
    <w:uiPriority w:val="0"/>
    <w:rPr>
      <w:rFonts w:ascii="宋体"/>
      <w:kern w:val="2"/>
      <w:sz w:val="21"/>
    </w:rPr>
  </w:style>
  <w:style w:type="character" w:customStyle="1" w:styleId="218">
    <w:name w:val="UserStyle_158"/>
    <w:qFormat/>
    <w:uiPriority w:val="0"/>
    <w:rPr>
      <w:rFonts w:eastAsia="黑体"/>
      <w:spacing w:val="20"/>
      <w:kern w:val="2"/>
      <w:sz w:val="28"/>
    </w:rPr>
  </w:style>
  <w:style w:type="character" w:customStyle="1" w:styleId="219">
    <w:name w:val="UserStyle_159"/>
    <w:link w:val="220"/>
    <w:qFormat/>
    <w:uiPriority w:val="0"/>
    <w:rPr>
      <w:rFonts w:ascii="宋体"/>
      <w:sz w:val="24"/>
    </w:rPr>
  </w:style>
  <w:style w:type="paragraph" w:customStyle="1" w:styleId="220">
    <w:name w:val="BodyTextIndent2"/>
    <w:basedOn w:val="1"/>
    <w:link w:val="219"/>
    <w:qFormat/>
    <w:uiPriority w:val="0"/>
    <w:pPr>
      <w:spacing w:line="480" w:lineRule="atLeast"/>
      <w:ind w:firstLine="480"/>
    </w:pPr>
    <w:rPr>
      <w:rFonts w:ascii="宋体"/>
      <w:kern w:val="0"/>
      <w:sz w:val="24"/>
      <w:szCs w:val="20"/>
    </w:rPr>
  </w:style>
  <w:style w:type="character" w:customStyle="1" w:styleId="221">
    <w:name w:val="UserStyle_160"/>
    <w:qFormat/>
    <w:uiPriority w:val="0"/>
    <w:rPr>
      <w:kern w:val="2"/>
      <w:sz w:val="18"/>
      <w:szCs w:val="18"/>
    </w:rPr>
  </w:style>
  <w:style w:type="character" w:customStyle="1" w:styleId="222">
    <w:name w:val="UserStyle_161"/>
    <w:link w:val="223"/>
    <w:qFormat/>
    <w:uiPriority w:val="0"/>
    <w:rPr>
      <w:kern w:val="2"/>
      <w:sz w:val="24"/>
      <w:szCs w:val="22"/>
      <w:lang w:val="en-US" w:eastAsia="zh-CN" w:bidi="ar-SA"/>
    </w:rPr>
  </w:style>
  <w:style w:type="paragraph" w:customStyle="1" w:styleId="223">
    <w:name w:val="UserStyle_162"/>
    <w:link w:val="222"/>
    <w:qFormat/>
    <w:uiPriority w:val="0"/>
    <w:pPr>
      <w:ind w:firstLine="200" w:firstLineChars="200"/>
      <w:jc w:val="both"/>
      <w:textAlignment w:val="baseline"/>
    </w:pPr>
    <w:rPr>
      <w:rFonts w:ascii="Times New Roman" w:hAnsi="Times New Roman" w:eastAsia="宋体" w:cs="Times New Roman"/>
      <w:kern w:val="2"/>
      <w:sz w:val="24"/>
      <w:szCs w:val="22"/>
      <w:lang w:val="en-US" w:eastAsia="zh-CN" w:bidi="ar-SA"/>
    </w:rPr>
  </w:style>
  <w:style w:type="character" w:customStyle="1" w:styleId="224">
    <w:name w:val="UserStyle_163"/>
    <w:qFormat/>
    <w:uiPriority w:val="0"/>
    <w:rPr>
      <w:kern w:val="2"/>
      <w:sz w:val="21"/>
      <w:szCs w:val="22"/>
    </w:rPr>
  </w:style>
  <w:style w:type="character" w:customStyle="1" w:styleId="225">
    <w:name w:val="UserStyle_164"/>
    <w:qFormat/>
    <w:uiPriority w:val="0"/>
    <w:rPr>
      <w:rFonts w:ascii="宋体"/>
      <w:spacing w:val="20"/>
      <w:kern w:val="2"/>
      <w:sz w:val="21"/>
    </w:rPr>
  </w:style>
  <w:style w:type="character" w:customStyle="1" w:styleId="226">
    <w:name w:val="UserStyle_165"/>
    <w:qFormat/>
    <w:uiPriority w:val="0"/>
    <w:rPr>
      <w:rFonts w:ascii="Arial" w:hAnsi="Arial" w:eastAsia="宋体" w:cs="Times New Roman"/>
      <w:b/>
      <w:bCs/>
      <w:w w:val="99"/>
      <w:sz w:val="24"/>
      <w:szCs w:val="24"/>
      <w:lang w:val="en-US" w:eastAsia="zh-CN" w:bidi="ar-SA"/>
    </w:rPr>
  </w:style>
  <w:style w:type="character" w:customStyle="1" w:styleId="227">
    <w:name w:val="UserStyle_166"/>
    <w:qFormat/>
    <w:uiPriority w:val="0"/>
    <w:rPr>
      <w:rFonts w:ascii="宋体" w:eastAsia="宋体" w:cs="Times New Roman"/>
      <w:b/>
      <w:bCs/>
      <w:kern w:val="2"/>
      <w:sz w:val="28"/>
      <w:szCs w:val="24"/>
      <w:lang w:val="en-US" w:eastAsia="zh-CN" w:bidi="ar-SA"/>
    </w:rPr>
  </w:style>
  <w:style w:type="character" w:customStyle="1" w:styleId="228">
    <w:name w:val="UserStyle_167"/>
    <w:link w:val="229"/>
    <w:qFormat/>
    <w:uiPriority w:val="0"/>
    <w:rPr>
      <w:i/>
      <w:iCs/>
      <w:color w:val="000000"/>
      <w:kern w:val="2"/>
      <w:sz w:val="21"/>
      <w:szCs w:val="22"/>
    </w:rPr>
  </w:style>
  <w:style w:type="paragraph" w:customStyle="1" w:styleId="229">
    <w:name w:val="UserStyle_168"/>
    <w:basedOn w:val="1"/>
    <w:next w:val="1"/>
    <w:link w:val="228"/>
    <w:qFormat/>
    <w:uiPriority w:val="0"/>
    <w:rPr>
      <w:i/>
      <w:iCs/>
      <w:color w:val="000000"/>
      <w:szCs w:val="22"/>
    </w:rPr>
  </w:style>
  <w:style w:type="character" w:customStyle="1" w:styleId="230">
    <w:name w:val="UserStyle_169"/>
    <w:qFormat/>
    <w:uiPriority w:val="0"/>
    <w:rPr>
      <w:rFonts w:ascii="宋体" w:hAnsi="宋体"/>
      <w:kern w:val="2"/>
      <w:sz w:val="21"/>
      <w:szCs w:val="24"/>
      <w:u w:val="single"/>
    </w:rPr>
  </w:style>
  <w:style w:type="character" w:customStyle="1" w:styleId="231">
    <w:name w:val="UserStyle_170"/>
    <w:link w:val="35"/>
    <w:qFormat/>
    <w:uiPriority w:val="0"/>
    <w:rPr>
      <w:rFonts w:ascii="Cambria" w:hAnsi="Cambria" w:cs="Times New Roman"/>
      <w:b/>
      <w:bCs/>
      <w:kern w:val="2"/>
      <w:sz w:val="28"/>
      <w:szCs w:val="28"/>
    </w:rPr>
  </w:style>
  <w:style w:type="character" w:customStyle="1" w:styleId="232">
    <w:name w:val="UserStyle_171"/>
    <w:qFormat/>
    <w:uiPriority w:val="0"/>
    <w:rPr>
      <w:rFonts w:ascii="宋体" w:hAnsi="Courier New"/>
      <w:kern w:val="2"/>
      <w:sz w:val="21"/>
      <w:szCs w:val="21"/>
    </w:rPr>
  </w:style>
  <w:style w:type="character" w:customStyle="1" w:styleId="233">
    <w:name w:val="UserStyle_172"/>
    <w:qFormat/>
    <w:uiPriority w:val="0"/>
  </w:style>
  <w:style w:type="character" w:customStyle="1" w:styleId="234">
    <w:name w:val="UserStyle_173"/>
    <w:qFormat/>
    <w:uiPriority w:val="0"/>
  </w:style>
  <w:style w:type="character" w:customStyle="1" w:styleId="235">
    <w:name w:val="UserStyle_174"/>
    <w:link w:val="39"/>
    <w:qFormat/>
    <w:uiPriority w:val="0"/>
    <w:rPr>
      <w:rFonts w:ascii="Calibri Light" w:hAnsi="Calibri Light"/>
      <w:kern w:val="2"/>
      <w:sz w:val="32"/>
      <w:szCs w:val="24"/>
    </w:rPr>
  </w:style>
  <w:style w:type="character" w:customStyle="1" w:styleId="236">
    <w:name w:val="UserStyle_175"/>
    <w:qFormat/>
    <w:uiPriority w:val="0"/>
    <w:rPr>
      <w:rFonts w:ascii="Arial" w:hAnsi="Arial" w:eastAsia="黑体"/>
      <w:sz w:val="24"/>
      <w:szCs w:val="24"/>
    </w:rPr>
  </w:style>
  <w:style w:type="character" w:customStyle="1" w:styleId="237">
    <w:name w:val="263"/>
    <w:qFormat/>
    <w:uiPriority w:val="0"/>
    <w:rPr>
      <w:rFonts w:cs="Times New Roman"/>
      <w:b/>
      <w:bCs/>
      <w:smallCaps/>
      <w:color w:val="C0504D"/>
      <w:spacing w:val="5"/>
      <w:u w:val="single"/>
    </w:rPr>
  </w:style>
  <w:style w:type="character" w:customStyle="1" w:styleId="238">
    <w:name w:val="UserStyle_176"/>
    <w:qFormat/>
    <w:uiPriority w:val="0"/>
    <w:rPr>
      <w:rFonts w:cs="Times New Roman"/>
      <w:b/>
      <w:bCs/>
      <w:i/>
      <w:iCs/>
      <w:color w:val="4F81BD"/>
      <w:kern w:val="2"/>
      <w:sz w:val="21"/>
      <w:szCs w:val="24"/>
    </w:rPr>
  </w:style>
  <w:style w:type="character" w:customStyle="1" w:styleId="239">
    <w:name w:val="UserStyle_177"/>
    <w:qFormat/>
    <w:uiPriority w:val="0"/>
    <w:rPr>
      <w:rFonts w:ascii="Arial" w:hAnsi="Arial" w:eastAsia="宋体"/>
      <w:kern w:val="2"/>
      <w:sz w:val="21"/>
      <w:lang w:val="en-US" w:eastAsia="zh-CN" w:bidi="ar-SA"/>
    </w:rPr>
  </w:style>
  <w:style w:type="character" w:customStyle="1" w:styleId="240">
    <w:name w:val="UserStyle_178"/>
    <w:qFormat/>
    <w:uiPriority w:val="0"/>
  </w:style>
  <w:style w:type="character" w:customStyle="1" w:styleId="241">
    <w:name w:val="UserStyle_179"/>
    <w:qFormat/>
    <w:uiPriority w:val="0"/>
    <w:rPr>
      <w:rFonts w:cs="Times New Roman"/>
      <w:b/>
      <w:bCs/>
      <w:i/>
      <w:iCs/>
      <w:color w:val="4F81BD"/>
      <w:kern w:val="2"/>
      <w:sz w:val="21"/>
      <w:szCs w:val="24"/>
    </w:rPr>
  </w:style>
  <w:style w:type="character" w:customStyle="1" w:styleId="242">
    <w:name w:val="UserStyle_180"/>
    <w:qFormat/>
    <w:uiPriority w:val="0"/>
    <w:rPr>
      <w:kern w:val="2"/>
      <w:sz w:val="18"/>
      <w:lang w:bidi="ar-SA"/>
    </w:rPr>
  </w:style>
  <w:style w:type="character" w:customStyle="1" w:styleId="243">
    <w:name w:val="UserStyle_181"/>
    <w:link w:val="37"/>
    <w:qFormat/>
    <w:uiPriority w:val="0"/>
    <w:rPr>
      <w:rFonts w:ascii="Calibri Light" w:hAnsi="Calibri Light" w:cs="黑体"/>
      <w:b/>
      <w:bCs/>
      <w:kern w:val="2"/>
      <w:sz w:val="21"/>
      <w:szCs w:val="24"/>
    </w:rPr>
  </w:style>
  <w:style w:type="character" w:customStyle="1" w:styleId="244">
    <w:name w:val="UserStyle_182"/>
    <w:qFormat/>
    <w:locked/>
    <w:uiPriority w:val="0"/>
    <w:rPr>
      <w:rFonts w:ascii="宋体" w:hAnsi="宋体" w:eastAsia="宋体"/>
      <w:kern w:val="2"/>
      <w:sz w:val="18"/>
      <w:lang w:val="en-US" w:eastAsia="zh-CN" w:bidi="ar-SA"/>
    </w:rPr>
  </w:style>
  <w:style w:type="character" w:customStyle="1" w:styleId="245">
    <w:name w:val="UserStyle_183"/>
    <w:semiHidden/>
    <w:qFormat/>
    <w:uiPriority w:val="0"/>
    <w:rPr>
      <w:rFonts w:ascii="Times New Roman" w:hAnsi="Times New Roman"/>
      <w:kern w:val="2"/>
      <w:sz w:val="18"/>
      <w:szCs w:val="18"/>
    </w:rPr>
  </w:style>
  <w:style w:type="character" w:customStyle="1" w:styleId="246">
    <w:name w:val="UserStyle_184"/>
    <w:qFormat/>
    <w:uiPriority w:val="0"/>
    <w:rPr>
      <w:rFonts w:ascii="Cambria" w:hAnsi="Cambria" w:eastAsia="宋体" w:cs="Times New Roman"/>
      <w:b/>
      <w:bCs/>
      <w:kern w:val="2"/>
      <w:sz w:val="28"/>
      <w:szCs w:val="28"/>
    </w:rPr>
  </w:style>
  <w:style w:type="character" w:customStyle="1" w:styleId="247">
    <w:name w:val="UserStyle_185"/>
    <w:qFormat/>
    <w:uiPriority w:val="0"/>
    <w:rPr>
      <w:sz w:val="24"/>
      <w:szCs w:val="24"/>
    </w:rPr>
  </w:style>
  <w:style w:type="character" w:customStyle="1" w:styleId="248">
    <w:name w:val="UserStyle_186"/>
    <w:qFormat/>
    <w:uiPriority w:val="0"/>
    <w:rPr>
      <w:rFonts w:ascii="宋体"/>
      <w:kern w:val="2"/>
      <w:sz w:val="21"/>
      <w:lang w:bidi="ar-SA"/>
    </w:rPr>
  </w:style>
  <w:style w:type="character" w:customStyle="1" w:styleId="249">
    <w:name w:val="UserStyle_187"/>
    <w:link w:val="250"/>
    <w:qFormat/>
    <w:uiPriority w:val="0"/>
    <w:rPr>
      <w:kern w:val="2"/>
      <w:sz w:val="21"/>
    </w:rPr>
  </w:style>
  <w:style w:type="paragraph" w:customStyle="1" w:styleId="250">
    <w:name w:val="AnnotationText"/>
    <w:basedOn w:val="1"/>
    <w:link w:val="249"/>
    <w:qFormat/>
    <w:uiPriority w:val="0"/>
    <w:pPr>
      <w:jc w:val="left"/>
    </w:pPr>
    <w:rPr>
      <w:szCs w:val="20"/>
    </w:rPr>
  </w:style>
  <w:style w:type="character" w:customStyle="1" w:styleId="251">
    <w:name w:val="260"/>
    <w:qFormat/>
    <w:uiPriority w:val="0"/>
    <w:rPr>
      <w:i/>
      <w:iCs/>
      <w:color w:val="808080"/>
    </w:rPr>
  </w:style>
  <w:style w:type="character" w:customStyle="1" w:styleId="252">
    <w:name w:val="UserStyle_188"/>
    <w:qFormat/>
    <w:uiPriority w:val="0"/>
    <w:rPr>
      <w:rFonts w:ascii="Arial" w:hAnsi="Arial" w:eastAsia="黑体"/>
      <w:kern w:val="2"/>
      <w:sz w:val="24"/>
      <w:szCs w:val="24"/>
      <w:lang w:val="en-US" w:eastAsia="zh-CN" w:bidi="ar-SA"/>
    </w:rPr>
  </w:style>
  <w:style w:type="character" w:customStyle="1" w:styleId="253">
    <w:name w:val="UserStyle_189"/>
    <w:qFormat/>
    <w:uiPriority w:val="0"/>
    <w:rPr>
      <w:rFonts w:eastAsia="宋体" w:cs="Times New Roman"/>
      <w:b/>
      <w:bCs/>
      <w:kern w:val="44"/>
      <w:sz w:val="44"/>
      <w:szCs w:val="44"/>
      <w:lang w:val="en-US" w:eastAsia="zh-CN" w:bidi="ar-SA"/>
    </w:rPr>
  </w:style>
  <w:style w:type="character" w:customStyle="1" w:styleId="254">
    <w:name w:val="UserStyle_190"/>
    <w:link w:val="36"/>
    <w:qFormat/>
    <w:uiPriority w:val="0"/>
    <w:rPr>
      <w:rFonts w:cs="Times New Roman"/>
      <w:b/>
      <w:bCs/>
      <w:kern w:val="2"/>
      <w:sz w:val="28"/>
      <w:szCs w:val="28"/>
    </w:rPr>
  </w:style>
  <w:style w:type="character" w:customStyle="1" w:styleId="255">
    <w:name w:val="UserStyle_191"/>
    <w:link w:val="256"/>
    <w:qFormat/>
    <w:locked/>
    <w:uiPriority w:val="0"/>
    <w:rPr>
      <w:kern w:val="2"/>
      <w:sz w:val="24"/>
    </w:rPr>
  </w:style>
  <w:style w:type="paragraph" w:customStyle="1" w:styleId="256">
    <w:name w:val="UserStyle_192"/>
    <w:basedOn w:val="1"/>
    <w:link w:val="255"/>
    <w:qFormat/>
    <w:uiPriority w:val="0"/>
    <w:pPr>
      <w:spacing w:before="156" w:line="360" w:lineRule="auto"/>
      <w:ind w:firstLine="510" w:firstLineChars="200"/>
    </w:pPr>
    <w:rPr>
      <w:sz w:val="24"/>
      <w:szCs w:val="20"/>
    </w:rPr>
  </w:style>
  <w:style w:type="character" w:customStyle="1" w:styleId="257">
    <w:name w:val="UserStyle_193"/>
    <w:qFormat/>
    <w:locked/>
    <w:uiPriority w:val="0"/>
    <w:rPr>
      <w:rFonts w:eastAsia="宋体"/>
      <w:b/>
      <w:kern w:val="2"/>
      <w:sz w:val="28"/>
      <w:lang w:val="en-US" w:eastAsia="zh-CN" w:bidi="ar-SA"/>
    </w:rPr>
  </w:style>
  <w:style w:type="character" w:customStyle="1" w:styleId="258">
    <w:name w:val="页眉 Char"/>
    <w:link w:val="14"/>
    <w:qFormat/>
    <w:uiPriority w:val="0"/>
    <w:rPr>
      <w:kern w:val="2"/>
      <w:sz w:val="18"/>
      <w:szCs w:val="18"/>
    </w:rPr>
  </w:style>
  <w:style w:type="character" w:customStyle="1" w:styleId="259">
    <w:name w:val="UserStyle_195"/>
    <w:link w:val="260"/>
    <w:qFormat/>
    <w:uiPriority w:val="0"/>
    <w:rPr>
      <w:rFonts w:cs="Times New Roman"/>
      <w:b/>
      <w:bCs/>
      <w:kern w:val="2"/>
      <w:sz w:val="21"/>
    </w:rPr>
  </w:style>
  <w:style w:type="paragraph" w:customStyle="1" w:styleId="260">
    <w:name w:val="AnnotationSubject"/>
    <w:basedOn w:val="250"/>
    <w:next w:val="250"/>
    <w:link w:val="259"/>
    <w:qFormat/>
    <w:uiPriority w:val="0"/>
    <w:rPr>
      <w:b/>
      <w:bCs/>
    </w:rPr>
  </w:style>
  <w:style w:type="character" w:customStyle="1" w:styleId="261">
    <w:name w:val="UserStyle_196"/>
    <w:qFormat/>
    <w:uiPriority w:val="0"/>
    <w:rPr>
      <w:rFonts w:ascii="宋体" w:hAnsi="Courier New" w:eastAsia="宋体"/>
      <w:kern w:val="2"/>
      <w:sz w:val="21"/>
      <w:lang w:val="en-US" w:eastAsia="zh-CN"/>
    </w:rPr>
  </w:style>
  <w:style w:type="character" w:customStyle="1" w:styleId="262">
    <w:name w:val="UserStyle_197"/>
    <w:link w:val="38"/>
    <w:qFormat/>
    <w:uiPriority w:val="0"/>
    <w:rPr>
      <w:rFonts w:ascii="Calibri" w:hAnsi="Calibri" w:eastAsia="仿宋" w:cs="黑体"/>
      <w:b/>
      <w:bCs/>
      <w:kern w:val="2"/>
      <w:sz w:val="32"/>
      <w:szCs w:val="24"/>
    </w:rPr>
  </w:style>
  <w:style w:type="character" w:customStyle="1" w:styleId="263">
    <w:name w:val="UserStyle_198"/>
    <w:qFormat/>
    <w:uiPriority w:val="0"/>
    <w:rPr>
      <w:rFonts w:ascii="Times New Roman" w:hAnsi="Times New Roman" w:eastAsia="宋体"/>
      <w:color w:val="000000"/>
      <w:kern w:val="24"/>
      <w:sz w:val="24"/>
      <w:szCs w:val="24"/>
      <w:lang w:val="sv-SE"/>
    </w:rPr>
  </w:style>
  <w:style w:type="character" w:customStyle="1" w:styleId="264">
    <w:name w:val="UserStyle_199"/>
    <w:qFormat/>
    <w:uiPriority w:val="0"/>
    <w:rPr>
      <w:rFonts w:eastAsia="宋体"/>
      <w:spacing w:val="20"/>
      <w:kern w:val="2"/>
      <w:sz w:val="28"/>
      <w:lang w:val="en-US" w:eastAsia="zh-CN" w:bidi="ar-SA"/>
    </w:rPr>
  </w:style>
  <w:style w:type="character" w:customStyle="1" w:styleId="265">
    <w:name w:val="UserStyle_200"/>
    <w:qFormat/>
    <w:uiPriority w:val="0"/>
    <w:rPr>
      <w:rFonts w:ascii="宋体" w:hAnsi="Courier New"/>
      <w:kern w:val="2"/>
      <w:sz w:val="21"/>
    </w:rPr>
  </w:style>
  <w:style w:type="character" w:customStyle="1" w:styleId="266">
    <w:name w:val="UserStyle_201"/>
    <w:qFormat/>
    <w:uiPriority w:val="0"/>
    <w:rPr>
      <w:rFonts w:ascii="宋体" w:hAnsi="宋体"/>
      <w:sz w:val="28"/>
      <w:szCs w:val="28"/>
      <w:lang w:bidi="ar-SA"/>
    </w:rPr>
  </w:style>
  <w:style w:type="character" w:customStyle="1" w:styleId="267">
    <w:name w:val="UserStyle_202"/>
    <w:qFormat/>
    <w:uiPriority w:val="0"/>
    <w:rPr>
      <w:kern w:val="2"/>
      <w:sz w:val="21"/>
    </w:rPr>
  </w:style>
  <w:style w:type="character" w:customStyle="1" w:styleId="268">
    <w:name w:val="UserStyle_203"/>
    <w:link w:val="269"/>
    <w:qFormat/>
    <w:uiPriority w:val="0"/>
  </w:style>
  <w:style w:type="paragraph" w:customStyle="1" w:styleId="269">
    <w:name w:val="UserStyle_204"/>
    <w:basedOn w:val="1"/>
    <w:link w:val="268"/>
    <w:qFormat/>
    <w:uiPriority w:val="0"/>
    <w:pPr>
      <w:ind w:firstLine="420" w:firstLineChars="200"/>
    </w:pPr>
    <w:rPr>
      <w:rFonts w:ascii="Calibri" w:hAnsi="Calibri"/>
      <w:szCs w:val="22"/>
    </w:rPr>
  </w:style>
  <w:style w:type="character" w:customStyle="1" w:styleId="270">
    <w:name w:val="UserStyle_205"/>
    <w:qFormat/>
    <w:locked/>
    <w:uiPriority w:val="0"/>
    <w:rPr>
      <w:rFonts w:ascii="宋体" w:hAnsi="宋体" w:eastAsia="宋体"/>
      <w:kern w:val="2"/>
      <w:sz w:val="18"/>
      <w:lang w:val="en-US" w:eastAsia="zh-CN" w:bidi="ar-SA"/>
    </w:rPr>
  </w:style>
  <w:style w:type="character" w:customStyle="1" w:styleId="271">
    <w:name w:val="UserStyle_206"/>
    <w:qFormat/>
    <w:uiPriority w:val="0"/>
    <w:rPr>
      <w:rFonts w:ascii="宋体" w:hAnsi="宋体" w:eastAsia="宋体"/>
      <w:b/>
      <w:spacing w:val="-2"/>
      <w:sz w:val="24"/>
      <w:lang w:val="en-US" w:eastAsia="zh-CN" w:bidi="ar-SA"/>
    </w:rPr>
  </w:style>
  <w:style w:type="character" w:customStyle="1" w:styleId="272">
    <w:name w:val="UserStyle_207"/>
    <w:qFormat/>
    <w:uiPriority w:val="0"/>
    <w:rPr>
      <w:rFonts w:cs="Times New Roman"/>
      <w:b/>
      <w:bCs/>
      <w:i/>
      <w:iCs/>
      <w:color w:val="4F81BD"/>
      <w:kern w:val="2"/>
      <w:sz w:val="21"/>
    </w:rPr>
  </w:style>
  <w:style w:type="character" w:customStyle="1" w:styleId="273">
    <w:name w:val="页脚 Char"/>
    <w:link w:val="13"/>
    <w:qFormat/>
    <w:uiPriority w:val="99"/>
    <w:rPr>
      <w:kern w:val="2"/>
      <w:sz w:val="18"/>
      <w:szCs w:val="18"/>
    </w:rPr>
  </w:style>
  <w:style w:type="character" w:customStyle="1" w:styleId="274">
    <w:name w:val="UserStyle_209"/>
    <w:qFormat/>
    <w:uiPriority w:val="0"/>
    <w:rPr>
      <w:rFonts w:ascii="宋体" w:hAnsi="Courier New"/>
    </w:rPr>
  </w:style>
  <w:style w:type="character" w:customStyle="1" w:styleId="275">
    <w:name w:val="UserStyle_210"/>
    <w:qFormat/>
    <w:uiPriority w:val="0"/>
    <w:rPr>
      <w:rFonts w:ascii="宋体"/>
      <w:spacing w:val="20"/>
      <w:kern w:val="2"/>
      <w:sz w:val="21"/>
    </w:rPr>
  </w:style>
  <w:style w:type="character" w:customStyle="1" w:styleId="276">
    <w:name w:val="UserStyle_211"/>
    <w:qFormat/>
    <w:uiPriority w:val="0"/>
    <w:rPr>
      <w:rFonts w:eastAsia="宋体"/>
      <w:kern w:val="2"/>
      <w:sz w:val="21"/>
      <w:szCs w:val="24"/>
      <w:lang w:val="en-US" w:eastAsia="zh-CN" w:bidi="ar-SA"/>
    </w:rPr>
  </w:style>
  <w:style w:type="character" w:customStyle="1" w:styleId="277">
    <w:name w:val="UserStyle_212"/>
    <w:link w:val="34"/>
    <w:qFormat/>
    <w:uiPriority w:val="0"/>
    <w:rPr>
      <w:kern w:val="2"/>
      <w:sz w:val="24"/>
    </w:rPr>
  </w:style>
  <w:style w:type="character" w:customStyle="1" w:styleId="278">
    <w:name w:val="UserStyle_213"/>
    <w:link w:val="279"/>
    <w:qFormat/>
    <w:uiPriority w:val="0"/>
    <w:rPr>
      <w:rFonts w:ascii="Arial" w:hAnsi="Arial"/>
      <w:kern w:val="2"/>
      <w:sz w:val="21"/>
      <w:lang w:val="en-US" w:eastAsia="zh-CN" w:bidi="ar-SA"/>
    </w:rPr>
  </w:style>
  <w:style w:type="paragraph" w:customStyle="1" w:styleId="279">
    <w:name w:val="UserStyle_214"/>
    <w:link w:val="278"/>
    <w:qFormat/>
    <w:uiPriority w:val="0"/>
    <w:pPr>
      <w:snapToGrid w:val="0"/>
      <w:spacing w:line="400" w:lineRule="exact"/>
      <w:ind w:firstLine="200" w:firstLineChars="200"/>
      <w:jc w:val="both"/>
      <w:textAlignment w:val="baseline"/>
    </w:pPr>
    <w:rPr>
      <w:rFonts w:ascii="Arial" w:hAnsi="Arial" w:eastAsia="宋体" w:cs="Times New Roman"/>
      <w:kern w:val="2"/>
      <w:sz w:val="21"/>
      <w:lang w:val="en-US" w:eastAsia="zh-CN" w:bidi="ar-SA"/>
    </w:rPr>
  </w:style>
  <w:style w:type="character" w:customStyle="1" w:styleId="280">
    <w:name w:val="UserStyle_215"/>
    <w:qFormat/>
    <w:uiPriority w:val="0"/>
    <w:rPr>
      <w:sz w:val="24"/>
    </w:rPr>
  </w:style>
  <w:style w:type="character" w:customStyle="1" w:styleId="281">
    <w:name w:val="UserStyle_216"/>
    <w:link w:val="31"/>
    <w:qFormat/>
    <w:uiPriority w:val="0"/>
    <w:rPr>
      <w:kern w:val="2"/>
      <w:sz w:val="21"/>
      <w:szCs w:val="24"/>
    </w:rPr>
  </w:style>
  <w:style w:type="character" w:customStyle="1" w:styleId="282">
    <w:name w:val="UserStyle_217"/>
    <w:qFormat/>
    <w:uiPriority w:val="0"/>
    <w:rPr>
      <w:rFonts w:ascii="Cambria" w:hAnsi="Cambria" w:cs="Times New Roman"/>
      <w:b/>
      <w:bCs/>
      <w:kern w:val="28"/>
      <w:sz w:val="32"/>
      <w:szCs w:val="32"/>
    </w:rPr>
  </w:style>
  <w:style w:type="character" w:customStyle="1" w:styleId="283">
    <w:name w:val="UserStyle_218"/>
    <w:qFormat/>
    <w:uiPriority w:val="0"/>
    <w:rPr>
      <w:rFonts w:ascii="Arial" w:hAnsi="Arial" w:eastAsia="宋体" w:cs="Times New Roman"/>
      <w:b/>
      <w:bCs/>
      <w:sz w:val="21"/>
      <w:szCs w:val="21"/>
      <w:lang w:val="en-US" w:eastAsia="zh-CN" w:bidi="ar-SA"/>
    </w:rPr>
  </w:style>
  <w:style w:type="character" w:customStyle="1" w:styleId="284">
    <w:name w:val="UserStyle_219"/>
    <w:qFormat/>
    <w:uiPriority w:val="0"/>
    <w:rPr>
      <w:rFonts w:ascii="Arial" w:hAnsi="Arial" w:eastAsia="宋体"/>
      <w:kern w:val="2"/>
      <w:sz w:val="21"/>
      <w:szCs w:val="32"/>
      <w:lang w:val="en-US" w:eastAsia="zh-CN" w:bidi="ar-SA"/>
    </w:rPr>
  </w:style>
  <w:style w:type="character" w:customStyle="1" w:styleId="285">
    <w:name w:val="UserStyle_220"/>
    <w:qFormat/>
    <w:uiPriority w:val="0"/>
    <w:rPr>
      <w:rFonts w:ascii="ˎ̥" w:hAnsi="ˎ̥"/>
      <w:sz w:val="21"/>
      <w:szCs w:val="21"/>
    </w:rPr>
  </w:style>
  <w:style w:type="character" w:customStyle="1" w:styleId="286">
    <w:name w:val="UserStyle_221"/>
    <w:qFormat/>
    <w:uiPriority w:val="0"/>
    <w:rPr>
      <w:rFonts w:ascii="Arial" w:hAnsi="Arial" w:eastAsia="黑体"/>
      <w:kern w:val="0"/>
      <w:sz w:val="24"/>
      <w:szCs w:val="24"/>
    </w:rPr>
  </w:style>
  <w:style w:type="character" w:customStyle="1" w:styleId="287">
    <w:name w:val="UserStyle_222"/>
    <w:qFormat/>
    <w:locked/>
    <w:uiPriority w:val="0"/>
    <w:rPr>
      <w:rFonts w:ascii="Cambria" w:hAnsi="Cambria" w:eastAsia="宋体" w:cs="宋体"/>
      <w:b/>
      <w:bCs/>
      <w:kern w:val="2"/>
      <w:sz w:val="24"/>
      <w:szCs w:val="24"/>
      <w:lang w:bidi="ar-SA"/>
    </w:rPr>
  </w:style>
  <w:style w:type="character" w:customStyle="1" w:styleId="288">
    <w:name w:val="UserStyle_223"/>
    <w:qFormat/>
    <w:uiPriority w:val="0"/>
    <w:rPr>
      <w:rFonts w:ascii="宋体"/>
      <w:kern w:val="2"/>
      <w:sz w:val="21"/>
    </w:rPr>
  </w:style>
  <w:style w:type="character" w:customStyle="1" w:styleId="289">
    <w:name w:val="UserStyle_224"/>
    <w:qFormat/>
    <w:uiPriority w:val="0"/>
    <w:rPr>
      <w:rFonts w:ascii="Arial" w:hAnsi="Arial" w:eastAsia="黑体" w:cs="Times New Roman"/>
      <w:b/>
      <w:bCs/>
      <w:kern w:val="0"/>
      <w:sz w:val="24"/>
      <w:szCs w:val="24"/>
    </w:rPr>
  </w:style>
  <w:style w:type="character" w:customStyle="1" w:styleId="290">
    <w:name w:val="UserStyle_225"/>
    <w:qFormat/>
    <w:uiPriority w:val="0"/>
    <w:rPr>
      <w:rFonts w:ascii="宋体"/>
      <w:spacing w:val="20"/>
      <w:kern w:val="2"/>
      <w:sz w:val="21"/>
      <w:szCs w:val="24"/>
    </w:rPr>
  </w:style>
  <w:style w:type="character" w:customStyle="1" w:styleId="291">
    <w:name w:val="UserStyle_226"/>
    <w:qFormat/>
    <w:uiPriority w:val="0"/>
    <w:rPr>
      <w:rFonts w:ascii="Arial" w:hAnsi="Arial" w:eastAsia="黑体" w:cs="Times New Roman"/>
      <w:b/>
      <w:bCs/>
      <w:kern w:val="2"/>
      <w:sz w:val="28"/>
      <w:szCs w:val="28"/>
    </w:rPr>
  </w:style>
  <w:style w:type="character" w:customStyle="1" w:styleId="292">
    <w:name w:val="UserStyle_227"/>
    <w:qFormat/>
    <w:uiPriority w:val="0"/>
    <w:rPr>
      <w:rFonts w:cs="Times New Roman"/>
      <w:b/>
      <w:bCs/>
      <w:kern w:val="44"/>
      <w:sz w:val="44"/>
      <w:szCs w:val="44"/>
    </w:rPr>
  </w:style>
  <w:style w:type="character" w:customStyle="1" w:styleId="293">
    <w:name w:val="UserStyle_228"/>
    <w:qFormat/>
    <w:uiPriority w:val="0"/>
    <w:rPr>
      <w:rFonts w:ascii="宋体" w:hAnsi="Courier New" w:eastAsia="宋体"/>
      <w:kern w:val="2"/>
      <w:sz w:val="21"/>
      <w:lang w:val="en-US" w:eastAsia="zh-CN" w:bidi="ar-SA"/>
    </w:rPr>
  </w:style>
  <w:style w:type="character" w:customStyle="1" w:styleId="294">
    <w:name w:val="UserStyle_229"/>
    <w:qFormat/>
    <w:uiPriority w:val="0"/>
    <w:rPr>
      <w:rFonts w:ascii="Arial" w:hAnsi="Arial" w:eastAsia="宋体"/>
      <w:color w:val="000000"/>
      <w:sz w:val="20"/>
    </w:rPr>
  </w:style>
  <w:style w:type="character" w:customStyle="1" w:styleId="295">
    <w:name w:val="UserStyle_230"/>
    <w:qFormat/>
    <w:uiPriority w:val="0"/>
    <w:rPr>
      <w:rFonts w:ascii="Arial" w:hAnsi="Arial" w:eastAsia="黑体" w:cs="Times New Roman"/>
      <w:b/>
      <w:bCs/>
      <w:sz w:val="24"/>
      <w:szCs w:val="24"/>
    </w:rPr>
  </w:style>
  <w:style w:type="character" w:customStyle="1" w:styleId="296">
    <w:name w:val="UserStyle_231"/>
    <w:qFormat/>
    <w:uiPriority w:val="0"/>
    <w:rPr>
      <w:rFonts w:ascii="Arial" w:hAnsi="Arial" w:eastAsia="宋体"/>
      <w:color w:val="000000"/>
      <w:spacing w:val="20"/>
      <w:kern w:val="2"/>
      <w:sz w:val="21"/>
      <w:lang w:val="en-US" w:eastAsia="zh-CN" w:bidi="ar-SA"/>
    </w:rPr>
  </w:style>
  <w:style w:type="character" w:customStyle="1" w:styleId="297">
    <w:name w:val="UserStyle_232"/>
    <w:qFormat/>
    <w:uiPriority w:val="0"/>
    <w:rPr>
      <w:rFonts w:ascii="宋体" w:hAnsi="Courier New" w:eastAsia="宋体"/>
      <w:kern w:val="2"/>
      <w:sz w:val="21"/>
      <w:szCs w:val="21"/>
      <w:lang w:val="en-US" w:eastAsia="zh-CN" w:bidi="ar-SA"/>
    </w:rPr>
  </w:style>
  <w:style w:type="character" w:customStyle="1" w:styleId="298">
    <w:name w:val="UserStyle_233"/>
    <w:qFormat/>
    <w:uiPriority w:val="0"/>
    <w:rPr>
      <w:rFonts w:cs="Times New Roman"/>
      <w:b/>
      <w:bCs/>
      <w:sz w:val="32"/>
      <w:szCs w:val="32"/>
    </w:rPr>
  </w:style>
  <w:style w:type="character" w:customStyle="1" w:styleId="299">
    <w:name w:val="UserStyle_234"/>
    <w:link w:val="300"/>
    <w:qFormat/>
    <w:uiPriority w:val="0"/>
    <w:rPr>
      <w:rFonts w:eastAsia="仿宋"/>
      <w:kern w:val="2"/>
      <w:sz w:val="32"/>
      <w:szCs w:val="24"/>
    </w:rPr>
  </w:style>
  <w:style w:type="paragraph" w:customStyle="1" w:styleId="300">
    <w:name w:val="UserStyle_235"/>
    <w:basedOn w:val="1"/>
    <w:link w:val="299"/>
    <w:qFormat/>
    <w:uiPriority w:val="0"/>
    <w:pPr>
      <w:spacing w:line="360" w:lineRule="auto"/>
      <w:ind w:firstLine="200" w:firstLineChars="200"/>
      <w:jc w:val="left"/>
    </w:pPr>
    <w:rPr>
      <w:rFonts w:eastAsia="仿宋"/>
      <w:sz w:val="32"/>
    </w:rPr>
  </w:style>
  <w:style w:type="character" w:customStyle="1" w:styleId="301">
    <w:name w:val="UserStyle_236"/>
    <w:qFormat/>
    <w:uiPriority w:val="0"/>
    <w:rPr>
      <w:kern w:val="2"/>
      <w:sz w:val="18"/>
      <w:szCs w:val="18"/>
    </w:rPr>
  </w:style>
  <w:style w:type="character" w:customStyle="1" w:styleId="302">
    <w:name w:val="UserStyle_237"/>
    <w:qFormat/>
    <w:uiPriority w:val="0"/>
  </w:style>
  <w:style w:type="character" w:customStyle="1" w:styleId="303">
    <w:name w:val="UserStyle_238"/>
    <w:qFormat/>
    <w:uiPriority w:val="0"/>
  </w:style>
  <w:style w:type="character" w:customStyle="1" w:styleId="304">
    <w:name w:val="UserStyle_239"/>
    <w:qFormat/>
    <w:uiPriority w:val="0"/>
    <w:rPr>
      <w:rFonts w:ascii="Arial" w:hAnsi="Arial" w:eastAsia="黑体"/>
      <w:kern w:val="2"/>
      <w:sz w:val="21"/>
      <w:szCs w:val="21"/>
      <w:lang w:val="en-US" w:eastAsia="zh-CN" w:bidi="ar-SA"/>
    </w:rPr>
  </w:style>
  <w:style w:type="character" w:customStyle="1" w:styleId="305">
    <w:name w:val="UserStyle_240"/>
    <w:qFormat/>
    <w:uiPriority w:val="0"/>
    <w:rPr>
      <w:rFonts w:cs="Times New Roman"/>
      <w:b/>
      <w:bCs/>
      <w:i/>
      <w:iCs/>
      <w:color w:val="4F81BD"/>
      <w:kern w:val="2"/>
      <w:sz w:val="21"/>
      <w:szCs w:val="24"/>
    </w:rPr>
  </w:style>
  <w:style w:type="character" w:customStyle="1" w:styleId="306">
    <w:name w:val="UserStyle_241"/>
    <w:qFormat/>
    <w:uiPriority w:val="0"/>
    <w:rPr>
      <w:rFonts w:ascii="宋体"/>
      <w:kern w:val="2"/>
      <w:sz w:val="24"/>
    </w:rPr>
  </w:style>
  <w:style w:type="character" w:customStyle="1" w:styleId="307">
    <w:name w:val="UserStyle_242"/>
    <w:link w:val="308"/>
    <w:qFormat/>
    <w:uiPriority w:val="0"/>
    <w:rPr>
      <w:rFonts w:eastAsia="楷体_GB2312"/>
      <w:kern w:val="2"/>
      <w:sz w:val="24"/>
      <w:szCs w:val="24"/>
      <w:lang w:val="en-US" w:eastAsia="zh-CN" w:bidi="ar-SA"/>
    </w:rPr>
  </w:style>
  <w:style w:type="paragraph" w:customStyle="1" w:styleId="308">
    <w:name w:val="UserStyle_243"/>
    <w:link w:val="307"/>
    <w:qFormat/>
    <w:uiPriority w:val="0"/>
    <w:pPr>
      <w:spacing w:line="360" w:lineRule="auto"/>
      <w:ind w:firstLine="200" w:firstLineChars="200"/>
      <w:textAlignment w:val="baseline"/>
    </w:pPr>
    <w:rPr>
      <w:rFonts w:ascii="Times New Roman" w:hAnsi="Times New Roman" w:eastAsia="楷体_GB2312" w:cs="Times New Roman"/>
      <w:kern w:val="2"/>
      <w:sz w:val="24"/>
      <w:szCs w:val="24"/>
      <w:lang w:val="en-US" w:eastAsia="zh-CN" w:bidi="ar-SA"/>
    </w:rPr>
  </w:style>
  <w:style w:type="character" w:customStyle="1" w:styleId="309">
    <w:name w:val="UserStyle_244"/>
    <w:qFormat/>
    <w:uiPriority w:val="0"/>
    <w:rPr>
      <w:rFonts w:ascii="宋体"/>
      <w:kern w:val="2"/>
      <w:sz w:val="18"/>
      <w:szCs w:val="18"/>
    </w:rPr>
  </w:style>
  <w:style w:type="character" w:customStyle="1" w:styleId="310">
    <w:name w:val="UserStyle_245"/>
    <w:qFormat/>
    <w:uiPriority w:val="0"/>
    <w:rPr>
      <w:kern w:val="2"/>
      <w:sz w:val="21"/>
    </w:rPr>
  </w:style>
  <w:style w:type="character" w:customStyle="1" w:styleId="311">
    <w:name w:val="UserStyle_246"/>
    <w:qFormat/>
    <w:uiPriority w:val="0"/>
    <w:rPr>
      <w:rFonts w:ascii="Arial" w:hAnsi="Arial" w:eastAsia="黑体" w:cs="Times New Roman"/>
      <w:b/>
      <w:bCs/>
      <w:sz w:val="28"/>
      <w:szCs w:val="28"/>
    </w:rPr>
  </w:style>
  <w:style w:type="character" w:customStyle="1" w:styleId="312">
    <w:name w:val="UserStyle_247"/>
    <w:qFormat/>
    <w:locked/>
    <w:uiPriority w:val="0"/>
    <w:rPr>
      <w:rFonts w:ascii="Cambria" w:hAnsi="Cambria" w:eastAsia="宋体"/>
      <w:kern w:val="2"/>
      <w:sz w:val="21"/>
      <w:szCs w:val="21"/>
      <w:lang w:bidi="ar-SA"/>
    </w:rPr>
  </w:style>
  <w:style w:type="character" w:customStyle="1" w:styleId="313">
    <w:name w:val="UserStyle_248"/>
    <w:qFormat/>
    <w:uiPriority w:val="0"/>
    <w:rPr>
      <w:spacing w:val="20"/>
      <w:kern w:val="2"/>
      <w:sz w:val="28"/>
      <w:lang w:bidi="ar-SA"/>
    </w:rPr>
  </w:style>
  <w:style w:type="character" w:customStyle="1" w:styleId="314">
    <w:name w:val="UserStyle_249"/>
    <w:qFormat/>
    <w:uiPriority w:val="0"/>
    <w:rPr>
      <w:rFonts w:ascii="Arial" w:hAnsi="Arial"/>
      <w:sz w:val="24"/>
      <w:szCs w:val="24"/>
    </w:rPr>
  </w:style>
  <w:style w:type="character" w:customStyle="1" w:styleId="315">
    <w:name w:val="UserStyle_250"/>
    <w:qFormat/>
    <w:uiPriority w:val="0"/>
    <w:rPr>
      <w:rFonts w:ascii="宋体"/>
      <w:kern w:val="2"/>
      <w:sz w:val="24"/>
    </w:rPr>
  </w:style>
  <w:style w:type="character" w:customStyle="1" w:styleId="316">
    <w:name w:val="UserStyle_251"/>
    <w:qFormat/>
    <w:uiPriority w:val="0"/>
    <w:rPr>
      <w:rFonts w:ascii="宋体" w:hAnsi="宋体"/>
      <w:spacing w:val="6"/>
      <w:sz w:val="24"/>
      <w:szCs w:val="24"/>
    </w:rPr>
  </w:style>
  <w:style w:type="character" w:customStyle="1" w:styleId="317">
    <w:name w:val="UserStyle_252"/>
    <w:qFormat/>
    <w:locked/>
    <w:uiPriority w:val="0"/>
    <w:rPr>
      <w:rFonts w:ascii="Cambria" w:hAnsi="Cambria" w:eastAsia="宋体"/>
      <w:kern w:val="2"/>
      <w:sz w:val="24"/>
      <w:szCs w:val="24"/>
      <w:lang w:bidi="ar-SA"/>
    </w:rPr>
  </w:style>
  <w:style w:type="character" w:customStyle="1" w:styleId="318">
    <w:name w:val="UserStyle_253"/>
    <w:qFormat/>
    <w:uiPriority w:val="0"/>
    <w:rPr>
      <w:rFonts w:eastAsia="宋体" w:cs="Times New Roman"/>
      <w:b/>
      <w:bCs/>
      <w:kern w:val="44"/>
      <w:sz w:val="44"/>
      <w:szCs w:val="44"/>
      <w:lang w:val="en-US" w:eastAsia="zh-CN" w:bidi="ar-SA"/>
    </w:rPr>
  </w:style>
  <w:style w:type="character" w:customStyle="1" w:styleId="319">
    <w:name w:val="UserStyle_254"/>
    <w:qFormat/>
    <w:uiPriority w:val="0"/>
    <w:rPr>
      <w:rFonts w:ascii="Times New Roman" w:hAnsi="Times New Roman"/>
      <w:i/>
      <w:iCs/>
      <w:color w:val="000000"/>
      <w:kern w:val="2"/>
      <w:sz w:val="21"/>
      <w:szCs w:val="24"/>
    </w:rPr>
  </w:style>
  <w:style w:type="character" w:customStyle="1" w:styleId="320">
    <w:name w:val="UserStyle_255"/>
    <w:link w:val="32"/>
    <w:qFormat/>
    <w:uiPriority w:val="0"/>
    <w:rPr>
      <w:b/>
      <w:color w:val="000000"/>
      <w:kern w:val="2"/>
      <w:sz w:val="32"/>
      <w:szCs w:val="24"/>
    </w:rPr>
  </w:style>
  <w:style w:type="character" w:customStyle="1" w:styleId="321">
    <w:name w:val="UserStyle_256"/>
    <w:semiHidden/>
    <w:qFormat/>
    <w:uiPriority w:val="0"/>
    <w:rPr>
      <w:kern w:val="2"/>
      <w:sz w:val="21"/>
      <w:szCs w:val="22"/>
    </w:rPr>
  </w:style>
  <w:style w:type="character" w:customStyle="1" w:styleId="322">
    <w:name w:val="262"/>
    <w:qFormat/>
    <w:uiPriority w:val="0"/>
    <w:rPr>
      <w:smallCaps/>
      <w:color w:val="C0504D"/>
      <w:u w:val="single"/>
    </w:rPr>
  </w:style>
  <w:style w:type="character" w:customStyle="1" w:styleId="323">
    <w:name w:val="UserStyle_257"/>
    <w:qFormat/>
    <w:uiPriority w:val="0"/>
    <w:rPr>
      <w:rFonts w:ascii="Times New Roman" w:hAnsi="Times New Roman" w:eastAsia="宋体" w:cs="Times New Roman"/>
      <w:b/>
      <w:bCs/>
      <w:kern w:val="44"/>
      <w:sz w:val="44"/>
      <w:szCs w:val="44"/>
    </w:rPr>
  </w:style>
  <w:style w:type="character" w:customStyle="1" w:styleId="324">
    <w:name w:val="UserStyle_258"/>
    <w:link w:val="325"/>
    <w:qFormat/>
    <w:uiPriority w:val="0"/>
    <w:rPr>
      <w:sz w:val="24"/>
    </w:rPr>
  </w:style>
  <w:style w:type="paragraph" w:customStyle="1" w:styleId="325">
    <w:name w:val="UserStyle_259"/>
    <w:basedOn w:val="1"/>
    <w:link w:val="324"/>
    <w:qFormat/>
    <w:uiPriority w:val="0"/>
    <w:pPr>
      <w:spacing w:before="100" w:after="100"/>
      <w:ind w:left="360" w:right="360"/>
      <w:jc w:val="left"/>
    </w:pPr>
    <w:rPr>
      <w:kern w:val="0"/>
      <w:sz w:val="24"/>
      <w:szCs w:val="20"/>
    </w:rPr>
  </w:style>
  <w:style w:type="character" w:customStyle="1" w:styleId="326">
    <w:name w:val="UserStyle_260"/>
    <w:qFormat/>
    <w:uiPriority w:val="0"/>
    <w:rPr>
      <w:rFonts w:ascii="宋体"/>
      <w:spacing w:val="20"/>
      <w:kern w:val="2"/>
      <w:sz w:val="21"/>
    </w:rPr>
  </w:style>
  <w:style w:type="character" w:customStyle="1" w:styleId="327">
    <w:name w:val="UserStyle_261"/>
    <w:qFormat/>
    <w:uiPriority w:val="0"/>
    <w:rPr>
      <w:rFonts w:ascii="Times New Roman" w:hAnsi="Times New Roman" w:eastAsia="宋体" w:cs="Times New Roman"/>
      <w:b/>
      <w:bCs/>
      <w:szCs w:val="20"/>
    </w:rPr>
  </w:style>
  <w:style w:type="character" w:customStyle="1" w:styleId="328">
    <w:name w:val="UserStyle_262"/>
    <w:qFormat/>
    <w:uiPriority w:val="0"/>
    <w:rPr>
      <w:kern w:val="2"/>
      <w:sz w:val="18"/>
    </w:rPr>
  </w:style>
  <w:style w:type="character" w:customStyle="1" w:styleId="329">
    <w:name w:val="UserStyle_263"/>
    <w:qFormat/>
    <w:uiPriority w:val="0"/>
    <w:rPr>
      <w:kern w:val="2"/>
      <w:sz w:val="18"/>
      <w:szCs w:val="18"/>
    </w:rPr>
  </w:style>
  <w:style w:type="character" w:customStyle="1" w:styleId="330">
    <w:name w:val="UserStyle_264"/>
    <w:qFormat/>
    <w:uiPriority w:val="0"/>
    <w:rPr>
      <w:rFonts w:ascii="Arial" w:hAnsi="Arial"/>
      <w:b/>
      <w:spacing w:val="1"/>
      <w:w w:val="99"/>
      <w:sz w:val="30"/>
      <w:szCs w:val="21"/>
    </w:rPr>
  </w:style>
  <w:style w:type="character" w:customStyle="1" w:styleId="331">
    <w:name w:val="UserStyle_265"/>
    <w:qFormat/>
    <w:uiPriority w:val="0"/>
    <w:rPr>
      <w:rFonts w:eastAsia="宋体"/>
      <w:sz w:val="24"/>
      <w:lang w:val="en-US" w:eastAsia="zh-CN" w:bidi="ar-SA"/>
    </w:rPr>
  </w:style>
  <w:style w:type="character" w:customStyle="1" w:styleId="332">
    <w:name w:val="UserStyle_266"/>
    <w:qFormat/>
    <w:uiPriority w:val="0"/>
    <w:rPr>
      <w:rFonts w:cs="Times New Roman"/>
      <w:b/>
      <w:bCs/>
      <w:kern w:val="2"/>
      <w:sz w:val="21"/>
    </w:rPr>
  </w:style>
  <w:style w:type="character" w:customStyle="1" w:styleId="333">
    <w:name w:val="UserStyle_267"/>
    <w:qFormat/>
    <w:uiPriority w:val="0"/>
  </w:style>
  <w:style w:type="character" w:customStyle="1" w:styleId="334">
    <w:name w:val="UserStyle_268"/>
    <w:qFormat/>
    <w:uiPriority w:val="0"/>
    <w:rPr>
      <w:rFonts w:ascii="Arial" w:hAnsi="Arial" w:cs="Arial"/>
      <w:b/>
      <w:bCs/>
      <w:spacing w:val="-1"/>
      <w:kern w:val="2"/>
      <w:sz w:val="30"/>
      <w:szCs w:val="30"/>
    </w:rPr>
  </w:style>
  <w:style w:type="character" w:customStyle="1" w:styleId="335">
    <w:name w:val="UserStyle_269"/>
    <w:qFormat/>
    <w:uiPriority w:val="0"/>
    <w:rPr>
      <w:kern w:val="2"/>
      <w:sz w:val="18"/>
      <w:szCs w:val="18"/>
    </w:rPr>
  </w:style>
  <w:style w:type="character" w:customStyle="1" w:styleId="336">
    <w:name w:val="UserStyle_270"/>
    <w:link w:val="337"/>
    <w:qFormat/>
    <w:uiPriority w:val="0"/>
    <w:rPr>
      <w:kern w:val="2"/>
      <w:sz w:val="21"/>
      <w:szCs w:val="24"/>
    </w:rPr>
  </w:style>
  <w:style w:type="paragraph" w:customStyle="1" w:styleId="337">
    <w:name w:val="UserStyle_271"/>
    <w:basedOn w:val="1"/>
    <w:link w:val="336"/>
    <w:qFormat/>
    <w:uiPriority w:val="0"/>
    <w:pPr>
      <w:ind w:firstLine="420" w:firstLineChars="200"/>
    </w:pPr>
  </w:style>
  <w:style w:type="character" w:customStyle="1" w:styleId="338">
    <w:name w:val="UserStyle_272"/>
    <w:qFormat/>
    <w:uiPriority w:val="0"/>
    <w:rPr>
      <w:rFonts w:ascii="Arial" w:hAnsi="Arial" w:eastAsia="黑体" w:cs="Times New Roman"/>
      <w:b/>
      <w:bCs/>
      <w:sz w:val="32"/>
      <w:szCs w:val="32"/>
      <w:lang w:val="zh-CN" w:eastAsia="zh-CN"/>
    </w:rPr>
  </w:style>
  <w:style w:type="character" w:customStyle="1" w:styleId="339">
    <w:name w:val="UserStyle_273"/>
    <w:qFormat/>
    <w:uiPriority w:val="0"/>
    <w:rPr>
      <w:rFonts w:ascii="宋体" w:hAnsi="宋体"/>
      <w:sz w:val="28"/>
      <w:szCs w:val="28"/>
      <w:lang w:bidi="ar-SA"/>
    </w:rPr>
  </w:style>
  <w:style w:type="character" w:customStyle="1" w:styleId="340">
    <w:name w:val="UserStyle_274"/>
    <w:qFormat/>
    <w:uiPriority w:val="0"/>
    <w:rPr>
      <w:i/>
      <w:iCs/>
      <w:color w:val="000000"/>
      <w:kern w:val="2"/>
      <w:sz w:val="21"/>
      <w:szCs w:val="22"/>
    </w:rPr>
  </w:style>
  <w:style w:type="character" w:customStyle="1" w:styleId="341">
    <w:name w:val="UserStyle_275"/>
    <w:qFormat/>
    <w:uiPriority w:val="0"/>
    <w:rPr>
      <w:rFonts w:ascii="Times New Roman" w:hAnsi="Times New Roman" w:eastAsia="宋体"/>
      <w:szCs w:val="20"/>
      <w:shd w:val="clear" w:color="auto" w:fill="000080"/>
    </w:rPr>
  </w:style>
  <w:style w:type="character" w:customStyle="1" w:styleId="342">
    <w:name w:val="UserStyle_276"/>
    <w:qFormat/>
    <w:uiPriority w:val="0"/>
    <w:rPr>
      <w:color w:val="000000"/>
      <w:sz w:val="18"/>
      <w:szCs w:val="18"/>
    </w:rPr>
  </w:style>
  <w:style w:type="character" w:customStyle="1" w:styleId="343">
    <w:name w:val="UserStyle_277"/>
    <w:qFormat/>
    <w:uiPriority w:val="0"/>
    <w:rPr>
      <w:rFonts w:ascii="Times New Roman" w:hAnsi="Times New Roman" w:eastAsia="宋体"/>
      <w:szCs w:val="20"/>
    </w:rPr>
  </w:style>
  <w:style w:type="character" w:customStyle="1" w:styleId="344">
    <w:name w:val="UserStyle_278"/>
    <w:qFormat/>
    <w:uiPriority w:val="0"/>
    <w:rPr>
      <w:rFonts w:ascii="Arial" w:hAnsi="Arial" w:eastAsia="黑体" w:cs="Times New Roman"/>
      <w:b/>
      <w:bCs/>
      <w:kern w:val="2"/>
      <w:sz w:val="24"/>
      <w:szCs w:val="24"/>
      <w:lang w:val="en-US" w:eastAsia="zh-CN" w:bidi="ar-SA"/>
    </w:rPr>
  </w:style>
  <w:style w:type="character" w:customStyle="1" w:styleId="345">
    <w:name w:val="UserStyle_279"/>
    <w:link w:val="346"/>
    <w:qFormat/>
    <w:uiPriority w:val="0"/>
    <w:rPr>
      <w:rFonts w:ascii="宋体" w:hAnsi="宋体"/>
      <w:b/>
      <w:kern w:val="2"/>
      <w:sz w:val="21"/>
      <w:szCs w:val="21"/>
    </w:rPr>
  </w:style>
  <w:style w:type="paragraph" w:customStyle="1" w:styleId="346">
    <w:name w:val="UserStyle_280"/>
    <w:basedOn w:val="14"/>
    <w:next w:val="14"/>
    <w:link w:val="345"/>
    <w:qFormat/>
    <w:uiPriority w:val="0"/>
    <w:pPr>
      <w:jc w:val="right"/>
    </w:pPr>
    <w:rPr>
      <w:rFonts w:ascii="宋体" w:hAnsi="宋体"/>
      <w:b/>
      <w:sz w:val="21"/>
      <w:szCs w:val="21"/>
    </w:rPr>
  </w:style>
  <w:style w:type="character" w:customStyle="1" w:styleId="347">
    <w:name w:val="UserStyle_281"/>
    <w:qFormat/>
    <w:uiPriority w:val="0"/>
    <w:rPr>
      <w:spacing w:val="240"/>
    </w:rPr>
  </w:style>
  <w:style w:type="character" w:customStyle="1" w:styleId="348">
    <w:name w:val="UserStyle_282"/>
    <w:qFormat/>
    <w:uiPriority w:val="0"/>
    <w:rPr>
      <w:kern w:val="2"/>
      <w:sz w:val="18"/>
      <w:szCs w:val="18"/>
    </w:rPr>
  </w:style>
  <w:style w:type="character" w:customStyle="1" w:styleId="349">
    <w:name w:val="UserStyle_283"/>
    <w:qFormat/>
    <w:uiPriority w:val="0"/>
    <w:rPr>
      <w:rFonts w:ascii="宋体" w:hAnsi="宋体"/>
      <w:kern w:val="2"/>
      <w:sz w:val="21"/>
      <w:szCs w:val="24"/>
      <w:u w:val="single"/>
    </w:rPr>
  </w:style>
  <w:style w:type="character" w:customStyle="1" w:styleId="350">
    <w:name w:val="UserStyle_284"/>
    <w:qFormat/>
    <w:uiPriority w:val="0"/>
    <w:rPr>
      <w:rFonts w:eastAsia="宋体" w:cs="Times New Roman"/>
      <w:b/>
      <w:bCs/>
      <w:kern w:val="2"/>
      <w:sz w:val="24"/>
      <w:szCs w:val="24"/>
      <w:lang w:val="en-US" w:eastAsia="zh-CN" w:bidi="ar-SA"/>
    </w:rPr>
  </w:style>
  <w:style w:type="character" w:customStyle="1" w:styleId="351">
    <w:name w:val="UserStyle_285"/>
    <w:qFormat/>
    <w:uiPriority w:val="0"/>
    <w:rPr>
      <w:rFonts w:eastAsia="楷体_GB2312"/>
      <w:kern w:val="2"/>
      <w:sz w:val="24"/>
      <w:szCs w:val="24"/>
    </w:rPr>
  </w:style>
  <w:style w:type="character" w:customStyle="1" w:styleId="352">
    <w:name w:val="UserStyle_286"/>
    <w:qFormat/>
    <w:uiPriority w:val="0"/>
    <w:rPr>
      <w:rFonts w:ascii="Arial" w:hAnsi="Arial" w:eastAsia="宋体"/>
      <w:color w:val="000000"/>
      <w:sz w:val="20"/>
    </w:rPr>
  </w:style>
  <w:style w:type="character" w:customStyle="1" w:styleId="353">
    <w:name w:val="UserStyle_287"/>
    <w:qFormat/>
    <w:uiPriority w:val="0"/>
    <w:rPr>
      <w:i/>
      <w:iCs/>
      <w:color w:val="000000"/>
      <w:kern w:val="2"/>
      <w:sz w:val="21"/>
      <w:szCs w:val="24"/>
    </w:rPr>
  </w:style>
  <w:style w:type="character" w:customStyle="1" w:styleId="354">
    <w:name w:val="UserStyle_288"/>
    <w:qFormat/>
    <w:uiPriority w:val="0"/>
    <w:rPr>
      <w:rFonts w:ascii="Arial" w:hAnsi="Arial" w:eastAsia="黑体" w:cs="Times New Roman"/>
      <w:b/>
      <w:bCs/>
      <w:sz w:val="24"/>
      <w:szCs w:val="24"/>
    </w:rPr>
  </w:style>
  <w:style w:type="character" w:customStyle="1" w:styleId="355">
    <w:name w:val="UserStyle_289"/>
    <w:qFormat/>
    <w:uiPriority w:val="0"/>
    <w:rPr>
      <w:kern w:val="2"/>
      <w:sz w:val="18"/>
      <w:szCs w:val="18"/>
    </w:rPr>
  </w:style>
  <w:style w:type="character" w:customStyle="1" w:styleId="356">
    <w:name w:val="UserStyle_290"/>
    <w:qFormat/>
    <w:uiPriority w:val="0"/>
    <w:rPr>
      <w:kern w:val="2"/>
      <w:sz w:val="21"/>
    </w:rPr>
  </w:style>
  <w:style w:type="character" w:customStyle="1" w:styleId="357">
    <w:name w:val="UserStyle_291"/>
    <w:qFormat/>
    <w:uiPriority w:val="0"/>
    <w:rPr>
      <w:rFonts w:ascii="宋体" w:hAnsi="Times New Roman"/>
      <w:sz w:val="18"/>
      <w:szCs w:val="18"/>
    </w:rPr>
  </w:style>
  <w:style w:type="character" w:customStyle="1" w:styleId="358">
    <w:name w:val="UserStyle_292"/>
    <w:qFormat/>
    <w:uiPriority w:val="0"/>
    <w:rPr>
      <w:rFonts w:eastAsia="宋体"/>
      <w:sz w:val="24"/>
    </w:rPr>
  </w:style>
  <w:style w:type="character" w:customStyle="1" w:styleId="359">
    <w:name w:val="UserStyle_293"/>
    <w:qFormat/>
    <w:uiPriority w:val="0"/>
    <w:rPr>
      <w:rFonts w:cs="Times New Roman"/>
      <w:b/>
      <w:bCs/>
      <w:i/>
      <w:iCs/>
      <w:color w:val="4F81BD"/>
      <w:kern w:val="2"/>
      <w:sz w:val="21"/>
      <w:szCs w:val="24"/>
    </w:rPr>
  </w:style>
  <w:style w:type="character" w:customStyle="1" w:styleId="360">
    <w:name w:val="UserStyle_294"/>
    <w:qFormat/>
    <w:uiPriority w:val="0"/>
    <w:rPr>
      <w:kern w:val="2"/>
      <w:sz w:val="18"/>
      <w:szCs w:val="18"/>
    </w:rPr>
  </w:style>
  <w:style w:type="character" w:customStyle="1" w:styleId="361">
    <w:name w:val="UserStyle_295"/>
    <w:qFormat/>
    <w:uiPriority w:val="0"/>
    <w:rPr>
      <w:rFonts w:ascii="Arial" w:hAnsi="Arial"/>
      <w:sz w:val="24"/>
      <w:szCs w:val="24"/>
    </w:rPr>
  </w:style>
  <w:style w:type="character" w:customStyle="1" w:styleId="362">
    <w:name w:val="UserStyle_296"/>
    <w:qFormat/>
    <w:uiPriority w:val="0"/>
    <w:rPr>
      <w:rFonts w:ascii="宋体" w:hAnsi="Courier New"/>
      <w:color w:val="000000"/>
      <w:kern w:val="2"/>
      <w:sz w:val="21"/>
      <w:szCs w:val="21"/>
    </w:rPr>
  </w:style>
  <w:style w:type="character" w:customStyle="1" w:styleId="363">
    <w:name w:val="UserStyle_297"/>
    <w:link w:val="364"/>
    <w:qFormat/>
    <w:uiPriority w:val="0"/>
    <w:rPr>
      <w:rFonts w:ascii="Calibri" w:hAnsi="Calibri" w:eastAsia="宋体"/>
      <w:szCs w:val="22"/>
    </w:rPr>
  </w:style>
  <w:style w:type="paragraph" w:customStyle="1" w:styleId="364">
    <w:name w:val="UserStyle_298"/>
    <w:basedOn w:val="1"/>
    <w:link w:val="363"/>
    <w:qFormat/>
    <w:uiPriority w:val="0"/>
    <w:rPr>
      <w:rFonts w:ascii="Calibri" w:hAnsi="Calibri"/>
      <w:szCs w:val="22"/>
    </w:rPr>
  </w:style>
  <w:style w:type="paragraph" w:customStyle="1" w:styleId="365">
    <w:name w:val="UserStyle_299"/>
    <w:basedOn w:val="1"/>
    <w:qFormat/>
    <w:uiPriority w:val="0"/>
    <w:pPr>
      <w:spacing w:before="160" w:after="60" w:line="312" w:lineRule="exact"/>
      <w:jc w:val="center"/>
    </w:pPr>
    <w:rPr>
      <w:rFonts w:ascii="EU-F1" w:eastAsia="黑体"/>
      <w:kern w:val="21"/>
      <w:szCs w:val="21"/>
    </w:rPr>
  </w:style>
  <w:style w:type="paragraph" w:customStyle="1" w:styleId="366">
    <w:name w:val="Index1"/>
    <w:basedOn w:val="1"/>
    <w:next w:val="1"/>
    <w:qFormat/>
    <w:uiPriority w:val="0"/>
    <w:pPr>
      <w:spacing w:line="360" w:lineRule="auto"/>
      <w:jc w:val="center"/>
    </w:pPr>
    <w:rPr>
      <w:rFonts w:ascii="Arial" w:hAnsi="Arial"/>
      <w:kern w:val="0"/>
      <w:sz w:val="24"/>
    </w:rPr>
  </w:style>
  <w:style w:type="paragraph" w:customStyle="1" w:styleId="367">
    <w:name w:val="IndexHeading"/>
    <w:basedOn w:val="1"/>
    <w:next w:val="366"/>
    <w:qFormat/>
    <w:uiPriority w:val="0"/>
    <w:rPr>
      <w:szCs w:val="20"/>
    </w:rPr>
  </w:style>
  <w:style w:type="paragraph" w:customStyle="1" w:styleId="368">
    <w:name w:val="UserStyle_300"/>
    <w:basedOn w:val="32"/>
    <w:qFormat/>
    <w:uiPriority w:val="0"/>
    <w:pPr>
      <w:keepLines/>
      <w:tabs>
        <w:tab w:val="left" w:pos="540"/>
      </w:tabs>
      <w:topLinePunct/>
      <w:snapToGrid w:val="0"/>
      <w:spacing w:before="340" w:after="330" w:line="480" w:lineRule="auto"/>
      <w:ind w:firstLine="723"/>
    </w:pPr>
    <w:rPr>
      <w:b w:val="0"/>
      <w:bCs/>
      <w:kern w:val="44"/>
      <w:sz w:val="36"/>
      <w:szCs w:val="36"/>
    </w:rPr>
  </w:style>
  <w:style w:type="paragraph" w:customStyle="1" w:styleId="369">
    <w:name w:val="Index8"/>
    <w:basedOn w:val="1"/>
    <w:next w:val="1"/>
    <w:qFormat/>
    <w:uiPriority w:val="0"/>
    <w:pPr>
      <w:ind w:left="1400" w:leftChars="1400"/>
    </w:pPr>
    <w:rPr>
      <w:szCs w:val="20"/>
    </w:rPr>
  </w:style>
  <w:style w:type="paragraph" w:customStyle="1" w:styleId="370">
    <w:name w:val="UserStyle_301"/>
    <w:basedOn w:val="1"/>
    <w:next w:val="61"/>
    <w:qFormat/>
    <w:uiPriority w:val="0"/>
    <w:pPr>
      <w:snapToGrid w:val="0"/>
      <w:spacing w:after="120" w:line="360" w:lineRule="auto"/>
      <w:ind w:left="420" w:leftChars="200" w:firstLine="480" w:firstLineChars="200"/>
    </w:pPr>
    <w:rPr>
      <w:sz w:val="24"/>
      <w:szCs w:val="20"/>
    </w:rPr>
  </w:style>
  <w:style w:type="paragraph" w:customStyle="1" w:styleId="371">
    <w:name w:val="UserStyle_302"/>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372">
    <w:name w:val="TOC3"/>
    <w:basedOn w:val="1"/>
    <w:next w:val="1"/>
    <w:qFormat/>
    <w:uiPriority w:val="0"/>
    <w:pPr>
      <w:ind w:left="420"/>
      <w:jc w:val="left"/>
    </w:pPr>
    <w:rPr>
      <w:i/>
      <w:iCs/>
      <w:sz w:val="20"/>
      <w:szCs w:val="20"/>
    </w:rPr>
  </w:style>
  <w:style w:type="paragraph" w:customStyle="1" w:styleId="373">
    <w:name w:val="Index4"/>
    <w:basedOn w:val="1"/>
    <w:next w:val="1"/>
    <w:qFormat/>
    <w:uiPriority w:val="0"/>
    <w:pPr>
      <w:ind w:left="600" w:leftChars="600"/>
    </w:pPr>
  </w:style>
  <w:style w:type="paragraph" w:customStyle="1" w:styleId="374">
    <w:name w:val="UserStyle_303"/>
    <w:basedOn w:val="1"/>
    <w:qFormat/>
    <w:uiPriority w:val="0"/>
    <w:rPr>
      <w:rFonts w:ascii="Tahoma" w:hAnsi="Tahoma"/>
      <w:sz w:val="24"/>
      <w:szCs w:val="20"/>
    </w:rPr>
  </w:style>
  <w:style w:type="paragraph" w:customStyle="1" w:styleId="375">
    <w:name w:val="UserStyle_304"/>
    <w:basedOn w:val="1"/>
    <w:qFormat/>
    <w:uiPriority w:val="0"/>
    <w:pPr>
      <w:tabs>
        <w:tab w:val="left" w:pos="360"/>
      </w:tabs>
    </w:pPr>
    <w:rPr>
      <w:sz w:val="24"/>
    </w:rPr>
  </w:style>
  <w:style w:type="paragraph" w:customStyle="1" w:styleId="376">
    <w:name w:val="List2"/>
    <w:basedOn w:val="1"/>
    <w:qFormat/>
    <w:uiPriority w:val="0"/>
    <w:pPr>
      <w:ind w:left="100" w:leftChars="200" w:hanging="200" w:hangingChars="200"/>
    </w:pPr>
  </w:style>
  <w:style w:type="paragraph" w:customStyle="1" w:styleId="377">
    <w:name w:val="UserStyle_305"/>
    <w:basedOn w:val="1"/>
    <w:qFormat/>
    <w:uiPriority w:val="0"/>
    <w:rPr>
      <w:rFonts w:ascii="宋体" w:hAnsi="Courier New"/>
      <w:szCs w:val="20"/>
    </w:rPr>
  </w:style>
  <w:style w:type="paragraph" w:customStyle="1" w:styleId="378">
    <w:name w:val="HtmlNormal"/>
    <w:basedOn w:val="1"/>
    <w:qFormat/>
    <w:uiPriority w:val="0"/>
    <w:pPr>
      <w:spacing w:before="100" w:beforeAutospacing="1" w:after="100" w:afterAutospacing="1"/>
      <w:jc w:val="left"/>
    </w:pPr>
    <w:rPr>
      <w:rFonts w:ascii="宋体" w:hAnsi="宋体"/>
      <w:kern w:val="0"/>
      <w:sz w:val="24"/>
    </w:rPr>
  </w:style>
  <w:style w:type="paragraph" w:customStyle="1" w:styleId="379">
    <w:name w:val="UserStyle_306"/>
    <w:basedOn w:val="1"/>
    <w:qFormat/>
    <w:uiPriority w:val="0"/>
    <w:pPr>
      <w:ind w:firstLine="420" w:firstLineChars="200"/>
    </w:pPr>
    <w:rPr>
      <w:rFonts w:ascii="Calibri" w:hAnsi="Calibri"/>
      <w:szCs w:val="22"/>
    </w:rPr>
  </w:style>
  <w:style w:type="paragraph" w:customStyle="1" w:styleId="380">
    <w:name w:val="Index6"/>
    <w:basedOn w:val="1"/>
    <w:next w:val="1"/>
    <w:qFormat/>
    <w:uiPriority w:val="0"/>
    <w:pPr>
      <w:ind w:left="1000" w:leftChars="1000"/>
    </w:pPr>
    <w:rPr>
      <w:szCs w:val="20"/>
    </w:rPr>
  </w:style>
  <w:style w:type="paragraph" w:customStyle="1" w:styleId="381">
    <w:name w:val="UserStyle_307"/>
    <w:basedOn w:val="382"/>
    <w:qFormat/>
    <w:uiPriority w:val="0"/>
    <w:pPr>
      <w:snapToGrid w:val="0"/>
    </w:pPr>
    <w:rPr>
      <w:rFonts w:ascii="Arial" w:hAnsi="Arial"/>
      <w:sz w:val="21"/>
    </w:rPr>
  </w:style>
  <w:style w:type="paragraph" w:customStyle="1" w:styleId="382">
    <w:name w:val="UserStyle_308"/>
    <w:basedOn w:val="1"/>
    <w:qFormat/>
    <w:uiPriority w:val="0"/>
    <w:rPr>
      <w:rFonts w:ascii="宋体"/>
      <w:sz w:val="20"/>
      <w:szCs w:val="20"/>
    </w:rPr>
  </w:style>
  <w:style w:type="paragraph" w:customStyle="1" w:styleId="383">
    <w:name w:val="UserStyle_309"/>
    <w:basedOn w:val="1"/>
    <w:qFormat/>
    <w:uiPriority w:val="0"/>
    <w:pPr>
      <w:spacing w:line="360" w:lineRule="exact"/>
      <w:ind w:firstLine="200" w:firstLineChars="200"/>
    </w:pPr>
    <w:rPr>
      <w:rFonts w:ascii="Arial" w:hAnsi="Arial"/>
      <w:szCs w:val="20"/>
    </w:rPr>
  </w:style>
  <w:style w:type="paragraph" w:customStyle="1" w:styleId="384">
    <w:name w:val="UserStyle_3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385">
    <w:name w:val="TOC6"/>
    <w:basedOn w:val="1"/>
    <w:next w:val="1"/>
    <w:qFormat/>
    <w:uiPriority w:val="0"/>
    <w:pPr>
      <w:ind w:left="1050"/>
      <w:jc w:val="left"/>
    </w:pPr>
    <w:rPr>
      <w:sz w:val="18"/>
      <w:szCs w:val="18"/>
    </w:rPr>
  </w:style>
  <w:style w:type="paragraph" w:customStyle="1" w:styleId="386">
    <w:name w:val="UserStyle_311"/>
    <w:basedOn w:val="1"/>
    <w:qFormat/>
    <w:uiPriority w:val="0"/>
    <w:rPr>
      <w:rFonts w:ascii="Tahoma" w:hAnsi="Tahoma"/>
      <w:sz w:val="24"/>
      <w:szCs w:val="20"/>
    </w:rPr>
  </w:style>
  <w:style w:type="paragraph" w:customStyle="1" w:styleId="387">
    <w:name w:val="TOC1"/>
    <w:basedOn w:val="1"/>
    <w:next w:val="1"/>
    <w:qFormat/>
    <w:uiPriority w:val="0"/>
    <w:pPr>
      <w:tabs>
        <w:tab w:val="right" w:leader="dot" w:pos="9403"/>
      </w:tabs>
      <w:snapToGrid w:val="0"/>
      <w:spacing w:line="360" w:lineRule="auto"/>
    </w:pPr>
    <w:rPr>
      <w:b/>
      <w:bCs/>
      <w:caps/>
    </w:rPr>
  </w:style>
  <w:style w:type="paragraph" w:customStyle="1" w:styleId="388">
    <w:name w:val="UserStyle_312"/>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389">
    <w:name w:val="ListNumber3"/>
    <w:basedOn w:val="1"/>
    <w:qFormat/>
    <w:uiPriority w:val="0"/>
    <w:pPr>
      <w:keepNext/>
      <w:tabs>
        <w:tab w:val="left" w:pos="1080"/>
      </w:tabs>
      <w:spacing w:after="60"/>
      <w:ind w:left="1080" w:hanging="360"/>
    </w:pPr>
    <w:rPr>
      <w:rFonts w:ascii="Arial" w:hAnsi="Arial"/>
      <w:kern w:val="0"/>
      <w:sz w:val="20"/>
      <w:szCs w:val="20"/>
      <w:lang w:val="en-GB" w:eastAsia="en-US"/>
    </w:rPr>
  </w:style>
  <w:style w:type="paragraph" w:customStyle="1" w:styleId="390">
    <w:name w:val="TOAHeading"/>
    <w:basedOn w:val="1"/>
    <w:next w:val="1"/>
    <w:qFormat/>
    <w:uiPriority w:val="0"/>
    <w:pPr>
      <w:spacing w:before="120"/>
    </w:pPr>
    <w:rPr>
      <w:rFonts w:ascii="Arial" w:hAnsi="Arial"/>
      <w:sz w:val="24"/>
    </w:rPr>
  </w:style>
  <w:style w:type="paragraph" w:customStyle="1" w:styleId="391">
    <w:name w:val="UserStyle_313"/>
    <w:basedOn w:val="1"/>
    <w:qFormat/>
    <w:uiPriority w:val="0"/>
    <w:pPr>
      <w:snapToGrid w:val="0"/>
    </w:pPr>
    <w:rPr>
      <w:rFonts w:ascii="Arial" w:hAnsi="Arial"/>
      <w:kern w:val="0"/>
      <w:szCs w:val="20"/>
    </w:rPr>
  </w:style>
  <w:style w:type="paragraph" w:customStyle="1" w:styleId="392">
    <w:name w:val="UserStyle_314"/>
    <w:basedOn w:val="1"/>
    <w:qFormat/>
    <w:uiPriority w:val="0"/>
    <w:pPr>
      <w:spacing w:before="100" w:beforeAutospacing="1" w:after="100" w:afterAutospacing="1"/>
      <w:jc w:val="left"/>
    </w:pPr>
    <w:rPr>
      <w:rFonts w:ascii="宋体" w:hAnsi="宋体"/>
      <w:b/>
      <w:bCs/>
      <w:kern w:val="0"/>
      <w:sz w:val="36"/>
      <w:szCs w:val="36"/>
    </w:rPr>
  </w:style>
  <w:style w:type="paragraph" w:customStyle="1" w:styleId="393">
    <w:name w:val="Index5"/>
    <w:basedOn w:val="1"/>
    <w:next w:val="1"/>
    <w:qFormat/>
    <w:uiPriority w:val="0"/>
    <w:pPr>
      <w:ind w:left="800" w:leftChars="800"/>
    </w:pPr>
    <w:rPr>
      <w:szCs w:val="20"/>
    </w:rPr>
  </w:style>
  <w:style w:type="paragraph" w:customStyle="1" w:styleId="394">
    <w:name w:val="UserStyle_315"/>
    <w:basedOn w:val="1"/>
    <w:qFormat/>
    <w:uiPriority w:val="0"/>
    <w:pPr>
      <w:shd w:val="clear" w:color="auto"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395">
    <w:name w:val="UserStyle_316"/>
    <w:basedOn w:val="1"/>
    <w:qFormat/>
    <w:uiPriority w:val="0"/>
    <w:rPr>
      <w:rFonts w:ascii="仿宋_GB2312" w:eastAsia="仿宋_GB2312"/>
      <w:b/>
      <w:sz w:val="32"/>
      <w:szCs w:val="32"/>
    </w:rPr>
  </w:style>
  <w:style w:type="paragraph" w:customStyle="1" w:styleId="396">
    <w:name w:val="UserStyle_317"/>
    <w:basedOn w:val="1"/>
    <w:qFormat/>
    <w:uiPriority w:val="0"/>
    <w:rPr>
      <w:szCs w:val="20"/>
    </w:rPr>
  </w:style>
  <w:style w:type="paragraph" w:customStyle="1" w:styleId="397">
    <w:name w:val="TOC8"/>
    <w:basedOn w:val="1"/>
    <w:next w:val="1"/>
    <w:qFormat/>
    <w:uiPriority w:val="0"/>
    <w:pPr>
      <w:ind w:left="1470"/>
      <w:jc w:val="left"/>
    </w:pPr>
    <w:rPr>
      <w:sz w:val="18"/>
      <w:szCs w:val="18"/>
    </w:rPr>
  </w:style>
  <w:style w:type="paragraph" w:customStyle="1" w:styleId="398">
    <w:name w:val="List4"/>
    <w:basedOn w:val="1"/>
    <w:qFormat/>
    <w:uiPriority w:val="0"/>
    <w:pPr>
      <w:ind w:left="100" w:leftChars="600" w:hanging="200" w:hangingChars="200"/>
    </w:pPr>
    <w:rPr>
      <w:szCs w:val="20"/>
    </w:rPr>
  </w:style>
  <w:style w:type="paragraph" w:customStyle="1" w:styleId="399">
    <w:name w:val="UserStyle_318"/>
    <w:basedOn w:val="1"/>
    <w:qFormat/>
    <w:uiPriority w:val="0"/>
    <w:pPr>
      <w:keepNext/>
      <w:spacing w:before="120"/>
      <w:jc w:val="left"/>
    </w:pPr>
    <w:rPr>
      <w:rFonts w:ascii="宋体" w:cs="宋体"/>
      <w:b/>
      <w:bCs/>
      <w:kern w:val="0"/>
      <w:sz w:val="24"/>
      <w:szCs w:val="20"/>
    </w:rPr>
  </w:style>
  <w:style w:type="paragraph" w:customStyle="1" w:styleId="400">
    <w:name w:val="UserStyle_319"/>
    <w:basedOn w:val="1"/>
    <w:qFormat/>
    <w:uiPriority w:val="0"/>
    <w:rPr>
      <w:rFonts w:ascii="仿宋_GB2312" w:eastAsia="仿宋_GB2312"/>
      <w:b/>
      <w:sz w:val="32"/>
      <w:szCs w:val="32"/>
    </w:rPr>
  </w:style>
  <w:style w:type="paragraph" w:customStyle="1" w:styleId="401">
    <w:name w:val="TOC9"/>
    <w:basedOn w:val="1"/>
    <w:next w:val="1"/>
    <w:qFormat/>
    <w:uiPriority w:val="0"/>
    <w:pPr>
      <w:ind w:left="1680"/>
      <w:jc w:val="left"/>
    </w:pPr>
    <w:rPr>
      <w:sz w:val="18"/>
      <w:szCs w:val="18"/>
    </w:rPr>
  </w:style>
  <w:style w:type="paragraph" w:customStyle="1" w:styleId="402">
    <w:name w:val="UserStyle_320"/>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403">
    <w:name w:val="UserStyle_321"/>
    <w:basedOn w:val="33"/>
    <w:qFormat/>
    <w:uiPriority w:val="0"/>
    <w:pPr>
      <w:numPr>
        <w:ilvl w:val="0"/>
        <w:numId w:val="1"/>
      </w:numPr>
      <w:spacing w:before="156" w:after="156" w:line="560" w:lineRule="exact"/>
      <w:ind w:left="0" w:firstLine="0" w:firstLineChars="0"/>
    </w:pPr>
    <w:rPr>
      <w:rFonts w:cs="宋体"/>
      <w:sz w:val="32"/>
      <w:szCs w:val="20"/>
    </w:rPr>
  </w:style>
  <w:style w:type="paragraph" w:customStyle="1" w:styleId="404">
    <w:name w:val="TOC5"/>
    <w:basedOn w:val="1"/>
    <w:next w:val="1"/>
    <w:qFormat/>
    <w:uiPriority w:val="0"/>
    <w:pPr>
      <w:ind w:left="840"/>
      <w:jc w:val="left"/>
    </w:pPr>
    <w:rPr>
      <w:sz w:val="18"/>
      <w:szCs w:val="18"/>
    </w:rPr>
  </w:style>
  <w:style w:type="paragraph" w:customStyle="1" w:styleId="405">
    <w:name w:val="UserStyle_322"/>
    <w:basedOn w:val="1"/>
    <w:qFormat/>
    <w:uiPriority w:val="0"/>
    <w:pPr>
      <w:spacing w:before="100" w:beforeAutospacing="1" w:after="100" w:afterAutospacing="1" w:line="300" w:lineRule="atLeast"/>
      <w:jc w:val="left"/>
    </w:pPr>
    <w:rPr>
      <w:color w:val="000000"/>
      <w:kern w:val="0"/>
      <w:szCs w:val="21"/>
    </w:rPr>
  </w:style>
  <w:style w:type="paragraph" w:customStyle="1" w:styleId="406">
    <w:name w:val="UserStyle_323"/>
    <w:basedOn w:val="1"/>
    <w:qFormat/>
    <w:uiPriority w:val="0"/>
    <w:rPr>
      <w:rFonts w:ascii="Tahoma" w:hAnsi="Tahoma"/>
      <w:sz w:val="24"/>
      <w:szCs w:val="20"/>
    </w:rPr>
  </w:style>
  <w:style w:type="paragraph" w:customStyle="1" w:styleId="407">
    <w:name w:val="UserStyle_3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408">
    <w:name w:val="UserStyle_325"/>
    <w:basedOn w:val="1"/>
    <w:qFormat/>
    <w:uiPriority w:val="0"/>
    <w:rPr>
      <w:rFonts w:ascii="宋体"/>
      <w:sz w:val="28"/>
      <w:szCs w:val="20"/>
    </w:rPr>
  </w:style>
  <w:style w:type="paragraph" w:customStyle="1" w:styleId="409">
    <w:name w:val="Index2"/>
    <w:basedOn w:val="1"/>
    <w:next w:val="1"/>
    <w:qFormat/>
    <w:uiPriority w:val="0"/>
    <w:pPr>
      <w:ind w:left="200" w:leftChars="200"/>
    </w:pPr>
    <w:rPr>
      <w:rFonts w:ascii="宋体"/>
      <w:sz w:val="24"/>
      <w:szCs w:val="20"/>
    </w:rPr>
  </w:style>
  <w:style w:type="paragraph" w:customStyle="1" w:styleId="410">
    <w:name w:val="UserStyle_326"/>
    <w:basedOn w:val="34"/>
    <w:qFormat/>
    <w:uiPriority w:val="0"/>
    <w:pPr>
      <w:keepNext/>
      <w:keepLines/>
      <w:spacing w:before="100" w:after="0" w:line="360" w:lineRule="auto"/>
      <w:ind w:firstLine="422" w:firstLineChars="200"/>
    </w:pPr>
    <w:rPr>
      <w:rFonts w:ascii="Arial" w:hAnsi="Arial"/>
      <w:b/>
      <w:bCs/>
      <w:kern w:val="0"/>
      <w:szCs w:val="30"/>
    </w:rPr>
  </w:style>
  <w:style w:type="paragraph" w:customStyle="1" w:styleId="411">
    <w:name w:val="UserStyle_327"/>
    <w:basedOn w:val="1"/>
    <w:qFormat/>
    <w:uiPriority w:val="0"/>
    <w:pPr>
      <w:spacing w:after="160" w:line="240" w:lineRule="exact"/>
      <w:jc w:val="left"/>
    </w:pPr>
    <w:rPr>
      <w:rFonts w:ascii="宋体"/>
      <w:sz w:val="28"/>
      <w:szCs w:val="20"/>
    </w:rPr>
  </w:style>
  <w:style w:type="paragraph" w:customStyle="1" w:styleId="412">
    <w:name w:val="TOC2"/>
    <w:basedOn w:val="1"/>
    <w:next w:val="1"/>
    <w:qFormat/>
    <w:uiPriority w:val="0"/>
    <w:pPr>
      <w:tabs>
        <w:tab w:val="right" w:leader="dot" w:pos="9403"/>
      </w:tabs>
      <w:snapToGrid w:val="0"/>
      <w:spacing w:line="360" w:lineRule="auto"/>
      <w:ind w:firstLine="200" w:firstLineChars="200"/>
    </w:pPr>
    <w:rPr>
      <w:smallCaps/>
    </w:rPr>
  </w:style>
  <w:style w:type="paragraph" w:customStyle="1" w:styleId="413">
    <w:name w:val="UserStyle_328"/>
    <w:basedOn w:val="1"/>
    <w:qFormat/>
    <w:uiPriority w:val="0"/>
    <w:pPr>
      <w:jc w:val="center"/>
      <w:textAlignment w:val="center"/>
    </w:pPr>
    <w:rPr>
      <w:rFonts w:ascii="华文细黑" w:hAnsi="华文细黑"/>
      <w:kern w:val="0"/>
      <w:szCs w:val="20"/>
    </w:rPr>
  </w:style>
  <w:style w:type="paragraph" w:customStyle="1" w:styleId="414">
    <w:name w:val="TOC4"/>
    <w:basedOn w:val="1"/>
    <w:next w:val="1"/>
    <w:qFormat/>
    <w:uiPriority w:val="0"/>
    <w:pPr>
      <w:ind w:left="630"/>
      <w:jc w:val="left"/>
    </w:pPr>
    <w:rPr>
      <w:sz w:val="18"/>
      <w:szCs w:val="18"/>
    </w:rPr>
  </w:style>
  <w:style w:type="paragraph" w:customStyle="1" w:styleId="415">
    <w:name w:val="BlockQuote"/>
    <w:basedOn w:val="1"/>
    <w:qFormat/>
    <w:uiPriority w:val="0"/>
    <w:pPr>
      <w:spacing w:line="340" w:lineRule="exact"/>
      <w:ind w:left="850" w:leftChars="405" w:right="16"/>
    </w:pPr>
    <w:rPr>
      <w:rFonts w:ascii="宋体"/>
      <w:spacing w:val="20"/>
    </w:rPr>
  </w:style>
  <w:style w:type="paragraph" w:customStyle="1" w:styleId="416">
    <w:name w:val="UserStyle_329"/>
    <w:basedOn w:val="1"/>
    <w:qFormat/>
    <w:uiPriority w:val="0"/>
    <w:rPr>
      <w:rFonts w:ascii="宋体"/>
      <w:sz w:val="28"/>
      <w:szCs w:val="20"/>
    </w:rPr>
  </w:style>
  <w:style w:type="paragraph" w:customStyle="1" w:styleId="417">
    <w:name w:val="List5"/>
    <w:basedOn w:val="1"/>
    <w:qFormat/>
    <w:uiPriority w:val="0"/>
    <w:pPr>
      <w:ind w:left="100" w:leftChars="800" w:hanging="200" w:hangingChars="200"/>
    </w:pPr>
    <w:rPr>
      <w:szCs w:val="20"/>
    </w:rPr>
  </w:style>
  <w:style w:type="paragraph" w:customStyle="1" w:styleId="418">
    <w:name w:val="UserStyle_33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olor w:val="000000"/>
      <w:kern w:val="0"/>
      <w:sz w:val="18"/>
      <w:szCs w:val="18"/>
    </w:rPr>
  </w:style>
  <w:style w:type="paragraph" w:customStyle="1" w:styleId="419">
    <w:name w:val="TOC7"/>
    <w:basedOn w:val="1"/>
    <w:next w:val="1"/>
    <w:qFormat/>
    <w:uiPriority w:val="0"/>
    <w:pPr>
      <w:ind w:left="1260"/>
      <w:jc w:val="left"/>
    </w:pPr>
    <w:rPr>
      <w:sz w:val="18"/>
      <w:szCs w:val="18"/>
    </w:rPr>
  </w:style>
  <w:style w:type="paragraph" w:customStyle="1" w:styleId="420">
    <w:name w:val="UserStyle_331"/>
    <w:basedOn w:val="1"/>
    <w:qFormat/>
    <w:uiPriority w:val="0"/>
    <w:pPr>
      <w:spacing w:line="360" w:lineRule="atLeast"/>
    </w:pPr>
    <w:rPr>
      <w:rFonts w:ascii="Tahoma" w:hAnsi="Tahoma"/>
      <w:sz w:val="24"/>
      <w:szCs w:val="20"/>
    </w:rPr>
  </w:style>
  <w:style w:type="paragraph" w:customStyle="1" w:styleId="421">
    <w:name w:val="UserStyle_332"/>
    <w:basedOn w:val="1"/>
    <w:qFormat/>
    <w:uiPriority w:val="0"/>
    <w:pPr>
      <w:snapToGrid w:val="0"/>
      <w:spacing w:line="360" w:lineRule="auto"/>
      <w:ind w:right="-126" w:rightChars="-45" w:firstLine="430" w:firstLineChars="204"/>
    </w:pPr>
    <w:rPr>
      <w:rFonts w:ascii="宋体" w:hAnsi="宋体"/>
      <w:b/>
      <w:bCs/>
      <w:color w:val="000000"/>
      <w:szCs w:val="21"/>
    </w:rPr>
  </w:style>
  <w:style w:type="paragraph" w:customStyle="1" w:styleId="422">
    <w:name w:val="Index3"/>
    <w:basedOn w:val="1"/>
    <w:next w:val="1"/>
    <w:qFormat/>
    <w:uiPriority w:val="0"/>
    <w:pPr>
      <w:ind w:left="400" w:leftChars="400"/>
    </w:pPr>
    <w:rPr>
      <w:rFonts w:ascii="宋体"/>
      <w:sz w:val="24"/>
      <w:szCs w:val="20"/>
    </w:rPr>
  </w:style>
  <w:style w:type="paragraph" w:customStyle="1" w:styleId="423">
    <w:name w:val="UserStyle_333"/>
    <w:basedOn w:val="1"/>
    <w:qFormat/>
    <w:uiPriority w:val="0"/>
    <w:rPr>
      <w:sz w:val="24"/>
      <w:szCs w:val="20"/>
    </w:rPr>
  </w:style>
  <w:style w:type="paragraph" w:customStyle="1" w:styleId="424">
    <w:name w:val="UserStyle_334"/>
    <w:qFormat/>
    <w:uiPriority w:val="0"/>
    <w:pPr>
      <w:textAlignment w:val="baseline"/>
    </w:pPr>
    <w:rPr>
      <w:rFonts w:ascii="Calibri" w:hAnsi="Calibri" w:eastAsia="宋体" w:cs="Times New Roman"/>
      <w:sz w:val="22"/>
      <w:szCs w:val="22"/>
      <w:lang w:val="en-US" w:eastAsia="zh-CN" w:bidi="ar-SA"/>
    </w:rPr>
  </w:style>
  <w:style w:type="paragraph" w:customStyle="1" w:styleId="425">
    <w:name w:val="UserStyle_335"/>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426">
    <w:name w:val="Index9"/>
    <w:basedOn w:val="1"/>
    <w:next w:val="1"/>
    <w:qFormat/>
    <w:uiPriority w:val="0"/>
    <w:pPr>
      <w:ind w:left="1600" w:leftChars="1600"/>
    </w:pPr>
    <w:rPr>
      <w:szCs w:val="20"/>
    </w:rPr>
  </w:style>
  <w:style w:type="paragraph" w:customStyle="1" w:styleId="427">
    <w:name w:val="List3"/>
    <w:basedOn w:val="1"/>
    <w:qFormat/>
    <w:uiPriority w:val="0"/>
    <w:pPr>
      <w:ind w:left="100" w:leftChars="400" w:hanging="200" w:hangingChars="200"/>
    </w:pPr>
    <w:rPr>
      <w:szCs w:val="20"/>
    </w:rPr>
  </w:style>
  <w:style w:type="paragraph" w:customStyle="1" w:styleId="428">
    <w:name w:val="Index7"/>
    <w:basedOn w:val="1"/>
    <w:next w:val="1"/>
    <w:qFormat/>
    <w:uiPriority w:val="0"/>
    <w:pPr>
      <w:ind w:left="1200" w:leftChars="1200"/>
    </w:pPr>
    <w:rPr>
      <w:szCs w:val="20"/>
    </w:rPr>
  </w:style>
  <w:style w:type="paragraph" w:customStyle="1" w:styleId="429">
    <w:name w:val="ListNumber"/>
    <w:basedOn w:val="1"/>
    <w:qFormat/>
    <w:uiPriority w:val="0"/>
    <w:pPr>
      <w:numPr>
        <w:ilvl w:val="0"/>
        <w:numId w:val="2"/>
      </w:numPr>
      <w:tabs>
        <w:tab w:val="left" w:pos="454"/>
        <w:tab w:val="left" w:pos="720"/>
      </w:tabs>
      <w:ind w:left="454" w:hanging="284"/>
      <w:jc w:val="left"/>
    </w:pPr>
    <w:rPr>
      <w:kern w:val="0"/>
      <w:sz w:val="24"/>
      <w:szCs w:val="20"/>
    </w:rPr>
  </w:style>
  <w:style w:type="paragraph" w:customStyle="1" w:styleId="430">
    <w:name w:val="UserStyle_336"/>
    <w:basedOn w:val="1"/>
    <w:qFormat/>
    <w:uiPriority w:val="0"/>
    <w:pPr>
      <w:pBdr>
        <w:top w:val="single" w:color="000000" w:sz="4" w:space="0"/>
        <w:bottom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31">
    <w:name w:val="UserStyle_337"/>
    <w:basedOn w:val="32"/>
    <w:next w:val="1"/>
    <w:qFormat/>
    <w:uiPriority w:val="0"/>
    <w:pPr>
      <w:keepLines/>
      <w:spacing w:before="480" w:line="276" w:lineRule="auto"/>
      <w:jc w:val="left"/>
    </w:pPr>
    <w:rPr>
      <w:rFonts w:ascii="Cambria" w:hAnsi="Cambria" w:eastAsia="新宋体"/>
      <w:bCs/>
      <w:color w:val="365F91"/>
      <w:kern w:val="0"/>
      <w:sz w:val="28"/>
      <w:szCs w:val="28"/>
    </w:rPr>
  </w:style>
  <w:style w:type="paragraph" w:customStyle="1" w:styleId="432">
    <w:name w:val="UserStyle_338"/>
    <w:basedOn w:val="1"/>
    <w:qFormat/>
    <w:uiPriority w:val="0"/>
    <w:pPr>
      <w:numPr>
        <w:ilvl w:val="0"/>
        <w:numId w:val="3"/>
      </w:numPr>
      <w:tabs>
        <w:tab w:val="left" w:pos="720"/>
        <w:tab w:val="left" w:pos="840"/>
      </w:tabs>
    </w:pPr>
    <w:rPr>
      <w:rFonts w:ascii="宋体"/>
      <w:sz w:val="28"/>
      <w:szCs w:val="20"/>
    </w:rPr>
  </w:style>
  <w:style w:type="paragraph" w:customStyle="1" w:styleId="433">
    <w:name w:val="UserStyle_339"/>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34">
    <w:name w:val="UserStyle_340"/>
    <w:basedOn w:val="1"/>
    <w:qFormat/>
    <w:uiPriority w:val="0"/>
  </w:style>
  <w:style w:type="paragraph" w:customStyle="1" w:styleId="435">
    <w:name w:val="UserStyle_341"/>
    <w:basedOn w:val="1"/>
    <w:qFormat/>
    <w:uiPriority w:val="0"/>
    <w:pPr>
      <w:snapToGrid w:val="0"/>
      <w:spacing w:line="320" w:lineRule="exact"/>
      <w:jc w:val="center"/>
    </w:pPr>
    <w:rPr>
      <w:spacing w:val="20"/>
      <w:kern w:val="28"/>
      <w:szCs w:val="20"/>
    </w:rPr>
  </w:style>
  <w:style w:type="paragraph" w:customStyle="1" w:styleId="436">
    <w:name w:val="UserStyle_342"/>
    <w:basedOn w:val="1"/>
    <w:qFormat/>
    <w:uiPriority w:val="0"/>
    <w:pPr>
      <w:tabs>
        <w:tab w:val="left" w:pos="0"/>
      </w:tabs>
      <w:spacing w:line="360" w:lineRule="auto"/>
      <w:ind w:firstLine="734"/>
    </w:pPr>
    <w:rPr>
      <w:rFonts w:ascii="宋体" w:hAnsi="宋体"/>
      <w:kern w:val="0"/>
      <w:sz w:val="28"/>
      <w:szCs w:val="20"/>
    </w:rPr>
  </w:style>
  <w:style w:type="paragraph" w:customStyle="1" w:styleId="437">
    <w:name w:val="UserStyle_343"/>
    <w:basedOn w:val="1"/>
    <w:qFormat/>
    <w:uiPriority w:val="0"/>
    <w:rPr>
      <w:rFonts w:ascii="仿宋_GB2312" w:eastAsia="仿宋_GB2312"/>
      <w:b/>
      <w:sz w:val="32"/>
      <w:szCs w:val="32"/>
    </w:rPr>
  </w:style>
  <w:style w:type="paragraph" w:customStyle="1" w:styleId="438">
    <w:name w:val="UserStyle_344"/>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olor w:val="000000"/>
      <w:kern w:val="0"/>
      <w:sz w:val="18"/>
      <w:szCs w:val="18"/>
    </w:rPr>
  </w:style>
  <w:style w:type="paragraph" w:customStyle="1" w:styleId="439">
    <w:name w:val="UserStyle_345"/>
    <w:basedOn w:val="1"/>
    <w:qFormat/>
    <w:uiPriority w:val="0"/>
    <w:rPr>
      <w:rFonts w:ascii="仿宋_GB2312" w:eastAsia="仿宋_GB2312"/>
      <w:b/>
      <w:sz w:val="32"/>
      <w:szCs w:val="32"/>
    </w:rPr>
  </w:style>
  <w:style w:type="paragraph" w:customStyle="1" w:styleId="440">
    <w:name w:val="UserStyle_346"/>
    <w:basedOn w:val="1"/>
    <w:qFormat/>
    <w:uiPriority w:val="0"/>
    <w:rPr>
      <w:rFonts w:ascii="仿宋_GB2312" w:eastAsia="仿宋_GB2312"/>
      <w:b/>
      <w:sz w:val="32"/>
      <w:szCs w:val="32"/>
    </w:rPr>
  </w:style>
  <w:style w:type="paragraph" w:customStyle="1" w:styleId="441">
    <w:name w:val="UserStyle_347"/>
    <w:basedOn w:val="1"/>
    <w:qFormat/>
    <w:uiPriority w:val="0"/>
    <w:rPr>
      <w:rFonts w:ascii="仿宋_GB2312" w:eastAsia="仿宋_GB2312"/>
      <w:b/>
      <w:sz w:val="32"/>
      <w:szCs w:val="32"/>
    </w:rPr>
  </w:style>
  <w:style w:type="paragraph" w:customStyle="1" w:styleId="442">
    <w:name w:val="UserStyle_348"/>
    <w:basedOn w:val="1"/>
    <w:next w:val="31"/>
    <w:qFormat/>
    <w:uiPriority w:val="0"/>
    <w:pPr>
      <w:spacing w:line="500" w:lineRule="exact"/>
      <w:jc w:val="center"/>
    </w:pPr>
  </w:style>
  <w:style w:type="paragraph" w:customStyle="1" w:styleId="443">
    <w:name w:val="UserStyle_349"/>
    <w:basedOn w:val="1"/>
    <w:qFormat/>
    <w:uiPriority w:val="0"/>
    <w:pPr>
      <w:spacing w:after="120"/>
      <w:ind w:left="426" w:firstLine="425"/>
    </w:pPr>
    <w:rPr>
      <w:rFonts w:ascii="宋体" w:hAnsi="Tms Rmn"/>
      <w:kern w:val="0"/>
      <w:sz w:val="24"/>
      <w:szCs w:val="20"/>
    </w:rPr>
  </w:style>
  <w:style w:type="paragraph" w:customStyle="1" w:styleId="444">
    <w:name w:val="UserStyle_350"/>
    <w:basedOn w:val="32"/>
    <w:next w:val="1"/>
    <w:qFormat/>
    <w:uiPriority w:val="0"/>
    <w:pPr>
      <w:keepLines/>
      <w:spacing w:before="480" w:line="276" w:lineRule="auto"/>
      <w:jc w:val="left"/>
    </w:pPr>
    <w:rPr>
      <w:rFonts w:ascii="Cambria" w:hAnsi="Cambria" w:eastAsia="新宋体"/>
      <w:bCs/>
      <w:color w:val="365F91"/>
      <w:kern w:val="0"/>
      <w:sz w:val="28"/>
      <w:szCs w:val="28"/>
    </w:rPr>
  </w:style>
  <w:style w:type="paragraph" w:customStyle="1" w:styleId="445">
    <w:name w:val="UserStyle_351"/>
    <w:basedOn w:val="180"/>
    <w:qFormat/>
    <w:uiPriority w:val="0"/>
    <w:pPr>
      <w:numPr>
        <w:ilvl w:val="2"/>
        <w:numId w:val="2"/>
      </w:numPr>
      <w:tabs>
        <w:tab w:val="left" w:pos="1050"/>
      </w:tabs>
      <w:snapToGrid w:val="0"/>
      <w:spacing w:line="400" w:lineRule="exact"/>
      <w:ind w:left="0" w:firstLine="200"/>
    </w:pPr>
    <w:rPr>
      <w:szCs w:val="32"/>
    </w:rPr>
  </w:style>
  <w:style w:type="paragraph" w:customStyle="1" w:styleId="446">
    <w:name w:val="UserStyle_352"/>
    <w:basedOn w:val="1"/>
    <w:qFormat/>
    <w:uiPriority w:val="0"/>
    <w:pPr>
      <w:shd w:val="clear" w:color="auto" w:fill="FFFFFF"/>
      <w:spacing w:before="100" w:beforeAutospacing="1" w:after="100" w:afterAutospacing="1"/>
      <w:jc w:val="left"/>
      <w:textAlignment w:val="bottom"/>
    </w:pPr>
    <w:rPr>
      <w:rFonts w:ascii="宋体" w:hAnsi="宋体"/>
      <w:color w:val="000000"/>
      <w:kern w:val="0"/>
      <w:sz w:val="18"/>
      <w:szCs w:val="18"/>
    </w:rPr>
  </w:style>
  <w:style w:type="paragraph" w:customStyle="1" w:styleId="447">
    <w:name w:val="UserStyle_353"/>
    <w:qFormat/>
    <w:uiPriority w:val="0"/>
    <w:pPr>
      <w:ind w:firstLine="200" w:firstLineChars="200"/>
      <w:jc w:val="both"/>
      <w:textAlignment w:val="baseline"/>
    </w:pPr>
    <w:rPr>
      <w:rFonts w:ascii="宋体" w:hAnsi="Times New Roman" w:eastAsia="宋体" w:cs="Times New Roman"/>
      <w:sz w:val="21"/>
      <w:lang w:val="en-US" w:eastAsia="zh-CN" w:bidi="ar-SA"/>
    </w:rPr>
  </w:style>
  <w:style w:type="paragraph" w:customStyle="1" w:styleId="448">
    <w:name w:val="UserStyle_354"/>
    <w:basedOn w:val="34"/>
    <w:qFormat/>
    <w:uiPriority w:val="0"/>
    <w:pPr>
      <w:keepNext/>
      <w:keepLines/>
      <w:spacing w:before="0" w:after="0" w:line="400" w:lineRule="exact"/>
      <w:ind w:firstLine="422" w:firstLineChars="200"/>
    </w:pPr>
    <w:rPr>
      <w:rFonts w:ascii="Arial" w:hAnsi="Arial" w:eastAsia="黑体"/>
      <w:kern w:val="0"/>
    </w:rPr>
  </w:style>
  <w:style w:type="paragraph" w:customStyle="1" w:styleId="449">
    <w:name w:val="UserStyle_355"/>
    <w:basedOn w:val="1"/>
    <w:qFormat/>
    <w:uiPriority w:val="0"/>
    <w:pPr>
      <w:spacing w:before="100" w:beforeAutospacing="1" w:after="100" w:afterAutospacing="1"/>
      <w:jc w:val="left"/>
    </w:pPr>
    <w:rPr>
      <w:b/>
      <w:bCs/>
      <w:kern w:val="0"/>
      <w:sz w:val="36"/>
      <w:szCs w:val="36"/>
    </w:rPr>
  </w:style>
  <w:style w:type="paragraph" w:customStyle="1" w:styleId="450">
    <w:name w:val="UserStyle_356"/>
    <w:basedOn w:val="1"/>
    <w:qFormat/>
    <w:uiPriority w:val="0"/>
    <w:pPr>
      <w:tabs>
        <w:tab w:val="left" w:pos="999"/>
      </w:tabs>
      <w:snapToGrid w:val="0"/>
      <w:spacing w:line="360" w:lineRule="auto"/>
      <w:ind w:left="999" w:hanging="432"/>
    </w:pPr>
    <w:rPr>
      <w:sz w:val="28"/>
      <w:szCs w:val="20"/>
    </w:rPr>
  </w:style>
  <w:style w:type="paragraph" w:customStyle="1" w:styleId="451">
    <w:name w:val="UserStyle_357"/>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52">
    <w:name w:val="UserStyle_358"/>
    <w:basedOn w:val="1"/>
    <w:qFormat/>
    <w:uiPriority w:val="0"/>
    <w:rPr>
      <w:rFonts w:ascii="Tahoma" w:hAnsi="Tahoma"/>
      <w:sz w:val="24"/>
      <w:szCs w:val="20"/>
    </w:rPr>
  </w:style>
  <w:style w:type="paragraph" w:customStyle="1" w:styleId="453">
    <w:name w:val="UserStyle_359"/>
    <w:basedOn w:val="1"/>
    <w:qFormat/>
    <w:uiPriority w:val="0"/>
    <w:rPr>
      <w:rFonts w:ascii="仿宋_GB2312" w:eastAsia="仿宋_GB2312"/>
      <w:b/>
      <w:sz w:val="32"/>
      <w:szCs w:val="32"/>
    </w:rPr>
  </w:style>
  <w:style w:type="paragraph" w:customStyle="1" w:styleId="454">
    <w:name w:val="UserStyle_360"/>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55">
    <w:name w:val="UserStyle_361"/>
    <w:basedOn w:val="1"/>
    <w:qFormat/>
    <w:uiPriority w:val="0"/>
    <w:rPr>
      <w:rFonts w:ascii="仿宋_GB2312" w:eastAsia="仿宋_GB2312"/>
      <w:b/>
      <w:sz w:val="32"/>
      <w:szCs w:val="32"/>
    </w:rPr>
  </w:style>
  <w:style w:type="paragraph" w:customStyle="1" w:styleId="456">
    <w:name w:val="UserStyle_362"/>
    <w:basedOn w:val="1"/>
    <w:qFormat/>
    <w:uiPriority w:val="0"/>
    <w:pPr>
      <w:spacing w:line="480" w:lineRule="atLeast"/>
      <w:ind w:firstLine="567"/>
    </w:pPr>
    <w:rPr>
      <w:rFonts w:eastAsia="楷体_GB2312"/>
      <w:kern w:val="0"/>
      <w:sz w:val="28"/>
      <w:szCs w:val="20"/>
    </w:rPr>
  </w:style>
  <w:style w:type="paragraph" w:customStyle="1" w:styleId="457">
    <w:name w:val="UserStyle_363"/>
    <w:basedOn w:val="1"/>
    <w:qFormat/>
    <w:uiPriority w:val="0"/>
    <w:pPr>
      <w:tabs>
        <w:tab w:val="left" w:pos="0"/>
      </w:tabs>
      <w:spacing w:line="360" w:lineRule="auto"/>
      <w:ind w:left="180" w:firstLine="540"/>
    </w:pPr>
    <w:rPr>
      <w:rFonts w:ascii="宋体" w:hAnsi="宋体"/>
      <w:kern w:val="0"/>
      <w:sz w:val="28"/>
      <w:szCs w:val="20"/>
    </w:rPr>
  </w:style>
  <w:style w:type="paragraph" w:customStyle="1" w:styleId="458">
    <w:name w:val="UserStyle_364"/>
    <w:basedOn w:val="1"/>
    <w:qFormat/>
    <w:uiPriority w:val="0"/>
    <w:rPr>
      <w:rFonts w:ascii="仿宋_GB2312" w:eastAsia="仿宋_GB2312"/>
      <w:b/>
      <w:sz w:val="32"/>
      <w:szCs w:val="32"/>
    </w:rPr>
  </w:style>
  <w:style w:type="paragraph" w:customStyle="1" w:styleId="459">
    <w:name w:val="UserStyle_365"/>
    <w:basedOn w:val="114"/>
    <w:qFormat/>
    <w:uiPriority w:val="0"/>
    <w:pPr>
      <w:spacing w:line="440" w:lineRule="exact"/>
      <w:ind w:firstLine="200" w:firstLineChars="200"/>
    </w:pPr>
    <w:rPr>
      <w:rFonts w:hAnsi="宋体" w:eastAsia="Times New Roman"/>
    </w:rPr>
  </w:style>
  <w:style w:type="paragraph" w:customStyle="1" w:styleId="460">
    <w:name w:val="UserStyle_366"/>
    <w:basedOn w:val="1"/>
    <w:qFormat/>
    <w:uiPriority w:val="0"/>
    <w:pPr>
      <w:shd w:val="clear" w:color="auto" w:fill="000080"/>
    </w:pPr>
    <w:rPr>
      <w:rFonts w:ascii="Tahoma" w:hAnsi="Tahoma"/>
      <w:sz w:val="24"/>
      <w:shd w:val="clear" w:color="auto" w:fill="000080"/>
    </w:rPr>
  </w:style>
  <w:style w:type="paragraph" w:customStyle="1" w:styleId="461">
    <w:name w:val="UserStyle_367"/>
    <w:basedOn w:val="1"/>
    <w:qFormat/>
    <w:uiPriority w:val="0"/>
    <w:pPr>
      <w:spacing w:line="360" w:lineRule="auto"/>
      <w:ind w:left="454" w:hanging="227"/>
    </w:pPr>
    <w:rPr>
      <w:rFonts w:ascii="宋体"/>
      <w:sz w:val="24"/>
    </w:rPr>
  </w:style>
  <w:style w:type="paragraph" w:customStyle="1" w:styleId="462">
    <w:name w:val="UserStyle_368"/>
    <w:basedOn w:val="33"/>
    <w:qFormat/>
    <w:uiPriority w:val="0"/>
    <w:pPr>
      <w:snapToGrid w:val="0"/>
      <w:spacing w:before="100" w:line="400" w:lineRule="exact"/>
      <w:ind w:firstLine="0" w:firstLineChars="0"/>
      <w:jc w:val="center"/>
    </w:pPr>
    <w:rPr>
      <w:rFonts w:ascii="Times New Roman" w:hAnsi="Times New Roman" w:eastAsia="黑体"/>
      <w:b w:val="0"/>
      <w:bCs w:val="0"/>
      <w:w w:val="99"/>
      <w:kern w:val="0"/>
      <w:sz w:val="28"/>
      <w:szCs w:val="20"/>
    </w:rPr>
  </w:style>
  <w:style w:type="paragraph" w:customStyle="1" w:styleId="463">
    <w:name w:val="UserStyle_369"/>
    <w:basedOn w:val="1"/>
    <w:qFormat/>
    <w:uiPriority w:val="0"/>
  </w:style>
  <w:style w:type="paragraph" w:customStyle="1" w:styleId="464">
    <w:name w:val="UserStyle_37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olor w:val="000000"/>
      <w:kern w:val="0"/>
      <w:sz w:val="18"/>
      <w:szCs w:val="18"/>
    </w:rPr>
  </w:style>
  <w:style w:type="paragraph" w:customStyle="1" w:styleId="465">
    <w:name w:val="UserStyle_371"/>
    <w:basedOn w:val="1"/>
    <w:qFormat/>
    <w:uiPriority w:val="0"/>
    <w:rPr>
      <w:rFonts w:ascii="Tahoma" w:hAnsi="Tahoma"/>
      <w:sz w:val="24"/>
      <w:szCs w:val="20"/>
    </w:rPr>
  </w:style>
  <w:style w:type="paragraph" w:customStyle="1" w:styleId="466">
    <w:name w:val="UserStyle_372"/>
    <w:basedOn w:val="1"/>
    <w:next w:val="61"/>
    <w:qFormat/>
    <w:uiPriority w:val="0"/>
    <w:pPr>
      <w:spacing w:line="500" w:lineRule="exact"/>
      <w:ind w:firstLine="960" w:firstLineChars="400"/>
    </w:pPr>
    <w:rPr>
      <w:rFonts w:ascii="宋体" w:hAnsi="宋体"/>
      <w:sz w:val="24"/>
      <w:szCs w:val="20"/>
    </w:rPr>
  </w:style>
  <w:style w:type="paragraph" w:customStyle="1" w:styleId="467">
    <w:name w:val="UserStyle_373"/>
    <w:basedOn w:val="1"/>
    <w:qFormat/>
    <w:uiPriority w:val="0"/>
    <w:rPr>
      <w:rFonts w:ascii="Tahoma" w:hAnsi="Tahoma"/>
      <w:sz w:val="24"/>
      <w:szCs w:val="20"/>
    </w:rPr>
  </w:style>
  <w:style w:type="paragraph" w:customStyle="1" w:styleId="468">
    <w:name w:val="UserStyle_374"/>
    <w:basedOn w:val="1"/>
    <w:qFormat/>
    <w:uiPriority w:val="0"/>
    <w:pPr>
      <w:spacing w:line="351" w:lineRule="atLeast"/>
      <w:ind w:firstLine="419"/>
    </w:pPr>
    <w:rPr>
      <w:rFonts w:ascii="宋体"/>
      <w:color w:val="000000"/>
      <w:kern w:val="0"/>
      <w:szCs w:val="20"/>
    </w:rPr>
  </w:style>
  <w:style w:type="paragraph" w:customStyle="1" w:styleId="469">
    <w:name w:val="UserStyle_375"/>
    <w:basedOn w:val="1"/>
    <w:qFormat/>
    <w:uiPriority w:val="0"/>
    <w:pPr>
      <w:keepNext/>
      <w:keepLines/>
      <w:spacing w:before="156" w:after="156" w:line="580" w:lineRule="exact"/>
      <w:jc w:val="left"/>
    </w:pPr>
    <w:rPr>
      <w:rFonts w:ascii="宋体" w:hAnsi="宋体"/>
      <w:b/>
      <w:bCs/>
      <w:color w:val="000000"/>
      <w:kern w:val="24"/>
      <w:sz w:val="28"/>
      <w:szCs w:val="20"/>
    </w:rPr>
  </w:style>
  <w:style w:type="paragraph" w:customStyle="1" w:styleId="470">
    <w:name w:val="UserStyle_376"/>
    <w:basedOn w:val="1"/>
    <w:qFormat/>
    <w:uiPriority w:val="0"/>
    <w:pPr>
      <w:snapToGrid w:val="0"/>
      <w:spacing w:line="288" w:lineRule="auto"/>
      <w:ind w:firstLine="200" w:firstLineChars="200"/>
    </w:pPr>
    <w:rPr>
      <w:rFonts w:ascii="宋体" w:hAnsi="Courier New"/>
      <w:szCs w:val="20"/>
    </w:rPr>
  </w:style>
  <w:style w:type="paragraph" w:customStyle="1" w:styleId="471">
    <w:name w:val="UserStyle_377"/>
    <w:basedOn w:val="1"/>
    <w:qFormat/>
    <w:uiPriority w:val="0"/>
    <w:pPr>
      <w:spacing w:line="420" w:lineRule="atLeast"/>
      <w:jc w:val="left"/>
    </w:pPr>
    <w:rPr>
      <w:kern w:val="0"/>
      <w:szCs w:val="20"/>
    </w:rPr>
  </w:style>
  <w:style w:type="paragraph" w:customStyle="1" w:styleId="472">
    <w:name w:val="UserStyle_378"/>
    <w:basedOn w:val="1"/>
    <w:qFormat/>
    <w:uiPriority w:val="0"/>
    <w:pPr>
      <w:ind w:firstLine="200" w:firstLineChars="200"/>
    </w:pPr>
    <w:rPr>
      <w:rFonts w:ascii="Tahoma" w:hAnsi="Tahoma"/>
      <w:sz w:val="24"/>
      <w:szCs w:val="20"/>
    </w:rPr>
  </w:style>
  <w:style w:type="paragraph" w:customStyle="1" w:styleId="473">
    <w:name w:val="UserStyle_379"/>
    <w:basedOn w:val="1"/>
    <w:qFormat/>
    <w:uiPriority w:val="0"/>
    <w:rPr>
      <w:rFonts w:ascii="宋体" w:hAnsi="Courier New"/>
      <w:szCs w:val="20"/>
    </w:rPr>
  </w:style>
  <w:style w:type="paragraph" w:customStyle="1" w:styleId="474">
    <w:name w:val="UserStyle_380"/>
    <w:basedOn w:val="31"/>
    <w:qFormat/>
    <w:uiPriority w:val="0"/>
    <w:pPr>
      <w:snapToGrid w:val="0"/>
      <w:spacing w:after="0" w:line="400" w:lineRule="exact"/>
      <w:ind w:firstLine="200" w:firstLineChars="200"/>
    </w:pPr>
    <w:rPr>
      <w:rFonts w:ascii="Arial" w:hAnsi="Arial"/>
      <w:szCs w:val="20"/>
    </w:rPr>
  </w:style>
  <w:style w:type="paragraph" w:customStyle="1" w:styleId="475">
    <w:name w:val="UserStyle_381"/>
    <w:basedOn w:val="1"/>
    <w:qFormat/>
    <w:uiPriority w:val="0"/>
    <w:pPr>
      <w:snapToGrid w:val="0"/>
      <w:spacing w:before="50" w:after="50"/>
      <w:jc w:val="center"/>
    </w:pPr>
    <w:rPr>
      <w:rFonts w:ascii="宋体" w:hAnsi="宋体"/>
      <w:sz w:val="24"/>
      <w:szCs w:val="20"/>
    </w:rPr>
  </w:style>
  <w:style w:type="paragraph" w:customStyle="1" w:styleId="476">
    <w:name w:val="UserStyle_382"/>
    <w:basedOn w:val="34"/>
    <w:qFormat/>
    <w:uiPriority w:val="0"/>
    <w:pPr>
      <w:keepNext/>
      <w:keepLines/>
      <w:tabs>
        <w:tab w:val="left" w:pos="1200"/>
      </w:tabs>
      <w:snapToGrid w:val="0"/>
      <w:spacing w:before="624" w:after="0" w:line="413" w:lineRule="auto"/>
      <w:ind w:left="863" w:hanging="450"/>
      <w:jc w:val="center"/>
    </w:pPr>
    <w:rPr>
      <w:rFonts w:ascii="宋体"/>
      <w:b/>
      <w:sz w:val="30"/>
    </w:rPr>
  </w:style>
  <w:style w:type="paragraph" w:customStyle="1" w:styleId="477">
    <w:name w:val="UserStyle_383"/>
    <w:basedOn w:val="1"/>
    <w:qFormat/>
    <w:uiPriority w:val="0"/>
    <w:pPr>
      <w:shd w:val="clear" w:color="auto" w:fill="000080"/>
    </w:pPr>
    <w:rPr>
      <w:rFonts w:ascii="Tahoma" w:hAnsi="Tahoma"/>
      <w:sz w:val="24"/>
      <w:shd w:val="clear" w:color="auto" w:fill="000080"/>
    </w:rPr>
  </w:style>
  <w:style w:type="paragraph" w:customStyle="1" w:styleId="478">
    <w:name w:val="UserStyle_384"/>
    <w:basedOn w:val="1"/>
    <w:qFormat/>
    <w:uiPriority w:val="0"/>
    <w:rPr>
      <w:rFonts w:ascii="宋体"/>
      <w:sz w:val="28"/>
      <w:szCs w:val="20"/>
    </w:rPr>
  </w:style>
  <w:style w:type="paragraph" w:customStyle="1" w:styleId="479">
    <w:name w:val="UserStyle_385"/>
    <w:basedOn w:val="1"/>
    <w:qFormat/>
    <w:uiPriority w:val="0"/>
    <w:pPr>
      <w:spacing w:before="320" w:after="160" w:line="360" w:lineRule="atLeast"/>
      <w:ind w:firstLine="200" w:firstLineChars="200"/>
      <w:jc w:val="center"/>
    </w:pPr>
    <w:rPr>
      <w:rFonts w:ascii="Arial" w:eastAsia="黑体"/>
      <w:kern w:val="0"/>
      <w:sz w:val="32"/>
    </w:rPr>
  </w:style>
  <w:style w:type="paragraph" w:customStyle="1" w:styleId="480">
    <w:name w:val="UserStyle_386"/>
    <w:basedOn w:val="34"/>
    <w:qFormat/>
    <w:uiPriority w:val="0"/>
    <w:pPr>
      <w:tabs>
        <w:tab w:val="left" w:pos="1140"/>
      </w:tabs>
      <w:spacing w:before="156" w:after="0" w:line="360" w:lineRule="auto"/>
      <w:ind w:left="1140"/>
    </w:pPr>
    <w:rPr>
      <w:kern w:val="0"/>
    </w:rPr>
  </w:style>
  <w:style w:type="paragraph" w:customStyle="1" w:styleId="481">
    <w:name w:val="UserStyle_387"/>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82">
    <w:name w:val="UserStyle_388"/>
    <w:basedOn w:val="1"/>
    <w:qFormat/>
    <w:uiPriority w:val="0"/>
    <w:rPr>
      <w:rFonts w:ascii="仿宋_GB2312" w:eastAsia="仿宋_GB2312"/>
      <w:b/>
      <w:sz w:val="32"/>
      <w:szCs w:val="32"/>
    </w:rPr>
  </w:style>
  <w:style w:type="paragraph" w:customStyle="1" w:styleId="483">
    <w:name w:val="UserStyle_389"/>
    <w:basedOn w:val="1"/>
    <w:qFormat/>
    <w:uiPriority w:val="0"/>
    <w:pPr>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484">
    <w:name w:val="UserStyle_390"/>
    <w:basedOn w:val="1"/>
    <w:qFormat/>
    <w:uiPriority w:val="0"/>
    <w:pPr>
      <w:keepNext/>
      <w:pageBreakBefore/>
      <w:tabs>
        <w:tab w:val="left" w:pos="720"/>
      </w:tabs>
      <w:spacing w:line="360" w:lineRule="auto"/>
      <w:jc w:val="center"/>
    </w:pPr>
    <w:rPr>
      <w:rFonts w:eastAsia="黑体"/>
      <w:b/>
      <w:kern w:val="44"/>
      <w:sz w:val="36"/>
      <w:szCs w:val="20"/>
    </w:rPr>
  </w:style>
  <w:style w:type="paragraph" w:customStyle="1" w:styleId="485">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486">
    <w:name w:val="UserStyle_392"/>
    <w:basedOn w:val="1"/>
    <w:qFormat/>
    <w:uiPriority w:val="0"/>
    <w:rPr>
      <w:rFonts w:ascii="仿宋_GB2312" w:eastAsia="仿宋_GB2312"/>
      <w:b/>
      <w:sz w:val="32"/>
      <w:szCs w:val="32"/>
    </w:rPr>
  </w:style>
  <w:style w:type="paragraph" w:customStyle="1" w:styleId="487">
    <w:name w:val="UserStyle_393"/>
    <w:basedOn w:val="1"/>
    <w:qFormat/>
    <w:uiPriority w:val="0"/>
    <w:pPr>
      <w:spacing w:line="351" w:lineRule="atLeast"/>
      <w:ind w:firstLine="481"/>
    </w:pPr>
    <w:rPr>
      <w:rFonts w:ascii="仿宋_GB2312" w:eastAsia="仿宋_GB2312"/>
      <w:color w:val="000000"/>
      <w:kern w:val="0"/>
      <w:sz w:val="24"/>
      <w:szCs w:val="20"/>
    </w:rPr>
  </w:style>
  <w:style w:type="paragraph" w:customStyle="1" w:styleId="488">
    <w:name w:val="UserStyle_394"/>
    <w:basedOn w:val="1"/>
    <w:qFormat/>
    <w:uiPriority w:val="0"/>
    <w:pPr>
      <w:spacing w:after="240"/>
      <w:jc w:val="center"/>
    </w:pPr>
    <w:rPr>
      <w:rFonts w:ascii="Arial Black" w:hAnsi="Arial Black"/>
      <w:kern w:val="0"/>
      <w:sz w:val="48"/>
      <w:szCs w:val="20"/>
    </w:rPr>
  </w:style>
  <w:style w:type="paragraph" w:customStyle="1" w:styleId="489">
    <w:name w:val="UserStyle_395"/>
    <w:basedOn w:val="1"/>
    <w:qFormat/>
    <w:uiPriority w:val="0"/>
    <w:rPr>
      <w:szCs w:val="20"/>
    </w:rPr>
  </w:style>
  <w:style w:type="paragraph" w:customStyle="1" w:styleId="490">
    <w:name w:val="UserStyle_396"/>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491">
    <w:name w:val="UserStyle_397"/>
    <w:basedOn w:val="1"/>
    <w:qFormat/>
    <w:uiPriority w:val="0"/>
    <w:pPr>
      <w:spacing w:before="100" w:beforeAutospacing="1" w:after="100" w:afterAutospacing="1"/>
      <w:jc w:val="left"/>
    </w:pPr>
    <w:rPr>
      <w:rFonts w:ascii="宋体" w:hAnsi="宋体"/>
      <w:kern w:val="0"/>
      <w:sz w:val="24"/>
    </w:rPr>
  </w:style>
  <w:style w:type="paragraph" w:customStyle="1" w:styleId="492">
    <w:name w:val="UserStyle_398"/>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493">
    <w:name w:val="UserStyle_399"/>
    <w:basedOn w:val="1"/>
    <w:qFormat/>
    <w:uiPriority w:val="0"/>
    <w:pPr>
      <w:spacing w:line="360" w:lineRule="exact"/>
      <w:ind w:firstLine="480" w:firstLineChars="200"/>
    </w:pPr>
    <w:rPr>
      <w:rFonts w:ascii="Arial" w:hAnsi="Arial"/>
      <w:kern w:val="0"/>
      <w:szCs w:val="20"/>
    </w:rPr>
  </w:style>
  <w:style w:type="paragraph" w:customStyle="1" w:styleId="494">
    <w:name w:val="UserStyle_400"/>
    <w:basedOn w:val="495"/>
    <w:next w:val="495"/>
    <w:qFormat/>
    <w:uiPriority w:val="0"/>
    <w:pPr>
      <w:spacing w:after="298"/>
    </w:pPr>
  </w:style>
  <w:style w:type="paragraph" w:customStyle="1" w:styleId="495">
    <w:name w:val="UserStyle_401"/>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96">
    <w:name w:val="UserStyle_402"/>
    <w:basedOn w:val="1"/>
    <w:qFormat/>
    <w:uiPriority w:val="0"/>
    <w:pPr>
      <w:spacing w:after="160" w:line="240" w:lineRule="exact"/>
      <w:jc w:val="left"/>
    </w:pPr>
    <w:rPr>
      <w:rFonts w:ascii="宋体"/>
      <w:sz w:val="28"/>
      <w:szCs w:val="20"/>
    </w:rPr>
  </w:style>
  <w:style w:type="paragraph" w:customStyle="1" w:styleId="497">
    <w:name w:val="UserStyle_403"/>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498">
    <w:name w:val="UserStyle_404"/>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99">
    <w:name w:val="UserStyle_405"/>
    <w:basedOn w:val="1"/>
    <w:next w:val="1"/>
    <w:qFormat/>
    <w:uiPriority w:val="0"/>
    <w:pPr>
      <w:spacing w:line="360" w:lineRule="auto"/>
      <w:jc w:val="right"/>
    </w:pPr>
    <w:rPr>
      <w:kern w:val="0"/>
      <w:sz w:val="24"/>
      <w:szCs w:val="20"/>
    </w:rPr>
  </w:style>
  <w:style w:type="paragraph" w:customStyle="1" w:styleId="500">
    <w:name w:val="UserStyle_406"/>
    <w:basedOn w:val="104"/>
    <w:qFormat/>
    <w:uiPriority w:val="0"/>
    <w:pPr>
      <w:spacing w:after="120"/>
      <w:ind w:left="420" w:firstLine="0" w:firstLineChars="0"/>
      <w:jc w:val="left"/>
    </w:pPr>
    <w:rPr>
      <w:rFonts w:ascii="宋体" w:hAnsi="Tms Rmn"/>
      <w:kern w:val="0"/>
      <w:szCs w:val="20"/>
    </w:rPr>
  </w:style>
  <w:style w:type="paragraph" w:customStyle="1" w:styleId="501">
    <w:name w:val="UserStyle_407"/>
    <w:basedOn w:val="32"/>
    <w:next w:val="1"/>
    <w:qFormat/>
    <w:uiPriority w:val="0"/>
    <w:pPr>
      <w:keepLines/>
      <w:spacing w:before="240" w:after="120" w:line="259" w:lineRule="auto"/>
      <w:jc w:val="left"/>
    </w:pPr>
    <w:rPr>
      <w:rFonts w:ascii="Calibri Light" w:hAnsi="Calibri Light"/>
      <w:b w:val="0"/>
      <w:color w:val="2E74B5"/>
      <w:kern w:val="0"/>
      <w:szCs w:val="32"/>
    </w:rPr>
  </w:style>
  <w:style w:type="paragraph" w:customStyle="1" w:styleId="502">
    <w:name w:val="UserStyle_408"/>
    <w:basedOn w:val="1"/>
    <w:qFormat/>
    <w:uiPriority w:val="0"/>
    <w:pPr>
      <w:spacing w:before="100" w:after="100"/>
      <w:jc w:val="left"/>
    </w:pPr>
    <w:rPr>
      <w:rFonts w:ascii="宋体" w:hAnsi="宋体"/>
      <w:kern w:val="0"/>
      <w:sz w:val="24"/>
      <w:szCs w:val="20"/>
    </w:rPr>
  </w:style>
  <w:style w:type="paragraph" w:customStyle="1" w:styleId="503">
    <w:name w:val="UserStyle_40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kern w:val="0"/>
      <w:szCs w:val="21"/>
    </w:rPr>
  </w:style>
  <w:style w:type="paragraph" w:customStyle="1" w:styleId="504">
    <w:name w:val="UserStyle_410"/>
    <w:basedOn w:val="1"/>
    <w:qFormat/>
    <w:uiPriority w:val="0"/>
    <w:pPr>
      <w:tabs>
        <w:tab w:val="left" w:pos="0"/>
      </w:tabs>
      <w:snapToGrid w:val="0"/>
      <w:spacing w:line="360" w:lineRule="auto"/>
      <w:ind w:firstLine="734" w:firstLineChars="200"/>
    </w:pPr>
    <w:rPr>
      <w:rFonts w:ascii="宋体" w:hAnsi="宋体"/>
      <w:kern w:val="0"/>
      <w:sz w:val="28"/>
      <w:szCs w:val="20"/>
    </w:rPr>
  </w:style>
  <w:style w:type="paragraph" w:customStyle="1" w:styleId="505">
    <w:name w:val="UserStyle_411"/>
    <w:basedOn w:val="1"/>
    <w:qFormat/>
    <w:uiPriority w:val="0"/>
    <w:pPr>
      <w:ind w:left="1680" w:hanging="420"/>
      <w:jc w:val="left"/>
    </w:pPr>
    <w:rPr>
      <w:rFonts w:ascii="宋体" w:hAnsi="Tms Rmn"/>
      <w:kern w:val="0"/>
      <w:szCs w:val="20"/>
    </w:rPr>
  </w:style>
  <w:style w:type="paragraph" w:customStyle="1" w:styleId="506">
    <w:name w:val="UserStyle_412"/>
    <w:basedOn w:val="1"/>
    <w:qFormat/>
    <w:uiPriority w:val="0"/>
    <w:pPr>
      <w:spacing w:line="600" w:lineRule="exact"/>
      <w:ind w:firstLine="640" w:firstLineChars="200"/>
    </w:pPr>
    <w:rPr>
      <w:rFonts w:ascii="仿宋_GB2312" w:eastAsia="仿宋_GB2312"/>
      <w:color w:val="000000"/>
      <w:sz w:val="28"/>
      <w:szCs w:val="28"/>
    </w:rPr>
  </w:style>
  <w:style w:type="paragraph" w:customStyle="1" w:styleId="507">
    <w:name w:val="UserStyle_413"/>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08">
    <w:name w:val="UserStyle_41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509">
    <w:name w:val="UserStyle_415"/>
    <w:basedOn w:val="476"/>
    <w:qFormat/>
    <w:uiPriority w:val="0"/>
    <w:rPr>
      <w:sz w:val="32"/>
    </w:rPr>
  </w:style>
  <w:style w:type="paragraph" w:customStyle="1" w:styleId="510">
    <w:name w:val="UserStyle_416"/>
    <w:basedOn w:val="1"/>
    <w:qFormat/>
    <w:uiPriority w:val="0"/>
    <w:pPr>
      <w:spacing w:after="160" w:line="240" w:lineRule="exact"/>
      <w:jc w:val="left"/>
    </w:pPr>
  </w:style>
  <w:style w:type="paragraph" w:customStyle="1" w:styleId="511">
    <w:name w:val="UserStyle_417"/>
    <w:basedOn w:val="1"/>
    <w:qFormat/>
    <w:uiPriority w:val="0"/>
    <w:pPr>
      <w:snapToGrid w:val="0"/>
      <w:ind w:firstLine="200" w:firstLineChars="200"/>
    </w:pPr>
    <w:rPr>
      <w:kern w:val="0"/>
      <w:sz w:val="24"/>
      <w:szCs w:val="20"/>
    </w:rPr>
  </w:style>
  <w:style w:type="paragraph" w:customStyle="1" w:styleId="512">
    <w:name w:val="UserStyle_418"/>
    <w:basedOn w:val="495"/>
    <w:next w:val="495"/>
    <w:qFormat/>
    <w:uiPriority w:val="0"/>
    <w:pPr>
      <w:spacing w:line="440" w:lineRule="atLeast"/>
    </w:pPr>
  </w:style>
  <w:style w:type="paragraph" w:customStyle="1" w:styleId="513">
    <w:name w:val="UserStyle_419"/>
    <w:basedOn w:val="1"/>
    <w:qFormat/>
    <w:uiPriority w:val="0"/>
    <w:pPr>
      <w:tabs>
        <w:tab w:val="left" w:pos="0"/>
      </w:tabs>
      <w:spacing w:line="360" w:lineRule="auto"/>
      <w:ind w:firstLine="734"/>
    </w:pPr>
    <w:rPr>
      <w:rFonts w:ascii="宋体" w:hAnsi="宋体"/>
      <w:kern w:val="0"/>
      <w:sz w:val="28"/>
      <w:szCs w:val="20"/>
    </w:rPr>
  </w:style>
  <w:style w:type="paragraph" w:customStyle="1" w:styleId="514">
    <w:name w:val="UserStyle_420"/>
    <w:basedOn w:val="1"/>
    <w:qFormat/>
    <w:uiPriority w:val="0"/>
    <w:pPr>
      <w:tabs>
        <w:tab w:val="left" w:pos="0"/>
      </w:tabs>
      <w:snapToGrid w:val="0"/>
      <w:spacing w:line="360" w:lineRule="auto"/>
      <w:ind w:left="180" w:firstLine="540" w:firstLineChars="200"/>
    </w:pPr>
    <w:rPr>
      <w:rFonts w:ascii="宋体" w:hAnsi="宋体"/>
      <w:kern w:val="0"/>
      <w:sz w:val="28"/>
      <w:szCs w:val="20"/>
    </w:rPr>
  </w:style>
  <w:style w:type="paragraph" w:customStyle="1" w:styleId="515">
    <w:name w:val="UserStyle_421"/>
    <w:basedOn w:val="1"/>
    <w:qFormat/>
    <w:uiPriority w:val="0"/>
    <w:pPr>
      <w:ind w:firstLine="420" w:firstLineChars="200"/>
    </w:pPr>
  </w:style>
  <w:style w:type="paragraph" w:customStyle="1" w:styleId="516">
    <w:name w:val="UserStyle_422"/>
    <w:basedOn w:val="1"/>
    <w:qFormat/>
    <w:uiPriority w:val="0"/>
    <w:pPr>
      <w:spacing w:after="160" w:line="240" w:lineRule="exact"/>
      <w:jc w:val="left"/>
    </w:pPr>
  </w:style>
  <w:style w:type="paragraph" w:customStyle="1" w:styleId="517">
    <w:name w:val="UserStyle_423"/>
    <w:basedOn w:val="1"/>
    <w:qFormat/>
    <w:uiPriority w:val="0"/>
    <w:pPr>
      <w:pBdr>
        <w:top w:val="single" w:color="000000" w:sz="4" w:space="0"/>
        <w:bottom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518">
    <w:name w:val="UserStyle_424"/>
    <w:basedOn w:val="1"/>
    <w:semiHidden/>
    <w:qFormat/>
    <w:uiPriority w:val="0"/>
    <w:pPr>
      <w:spacing w:line="360" w:lineRule="auto"/>
      <w:ind w:firstLine="200" w:firstLineChars="200"/>
    </w:pPr>
    <w:rPr>
      <w:rFonts w:ascii="宋体" w:hAnsi="宋体" w:eastAsia="仿宋"/>
      <w:sz w:val="32"/>
    </w:rPr>
  </w:style>
  <w:style w:type="paragraph" w:customStyle="1" w:styleId="519">
    <w:name w:val="UserStyle_425"/>
    <w:basedOn w:val="1"/>
    <w:qFormat/>
    <w:uiPriority w:val="0"/>
    <w:rPr>
      <w:szCs w:val="20"/>
    </w:rPr>
  </w:style>
  <w:style w:type="paragraph" w:customStyle="1" w:styleId="520">
    <w:name w:val="UserStyle_426"/>
    <w:basedOn w:val="1"/>
    <w:next w:val="1"/>
    <w:qFormat/>
    <w:uiPriority w:val="0"/>
    <w:pPr>
      <w:spacing w:line="360" w:lineRule="auto"/>
      <w:jc w:val="left"/>
    </w:pPr>
    <w:rPr>
      <w:rFonts w:ascii="宋体"/>
      <w:color w:val="000000"/>
      <w:kern w:val="0"/>
      <w:sz w:val="24"/>
      <w:szCs w:val="20"/>
    </w:rPr>
  </w:style>
  <w:style w:type="paragraph" w:customStyle="1" w:styleId="521">
    <w:name w:val="UserStyle_427"/>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22">
    <w:name w:val="UserStyle_428"/>
    <w:basedOn w:val="1"/>
    <w:qFormat/>
    <w:uiPriority w:val="0"/>
    <w:pPr>
      <w:snapToGrid w:val="0"/>
      <w:spacing w:line="360" w:lineRule="auto"/>
      <w:ind w:left="425"/>
      <w:jc w:val="center"/>
    </w:pPr>
    <w:rPr>
      <w:rFonts w:eastAsia="黑体"/>
      <w:b/>
      <w:bCs/>
      <w:color w:val="000000"/>
      <w:sz w:val="32"/>
    </w:rPr>
  </w:style>
  <w:style w:type="paragraph" w:customStyle="1" w:styleId="523">
    <w:name w:val="UserStyle_429"/>
    <w:basedOn w:val="32"/>
    <w:next w:val="1"/>
    <w:qFormat/>
    <w:uiPriority w:val="0"/>
    <w:pPr>
      <w:keepLines/>
      <w:spacing w:before="240" w:line="259" w:lineRule="auto"/>
      <w:jc w:val="left"/>
    </w:pPr>
    <w:rPr>
      <w:rFonts w:ascii="Cambria" w:hAnsi="Cambria"/>
      <w:b w:val="0"/>
      <w:color w:val="365F90"/>
      <w:kern w:val="0"/>
      <w:szCs w:val="32"/>
    </w:rPr>
  </w:style>
  <w:style w:type="paragraph" w:customStyle="1" w:styleId="524">
    <w:name w:val="UserStyle_430"/>
    <w:qFormat/>
    <w:uiPriority w:val="0"/>
    <w:pPr>
      <w:textAlignment w:val="baseline"/>
    </w:pPr>
    <w:rPr>
      <w:rFonts w:ascii="Calibri" w:hAnsi="Calibri" w:eastAsia="宋体" w:cs="Times New Roman"/>
      <w:sz w:val="22"/>
      <w:szCs w:val="22"/>
      <w:lang w:val="en-US" w:eastAsia="zh-CN" w:bidi="ar-SA"/>
    </w:rPr>
  </w:style>
  <w:style w:type="paragraph" w:customStyle="1" w:styleId="525">
    <w:name w:val="UserStyle_431"/>
    <w:basedOn w:val="1"/>
    <w:qFormat/>
    <w:uiPriority w:val="0"/>
    <w:rPr>
      <w:rFonts w:ascii="宋体"/>
      <w:sz w:val="28"/>
      <w:szCs w:val="20"/>
    </w:rPr>
  </w:style>
  <w:style w:type="paragraph" w:customStyle="1" w:styleId="526">
    <w:name w:val="UserStyle_432"/>
    <w:basedOn w:val="1"/>
    <w:qFormat/>
    <w:uiPriority w:val="0"/>
    <w:pPr>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527">
    <w:name w:val="UserStyle_433"/>
    <w:basedOn w:val="1"/>
    <w:qFormat/>
    <w:uiPriority w:val="0"/>
    <w:rPr>
      <w:rFonts w:ascii="System" w:eastAsia="System"/>
      <w:kern w:val="0"/>
      <w:sz w:val="24"/>
      <w:szCs w:val="20"/>
    </w:rPr>
  </w:style>
  <w:style w:type="paragraph" w:customStyle="1" w:styleId="528">
    <w:name w:val="UserStyle_434"/>
    <w:basedOn w:val="180"/>
    <w:qFormat/>
    <w:uiPriority w:val="0"/>
    <w:pPr>
      <w:ind w:firstLine="420"/>
    </w:pPr>
    <w:rPr>
      <w:szCs w:val="20"/>
    </w:rPr>
  </w:style>
  <w:style w:type="paragraph" w:customStyle="1" w:styleId="529">
    <w:name w:val="UserStyle_435"/>
    <w:basedOn w:val="32"/>
    <w:next w:val="1"/>
    <w:qFormat/>
    <w:uiPriority w:val="0"/>
    <w:pPr>
      <w:keepLines/>
      <w:spacing w:before="240" w:line="259" w:lineRule="auto"/>
      <w:jc w:val="left"/>
    </w:pPr>
    <w:rPr>
      <w:rFonts w:ascii="Calibri Light" w:hAnsi="Calibri Light"/>
      <w:b w:val="0"/>
      <w:color w:val="2E74B5"/>
      <w:kern w:val="0"/>
      <w:szCs w:val="32"/>
    </w:rPr>
  </w:style>
  <w:style w:type="paragraph" w:customStyle="1" w:styleId="530">
    <w:name w:val="UserStyle_436"/>
    <w:basedOn w:val="1"/>
    <w:qFormat/>
    <w:uiPriority w:val="0"/>
    <w:pPr>
      <w:numPr>
        <w:ilvl w:val="0"/>
        <w:numId w:val="4"/>
      </w:numPr>
    </w:pPr>
  </w:style>
  <w:style w:type="paragraph" w:customStyle="1" w:styleId="531">
    <w:name w:val="UserStyle_437"/>
    <w:basedOn w:val="1"/>
    <w:qFormat/>
    <w:uiPriority w:val="0"/>
    <w:pPr>
      <w:tabs>
        <w:tab w:val="left" w:pos="720"/>
      </w:tabs>
      <w:spacing w:line="360" w:lineRule="auto"/>
    </w:pPr>
    <w:rPr>
      <w:rFonts w:ascii="MS UI Gothic" w:hAnsi="MS UI Gothic"/>
      <w:kern w:val="44"/>
      <w:sz w:val="24"/>
      <w:szCs w:val="20"/>
    </w:rPr>
  </w:style>
  <w:style w:type="paragraph" w:customStyle="1" w:styleId="532">
    <w:name w:val="UserStyle_438"/>
    <w:basedOn w:val="1"/>
    <w:qFormat/>
    <w:uiPriority w:val="0"/>
    <w:pPr>
      <w:pBdr>
        <w:top w:val="single" w:color="000000" w:sz="8"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533">
    <w:name w:val="UserStyle_439"/>
    <w:basedOn w:val="1"/>
    <w:qFormat/>
    <w:uiPriority w:val="0"/>
    <w:pPr>
      <w:pBdr>
        <w:top w:val="single" w:color="000000" w:sz="4" w:space="0"/>
        <w:bottom w:val="single" w:color="000000" w:sz="4" w:space="0"/>
      </w:pBdr>
      <w:spacing w:before="100" w:beforeAutospacing="1" w:after="100" w:afterAutospacing="1"/>
      <w:jc w:val="center"/>
    </w:pPr>
    <w:rPr>
      <w:rFonts w:ascii="Comic Sans MS" w:hAnsi="Comic Sans MS"/>
      <w:kern w:val="0"/>
      <w:sz w:val="20"/>
      <w:szCs w:val="20"/>
    </w:rPr>
  </w:style>
  <w:style w:type="paragraph" w:customStyle="1" w:styleId="534">
    <w:name w:val="UserStyle_440"/>
    <w:basedOn w:val="1"/>
    <w:qFormat/>
    <w:uiPriority w:val="0"/>
    <w:pPr>
      <w:snapToGrid w:val="0"/>
      <w:spacing w:line="360" w:lineRule="auto"/>
      <w:jc w:val="center"/>
    </w:pPr>
    <w:rPr>
      <w:rFonts w:ascii="黑体" w:hAnsi="宋体" w:eastAsia="黑体"/>
      <w:b/>
      <w:bCs/>
      <w:sz w:val="18"/>
      <w:szCs w:val="21"/>
    </w:rPr>
  </w:style>
  <w:style w:type="paragraph" w:customStyle="1" w:styleId="535">
    <w:name w:val="UserStyle_441"/>
    <w:basedOn w:val="1"/>
    <w:qFormat/>
    <w:uiPriority w:val="0"/>
    <w:pPr>
      <w:spacing w:after="160" w:line="240" w:lineRule="exact"/>
      <w:jc w:val="left"/>
    </w:pPr>
    <w:rPr>
      <w:rFonts w:ascii="宋体"/>
      <w:sz w:val="28"/>
      <w:szCs w:val="20"/>
    </w:rPr>
  </w:style>
  <w:style w:type="paragraph" w:customStyle="1" w:styleId="536">
    <w:name w:val="UserStyle_442"/>
    <w:basedOn w:val="104"/>
    <w:qFormat/>
    <w:uiPriority w:val="0"/>
    <w:pPr>
      <w:spacing w:line="360" w:lineRule="auto"/>
      <w:ind w:firstLine="480"/>
      <w:jc w:val="left"/>
    </w:pPr>
    <w:rPr>
      <w:sz w:val="24"/>
    </w:rPr>
  </w:style>
  <w:style w:type="paragraph" w:customStyle="1" w:styleId="537">
    <w:name w:val="UserStyle_443"/>
    <w:basedOn w:val="1"/>
    <w:qFormat/>
    <w:uiPriority w:val="0"/>
    <w:pPr>
      <w:spacing w:line="120" w:lineRule="exact"/>
    </w:pPr>
    <w:rPr>
      <w:rFonts w:eastAsia="仿宋_GB2312"/>
      <w:color w:val="FFFFFF"/>
      <w:kern w:val="0"/>
      <w:sz w:val="30"/>
      <w:szCs w:val="20"/>
    </w:rPr>
  </w:style>
  <w:style w:type="paragraph" w:customStyle="1" w:styleId="538">
    <w:name w:val="UserStyle_444"/>
    <w:basedOn w:val="1"/>
    <w:qFormat/>
    <w:uiPriority w:val="0"/>
    <w:pPr>
      <w:jc w:val="left"/>
    </w:pPr>
    <w:rPr>
      <w:rFonts w:ascii="ˎ̥" w:hAnsi="ˎ̥"/>
      <w:color w:val="000000"/>
      <w:kern w:val="0"/>
      <w:sz w:val="13"/>
      <w:szCs w:val="13"/>
    </w:rPr>
  </w:style>
  <w:style w:type="paragraph" w:customStyle="1" w:styleId="539">
    <w:name w:val="UserStyle_445"/>
    <w:basedOn w:val="1"/>
    <w:qFormat/>
    <w:uiPriority w:val="0"/>
    <w:rPr>
      <w:rFonts w:ascii="仿宋_GB2312" w:eastAsia="仿宋_GB2312"/>
      <w:b/>
      <w:sz w:val="32"/>
      <w:szCs w:val="32"/>
    </w:rPr>
  </w:style>
  <w:style w:type="paragraph" w:customStyle="1" w:styleId="540">
    <w:name w:val="UserStyle_44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Cs w:val="21"/>
    </w:rPr>
  </w:style>
  <w:style w:type="paragraph" w:customStyle="1" w:styleId="541">
    <w:name w:val="UserStyle_447"/>
    <w:basedOn w:val="13"/>
    <w:qFormat/>
    <w:uiPriority w:val="0"/>
    <w:pPr>
      <w:pBdr>
        <w:top w:val="single" w:color="000000" w:sz="4" w:space="1"/>
        <w:bottom w:val="single" w:color="000000" w:sz="4" w:space="1"/>
      </w:pBdr>
      <w:tabs>
        <w:tab w:val="right" w:pos="9901"/>
      </w:tabs>
    </w:pPr>
    <w:rPr>
      <w:sz w:val="21"/>
    </w:rPr>
  </w:style>
  <w:style w:type="paragraph" w:customStyle="1" w:styleId="542">
    <w:name w:val="UserStyle_448"/>
    <w:basedOn w:val="495"/>
    <w:next w:val="495"/>
    <w:qFormat/>
    <w:uiPriority w:val="0"/>
    <w:pPr>
      <w:spacing w:line="440" w:lineRule="atLeast"/>
    </w:pPr>
  </w:style>
  <w:style w:type="paragraph" w:customStyle="1" w:styleId="543">
    <w:name w:val="UserStyle_449"/>
    <w:basedOn w:val="169"/>
    <w:qFormat/>
    <w:uiPriority w:val="0"/>
    <w:rPr>
      <w:rFonts w:ascii="宋体"/>
      <w:sz w:val="18"/>
      <w:szCs w:val="18"/>
    </w:rPr>
  </w:style>
  <w:style w:type="paragraph" w:customStyle="1" w:styleId="544">
    <w:name w:val="UserStyle_450"/>
    <w:basedOn w:val="495"/>
    <w:next w:val="495"/>
    <w:qFormat/>
    <w:uiPriority w:val="0"/>
    <w:pPr>
      <w:spacing w:after="443"/>
    </w:pPr>
  </w:style>
  <w:style w:type="paragraph" w:customStyle="1" w:styleId="545">
    <w:name w:val="UserStyle_451"/>
    <w:basedOn w:val="32"/>
    <w:next w:val="1"/>
    <w:qFormat/>
    <w:uiPriority w:val="0"/>
    <w:pPr>
      <w:keepLines/>
      <w:spacing w:before="240" w:line="259" w:lineRule="auto"/>
      <w:jc w:val="left"/>
    </w:pPr>
    <w:rPr>
      <w:rFonts w:ascii="Calibri Light" w:hAnsi="Calibri Light"/>
      <w:b w:val="0"/>
      <w:color w:val="2E74B5"/>
      <w:kern w:val="0"/>
      <w:szCs w:val="32"/>
    </w:rPr>
  </w:style>
  <w:style w:type="paragraph" w:customStyle="1" w:styleId="546">
    <w:name w:val="UserStyle_452"/>
    <w:basedOn w:val="1"/>
    <w:qFormat/>
    <w:uiPriority w:val="0"/>
    <w:pPr>
      <w:spacing w:line="360" w:lineRule="exact"/>
      <w:ind w:firstLine="200" w:firstLineChars="200"/>
    </w:pPr>
    <w:rPr>
      <w:rFonts w:ascii="Arial" w:hAnsi="Arial"/>
      <w:szCs w:val="20"/>
    </w:rPr>
  </w:style>
  <w:style w:type="paragraph" w:customStyle="1" w:styleId="547">
    <w:name w:val="UserStyle_45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548">
    <w:name w:val="UserStyle_454"/>
    <w:basedOn w:val="1"/>
    <w:qFormat/>
    <w:uiPriority w:val="0"/>
    <w:pPr>
      <w:spacing w:before="100" w:beforeAutospacing="1" w:after="100" w:afterAutospacing="1" w:line="900" w:lineRule="atLeast"/>
      <w:jc w:val="left"/>
    </w:pPr>
    <w:rPr>
      <w:rFonts w:ascii="华文中宋" w:hAnsi="华文中宋" w:eastAsia="华文中宋"/>
      <w:b/>
      <w:bCs/>
      <w:color w:val="FF0000"/>
      <w:kern w:val="0"/>
      <w:sz w:val="60"/>
      <w:szCs w:val="60"/>
    </w:rPr>
  </w:style>
  <w:style w:type="paragraph" w:customStyle="1" w:styleId="549">
    <w:name w:val="UserStyle_455"/>
    <w:basedOn w:val="1"/>
    <w:qFormat/>
    <w:uiPriority w:val="0"/>
    <w:pPr>
      <w:spacing w:before="100" w:beforeAutospacing="1" w:after="100" w:afterAutospacing="1"/>
      <w:jc w:val="left"/>
    </w:pPr>
    <w:rPr>
      <w:rFonts w:ascii="宋体" w:hAnsi="宋体"/>
      <w:kern w:val="0"/>
      <w:sz w:val="24"/>
    </w:rPr>
  </w:style>
  <w:style w:type="paragraph" w:customStyle="1" w:styleId="550">
    <w:name w:val="UserStyle_456"/>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Comic Sans MS" w:hAnsi="Comic Sans MS"/>
      <w:kern w:val="0"/>
      <w:sz w:val="20"/>
      <w:szCs w:val="20"/>
    </w:rPr>
  </w:style>
  <w:style w:type="paragraph" w:customStyle="1" w:styleId="551">
    <w:name w:val="UserStyle_457"/>
    <w:basedOn w:val="1"/>
    <w:qFormat/>
    <w:uiPriority w:val="0"/>
    <w:rPr>
      <w:rFonts w:ascii="宋体" w:hAnsi="宋体"/>
      <w:kern w:val="0"/>
      <w:szCs w:val="21"/>
    </w:rPr>
  </w:style>
  <w:style w:type="paragraph" w:customStyle="1" w:styleId="552">
    <w:name w:val="UserStyle_458"/>
    <w:basedOn w:val="1"/>
    <w:qFormat/>
    <w:uiPriority w:val="0"/>
    <w:pPr>
      <w:spacing w:before="100" w:beforeAutospacing="1" w:after="100" w:afterAutospacing="1"/>
      <w:jc w:val="left"/>
    </w:pPr>
    <w:rPr>
      <w:rFonts w:ascii="宋体" w:hAnsi="宋体"/>
      <w:kern w:val="0"/>
      <w:sz w:val="18"/>
      <w:szCs w:val="18"/>
    </w:rPr>
  </w:style>
  <w:style w:type="paragraph" w:customStyle="1" w:styleId="553">
    <w:name w:val="UserStyle_459"/>
    <w:basedOn w:val="476"/>
    <w:qFormat/>
    <w:uiPriority w:val="0"/>
    <w:pPr>
      <w:numPr>
        <w:ilvl w:val="0"/>
        <w:numId w:val="5"/>
      </w:numPr>
    </w:pPr>
    <w:rPr>
      <w:sz w:val="32"/>
    </w:rPr>
  </w:style>
  <w:style w:type="paragraph" w:customStyle="1" w:styleId="554">
    <w:name w:val="UserStyle_460"/>
    <w:basedOn w:val="1"/>
    <w:qFormat/>
    <w:uiPriority w:val="0"/>
    <w:rPr>
      <w:szCs w:val="20"/>
    </w:rPr>
  </w:style>
  <w:style w:type="paragraph" w:customStyle="1" w:styleId="555">
    <w:name w:val="UserStyle_461"/>
    <w:basedOn w:val="1"/>
    <w:qFormat/>
    <w:uiPriority w:val="0"/>
    <w:pPr>
      <w:spacing w:line="300" w:lineRule="auto"/>
      <w:jc w:val="center"/>
    </w:pPr>
    <w:rPr>
      <w:rFonts w:ascii="宋体" w:hAnsi="宋体"/>
      <w:sz w:val="24"/>
      <w:szCs w:val="20"/>
    </w:rPr>
  </w:style>
  <w:style w:type="paragraph" w:customStyle="1" w:styleId="556">
    <w:name w:val="UserStyle_462"/>
    <w:basedOn w:val="1"/>
    <w:qFormat/>
    <w:uiPriority w:val="0"/>
    <w:rPr>
      <w:szCs w:val="20"/>
    </w:rPr>
  </w:style>
  <w:style w:type="paragraph" w:customStyle="1" w:styleId="557">
    <w:name w:val="UserStyle_463"/>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olor w:val="000000"/>
      <w:kern w:val="0"/>
      <w:sz w:val="18"/>
      <w:szCs w:val="18"/>
    </w:rPr>
  </w:style>
  <w:style w:type="paragraph" w:customStyle="1" w:styleId="558">
    <w:name w:val="UserStyle_46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559">
    <w:name w:val="UserStyle_465"/>
    <w:basedOn w:val="1"/>
    <w:next w:val="102"/>
    <w:qFormat/>
    <w:uiPriority w:val="0"/>
    <w:pPr>
      <w:snapToGrid w:val="0"/>
      <w:spacing w:line="440" w:lineRule="atLeast"/>
      <w:ind w:firstLine="480"/>
    </w:pPr>
    <w:rPr>
      <w:kern w:val="0"/>
      <w:sz w:val="24"/>
      <w:szCs w:val="20"/>
    </w:rPr>
  </w:style>
  <w:style w:type="paragraph" w:customStyle="1" w:styleId="560">
    <w:name w:val="UserStyle_466"/>
    <w:basedOn w:val="1"/>
    <w:qFormat/>
    <w:uiPriority w:val="0"/>
    <w:pPr>
      <w:spacing w:before="100" w:beforeAutospacing="1" w:after="100" w:afterAutospacing="1"/>
      <w:jc w:val="left"/>
    </w:pPr>
    <w:rPr>
      <w:kern w:val="0"/>
      <w:sz w:val="24"/>
    </w:rPr>
  </w:style>
  <w:style w:type="paragraph" w:customStyle="1" w:styleId="561">
    <w:name w:val="UserStyle_467"/>
    <w:basedOn w:val="1"/>
    <w:qFormat/>
    <w:uiPriority w:val="0"/>
    <w:pPr>
      <w:spacing w:line="360" w:lineRule="auto"/>
      <w:ind w:firstLine="480" w:firstLineChars="200"/>
    </w:pPr>
    <w:rPr>
      <w:rFonts w:ascii="宋体" w:hAnsi="宋体"/>
      <w:color w:val="000000"/>
      <w:sz w:val="24"/>
    </w:rPr>
  </w:style>
  <w:style w:type="paragraph" w:customStyle="1" w:styleId="562">
    <w:name w:val="UserStyle_468"/>
    <w:basedOn w:val="1"/>
    <w:qFormat/>
    <w:uiPriority w:val="0"/>
    <w:pPr>
      <w:pBdr>
        <w:top w:val="single" w:color="000000" w:sz="4" w:space="1"/>
      </w:pBdr>
      <w:jc w:val="left"/>
    </w:pPr>
    <w:rPr>
      <w:kern w:val="0"/>
      <w:sz w:val="18"/>
      <w:szCs w:val="20"/>
    </w:rPr>
  </w:style>
  <w:style w:type="paragraph" w:customStyle="1" w:styleId="563">
    <w:name w:val="UserStyle_469"/>
    <w:basedOn w:val="1"/>
    <w:qFormat/>
    <w:uiPriority w:val="0"/>
    <w:pPr>
      <w:spacing w:line="748" w:lineRule="atLeast"/>
      <w:ind w:left="-521" w:firstLine="527"/>
    </w:pPr>
    <w:rPr>
      <w:rFonts w:ascii="Romantic" w:hAnsi="微软大黑体"/>
      <w:color w:val="000000"/>
      <w:kern w:val="0"/>
      <w:sz w:val="24"/>
      <w:szCs w:val="20"/>
    </w:rPr>
  </w:style>
  <w:style w:type="paragraph" w:customStyle="1" w:styleId="564">
    <w:name w:val="UserStyle_470"/>
    <w:basedOn w:val="1"/>
    <w:qFormat/>
    <w:uiPriority w:val="0"/>
    <w:rPr>
      <w:rFonts w:ascii="仿宋_GB2312" w:eastAsia="仿宋_GB2312"/>
      <w:b/>
      <w:sz w:val="32"/>
      <w:szCs w:val="32"/>
    </w:rPr>
  </w:style>
  <w:style w:type="paragraph" w:customStyle="1" w:styleId="565">
    <w:name w:val="UserStyle_471"/>
    <w:basedOn w:val="1"/>
    <w:qFormat/>
    <w:uiPriority w:val="0"/>
    <w:pPr>
      <w:spacing w:before="100" w:beforeAutospacing="1" w:after="100" w:afterAutospacing="1"/>
      <w:jc w:val="left"/>
    </w:pPr>
    <w:rPr>
      <w:rFonts w:ascii="宋体" w:hAnsi="宋体" w:cs="宋体"/>
      <w:b/>
      <w:bCs/>
      <w:color w:val="990000"/>
      <w:kern w:val="0"/>
      <w:szCs w:val="21"/>
    </w:rPr>
  </w:style>
  <w:style w:type="paragraph" w:customStyle="1" w:styleId="566">
    <w:name w:val="UserStyle_472"/>
    <w:basedOn w:val="1"/>
    <w:qFormat/>
    <w:uiPriority w:val="0"/>
    <w:pPr>
      <w:tabs>
        <w:tab w:val="left" w:pos="0"/>
      </w:tabs>
      <w:spacing w:line="360" w:lineRule="auto"/>
      <w:ind w:left="180" w:firstLine="540"/>
    </w:pPr>
    <w:rPr>
      <w:rFonts w:ascii="宋体" w:hAnsi="宋体"/>
      <w:kern w:val="0"/>
      <w:sz w:val="28"/>
      <w:szCs w:val="20"/>
    </w:rPr>
  </w:style>
  <w:style w:type="paragraph" w:customStyle="1" w:styleId="567">
    <w:name w:val="UserStyle_473"/>
    <w:basedOn w:val="31"/>
    <w:qFormat/>
    <w:uiPriority w:val="0"/>
    <w:pPr>
      <w:snapToGrid w:val="0"/>
      <w:spacing w:after="0" w:line="400" w:lineRule="exact"/>
      <w:ind w:firstLine="200" w:firstLineChars="200"/>
    </w:pPr>
    <w:rPr>
      <w:rFonts w:ascii="Arial" w:hAnsi="Arial"/>
      <w:szCs w:val="20"/>
    </w:rPr>
  </w:style>
  <w:style w:type="paragraph" w:customStyle="1" w:styleId="568">
    <w:name w:val="UserStyle_474"/>
    <w:qFormat/>
    <w:uiPriority w:val="0"/>
    <w:pPr>
      <w:tabs>
        <w:tab w:val="left" w:pos="480"/>
        <w:tab w:val="left" w:pos="960"/>
        <w:tab w:val="left" w:pos="1440"/>
        <w:tab w:val="left" w:pos="1920"/>
        <w:tab w:val="left" w:pos="2400"/>
        <w:tab w:val="left" w:pos="2880"/>
        <w:tab w:val="left" w:pos="3360"/>
        <w:tab w:val="left" w:pos="3840"/>
        <w:tab w:val="left" w:pos="4320"/>
      </w:tabs>
      <w:textAlignment w:val="baseline"/>
    </w:pPr>
    <w:rPr>
      <w:rFonts w:ascii="宋体" w:hAnsi="Tms Rmn" w:eastAsia="宋体" w:cs="Times New Roman"/>
      <w:sz w:val="24"/>
      <w:lang w:val="en-US" w:eastAsia="zh-CN" w:bidi="ar-SA"/>
    </w:rPr>
  </w:style>
  <w:style w:type="paragraph" w:customStyle="1" w:styleId="569">
    <w:name w:val="UserStyle_475"/>
    <w:next w:val="1"/>
    <w:qFormat/>
    <w:uiPriority w:val="0"/>
    <w:pPr>
      <w:tabs>
        <w:tab w:val="left" w:pos="2636"/>
        <w:tab w:val="left" w:pos="3090"/>
      </w:tabs>
      <w:spacing w:after="113" w:line="340" w:lineRule="atLeast"/>
      <w:jc w:val="center"/>
      <w:textAlignment w:val="baseline"/>
    </w:pPr>
    <w:rPr>
      <w:rFonts w:ascii="Optima" w:hAnsi="Optima" w:eastAsia="宋体" w:cs="Times New Roman"/>
      <w:b/>
      <w:sz w:val="30"/>
      <w:lang w:val="en-US" w:eastAsia="zh-CN" w:bidi="ar-SA"/>
    </w:rPr>
  </w:style>
  <w:style w:type="paragraph" w:customStyle="1" w:styleId="570">
    <w:name w:val="UserStyle_476"/>
    <w:basedOn w:val="571"/>
    <w:qFormat/>
    <w:uiPriority w:val="0"/>
    <w:pPr>
      <w:snapToGrid w:val="0"/>
      <w:spacing w:line="360" w:lineRule="auto"/>
      <w:ind w:firstLine="472" w:firstLineChars="224"/>
    </w:pPr>
    <w:rPr>
      <w:rFonts w:ascii="黑体" w:hAnsi="宋体" w:eastAsia="黑体"/>
      <w:b/>
      <w:sz w:val="21"/>
      <w:szCs w:val="21"/>
    </w:rPr>
  </w:style>
  <w:style w:type="paragraph" w:customStyle="1" w:styleId="571">
    <w:name w:val="UserStyle_477"/>
    <w:basedOn w:val="1"/>
    <w:qFormat/>
    <w:uiPriority w:val="0"/>
    <w:pPr>
      <w:ind w:firstLine="200" w:firstLineChars="200"/>
    </w:pPr>
    <w:rPr>
      <w:sz w:val="24"/>
    </w:rPr>
  </w:style>
  <w:style w:type="paragraph" w:customStyle="1" w:styleId="572">
    <w:name w:val="UserStyle_478"/>
    <w:basedOn w:val="1"/>
    <w:qFormat/>
    <w:uiPriority w:val="0"/>
    <w:pPr>
      <w:spacing w:line="360" w:lineRule="auto"/>
    </w:pPr>
    <w:rPr>
      <w:rFonts w:ascii="宋体" w:hAnsi="宋体"/>
      <w:sz w:val="24"/>
    </w:rPr>
  </w:style>
  <w:style w:type="paragraph" w:customStyle="1" w:styleId="573">
    <w:name w:val="UserStyle_479"/>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574">
    <w:name w:val="UserStyle_480"/>
    <w:basedOn w:val="61"/>
    <w:qFormat/>
    <w:uiPriority w:val="0"/>
    <w:pPr>
      <w:spacing w:before="0"/>
      <w:ind w:firstLine="210"/>
    </w:pPr>
    <w:rPr>
      <w:rFonts w:hAnsi="Calibri"/>
    </w:rPr>
  </w:style>
  <w:style w:type="paragraph" w:customStyle="1" w:styleId="575">
    <w:name w:val="UserStyle_481"/>
    <w:basedOn w:val="32"/>
    <w:qFormat/>
    <w:uiPriority w:val="0"/>
    <w:pPr>
      <w:keepLines/>
      <w:spacing w:before="120" w:after="120" w:line="400" w:lineRule="exact"/>
    </w:pPr>
    <w:rPr>
      <w:rFonts w:ascii="黑体" w:hAnsi="黑体" w:eastAsia="黑体"/>
      <w:b w:val="0"/>
      <w:kern w:val="0"/>
      <w:szCs w:val="20"/>
    </w:rPr>
  </w:style>
  <w:style w:type="paragraph" w:customStyle="1" w:styleId="576">
    <w:name w:val="UserStyle_482"/>
    <w:basedOn w:val="1"/>
    <w:qFormat/>
    <w:uiPriority w:val="0"/>
    <w:pPr>
      <w:pBdr>
        <w:bottom w:val="single" w:color="000000" w:sz="4" w:space="0"/>
      </w:pBdr>
      <w:spacing w:before="100" w:beforeAutospacing="1" w:after="100" w:afterAutospacing="1"/>
      <w:jc w:val="center"/>
    </w:pPr>
    <w:rPr>
      <w:rFonts w:ascii="宋体" w:hAnsi="宋体"/>
      <w:kern w:val="0"/>
      <w:sz w:val="24"/>
    </w:rPr>
  </w:style>
  <w:style w:type="paragraph" w:customStyle="1" w:styleId="577">
    <w:name w:val="UserStyle_483"/>
    <w:basedOn w:val="1"/>
    <w:qFormat/>
    <w:uiPriority w:val="0"/>
    <w:rPr>
      <w:rFonts w:eastAsia="仿宋_GB2312"/>
      <w:sz w:val="28"/>
    </w:rPr>
  </w:style>
  <w:style w:type="paragraph" w:customStyle="1" w:styleId="578">
    <w:name w:val="UserStyle_484"/>
    <w:basedOn w:val="1"/>
    <w:qFormat/>
    <w:uiPriority w:val="0"/>
    <w:pPr>
      <w:ind w:firstLine="420" w:firstLineChars="200"/>
    </w:pPr>
  </w:style>
  <w:style w:type="paragraph" w:customStyle="1" w:styleId="579">
    <w:name w:val="UserStyle_485"/>
    <w:basedOn w:val="104"/>
    <w:qFormat/>
    <w:uiPriority w:val="0"/>
    <w:pPr>
      <w:spacing w:after="156" w:line="360" w:lineRule="auto"/>
      <w:ind w:firstLine="480"/>
      <w:jc w:val="left"/>
    </w:pPr>
  </w:style>
  <w:style w:type="paragraph" w:customStyle="1" w:styleId="580">
    <w:name w:val="UserStyle_486"/>
    <w:basedOn w:val="1"/>
    <w:qFormat/>
    <w:uiPriority w:val="0"/>
    <w:rPr>
      <w:rFonts w:eastAsia="仿宋_GB2312"/>
      <w:sz w:val="28"/>
    </w:rPr>
  </w:style>
  <w:style w:type="paragraph" w:customStyle="1" w:styleId="581">
    <w:name w:val="UserStyle_487"/>
    <w:qFormat/>
    <w:uiPriority w:val="0"/>
    <w:pPr>
      <w:spacing w:before="156" w:line="360" w:lineRule="atLeast"/>
      <w:ind w:left="567" w:firstLine="510"/>
      <w:jc w:val="both"/>
      <w:textAlignment w:val="baseline"/>
    </w:pPr>
    <w:rPr>
      <w:rFonts w:ascii="Times New Roman" w:hAnsi="Times New Roman" w:eastAsia="宋体" w:cs="Times New Roman"/>
      <w:lang w:val="en-US" w:eastAsia="zh-CN" w:bidi="ar-SA"/>
    </w:rPr>
  </w:style>
  <w:style w:type="paragraph" w:customStyle="1" w:styleId="582">
    <w:name w:val="UserStyle_488"/>
    <w:basedOn w:val="1"/>
    <w:qFormat/>
    <w:uiPriority w:val="0"/>
    <w:pPr>
      <w:ind w:firstLine="420" w:firstLineChars="200"/>
    </w:pPr>
    <w:rPr>
      <w:rFonts w:ascii="Calibri" w:hAnsi="Calibri"/>
      <w:szCs w:val="22"/>
    </w:rPr>
  </w:style>
  <w:style w:type="paragraph" w:customStyle="1" w:styleId="583">
    <w:name w:val="UserStyle_489"/>
    <w:basedOn w:val="1"/>
    <w:qFormat/>
    <w:uiPriority w:val="0"/>
    <w:pPr>
      <w:ind w:firstLine="420" w:firstLineChars="200"/>
    </w:pPr>
  </w:style>
  <w:style w:type="paragraph" w:customStyle="1" w:styleId="584">
    <w:name w:val="UserStyle_490"/>
    <w:basedOn w:val="1"/>
    <w:qFormat/>
    <w:uiPriority w:val="0"/>
    <w:pPr>
      <w:tabs>
        <w:tab w:val="left" w:pos="432"/>
      </w:tabs>
      <w:ind w:left="432" w:hanging="432"/>
    </w:pPr>
    <w:rPr>
      <w:rFonts w:ascii="Tahoma" w:hAnsi="Tahoma"/>
      <w:sz w:val="24"/>
      <w:szCs w:val="20"/>
    </w:rPr>
  </w:style>
  <w:style w:type="paragraph" w:customStyle="1" w:styleId="585">
    <w:name w:val="UserStyle_491"/>
    <w:next w:val="1"/>
    <w:qFormat/>
    <w:uiPriority w:val="0"/>
    <w:pPr>
      <w:spacing w:line="360" w:lineRule="auto"/>
      <w:ind w:left="200" w:leftChars="200"/>
      <w:textAlignment w:val="baseline"/>
    </w:pPr>
    <w:rPr>
      <w:rFonts w:ascii="Times New Roman" w:hAnsi="Times New Roman" w:eastAsia="仿宋_GB2312" w:cs="Times New Roman"/>
      <w:sz w:val="30"/>
      <w:lang w:val="en-US" w:eastAsia="en-US" w:bidi="ar-SA"/>
    </w:rPr>
  </w:style>
  <w:style w:type="paragraph" w:customStyle="1" w:styleId="586">
    <w:name w:val="UserStyle_492"/>
    <w:basedOn w:val="1"/>
    <w:qFormat/>
    <w:uiPriority w:val="0"/>
    <w:pPr>
      <w:spacing w:line="360" w:lineRule="auto"/>
    </w:pPr>
    <w:rPr>
      <w:rFonts w:ascii="宋体" w:hAnsi="宋体"/>
      <w:sz w:val="24"/>
    </w:rPr>
  </w:style>
  <w:style w:type="paragraph" w:customStyle="1" w:styleId="587">
    <w:name w:val="UserStyle_493"/>
    <w:basedOn w:val="1"/>
    <w:next w:val="1"/>
    <w:qFormat/>
    <w:uiPriority w:val="0"/>
    <w:pPr>
      <w:spacing w:line="360" w:lineRule="auto"/>
      <w:jc w:val="right"/>
    </w:pPr>
    <w:rPr>
      <w:kern w:val="0"/>
      <w:sz w:val="24"/>
      <w:szCs w:val="20"/>
    </w:rPr>
  </w:style>
  <w:style w:type="paragraph" w:customStyle="1" w:styleId="588">
    <w:name w:val="UserStyle_494"/>
    <w:basedOn w:val="1"/>
    <w:qFormat/>
    <w:uiPriority w:val="0"/>
    <w:rPr>
      <w:rFonts w:ascii="仿宋_GB2312" w:eastAsia="仿宋_GB2312"/>
      <w:b/>
      <w:sz w:val="32"/>
      <w:szCs w:val="32"/>
    </w:rPr>
  </w:style>
  <w:style w:type="paragraph" w:customStyle="1" w:styleId="589">
    <w:name w:val="UserStyle_495"/>
    <w:basedOn w:val="1"/>
    <w:qFormat/>
    <w:uiPriority w:val="0"/>
  </w:style>
  <w:style w:type="paragraph" w:customStyle="1" w:styleId="590">
    <w:name w:val="UserStyle_496"/>
    <w:basedOn w:val="1"/>
    <w:qFormat/>
    <w:uiPriority w:val="0"/>
    <w:rPr>
      <w:rFonts w:ascii="仿宋_GB2312" w:eastAsia="仿宋_GB2312"/>
      <w:b/>
      <w:sz w:val="32"/>
      <w:szCs w:val="32"/>
    </w:rPr>
  </w:style>
  <w:style w:type="paragraph" w:customStyle="1" w:styleId="591">
    <w:name w:val="UserStyle_497"/>
    <w:basedOn w:val="1"/>
    <w:qFormat/>
    <w:uiPriority w:val="0"/>
    <w:pPr>
      <w:tabs>
        <w:tab w:val="left" w:pos="432"/>
      </w:tabs>
      <w:ind w:left="432" w:hanging="432"/>
    </w:pPr>
    <w:rPr>
      <w:szCs w:val="20"/>
    </w:rPr>
  </w:style>
  <w:style w:type="paragraph" w:customStyle="1" w:styleId="592">
    <w:name w:val="UserStyle_498"/>
    <w:basedOn w:val="169"/>
    <w:qFormat/>
    <w:uiPriority w:val="0"/>
    <w:rPr>
      <w:rFonts w:ascii="Tahoma" w:hAnsi="Tahoma"/>
      <w:sz w:val="24"/>
    </w:rPr>
  </w:style>
  <w:style w:type="paragraph" w:customStyle="1" w:styleId="593">
    <w:name w:val="UserStyle_499"/>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94">
    <w:name w:val="UserStyle_500"/>
    <w:basedOn w:val="1"/>
    <w:qFormat/>
    <w:uiPriority w:val="0"/>
    <w:rPr>
      <w:rFonts w:ascii="仿宋_GB2312" w:eastAsia="仿宋_GB2312"/>
      <w:b/>
      <w:sz w:val="32"/>
      <w:szCs w:val="32"/>
    </w:rPr>
  </w:style>
  <w:style w:type="paragraph" w:customStyle="1" w:styleId="595">
    <w:name w:val="UserStyle_50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596">
    <w:name w:val="UserStyle_502"/>
    <w:basedOn w:val="1"/>
    <w:qFormat/>
    <w:uiPriority w:val="0"/>
    <w:pPr>
      <w:spacing w:before="100" w:beforeAutospacing="1" w:after="100" w:afterAutospacing="1"/>
      <w:jc w:val="left"/>
    </w:pPr>
    <w:rPr>
      <w:rFonts w:ascii="宋体" w:hAnsi="宋体"/>
      <w:kern w:val="0"/>
      <w:sz w:val="24"/>
    </w:rPr>
  </w:style>
  <w:style w:type="paragraph" w:customStyle="1" w:styleId="597">
    <w:name w:val="UserStyle_503"/>
    <w:basedOn w:val="1"/>
    <w:qFormat/>
    <w:uiPriority w:val="0"/>
    <w:pPr>
      <w:spacing w:line="360" w:lineRule="auto"/>
      <w:ind w:firstLine="480" w:firstLineChars="200"/>
    </w:pPr>
    <w:rPr>
      <w:szCs w:val="22"/>
    </w:rPr>
  </w:style>
  <w:style w:type="paragraph" w:customStyle="1" w:styleId="598">
    <w:name w:val="UserStyle_504"/>
    <w:basedOn w:val="114"/>
    <w:qFormat/>
    <w:uiPriority w:val="0"/>
    <w:rPr>
      <w:color w:val="000000"/>
      <w:sz w:val="24"/>
      <w:szCs w:val="21"/>
    </w:rPr>
  </w:style>
  <w:style w:type="paragraph" w:customStyle="1" w:styleId="599">
    <w:name w:val="UserStyle_505"/>
    <w:basedOn w:val="1"/>
    <w:qFormat/>
    <w:uiPriority w:val="0"/>
    <w:pPr>
      <w:spacing w:before="100" w:beforeAutospacing="1" w:after="100" w:afterAutospacing="1"/>
      <w:jc w:val="left"/>
    </w:pPr>
    <w:rPr>
      <w:rFonts w:ascii="宋体" w:hAnsi="宋体"/>
      <w:kern w:val="0"/>
      <w:sz w:val="24"/>
    </w:rPr>
  </w:style>
  <w:style w:type="paragraph" w:customStyle="1" w:styleId="600">
    <w:name w:val="UserStyle_506"/>
    <w:basedOn w:val="1"/>
    <w:qFormat/>
    <w:uiPriority w:val="0"/>
    <w:rPr>
      <w:rFonts w:ascii="宋体"/>
      <w:sz w:val="28"/>
      <w:szCs w:val="20"/>
    </w:rPr>
  </w:style>
  <w:style w:type="paragraph" w:customStyle="1" w:styleId="601">
    <w:name w:val="UserStyle_507"/>
    <w:basedOn w:val="1"/>
    <w:qFormat/>
    <w:uiPriority w:val="0"/>
    <w:rPr>
      <w:rFonts w:ascii="宋体" w:hAnsi="Courier New"/>
      <w:szCs w:val="20"/>
    </w:rPr>
  </w:style>
  <w:style w:type="paragraph" w:customStyle="1" w:styleId="602">
    <w:name w:val="UserStyle_508"/>
    <w:basedOn w:val="1"/>
    <w:qFormat/>
    <w:uiPriority w:val="0"/>
    <w:pPr>
      <w:spacing w:before="119" w:line="272" w:lineRule="atLeast"/>
      <w:ind w:left="719" w:firstLine="481"/>
      <w:jc w:val="left"/>
    </w:pPr>
    <w:rPr>
      <w:rFonts w:ascii="宋体"/>
      <w:color w:val="000000"/>
      <w:kern w:val="0"/>
      <w:sz w:val="24"/>
      <w:szCs w:val="20"/>
    </w:rPr>
  </w:style>
  <w:style w:type="paragraph" w:customStyle="1" w:styleId="603">
    <w:name w:val="UserStyle_509"/>
    <w:basedOn w:val="495"/>
    <w:next w:val="495"/>
    <w:qFormat/>
    <w:uiPriority w:val="0"/>
    <w:pPr>
      <w:spacing w:line="440" w:lineRule="atLeast"/>
    </w:pPr>
  </w:style>
  <w:style w:type="paragraph" w:customStyle="1" w:styleId="604">
    <w:name w:val="UserStyle_510"/>
    <w:basedOn w:val="1"/>
    <w:qFormat/>
    <w:uiPriority w:val="0"/>
    <w:rPr>
      <w:rFonts w:ascii="Tahoma" w:hAnsi="Tahoma"/>
      <w:sz w:val="24"/>
      <w:szCs w:val="20"/>
    </w:rPr>
  </w:style>
  <w:style w:type="paragraph" w:customStyle="1" w:styleId="605">
    <w:name w:val="UserStyle_511"/>
    <w:basedOn w:val="1"/>
    <w:qFormat/>
    <w:uiPriority w:val="0"/>
    <w:pPr>
      <w:spacing w:line="240" w:lineRule="exact"/>
      <w:ind w:left="105" w:leftChars="50"/>
    </w:pPr>
    <w:rPr>
      <w:sz w:val="18"/>
      <w:szCs w:val="21"/>
    </w:rPr>
  </w:style>
  <w:style w:type="paragraph" w:customStyle="1" w:styleId="606">
    <w:name w:val="UserStyle_512"/>
    <w:basedOn w:val="1"/>
    <w:qFormat/>
    <w:uiPriority w:val="0"/>
    <w:pPr>
      <w:ind w:left="1260" w:hanging="420"/>
      <w:jc w:val="left"/>
    </w:pPr>
    <w:rPr>
      <w:rFonts w:ascii="宋体" w:hAnsi="Tms Rmn"/>
      <w:kern w:val="0"/>
      <w:szCs w:val="20"/>
    </w:rPr>
  </w:style>
  <w:style w:type="paragraph" w:customStyle="1" w:styleId="607">
    <w:name w:val="UserStyle_513"/>
    <w:basedOn w:val="104"/>
    <w:qFormat/>
    <w:uiPriority w:val="0"/>
    <w:pPr>
      <w:spacing w:after="156" w:line="360" w:lineRule="auto"/>
      <w:ind w:firstLine="480"/>
      <w:jc w:val="left"/>
    </w:pPr>
  </w:style>
  <w:style w:type="paragraph" w:customStyle="1" w:styleId="608">
    <w:name w:val="UserStyle_514"/>
    <w:basedOn w:val="1"/>
    <w:qFormat/>
    <w:uiPriority w:val="0"/>
    <w:pPr>
      <w:tabs>
        <w:tab w:val="left" w:pos="1985"/>
      </w:tabs>
      <w:jc w:val="left"/>
    </w:pPr>
    <w:rPr>
      <w:rFonts w:ascii="宋体" w:hAnsi="Tms Rmn"/>
      <w:kern w:val="0"/>
      <w:szCs w:val="20"/>
    </w:rPr>
  </w:style>
  <w:style w:type="paragraph" w:customStyle="1" w:styleId="609">
    <w:name w:val="UserStyle_515"/>
    <w:basedOn w:val="1"/>
    <w:qFormat/>
    <w:uiPriority w:val="0"/>
    <w:rPr>
      <w:rFonts w:ascii="System" w:eastAsia="System"/>
      <w:kern w:val="0"/>
      <w:sz w:val="24"/>
      <w:szCs w:val="20"/>
    </w:rPr>
  </w:style>
  <w:style w:type="paragraph" w:customStyle="1" w:styleId="610">
    <w:name w:val="UserStyle_5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mic Sans MS" w:hAnsi="Comic Sans MS"/>
      <w:kern w:val="0"/>
      <w:sz w:val="20"/>
      <w:szCs w:val="20"/>
    </w:rPr>
  </w:style>
  <w:style w:type="paragraph" w:customStyle="1" w:styleId="611">
    <w:name w:val="UserStyle_517"/>
    <w:basedOn w:val="1"/>
    <w:qFormat/>
    <w:uiPriority w:val="0"/>
    <w:pPr>
      <w:tabs>
        <w:tab w:val="left" w:pos="0"/>
      </w:tabs>
      <w:spacing w:line="360" w:lineRule="auto"/>
      <w:ind w:left="180" w:firstLine="540"/>
    </w:pPr>
    <w:rPr>
      <w:rFonts w:ascii="宋体" w:hAnsi="宋体"/>
      <w:kern w:val="0"/>
      <w:sz w:val="28"/>
      <w:szCs w:val="20"/>
    </w:rPr>
  </w:style>
  <w:style w:type="paragraph" w:customStyle="1" w:styleId="612">
    <w:name w:val="UserStyle_518"/>
    <w:basedOn w:val="1"/>
    <w:qFormat/>
    <w:uiPriority w:val="0"/>
    <w:rPr>
      <w:kern w:val="0"/>
      <w:szCs w:val="21"/>
    </w:rPr>
  </w:style>
  <w:style w:type="paragraph" w:customStyle="1" w:styleId="613">
    <w:name w:val="UserStyle_519"/>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614">
    <w:name w:val="UserStyle_520"/>
    <w:basedOn w:val="1"/>
    <w:next w:val="1"/>
    <w:qFormat/>
    <w:uiPriority w:val="0"/>
    <w:pPr>
      <w:jc w:val="left"/>
    </w:pPr>
    <w:rPr>
      <w:rFonts w:ascii="宋体"/>
      <w:kern w:val="0"/>
      <w:sz w:val="24"/>
    </w:rPr>
  </w:style>
  <w:style w:type="paragraph" w:customStyle="1" w:styleId="615">
    <w:name w:val="UserStyle_521"/>
    <w:basedOn w:val="1"/>
    <w:qFormat/>
    <w:uiPriority w:val="0"/>
    <w:pPr>
      <w:tabs>
        <w:tab w:val="left" w:pos="1287"/>
      </w:tabs>
      <w:spacing w:line="360" w:lineRule="auto"/>
      <w:ind w:firstLine="567"/>
    </w:pPr>
    <w:rPr>
      <w:sz w:val="28"/>
      <w:szCs w:val="20"/>
    </w:rPr>
  </w:style>
  <w:style w:type="paragraph" w:customStyle="1" w:styleId="616">
    <w:name w:val="UserStyle_522"/>
    <w:basedOn w:val="104"/>
    <w:qFormat/>
    <w:uiPriority w:val="0"/>
    <w:pPr>
      <w:spacing w:after="156" w:line="360" w:lineRule="auto"/>
      <w:ind w:firstLine="480"/>
      <w:jc w:val="left"/>
    </w:pPr>
    <w:rPr>
      <w:kern w:val="0"/>
      <w:sz w:val="24"/>
      <w:szCs w:val="20"/>
    </w:rPr>
  </w:style>
  <w:style w:type="paragraph" w:customStyle="1" w:styleId="617">
    <w:name w:val="UserStyle_523"/>
    <w:basedOn w:val="1"/>
    <w:qFormat/>
    <w:uiPriority w:val="0"/>
    <w:pPr>
      <w:pBdr>
        <w:top w:val="single" w:color="000000" w:sz="4" w:space="0"/>
        <w:bottom w:val="single" w:color="000000"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618">
    <w:name w:val="UserStyle_524"/>
    <w:basedOn w:val="32"/>
    <w:qFormat/>
    <w:uiPriority w:val="0"/>
    <w:pPr>
      <w:keepLines/>
      <w:snapToGrid w:val="0"/>
      <w:spacing w:line="480" w:lineRule="auto"/>
    </w:pPr>
    <w:rPr>
      <w:rFonts w:ascii="Arial" w:hAnsi="Arial" w:eastAsia="新宋体"/>
      <w:bCs/>
      <w:sz w:val="36"/>
      <w:szCs w:val="44"/>
    </w:rPr>
  </w:style>
  <w:style w:type="paragraph" w:customStyle="1" w:styleId="619">
    <w:name w:val="UserStyle_525"/>
    <w:basedOn w:val="1"/>
    <w:qFormat/>
    <w:uiPriority w:val="0"/>
    <w:pPr>
      <w:spacing w:after="160" w:line="240" w:lineRule="exact"/>
      <w:jc w:val="left"/>
    </w:pPr>
  </w:style>
  <w:style w:type="paragraph" w:customStyle="1" w:styleId="620">
    <w:name w:val="UserStyle_526"/>
    <w:basedOn w:val="1"/>
    <w:qFormat/>
    <w:uiPriority w:val="0"/>
    <w:rPr>
      <w:rFonts w:ascii="宋体" w:hAnsi="Courier New"/>
      <w:szCs w:val="20"/>
    </w:rPr>
  </w:style>
  <w:style w:type="paragraph" w:customStyle="1" w:styleId="621">
    <w:name w:val="UserStyle_527"/>
    <w:basedOn w:val="1"/>
    <w:qFormat/>
    <w:uiPriority w:val="0"/>
    <w:pPr>
      <w:spacing w:before="100" w:beforeAutospacing="1" w:after="100" w:afterAutospacing="1"/>
      <w:jc w:val="center"/>
    </w:pPr>
    <w:rPr>
      <w:rFonts w:ascii="宋体" w:hAnsi="宋体"/>
      <w:kern w:val="0"/>
      <w:sz w:val="24"/>
    </w:rPr>
  </w:style>
  <w:style w:type="paragraph" w:customStyle="1" w:styleId="622">
    <w:name w:val="UserStyle_528"/>
    <w:basedOn w:val="34"/>
    <w:qFormat/>
    <w:uiPriority w:val="0"/>
    <w:pPr>
      <w:keepNext/>
      <w:keepLines/>
      <w:tabs>
        <w:tab w:val="left" w:pos="576"/>
      </w:tabs>
      <w:spacing w:before="260" w:after="260" w:line="413" w:lineRule="auto"/>
    </w:pPr>
    <w:rPr>
      <w:rFonts w:ascii="宋体" w:cs="宋体"/>
      <w:b/>
      <w:bCs/>
      <w:sz w:val="32"/>
    </w:rPr>
  </w:style>
  <w:style w:type="paragraph" w:customStyle="1" w:styleId="623">
    <w:name w:val="UserStyle_529"/>
    <w:basedOn w:val="1"/>
    <w:qFormat/>
    <w:uiPriority w:val="0"/>
    <w:pPr>
      <w:ind w:left="2100" w:hanging="420"/>
      <w:jc w:val="left"/>
    </w:pPr>
    <w:rPr>
      <w:rFonts w:ascii="宋体" w:hAnsi="Tms Rmn"/>
      <w:kern w:val="0"/>
      <w:szCs w:val="20"/>
    </w:rPr>
  </w:style>
  <w:style w:type="paragraph" w:customStyle="1" w:styleId="624">
    <w:name w:val="UserStyle_530"/>
    <w:basedOn w:val="1"/>
    <w:qFormat/>
    <w:uiPriority w:val="0"/>
    <w:rPr>
      <w:rFonts w:ascii="仿宋_GB2312" w:eastAsia="仿宋_GB2312"/>
      <w:b/>
      <w:sz w:val="32"/>
      <w:szCs w:val="32"/>
    </w:rPr>
  </w:style>
  <w:style w:type="paragraph" w:customStyle="1" w:styleId="625">
    <w:name w:val="UserStyle_531"/>
    <w:basedOn w:val="1"/>
    <w:qFormat/>
    <w:uiPriority w:val="0"/>
    <w:pPr>
      <w:spacing w:before="30" w:line="360" w:lineRule="auto"/>
      <w:ind w:firstLine="200" w:firstLineChars="200"/>
    </w:pPr>
    <w:rPr>
      <w:rFonts w:ascii="Arial" w:hAnsi="Arial"/>
      <w:sz w:val="24"/>
    </w:rPr>
  </w:style>
  <w:style w:type="paragraph" w:customStyle="1" w:styleId="626">
    <w:name w:val="UserStyle_532"/>
    <w:basedOn w:val="1"/>
    <w:qFormat/>
    <w:uiPriority w:val="0"/>
    <w:pPr>
      <w:ind w:left="840" w:hanging="420"/>
      <w:jc w:val="left"/>
    </w:pPr>
    <w:rPr>
      <w:rFonts w:ascii="宋体" w:hAnsi="Tms Rmn"/>
      <w:kern w:val="0"/>
      <w:szCs w:val="20"/>
    </w:rPr>
  </w:style>
  <w:style w:type="paragraph" w:customStyle="1" w:styleId="627">
    <w:name w:val="UserStyle_533"/>
    <w:basedOn w:val="1"/>
    <w:qFormat/>
    <w:uiPriority w:val="0"/>
    <w:pPr>
      <w:tabs>
        <w:tab w:val="left" w:pos="0"/>
      </w:tabs>
      <w:spacing w:line="360" w:lineRule="auto"/>
      <w:ind w:firstLine="734"/>
    </w:pPr>
    <w:rPr>
      <w:rFonts w:ascii="宋体" w:hAnsi="宋体"/>
      <w:kern w:val="0"/>
      <w:sz w:val="28"/>
      <w:szCs w:val="20"/>
    </w:rPr>
  </w:style>
  <w:style w:type="paragraph" w:customStyle="1" w:styleId="628">
    <w:name w:val="UserStyle_534"/>
    <w:basedOn w:val="1"/>
    <w:qFormat/>
    <w:uiPriority w:val="0"/>
    <w:pPr>
      <w:spacing w:before="100" w:beforeAutospacing="1" w:after="100" w:afterAutospacing="1"/>
      <w:jc w:val="left"/>
    </w:pPr>
    <w:rPr>
      <w:rFonts w:ascii="宋体" w:hAnsi="宋体"/>
      <w:kern w:val="0"/>
      <w:sz w:val="24"/>
    </w:rPr>
  </w:style>
  <w:style w:type="paragraph" w:customStyle="1" w:styleId="629">
    <w:name w:val="UserStyle_535"/>
    <w:basedOn w:val="1"/>
    <w:qFormat/>
    <w:uiPriority w:val="0"/>
    <w:pPr>
      <w:jc w:val="center"/>
    </w:pPr>
    <w:rPr>
      <w:rFonts w:ascii="楷体_GB2312" w:hAnsi="Courier New" w:eastAsia="楷体_GB2312"/>
      <w:szCs w:val="20"/>
    </w:rPr>
  </w:style>
  <w:style w:type="paragraph" w:customStyle="1" w:styleId="630">
    <w:name w:val="UserStyle_536"/>
    <w:basedOn w:val="1"/>
    <w:qFormat/>
    <w:uiPriority w:val="0"/>
    <w:pPr>
      <w:spacing w:before="320" w:after="160" w:line="360" w:lineRule="atLeast"/>
      <w:jc w:val="center"/>
    </w:pPr>
    <w:rPr>
      <w:rFonts w:ascii="Arial" w:eastAsia="黑体"/>
      <w:kern w:val="0"/>
      <w:sz w:val="30"/>
      <w:szCs w:val="20"/>
    </w:rPr>
  </w:style>
  <w:style w:type="paragraph" w:customStyle="1" w:styleId="631">
    <w:name w:val="UserStyle_537"/>
    <w:basedOn w:val="495"/>
    <w:next w:val="495"/>
    <w:qFormat/>
    <w:uiPriority w:val="0"/>
    <w:pPr>
      <w:spacing w:line="440" w:lineRule="atLeast"/>
    </w:pPr>
  </w:style>
  <w:style w:type="paragraph" w:customStyle="1" w:styleId="632">
    <w:name w:val="UserStyle_538"/>
    <w:basedOn w:val="1"/>
    <w:qFormat/>
    <w:uiPriority w:val="0"/>
    <w:pPr>
      <w:pBdr>
        <w:top w:val="single" w:color="000000" w:sz="4" w:space="0"/>
        <w:bottom w:val="single" w:color="000000" w:sz="4" w:space="0"/>
      </w:pBdr>
      <w:spacing w:before="100" w:beforeAutospacing="1" w:after="100" w:afterAutospacing="1"/>
      <w:jc w:val="center"/>
      <w:textAlignment w:val="center"/>
    </w:pPr>
    <w:rPr>
      <w:rFonts w:ascii="Comic Sans MS" w:hAnsi="Comic Sans MS"/>
      <w:kern w:val="0"/>
      <w:sz w:val="20"/>
      <w:szCs w:val="20"/>
    </w:rPr>
  </w:style>
  <w:style w:type="paragraph" w:customStyle="1" w:styleId="633">
    <w:name w:val="UserStyle_539"/>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634">
    <w:name w:val="UserStyle_540"/>
    <w:basedOn w:val="1"/>
    <w:qFormat/>
    <w:uiPriority w:val="0"/>
    <w:rPr>
      <w:rFonts w:ascii="Tahoma" w:hAnsi="Tahoma"/>
      <w:sz w:val="24"/>
      <w:szCs w:val="20"/>
    </w:rPr>
  </w:style>
  <w:style w:type="paragraph" w:customStyle="1" w:styleId="635">
    <w:name w:val="UserStyle_541"/>
    <w:basedOn w:val="33"/>
    <w:qFormat/>
    <w:uiPriority w:val="0"/>
    <w:pPr>
      <w:tabs>
        <w:tab w:val="left" w:pos="432"/>
      </w:tabs>
      <w:spacing w:before="260" w:after="260" w:line="413" w:lineRule="auto"/>
      <w:ind w:firstLine="0" w:firstLineChars="0"/>
      <w:jc w:val="center"/>
    </w:pPr>
    <w:rPr>
      <w:rFonts w:eastAsia="黑体" w:cs="宋体"/>
      <w:sz w:val="32"/>
      <w:szCs w:val="20"/>
    </w:rPr>
  </w:style>
  <w:style w:type="paragraph" w:customStyle="1" w:styleId="636">
    <w:name w:val="UserStyle_542"/>
    <w:qFormat/>
    <w:uiPriority w:val="0"/>
    <w:pPr>
      <w:spacing w:line="312" w:lineRule="atLeast"/>
      <w:jc w:val="both"/>
      <w:textAlignment w:val="baseline"/>
    </w:pPr>
    <w:rPr>
      <w:rFonts w:ascii="Times New Roman" w:hAnsi="Times New Roman" w:eastAsia="宋体" w:cs="Times New Roman"/>
      <w:lang w:val="en-US" w:eastAsia="zh-CN" w:bidi="ar-SA"/>
    </w:rPr>
  </w:style>
  <w:style w:type="paragraph" w:customStyle="1" w:styleId="637">
    <w:name w:val="UserStyle_543"/>
    <w:basedOn w:val="1"/>
    <w:qFormat/>
    <w:uiPriority w:val="0"/>
    <w:pPr>
      <w:snapToGrid w:val="0"/>
      <w:spacing w:line="400" w:lineRule="exact"/>
      <w:ind w:firstLine="200" w:firstLineChars="200"/>
    </w:pPr>
    <w:rPr>
      <w:rFonts w:ascii="Arial" w:hAnsi="Arial"/>
      <w:szCs w:val="21"/>
    </w:rPr>
  </w:style>
  <w:style w:type="table" w:customStyle="1" w:styleId="638">
    <w:name w:val="198"/>
    <w:basedOn w:val="42"/>
    <w:qFormat/>
    <w:uiPriority w:val="0"/>
    <w:tblPr>
      <w:tblCellMar>
        <w:top w:w="0" w:type="dxa"/>
        <w:left w:w="0" w:type="dxa"/>
        <w:bottom w:w="0" w:type="dxa"/>
        <w:right w:w="0" w:type="dxa"/>
      </w:tblCellMar>
    </w:tblPr>
  </w:style>
  <w:style w:type="table" w:customStyle="1" w:styleId="639">
    <w:name w:val="197"/>
    <w:basedOn w:val="42"/>
    <w:qFormat/>
    <w:uiPriority w:val="0"/>
    <w:tblPr>
      <w:tblCellMar>
        <w:top w:w="0" w:type="dxa"/>
        <w:left w:w="0" w:type="dxa"/>
        <w:bottom w:w="0" w:type="dxa"/>
        <w:right w:w="0" w:type="dxa"/>
      </w:tblCellMar>
    </w:tblPr>
  </w:style>
  <w:style w:type="table" w:customStyle="1" w:styleId="640">
    <w:name w:val="TableGrid"/>
    <w:basedOn w:val="42"/>
    <w:qFormat/>
    <w:uiPriority w:val="0"/>
    <w:tblPr>
      <w:tblCellMar>
        <w:top w:w="0" w:type="dxa"/>
        <w:left w:w="0" w:type="dxa"/>
        <w:bottom w:w="0" w:type="dxa"/>
        <w:right w:w="0" w:type="dxa"/>
      </w:tblCellMar>
    </w:tblPr>
  </w:style>
  <w:style w:type="table" w:customStyle="1" w:styleId="641">
    <w:name w:val="199"/>
    <w:basedOn w:val="42"/>
    <w:qFormat/>
    <w:uiPriority w:val="0"/>
    <w:tblPr>
      <w:tblCellMar>
        <w:top w:w="0" w:type="dxa"/>
        <w:left w:w="0" w:type="dxa"/>
        <w:bottom w:w="0" w:type="dxa"/>
        <w:right w:w="0" w:type="dxa"/>
      </w:tblCellMar>
    </w:tblPr>
  </w:style>
  <w:style w:type="table" w:customStyle="1" w:styleId="642">
    <w:name w:val="UserStyle_544"/>
    <w:basedOn w:val="42"/>
    <w:qFormat/>
    <w:uiPriority w:val="0"/>
    <w:tblPr>
      <w:tblCellMar>
        <w:top w:w="0" w:type="dxa"/>
        <w:left w:w="0" w:type="dxa"/>
        <w:bottom w:w="0" w:type="dxa"/>
        <w:right w:w="0" w:type="dxa"/>
      </w:tblCellMar>
    </w:tblPr>
  </w:style>
  <w:style w:type="table" w:customStyle="1" w:styleId="643">
    <w:name w:val="UserStyle_545"/>
    <w:basedOn w:val="42"/>
    <w:qFormat/>
    <w:uiPriority w:val="0"/>
    <w:tblPr>
      <w:tblCellMar>
        <w:top w:w="0" w:type="dxa"/>
        <w:left w:w="0" w:type="dxa"/>
        <w:bottom w:w="0" w:type="dxa"/>
        <w:right w:w="0" w:type="dxa"/>
      </w:tblCellMar>
    </w:tblPr>
  </w:style>
  <w:style w:type="table" w:customStyle="1" w:styleId="644">
    <w:name w:val="UserStyle_546"/>
    <w:basedOn w:val="42"/>
    <w:qFormat/>
    <w:uiPriority w:val="0"/>
    <w:tblPr>
      <w:tblCellMar>
        <w:top w:w="0" w:type="dxa"/>
        <w:left w:w="0" w:type="dxa"/>
        <w:bottom w:w="0" w:type="dxa"/>
        <w:right w:w="0" w:type="dxa"/>
      </w:tblCellMar>
    </w:tblPr>
  </w:style>
  <w:style w:type="table" w:customStyle="1" w:styleId="645">
    <w:name w:val="UserStyle_547"/>
    <w:basedOn w:val="42"/>
    <w:qFormat/>
    <w:uiPriority w:val="0"/>
    <w:tblPr>
      <w:tblCellMar>
        <w:top w:w="0" w:type="dxa"/>
        <w:left w:w="0" w:type="dxa"/>
        <w:bottom w:w="0" w:type="dxa"/>
        <w:right w:w="0" w:type="dxa"/>
      </w:tblCellMar>
    </w:tblPr>
  </w:style>
  <w:style w:type="table" w:customStyle="1" w:styleId="646">
    <w:name w:val="UserStyle_548"/>
    <w:basedOn w:val="42"/>
    <w:qFormat/>
    <w:uiPriority w:val="0"/>
    <w:tblPr>
      <w:tblCellMar>
        <w:top w:w="0" w:type="dxa"/>
        <w:left w:w="0" w:type="dxa"/>
        <w:bottom w:w="0" w:type="dxa"/>
        <w:right w:w="0" w:type="dxa"/>
      </w:tblCellMar>
    </w:tblPr>
  </w:style>
  <w:style w:type="table" w:customStyle="1" w:styleId="647">
    <w:name w:val="UserStyle_549"/>
    <w:basedOn w:val="42"/>
    <w:qFormat/>
    <w:uiPriority w:val="0"/>
    <w:tblPr>
      <w:tblCellMar>
        <w:top w:w="0" w:type="dxa"/>
        <w:left w:w="0" w:type="dxa"/>
        <w:bottom w:w="0" w:type="dxa"/>
        <w:right w:w="0" w:type="dxa"/>
      </w:tblCellMar>
    </w:tblPr>
  </w:style>
  <w:style w:type="table" w:customStyle="1" w:styleId="648">
    <w:name w:val="UserStyle_550"/>
    <w:basedOn w:val="42"/>
    <w:qFormat/>
    <w:uiPriority w:val="0"/>
    <w:tblPr>
      <w:tblCellMar>
        <w:top w:w="0" w:type="dxa"/>
        <w:left w:w="0" w:type="dxa"/>
        <w:bottom w:w="0" w:type="dxa"/>
        <w:right w:w="0" w:type="dxa"/>
      </w:tblCellMar>
    </w:tblPr>
  </w:style>
  <w:style w:type="table" w:customStyle="1" w:styleId="649">
    <w:name w:val="UserStyle_551"/>
    <w:basedOn w:val="42"/>
    <w:qFormat/>
    <w:uiPriority w:val="0"/>
    <w:tblPr>
      <w:tblCellMar>
        <w:top w:w="0" w:type="dxa"/>
        <w:left w:w="0" w:type="dxa"/>
        <w:bottom w:w="0" w:type="dxa"/>
        <w:right w:w="0" w:type="dxa"/>
      </w:tblCellMar>
    </w:tblPr>
  </w:style>
  <w:style w:type="table" w:customStyle="1" w:styleId="650">
    <w:name w:val="UserStyle_552"/>
    <w:basedOn w:val="42"/>
    <w:qFormat/>
    <w:uiPriority w:val="0"/>
    <w:tblPr>
      <w:tblCellMar>
        <w:top w:w="0" w:type="dxa"/>
        <w:left w:w="0" w:type="dxa"/>
        <w:bottom w:w="0" w:type="dxa"/>
        <w:right w:w="0" w:type="dxa"/>
      </w:tblCellMar>
    </w:tblPr>
  </w:style>
  <w:style w:type="table" w:customStyle="1" w:styleId="651">
    <w:name w:val="UserStyle_553"/>
    <w:basedOn w:val="42"/>
    <w:qFormat/>
    <w:uiPriority w:val="0"/>
    <w:tblPr>
      <w:tblCellMar>
        <w:top w:w="0" w:type="dxa"/>
        <w:left w:w="0" w:type="dxa"/>
        <w:bottom w:w="0" w:type="dxa"/>
        <w:right w:w="0" w:type="dxa"/>
      </w:tblCellMar>
    </w:tblPr>
  </w:style>
  <w:style w:type="table" w:customStyle="1" w:styleId="652">
    <w:name w:val="UserStyle_554"/>
    <w:basedOn w:val="42"/>
    <w:qFormat/>
    <w:uiPriority w:val="0"/>
    <w:tblPr>
      <w:tblCellMar>
        <w:top w:w="0" w:type="dxa"/>
        <w:left w:w="0" w:type="dxa"/>
        <w:bottom w:w="0" w:type="dxa"/>
        <w:right w:w="0" w:type="dxa"/>
      </w:tblCellMar>
    </w:tblPr>
  </w:style>
  <w:style w:type="table" w:customStyle="1" w:styleId="653">
    <w:name w:val="UserStyle_555"/>
    <w:basedOn w:val="42"/>
    <w:qFormat/>
    <w:uiPriority w:val="0"/>
    <w:tblPr>
      <w:tblCellMar>
        <w:top w:w="0" w:type="dxa"/>
        <w:left w:w="0" w:type="dxa"/>
        <w:bottom w:w="0" w:type="dxa"/>
        <w:right w:w="0" w:type="dxa"/>
      </w:tblCellMar>
    </w:tblPr>
  </w:style>
  <w:style w:type="table" w:customStyle="1" w:styleId="654">
    <w:name w:val="UserStyle_556"/>
    <w:basedOn w:val="42"/>
    <w:qFormat/>
    <w:uiPriority w:val="0"/>
    <w:tblPr>
      <w:tblCellMar>
        <w:top w:w="0" w:type="dxa"/>
        <w:left w:w="0" w:type="dxa"/>
        <w:bottom w:w="0" w:type="dxa"/>
        <w:right w:w="0" w:type="dxa"/>
      </w:tblCellMar>
    </w:tblPr>
  </w:style>
  <w:style w:type="table" w:customStyle="1" w:styleId="655">
    <w:name w:val="UserStyle_557"/>
    <w:basedOn w:val="42"/>
    <w:qFormat/>
    <w:uiPriority w:val="0"/>
    <w:tblPr>
      <w:tblCellMar>
        <w:top w:w="0" w:type="dxa"/>
        <w:left w:w="0" w:type="dxa"/>
        <w:bottom w:w="0" w:type="dxa"/>
        <w:right w:w="0" w:type="dxa"/>
      </w:tblCellMar>
    </w:tblPr>
  </w:style>
  <w:style w:type="table" w:customStyle="1" w:styleId="656">
    <w:name w:val="UserStyle_558"/>
    <w:basedOn w:val="42"/>
    <w:qFormat/>
    <w:uiPriority w:val="0"/>
    <w:tblPr>
      <w:tblCellMar>
        <w:top w:w="0" w:type="dxa"/>
        <w:left w:w="0" w:type="dxa"/>
        <w:bottom w:w="0" w:type="dxa"/>
        <w:right w:w="0" w:type="dxa"/>
      </w:tblCellMar>
    </w:tblPr>
  </w:style>
  <w:style w:type="table" w:customStyle="1" w:styleId="657">
    <w:name w:val="UserStyle_559"/>
    <w:basedOn w:val="42"/>
    <w:qFormat/>
    <w:uiPriority w:val="0"/>
    <w:tblPr>
      <w:tblCellMar>
        <w:top w:w="0" w:type="dxa"/>
        <w:left w:w="0" w:type="dxa"/>
        <w:bottom w:w="0" w:type="dxa"/>
        <w:right w:w="0" w:type="dxa"/>
      </w:tblCellMar>
    </w:tblPr>
  </w:style>
  <w:style w:type="paragraph" w:styleId="658">
    <w:name w:val="List Paragraph"/>
    <w:basedOn w:val="1"/>
    <w:qFormat/>
    <w:uiPriority w:val="34"/>
    <w:pPr>
      <w:ind w:firstLine="420" w:firstLineChars="200"/>
    </w:pPr>
  </w:style>
  <w:style w:type="character" w:customStyle="1" w:styleId="659">
    <w:name w:val="批注文字 Char"/>
    <w:basedOn w:val="23"/>
    <w:link w:val="7"/>
    <w:qFormat/>
    <w:uiPriority w:val="0"/>
    <w:rPr>
      <w:kern w:val="2"/>
      <w:sz w:val="21"/>
      <w:szCs w:val="24"/>
    </w:rPr>
  </w:style>
  <w:style w:type="character" w:customStyle="1" w:styleId="660">
    <w:name w:val="批注主题 Char"/>
    <w:basedOn w:val="659"/>
    <w:link w:val="19"/>
    <w:qFormat/>
    <w:uiPriority w:val="0"/>
    <w:rPr>
      <w:b/>
      <w:bCs/>
      <w:kern w:val="2"/>
      <w:sz w:val="21"/>
      <w:szCs w:val="24"/>
    </w:rPr>
  </w:style>
  <w:style w:type="character" w:customStyle="1" w:styleId="661">
    <w:name w:val="批注框文本 Char"/>
    <w:basedOn w:val="23"/>
    <w:link w:val="12"/>
    <w:qFormat/>
    <w:uiPriority w:val="0"/>
    <w:rPr>
      <w:kern w:val="2"/>
      <w:sz w:val="18"/>
      <w:szCs w:val="18"/>
    </w:rPr>
  </w:style>
  <w:style w:type="character" w:customStyle="1" w:styleId="662">
    <w:name w:val="样式1 Char Char"/>
    <w:link w:val="663"/>
    <w:qFormat/>
    <w:uiPriority w:val="0"/>
    <w:rPr>
      <w:rFonts w:ascii="Arial" w:hAnsi="Arial"/>
      <w:kern w:val="2"/>
      <w:sz w:val="21"/>
      <w:szCs w:val="24"/>
    </w:rPr>
  </w:style>
  <w:style w:type="paragraph" w:customStyle="1" w:styleId="663">
    <w:name w:val="样式1"/>
    <w:basedOn w:val="1"/>
    <w:link w:val="662"/>
    <w:qFormat/>
    <w:uiPriority w:val="0"/>
    <w:pPr>
      <w:widowControl w:val="0"/>
      <w:spacing w:line="360" w:lineRule="exact"/>
      <w:ind w:firstLine="200" w:firstLineChars="200"/>
      <w:textAlignment w:val="auto"/>
    </w:pPr>
    <w:rPr>
      <w:rFonts w:ascii="Arial" w:hAnsi="Arial"/>
    </w:rPr>
  </w:style>
  <w:style w:type="paragraph" w:customStyle="1" w:styleId="664">
    <w:name w:val="内文正文"/>
    <w:basedOn w:val="10"/>
    <w:qFormat/>
    <w:uiPriority w:val="0"/>
    <w:pPr>
      <w:adjustRightInd w:val="0"/>
      <w:snapToGrid w:val="0"/>
      <w:spacing w:line="400" w:lineRule="exact"/>
      <w:ind w:firstLine="200" w:firstLineChars="200"/>
    </w:pPr>
    <w:rPr>
      <w:rFonts w:ascii="Arial" w:hAnsi="Arial"/>
      <w:color w:val="000000"/>
      <w:szCs w:val="21"/>
    </w:rPr>
  </w:style>
  <w:style w:type="paragraph" w:customStyle="1" w:styleId="665">
    <w:name w:val="正文2"/>
    <w:basedOn w:val="1"/>
    <w:qFormat/>
    <w:uiPriority w:val="0"/>
    <w:pPr>
      <w:spacing w:before="156" w:line="360" w:lineRule="auto"/>
      <w:ind w:firstLine="510" w:firstLineChars="200"/>
    </w:pPr>
    <w:rPr>
      <w:sz w:val="24"/>
      <w:szCs w:val="20"/>
    </w:rPr>
  </w:style>
  <w:style w:type="paragraph" w:customStyle="1" w:styleId="666">
    <w:name w:val="WPSOffice手动目录 1"/>
    <w:qFormat/>
    <w:uiPriority w:val="0"/>
    <w:rPr>
      <w:rFonts w:ascii="Times New Roman" w:hAnsi="Times New Roman" w:eastAsia="宋体" w:cs="Times New Roman"/>
      <w:lang w:val="en-US" w:eastAsia="zh-CN" w:bidi="ar-SA"/>
    </w:rPr>
  </w:style>
  <w:style w:type="paragraph" w:customStyle="1" w:styleId="66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68">
    <w:name w:val="Plain Text1"/>
    <w:basedOn w:val="1"/>
    <w:qFormat/>
    <w:uiPriority w:val="99"/>
    <w:rPr>
      <w:rFonts w:ascii="宋体" w:hAnsi="Courier New" w:eastAsia="宋体" w:cs="Times New Roman"/>
      <w:kern w:val="0"/>
      <w:szCs w:val="20"/>
    </w:rPr>
  </w:style>
  <w:style w:type="paragraph" w:customStyle="1" w:styleId="669">
    <w:name w:val="Blockquote"/>
    <w:basedOn w:val="1"/>
    <w:qFormat/>
    <w:uiPriority w:val="0"/>
    <w:pPr>
      <w:autoSpaceDE w:val="0"/>
      <w:autoSpaceDN w:val="0"/>
      <w:adjustRightInd w:val="0"/>
      <w:spacing w:before="100" w:after="100"/>
      <w:ind w:left="360" w:right="360"/>
      <w:jc w:val="left"/>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FE849-DBB4-44DA-94B7-EA0EBFC3ACD5}">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56300</Words>
  <Characters>59400</Characters>
  <Lines>474</Lines>
  <Paragraphs>133</Paragraphs>
  <TotalTime>1</TotalTime>
  <ScaleCrop>false</ScaleCrop>
  <LinksUpToDate>false</LinksUpToDate>
  <CharactersWithSpaces>64086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2023-05-07T13:41:00Z</dcterms:created>
  <dc:creator>lenovo</dc:creator>
  <cp:lastModifiedBy>旺  旺</cp:lastModifiedBy>
  <dcterms:modified xsi:type="dcterms:W3CDTF">2024-05-31T11:23:24Z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651091BDE93C472E88E118F582506C6B</vt:lpwstr>
  </property>
</Properties>
</file>