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D677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color w:val="auto"/>
          <w:kern w:val="0"/>
          <w:sz w:val="52"/>
          <w:szCs w:val="52"/>
          <w:highlight w:val="none"/>
        </w:rPr>
      </w:pPr>
    </w:p>
    <w:p w14:paraId="5FDF8B8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hint="eastAsia" w:ascii="宋体" w:hAnsi="宋体" w:eastAsia="宋体" w:cs="宋体"/>
          <w:b/>
          <w:color w:val="auto"/>
          <w:kern w:val="0"/>
          <w:sz w:val="52"/>
          <w:szCs w:val="52"/>
          <w:highlight w:val="none"/>
          <w:lang w:eastAsia="zh-CN"/>
        </w:rPr>
      </w:pPr>
      <w:r>
        <w:rPr>
          <w:rFonts w:hint="eastAsia" w:ascii="宋体" w:hAnsi="宋体" w:cs="宋体"/>
          <w:b/>
          <w:color w:val="auto"/>
          <w:kern w:val="0"/>
          <w:sz w:val="52"/>
          <w:szCs w:val="52"/>
          <w:highlight w:val="none"/>
          <w:lang w:eastAsia="zh-CN"/>
        </w:rPr>
        <w:t>天台县红旗渡槽槽渠和槽身砌石修缮保护工程（第三次）</w:t>
      </w:r>
    </w:p>
    <w:p w14:paraId="7814649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highlight w:val="none"/>
        </w:rPr>
      </w:pPr>
    </w:p>
    <w:p w14:paraId="543AE83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 xml:space="preserve">                                                                                                                                                                                                                                                                                                                                                                                                                                                                                                                                                                                                                                                                                                                                                                                                                                                                                                                                                                                                                                                                                                                                                                                                                                                                                                                              </w:t>
      </w:r>
    </w:p>
    <w:p w14:paraId="69A15A3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政府采购竞争性磋商文件</w:t>
      </w:r>
    </w:p>
    <w:p w14:paraId="3861F1E3">
      <w:pPr>
        <w:pStyle w:val="41"/>
        <w:rPr>
          <w:rFonts w:ascii="宋体" w:hAnsi="宋体" w:cs="宋体"/>
          <w:color w:val="auto"/>
          <w:highlight w:val="none"/>
        </w:rPr>
      </w:pPr>
    </w:p>
    <w:p w14:paraId="3F2ED51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hint="eastAsia" w:ascii="宋体" w:hAnsi="宋体" w:eastAsia="宋体" w:cs="宋体"/>
          <w:b/>
          <w:color w:val="auto"/>
          <w:kern w:val="0"/>
          <w:sz w:val="32"/>
          <w:highlight w:val="none"/>
          <w:lang w:eastAsia="zh-CN"/>
        </w:rPr>
      </w:pPr>
      <w:r>
        <w:rPr>
          <w:rFonts w:hint="eastAsia" w:ascii="宋体" w:hAnsi="宋体" w:cs="宋体"/>
          <w:b/>
          <w:color w:val="auto"/>
          <w:kern w:val="0"/>
          <w:sz w:val="32"/>
          <w:highlight w:val="none"/>
        </w:rPr>
        <w:t>项目编号：WZPM-2024-0</w:t>
      </w:r>
      <w:r>
        <w:rPr>
          <w:rFonts w:hint="eastAsia" w:ascii="宋体" w:hAnsi="宋体" w:cs="宋体"/>
          <w:b/>
          <w:color w:val="auto"/>
          <w:kern w:val="0"/>
          <w:sz w:val="32"/>
          <w:highlight w:val="none"/>
          <w:lang w:val="en-US" w:eastAsia="zh-CN"/>
        </w:rPr>
        <w:t>4（3）</w:t>
      </w:r>
    </w:p>
    <w:p w14:paraId="791858FC">
      <w:pPr>
        <w:autoSpaceDE w:val="0"/>
        <w:autoSpaceDN w:val="0"/>
        <w:adjustRightInd w:val="0"/>
        <w:spacing w:line="360" w:lineRule="auto"/>
        <w:rPr>
          <w:rFonts w:ascii="宋体" w:hAnsi="宋体" w:cs="宋体"/>
          <w:b/>
          <w:color w:val="auto"/>
          <w:kern w:val="0"/>
          <w:sz w:val="52"/>
          <w:szCs w:val="52"/>
          <w:highlight w:val="none"/>
        </w:rPr>
      </w:pPr>
    </w:p>
    <w:p w14:paraId="7ACFDF59">
      <w:pPr>
        <w:pStyle w:val="41"/>
        <w:rPr>
          <w:rFonts w:ascii="宋体" w:hAnsi="宋体" w:cs="宋体"/>
          <w:color w:val="auto"/>
          <w:highlight w:val="none"/>
        </w:rPr>
      </w:pPr>
    </w:p>
    <w:p w14:paraId="571C772F">
      <w:pPr>
        <w:autoSpaceDE w:val="0"/>
        <w:autoSpaceDN w:val="0"/>
        <w:adjustRightInd w:val="0"/>
        <w:spacing w:line="360" w:lineRule="auto"/>
        <w:ind w:firstLine="2054" w:firstLineChars="642"/>
        <w:jc w:val="left"/>
        <w:rPr>
          <w:rFonts w:ascii="宋体" w:hAnsi="宋体" w:cs="宋体"/>
          <w:color w:val="auto"/>
          <w:kern w:val="0"/>
          <w:sz w:val="32"/>
          <w:szCs w:val="32"/>
          <w:highlight w:val="none"/>
        </w:rPr>
      </w:pPr>
    </w:p>
    <w:p w14:paraId="1DAB9BA6">
      <w:pPr>
        <w:autoSpaceDE w:val="0"/>
        <w:autoSpaceDN w:val="0"/>
        <w:adjustRightInd w:val="0"/>
        <w:spacing w:line="360" w:lineRule="auto"/>
        <w:jc w:val="center"/>
        <w:rPr>
          <w:rFonts w:ascii="宋体" w:hAnsi="宋体" w:cs="宋体"/>
          <w:color w:val="auto"/>
          <w:kern w:val="0"/>
          <w:sz w:val="32"/>
          <w:szCs w:val="32"/>
          <w:highlight w:val="none"/>
        </w:rPr>
      </w:pPr>
    </w:p>
    <w:p w14:paraId="4D666979">
      <w:pPr>
        <w:autoSpaceDE w:val="0"/>
        <w:autoSpaceDN w:val="0"/>
        <w:adjustRightInd w:val="0"/>
        <w:spacing w:line="360" w:lineRule="auto"/>
        <w:jc w:val="center"/>
        <w:rPr>
          <w:rFonts w:ascii="宋体" w:hAnsi="宋体" w:cs="宋体"/>
          <w:color w:val="auto"/>
          <w:kern w:val="0"/>
          <w:sz w:val="32"/>
          <w:szCs w:val="32"/>
          <w:highlight w:val="none"/>
        </w:rPr>
      </w:pPr>
    </w:p>
    <w:p w14:paraId="259E5B59">
      <w:pPr>
        <w:autoSpaceDE w:val="0"/>
        <w:autoSpaceDN w:val="0"/>
        <w:adjustRightInd w:val="0"/>
        <w:spacing w:line="360" w:lineRule="auto"/>
        <w:jc w:val="center"/>
        <w:rPr>
          <w:rFonts w:ascii="宋体" w:hAnsi="宋体" w:cs="宋体"/>
          <w:color w:val="auto"/>
          <w:kern w:val="0"/>
          <w:sz w:val="32"/>
          <w:szCs w:val="32"/>
          <w:highlight w:val="none"/>
        </w:rPr>
      </w:pPr>
    </w:p>
    <w:p w14:paraId="640E9CC3">
      <w:pPr>
        <w:pStyle w:val="32"/>
        <w:rPr>
          <w:rFonts w:ascii="宋体" w:hAnsi="宋体" w:cs="宋体"/>
          <w:color w:val="auto"/>
          <w:kern w:val="0"/>
          <w:sz w:val="32"/>
          <w:szCs w:val="32"/>
          <w:highlight w:val="none"/>
        </w:rPr>
      </w:pPr>
    </w:p>
    <w:p w14:paraId="1AAE0BC2">
      <w:pPr>
        <w:rPr>
          <w:color w:val="auto"/>
          <w:highlight w:val="none"/>
        </w:rPr>
      </w:pPr>
    </w:p>
    <w:p w14:paraId="5A9D8D35">
      <w:pPr>
        <w:pStyle w:val="20"/>
        <w:rPr>
          <w:color w:val="auto"/>
          <w:highlight w:val="none"/>
        </w:rPr>
      </w:pPr>
    </w:p>
    <w:p w14:paraId="7ED6707C">
      <w:pPr>
        <w:autoSpaceDE w:val="0"/>
        <w:autoSpaceDN w:val="0"/>
        <w:adjustRightInd w:val="0"/>
        <w:spacing w:line="360" w:lineRule="auto"/>
        <w:jc w:val="center"/>
        <w:rPr>
          <w:rFonts w:hint="eastAsia" w:ascii="宋体" w:hAnsi="宋体" w:eastAsia="宋体" w:cs="宋体"/>
          <w:color w:val="auto"/>
          <w:kern w:val="0"/>
          <w:sz w:val="36"/>
          <w:szCs w:val="36"/>
          <w:highlight w:val="none"/>
          <w:lang w:eastAsia="zh-CN"/>
        </w:rPr>
      </w:pPr>
      <w:r>
        <w:rPr>
          <w:rFonts w:hint="eastAsia" w:ascii="宋体" w:hAnsi="宋体" w:cs="宋体"/>
          <w:color w:val="auto"/>
          <w:kern w:val="0"/>
          <w:sz w:val="36"/>
          <w:szCs w:val="36"/>
          <w:highlight w:val="none"/>
        </w:rPr>
        <w:t>采 购 人：</w:t>
      </w:r>
      <w:r>
        <w:rPr>
          <w:rFonts w:hint="eastAsia" w:ascii="宋体" w:hAnsi="宋体" w:cs="宋体"/>
          <w:color w:val="auto"/>
          <w:kern w:val="0"/>
          <w:sz w:val="36"/>
          <w:szCs w:val="36"/>
          <w:highlight w:val="none"/>
          <w:lang w:eastAsia="zh-CN"/>
        </w:rPr>
        <w:t>天台县里石门水库事务中心</w:t>
      </w:r>
    </w:p>
    <w:p w14:paraId="04CC74F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auto"/>
          <w:kern w:val="0"/>
          <w:sz w:val="36"/>
          <w:szCs w:val="36"/>
          <w:highlight w:val="none"/>
          <w:lang w:eastAsia="zh-CN"/>
        </w:rPr>
      </w:pPr>
      <w:r>
        <w:rPr>
          <w:rFonts w:hint="eastAsia" w:ascii="宋体" w:hAnsi="宋体" w:cs="宋体"/>
          <w:color w:val="auto"/>
          <w:kern w:val="0"/>
          <w:sz w:val="36"/>
          <w:szCs w:val="36"/>
          <w:highlight w:val="none"/>
        </w:rPr>
        <w:t>代理机构：五洲工程顾问集团有限公司</w:t>
      </w:r>
    </w:p>
    <w:p w14:paraId="2AC8AC0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20" w:firstLineChars="200"/>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202</w:t>
      </w:r>
      <w:r>
        <w:rPr>
          <w:rFonts w:hint="eastAsia" w:ascii="宋体" w:hAnsi="宋体" w:cs="宋体"/>
          <w:color w:val="auto"/>
          <w:kern w:val="0"/>
          <w:sz w:val="36"/>
          <w:szCs w:val="36"/>
          <w:highlight w:val="none"/>
          <w:lang w:val="en-US" w:eastAsia="zh-CN"/>
        </w:rPr>
        <w:t>5</w:t>
      </w:r>
      <w:r>
        <w:rPr>
          <w:rFonts w:hint="eastAsia" w:ascii="宋体" w:hAnsi="宋体" w:cs="宋体"/>
          <w:color w:val="auto"/>
          <w:kern w:val="0"/>
          <w:sz w:val="36"/>
          <w:szCs w:val="36"/>
          <w:highlight w:val="none"/>
        </w:rPr>
        <w:t>年</w:t>
      </w:r>
      <w:r>
        <w:rPr>
          <w:rFonts w:hint="eastAsia" w:ascii="宋体" w:hAnsi="宋体" w:cs="宋体"/>
          <w:color w:val="auto"/>
          <w:kern w:val="0"/>
          <w:sz w:val="36"/>
          <w:szCs w:val="36"/>
          <w:highlight w:val="none"/>
          <w:lang w:val="en-US" w:eastAsia="zh-CN"/>
        </w:rPr>
        <w:t>1</w:t>
      </w:r>
      <w:r>
        <w:rPr>
          <w:rFonts w:hint="eastAsia" w:ascii="宋体" w:hAnsi="宋体" w:cs="宋体"/>
          <w:color w:val="auto"/>
          <w:kern w:val="0"/>
          <w:sz w:val="36"/>
          <w:szCs w:val="36"/>
          <w:highlight w:val="none"/>
        </w:rPr>
        <w:t>月</w:t>
      </w:r>
    </w:p>
    <w:p w14:paraId="48F499A7">
      <w:pPr>
        <w:pStyle w:val="17"/>
        <w:rPr>
          <w:rFonts w:ascii="宋体" w:hAnsi="宋体" w:cs="宋体"/>
          <w:color w:val="auto"/>
          <w:kern w:val="0"/>
          <w:sz w:val="36"/>
          <w:szCs w:val="36"/>
          <w:highlight w:val="none"/>
        </w:rPr>
      </w:pPr>
    </w:p>
    <w:p w14:paraId="5B2C90E4">
      <w:pPr>
        <w:pStyle w:val="32"/>
        <w:rPr>
          <w:rFonts w:ascii="宋体" w:hAnsi="宋体" w:cs="宋体"/>
          <w:color w:val="auto"/>
          <w:kern w:val="0"/>
          <w:sz w:val="36"/>
          <w:szCs w:val="36"/>
          <w:highlight w:val="none"/>
        </w:rPr>
      </w:pPr>
    </w:p>
    <w:p w14:paraId="5ADB3C6D">
      <w:pPr>
        <w:rPr>
          <w:color w:val="auto"/>
          <w:highlight w:val="none"/>
        </w:rPr>
      </w:pPr>
    </w:p>
    <w:p w14:paraId="716D6723">
      <w:pPr>
        <w:spacing w:line="360" w:lineRule="auto"/>
        <w:rPr>
          <w:rFonts w:ascii="宋体" w:hAnsi="宋体" w:cs="宋体"/>
          <w:color w:val="auto"/>
          <w:highlight w:val="none"/>
        </w:rPr>
      </w:pPr>
    </w:p>
    <w:sdt>
      <w:sdtPr>
        <w:rPr>
          <w:rFonts w:hint="eastAsia" w:ascii="宋体" w:hAnsi="宋体" w:cs="宋体"/>
          <w:color w:val="auto"/>
          <w:sz w:val="52"/>
          <w:szCs w:val="52"/>
          <w:highlight w:val="none"/>
        </w:rPr>
        <w:id w:val="147457811"/>
        <w:docPartObj>
          <w:docPartGallery w:val="Table of Contents"/>
          <w:docPartUnique/>
        </w:docPartObj>
      </w:sdtPr>
      <w:sdtEndPr>
        <w:rPr>
          <w:rFonts w:hint="eastAsia" w:ascii="宋体" w:hAnsi="宋体" w:cs="宋体"/>
          <w:color w:val="auto"/>
          <w:sz w:val="21"/>
          <w:szCs w:val="24"/>
          <w:highlight w:val="none"/>
        </w:rPr>
      </w:sdtEndPr>
      <w:sdtContent>
        <w:p w14:paraId="3C7DF004">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目 录</w:t>
          </w:r>
        </w:p>
        <w:p w14:paraId="42EB316A">
          <w:pPr>
            <w:pStyle w:val="20"/>
            <w:rPr>
              <w:rFonts w:ascii="宋体" w:hAnsi="宋体" w:cs="宋体"/>
              <w:color w:val="auto"/>
              <w:highlight w:val="none"/>
            </w:rPr>
          </w:pPr>
        </w:p>
        <w:p w14:paraId="4919011C">
          <w:pPr>
            <w:pStyle w:val="31"/>
            <w:tabs>
              <w:tab w:val="right" w:leader="dot" w:pos="9747"/>
            </w:tabs>
            <w:rPr>
              <w:color w:val="auto"/>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"_Toc31032" </w:instrText>
          </w:r>
          <w:r>
            <w:rPr>
              <w:color w:val="auto"/>
              <w:highlight w:val="none"/>
            </w:rPr>
            <w:fldChar w:fldCharType="separate"/>
          </w:r>
          <w:r>
            <w:rPr>
              <w:rFonts w:hint="eastAsia" w:ascii="宋体" w:hAnsi="宋体" w:cs="宋体"/>
              <w:color w:val="auto"/>
              <w:szCs w:val="36"/>
              <w:highlight w:val="none"/>
            </w:rPr>
            <w:t xml:space="preserve">第一章 </w:t>
          </w:r>
          <w:r>
            <w:rPr>
              <w:rFonts w:hint="eastAsia" w:ascii="宋体" w:hAnsi="宋体" w:cs="宋体"/>
              <w:color w:val="auto"/>
              <w:kern w:val="0"/>
              <w:szCs w:val="36"/>
              <w:highlight w:val="none"/>
            </w:rPr>
            <w:t>磋商公告</w:t>
          </w:r>
          <w:r>
            <w:rPr>
              <w:color w:val="auto"/>
              <w:highlight w:val="none"/>
            </w:rPr>
            <w:tab/>
          </w:r>
          <w:r>
            <w:rPr>
              <w:color w:val="auto"/>
              <w:highlight w:val="none"/>
            </w:rPr>
            <w:fldChar w:fldCharType="begin"/>
          </w:r>
          <w:r>
            <w:rPr>
              <w:color w:val="auto"/>
              <w:highlight w:val="none"/>
            </w:rPr>
            <w:instrText xml:space="preserve"> PAGEREF _Toc31032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1B69955">
          <w:pPr>
            <w:pStyle w:val="31"/>
            <w:tabs>
              <w:tab w:val="right" w:leader="dot" w:pos="9747"/>
            </w:tabs>
            <w:rPr>
              <w:color w:val="auto"/>
              <w:highlight w:val="none"/>
            </w:rPr>
          </w:pPr>
          <w:r>
            <w:rPr>
              <w:color w:val="auto"/>
              <w:highlight w:val="none"/>
            </w:rPr>
            <w:fldChar w:fldCharType="begin"/>
          </w:r>
          <w:r>
            <w:rPr>
              <w:color w:val="auto"/>
              <w:highlight w:val="none"/>
            </w:rPr>
            <w:instrText xml:space="preserve"> HYPERLINK \l "_Toc5721" </w:instrText>
          </w:r>
          <w:r>
            <w:rPr>
              <w:color w:val="auto"/>
              <w:highlight w:val="none"/>
            </w:rPr>
            <w:fldChar w:fldCharType="separate"/>
          </w:r>
          <w:r>
            <w:rPr>
              <w:rFonts w:hint="eastAsia" w:ascii="宋体" w:hAnsi="宋体" w:cs="宋体"/>
              <w:color w:val="auto"/>
              <w:szCs w:val="36"/>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_Toc5721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BB08649">
          <w:pPr>
            <w:pStyle w:val="31"/>
            <w:tabs>
              <w:tab w:val="right" w:leader="dot" w:pos="9747"/>
            </w:tabs>
            <w:rPr>
              <w:color w:val="auto"/>
              <w:highlight w:val="none"/>
            </w:rPr>
          </w:pPr>
          <w:r>
            <w:rPr>
              <w:color w:val="auto"/>
              <w:highlight w:val="none"/>
            </w:rPr>
            <w:fldChar w:fldCharType="begin"/>
          </w:r>
          <w:r>
            <w:rPr>
              <w:color w:val="auto"/>
              <w:highlight w:val="none"/>
            </w:rPr>
            <w:instrText xml:space="preserve"> HYPERLINK \l "_Toc1867" </w:instrText>
          </w:r>
          <w:r>
            <w:rPr>
              <w:color w:val="auto"/>
              <w:highlight w:val="none"/>
            </w:rPr>
            <w:fldChar w:fldCharType="separate"/>
          </w:r>
          <w:r>
            <w:rPr>
              <w:rFonts w:hint="eastAsia" w:ascii="宋体" w:hAnsi="宋体" w:cs="宋体"/>
              <w:color w:val="auto"/>
              <w:szCs w:val="36"/>
              <w:highlight w:val="none"/>
            </w:rPr>
            <w:t>第三章 项目需求</w:t>
          </w:r>
          <w:r>
            <w:rPr>
              <w:color w:val="auto"/>
              <w:highlight w:val="none"/>
            </w:rPr>
            <w:tab/>
          </w:r>
          <w:r>
            <w:rPr>
              <w:color w:val="auto"/>
              <w:highlight w:val="none"/>
            </w:rPr>
            <w:fldChar w:fldCharType="begin"/>
          </w:r>
          <w:r>
            <w:rPr>
              <w:color w:val="auto"/>
              <w:highlight w:val="none"/>
            </w:rPr>
            <w:instrText xml:space="preserve"> PAGEREF _Toc1867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4A03ADC">
          <w:pPr>
            <w:pStyle w:val="31"/>
            <w:tabs>
              <w:tab w:val="right" w:leader="dot" w:pos="9747"/>
            </w:tabs>
            <w:rPr>
              <w:color w:val="auto"/>
              <w:highlight w:val="none"/>
            </w:rPr>
          </w:pPr>
          <w:r>
            <w:rPr>
              <w:color w:val="auto"/>
              <w:highlight w:val="none"/>
            </w:rPr>
            <w:fldChar w:fldCharType="begin"/>
          </w:r>
          <w:r>
            <w:rPr>
              <w:color w:val="auto"/>
              <w:highlight w:val="none"/>
            </w:rPr>
            <w:instrText xml:space="preserve"> HYPERLINK \l "_Toc16486" </w:instrText>
          </w:r>
          <w:r>
            <w:rPr>
              <w:color w:val="auto"/>
              <w:highlight w:val="none"/>
            </w:rPr>
            <w:fldChar w:fldCharType="separate"/>
          </w:r>
          <w:r>
            <w:rPr>
              <w:rFonts w:hint="eastAsia" w:ascii="宋体" w:hAnsi="宋体" w:cs="宋体"/>
              <w:color w:val="auto"/>
              <w:szCs w:val="36"/>
              <w:highlight w:val="none"/>
            </w:rPr>
            <w:t>第四章 磋商</w:t>
          </w:r>
          <w:r>
            <w:rPr>
              <w:color w:val="auto"/>
              <w:highlight w:val="none"/>
            </w:rPr>
            <w:tab/>
          </w:r>
          <w:r>
            <w:rPr>
              <w:color w:val="auto"/>
              <w:highlight w:val="none"/>
            </w:rPr>
            <w:fldChar w:fldCharType="begin"/>
          </w:r>
          <w:r>
            <w:rPr>
              <w:color w:val="auto"/>
              <w:highlight w:val="none"/>
            </w:rPr>
            <w:instrText xml:space="preserve"> PAGEREF _Toc16486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AC04309">
          <w:pPr>
            <w:pStyle w:val="31"/>
            <w:tabs>
              <w:tab w:val="right" w:leader="dot" w:pos="9747"/>
            </w:tabs>
            <w:rPr>
              <w:color w:val="auto"/>
              <w:highlight w:val="none"/>
            </w:rPr>
          </w:pPr>
          <w:r>
            <w:rPr>
              <w:color w:val="auto"/>
              <w:highlight w:val="none"/>
            </w:rPr>
            <w:fldChar w:fldCharType="begin"/>
          </w:r>
          <w:r>
            <w:rPr>
              <w:color w:val="auto"/>
              <w:highlight w:val="none"/>
            </w:rPr>
            <w:instrText xml:space="preserve"> HYPERLINK \l "_Toc621" </w:instrText>
          </w:r>
          <w:r>
            <w:rPr>
              <w:color w:val="auto"/>
              <w:highlight w:val="none"/>
            </w:rPr>
            <w:fldChar w:fldCharType="separate"/>
          </w:r>
          <w:r>
            <w:rPr>
              <w:rFonts w:hint="eastAsia" w:ascii="宋体" w:hAnsi="宋体" w:cs="宋体"/>
              <w:color w:val="auto"/>
              <w:kern w:val="44"/>
              <w:szCs w:val="44"/>
              <w:highlight w:val="none"/>
            </w:rPr>
            <w:t>第五章  拟签订合同</w:t>
          </w:r>
          <w:r>
            <w:rPr>
              <w:color w:val="auto"/>
              <w:highlight w:val="none"/>
            </w:rPr>
            <w:tab/>
          </w:r>
          <w:r>
            <w:rPr>
              <w:color w:val="auto"/>
              <w:highlight w:val="none"/>
            </w:rPr>
            <w:fldChar w:fldCharType="begin"/>
          </w:r>
          <w:r>
            <w:rPr>
              <w:color w:val="auto"/>
              <w:highlight w:val="none"/>
            </w:rPr>
            <w:instrText xml:space="preserve"> PAGEREF _Toc621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2A2635D0">
          <w:pPr>
            <w:pStyle w:val="31"/>
            <w:tabs>
              <w:tab w:val="right" w:leader="dot" w:pos="9747"/>
            </w:tabs>
            <w:rPr>
              <w:color w:val="auto"/>
              <w:highlight w:val="none"/>
            </w:rPr>
          </w:pPr>
          <w:r>
            <w:rPr>
              <w:color w:val="auto"/>
              <w:highlight w:val="none"/>
            </w:rPr>
            <w:fldChar w:fldCharType="begin"/>
          </w:r>
          <w:r>
            <w:rPr>
              <w:color w:val="auto"/>
              <w:highlight w:val="none"/>
            </w:rPr>
            <w:instrText xml:space="preserve"> HYPERLINK \l "_Toc21311" </w:instrText>
          </w:r>
          <w:r>
            <w:rPr>
              <w:color w:val="auto"/>
              <w:highlight w:val="none"/>
            </w:rPr>
            <w:fldChar w:fldCharType="separate"/>
          </w:r>
          <w:r>
            <w:rPr>
              <w:rFonts w:hint="eastAsia" w:ascii="宋体" w:hAnsi="宋体" w:cs="宋体"/>
              <w:color w:val="auto"/>
              <w:szCs w:val="36"/>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_Toc21311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0229335B">
          <w:pPr>
            <w:spacing w:line="360" w:lineRule="auto"/>
            <w:rPr>
              <w:rFonts w:ascii="宋体" w:hAnsi="宋体" w:cs="宋体"/>
              <w:color w:val="auto"/>
              <w:highlight w:val="none"/>
            </w:rPr>
          </w:pPr>
          <w:r>
            <w:rPr>
              <w:rFonts w:hint="eastAsia" w:ascii="宋体" w:hAnsi="宋体" w:cs="宋体"/>
              <w:bCs/>
              <w:color w:val="auto"/>
              <w:szCs w:val="32"/>
              <w:highlight w:val="none"/>
            </w:rPr>
            <w:fldChar w:fldCharType="end"/>
          </w:r>
        </w:p>
      </w:sdtContent>
    </w:sdt>
    <w:p w14:paraId="61FF902F">
      <w:pPr>
        <w:spacing w:line="360" w:lineRule="auto"/>
        <w:rPr>
          <w:rFonts w:ascii="宋体" w:hAnsi="宋体" w:cs="宋体"/>
          <w:color w:val="auto"/>
          <w:highlight w:val="none"/>
        </w:rPr>
      </w:pPr>
    </w:p>
    <w:p w14:paraId="7D201F84">
      <w:pPr>
        <w:widowControl/>
        <w:jc w:val="left"/>
        <w:rPr>
          <w:rFonts w:ascii="宋体" w:hAnsi="宋体" w:cs="宋体"/>
          <w:color w:val="auto"/>
          <w:highlight w:val="none"/>
        </w:rPr>
      </w:pPr>
      <w:r>
        <w:rPr>
          <w:rFonts w:hint="eastAsia" w:ascii="宋体" w:hAnsi="宋体" w:cs="宋体"/>
          <w:color w:val="auto"/>
          <w:highlight w:val="none"/>
        </w:rPr>
        <w:br w:type="page"/>
      </w:r>
    </w:p>
    <w:p w14:paraId="3C5B1D02">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highlight w:val="none"/>
        </w:rPr>
      </w:pPr>
      <w:bookmarkStart w:id="0" w:name="_Toc31032"/>
      <w:r>
        <w:rPr>
          <w:rFonts w:hint="eastAsia" w:ascii="宋体" w:hAnsi="宋体" w:cs="宋体"/>
          <w:b/>
          <w:color w:val="auto"/>
          <w:kern w:val="0"/>
          <w:sz w:val="36"/>
          <w:szCs w:val="36"/>
          <w:highlight w:val="none"/>
        </w:rPr>
        <w:t>磋商公告</w:t>
      </w:r>
      <w:bookmarkEnd w:id="0"/>
    </w:p>
    <w:tbl>
      <w:tblPr>
        <w:tblStyle w:val="4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14:paraId="1C5C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14:paraId="7D304434">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项目概况</w:t>
            </w:r>
          </w:p>
          <w:p w14:paraId="5640E5DA">
            <w:pPr>
              <w:wordWrap w:val="0"/>
              <w:spacing w:line="340" w:lineRule="exact"/>
              <w:ind w:firstLine="420" w:firstLineChars="200"/>
              <w:jc w:val="left"/>
              <w:rPr>
                <w:rFonts w:ascii="宋体" w:hAnsi="宋体" w:cs="宋体"/>
                <w:color w:val="auto"/>
                <w:kern w:val="0"/>
                <w:szCs w:val="21"/>
                <w:highlight w:val="none"/>
              </w:rPr>
            </w:pPr>
            <w:bookmarkStart w:id="1" w:name="_Toc28359087"/>
            <w:bookmarkStart w:id="2" w:name="_Toc28359010"/>
            <w:r>
              <w:rPr>
                <w:rFonts w:hint="eastAsia" w:ascii="宋体" w:hAnsi="宋体" w:cs="宋体"/>
                <w:color w:val="auto"/>
                <w:szCs w:val="21"/>
                <w:highlight w:val="none"/>
                <w:lang w:eastAsia="zh-CN"/>
              </w:rPr>
              <w:t>天台县红旗渡槽槽渠和槽身砌石修缮保护工程（第三次）</w:t>
            </w:r>
            <w:r>
              <w:rPr>
                <w:rFonts w:hint="eastAsia" w:ascii="宋体" w:hAnsi="宋体" w:cs="宋体"/>
                <w:color w:val="auto"/>
                <w:szCs w:val="21"/>
                <w:highlight w:val="none"/>
              </w:rPr>
              <w:t>采购项目的潜在供应商应在政采云平台线上获取获取（下载）采购文件，并于</w:t>
            </w:r>
            <w:r>
              <w:rPr>
                <w:rFonts w:hint="eastAsia" w:ascii="宋体" w:hAnsi="宋体" w:cs="宋体"/>
                <w:color w:val="auto"/>
                <w:szCs w:val="21"/>
                <w:highlight w:val="yellow"/>
              </w:rPr>
              <w:t>202</w:t>
            </w:r>
            <w:r>
              <w:rPr>
                <w:rFonts w:hint="eastAsia" w:ascii="宋体" w:hAnsi="宋体" w:cs="宋体"/>
                <w:color w:val="auto"/>
                <w:szCs w:val="21"/>
                <w:highlight w:val="yellow"/>
                <w:lang w:val="en-US" w:eastAsia="zh-CN"/>
              </w:rPr>
              <w:t>5</w:t>
            </w:r>
            <w:r>
              <w:rPr>
                <w:rFonts w:hint="eastAsia" w:ascii="宋体" w:hAnsi="宋体" w:cs="宋体"/>
                <w:color w:val="auto"/>
                <w:szCs w:val="21"/>
                <w:highlight w:val="yellow"/>
              </w:rPr>
              <w:t>年</w:t>
            </w:r>
            <w:r>
              <w:rPr>
                <w:rFonts w:hint="eastAsia" w:ascii="宋体" w:hAnsi="宋体" w:cs="宋体"/>
                <w:color w:val="auto"/>
                <w:szCs w:val="21"/>
                <w:highlight w:val="yellow"/>
                <w:lang w:val="en-US" w:eastAsia="zh-CN"/>
              </w:rPr>
              <w:t xml:space="preserve"> 1 </w:t>
            </w:r>
            <w:r>
              <w:rPr>
                <w:rFonts w:hint="eastAsia" w:ascii="宋体" w:hAnsi="宋体" w:cs="宋体"/>
                <w:color w:val="auto"/>
                <w:szCs w:val="21"/>
                <w:highlight w:val="yellow"/>
              </w:rPr>
              <w:t>月</w:t>
            </w:r>
            <w:r>
              <w:rPr>
                <w:rFonts w:hint="eastAsia" w:ascii="宋体" w:hAnsi="宋体" w:cs="宋体"/>
                <w:color w:val="auto"/>
                <w:szCs w:val="21"/>
                <w:highlight w:val="yellow"/>
                <w:lang w:val="en-US" w:eastAsia="zh-CN"/>
              </w:rPr>
              <w:t xml:space="preserve">  23 </w:t>
            </w:r>
            <w:r>
              <w:rPr>
                <w:rFonts w:hint="eastAsia" w:ascii="宋体" w:hAnsi="宋体" w:cs="宋体"/>
                <w:color w:val="auto"/>
                <w:szCs w:val="21"/>
                <w:highlight w:val="yellow"/>
              </w:rPr>
              <w:t xml:space="preserve">日 </w:t>
            </w:r>
            <w:r>
              <w:rPr>
                <w:rFonts w:hint="eastAsia" w:ascii="宋体" w:hAnsi="宋体" w:cs="宋体"/>
                <w:color w:val="auto"/>
                <w:szCs w:val="21"/>
                <w:highlight w:val="yellow"/>
                <w:lang w:val="en-US" w:eastAsia="zh-CN"/>
              </w:rPr>
              <w:t>9</w:t>
            </w:r>
            <w:r>
              <w:rPr>
                <w:rFonts w:hint="eastAsia" w:ascii="宋体" w:hAnsi="宋体" w:cs="宋体"/>
                <w:color w:val="auto"/>
                <w:szCs w:val="21"/>
                <w:highlight w:val="yellow"/>
              </w:rPr>
              <w:t>:</w:t>
            </w:r>
            <w:r>
              <w:rPr>
                <w:rFonts w:hint="eastAsia" w:ascii="宋体" w:hAnsi="宋体" w:cs="宋体"/>
                <w:color w:val="auto"/>
                <w:szCs w:val="21"/>
                <w:highlight w:val="yellow"/>
                <w:lang w:val="en-US" w:eastAsia="zh-CN"/>
              </w:rPr>
              <w:t>0</w:t>
            </w:r>
            <w:r>
              <w:rPr>
                <w:rFonts w:hint="eastAsia" w:ascii="宋体" w:hAnsi="宋体" w:cs="宋体"/>
                <w:color w:val="auto"/>
                <w:szCs w:val="21"/>
                <w:highlight w:val="yellow"/>
              </w:rPr>
              <w:t>0</w:t>
            </w:r>
            <w:r>
              <w:rPr>
                <w:rFonts w:hint="eastAsia" w:ascii="宋体" w:hAnsi="宋体" w:cs="宋体"/>
                <w:color w:val="auto"/>
                <w:szCs w:val="21"/>
                <w:highlight w:val="none"/>
              </w:rPr>
              <w:t>（北京时间）前提交（上传）响应文件。</w:t>
            </w:r>
          </w:p>
        </w:tc>
      </w:tr>
    </w:tbl>
    <w:p w14:paraId="3DB2E706">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一、项目基本情况</w:t>
      </w:r>
    </w:p>
    <w:p w14:paraId="5E380908">
      <w:pPr>
        <w:widowControl/>
        <w:adjustRightInd w:val="0"/>
        <w:snapToGrid w:val="0"/>
        <w:spacing w:line="360" w:lineRule="auto"/>
        <w:ind w:firstLine="210" w:firstLineChars="1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项目编号：WZPM-2024-04</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eastAsia="zh-CN"/>
        </w:rPr>
        <w:t>）</w:t>
      </w:r>
    </w:p>
    <w:p w14:paraId="74786EBC">
      <w:pPr>
        <w:widowControl/>
        <w:adjustRightInd w:val="0"/>
        <w:snapToGrid w:val="0"/>
        <w:spacing w:line="360" w:lineRule="auto"/>
        <w:ind w:firstLine="210" w:firstLineChars="1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天台县红旗渡槽槽渠和槽身砌石修缮保护工程（第三次）</w:t>
      </w:r>
    </w:p>
    <w:p w14:paraId="718CF7E4">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采购方式：竞争性磋商</w:t>
      </w:r>
    </w:p>
    <w:p w14:paraId="36CAFD9D">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预算审核金额（元）：1318607</w:t>
      </w:r>
    </w:p>
    <w:p w14:paraId="27FF4762">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最高限价（元）：1318607</w:t>
      </w:r>
    </w:p>
    <w:p w14:paraId="1F2A8A8C">
      <w:pPr>
        <w:autoSpaceDE/>
        <w:autoSpaceDN/>
        <w:snapToGrid w:val="0"/>
        <w:spacing w:line="360" w:lineRule="auto"/>
        <w:ind w:firstLine="210" w:firstLineChars="100"/>
        <w:textAlignment w:val="auto"/>
        <w:outlineLvl w:val="9"/>
        <w:rPr>
          <w:rFonts w:ascii="宋体" w:hAnsi="宋体" w:cs="宋体"/>
          <w:color w:val="auto"/>
          <w:kern w:val="0"/>
          <w:highlight w:val="none"/>
        </w:rPr>
      </w:pPr>
      <w:r>
        <w:rPr>
          <w:rFonts w:hint="eastAsia" w:ascii="宋体" w:hAnsi="宋体" w:cs="宋体"/>
          <w:color w:val="auto"/>
          <w:kern w:val="0"/>
          <w:highlight w:val="none"/>
        </w:rPr>
        <w:t>采购需求：</w:t>
      </w:r>
      <w:r>
        <w:rPr>
          <w:rFonts w:hint="eastAsia" w:ascii="宋体" w:hAnsi="宋体" w:cs="宋体"/>
          <w:color w:val="auto"/>
          <w:kern w:val="0"/>
          <w:highlight w:val="none"/>
          <w:lang w:val="en-US" w:eastAsia="zh-CN"/>
        </w:rPr>
        <w:t>浙</w:t>
      </w:r>
      <w:r>
        <w:rPr>
          <w:rFonts w:hint="eastAsia" w:ascii="Times New Roman" w:hAnsi="Times New Roman" w:eastAsia="宋体" w:cs="Times New Roman"/>
          <w:color w:val="auto"/>
          <w:sz w:val="21"/>
          <w:szCs w:val="21"/>
          <w:highlight w:val="none"/>
          <w:lang w:val="en-US" w:eastAsia="zh-CN"/>
        </w:rPr>
        <w:t>江省天台县红旗渡槽水利工程始建于1977年，位于白鹤镇，西起新楼村，东至溪东村，变截面悬链线浆砌石拱结构，全长797.5米，渡槽大拱拱带和槽身分别以苍南绿色条石及大地林产的浅红色岩材砌成，槽身顶部盖板为混凝土构造，外侧混凝土圈梁，盖板上方栏杆和望柱均为钢筋混凝土构造。现对其进行修缮保护。主要内容包括：漕渠防水、注浆加固、植物清理、表面防水加固防潮实验、渗漏点位勘察、槽身砌石外鼓情况勘察、砌石风化情况检测、砌石成分分析等。</w:t>
      </w:r>
    </w:p>
    <w:p w14:paraId="5066AC91">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 xml:space="preserve">备注： </w:t>
      </w:r>
    </w:p>
    <w:p w14:paraId="1D765AE2">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合同履约期限：不超过</w:t>
      </w:r>
      <w:r>
        <w:rPr>
          <w:rFonts w:hint="eastAsia" w:ascii="宋体" w:hAnsi="宋体" w:cs="宋体"/>
          <w:color w:val="auto"/>
          <w:kern w:val="0"/>
          <w:highlight w:val="none"/>
          <w:lang w:val="en-US" w:eastAsia="zh-CN"/>
        </w:rPr>
        <w:t>90</w:t>
      </w:r>
      <w:r>
        <w:rPr>
          <w:rFonts w:hint="eastAsia" w:ascii="宋体" w:hAnsi="宋体" w:cs="宋体"/>
          <w:color w:val="auto"/>
          <w:kern w:val="0"/>
          <w:highlight w:val="none"/>
        </w:rPr>
        <w:t>日历天（需在响应文件中明确天数）</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须在2025年4月15日前完工</w:t>
      </w:r>
      <w:r>
        <w:rPr>
          <w:rFonts w:hint="eastAsia" w:ascii="宋体" w:hAnsi="宋体" w:cs="宋体"/>
          <w:color w:val="auto"/>
          <w:kern w:val="0"/>
          <w:highlight w:val="none"/>
        </w:rPr>
        <w:t>。</w:t>
      </w:r>
    </w:p>
    <w:p w14:paraId="7EE373E3">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本项目（</w:t>
      </w:r>
      <w:r>
        <w:rPr>
          <w:rFonts w:hint="eastAsia" w:ascii="宋体" w:hAnsi="宋体" w:cs="宋体"/>
          <w:color w:val="auto"/>
          <w:kern w:val="0"/>
          <w:highlight w:val="none"/>
          <w:lang w:val="en-US" w:eastAsia="zh-CN"/>
        </w:rPr>
        <w:t>是</w:t>
      </w:r>
      <w:r>
        <w:rPr>
          <w:rFonts w:hint="eastAsia" w:ascii="宋体" w:hAnsi="宋体" w:cs="宋体"/>
          <w:color w:val="auto"/>
          <w:kern w:val="0"/>
          <w:highlight w:val="none"/>
        </w:rPr>
        <w:t>）接受联合体投标。</w:t>
      </w:r>
    </w:p>
    <w:p w14:paraId="486C965A">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二、申请人的资格要求：</w:t>
      </w:r>
    </w:p>
    <w:p w14:paraId="178639C6">
      <w:pPr>
        <w:widowControl/>
        <w:wordWrap w:val="0"/>
        <w:spacing w:line="380" w:lineRule="exact"/>
        <w:ind w:firstLine="315" w:firstLineChars="150"/>
        <w:jc w:val="left"/>
        <w:rPr>
          <w:rFonts w:ascii="宋体" w:hAnsi="宋体" w:cs="宋体"/>
          <w:color w:val="auto"/>
          <w:kern w:val="0"/>
          <w:szCs w:val="21"/>
          <w:highlight w:val="none"/>
        </w:rPr>
      </w:pPr>
      <w:r>
        <w:rPr>
          <w:rFonts w:ascii="宋体" w:hAnsi="宋体" w:cs="宋体"/>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62ADB6">
      <w:pPr>
        <w:widowControl/>
        <w:spacing w:line="380" w:lineRule="exact"/>
        <w:ind w:left="525" w:leftChars="200" w:hanging="105" w:hangingChars="50"/>
        <w:jc w:val="left"/>
        <w:rPr>
          <w:rFonts w:ascii="宋体" w:hAnsi="宋体" w:cs="宋体"/>
          <w:color w:val="auto"/>
          <w:kern w:val="0"/>
          <w:szCs w:val="21"/>
          <w:highlight w:val="none"/>
        </w:rPr>
      </w:pPr>
      <w:r>
        <w:rPr>
          <w:rFonts w:ascii="宋体" w:hAnsi="宋体" w:cs="宋体"/>
          <w:color w:val="auto"/>
          <w:kern w:val="0"/>
          <w:szCs w:val="21"/>
          <w:highlight w:val="none"/>
        </w:rPr>
        <w:t>2.落实政府采购政策需满足的资格要求：</w:t>
      </w:r>
      <w:r>
        <w:rPr>
          <w:rFonts w:hint="eastAsia" w:ascii="宋体" w:hAnsi="宋体" w:eastAsia="宋体" w:cs="宋体"/>
          <w:color w:val="auto"/>
          <w:kern w:val="0"/>
          <w:szCs w:val="21"/>
          <w:highlight w:val="none"/>
          <w:lang w:eastAsia="zh-CN"/>
        </w:rPr>
        <w:t>专门面向中小企业采购（监狱企业、残疾人福利性单位视同中小型企业）</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联合体投标的双方均需满足</w:t>
      </w:r>
      <w:r>
        <w:rPr>
          <w:rFonts w:hint="eastAsia" w:cs="宋体" w:asciiTheme="minorEastAsia" w:hAnsiTheme="minorEastAsia" w:eastAsiaTheme="minorEastAsia"/>
          <w:color w:val="auto"/>
          <w:sz w:val="21"/>
          <w:szCs w:val="21"/>
          <w:highlight w:val="none"/>
          <w:lang w:eastAsia="zh-CN"/>
        </w:rPr>
        <w:t>）</w:t>
      </w:r>
      <w:r>
        <w:rPr>
          <w:rFonts w:hint="eastAsia" w:ascii="宋体" w:hAnsi="宋体" w:eastAsia="宋体" w:cs="宋体"/>
          <w:color w:val="auto"/>
          <w:kern w:val="0"/>
          <w:szCs w:val="21"/>
          <w:highlight w:val="none"/>
          <w:lang w:eastAsia="zh-CN"/>
        </w:rPr>
        <w:t>。</w:t>
      </w:r>
    </w:p>
    <w:p w14:paraId="316ACA70">
      <w:pPr>
        <w:widowControl/>
        <w:spacing w:line="380" w:lineRule="exac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3.本项目的特定资格要求：</w:t>
      </w:r>
    </w:p>
    <w:p w14:paraId="0FAA7B23">
      <w:pPr>
        <w:pStyle w:val="38"/>
        <w:spacing w:before="0" w:beforeAutospacing="0" w:after="0" w:afterAutospacing="0" w:line="380" w:lineRule="exact"/>
        <w:ind w:firstLine="420" w:firstLineChars="200"/>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（1）</w:t>
      </w:r>
      <w:r>
        <w:rPr>
          <w:rFonts w:hint="eastAsia" w:cs="宋体"/>
          <w:color w:val="auto"/>
          <w:sz w:val="21"/>
          <w:szCs w:val="21"/>
          <w:highlight w:val="none"/>
          <w:lang w:val="en-US" w:eastAsia="zh-CN"/>
        </w:rPr>
        <w:t>供应商</w:t>
      </w:r>
      <w:r>
        <w:rPr>
          <w:rFonts w:hint="eastAsia" w:cs="宋体"/>
          <w:color w:val="auto"/>
          <w:sz w:val="21"/>
          <w:szCs w:val="21"/>
          <w:highlight w:val="none"/>
        </w:rPr>
        <w:t>同时具有国家文物局</w:t>
      </w:r>
      <w:r>
        <w:rPr>
          <w:rFonts w:hint="eastAsia" w:cs="宋体"/>
          <w:color w:val="auto"/>
          <w:sz w:val="21"/>
          <w:szCs w:val="21"/>
          <w:highlight w:val="none"/>
          <w:lang w:eastAsia="zh-CN"/>
        </w:rPr>
        <w:t>（</w:t>
      </w:r>
      <w:r>
        <w:rPr>
          <w:rFonts w:hint="eastAsia" w:cs="宋体"/>
          <w:color w:val="auto"/>
          <w:sz w:val="21"/>
          <w:szCs w:val="21"/>
          <w:highlight w:val="none"/>
        </w:rPr>
        <w:t>或省级文物行政部门</w:t>
      </w:r>
      <w:r>
        <w:rPr>
          <w:rFonts w:hint="eastAsia" w:cs="宋体"/>
          <w:color w:val="auto"/>
          <w:sz w:val="21"/>
          <w:szCs w:val="21"/>
          <w:highlight w:val="none"/>
          <w:lang w:eastAsia="zh-CN"/>
        </w:rPr>
        <w:t>）</w:t>
      </w:r>
      <w:r>
        <w:rPr>
          <w:rFonts w:hint="eastAsia" w:cs="宋体"/>
          <w:color w:val="auto"/>
          <w:sz w:val="21"/>
          <w:szCs w:val="21"/>
          <w:highlight w:val="none"/>
        </w:rPr>
        <w:t>颁发的文物保护工程施工二级及以上资质和水利水电工程施工总承包三级及以上资质</w:t>
      </w:r>
      <w:r>
        <w:rPr>
          <w:rFonts w:cs="宋体" w:asciiTheme="minorEastAsia" w:hAnsiTheme="minorEastAsia" w:eastAsiaTheme="minorEastAsia"/>
          <w:color w:val="auto"/>
          <w:sz w:val="21"/>
          <w:szCs w:val="21"/>
          <w:highlight w:val="none"/>
        </w:rPr>
        <w:t>；</w:t>
      </w:r>
    </w:p>
    <w:p w14:paraId="58459583">
      <w:pPr>
        <w:widowControl/>
        <w:spacing w:line="380" w:lineRule="exact"/>
        <w:ind w:firstLine="420" w:firstLineChars="200"/>
        <w:jc w:val="left"/>
        <w:rPr>
          <w:rFonts w:hint="eastAsia" w:cs="宋体" w:asciiTheme="minorEastAsia" w:hAnsiTheme="minorEastAsia" w:eastAsiaTheme="minorEastAsia"/>
          <w:color w:val="auto"/>
          <w:sz w:val="21"/>
          <w:szCs w:val="21"/>
          <w:highlight w:val="none"/>
          <w:lang w:eastAsia="zh-CN"/>
        </w:rPr>
      </w:pPr>
      <w:r>
        <w:rPr>
          <w:rFonts w:cs="宋体" w:asciiTheme="minorEastAsia" w:hAnsiTheme="minorEastAsia" w:eastAsiaTheme="minorEastAsia"/>
          <w:color w:val="auto"/>
          <w:sz w:val="21"/>
          <w:szCs w:val="21"/>
          <w:highlight w:val="none"/>
        </w:rPr>
        <w:t>（2）具有有效的企业《安全生产许可证》；</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联合体投标的双方均提供</w:t>
      </w:r>
      <w:r>
        <w:rPr>
          <w:rFonts w:hint="eastAsia" w:cs="宋体" w:asciiTheme="minorEastAsia" w:hAnsiTheme="minorEastAsia" w:eastAsiaTheme="minorEastAsia"/>
          <w:color w:val="auto"/>
          <w:sz w:val="21"/>
          <w:szCs w:val="21"/>
          <w:highlight w:val="none"/>
          <w:lang w:eastAsia="zh-CN"/>
        </w:rPr>
        <w:t>）</w:t>
      </w:r>
    </w:p>
    <w:p w14:paraId="01C8EC8B">
      <w:pPr>
        <w:widowControl/>
        <w:spacing w:line="38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）浙江省省外的投标人须提供有效的《省外企业进浙承接业务备案表》；</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联合体投标的双方均提供</w:t>
      </w:r>
      <w:r>
        <w:rPr>
          <w:rFonts w:hint="eastAsia" w:cs="宋体" w:asciiTheme="minorEastAsia" w:hAnsiTheme="minorEastAsia" w:eastAsiaTheme="minorEastAsia"/>
          <w:color w:val="auto"/>
          <w:sz w:val="21"/>
          <w:szCs w:val="21"/>
          <w:highlight w:val="none"/>
          <w:lang w:eastAsia="zh-CN"/>
        </w:rPr>
        <w:t>）</w:t>
      </w:r>
    </w:p>
    <w:p w14:paraId="036E9E78">
      <w:pPr>
        <w:widowControl/>
        <w:spacing w:line="38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本次招标接受联合体投标，联合体投标的应满足下列要求：①联合体投标的，联合体各方应签订联合体协议书，明确联合体牵头人、各成员单位的权利义务等事项；②联合体成员总数（含牵头人）不得超过2家，且牵头人须具有文物部门颁发的文物保护工程施工二级及以上资质；③联合体各方需具备与所承担工作内容相适应的资质；④联合体各方不得再以自己的名义单独或组建新的联合体参与本合同段投标。</w:t>
      </w:r>
    </w:p>
    <w:p w14:paraId="6B705E5D">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三、获取磋商文件</w:t>
      </w:r>
    </w:p>
    <w:p w14:paraId="19DF77A5">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1、获取时间：磋商公告发布之日起至响应文件递交截止时间前</w:t>
      </w:r>
    </w:p>
    <w:p w14:paraId="162466D9">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2、获取地点：政府采购云平台（www.zcygov.cn）</w:t>
      </w:r>
    </w:p>
    <w:p w14:paraId="328A8A14">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3、获取磋商文件方式：在线获取</w:t>
      </w:r>
    </w:p>
    <w:p w14:paraId="502C43BB">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6EAEC69">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5A3782C6">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注：请供应商按上述要求获取磋商文件，如未在“政采云”系统内完成相关流程，引起的响应无效责任自负。</w:t>
      </w:r>
    </w:p>
    <w:p w14:paraId="026FF3C0">
      <w:pPr>
        <w:widowControl/>
        <w:numPr>
          <w:ilvl w:val="0"/>
          <w:numId w:val="5"/>
        </w:numPr>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磋商文件售价：免费（不提供纸质版磋商文件，不收取工本费）。</w:t>
      </w:r>
    </w:p>
    <w:p w14:paraId="47FBD74C">
      <w:pPr>
        <w:widowControl/>
        <w:numPr>
          <w:ilvl w:val="0"/>
          <w:numId w:val="0"/>
        </w:numPr>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 xml:space="preserve">四、响应文件提交（上传） </w:t>
      </w:r>
    </w:p>
    <w:p w14:paraId="1CB0DE65">
      <w:pPr>
        <w:widowControl/>
        <w:adjustRightInd w:val="0"/>
        <w:snapToGrid w:val="0"/>
        <w:spacing w:line="360" w:lineRule="auto"/>
        <w:ind w:firstLine="210" w:firstLineChars="100"/>
        <w:jc w:val="left"/>
        <w:rPr>
          <w:rFonts w:ascii="宋体" w:hAnsi="宋体" w:cs="宋体"/>
          <w:color w:val="auto"/>
          <w:kern w:val="0"/>
          <w:highlight w:val="yellow"/>
        </w:rPr>
      </w:pPr>
      <w:r>
        <w:rPr>
          <w:rFonts w:hint="eastAsia" w:ascii="宋体" w:hAnsi="宋体" w:cs="宋体"/>
          <w:color w:val="auto"/>
          <w:kern w:val="0"/>
          <w:highlight w:val="yellow"/>
        </w:rPr>
        <w:t>截止时间：</w:t>
      </w:r>
      <w:r>
        <w:rPr>
          <w:rFonts w:hint="eastAsia" w:ascii="宋体" w:hAnsi="宋体" w:cs="宋体"/>
          <w:color w:val="auto"/>
          <w:szCs w:val="21"/>
          <w:highlight w:val="yellow"/>
        </w:rPr>
        <w:t>202</w:t>
      </w:r>
      <w:r>
        <w:rPr>
          <w:rFonts w:hint="eastAsia" w:ascii="宋体" w:hAnsi="宋体" w:cs="宋体"/>
          <w:color w:val="auto"/>
          <w:szCs w:val="21"/>
          <w:highlight w:val="yellow"/>
          <w:lang w:val="en-US" w:eastAsia="zh-CN"/>
        </w:rPr>
        <w:t>5</w:t>
      </w:r>
      <w:r>
        <w:rPr>
          <w:rFonts w:hint="eastAsia" w:ascii="宋体" w:hAnsi="宋体" w:cs="宋体"/>
          <w:color w:val="auto"/>
          <w:szCs w:val="21"/>
          <w:highlight w:val="yellow"/>
        </w:rPr>
        <w:t>年</w:t>
      </w:r>
      <w:r>
        <w:rPr>
          <w:rFonts w:hint="eastAsia" w:ascii="宋体" w:hAnsi="宋体" w:cs="宋体"/>
          <w:color w:val="auto"/>
          <w:szCs w:val="21"/>
          <w:highlight w:val="yellow"/>
          <w:lang w:val="en-US" w:eastAsia="zh-CN"/>
        </w:rPr>
        <w:t xml:space="preserve"> 1 </w:t>
      </w:r>
      <w:r>
        <w:rPr>
          <w:rFonts w:hint="eastAsia" w:ascii="宋体" w:hAnsi="宋体" w:cs="宋体"/>
          <w:color w:val="auto"/>
          <w:szCs w:val="21"/>
          <w:highlight w:val="yellow"/>
        </w:rPr>
        <w:t>月</w:t>
      </w:r>
      <w:r>
        <w:rPr>
          <w:rFonts w:hint="eastAsia" w:ascii="宋体" w:hAnsi="宋体" w:cs="宋体"/>
          <w:color w:val="auto"/>
          <w:szCs w:val="21"/>
          <w:highlight w:val="yellow"/>
          <w:lang w:val="en-US" w:eastAsia="zh-CN"/>
        </w:rPr>
        <w:t xml:space="preserve"> 23 </w:t>
      </w:r>
      <w:r>
        <w:rPr>
          <w:rFonts w:hint="eastAsia" w:ascii="宋体" w:hAnsi="宋体" w:cs="宋体"/>
          <w:color w:val="auto"/>
          <w:szCs w:val="21"/>
          <w:highlight w:val="yellow"/>
        </w:rPr>
        <w:t xml:space="preserve">日 </w:t>
      </w:r>
      <w:r>
        <w:rPr>
          <w:rFonts w:hint="eastAsia" w:ascii="宋体" w:hAnsi="宋体" w:cs="宋体"/>
          <w:color w:val="auto"/>
          <w:szCs w:val="21"/>
          <w:highlight w:val="yellow"/>
          <w:lang w:val="en-US" w:eastAsia="zh-CN"/>
        </w:rPr>
        <w:t>9</w:t>
      </w:r>
      <w:r>
        <w:rPr>
          <w:rFonts w:hint="eastAsia" w:ascii="宋体" w:hAnsi="宋体" w:cs="宋体"/>
          <w:color w:val="auto"/>
          <w:szCs w:val="21"/>
          <w:highlight w:val="yellow"/>
        </w:rPr>
        <w:t>:</w:t>
      </w:r>
      <w:r>
        <w:rPr>
          <w:rFonts w:hint="eastAsia" w:ascii="宋体" w:hAnsi="宋体" w:cs="宋体"/>
          <w:color w:val="auto"/>
          <w:szCs w:val="21"/>
          <w:highlight w:val="yellow"/>
          <w:lang w:val="en-US" w:eastAsia="zh-CN"/>
        </w:rPr>
        <w:t>0</w:t>
      </w:r>
      <w:r>
        <w:rPr>
          <w:rFonts w:hint="eastAsia" w:ascii="宋体" w:hAnsi="宋体" w:cs="宋体"/>
          <w:color w:val="auto"/>
          <w:szCs w:val="21"/>
          <w:highlight w:val="yellow"/>
        </w:rPr>
        <w:t>0</w:t>
      </w:r>
      <w:r>
        <w:rPr>
          <w:rFonts w:hint="eastAsia" w:ascii="宋体" w:hAnsi="宋体" w:cs="宋体"/>
          <w:color w:val="auto"/>
          <w:kern w:val="0"/>
          <w:highlight w:val="yellow"/>
        </w:rPr>
        <w:t>（北京时间）</w:t>
      </w:r>
    </w:p>
    <w:p w14:paraId="47EF96D8">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 xml:space="preserve">地点（网址）：请登录政采云投标客户端投标 </w:t>
      </w:r>
    </w:p>
    <w:p w14:paraId="287FC833">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 xml:space="preserve">五、响应文件开启 </w:t>
      </w:r>
    </w:p>
    <w:p w14:paraId="753A7B80">
      <w:pPr>
        <w:widowControl/>
        <w:adjustRightInd w:val="0"/>
        <w:snapToGrid w:val="0"/>
        <w:spacing w:line="360" w:lineRule="auto"/>
        <w:ind w:firstLine="210" w:firstLineChars="100"/>
        <w:jc w:val="left"/>
        <w:rPr>
          <w:rFonts w:ascii="宋体" w:hAnsi="宋体" w:cs="宋体"/>
          <w:color w:val="auto"/>
          <w:kern w:val="0"/>
          <w:highlight w:val="yellow"/>
        </w:rPr>
      </w:pPr>
      <w:r>
        <w:rPr>
          <w:rFonts w:hint="eastAsia" w:ascii="宋体" w:hAnsi="宋体" w:cs="宋体"/>
          <w:color w:val="auto"/>
          <w:kern w:val="0"/>
          <w:highlight w:val="yellow"/>
        </w:rPr>
        <w:t>开启时间：</w:t>
      </w:r>
      <w:r>
        <w:rPr>
          <w:rFonts w:hint="eastAsia" w:ascii="宋体" w:hAnsi="宋体" w:cs="宋体"/>
          <w:color w:val="auto"/>
          <w:szCs w:val="21"/>
          <w:highlight w:val="yellow"/>
        </w:rPr>
        <w:t>202</w:t>
      </w:r>
      <w:r>
        <w:rPr>
          <w:rFonts w:hint="eastAsia" w:ascii="宋体" w:hAnsi="宋体" w:cs="宋体"/>
          <w:color w:val="auto"/>
          <w:szCs w:val="21"/>
          <w:highlight w:val="yellow"/>
          <w:lang w:val="en-US" w:eastAsia="zh-CN"/>
        </w:rPr>
        <w:t>5</w:t>
      </w:r>
      <w:r>
        <w:rPr>
          <w:rFonts w:hint="eastAsia" w:ascii="宋体" w:hAnsi="宋体" w:cs="宋体"/>
          <w:color w:val="auto"/>
          <w:szCs w:val="21"/>
          <w:highlight w:val="yellow"/>
        </w:rPr>
        <w:t>年</w:t>
      </w:r>
      <w:r>
        <w:rPr>
          <w:rFonts w:hint="eastAsia" w:ascii="宋体" w:hAnsi="宋体" w:cs="宋体"/>
          <w:color w:val="auto"/>
          <w:szCs w:val="21"/>
          <w:highlight w:val="yellow"/>
          <w:lang w:val="en-US" w:eastAsia="zh-CN"/>
        </w:rPr>
        <w:t xml:space="preserve"> 1</w:t>
      </w:r>
      <w:r>
        <w:rPr>
          <w:rFonts w:hint="eastAsia" w:ascii="宋体" w:hAnsi="宋体" w:cs="宋体"/>
          <w:color w:val="auto"/>
          <w:szCs w:val="21"/>
          <w:highlight w:val="yellow"/>
        </w:rPr>
        <w:t>月</w:t>
      </w:r>
      <w:r>
        <w:rPr>
          <w:rFonts w:hint="eastAsia" w:ascii="宋体" w:hAnsi="宋体" w:cs="宋体"/>
          <w:color w:val="auto"/>
          <w:szCs w:val="21"/>
          <w:highlight w:val="yellow"/>
          <w:lang w:val="en-US" w:eastAsia="zh-CN"/>
        </w:rPr>
        <w:t xml:space="preserve"> 23 </w:t>
      </w:r>
      <w:r>
        <w:rPr>
          <w:rFonts w:hint="eastAsia" w:ascii="宋体" w:hAnsi="宋体" w:cs="宋体"/>
          <w:color w:val="auto"/>
          <w:szCs w:val="21"/>
          <w:highlight w:val="yellow"/>
        </w:rPr>
        <w:t xml:space="preserve">日 </w:t>
      </w:r>
      <w:r>
        <w:rPr>
          <w:rFonts w:hint="eastAsia" w:ascii="宋体" w:hAnsi="宋体" w:cs="宋体"/>
          <w:color w:val="auto"/>
          <w:szCs w:val="21"/>
          <w:highlight w:val="yellow"/>
          <w:lang w:val="en-US" w:eastAsia="zh-CN"/>
        </w:rPr>
        <w:t>9</w:t>
      </w:r>
      <w:r>
        <w:rPr>
          <w:rFonts w:hint="eastAsia" w:ascii="宋体" w:hAnsi="宋体" w:cs="宋体"/>
          <w:color w:val="auto"/>
          <w:szCs w:val="21"/>
          <w:highlight w:val="yellow"/>
        </w:rPr>
        <w:t>:</w:t>
      </w:r>
      <w:r>
        <w:rPr>
          <w:rFonts w:hint="eastAsia" w:ascii="宋体" w:hAnsi="宋体" w:cs="宋体"/>
          <w:color w:val="auto"/>
          <w:szCs w:val="21"/>
          <w:highlight w:val="yellow"/>
          <w:lang w:val="en-US" w:eastAsia="zh-CN"/>
        </w:rPr>
        <w:t>0</w:t>
      </w:r>
      <w:r>
        <w:rPr>
          <w:rFonts w:hint="eastAsia" w:ascii="宋体" w:hAnsi="宋体" w:cs="宋体"/>
          <w:color w:val="auto"/>
          <w:szCs w:val="21"/>
          <w:highlight w:val="yellow"/>
        </w:rPr>
        <w:t>0</w:t>
      </w:r>
      <w:r>
        <w:rPr>
          <w:rFonts w:hint="eastAsia" w:ascii="宋体" w:hAnsi="宋体" w:cs="宋体"/>
          <w:color w:val="auto"/>
          <w:kern w:val="0"/>
          <w:highlight w:val="yellow"/>
        </w:rPr>
        <w:t>（北京时间）</w:t>
      </w:r>
    </w:p>
    <w:p w14:paraId="506B6F46">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 xml:space="preserve">地点（网址）：在政府采购云平台（www.zcygov.cn）上开启响应文件 </w:t>
      </w:r>
    </w:p>
    <w:p w14:paraId="10BC7411">
      <w:pPr>
        <w:pStyle w:val="51"/>
        <w:ind w:left="0" w:leftChars="0" w:firstLine="0" w:firstLineChars="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开启时间后，待采购组织机构发出解密通知后30分钟内，供应商须登录“政采云”平台，用“项目采购-开标评标”功能解密响应文件。</w:t>
      </w:r>
    </w:p>
    <w:p w14:paraId="6D1B55CE">
      <w:pPr>
        <w:keepNext w:val="0"/>
        <w:keepLines w:val="0"/>
        <w:pageBreakBefore w:val="0"/>
        <w:widowControl/>
        <w:kinsoku/>
        <w:wordWrap/>
        <w:overflowPunct/>
        <w:topLinePunct w:val="0"/>
        <w:autoSpaceDE/>
        <w:autoSpaceDN/>
        <w:bidi w:val="0"/>
        <w:adjustRightInd w:val="0"/>
        <w:snapToGrid w:val="0"/>
        <w:spacing w:before="219" w:beforeLines="50" w:line="360" w:lineRule="auto"/>
        <w:ind w:firstLine="210" w:firstLineChars="100"/>
        <w:jc w:val="left"/>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六、公告期限</w:t>
      </w:r>
    </w:p>
    <w:p w14:paraId="3D5E00C0">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47947FD">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 xml:space="preserve">七、其他补充事宜 </w:t>
      </w:r>
    </w:p>
    <w:p w14:paraId="5991DA11">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　1、电子交易情况说明：</w:t>
      </w:r>
    </w:p>
    <w:p w14:paraId="1B02E4C5">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（1）电子交易：本项目以数据电文形式，依托“政府采购云平台（www.zcygov.cn）”进行电子交易活动，不接受纸质响应文件。</w:t>
      </w:r>
    </w:p>
    <w:p w14:paraId="53611D5E">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2）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758BA0D">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（3）磋商文件的获取：使用账号登录或者短信验证码或者使用CA登录政采云平台；进入“项目采购”应用，在获取采购文件菜单中选择项目，获取采购文件。</w:t>
      </w:r>
    </w:p>
    <w:p w14:paraId="3289242E">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（4）响应文件的制作：在“政采云电子交易客户端”中完成“填写基本信息”、“导入响应文件”、“标书关联”、“标书检查”、“电子签名”、“生成电子标书”等操作。</w:t>
      </w:r>
    </w:p>
    <w:p w14:paraId="5A523AC4">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（5）响应文件的传输递交：供应商在响应文件递交截止时间前将加密的响应文件上传至政府采购云平台，还可以在响应文件递交截止时间前以电子邮件方式提供备份响应文件1份（接收人邮箱：</w:t>
      </w:r>
      <w:r>
        <w:rPr>
          <w:rFonts w:hint="eastAsia" w:ascii="宋体" w:hAnsi="宋体" w:cs="宋体"/>
          <w:color w:val="auto"/>
          <w:kern w:val="0"/>
          <w:highlight w:val="none"/>
          <w:lang w:val="en-US" w:eastAsia="zh-CN"/>
        </w:rPr>
        <w:t>mdh15868814266</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163</w:t>
      </w:r>
      <w:r>
        <w:rPr>
          <w:rFonts w:hint="eastAsia" w:ascii="宋体" w:hAnsi="宋体" w:cs="宋体"/>
          <w:color w:val="auto"/>
          <w:kern w:val="0"/>
          <w:highlight w:val="none"/>
        </w:rPr>
        <w:t>.com，接收人：</w:t>
      </w:r>
      <w:r>
        <w:rPr>
          <w:rFonts w:hint="eastAsia" w:ascii="宋体" w:hAnsi="宋体" w:cs="宋体"/>
          <w:color w:val="auto"/>
          <w:kern w:val="0"/>
          <w:highlight w:val="none"/>
          <w:lang w:val="en-US" w:eastAsia="zh-CN"/>
        </w:rPr>
        <w:t>马工</w:t>
      </w:r>
      <w:r>
        <w:rPr>
          <w:rFonts w:hint="eastAsia" w:ascii="宋体" w:hAnsi="宋体" w:cs="宋体"/>
          <w:color w:val="auto"/>
          <w:kern w:val="0"/>
          <w:highlight w:val="none"/>
        </w:rPr>
        <w:t>，电话：</w:t>
      </w:r>
      <w:r>
        <w:rPr>
          <w:rFonts w:hint="eastAsia" w:ascii="宋体" w:hAnsi="宋体" w:cs="宋体"/>
          <w:color w:val="auto"/>
          <w:kern w:val="0"/>
          <w:highlight w:val="none"/>
          <w:lang w:val="en-US" w:eastAsia="zh-CN"/>
        </w:rPr>
        <w:t>15868814266</w:t>
      </w:r>
      <w:r>
        <w:rPr>
          <w:rFonts w:hint="eastAsia" w:ascii="宋体" w:hAnsi="宋体" w:cs="宋体"/>
          <w:color w:val="auto"/>
          <w:kern w:val="0"/>
          <w:highlight w:val="none"/>
        </w:rPr>
        <w:t>），备份响应文件可以打包压缩并加密，压缩包命名为“XX单位备份响应文件”，加密密码由供应商自行保管（“备份响应文件”由供应商自愿提供，磋商文件不作强制性要求；如不提供或未按要求提供的，当电子响应文件无法解密时，将导致无备份响应文件而失去响应资格）。</w:t>
      </w:r>
    </w:p>
    <w:p w14:paraId="79D574E1">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6）响应文件的解密：供应商按照平台提示和磋商文件的规定在半小时内完成在线解密。通过“政府采购云平台”上传递交的响应文件无法按时解密，响应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响应无效。</w:t>
      </w:r>
    </w:p>
    <w:p w14:paraId="16B6975B">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（7）具体操作指南：详见政采云平台“服务中心-帮助文档-项目采购-操作流程-电子招投标-政府采购项目电子交易管理操作指南-供应商”。</w:t>
      </w:r>
    </w:p>
    <w:p w14:paraId="2C3A7371">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（8）供应商在进行上述操作时，如遇技术问题可登录政采云（https://www.zcygov.cn/），点击右侧咨询小采，获取采小蜜智能服务管家帮助，或拨打政采云服务热线95763获取热线服务帮助。</w:t>
      </w:r>
    </w:p>
    <w:p w14:paraId="3577BF77">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温馨提醒：供应商应提前上传，以便在上传时遇到技术问题，有充足的时间请教平台的技术人员。</w:t>
      </w:r>
    </w:p>
    <w:p w14:paraId="00DACDF5">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2、请供应商于响应文件递交截止时间前将办理磋商事宜人员的法定代表人（负责人）资格证明书或授权委托书发送至指定邮箱</w:t>
      </w:r>
      <w:r>
        <w:rPr>
          <w:rFonts w:hint="eastAsia" w:ascii="宋体" w:hAnsi="宋体" w:cs="宋体"/>
          <w:color w:val="auto"/>
          <w:kern w:val="0"/>
          <w:highlight w:val="none"/>
          <w:lang w:val="en-US" w:eastAsia="zh-CN"/>
        </w:rPr>
        <w:t>mdh15868814266</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163</w:t>
      </w:r>
      <w:r>
        <w:rPr>
          <w:rFonts w:hint="eastAsia" w:ascii="宋体" w:hAnsi="宋体" w:cs="宋体"/>
          <w:color w:val="auto"/>
          <w:kern w:val="0"/>
          <w:highlight w:val="none"/>
        </w:rPr>
        <w:t>.com，并保证其人员电话畅通、网络在线。</w:t>
      </w:r>
    </w:p>
    <w:p w14:paraId="0184B04B">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3、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4个工作日）起7个工作日内且应在响应文件递交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未按规定获取磋商文件或逾期提出的不予受理、答复。</w:t>
      </w:r>
    </w:p>
    <w:p w14:paraId="6A4C5EC6">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6B236033">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5、采购项目需要落实的政府采购政策：本项目为专门面向中小企业采购项目，不再执行价格扣除评审优惠政策；依法落实节能产品政府采购、环境标志产品等政府采购实施的相关规定。</w:t>
      </w:r>
    </w:p>
    <w:p w14:paraId="099D4D9E">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、不见面磋商</w:t>
      </w:r>
    </w:p>
    <w:p w14:paraId="2F8D0DE5">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本项目磋商环节实行全流程电子化，并采取钉钉群交流模式辅助磋商。已依法获取磋商文件并确定参加磋商的供应商（授权代表或法定代表人（负责人）本人）请通过钉钉(DingTalk)软件搜索群号110085002095进入本项目专属交流群，代理机构将依据供应商所发送的法定代表人（负责人）资格证明书或授权委托书进行人员身份确认，审核入群时间为响应文件开启前30分钟内。若供应商未及时加入本项目钉钉群的，视为认可磋商结果，事后不得对采购相关人员、磋商过程和磋商结果提出异议。</w:t>
      </w:r>
    </w:p>
    <w:p w14:paraId="7DE15FE4">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八、凡对本次招标提出询问、质疑、投诉，请按以下方式联系</w:t>
      </w:r>
    </w:p>
    <w:p w14:paraId="03AF7634">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1.采购人信息</w:t>
      </w:r>
    </w:p>
    <w:p w14:paraId="6C763457">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名称：</w:t>
      </w:r>
      <w:r>
        <w:rPr>
          <w:rFonts w:hint="eastAsia" w:ascii="宋体" w:hAnsi="宋体" w:cs="宋体"/>
          <w:color w:val="auto"/>
          <w:kern w:val="0"/>
          <w:highlight w:val="none"/>
          <w:lang w:eastAsia="zh-CN"/>
        </w:rPr>
        <w:t>天台县里石门水库事务中心</w:t>
      </w:r>
      <w:r>
        <w:rPr>
          <w:rFonts w:hint="eastAsia" w:ascii="宋体" w:hAnsi="宋体" w:cs="宋体"/>
          <w:color w:val="auto"/>
          <w:kern w:val="0"/>
          <w:highlight w:val="none"/>
        </w:rPr>
        <w:t xml:space="preserve"> </w:t>
      </w:r>
    </w:p>
    <w:p w14:paraId="6BF20D33">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地址：天台县赤城街道人民西路140号</w:t>
      </w:r>
    </w:p>
    <w:p w14:paraId="42F5FB14">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传真： /</w:t>
      </w:r>
    </w:p>
    <w:p w14:paraId="4D61FDDF">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项目联系人（询问）：</w:t>
      </w:r>
      <w:r>
        <w:rPr>
          <w:rFonts w:hint="eastAsia"/>
          <w:sz w:val="21"/>
          <w:szCs w:val="21"/>
          <w:highlight w:val="none"/>
          <w:u w:val="single"/>
          <w:lang w:val="en-US" w:eastAsia="zh-CN"/>
        </w:rPr>
        <w:t>庞正</w:t>
      </w:r>
    </w:p>
    <w:p w14:paraId="05624A18">
      <w:pPr>
        <w:widowControl/>
        <w:adjustRightInd w:val="0"/>
        <w:snapToGrid w:val="0"/>
        <w:spacing w:line="360" w:lineRule="auto"/>
        <w:ind w:firstLine="210" w:firstLineChars="100"/>
        <w:jc w:val="left"/>
        <w:rPr>
          <w:rFonts w:ascii="宋体" w:hAnsi="宋体" w:cs="宋体"/>
          <w:color w:val="auto"/>
          <w:kern w:val="0"/>
          <w:highlight w:val="none"/>
        </w:rPr>
      </w:pPr>
      <w:r>
        <w:rPr>
          <w:rFonts w:hint="eastAsia" w:ascii="宋体" w:hAnsi="宋体" w:cs="宋体"/>
          <w:color w:val="auto"/>
          <w:kern w:val="0"/>
          <w:highlight w:val="none"/>
        </w:rPr>
        <w:t>项目联系方式（询问）：</w:t>
      </w:r>
      <w:r>
        <w:rPr>
          <w:rFonts w:hint="eastAsia" w:ascii="Times New Roman" w:hAnsi="Times New Roman" w:eastAsia="宋体" w:cs="Times New Roman"/>
          <w:sz w:val="21"/>
          <w:szCs w:val="21"/>
          <w:highlight w:val="none"/>
          <w:u w:val="single"/>
          <w:lang w:eastAsia="zh-CN"/>
        </w:rPr>
        <w:t xml:space="preserve">15968680949 </w:t>
      </w:r>
    </w:p>
    <w:p w14:paraId="323CABB6">
      <w:pPr>
        <w:widowControl/>
        <w:adjustRightInd w:val="0"/>
        <w:snapToGrid w:val="0"/>
        <w:spacing w:line="360" w:lineRule="auto"/>
        <w:ind w:firstLine="210" w:firstLineChars="10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质疑联系人：</w:t>
      </w:r>
      <w:r>
        <w:rPr>
          <w:rFonts w:hint="eastAsia" w:ascii="宋体" w:hAnsi="宋体" w:cs="宋体"/>
          <w:color w:val="auto"/>
          <w:kern w:val="0"/>
          <w:highlight w:val="none"/>
          <w:lang w:val="en-US" w:eastAsia="zh-CN"/>
        </w:rPr>
        <w:t xml:space="preserve"> 陈宏</w:t>
      </w:r>
    </w:p>
    <w:p w14:paraId="75BD63FC">
      <w:pPr>
        <w:widowControl/>
        <w:adjustRightInd w:val="0"/>
        <w:snapToGrid w:val="0"/>
        <w:spacing w:line="360" w:lineRule="auto"/>
        <w:ind w:firstLine="210" w:firstLineChars="1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rPr>
        <w:t>质疑联系方式：0576-83915901</w:t>
      </w:r>
      <w:r>
        <w:rPr>
          <w:rFonts w:hint="eastAsia" w:ascii="宋体" w:hAnsi="宋体" w:cs="宋体"/>
          <w:color w:val="auto"/>
          <w:kern w:val="0"/>
          <w:highlight w:val="none"/>
          <w:lang w:val="en-US" w:eastAsia="zh-CN"/>
        </w:rPr>
        <w:t xml:space="preserve"> </w:t>
      </w:r>
    </w:p>
    <w:p w14:paraId="5186CCA8">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、采购代理机构名称：五洲工程顾问集团有限公司</w:t>
      </w:r>
    </w:p>
    <w:p w14:paraId="179673F7">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地  址：杭州市滨江区长河街道乳泉路826号荟鼎智创中心10幢5楼</w:t>
      </w:r>
    </w:p>
    <w:p w14:paraId="0BA3BC8F">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项目联系人（询问）：马工</w:t>
      </w:r>
    </w:p>
    <w:p w14:paraId="7E68D04A">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项目联系方式（询问）：15868814266</w:t>
      </w:r>
    </w:p>
    <w:p w14:paraId="344757A5">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质疑联系人：张工</w:t>
      </w:r>
    </w:p>
    <w:p w14:paraId="30FE1F7D">
      <w:pPr>
        <w:widowControl/>
        <w:adjustRightInd w:val="0"/>
        <w:snapToGrid w:val="0"/>
        <w:spacing w:line="360" w:lineRule="auto"/>
        <w:ind w:firstLine="210" w:firstLineChars="100"/>
        <w:jc w:val="left"/>
        <w:rPr>
          <w:rFonts w:hint="eastAsia" w:ascii="宋体" w:hAnsi="宋体" w:cs="宋体"/>
          <w:color w:val="auto"/>
          <w:kern w:val="0"/>
          <w:highlight w:val="none"/>
        </w:rPr>
      </w:pPr>
      <w:r>
        <w:rPr>
          <w:rFonts w:hint="eastAsia" w:ascii="宋体" w:hAnsi="宋体" w:cs="宋体"/>
          <w:color w:val="auto"/>
          <w:kern w:val="0"/>
          <w:highlight w:val="none"/>
        </w:rPr>
        <w:t>质疑联系方式：13588475917</w:t>
      </w:r>
    </w:p>
    <w:p w14:paraId="499F86E7">
      <w:pPr>
        <w:widowControl/>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3、同级政府采购监督管理部门</w:t>
      </w:r>
    </w:p>
    <w:p w14:paraId="112025C0">
      <w:pPr>
        <w:widowControl/>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名称：天台县财政局</w:t>
      </w:r>
    </w:p>
    <w:p w14:paraId="086FDE5D">
      <w:pPr>
        <w:widowControl/>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地址：天台县飞鹤路189号</w:t>
      </w:r>
    </w:p>
    <w:p w14:paraId="1F523350">
      <w:pPr>
        <w:widowControl/>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联系人：王女士    </w:t>
      </w:r>
    </w:p>
    <w:p w14:paraId="5F4B8DA9">
      <w:pPr>
        <w:widowControl/>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监督投诉电话：0576-89353856</w:t>
      </w:r>
    </w:p>
    <w:p w14:paraId="7E820338">
      <w:pPr>
        <w:widowControl/>
        <w:adjustRightInd w:val="0"/>
        <w:snapToGrid w:val="0"/>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九</w:t>
      </w:r>
      <w:r>
        <w:rPr>
          <w:rFonts w:hint="eastAsia" w:ascii="宋体" w:hAnsi="宋体" w:eastAsia="宋体" w:cs="宋体"/>
          <w:color w:val="auto"/>
          <w:kern w:val="0"/>
          <w:highlight w:val="none"/>
        </w:rPr>
        <w:t>、本公告发布媒体：</w:t>
      </w:r>
    </w:p>
    <w:p w14:paraId="2ED08DE3">
      <w:pPr>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浙江政府采购网   网址：</w:t>
      </w:r>
      <w:r>
        <w:rPr>
          <w:rStyle w:val="182"/>
          <w:rFonts w:hint="default" w:ascii="仿宋" w:hAnsi="仿宋" w:eastAsia="仿宋" w:cs="仿宋"/>
          <w:sz w:val="24"/>
          <w:szCs w:val="24"/>
          <w:highlight w:val="none"/>
        </w:rPr>
        <w:t>https://zfcg.czt.zj.gov.cn/</w:t>
      </w:r>
    </w:p>
    <w:p w14:paraId="7059F7B9">
      <w:pPr>
        <w:spacing w:line="336" w:lineRule="auto"/>
        <w:ind w:firstLine="448" w:firstLineChars="200"/>
        <w:rPr>
          <w:rFonts w:hint="eastAsia" w:ascii="仿宋" w:hAnsi="仿宋" w:eastAsia="仿宋" w:cs="仿宋"/>
          <w:spacing w:val="-8"/>
          <w:sz w:val="24"/>
          <w:highlight w:val="none"/>
        </w:rPr>
      </w:pPr>
      <w:r>
        <w:rPr>
          <w:rFonts w:hint="eastAsia" w:ascii="仿宋" w:hAnsi="仿宋" w:eastAsia="仿宋" w:cs="仿宋"/>
          <w:spacing w:val="-8"/>
          <w:sz w:val="24"/>
          <w:highlight w:val="none"/>
        </w:rPr>
        <w:t>天台县公共资源交易中心 网址：</w:t>
      </w:r>
      <w:r>
        <w:rPr>
          <w:rStyle w:val="182"/>
          <w:rFonts w:hint="default" w:ascii="仿宋" w:hAnsi="仿宋" w:eastAsia="仿宋" w:cs="仿宋"/>
          <w:spacing w:val="-8"/>
          <w:sz w:val="24"/>
          <w:szCs w:val="24"/>
          <w:highlight w:val="none"/>
        </w:rPr>
        <w:t>http://ztb.zjtt.gov.cn</w:t>
      </w:r>
    </w:p>
    <w:p w14:paraId="578BD43D">
      <w:pPr>
        <w:spacing w:line="336" w:lineRule="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十</w:t>
      </w:r>
      <w:r>
        <w:rPr>
          <w:rFonts w:hint="eastAsia" w:ascii="仿宋" w:hAnsi="仿宋" w:eastAsia="仿宋" w:cs="仿宋"/>
          <w:b/>
          <w:sz w:val="24"/>
          <w:highlight w:val="none"/>
        </w:rPr>
        <w:t>、融资需求：</w:t>
      </w:r>
    </w:p>
    <w:p w14:paraId="643AAB17">
      <w:pPr>
        <w:pStyle w:val="2"/>
        <w:rPr>
          <w:rFonts w:hint="eastAsia" w:ascii="仿宋" w:hAnsi="仿宋" w:eastAsia="仿宋" w:cs="Arial"/>
          <w:b w:val="0"/>
          <w:bCs/>
          <w:color w:val="000000"/>
          <w:sz w:val="24"/>
          <w:highlight w:val="none"/>
        </w:rPr>
      </w:pPr>
      <w:r>
        <w:rPr>
          <w:rFonts w:hint="eastAsia" w:ascii="仿宋" w:hAnsi="仿宋" w:eastAsia="仿宋" w:cs="Arial"/>
          <w:b w:val="0"/>
          <w:bCs/>
          <w:color w:val="000000"/>
          <w:sz w:val="24"/>
          <w:highlight w:val="none"/>
          <w:lang w:val="en-US" w:eastAsia="zh-CN"/>
        </w:rPr>
        <w:t>1、</w:t>
      </w:r>
      <w:r>
        <w:rPr>
          <w:rFonts w:hint="eastAsia" w:ascii="仿宋" w:hAnsi="仿宋" w:eastAsia="仿宋" w:cs="Arial"/>
          <w:b w:val="0"/>
          <w:bCs/>
          <w:color w:val="000000"/>
          <w:sz w:val="24"/>
          <w:highlight w:val="none"/>
        </w:rPr>
        <w:t>供应商如有融资需求，可使用以下银行的政采贷（或政采保）服务：</w:t>
      </w:r>
    </w:p>
    <w:p w14:paraId="38FA494B">
      <w:pPr>
        <w:pStyle w:val="2"/>
        <w:spacing w:line="360" w:lineRule="auto"/>
        <w:jc w:val="center"/>
        <w:rPr>
          <w:rFonts w:hint="eastAsia" w:ascii="仿宋" w:hAnsi="仿宋" w:eastAsia="仿宋" w:cs="Arial"/>
          <w:b w:val="0"/>
          <w:bCs/>
          <w:color w:val="000000"/>
          <w:sz w:val="24"/>
          <w:highlight w:val="none"/>
        </w:rPr>
      </w:pPr>
      <w:r>
        <w:rPr>
          <w:rFonts w:hint="eastAsia" w:ascii="仿宋" w:hAnsi="仿宋" w:eastAsia="仿宋" w:cs="Arial"/>
          <w:b w:val="0"/>
          <w:bCs/>
          <w:color w:val="000000"/>
          <w:sz w:val="24"/>
          <w:highlight w:val="none"/>
        </w:rPr>
        <w:t>政采贷联系方式</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2"/>
        <w:gridCol w:w="2048"/>
        <w:gridCol w:w="1486"/>
        <w:gridCol w:w="1798"/>
      </w:tblGrid>
      <w:tr w14:paraId="2E80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2" w:type="dxa"/>
            <w:noWrap w:val="0"/>
            <w:vAlign w:val="top"/>
          </w:tcPr>
          <w:p w14:paraId="07574471">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银行</w:t>
            </w:r>
          </w:p>
        </w:tc>
        <w:tc>
          <w:tcPr>
            <w:tcW w:w="2048" w:type="dxa"/>
            <w:noWrap w:val="0"/>
            <w:vAlign w:val="top"/>
          </w:tcPr>
          <w:p w14:paraId="21B39C3F">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贷款年利率</w:t>
            </w:r>
          </w:p>
        </w:tc>
        <w:tc>
          <w:tcPr>
            <w:tcW w:w="1486" w:type="dxa"/>
            <w:noWrap w:val="0"/>
            <w:vAlign w:val="top"/>
          </w:tcPr>
          <w:p w14:paraId="2FEFAC40">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联系人</w:t>
            </w:r>
          </w:p>
        </w:tc>
        <w:tc>
          <w:tcPr>
            <w:tcW w:w="1798" w:type="dxa"/>
            <w:noWrap w:val="0"/>
            <w:vAlign w:val="top"/>
          </w:tcPr>
          <w:p w14:paraId="75C48127">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电话</w:t>
            </w:r>
          </w:p>
        </w:tc>
      </w:tr>
      <w:tr w14:paraId="1AB4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2" w:type="dxa"/>
            <w:noWrap w:val="0"/>
            <w:vAlign w:val="top"/>
          </w:tcPr>
          <w:p w14:paraId="6B465421">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中国农业银行股份有限公司天台县支行</w:t>
            </w:r>
          </w:p>
        </w:tc>
        <w:tc>
          <w:tcPr>
            <w:tcW w:w="2048" w:type="dxa"/>
            <w:noWrap w:val="0"/>
            <w:vAlign w:val="top"/>
          </w:tcPr>
          <w:p w14:paraId="3C8B2A84">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3.8%起</w:t>
            </w:r>
          </w:p>
        </w:tc>
        <w:tc>
          <w:tcPr>
            <w:tcW w:w="1486" w:type="dxa"/>
            <w:noWrap w:val="0"/>
            <w:vAlign w:val="top"/>
          </w:tcPr>
          <w:p w14:paraId="3B39695A">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章泳</w:t>
            </w:r>
          </w:p>
        </w:tc>
        <w:tc>
          <w:tcPr>
            <w:tcW w:w="1798" w:type="dxa"/>
            <w:noWrap w:val="0"/>
            <w:vAlign w:val="top"/>
          </w:tcPr>
          <w:p w14:paraId="54783845">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18267658216</w:t>
            </w:r>
          </w:p>
        </w:tc>
      </w:tr>
      <w:tr w14:paraId="5966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2" w:type="dxa"/>
            <w:noWrap w:val="0"/>
            <w:vAlign w:val="top"/>
          </w:tcPr>
          <w:p w14:paraId="5F1A65BC">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中国建设银行股份有限公司天台支行</w:t>
            </w:r>
          </w:p>
        </w:tc>
        <w:tc>
          <w:tcPr>
            <w:tcW w:w="2048" w:type="dxa"/>
            <w:noWrap w:val="0"/>
            <w:vAlign w:val="top"/>
          </w:tcPr>
          <w:p w14:paraId="4D367F5D">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3.35%起</w:t>
            </w:r>
          </w:p>
        </w:tc>
        <w:tc>
          <w:tcPr>
            <w:tcW w:w="1486" w:type="dxa"/>
            <w:noWrap w:val="0"/>
            <w:vAlign w:val="top"/>
          </w:tcPr>
          <w:p w14:paraId="1236CA27">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蒋晓峰</w:t>
            </w:r>
          </w:p>
        </w:tc>
        <w:tc>
          <w:tcPr>
            <w:tcW w:w="1798" w:type="dxa"/>
            <w:noWrap w:val="0"/>
            <w:vAlign w:val="top"/>
          </w:tcPr>
          <w:p w14:paraId="68033400">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13968595968</w:t>
            </w:r>
          </w:p>
        </w:tc>
      </w:tr>
      <w:tr w14:paraId="1102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2" w:type="dxa"/>
            <w:noWrap w:val="0"/>
            <w:vAlign w:val="center"/>
          </w:tcPr>
          <w:p w14:paraId="099EDE05">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中国工商银行股份有限公司天台支行</w:t>
            </w:r>
          </w:p>
        </w:tc>
        <w:tc>
          <w:tcPr>
            <w:tcW w:w="2048" w:type="dxa"/>
            <w:noWrap w:val="0"/>
            <w:vAlign w:val="center"/>
          </w:tcPr>
          <w:p w14:paraId="47E59788">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4.5%起</w:t>
            </w:r>
          </w:p>
        </w:tc>
        <w:tc>
          <w:tcPr>
            <w:tcW w:w="1486" w:type="dxa"/>
            <w:noWrap w:val="0"/>
            <w:vAlign w:val="center"/>
          </w:tcPr>
          <w:p w14:paraId="5C3419E2">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洪文强</w:t>
            </w:r>
          </w:p>
        </w:tc>
        <w:tc>
          <w:tcPr>
            <w:tcW w:w="1798" w:type="dxa"/>
            <w:noWrap w:val="0"/>
            <w:vAlign w:val="center"/>
          </w:tcPr>
          <w:p w14:paraId="5E79D7A2">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0576-83815605</w:t>
            </w:r>
          </w:p>
        </w:tc>
      </w:tr>
    </w:tbl>
    <w:p w14:paraId="5D142826">
      <w:pPr>
        <w:pStyle w:val="2"/>
        <w:spacing w:line="360" w:lineRule="auto"/>
        <w:jc w:val="center"/>
        <w:rPr>
          <w:rFonts w:hint="eastAsia" w:ascii="仿宋" w:hAnsi="仿宋" w:eastAsia="仿宋" w:cs="Arial"/>
          <w:b w:val="0"/>
          <w:bCs/>
          <w:color w:val="000000"/>
          <w:sz w:val="24"/>
          <w:highlight w:val="none"/>
        </w:rPr>
      </w:pPr>
      <w:r>
        <w:rPr>
          <w:rFonts w:hint="eastAsia" w:ascii="仿宋" w:hAnsi="仿宋" w:eastAsia="仿宋" w:cs="Arial"/>
          <w:b w:val="0"/>
          <w:bCs/>
          <w:color w:val="000000"/>
          <w:sz w:val="24"/>
          <w:highlight w:val="none"/>
        </w:rPr>
        <w:t>履约保函联系方式</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0"/>
        <w:gridCol w:w="1486"/>
        <w:gridCol w:w="1798"/>
      </w:tblGrid>
      <w:tr w14:paraId="11C1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0" w:type="dxa"/>
            <w:noWrap w:val="0"/>
            <w:vAlign w:val="top"/>
          </w:tcPr>
          <w:p w14:paraId="73A0799E">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银行</w:t>
            </w:r>
          </w:p>
        </w:tc>
        <w:tc>
          <w:tcPr>
            <w:tcW w:w="1486" w:type="dxa"/>
            <w:noWrap w:val="0"/>
            <w:vAlign w:val="top"/>
          </w:tcPr>
          <w:p w14:paraId="06F6052E">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联系人</w:t>
            </w:r>
          </w:p>
        </w:tc>
        <w:tc>
          <w:tcPr>
            <w:tcW w:w="1798" w:type="dxa"/>
            <w:noWrap w:val="0"/>
            <w:vAlign w:val="top"/>
          </w:tcPr>
          <w:p w14:paraId="2E9E6B3B">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电话</w:t>
            </w:r>
          </w:p>
        </w:tc>
      </w:tr>
      <w:tr w14:paraId="37AF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0" w:type="dxa"/>
            <w:noWrap w:val="0"/>
            <w:vAlign w:val="top"/>
          </w:tcPr>
          <w:p w14:paraId="36509ED0">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中国农业银行股份有限公司天台县支行</w:t>
            </w:r>
          </w:p>
        </w:tc>
        <w:tc>
          <w:tcPr>
            <w:tcW w:w="1486" w:type="dxa"/>
            <w:noWrap w:val="0"/>
            <w:vAlign w:val="top"/>
          </w:tcPr>
          <w:p w14:paraId="3FEA8E40">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章泳</w:t>
            </w:r>
          </w:p>
        </w:tc>
        <w:tc>
          <w:tcPr>
            <w:tcW w:w="1798" w:type="dxa"/>
            <w:noWrap w:val="0"/>
            <w:vAlign w:val="top"/>
          </w:tcPr>
          <w:p w14:paraId="2D3B4314">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18267658216</w:t>
            </w:r>
          </w:p>
        </w:tc>
      </w:tr>
      <w:tr w14:paraId="0141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0" w:type="dxa"/>
            <w:noWrap w:val="0"/>
            <w:vAlign w:val="top"/>
          </w:tcPr>
          <w:p w14:paraId="47A2DF92">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中国建设银行股份有限公司天台支行</w:t>
            </w:r>
          </w:p>
        </w:tc>
        <w:tc>
          <w:tcPr>
            <w:tcW w:w="1486" w:type="dxa"/>
            <w:noWrap w:val="0"/>
            <w:vAlign w:val="top"/>
          </w:tcPr>
          <w:p w14:paraId="16B3A633">
            <w:pPr>
              <w:pStyle w:val="41"/>
              <w:spacing w:after="0" w:line="360" w:lineRule="auto"/>
              <w:ind w:left="0" w:leftChars="0" w:firstLine="0"/>
              <w:jc w:val="center"/>
              <w:rPr>
                <w:rFonts w:hint="default"/>
                <w:highlight w:val="none"/>
              </w:rPr>
            </w:pPr>
            <w:r>
              <w:rPr>
                <w:rFonts w:ascii="仿宋" w:hAnsi="仿宋" w:eastAsia="仿宋" w:cs="Arial"/>
                <w:color w:val="000000"/>
                <w:sz w:val="24"/>
                <w:szCs w:val="24"/>
                <w:highlight w:val="none"/>
              </w:rPr>
              <w:t>葛宇凡</w:t>
            </w:r>
          </w:p>
        </w:tc>
        <w:tc>
          <w:tcPr>
            <w:tcW w:w="1798" w:type="dxa"/>
            <w:noWrap w:val="0"/>
            <w:vAlign w:val="top"/>
          </w:tcPr>
          <w:p w14:paraId="4E6299E5">
            <w:pPr>
              <w:pStyle w:val="41"/>
              <w:spacing w:after="0" w:line="360" w:lineRule="auto"/>
              <w:ind w:left="0" w:leftChars="0" w:firstLine="0"/>
              <w:jc w:val="center"/>
              <w:rPr>
                <w:rFonts w:hint="default"/>
                <w:highlight w:val="none"/>
              </w:rPr>
            </w:pPr>
            <w:r>
              <w:rPr>
                <w:rFonts w:ascii="仿宋" w:hAnsi="仿宋" w:eastAsia="仿宋" w:cs="Arial"/>
                <w:color w:val="000000"/>
                <w:sz w:val="24"/>
                <w:szCs w:val="24"/>
                <w:highlight w:val="none"/>
              </w:rPr>
              <w:t>18252002669</w:t>
            </w:r>
          </w:p>
        </w:tc>
      </w:tr>
      <w:tr w14:paraId="031A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570" w:type="dxa"/>
            <w:noWrap w:val="0"/>
            <w:vAlign w:val="center"/>
          </w:tcPr>
          <w:p w14:paraId="6FE9F783">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中国工商银行股份有限公司天台支行</w:t>
            </w:r>
          </w:p>
        </w:tc>
        <w:tc>
          <w:tcPr>
            <w:tcW w:w="1486" w:type="dxa"/>
            <w:noWrap w:val="0"/>
            <w:vAlign w:val="center"/>
          </w:tcPr>
          <w:p w14:paraId="3AFAF007">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洪文强</w:t>
            </w:r>
          </w:p>
        </w:tc>
        <w:tc>
          <w:tcPr>
            <w:tcW w:w="1798" w:type="dxa"/>
            <w:noWrap w:val="0"/>
            <w:vAlign w:val="center"/>
          </w:tcPr>
          <w:p w14:paraId="6349C03B">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0576-83815605</w:t>
            </w:r>
          </w:p>
        </w:tc>
      </w:tr>
    </w:tbl>
    <w:p w14:paraId="73CE9F3A">
      <w:pPr>
        <w:pStyle w:val="2"/>
        <w:spacing w:line="360" w:lineRule="auto"/>
        <w:jc w:val="center"/>
        <w:rPr>
          <w:rFonts w:hint="eastAsia" w:ascii="仿宋" w:hAnsi="仿宋" w:eastAsia="仿宋" w:cs="Arial"/>
          <w:b w:val="0"/>
          <w:bCs/>
          <w:color w:val="000000"/>
          <w:sz w:val="24"/>
          <w:highlight w:val="none"/>
        </w:rPr>
      </w:pPr>
      <w:r>
        <w:rPr>
          <w:rFonts w:hint="eastAsia" w:ascii="仿宋" w:hAnsi="仿宋" w:eastAsia="仿宋" w:cs="Arial"/>
          <w:b w:val="0"/>
          <w:bCs/>
          <w:color w:val="000000"/>
          <w:sz w:val="24"/>
          <w:highlight w:val="none"/>
        </w:rPr>
        <w:t>预付款保函联系方式</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0"/>
        <w:gridCol w:w="1486"/>
        <w:gridCol w:w="1798"/>
      </w:tblGrid>
      <w:tr w14:paraId="6204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0" w:type="dxa"/>
            <w:noWrap w:val="0"/>
            <w:vAlign w:val="top"/>
          </w:tcPr>
          <w:p w14:paraId="21D7B909">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银行</w:t>
            </w:r>
          </w:p>
        </w:tc>
        <w:tc>
          <w:tcPr>
            <w:tcW w:w="1486" w:type="dxa"/>
            <w:noWrap w:val="0"/>
            <w:vAlign w:val="top"/>
          </w:tcPr>
          <w:p w14:paraId="7580DF2B">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联系人</w:t>
            </w:r>
          </w:p>
        </w:tc>
        <w:tc>
          <w:tcPr>
            <w:tcW w:w="1798" w:type="dxa"/>
            <w:noWrap w:val="0"/>
            <w:vAlign w:val="top"/>
          </w:tcPr>
          <w:p w14:paraId="619DDC0A">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电话</w:t>
            </w:r>
          </w:p>
        </w:tc>
      </w:tr>
      <w:tr w14:paraId="499C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0" w:type="dxa"/>
            <w:noWrap w:val="0"/>
            <w:vAlign w:val="top"/>
          </w:tcPr>
          <w:p w14:paraId="3EAD1C07">
            <w:pPr>
              <w:pStyle w:val="41"/>
              <w:spacing w:after="0" w:line="360" w:lineRule="auto"/>
              <w:ind w:left="0" w:leftChars="0" w:firstLine="0"/>
              <w:jc w:val="center"/>
              <w:rPr>
                <w:highlight w:val="none"/>
              </w:rPr>
            </w:pPr>
            <w:r>
              <w:rPr>
                <w:rFonts w:ascii="仿宋" w:hAnsi="仿宋" w:eastAsia="仿宋" w:cs="Arial"/>
                <w:color w:val="000000"/>
                <w:sz w:val="24"/>
                <w:szCs w:val="24"/>
                <w:highlight w:val="none"/>
              </w:rPr>
              <w:t>中国建设银行股份有限公司天台支行</w:t>
            </w:r>
          </w:p>
        </w:tc>
        <w:tc>
          <w:tcPr>
            <w:tcW w:w="1486" w:type="dxa"/>
            <w:noWrap w:val="0"/>
            <w:vAlign w:val="top"/>
          </w:tcPr>
          <w:p w14:paraId="3726E690">
            <w:pPr>
              <w:pStyle w:val="41"/>
              <w:spacing w:after="0" w:line="360" w:lineRule="auto"/>
              <w:ind w:left="0" w:leftChars="0" w:firstLine="0"/>
              <w:jc w:val="center"/>
              <w:rPr>
                <w:rFonts w:hint="default"/>
                <w:highlight w:val="none"/>
              </w:rPr>
            </w:pPr>
            <w:r>
              <w:rPr>
                <w:rFonts w:ascii="仿宋" w:hAnsi="仿宋" w:eastAsia="仿宋" w:cs="Arial"/>
                <w:color w:val="000000"/>
                <w:sz w:val="24"/>
                <w:szCs w:val="24"/>
                <w:highlight w:val="none"/>
              </w:rPr>
              <w:t>蒋晓峰</w:t>
            </w:r>
          </w:p>
        </w:tc>
        <w:tc>
          <w:tcPr>
            <w:tcW w:w="1798" w:type="dxa"/>
            <w:noWrap w:val="0"/>
            <w:vAlign w:val="top"/>
          </w:tcPr>
          <w:p w14:paraId="6D84D977">
            <w:pPr>
              <w:pStyle w:val="41"/>
              <w:spacing w:after="0" w:line="360" w:lineRule="auto"/>
              <w:ind w:left="0" w:leftChars="0" w:firstLine="0"/>
              <w:jc w:val="center"/>
              <w:rPr>
                <w:rFonts w:hint="default"/>
                <w:highlight w:val="none"/>
              </w:rPr>
            </w:pPr>
            <w:r>
              <w:rPr>
                <w:rFonts w:ascii="仿宋" w:hAnsi="仿宋" w:eastAsia="仿宋" w:cs="Arial"/>
                <w:color w:val="000000"/>
                <w:sz w:val="24"/>
                <w:szCs w:val="24"/>
                <w:highlight w:val="none"/>
              </w:rPr>
              <w:t>13968595968</w:t>
            </w:r>
          </w:p>
        </w:tc>
      </w:tr>
      <w:tr w14:paraId="64D5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0" w:type="dxa"/>
            <w:noWrap w:val="0"/>
            <w:vAlign w:val="center"/>
          </w:tcPr>
          <w:p w14:paraId="6E4A2D45">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中国工商银行股份有限公司天台支行</w:t>
            </w:r>
          </w:p>
        </w:tc>
        <w:tc>
          <w:tcPr>
            <w:tcW w:w="1486" w:type="dxa"/>
            <w:noWrap w:val="0"/>
            <w:vAlign w:val="center"/>
          </w:tcPr>
          <w:p w14:paraId="59A9F4E7">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洪文强</w:t>
            </w:r>
          </w:p>
        </w:tc>
        <w:tc>
          <w:tcPr>
            <w:tcW w:w="1798" w:type="dxa"/>
            <w:noWrap w:val="0"/>
            <w:vAlign w:val="center"/>
          </w:tcPr>
          <w:p w14:paraId="2A13B184">
            <w:pPr>
              <w:pStyle w:val="41"/>
              <w:spacing w:after="0" w:line="360" w:lineRule="auto"/>
              <w:ind w:left="0" w:leftChars="0" w:firstLine="0"/>
              <w:jc w:val="center"/>
              <w:rPr>
                <w:rFonts w:ascii="仿宋" w:hAnsi="仿宋" w:eastAsia="仿宋" w:cs="Arial"/>
                <w:color w:val="000000"/>
                <w:sz w:val="24"/>
                <w:szCs w:val="24"/>
                <w:highlight w:val="none"/>
              </w:rPr>
            </w:pPr>
            <w:r>
              <w:rPr>
                <w:rFonts w:ascii="仿宋" w:hAnsi="仿宋" w:eastAsia="仿宋" w:cs="Arial"/>
                <w:color w:val="000000"/>
                <w:sz w:val="24"/>
                <w:szCs w:val="24"/>
                <w:highlight w:val="none"/>
              </w:rPr>
              <w:t>0576-83815605</w:t>
            </w:r>
          </w:p>
        </w:tc>
      </w:tr>
    </w:tbl>
    <w:p w14:paraId="0E5DEEC5">
      <w:pPr>
        <w:numPr>
          <w:ilvl w:val="0"/>
          <w:numId w:val="0"/>
        </w:numPr>
        <w:spacing w:line="336" w:lineRule="auto"/>
        <w:ind w:firstLine="480" w:firstLineChars="200"/>
        <w:rPr>
          <w:rFonts w:hint="eastAsia" w:ascii="仿宋" w:hAnsi="仿宋" w:eastAsia="仿宋" w:cs="仿宋"/>
          <w:b/>
          <w:bCs/>
          <w:sz w:val="24"/>
          <w:highlight w:val="none"/>
        </w:rPr>
      </w:pPr>
      <w:r>
        <w:rPr>
          <w:rFonts w:hint="eastAsia" w:ascii="仿宋" w:hAnsi="仿宋" w:eastAsia="仿宋" w:cs="Arial"/>
          <w:b w:val="0"/>
          <w:bCs/>
          <w:color w:val="000000"/>
          <w:sz w:val="24"/>
          <w:highlight w:val="none"/>
          <w:lang w:val="en-US" w:eastAsia="zh-CN"/>
        </w:rPr>
        <w:t>2、除了以上银行外，</w:t>
      </w:r>
      <w:r>
        <w:rPr>
          <w:rFonts w:hint="eastAsia" w:ascii="仿宋" w:hAnsi="仿宋" w:eastAsia="仿宋" w:cs="Arial"/>
          <w:b w:val="0"/>
          <w:bCs/>
          <w:color w:val="000000"/>
          <w:sz w:val="24"/>
          <w:highlight w:val="none"/>
        </w:rPr>
        <w:t>供应商</w:t>
      </w:r>
      <w:r>
        <w:rPr>
          <w:rFonts w:hint="eastAsia" w:ascii="仿宋" w:hAnsi="仿宋" w:eastAsia="仿宋" w:cs="Arial"/>
          <w:b w:val="0"/>
          <w:bCs/>
          <w:color w:val="000000"/>
          <w:sz w:val="24"/>
          <w:highlight w:val="none"/>
          <w:lang w:val="en-US" w:eastAsia="zh-CN"/>
        </w:rPr>
        <w:t>也可以选择其他有能力的银行进行</w:t>
      </w:r>
      <w:r>
        <w:rPr>
          <w:rFonts w:hint="eastAsia" w:ascii="仿宋" w:hAnsi="仿宋" w:eastAsia="仿宋" w:cs="Arial"/>
          <w:b w:val="0"/>
          <w:bCs/>
          <w:color w:val="000000"/>
          <w:sz w:val="24"/>
          <w:highlight w:val="none"/>
        </w:rPr>
        <w:t>融资</w:t>
      </w:r>
      <w:r>
        <w:rPr>
          <w:rFonts w:hint="eastAsia" w:ascii="仿宋" w:hAnsi="仿宋" w:eastAsia="仿宋" w:cs="Arial"/>
          <w:b w:val="0"/>
          <w:bCs/>
          <w:color w:val="000000"/>
          <w:sz w:val="24"/>
          <w:highlight w:val="none"/>
          <w:lang w:eastAsia="zh-CN"/>
        </w:rPr>
        <w:t>。</w:t>
      </w:r>
    </w:p>
    <w:p w14:paraId="57ABBA38">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注：本</w:t>
      </w:r>
      <w:r>
        <w:rPr>
          <w:rFonts w:hint="eastAsia" w:ascii="仿宋" w:hAnsi="仿宋" w:eastAsia="仿宋" w:cs="仿宋"/>
          <w:b/>
          <w:sz w:val="24"/>
          <w:highlight w:val="none"/>
        </w:rPr>
        <w:t>采购文件时间以北京时间为准，采用２４小时制。</w:t>
      </w:r>
    </w:p>
    <w:p w14:paraId="4573D3A9">
      <w:pPr>
        <w:adjustRightInd w:val="0"/>
        <w:spacing w:before="156" w:beforeLines="50" w:after="312" w:afterLines="100" w:line="400" w:lineRule="exact"/>
        <w:jc w:val="center"/>
        <w:rPr>
          <w:rFonts w:hint="eastAsia" w:ascii="仿宋" w:hAnsi="仿宋" w:eastAsia="仿宋" w:cs="仿宋"/>
          <w:b/>
          <w:bCs/>
          <w:sz w:val="36"/>
          <w:szCs w:val="36"/>
          <w:highlight w:val="none"/>
        </w:rPr>
      </w:pPr>
    </w:p>
    <w:p w14:paraId="4F9E68EF">
      <w:p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14:paraId="19D3DA9C">
      <w:pPr>
        <w:pStyle w:val="51"/>
        <w:rPr>
          <w:rFonts w:hint="eastAsia"/>
          <w:highlight w:val="none"/>
        </w:rPr>
      </w:pPr>
    </w:p>
    <w:p w14:paraId="01CE4211">
      <w:pPr>
        <w:pStyle w:val="20"/>
        <w:rPr>
          <w:color w:val="auto"/>
          <w:highlight w:val="none"/>
        </w:rPr>
      </w:pPr>
    </w:p>
    <w:bookmarkEnd w:id="1"/>
    <w:bookmarkEnd w:id="2"/>
    <w:p w14:paraId="035DE375">
      <w:pPr>
        <w:numPr>
          <w:ilvl w:val="0"/>
          <w:numId w:val="6"/>
        </w:numPr>
        <w:spacing w:line="360" w:lineRule="auto"/>
        <w:jc w:val="center"/>
        <w:outlineLvl w:val="0"/>
        <w:rPr>
          <w:rFonts w:ascii="宋体" w:hAnsi="宋体" w:cs="宋体"/>
          <w:b/>
          <w:color w:val="auto"/>
          <w:sz w:val="36"/>
          <w:szCs w:val="36"/>
          <w:highlight w:val="none"/>
        </w:rPr>
      </w:pPr>
      <w:bookmarkStart w:id="3" w:name="_Toc5721"/>
      <w:r>
        <w:rPr>
          <w:rFonts w:hint="eastAsia" w:ascii="宋体" w:hAnsi="宋体" w:cs="宋体"/>
          <w:color w:val="auto"/>
          <w:kern w:val="0"/>
          <w:szCs w:val="21"/>
          <w:highlight w:val="none"/>
          <w:lang w:val="en-US" w:eastAsia="zh-CN"/>
        </w:rPr>
        <w:t xml:space="preserve"> </w:t>
      </w:r>
      <w:r>
        <w:rPr>
          <w:rFonts w:hint="eastAsia" w:ascii="宋体" w:hAnsi="宋体" w:cs="宋体"/>
          <w:b/>
          <w:color w:val="auto"/>
          <w:sz w:val="36"/>
          <w:szCs w:val="36"/>
          <w:highlight w:val="none"/>
        </w:rPr>
        <w:t>供应商须知</w:t>
      </w:r>
      <w:bookmarkEnd w:id="3"/>
    </w:p>
    <w:p w14:paraId="18BFF9E3">
      <w:pPr>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一、前附表</w:t>
      </w:r>
    </w:p>
    <w:tbl>
      <w:tblPr>
        <w:tblStyle w:val="42"/>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380"/>
        <w:gridCol w:w="5950"/>
      </w:tblGrid>
      <w:tr w14:paraId="677E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CFE2F9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0" w:type="dxa"/>
            <w:tcBorders>
              <w:top w:val="single" w:color="auto" w:sz="4" w:space="0"/>
              <w:left w:val="single" w:color="auto" w:sz="4" w:space="0"/>
              <w:bottom w:val="single" w:color="auto" w:sz="4" w:space="0"/>
              <w:right w:val="single" w:color="auto" w:sz="4" w:space="0"/>
            </w:tcBorders>
            <w:vAlign w:val="center"/>
          </w:tcPr>
          <w:p w14:paraId="6BEC43B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    目</w:t>
            </w:r>
          </w:p>
        </w:tc>
        <w:tc>
          <w:tcPr>
            <w:tcW w:w="5950" w:type="dxa"/>
            <w:tcBorders>
              <w:top w:val="single" w:color="auto" w:sz="4" w:space="0"/>
              <w:left w:val="single" w:color="auto" w:sz="4" w:space="0"/>
              <w:bottom w:val="single" w:color="auto" w:sz="4" w:space="0"/>
              <w:right w:val="single" w:color="auto" w:sz="4" w:space="0"/>
            </w:tcBorders>
            <w:vAlign w:val="center"/>
          </w:tcPr>
          <w:p w14:paraId="3843458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0E62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77C40F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380" w:type="dxa"/>
            <w:tcBorders>
              <w:top w:val="single" w:color="auto" w:sz="4" w:space="0"/>
              <w:left w:val="single" w:color="auto" w:sz="4" w:space="0"/>
              <w:bottom w:val="single" w:color="auto" w:sz="4" w:space="0"/>
              <w:right w:val="single" w:color="auto" w:sz="4" w:space="0"/>
            </w:tcBorders>
            <w:vAlign w:val="center"/>
          </w:tcPr>
          <w:p w14:paraId="533C320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5950" w:type="dxa"/>
            <w:tcBorders>
              <w:top w:val="single" w:color="auto" w:sz="4" w:space="0"/>
              <w:left w:val="single" w:color="auto" w:sz="4" w:space="0"/>
              <w:bottom w:val="single" w:color="auto" w:sz="4" w:space="0"/>
              <w:right w:val="single" w:color="auto" w:sz="4" w:space="0"/>
            </w:tcBorders>
            <w:vAlign w:val="center"/>
          </w:tcPr>
          <w:p w14:paraId="31267F9D">
            <w:pPr>
              <w:spacing w:line="400" w:lineRule="exact"/>
              <w:rPr>
                <w:rFonts w:ascii="宋体" w:hAnsi="宋体" w:cs="宋体"/>
                <w:color w:val="auto"/>
                <w:sz w:val="24"/>
                <w:highlight w:val="none"/>
              </w:rPr>
            </w:pPr>
            <w:r>
              <w:rPr>
                <w:rFonts w:hint="eastAsia" w:ascii="宋体" w:hAnsi="宋体" w:cs="宋体"/>
                <w:color w:val="auto"/>
                <w:sz w:val="24"/>
                <w:highlight w:val="none"/>
              </w:rPr>
              <w:t>符合竞争性磋商公告资格要求的供应商</w:t>
            </w:r>
          </w:p>
        </w:tc>
      </w:tr>
      <w:tr w14:paraId="3356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62E3A2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380" w:type="dxa"/>
            <w:tcBorders>
              <w:top w:val="single" w:color="auto" w:sz="4" w:space="0"/>
              <w:left w:val="single" w:color="auto" w:sz="4" w:space="0"/>
              <w:bottom w:val="single" w:color="auto" w:sz="4" w:space="0"/>
              <w:right w:val="single" w:color="auto" w:sz="4" w:space="0"/>
            </w:tcBorders>
            <w:vAlign w:val="center"/>
          </w:tcPr>
          <w:p w14:paraId="4B9379A2">
            <w:pPr>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5950" w:type="dxa"/>
            <w:tcBorders>
              <w:top w:val="single" w:color="auto" w:sz="4" w:space="0"/>
              <w:left w:val="single" w:color="auto" w:sz="4" w:space="0"/>
              <w:bottom w:val="single" w:color="auto" w:sz="4" w:space="0"/>
              <w:right w:val="single" w:color="auto" w:sz="4" w:space="0"/>
            </w:tcBorders>
            <w:vAlign w:val="center"/>
          </w:tcPr>
          <w:p w14:paraId="7F78B5E3">
            <w:pPr>
              <w:spacing w:line="400" w:lineRule="exact"/>
              <w:rPr>
                <w:rFonts w:ascii="宋体" w:hAnsi="宋体" w:cs="宋体"/>
                <w:color w:val="auto"/>
                <w:sz w:val="24"/>
                <w:highlight w:val="none"/>
              </w:rPr>
            </w:pPr>
            <w:r>
              <w:rPr>
                <w:rFonts w:hint="eastAsia" w:ascii="宋体" w:hAnsi="宋体" w:cs="宋体"/>
                <w:color w:val="auto"/>
                <w:sz w:val="24"/>
                <w:highlight w:val="none"/>
              </w:rPr>
              <w:t>本次采购招标不组织现场勘察。</w:t>
            </w:r>
          </w:p>
        </w:tc>
      </w:tr>
      <w:tr w14:paraId="606E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85979F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380" w:type="dxa"/>
            <w:tcBorders>
              <w:top w:val="single" w:color="auto" w:sz="4" w:space="0"/>
              <w:left w:val="single" w:color="auto" w:sz="4" w:space="0"/>
              <w:bottom w:val="single" w:color="auto" w:sz="4" w:space="0"/>
              <w:right w:val="single" w:color="auto" w:sz="4" w:space="0"/>
            </w:tcBorders>
            <w:vAlign w:val="center"/>
          </w:tcPr>
          <w:p w14:paraId="32C40D8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磋商响应文件（即投标文件）的编制</w:t>
            </w:r>
          </w:p>
        </w:tc>
        <w:tc>
          <w:tcPr>
            <w:tcW w:w="5950" w:type="dxa"/>
            <w:tcBorders>
              <w:top w:val="single" w:color="auto" w:sz="4" w:space="0"/>
              <w:left w:val="single" w:color="auto" w:sz="4" w:space="0"/>
              <w:bottom w:val="single" w:color="auto" w:sz="4" w:space="0"/>
              <w:right w:val="single" w:color="auto" w:sz="4" w:space="0"/>
            </w:tcBorders>
            <w:vAlign w:val="center"/>
          </w:tcPr>
          <w:p w14:paraId="65EB068D">
            <w:pPr>
              <w:spacing w:line="400" w:lineRule="exact"/>
              <w:rPr>
                <w:rFonts w:ascii="宋体" w:hAnsi="宋体" w:cs="宋体"/>
                <w:color w:val="auto"/>
                <w:sz w:val="24"/>
                <w:highlight w:val="none"/>
              </w:rPr>
            </w:pPr>
            <w:r>
              <w:rPr>
                <w:rFonts w:hint="eastAsia" w:ascii="宋体" w:hAnsi="宋体" w:cs="宋体"/>
                <w:color w:val="auto"/>
                <w:sz w:val="24"/>
                <w:highlight w:val="none"/>
              </w:rPr>
              <w:t>供应商应先安装“政采云电子交易客户端”，并按照本招标文件和“政府采购云平台”的要求，通过“政采云电子交易客户端”编制并加密投标文件。</w:t>
            </w:r>
          </w:p>
        </w:tc>
      </w:tr>
      <w:tr w14:paraId="0D23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B7FFE6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380" w:type="dxa"/>
            <w:tcBorders>
              <w:top w:val="single" w:color="auto" w:sz="4" w:space="0"/>
              <w:left w:val="single" w:color="auto" w:sz="4" w:space="0"/>
              <w:bottom w:val="single" w:color="auto" w:sz="4" w:space="0"/>
              <w:right w:val="single" w:color="auto" w:sz="4" w:space="0"/>
            </w:tcBorders>
            <w:vAlign w:val="center"/>
          </w:tcPr>
          <w:p w14:paraId="33907C1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投标文件的签章</w:t>
            </w:r>
          </w:p>
        </w:tc>
        <w:tc>
          <w:tcPr>
            <w:tcW w:w="5950" w:type="dxa"/>
            <w:tcBorders>
              <w:top w:val="single" w:color="auto" w:sz="4" w:space="0"/>
              <w:left w:val="single" w:color="auto" w:sz="4" w:space="0"/>
              <w:bottom w:val="single" w:color="auto" w:sz="4" w:space="0"/>
              <w:right w:val="single" w:color="auto" w:sz="4" w:space="0"/>
            </w:tcBorders>
            <w:vAlign w:val="center"/>
          </w:tcPr>
          <w:p w14:paraId="6825D430">
            <w:pPr>
              <w:spacing w:line="400" w:lineRule="exact"/>
              <w:rPr>
                <w:rFonts w:ascii="宋体" w:hAnsi="宋体" w:cs="宋体"/>
                <w:color w:val="auto"/>
                <w:sz w:val="24"/>
                <w:highlight w:val="none"/>
              </w:rPr>
            </w:pPr>
            <w:r>
              <w:rPr>
                <w:rFonts w:hint="eastAsia" w:ascii="宋体" w:hAnsi="宋体" w:cs="宋体"/>
                <w:color w:val="auto"/>
                <w:sz w:val="24"/>
                <w:highlight w:val="none"/>
              </w:rPr>
              <w:t>投标文件中要求加盖公章处，可使用有效安全的电子签章替代。</w:t>
            </w:r>
          </w:p>
        </w:tc>
      </w:tr>
      <w:tr w14:paraId="284F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61058D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380" w:type="dxa"/>
            <w:tcBorders>
              <w:top w:val="single" w:color="auto" w:sz="4" w:space="0"/>
              <w:left w:val="single" w:color="auto" w:sz="4" w:space="0"/>
              <w:bottom w:val="single" w:color="auto" w:sz="4" w:space="0"/>
              <w:right w:val="single" w:color="auto" w:sz="4" w:space="0"/>
            </w:tcBorders>
            <w:vAlign w:val="center"/>
          </w:tcPr>
          <w:p w14:paraId="7458A6D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投标文件的形式</w:t>
            </w:r>
          </w:p>
        </w:tc>
        <w:tc>
          <w:tcPr>
            <w:tcW w:w="5950" w:type="dxa"/>
            <w:tcBorders>
              <w:top w:val="single" w:color="auto" w:sz="4" w:space="0"/>
              <w:left w:val="single" w:color="auto" w:sz="4" w:space="0"/>
              <w:bottom w:val="single" w:color="auto" w:sz="4" w:space="0"/>
              <w:right w:val="single" w:color="auto" w:sz="4" w:space="0"/>
            </w:tcBorders>
            <w:vAlign w:val="center"/>
          </w:tcPr>
          <w:p w14:paraId="355C8B1C">
            <w:pPr>
              <w:pStyle w:val="23"/>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电子响应文件包括“电子加密响应文件”和“备份响应文件”，在响应文件编制完成后同时生成。</w:t>
            </w:r>
          </w:p>
          <w:p w14:paraId="592236D7">
            <w:pPr>
              <w:pStyle w:val="23"/>
              <w:numPr>
                <w:ilvl w:val="0"/>
                <w:numId w:val="7"/>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1、“电子加密响应文件”是指通过“政采云电子交易客户端”完成 响应文件编制后生成并加密的数据电文形式的响应文件。</w:t>
            </w:r>
          </w:p>
          <w:p w14:paraId="5D6B1795">
            <w:pPr>
              <w:pStyle w:val="23"/>
              <w:numPr>
                <w:ilvl w:val="0"/>
                <w:numId w:val="7"/>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2、“备份响应文件”是指与“电子加密响应文件”同时生成的数据</w:t>
            </w:r>
          </w:p>
          <w:p w14:paraId="01922B1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电文形式的电子文件（备份标书，用于供应商标书解密异常时应急使用），其他方式编制的备份响应文件视为无效备份响应文件。</w:t>
            </w:r>
          </w:p>
          <w:p w14:paraId="2D7BF5E9">
            <w:pPr>
              <w:spacing w:line="360" w:lineRule="auto"/>
              <w:rPr>
                <w:rFonts w:ascii="宋体" w:hAnsi="宋体" w:cs="宋体"/>
                <w:color w:val="auto"/>
                <w:sz w:val="24"/>
                <w:highlight w:val="none"/>
              </w:rPr>
            </w:pPr>
            <w:r>
              <w:rPr>
                <w:rFonts w:hint="eastAsia" w:ascii="宋体" w:hAnsi="宋体" w:cs="宋体"/>
                <w:b/>
                <w:bCs/>
                <w:color w:val="auto"/>
                <w:kern w:val="0"/>
                <w:sz w:val="24"/>
                <w:szCs w:val="22"/>
                <w:highlight w:val="none"/>
                <w:lang w:val="en-US" w:eastAsia="zh-CN"/>
              </w:rPr>
              <w:t>3、</w:t>
            </w:r>
            <w:r>
              <w:rPr>
                <w:rFonts w:hint="eastAsia" w:ascii="宋体" w:hAnsi="宋体" w:cs="宋体"/>
                <w:b/>
                <w:bCs/>
                <w:color w:val="auto"/>
                <w:kern w:val="0"/>
                <w:sz w:val="24"/>
                <w:szCs w:val="22"/>
                <w:highlight w:val="none"/>
              </w:rPr>
              <w:t>中标供应商中标后需提供纸质投标文件给招标代理机构作为备案存档，纸质投标文件系电子投标文件纸质版，两者内容应一致，若提供的纸质不一致导致发生的所有法律责任由中标供应商承担；数量为：资格证明文件6份；商务技术文件6份；报价文件6份。</w:t>
            </w:r>
          </w:p>
        </w:tc>
      </w:tr>
      <w:tr w14:paraId="3ADC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14670F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380" w:type="dxa"/>
            <w:tcBorders>
              <w:top w:val="single" w:color="auto" w:sz="4" w:space="0"/>
              <w:left w:val="single" w:color="auto" w:sz="4" w:space="0"/>
              <w:bottom w:val="single" w:color="auto" w:sz="4" w:space="0"/>
              <w:right w:val="single" w:color="auto" w:sz="4" w:space="0"/>
            </w:tcBorders>
            <w:vAlign w:val="center"/>
          </w:tcPr>
          <w:p w14:paraId="7B6C5DD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投标文件份数</w:t>
            </w:r>
          </w:p>
        </w:tc>
        <w:tc>
          <w:tcPr>
            <w:tcW w:w="5950" w:type="dxa"/>
            <w:tcBorders>
              <w:top w:val="single" w:color="auto" w:sz="4" w:space="0"/>
              <w:left w:val="single" w:color="auto" w:sz="4" w:space="0"/>
              <w:bottom w:val="single" w:color="auto" w:sz="4" w:space="0"/>
              <w:right w:val="single" w:color="auto" w:sz="4" w:space="0"/>
            </w:tcBorders>
            <w:vAlign w:val="center"/>
          </w:tcPr>
          <w:p w14:paraId="096D5BEC">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（1）“电子加密投标文件”：在线上传递交、一份。</w:t>
            </w:r>
          </w:p>
          <w:p w14:paraId="06E4D864">
            <w:pPr>
              <w:spacing w:line="400" w:lineRule="exact"/>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（2）“备份投标文件”：于投标截止时间前递交至采购代理机构指定邮箱(mdh15868814266@163.com)。备份响应文件由供应商自行确定是否提交，因备份响应文件未加密而造成失密等情况，采购代理机构概不负责。</w:t>
            </w:r>
            <w:r>
              <w:rPr>
                <w:rFonts w:hint="eastAsia" w:ascii="宋体" w:hAnsi="宋体" w:cs="宋体"/>
                <w:bCs/>
                <w:color w:val="auto"/>
                <w:sz w:val="24"/>
                <w:highlight w:val="none"/>
              </w:rPr>
              <w:t>▲</w:t>
            </w:r>
            <w:r>
              <w:rPr>
                <w:rFonts w:hint="eastAsia" w:ascii="宋体" w:hAnsi="宋体" w:eastAsia="宋体" w:cs="宋体"/>
                <w:color w:val="auto"/>
                <w:kern w:val="2"/>
                <w:sz w:val="24"/>
                <w:szCs w:val="24"/>
                <w:highlight w:val="none"/>
                <w:lang w:val="en-US" w:eastAsia="zh-CN" w:bidi="ar-SA"/>
              </w:rPr>
              <w:t>未在系统上提交响应文件而仅提交备份响应文件的，其响应无效。</w:t>
            </w:r>
          </w:p>
        </w:tc>
      </w:tr>
      <w:tr w14:paraId="0519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173671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380" w:type="dxa"/>
            <w:tcBorders>
              <w:top w:val="single" w:color="auto" w:sz="4" w:space="0"/>
              <w:left w:val="single" w:color="auto" w:sz="4" w:space="0"/>
              <w:bottom w:val="single" w:color="auto" w:sz="4" w:space="0"/>
              <w:right w:val="single" w:color="auto" w:sz="4" w:space="0"/>
            </w:tcBorders>
            <w:vAlign w:val="center"/>
          </w:tcPr>
          <w:p w14:paraId="7638131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投标文件的上传和递交</w:t>
            </w:r>
          </w:p>
        </w:tc>
        <w:tc>
          <w:tcPr>
            <w:tcW w:w="5950" w:type="dxa"/>
            <w:tcBorders>
              <w:top w:val="single" w:color="auto" w:sz="4" w:space="0"/>
              <w:left w:val="single" w:color="auto" w:sz="4" w:space="0"/>
              <w:bottom w:val="single" w:color="auto" w:sz="4" w:space="0"/>
              <w:right w:val="single" w:color="auto" w:sz="4" w:space="0"/>
            </w:tcBorders>
            <w:vAlign w:val="center"/>
          </w:tcPr>
          <w:p w14:paraId="189E2D6B">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14:paraId="37F9E7A4">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a.投标供应商应在投标截止时间前将“电子加密投标文件”成功上传递交至“政府采购云平台”，否则投标无效。</w:t>
            </w:r>
          </w:p>
          <w:p w14:paraId="77E78BEF">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202F065A">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（2）“备份投标文件”的递交：</w:t>
            </w:r>
          </w:p>
          <w:p w14:paraId="13489424">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a.投标供应商在“政府采购云平台”完成“电子加密投标文件”的上传递交后，还可以在投标截止时间前</w:t>
            </w:r>
            <w:r>
              <w:rPr>
                <w:rFonts w:hint="eastAsia" w:ascii="宋体" w:hAnsi="宋体" w:cs="宋体"/>
                <w:color w:val="auto"/>
                <w:sz w:val="24"/>
                <w:highlight w:val="none"/>
                <w:lang w:eastAsia="zh-CN"/>
              </w:rPr>
              <w:t>以邮件方式</w:t>
            </w:r>
            <w:r>
              <w:rPr>
                <w:rFonts w:hint="eastAsia" w:ascii="宋体" w:hAnsi="宋体" w:cs="宋体"/>
                <w:color w:val="auto"/>
                <w:sz w:val="24"/>
                <w:highlight w:val="none"/>
              </w:rPr>
              <w:t>递交 “备份投标文件”（一份）</w:t>
            </w:r>
            <w:r>
              <w:rPr>
                <w:rFonts w:hint="eastAsia" w:ascii="宋体" w:hAnsi="宋体" w:cs="宋体"/>
                <w:color w:val="auto"/>
                <w:sz w:val="24"/>
                <w:highlight w:val="none"/>
                <w:lang w:eastAsia="zh-CN"/>
              </w:rPr>
              <w:t>（投递邮箱：</w:t>
            </w:r>
            <w:r>
              <w:rPr>
                <w:rFonts w:hint="eastAsia" w:ascii="宋体" w:hAnsi="宋体" w:eastAsia="宋体" w:cs="宋体"/>
                <w:color w:val="auto"/>
                <w:kern w:val="2"/>
                <w:sz w:val="24"/>
                <w:szCs w:val="24"/>
                <w:highlight w:val="none"/>
                <w:lang w:val="en-US" w:eastAsia="zh-CN" w:bidi="ar-SA"/>
              </w:rPr>
              <w:t>mdh15868814266@163.com</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Hans"/>
              </w:rPr>
              <w:t>邮件标题</w:t>
            </w:r>
            <w:r>
              <w:rPr>
                <w:rFonts w:hint="eastAsia" w:ascii="宋体" w:hAnsi="宋体" w:cs="宋体"/>
                <w:color w:val="auto"/>
                <w:sz w:val="24"/>
                <w:highlight w:val="none"/>
                <w:lang w:val="en-US" w:eastAsia="zh-CN"/>
              </w:rPr>
              <w:t>建议</w:t>
            </w:r>
            <w:r>
              <w:rPr>
                <w:rFonts w:hint="eastAsia" w:ascii="宋体" w:hAnsi="宋体" w:cs="宋体"/>
                <w:color w:val="auto"/>
                <w:sz w:val="24"/>
                <w:highlight w:val="none"/>
                <w:lang w:val="en-US" w:eastAsia="zh-Hans"/>
              </w:rPr>
              <w:t>注明投标项目名称、投标单位名称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699F2D0E">
            <w:pPr>
              <w:spacing w:line="360" w:lineRule="auto"/>
              <w:rPr>
                <w:rFonts w:ascii="宋体" w:hAnsi="宋体" w:cs="宋体"/>
                <w:color w:val="auto"/>
                <w:highlight w:val="none"/>
              </w:rPr>
            </w:pPr>
            <w:r>
              <w:rPr>
                <w:rFonts w:hint="eastAsia" w:ascii="宋体" w:hAnsi="宋体" w:cs="宋体"/>
                <w:color w:val="auto"/>
                <w:sz w:val="24"/>
                <w:highlight w:val="none"/>
              </w:rPr>
              <w:t>b.“备份投标文件”逾期</w:t>
            </w:r>
            <w:r>
              <w:rPr>
                <w:rFonts w:hint="eastAsia" w:ascii="宋体" w:hAnsi="宋体" w:cs="宋体"/>
                <w:color w:val="auto"/>
                <w:sz w:val="24"/>
                <w:highlight w:val="none"/>
                <w:lang w:eastAsia="zh-CN"/>
              </w:rPr>
              <w:t>递交</w:t>
            </w:r>
            <w:r>
              <w:rPr>
                <w:rFonts w:hint="eastAsia" w:ascii="宋体" w:hAnsi="宋体" w:cs="宋体"/>
                <w:color w:val="auto"/>
                <w:sz w:val="24"/>
                <w:highlight w:val="none"/>
              </w:rPr>
              <w:t>将被</w:t>
            </w:r>
            <w:r>
              <w:rPr>
                <w:rFonts w:hint="eastAsia" w:ascii="宋体" w:hAnsi="宋体" w:cs="宋体"/>
                <w:color w:val="auto"/>
                <w:sz w:val="24"/>
                <w:highlight w:val="none"/>
                <w:lang w:eastAsia="zh-CN"/>
              </w:rPr>
              <w:t>视为未递交</w:t>
            </w:r>
            <w:r>
              <w:rPr>
                <w:rFonts w:hint="eastAsia" w:ascii="宋体" w:hAnsi="宋体" w:cs="宋体"/>
                <w:color w:val="auto"/>
                <w:sz w:val="24"/>
                <w:highlight w:val="none"/>
              </w:rPr>
              <w:t>；</w:t>
            </w:r>
          </w:p>
          <w:p w14:paraId="32D6B441">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22C9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D3022C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380" w:type="dxa"/>
            <w:tcBorders>
              <w:top w:val="single" w:color="auto" w:sz="4" w:space="0"/>
              <w:left w:val="single" w:color="auto" w:sz="4" w:space="0"/>
              <w:bottom w:val="single" w:color="auto" w:sz="4" w:space="0"/>
              <w:right w:val="single" w:color="auto" w:sz="4" w:space="0"/>
            </w:tcBorders>
            <w:vAlign w:val="center"/>
          </w:tcPr>
          <w:p w14:paraId="0B25A0C5">
            <w:pPr>
              <w:spacing w:line="360" w:lineRule="auto"/>
              <w:rPr>
                <w:rFonts w:ascii="宋体" w:hAnsi="宋体" w:cs="宋体"/>
                <w:color w:val="auto"/>
                <w:sz w:val="24"/>
                <w:highlight w:val="none"/>
              </w:rPr>
            </w:pPr>
            <w:r>
              <w:rPr>
                <w:rFonts w:hint="eastAsia" w:ascii="宋体" w:hAnsi="宋体" w:cs="宋体"/>
                <w:color w:val="auto"/>
                <w:sz w:val="24"/>
                <w:highlight w:val="none"/>
              </w:rPr>
              <w:t>电子加密投标文件的解密和异常情况处理</w:t>
            </w:r>
          </w:p>
          <w:p w14:paraId="1D6151D1">
            <w:pPr>
              <w:spacing w:line="400" w:lineRule="exact"/>
              <w:jc w:val="center"/>
              <w:rPr>
                <w:rFonts w:ascii="宋体" w:hAnsi="宋体" w:cs="宋体"/>
                <w:color w:val="auto"/>
                <w:sz w:val="24"/>
                <w:highlight w:val="none"/>
              </w:rPr>
            </w:pPr>
          </w:p>
        </w:tc>
        <w:tc>
          <w:tcPr>
            <w:tcW w:w="5950" w:type="dxa"/>
            <w:tcBorders>
              <w:top w:val="single" w:color="auto" w:sz="4" w:space="0"/>
              <w:left w:val="single" w:color="auto" w:sz="4" w:space="0"/>
              <w:bottom w:val="single" w:color="auto" w:sz="4" w:space="0"/>
              <w:right w:val="single" w:color="auto" w:sz="4" w:space="0"/>
            </w:tcBorders>
            <w:vAlign w:val="center"/>
          </w:tcPr>
          <w:p w14:paraId="593EB717">
            <w:pPr>
              <w:spacing w:line="360" w:lineRule="auto"/>
              <w:rPr>
                <w:rFonts w:ascii="宋体" w:hAnsi="宋体" w:cs="宋体"/>
                <w:color w:val="auto"/>
                <w:sz w:val="24"/>
                <w:highlight w:val="none"/>
              </w:rPr>
            </w:pPr>
            <w:r>
              <w:rPr>
                <w:rFonts w:hint="eastAsia" w:ascii="宋体" w:hAns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7481ABE8">
            <w:pPr>
              <w:spacing w:line="360" w:lineRule="auto"/>
              <w:rPr>
                <w:rFonts w:ascii="宋体" w:hAnsi="宋体" w:cs="宋体"/>
                <w:color w:val="auto"/>
                <w:sz w:val="24"/>
                <w:highlight w:val="none"/>
              </w:rPr>
            </w:pPr>
            <w:r>
              <w:rPr>
                <w:rFonts w:hint="eastAsia" w:ascii="宋体" w:cs="宋体"/>
                <w:b/>
                <w:color w:val="auto"/>
                <w:sz w:val="24"/>
                <w:highlight w:val="none"/>
              </w:rPr>
              <w:t>▲</w:t>
            </w: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E459565">
            <w:pPr>
              <w:spacing w:line="400" w:lineRule="exact"/>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（3）投标截止时间前，投标供应商仅递交了“备份投标文件”而未将电子加密投标文件上传至“政府采购云平台”的，投标无效。</w:t>
            </w:r>
          </w:p>
          <w:p w14:paraId="547F04F2">
            <w:pPr>
              <w:spacing w:line="400" w:lineRule="exact"/>
              <w:rPr>
                <w:rFonts w:ascii="宋体" w:hAnsi="宋体" w:cs="宋体"/>
                <w:color w:val="auto"/>
                <w:sz w:val="24"/>
                <w:highlight w:val="none"/>
              </w:rPr>
            </w:pPr>
            <w:r>
              <w:rPr>
                <w:rFonts w:hint="eastAsia" w:ascii="宋体" w:hAnsi="宋体" w:cs="宋体"/>
                <w:b/>
                <w:bCs/>
                <w:color w:val="auto"/>
                <w:sz w:val="24"/>
                <w:highlight w:val="none"/>
              </w:rPr>
              <w:t>注：供应商在使用系统进行投标的过程中遇到涉及平台使用的任何问题，可致电政采云平台技术支持热线咨询，联系方式：</w:t>
            </w:r>
            <w:r>
              <w:rPr>
                <w:rFonts w:hint="eastAsia" w:ascii="宋体" w:hAnsi="宋体" w:eastAsia="宋体" w:cs="Calibri Light"/>
                <w:b/>
                <w:bCs/>
                <w:color w:val="auto"/>
                <w:sz w:val="24"/>
                <w:highlight w:val="none"/>
                <w:lang w:val="en-US" w:eastAsia="zh-CN"/>
              </w:rPr>
              <w:t>95763</w:t>
            </w:r>
            <w:r>
              <w:rPr>
                <w:rFonts w:hint="eastAsia" w:ascii="宋体" w:hAnsi="宋体" w:cs="宋体"/>
                <w:b/>
                <w:bCs/>
                <w:color w:val="auto"/>
                <w:sz w:val="24"/>
                <w:highlight w:val="none"/>
              </w:rPr>
              <w:t>。</w:t>
            </w:r>
          </w:p>
        </w:tc>
      </w:tr>
      <w:tr w14:paraId="32EB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15C776F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380" w:type="dxa"/>
            <w:tcBorders>
              <w:top w:val="single" w:color="auto" w:sz="4" w:space="0"/>
              <w:left w:val="single" w:color="auto" w:sz="4" w:space="0"/>
              <w:bottom w:val="single" w:color="auto" w:sz="4" w:space="0"/>
              <w:right w:val="single" w:color="auto" w:sz="4" w:space="0"/>
            </w:tcBorders>
            <w:vAlign w:val="center"/>
          </w:tcPr>
          <w:p w14:paraId="0B4A3F6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磋商响应文件有效期</w:t>
            </w:r>
          </w:p>
        </w:tc>
        <w:tc>
          <w:tcPr>
            <w:tcW w:w="5950" w:type="dxa"/>
            <w:tcBorders>
              <w:top w:val="single" w:color="auto" w:sz="4" w:space="0"/>
              <w:left w:val="single" w:color="auto" w:sz="4" w:space="0"/>
              <w:bottom w:val="single" w:color="auto" w:sz="4" w:space="0"/>
              <w:right w:val="single" w:color="auto" w:sz="4" w:space="0"/>
            </w:tcBorders>
            <w:vAlign w:val="center"/>
          </w:tcPr>
          <w:p w14:paraId="0677AF19">
            <w:pPr>
              <w:spacing w:line="400" w:lineRule="exac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磋商响应有效期为90天，磋商响应</w:t>
            </w:r>
            <w:r>
              <w:rPr>
                <w:rFonts w:hint="eastAsia" w:ascii="宋体" w:hAnsi="宋体" w:cs="宋体"/>
                <w:color w:val="auto"/>
                <w:kern w:val="0"/>
                <w:sz w:val="24"/>
                <w:highlight w:val="none"/>
              </w:rPr>
              <w:t>有效期从提交</w:t>
            </w:r>
            <w:r>
              <w:rPr>
                <w:rFonts w:hint="eastAsia" w:ascii="宋体" w:hAnsi="宋体" w:cs="宋体"/>
                <w:color w:val="auto"/>
                <w:sz w:val="24"/>
                <w:highlight w:val="none"/>
              </w:rPr>
              <w:t>磋商响应</w:t>
            </w:r>
            <w:r>
              <w:rPr>
                <w:rFonts w:hint="eastAsia" w:ascii="宋体" w:hAnsi="宋体" w:cs="宋体"/>
                <w:color w:val="auto"/>
                <w:kern w:val="0"/>
                <w:sz w:val="24"/>
                <w:highlight w:val="none"/>
              </w:rPr>
              <w:t>文件的截止之日起算。</w:t>
            </w:r>
          </w:p>
        </w:tc>
      </w:tr>
      <w:tr w14:paraId="3801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B21B8B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380" w:type="dxa"/>
            <w:tcBorders>
              <w:top w:val="single" w:color="auto" w:sz="4" w:space="0"/>
              <w:left w:val="single" w:color="auto" w:sz="4" w:space="0"/>
              <w:bottom w:val="single" w:color="auto" w:sz="4" w:space="0"/>
              <w:right w:val="single" w:color="auto" w:sz="4" w:space="0"/>
            </w:tcBorders>
            <w:vAlign w:val="center"/>
          </w:tcPr>
          <w:p w14:paraId="6AD3EF5F">
            <w:pPr>
              <w:spacing w:line="400" w:lineRule="exact"/>
              <w:jc w:val="center"/>
              <w:rPr>
                <w:rFonts w:ascii="宋体" w:hAnsi="宋体" w:cs="宋体"/>
                <w:color w:val="auto"/>
                <w:sz w:val="24"/>
                <w:highlight w:val="yellow"/>
              </w:rPr>
            </w:pPr>
            <w:r>
              <w:rPr>
                <w:rFonts w:hint="eastAsia" w:ascii="宋体" w:hAnsi="宋体" w:cs="宋体"/>
                <w:color w:val="auto"/>
                <w:sz w:val="24"/>
                <w:highlight w:val="yellow"/>
              </w:rPr>
              <w:t>磋商响应文件递交截止时间及地点</w:t>
            </w:r>
          </w:p>
        </w:tc>
        <w:tc>
          <w:tcPr>
            <w:tcW w:w="5950" w:type="dxa"/>
            <w:tcBorders>
              <w:top w:val="single" w:color="auto" w:sz="4" w:space="0"/>
              <w:left w:val="single" w:color="auto" w:sz="4" w:space="0"/>
              <w:bottom w:val="single" w:color="auto" w:sz="4" w:space="0"/>
              <w:right w:val="single" w:color="auto" w:sz="4" w:space="0"/>
            </w:tcBorders>
            <w:vAlign w:val="center"/>
          </w:tcPr>
          <w:p w14:paraId="5093010D">
            <w:pPr>
              <w:keepNext w:val="0"/>
              <w:keepLines w:val="0"/>
              <w:pageBreakBefore w:val="0"/>
              <w:kinsoku/>
              <w:wordWrap/>
              <w:overflowPunct/>
              <w:topLinePunct w:val="0"/>
              <w:bidi w:val="0"/>
              <w:snapToGrid/>
              <w:spacing w:line="400" w:lineRule="exact"/>
              <w:textAlignment w:val="auto"/>
              <w:rPr>
                <w:rFonts w:hint="eastAsia" w:ascii="宋体" w:hAnsi="宋体" w:eastAsia="宋体" w:cs="Calibri Light"/>
                <w:color w:val="auto"/>
                <w:kern w:val="0"/>
                <w:sz w:val="24"/>
                <w:highlight w:val="yellow"/>
                <w:lang w:val="en-US" w:eastAsia="zh-CN"/>
              </w:rPr>
            </w:pPr>
            <w:r>
              <w:rPr>
                <w:rFonts w:hint="eastAsia" w:ascii="宋体" w:hAnsi="宋体" w:eastAsia="宋体" w:cs="Calibri Light"/>
                <w:color w:val="auto"/>
                <w:kern w:val="0"/>
                <w:sz w:val="24"/>
                <w:highlight w:val="yellow"/>
                <w:lang w:val="en-US" w:eastAsia="zh-CN"/>
              </w:rPr>
              <w:t>202</w:t>
            </w:r>
            <w:r>
              <w:rPr>
                <w:rFonts w:hint="eastAsia" w:ascii="宋体" w:hAnsi="宋体" w:cs="Calibri Light"/>
                <w:color w:val="auto"/>
                <w:kern w:val="0"/>
                <w:sz w:val="24"/>
                <w:highlight w:val="yellow"/>
                <w:lang w:val="en-US" w:eastAsia="zh-CN"/>
              </w:rPr>
              <w:t>5</w:t>
            </w:r>
            <w:r>
              <w:rPr>
                <w:rFonts w:hint="eastAsia" w:ascii="宋体" w:hAnsi="宋体" w:eastAsia="宋体" w:cs="Calibri Light"/>
                <w:color w:val="auto"/>
                <w:kern w:val="0"/>
                <w:sz w:val="24"/>
                <w:highlight w:val="yellow"/>
                <w:lang w:val="en-US" w:eastAsia="zh-CN"/>
              </w:rPr>
              <w:t xml:space="preserve">年 </w:t>
            </w:r>
            <w:r>
              <w:rPr>
                <w:rFonts w:hint="eastAsia" w:ascii="宋体" w:hAnsi="宋体" w:cs="Calibri Light"/>
                <w:color w:val="auto"/>
                <w:kern w:val="0"/>
                <w:sz w:val="24"/>
                <w:highlight w:val="yellow"/>
                <w:lang w:val="en-US" w:eastAsia="zh-CN"/>
              </w:rPr>
              <w:t>1</w:t>
            </w:r>
            <w:r>
              <w:rPr>
                <w:rFonts w:hint="eastAsia" w:ascii="宋体" w:hAnsi="宋体" w:eastAsia="宋体" w:cs="Calibri Light"/>
                <w:color w:val="auto"/>
                <w:kern w:val="0"/>
                <w:sz w:val="24"/>
                <w:highlight w:val="yellow"/>
                <w:lang w:val="en-US" w:eastAsia="zh-CN"/>
              </w:rPr>
              <w:t xml:space="preserve">月 </w:t>
            </w:r>
            <w:r>
              <w:rPr>
                <w:rFonts w:hint="eastAsia" w:ascii="宋体" w:hAnsi="宋体" w:cs="Calibri Light"/>
                <w:color w:val="auto"/>
                <w:kern w:val="0"/>
                <w:sz w:val="24"/>
                <w:highlight w:val="yellow"/>
                <w:lang w:val="en-US" w:eastAsia="zh-CN"/>
              </w:rPr>
              <w:t>23</w:t>
            </w:r>
            <w:r>
              <w:rPr>
                <w:rFonts w:hint="eastAsia" w:ascii="宋体" w:hAnsi="宋体" w:eastAsia="宋体" w:cs="Calibri Light"/>
                <w:color w:val="auto"/>
                <w:kern w:val="0"/>
                <w:sz w:val="24"/>
                <w:highlight w:val="yellow"/>
                <w:lang w:val="en-US" w:eastAsia="zh-CN"/>
              </w:rPr>
              <w:t xml:space="preserve"> 日 9:00（北京时间）</w:t>
            </w:r>
          </w:p>
          <w:p w14:paraId="16C71833">
            <w:pPr>
              <w:spacing w:line="400" w:lineRule="exact"/>
              <w:rPr>
                <w:rFonts w:ascii="宋体" w:hAnsi="宋体" w:cs="宋体"/>
                <w:color w:val="auto"/>
                <w:sz w:val="24"/>
                <w:highlight w:val="yellow"/>
              </w:rPr>
            </w:pPr>
            <w:r>
              <w:rPr>
                <w:rFonts w:hint="eastAsia" w:ascii="宋体" w:hAnsi="宋体" w:eastAsia="宋体" w:cs="Calibri Light"/>
                <w:color w:val="auto"/>
                <w:kern w:val="0"/>
                <w:sz w:val="24"/>
                <w:highlight w:val="yellow"/>
              </w:rPr>
              <w:t>磋商响应文件递交</w:t>
            </w:r>
            <w:r>
              <w:rPr>
                <w:rFonts w:hint="eastAsia" w:ascii="宋体" w:hAnsi="宋体" w:eastAsia="宋体" w:cs="Calibri Light"/>
                <w:color w:val="auto"/>
                <w:kern w:val="0"/>
                <w:sz w:val="24"/>
                <w:highlight w:val="yellow"/>
                <w:lang w:eastAsia="zh-CN"/>
              </w:rPr>
              <w:t>地点：</w:t>
            </w:r>
            <w:r>
              <w:rPr>
                <w:rFonts w:hint="eastAsia" w:ascii="宋体" w:hAnsi="宋体" w:eastAsia="宋体" w:cs="Calibri Light"/>
                <w:color w:val="auto"/>
                <w:kern w:val="0"/>
                <w:sz w:val="24"/>
                <w:highlight w:val="yellow"/>
              </w:rPr>
              <w:t>“政府采购云平台”</w:t>
            </w:r>
          </w:p>
        </w:tc>
      </w:tr>
      <w:tr w14:paraId="2181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5021DC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380" w:type="dxa"/>
            <w:tcBorders>
              <w:top w:val="single" w:color="auto" w:sz="4" w:space="0"/>
              <w:left w:val="single" w:color="auto" w:sz="4" w:space="0"/>
              <w:bottom w:val="single" w:color="auto" w:sz="4" w:space="0"/>
              <w:right w:val="single" w:color="auto" w:sz="4" w:space="0"/>
            </w:tcBorders>
            <w:vAlign w:val="center"/>
          </w:tcPr>
          <w:p w14:paraId="78D61CAA">
            <w:pPr>
              <w:spacing w:line="400" w:lineRule="exact"/>
              <w:jc w:val="center"/>
              <w:rPr>
                <w:rFonts w:ascii="宋体" w:hAnsi="宋体" w:cs="宋体"/>
                <w:color w:val="auto"/>
                <w:sz w:val="24"/>
                <w:highlight w:val="yellow"/>
              </w:rPr>
            </w:pPr>
            <w:r>
              <w:rPr>
                <w:rFonts w:hint="eastAsia" w:ascii="宋体" w:hAnsi="宋体" w:cs="宋体"/>
                <w:color w:val="auto"/>
                <w:sz w:val="24"/>
                <w:highlight w:val="yellow"/>
              </w:rPr>
              <w:t>磋商时间及地点</w:t>
            </w:r>
          </w:p>
        </w:tc>
        <w:tc>
          <w:tcPr>
            <w:tcW w:w="5950" w:type="dxa"/>
            <w:tcBorders>
              <w:top w:val="single" w:color="auto" w:sz="4" w:space="0"/>
              <w:left w:val="single" w:color="auto" w:sz="4" w:space="0"/>
              <w:bottom w:val="single" w:color="auto" w:sz="4" w:space="0"/>
              <w:right w:val="single" w:color="auto" w:sz="4" w:space="0"/>
            </w:tcBorders>
            <w:vAlign w:val="center"/>
          </w:tcPr>
          <w:p w14:paraId="110677CE">
            <w:pPr>
              <w:keepNext w:val="0"/>
              <w:keepLines w:val="0"/>
              <w:pageBreakBefore w:val="0"/>
              <w:kinsoku/>
              <w:wordWrap/>
              <w:overflowPunct/>
              <w:topLinePunct w:val="0"/>
              <w:bidi w:val="0"/>
              <w:snapToGrid/>
              <w:spacing w:line="400" w:lineRule="exact"/>
              <w:textAlignment w:val="auto"/>
              <w:rPr>
                <w:rFonts w:hint="eastAsia" w:ascii="宋体" w:hAnsi="宋体" w:eastAsia="宋体" w:cs="Calibri Light"/>
                <w:color w:val="auto"/>
                <w:kern w:val="0"/>
                <w:sz w:val="24"/>
                <w:highlight w:val="yellow"/>
                <w:lang w:val="en-US" w:eastAsia="zh-CN"/>
              </w:rPr>
            </w:pPr>
            <w:r>
              <w:rPr>
                <w:rFonts w:hint="eastAsia" w:ascii="宋体" w:hAnsi="宋体" w:eastAsia="宋体" w:cs="Calibri Light"/>
                <w:color w:val="auto"/>
                <w:kern w:val="0"/>
                <w:sz w:val="24"/>
                <w:highlight w:val="yellow"/>
                <w:lang w:val="en-US" w:eastAsia="zh-CN"/>
              </w:rPr>
              <w:t>202</w:t>
            </w:r>
            <w:r>
              <w:rPr>
                <w:rFonts w:hint="eastAsia" w:ascii="宋体" w:hAnsi="宋体" w:cs="Calibri Light"/>
                <w:color w:val="auto"/>
                <w:kern w:val="0"/>
                <w:sz w:val="24"/>
                <w:highlight w:val="yellow"/>
                <w:lang w:val="en-US" w:eastAsia="zh-CN"/>
              </w:rPr>
              <w:t>5</w:t>
            </w:r>
            <w:r>
              <w:rPr>
                <w:rFonts w:hint="eastAsia" w:ascii="宋体" w:hAnsi="宋体" w:eastAsia="宋体" w:cs="Calibri Light"/>
                <w:color w:val="auto"/>
                <w:kern w:val="0"/>
                <w:sz w:val="24"/>
                <w:highlight w:val="yellow"/>
                <w:lang w:val="en-US" w:eastAsia="zh-CN"/>
              </w:rPr>
              <w:t>年</w:t>
            </w:r>
            <w:r>
              <w:rPr>
                <w:rFonts w:hint="eastAsia" w:ascii="宋体" w:hAnsi="宋体" w:cs="Calibri Light"/>
                <w:color w:val="auto"/>
                <w:kern w:val="0"/>
                <w:sz w:val="24"/>
                <w:highlight w:val="yellow"/>
                <w:lang w:val="en-US" w:eastAsia="zh-CN"/>
              </w:rPr>
              <w:t xml:space="preserve"> 1</w:t>
            </w:r>
            <w:r>
              <w:rPr>
                <w:rFonts w:hint="eastAsia" w:ascii="宋体" w:hAnsi="宋体" w:eastAsia="宋体" w:cs="Calibri Light"/>
                <w:color w:val="auto"/>
                <w:kern w:val="0"/>
                <w:sz w:val="24"/>
                <w:highlight w:val="yellow"/>
                <w:lang w:val="en-US" w:eastAsia="zh-CN"/>
              </w:rPr>
              <w:t xml:space="preserve">月 </w:t>
            </w:r>
            <w:r>
              <w:rPr>
                <w:rFonts w:hint="eastAsia" w:ascii="宋体" w:hAnsi="宋体" w:cs="Calibri Light"/>
                <w:color w:val="auto"/>
                <w:kern w:val="0"/>
                <w:sz w:val="24"/>
                <w:highlight w:val="yellow"/>
                <w:lang w:val="en-US" w:eastAsia="zh-CN"/>
              </w:rPr>
              <w:t>23</w:t>
            </w:r>
            <w:r>
              <w:rPr>
                <w:rFonts w:hint="eastAsia" w:ascii="宋体" w:hAnsi="宋体" w:eastAsia="宋体" w:cs="Calibri Light"/>
                <w:color w:val="auto"/>
                <w:kern w:val="0"/>
                <w:sz w:val="24"/>
                <w:highlight w:val="yellow"/>
                <w:lang w:val="en-US" w:eastAsia="zh-CN"/>
              </w:rPr>
              <w:t xml:space="preserve"> 日 9:00（北京时间）</w:t>
            </w:r>
          </w:p>
          <w:p w14:paraId="40E726BD">
            <w:pPr>
              <w:spacing w:line="400" w:lineRule="exact"/>
              <w:rPr>
                <w:rFonts w:ascii="宋体" w:hAnsi="宋体" w:cs="宋体"/>
                <w:color w:val="auto"/>
                <w:sz w:val="24"/>
                <w:highlight w:val="yellow"/>
              </w:rPr>
            </w:pPr>
            <w:r>
              <w:rPr>
                <w:rFonts w:hint="eastAsia" w:ascii="宋体" w:hAnsi="宋体" w:eastAsia="宋体" w:cs="Calibri Light"/>
                <w:color w:val="auto"/>
                <w:kern w:val="0"/>
                <w:sz w:val="24"/>
                <w:highlight w:val="yellow"/>
              </w:rPr>
              <w:t>磋商响应文件递交</w:t>
            </w:r>
            <w:r>
              <w:rPr>
                <w:rFonts w:hint="eastAsia" w:ascii="宋体" w:hAnsi="宋体" w:eastAsia="宋体" w:cs="Calibri Light"/>
                <w:color w:val="auto"/>
                <w:kern w:val="0"/>
                <w:sz w:val="24"/>
                <w:highlight w:val="yellow"/>
                <w:lang w:eastAsia="zh-CN"/>
              </w:rPr>
              <w:t>地点：</w:t>
            </w:r>
            <w:r>
              <w:rPr>
                <w:rFonts w:hint="eastAsia" w:ascii="宋体" w:hAnsi="宋体" w:eastAsia="宋体" w:cs="Calibri Light"/>
                <w:color w:val="auto"/>
                <w:kern w:val="0"/>
                <w:sz w:val="24"/>
                <w:highlight w:val="yellow"/>
              </w:rPr>
              <w:t>“政府采购云平台”</w:t>
            </w:r>
          </w:p>
        </w:tc>
      </w:tr>
      <w:tr w14:paraId="2202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739F58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380" w:type="dxa"/>
            <w:tcBorders>
              <w:top w:val="single" w:color="auto" w:sz="4" w:space="0"/>
              <w:left w:val="single" w:color="auto" w:sz="4" w:space="0"/>
              <w:bottom w:val="single" w:color="auto" w:sz="4" w:space="0"/>
              <w:right w:val="single" w:color="auto" w:sz="4" w:space="0"/>
            </w:tcBorders>
            <w:vAlign w:val="center"/>
          </w:tcPr>
          <w:p w14:paraId="5D9B6A1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磋商保证金</w:t>
            </w:r>
          </w:p>
        </w:tc>
        <w:tc>
          <w:tcPr>
            <w:tcW w:w="5950" w:type="dxa"/>
            <w:tcBorders>
              <w:top w:val="single" w:color="auto" w:sz="4" w:space="0"/>
              <w:left w:val="single" w:color="auto" w:sz="4" w:space="0"/>
              <w:bottom w:val="single" w:color="auto" w:sz="4" w:space="0"/>
              <w:right w:val="single" w:color="auto" w:sz="4" w:space="0"/>
            </w:tcBorders>
            <w:vAlign w:val="center"/>
          </w:tcPr>
          <w:p w14:paraId="2BB76C7D">
            <w:pPr>
              <w:spacing w:line="400" w:lineRule="exact"/>
              <w:jc w:val="left"/>
              <w:rPr>
                <w:rFonts w:ascii="宋体" w:hAnsi="宋体" w:cs="宋体"/>
                <w:color w:val="auto"/>
                <w:sz w:val="24"/>
                <w:highlight w:val="none"/>
              </w:rPr>
            </w:pPr>
            <w:r>
              <w:rPr>
                <w:rFonts w:hint="eastAsia" w:ascii="宋体" w:hAnsi="宋体" w:cs="宋体"/>
                <w:color w:val="auto"/>
                <w:sz w:val="24"/>
                <w:highlight w:val="none"/>
              </w:rPr>
              <w:t>无</w:t>
            </w:r>
          </w:p>
        </w:tc>
      </w:tr>
      <w:tr w14:paraId="6E35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CEDAD6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380" w:type="dxa"/>
            <w:tcBorders>
              <w:top w:val="single" w:color="auto" w:sz="4" w:space="0"/>
              <w:left w:val="single" w:color="auto" w:sz="4" w:space="0"/>
              <w:bottom w:val="single" w:color="auto" w:sz="4" w:space="0"/>
              <w:right w:val="single" w:color="auto" w:sz="4" w:space="0"/>
            </w:tcBorders>
            <w:vAlign w:val="center"/>
          </w:tcPr>
          <w:p w14:paraId="15B6E1E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5950" w:type="dxa"/>
            <w:tcBorders>
              <w:top w:val="single" w:color="auto" w:sz="4" w:space="0"/>
              <w:left w:val="single" w:color="auto" w:sz="4" w:space="0"/>
              <w:bottom w:val="single" w:color="auto" w:sz="4" w:space="0"/>
              <w:right w:val="single" w:color="auto" w:sz="4" w:space="0"/>
            </w:tcBorders>
            <w:vAlign w:val="center"/>
          </w:tcPr>
          <w:p w14:paraId="775C755B">
            <w:pPr>
              <w:pStyle w:val="2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中标价的</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%，供应商应当以</w:t>
            </w:r>
            <w:r>
              <w:rPr>
                <w:rFonts w:hint="eastAsia" w:ascii="宋体" w:hAnsi="宋体" w:eastAsia="宋体" w:cs="宋体"/>
                <w:color w:val="auto"/>
                <w:sz w:val="24"/>
                <w:szCs w:val="24"/>
                <w:highlight w:val="none"/>
                <w:lang w:eastAsia="zh-CN"/>
              </w:rPr>
              <w:t>转账、</w:t>
            </w:r>
            <w:r>
              <w:rPr>
                <w:rFonts w:hint="eastAsia" w:ascii="宋体" w:hAnsi="宋体" w:eastAsia="宋体" w:cs="宋体"/>
                <w:color w:val="auto"/>
                <w:sz w:val="24"/>
                <w:szCs w:val="24"/>
                <w:highlight w:val="none"/>
              </w:rPr>
              <w:t>支票、汇票、本票或者金融机构、担保机构出具的保函等非现金形式提交</w:t>
            </w:r>
            <w:r>
              <w:rPr>
                <w:rFonts w:hint="eastAsia" w:ascii="宋体" w:hAnsi="宋体" w:eastAsia="宋体" w:cs="宋体"/>
                <w:color w:val="auto"/>
                <w:sz w:val="24"/>
                <w:szCs w:val="24"/>
                <w:highlight w:val="none"/>
                <w:lang w:eastAsia="zh-CN"/>
              </w:rPr>
              <w:t>。</w:t>
            </w:r>
          </w:p>
        </w:tc>
      </w:tr>
      <w:tr w14:paraId="4B10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170E84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2380" w:type="dxa"/>
            <w:tcBorders>
              <w:top w:val="single" w:color="auto" w:sz="4" w:space="0"/>
              <w:left w:val="single" w:color="auto" w:sz="4" w:space="0"/>
              <w:bottom w:val="single" w:color="auto" w:sz="4" w:space="0"/>
              <w:right w:val="single" w:color="auto" w:sz="4" w:space="0"/>
            </w:tcBorders>
            <w:vAlign w:val="center"/>
          </w:tcPr>
          <w:p w14:paraId="5518C6CE">
            <w:pPr>
              <w:autoSpaceDE w:val="0"/>
              <w:autoSpaceDN w:val="0"/>
              <w:adjustRightInd w:val="0"/>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5950" w:type="dxa"/>
            <w:tcBorders>
              <w:top w:val="single" w:color="auto" w:sz="4" w:space="0"/>
              <w:left w:val="single" w:color="auto" w:sz="4" w:space="0"/>
              <w:bottom w:val="single" w:color="auto" w:sz="4" w:space="0"/>
              <w:right w:val="single" w:color="auto" w:sz="4" w:space="0"/>
            </w:tcBorders>
            <w:vAlign w:val="center"/>
          </w:tcPr>
          <w:p w14:paraId="6495428C">
            <w:pPr>
              <w:autoSpaceDE w:val="0"/>
              <w:autoSpaceDN w:val="0"/>
              <w:adjustRightInd w:val="0"/>
              <w:spacing w:line="400" w:lineRule="exact"/>
              <w:ind w:hanging="3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▲”的条款是实质性条款，磋商</w:t>
            </w:r>
            <w:r>
              <w:rPr>
                <w:rFonts w:hint="eastAsia" w:ascii="宋体" w:hAnsi="宋体" w:cs="宋体"/>
                <w:color w:val="auto"/>
                <w:sz w:val="24"/>
                <w:highlight w:val="none"/>
              </w:rPr>
              <w:t>响应</w:t>
            </w:r>
            <w:r>
              <w:rPr>
                <w:rFonts w:hint="eastAsia" w:ascii="宋体" w:hAnsi="宋体" w:cs="宋体"/>
                <w:bCs/>
                <w:color w:val="auto"/>
                <w:sz w:val="24"/>
                <w:highlight w:val="none"/>
              </w:rPr>
              <w:t>文件须作出实质性响应，否则终止磋商。</w:t>
            </w:r>
          </w:p>
        </w:tc>
      </w:tr>
      <w:tr w14:paraId="233B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722F5C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2380" w:type="dxa"/>
            <w:tcBorders>
              <w:top w:val="single" w:color="auto" w:sz="4" w:space="0"/>
              <w:left w:val="single" w:color="auto" w:sz="4" w:space="0"/>
              <w:bottom w:val="single" w:color="auto" w:sz="4" w:space="0"/>
              <w:right w:val="single" w:color="auto" w:sz="4" w:space="0"/>
            </w:tcBorders>
            <w:vAlign w:val="center"/>
          </w:tcPr>
          <w:p w14:paraId="7F73DDD3">
            <w:pPr>
              <w:autoSpaceDE w:val="0"/>
              <w:autoSpaceDN w:val="0"/>
              <w:adjustRightIn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5950" w:type="dxa"/>
            <w:tcBorders>
              <w:top w:val="single" w:color="auto" w:sz="4" w:space="0"/>
              <w:left w:val="single" w:color="auto" w:sz="4" w:space="0"/>
              <w:bottom w:val="single" w:color="auto" w:sz="4" w:space="0"/>
              <w:right w:val="single" w:color="auto" w:sz="4" w:space="0"/>
            </w:tcBorders>
            <w:vAlign w:val="center"/>
          </w:tcPr>
          <w:p w14:paraId="4B3C9A8D">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本磋商文件解释权属于采购人和采购代理机构。</w:t>
            </w:r>
          </w:p>
        </w:tc>
      </w:tr>
      <w:tr w14:paraId="32D4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29FE14D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2380" w:type="dxa"/>
            <w:tcBorders>
              <w:top w:val="single" w:color="auto" w:sz="4" w:space="0"/>
              <w:left w:val="single" w:color="auto" w:sz="4" w:space="0"/>
              <w:bottom w:val="single" w:color="auto" w:sz="4" w:space="0"/>
              <w:right w:val="single" w:color="auto" w:sz="4" w:space="0"/>
            </w:tcBorders>
            <w:vAlign w:val="center"/>
          </w:tcPr>
          <w:p w14:paraId="7C71E44A">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其它事项</w:t>
            </w:r>
          </w:p>
        </w:tc>
        <w:tc>
          <w:tcPr>
            <w:tcW w:w="5950" w:type="dxa"/>
            <w:tcBorders>
              <w:top w:val="single" w:color="auto" w:sz="4" w:space="0"/>
              <w:left w:val="single" w:color="auto" w:sz="4" w:space="0"/>
              <w:bottom w:val="single" w:color="auto" w:sz="4" w:space="0"/>
              <w:right w:val="single" w:color="auto" w:sz="4" w:space="0"/>
            </w:tcBorders>
            <w:vAlign w:val="center"/>
          </w:tcPr>
          <w:p w14:paraId="0C648A7E">
            <w:pPr>
              <w:spacing w:line="360" w:lineRule="auto"/>
              <w:jc w:val="left"/>
              <w:rPr>
                <w:rFonts w:ascii="宋体" w:cs="宋体"/>
                <w:bCs/>
                <w:color w:val="auto"/>
                <w:sz w:val="24"/>
                <w:highlight w:val="none"/>
              </w:rPr>
            </w:pPr>
            <w:r>
              <w:rPr>
                <w:rFonts w:hint="eastAsia" w:ascii="宋体" w:cs="宋体"/>
                <w:bCs/>
                <w:color w:val="auto"/>
                <w:sz w:val="24"/>
                <w:highlight w:val="none"/>
              </w:rPr>
              <w:t>中标供应商如有融资需求，可使用政采贷服务。</w:t>
            </w:r>
          </w:p>
        </w:tc>
      </w:tr>
      <w:tr w14:paraId="656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57FB83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2380" w:type="dxa"/>
            <w:tcBorders>
              <w:top w:val="single" w:color="auto" w:sz="4" w:space="0"/>
              <w:left w:val="single" w:color="auto" w:sz="4" w:space="0"/>
              <w:bottom w:val="single" w:color="auto" w:sz="4" w:space="0"/>
              <w:right w:val="single" w:color="auto" w:sz="4" w:space="0"/>
            </w:tcBorders>
            <w:vAlign w:val="center"/>
          </w:tcPr>
          <w:p w14:paraId="77D958C6">
            <w:pPr>
              <w:autoSpaceDE w:val="0"/>
              <w:autoSpaceDN w:val="0"/>
              <w:adjustRightInd w:val="0"/>
              <w:spacing w:line="360" w:lineRule="auto"/>
              <w:jc w:val="center"/>
              <w:rPr>
                <w:rFonts w:ascii="宋体" w:hAnsi="宋体" w:cs="宋体"/>
                <w:color w:val="auto"/>
                <w:sz w:val="24"/>
                <w:highlight w:val="none"/>
              </w:rPr>
            </w:pPr>
            <w:r>
              <w:rPr>
                <w:rFonts w:hint="eastAsia" w:ascii="宋体" w:cs="宋体"/>
                <w:color w:val="auto"/>
                <w:sz w:val="24"/>
                <w:highlight w:val="none"/>
              </w:rPr>
              <w:t>本项目所属行业</w:t>
            </w:r>
          </w:p>
        </w:tc>
        <w:tc>
          <w:tcPr>
            <w:tcW w:w="5950" w:type="dxa"/>
            <w:tcBorders>
              <w:top w:val="single" w:color="auto" w:sz="4" w:space="0"/>
              <w:left w:val="single" w:color="auto" w:sz="4" w:space="0"/>
              <w:bottom w:val="single" w:color="auto" w:sz="4" w:space="0"/>
              <w:right w:val="single" w:color="auto" w:sz="4" w:space="0"/>
            </w:tcBorders>
            <w:vAlign w:val="center"/>
          </w:tcPr>
          <w:p w14:paraId="4269F39C">
            <w:pPr>
              <w:spacing w:line="360" w:lineRule="auto"/>
              <w:jc w:val="left"/>
              <w:rPr>
                <w:rFonts w:ascii="宋体" w:hAnsi="宋体" w:cs="宋体"/>
                <w:b/>
                <w:color w:val="auto"/>
                <w:sz w:val="24"/>
                <w:highlight w:val="none"/>
              </w:rPr>
            </w:pPr>
            <w:r>
              <w:rPr>
                <w:rFonts w:hint="eastAsia" w:ascii="宋体" w:cs="宋体"/>
                <w:b/>
                <w:bCs/>
                <w:color w:val="auto"/>
                <w:sz w:val="24"/>
                <w:highlight w:val="none"/>
                <w:lang w:eastAsia="zh-CN"/>
              </w:rPr>
              <w:t>本项目中小企业划型标准规定（</w:t>
            </w:r>
            <w:r>
              <w:rPr>
                <w:rFonts w:hint="eastAsia" w:ascii="宋体" w:cs="宋体"/>
                <w:b/>
                <w:bCs/>
                <w:color w:val="auto"/>
                <w:sz w:val="24"/>
                <w:highlight w:val="none"/>
              </w:rPr>
              <w:t>工信部联企业[2011]300号）</w:t>
            </w:r>
            <w:r>
              <w:rPr>
                <w:rFonts w:hint="eastAsia" w:ascii="宋体" w:eastAsia="宋体" w:cs="宋体"/>
                <w:b/>
                <w:bCs/>
                <w:color w:val="auto"/>
                <w:sz w:val="24"/>
                <w:highlight w:val="none"/>
                <w:lang w:eastAsia="zh-CN"/>
              </w:rPr>
              <w:t>：建筑业</w:t>
            </w:r>
          </w:p>
        </w:tc>
      </w:tr>
      <w:tr w14:paraId="3144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B9BEC7F">
            <w:pPr>
              <w:pStyle w:val="23"/>
              <w:spacing w:line="420" w:lineRule="exact"/>
              <w:jc w:val="center"/>
              <w:rPr>
                <w:rFonts w:hint="eastAsia" w:ascii="宋体" w:hAnsi="宋体" w:eastAsia="宋体" w:cs="宋体"/>
                <w:kern w:val="2"/>
                <w:sz w:val="24"/>
                <w:szCs w:val="24"/>
                <w:highlight w:val="none"/>
                <w:lang w:val="en-US" w:eastAsia="zh-CN" w:bidi="ar-SA"/>
              </w:rPr>
            </w:pPr>
            <w:r>
              <w:rPr>
                <w:rFonts w:hint="eastAsia" w:hAnsi="宋体" w:cs="宋体"/>
                <w:sz w:val="24"/>
                <w:highlight w:val="none"/>
                <w:lang w:val="en-US" w:eastAsia="zh-CN"/>
              </w:rPr>
              <w:t>1</w:t>
            </w:r>
            <w:r>
              <w:rPr>
                <w:rFonts w:hint="eastAsia" w:ascii="宋体" w:hAnsi="宋体" w:eastAsia="宋体" w:cs="宋体"/>
                <w:sz w:val="24"/>
                <w:highlight w:val="none"/>
                <w:lang w:val="en-US" w:eastAsia="zh-CN"/>
              </w:rPr>
              <w:t>8</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6406801F">
            <w:pPr>
              <w:pStyle w:val="23"/>
              <w:spacing w:line="420" w:lineRule="exact"/>
              <w:ind w:firstLine="240" w:firstLineChars="1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供应商信用查询</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14:paraId="1AA9D178">
            <w:pPr>
              <w:pStyle w:val="23"/>
              <w:spacing w:line="360" w:lineRule="auto"/>
              <w:rPr>
                <w:rFonts w:hint="eastAsia" w:ascii="宋体" w:hAnsi="宋体" w:eastAsia="宋体" w:cs="宋体"/>
                <w:sz w:val="24"/>
                <w:highlight w:val="none"/>
              </w:rPr>
            </w:pPr>
            <w:r>
              <w:rPr>
                <w:rFonts w:hint="eastAsia" w:ascii="宋体" w:hAnsi="宋体" w:eastAsia="宋体" w:cs="宋体"/>
                <w:sz w:val="24"/>
                <w:highlight w:val="none"/>
              </w:rPr>
              <w:t>1、查询渠道：信用中国（网址：http://www.creditchina.gov.cn）、中国政府采购网(网址：http://www.ccgp.gov.cn）。</w:t>
            </w:r>
          </w:p>
          <w:p w14:paraId="5639BE44">
            <w:pPr>
              <w:pStyle w:val="23"/>
              <w:spacing w:line="360" w:lineRule="auto"/>
              <w:rPr>
                <w:rFonts w:hint="eastAsia" w:ascii="宋体" w:hAnsi="宋体" w:eastAsia="宋体" w:cs="宋体"/>
                <w:sz w:val="24"/>
                <w:highlight w:val="none"/>
              </w:rPr>
            </w:pPr>
            <w:r>
              <w:rPr>
                <w:rFonts w:hint="eastAsia" w:ascii="宋体" w:hAnsi="宋体" w:eastAsia="宋体" w:cs="宋体"/>
                <w:sz w:val="24"/>
                <w:highlight w:val="none"/>
              </w:rPr>
              <w:t>2、截止时点：响应文件开启后评审前。</w:t>
            </w:r>
          </w:p>
          <w:p w14:paraId="39B6538A">
            <w:pPr>
              <w:pStyle w:val="23"/>
              <w:spacing w:line="360" w:lineRule="auto"/>
              <w:rPr>
                <w:rFonts w:hint="eastAsia" w:ascii="宋体" w:hAnsi="宋体" w:eastAsia="宋体" w:cs="宋体"/>
                <w:sz w:val="24"/>
                <w:highlight w:val="none"/>
              </w:rPr>
            </w:pPr>
            <w:r>
              <w:rPr>
                <w:rFonts w:hint="eastAsia" w:ascii="宋体" w:hAnsi="宋体" w:eastAsia="宋体" w:cs="宋体"/>
                <w:sz w:val="24"/>
                <w:highlight w:val="none"/>
              </w:rPr>
              <w:t>3、信用信息查询记录和证据留存的具体方式：由采购组织机构在规定查询时间内打印信用信息查询记录并归入项目档案。</w:t>
            </w:r>
          </w:p>
          <w:p w14:paraId="6321CF67">
            <w:pPr>
              <w:pStyle w:val="23"/>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622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AFC794C">
            <w:pPr>
              <w:pStyle w:val="23"/>
              <w:spacing w:line="420" w:lineRule="exact"/>
              <w:jc w:val="center"/>
              <w:rPr>
                <w:rFonts w:hint="eastAsia" w:ascii="宋体" w:hAnsi="宋体" w:eastAsia="宋体" w:cs="宋体"/>
                <w:kern w:val="2"/>
                <w:sz w:val="24"/>
                <w:szCs w:val="24"/>
                <w:highlight w:val="none"/>
                <w:lang w:val="en-US" w:eastAsia="zh-CN" w:bidi="ar-SA"/>
              </w:rPr>
            </w:pPr>
            <w:r>
              <w:rPr>
                <w:rFonts w:hint="eastAsia" w:hAnsi="宋体" w:cs="宋体"/>
                <w:sz w:val="24"/>
                <w:highlight w:val="none"/>
                <w:lang w:val="en-US" w:eastAsia="zh-CN"/>
              </w:rPr>
              <w:t>1</w:t>
            </w:r>
            <w:r>
              <w:rPr>
                <w:rFonts w:hint="eastAsia" w:ascii="宋体" w:hAnsi="宋体" w:eastAsia="宋体" w:cs="宋体"/>
                <w:sz w:val="24"/>
                <w:highlight w:val="none"/>
                <w:lang w:val="en-US" w:eastAsia="zh-CN"/>
              </w:rPr>
              <w:t>9</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3717A0F2">
            <w:pPr>
              <w:pStyle w:val="23"/>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不见面磋商</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14:paraId="78E197C2">
            <w:pPr>
              <w:pStyle w:val="23"/>
              <w:spacing w:line="42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highlight w:val="none"/>
              </w:rPr>
              <w:t>本项目磋商环节实行全流程电子化，并采取钉钉群交流模式辅助磋商。已依法获取磋商文件并确定参加磋商的供应商（授权代表或法定代表人（负责人）本人）请通过钉钉(DingTalk)软件搜索群号</w:t>
            </w:r>
            <w:r>
              <w:rPr>
                <w:rFonts w:hint="eastAsia" w:ascii="宋体" w:hAnsi="宋体" w:cs="宋体"/>
                <w:color w:val="auto"/>
                <w:kern w:val="0"/>
                <w:highlight w:val="none"/>
              </w:rPr>
              <w:t>110085002095</w:t>
            </w:r>
            <w:r>
              <w:rPr>
                <w:rFonts w:hint="eastAsia" w:ascii="宋体" w:hAnsi="宋体" w:eastAsia="宋体" w:cs="宋体"/>
                <w:sz w:val="24"/>
                <w:highlight w:val="none"/>
              </w:rPr>
              <w:t>进入本项目专属交流群，代理机构将依据供应商所发送的</w:t>
            </w:r>
            <w:r>
              <w:rPr>
                <w:rFonts w:hint="eastAsia" w:ascii="宋体" w:hAnsi="宋体" w:eastAsia="宋体" w:cs="宋体"/>
                <w:sz w:val="24"/>
                <w:highlight w:val="none"/>
                <w:u w:val="single"/>
              </w:rPr>
              <w:t>法定代表人（负责人）资格证明书或授权委托书</w:t>
            </w:r>
            <w:r>
              <w:rPr>
                <w:rFonts w:hint="eastAsia" w:ascii="宋体" w:hAnsi="宋体" w:eastAsia="宋体" w:cs="宋体"/>
                <w:sz w:val="24"/>
                <w:highlight w:val="none"/>
              </w:rPr>
              <w:t>进行人员身份确认，审核入群时间为响应文件开启前30分钟内</w:t>
            </w:r>
            <w:r>
              <w:rPr>
                <w:rFonts w:hint="eastAsia" w:ascii="宋体" w:hAnsi="宋体" w:eastAsia="宋体" w:cs="宋体"/>
                <w:bCs/>
                <w:sz w:val="24"/>
                <w:highlight w:val="none"/>
              </w:rPr>
              <w:t>。若供应商未及时加入本项目钉钉群的，视为认可磋商结果，事后不得对采购相关人员、磋商过程和磋商结果提出异议。</w:t>
            </w:r>
          </w:p>
        </w:tc>
      </w:tr>
      <w:tr w14:paraId="61B3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CF94549">
            <w:pPr>
              <w:pStyle w:val="23"/>
              <w:spacing w:line="420" w:lineRule="exact"/>
              <w:jc w:val="center"/>
              <w:rPr>
                <w:rFonts w:hint="eastAsia" w:ascii="宋体" w:hAnsi="宋体" w:eastAsia="宋体" w:cs="宋体"/>
                <w:kern w:val="2"/>
                <w:sz w:val="24"/>
                <w:szCs w:val="24"/>
                <w:highlight w:val="none"/>
                <w:lang w:val="en-US" w:eastAsia="zh-CN" w:bidi="ar-SA"/>
              </w:rPr>
            </w:pPr>
            <w:r>
              <w:rPr>
                <w:rFonts w:hint="eastAsia" w:hAnsi="宋体" w:cs="宋体"/>
                <w:sz w:val="24"/>
                <w:highlight w:val="none"/>
                <w:lang w:val="en-US" w:eastAsia="zh-CN"/>
              </w:rPr>
              <w:t>2</w:t>
            </w:r>
            <w:r>
              <w:rPr>
                <w:rFonts w:hint="eastAsia" w:ascii="宋体" w:hAnsi="宋体" w:eastAsia="宋体" w:cs="宋体"/>
                <w:sz w:val="24"/>
                <w:highlight w:val="none"/>
                <w:lang w:val="en-US" w:eastAsia="zh-CN"/>
              </w:rPr>
              <w:t>0</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57ECB8D4">
            <w:pPr>
              <w:pStyle w:val="23"/>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免责声明</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14:paraId="75E139A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1.供应商自行承担磋商过程中产生的费用。无论何种因素导致采购项目延期开标、废标（流标）、供应商未成交、项目终止采购的，采购人与代理机构均不承担供应商磋商费用。</w:t>
            </w:r>
          </w:p>
          <w:p w14:paraId="5215F1E6">
            <w:pPr>
              <w:pStyle w:val="23"/>
              <w:spacing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highlight w:val="none"/>
              </w:rPr>
              <w:t>2.供应商在磋商、合同履行过程中必须做好安全保障工作，不因项目实施而危及自身及第三方人员、财产安全。若发生任何安全事故，由成交供应商自行承担一切责任并赔偿损失。</w:t>
            </w:r>
          </w:p>
        </w:tc>
      </w:tr>
      <w:tr w14:paraId="7814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DD75C17">
            <w:pPr>
              <w:pStyle w:val="23"/>
              <w:spacing w:line="420" w:lineRule="exact"/>
              <w:jc w:val="center"/>
              <w:rPr>
                <w:rFonts w:hint="default" w:hAnsi="宋体" w:cs="宋体"/>
                <w:sz w:val="24"/>
                <w:highlight w:val="none"/>
                <w:lang w:val="en-US" w:eastAsia="zh-CN"/>
              </w:rPr>
            </w:pPr>
            <w:r>
              <w:rPr>
                <w:rFonts w:hint="eastAsia" w:hAnsi="宋体" w:cs="宋体"/>
                <w:sz w:val="24"/>
                <w:highlight w:val="none"/>
                <w:lang w:val="en-US" w:eastAsia="zh-CN"/>
              </w:rPr>
              <w:t>21</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55AE467A">
            <w:pPr>
              <w:pStyle w:val="23"/>
              <w:spacing w:line="360" w:lineRule="auto"/>
              <w:jc w:val="center"/>
              <w:rPr>
                <w:rFonts w:hint="eastAsia" w:ascii="宋体" w:hAnsi="宋体" w:eastAsia="宋体" w:cs="宋体"/>
                <w:sz w:val="24"/>
                <w:highlight w:val="none"/>
              </w:rPr>
            </w:pPr>
            <w:r>
              <w:rPr>
                <w:rFonts w:hint="eastAsia" w:ascii="宋体" w:hAnsi="宋体" w:eastAsia="宋体" w:cs="宋体"/>
                <w:b w:val="0"/>
                <w:color w:val="auto"/>
                <w:sz w:val="24"/>
                <w:szCs w:val="24"/>
                <w:highlight w:val="none"/>
              </w:rPr>
              <w:t>中标候选人名数</w:t>
            </w:r>
            <w:r>
              <w:rPr>
                <w:rFonts w:hint="eastAsia" w:ascii="宋体" w:hAnsi="宋体" w:eastAsia="宋体" w:cs="宋体"/>
                <w:b w:val="0"/>
                <w:sz w:val="24"/>
                <w:szCs w:val="24"/>
                <w:highlight w:val="none"/>
                <w:lang w:val="en-US" w:eastAsia="zh-CN"/>
              </w:rPr>
              <w:t xml:space="preserve"> </w:t>
            </w:r>
          </w:p>
        </w:tc>
        <w:tc>
          <w:tcPr>
            <w:tcW w:w="5950" w:type="dxa"/>
            <w:tcBorders>
              <w:top w:val="single" w:color="auto" w:sz="4" w:space="0"/>
              <w:left w:val="single" w:color="auto" w:sz="4" w:space="0"/>
              <w:bottom w:val="single" w:color="auto" w:sz="4" w:space="0"/>
              <w:right w:val="single" w:color="auto" w:sz="4" w:space="0"/>
            </w:tcBorders>
            <w:shd w:val="clear" w:color="auto" w:fill="auto"/>
            <w:vAlign w:val="center"/>
          </w:tcPr>
          <w:p w14:paraId="0CEA9840">
            <w:pPr>
              <w:pStyle w:val="23"/>
              <w:spacing w:line="360" w:lineRule="auto"/>
              <w:rPr>
                <w:rFonts w:hint="eastAsia" w:ascii="宋体" w:hAnsi="宋体" w:eastAsia="宋体" w:cs="宋体"/>
                <w:sz w:val="24"/>
                <w:highlight w:val="none"/>
              </w:rPr>
            </w:pPr>
            <w:r>
              <w:rPr>
                <w:rFonts w:hint="eastAsia" w:ascii="宋体" w:hAnsi="宋体" w:eastAsia="宋体" w:cs="宋体"/>
                <w:color w:val="auto"/>
                <w:spacing w:val="0"/>
                <w:sz w:val="24"/>
                <w:highlight w:val="none"/>
                <w:lang w:val="en-US" w:eastAsia="zh-CN"/>
              </w:rPr>
              <w:t>推荐</w:t>
            </w:r>
            <w:r>
              <w:rPr>
                <w:rFonts w:hint="eastAsia" w:ascii="宋体" w:hAnsi="宋体" w:eastAsia="宋体" w:cs="宋体"/>
                <w:spacing w:val="0"/>
                <w:sz w:val="24"/>
                <w:highlight w:val="none"/>
                <w:lang w:val="en-US" w:eastAsia="zh-CN"/>
              </w:rPr>
              <w:t>三</w:t>
            </w:r>
            <w:r>
              <w:rPr>
                <w:rFonts w:hint="eastAsia" w:ascii="宋体" w:hAnsi="宋体" w:eastAsia="宋体" w:cs="宋体"/>
                <w:color w:val="auto"/>
                <w:spacing w:val="0"/>
                <w:sz w:val="24"/>
                <w:highlight w:val="none"/>
                <w:lang w:val="en-US" w:eastAsia="zh-CN"/>
              </w:rPr>
              <w:t>名中标候选人</w:t>
            </w:r>
          </w:p>
        </w:tc>
      </w:tr>
      <w:tr w14:paraId="5DA7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0" w:type="auto"/>
            <w:shd w:val="clear" w:color="auto" w:fill="auto"/>
            <w:vAlign w:val="center"/>
          </w:tcPr>
          <w:p w14:paraId="2C5D47C8">
            <w:pPr>
              <w:pStyle w:val="23"/>
              <w:spacing w:line="420" w:lineRule="exact"/>
              <w:jc w:val="center"/>
              <w:rPr>
                <w:rFonts w:hint="eastAsia" w:ascii="宋体" w:hAnsi="宋体" w:eastAsia="宋体" w:cs="宋体"/>
                <w:kern w:val="2"/>
                <w:sz w:val="24"/>
                <w:szCs w:val="24"/>
                <w:highlight w:val="none"/>
                <w:lang w:val="en-US" w:eastAsia="zh-CN" w:bidi="ar-SA"/>
              </w:rPr>
            </w:pPr>
            <w:r>
              <w:rPr>
                <w:rFonts w:hint="eastAsia" w:hAnsi="宋体" w:cs="宋体"/>
                <w:sz w:val="24"/>
                <w:highlight w:val="none"/>
                <w:lang w:val="en-US" w:eastAsia="zh-CN"/>
              </w:rPr>
              <w:t>22</w:t>
            </w:r>
          </w:p>
        </w:tc>
        <w:tc>
          <w:tcPr>
            <w:tcW w:w="2380" w:type="dxa"/>
            <w:shd w:val="clear" w:color="auto" w:fill="auto"/>
            <w:vAlign w:val="center"/>
          </w:tcPr>
          <w:p w14:paraId="5E4DB27B">
            <w:pPr>
              <w:pStyle w:val="23"/>
              <w:spacing w:line="42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解释权</w:t>
            </w:r>
          </w:p>
        </w:tc>
        <w:tc>
          <w:tcPr>
            <w:tcW w:w="5950" w:type="dxa"/>
            <w:shd w:val="clear" w:color="auto" w:fill="auto"/>
            <w:vAlign w:val="center"/>
          </w:tcPr>
          <w:p w14:paraId="11CDEABC">
            <w:pPr>
              <w:pStyle w:val="23"/>
              <w:spacing w:line="42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本表与磋商文件其他部分内容不一致的，以本表为准。本磋商文件的解释权属</w:t>
            </w:r>
            <w:r>
              <w:rPr>
                <w:rFonts w:hint="eastAsia" w:ascii="宋体" w:hAnsi="宋体" w:eastAsia="宋体" w:cs="宋体"/>
                <w:iCs/>
                <w:sz w:val="24"/>
                <w:highlight w:val="none"/>
              </w:rPr>
              <w:t>采购人</w:t>
            </w:r>
            <w:r>
              <w:rPr>
                <w:rFonts w:hint="eastAsia" w:ascii="宋体" w:hAnsi="宋体" w:eastAsia="宋体" w:cs="宋体"/>
                <w:sz w:val="24"/>
                <w:highlight w:val="none"/>
              </w:rPr>
              <w:t>和采购代理机构。</w:t>
            </w:r>
          </w:p>
        </w:tc>
      </w:tr>
    </w:tbl>
    <w:p w14:paraId="12DF8525">
      <w:pPr>
        <w:rPr>
          <w:rFonts w:ascii="宋体" w:hAnsi="宋体" w:cs="宋体"/>
          <w:b/>
          <w:color w:val="auto"/>
          <w:szCs w:val="21"/>
          <w:highlight w:val="none"/>
        </w:rPr>
      </w:pPr>
      <w:r>
        <w:rPr>
          <w:rFonts w:hint="eastAsia" w:ascii="宋体" w:hAnsi="宋体" w:cs="宋体"/>
          <w:b/>
          <w:color w:val="auto"/>
          <w:szCs w:val="21"/>
          <w:highlight w:val="none"/>
        </w:rPr>
        <w:br w:type="page"/>
      </w:r>
    </w:p>
    <w:p w14:paraId="203E11C7">
      <w:pPr>
        <w:spacing w:before="156" w:beforeLines="50" w:line="360" w:lineRule="auto"/>
        <w:jc w:val="center"/>
        <w:rPr>
          <w:rFonts w:hint="eastAsia" w:ascii="宋体" w:hAnsi="宋体" w:eastAsia="宋体" w:cs="宋体"/>
          <w:b/>
          <w:sz w:val="32"/>
          <w:szCs w:val="32"/>
          <w:highlight w:val="none"/>
        </w:rPr>
      </w:pPr>
      <w:bookmarkStart w:id="4" w:name="_Toc1867"/>
      <w:r>
        <w:rPr>
          <w:rFonts w:hint="eastAsia" w:ascii="宋体" w:hAnsi="宋体" w:eastAsia="宋体" w:cs="宋体"/>
          <w:b/>
          <w:sz w:val="32"/>
          <w:szCs w:val="32"/>
          <w:highlight w:val="none"/>
        </w:rPr>
        <w:t>第一节 总则</w:t>
      </w:r>
    </w:p>
    <w:p w14:paraId="2EC2A2ED">
      <w:pPr>
        <w:pStyle w:val="2"/>
        <w:spacing w:line="360" w:lineRule="auto"/>
        <w:ind w:firstLine="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1．适用范围</w:t>
      </w:r>
    </w:p>
    <w:p w14:paraId="5F3B2138">
      <w:pPr>
        <w:pStyle w:val="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bCs/>
          <w:sz w:val="24"/>
          <w:highlight w:val="none"/>
        </w:rPr>
        <w:t>磋商文件</w:t>
      </w:r>
      <w:r>
        <w:rPr>
          <w:rFonts w:hint="eastAsia" w:ascii="宋体" w:hAnsi="宋体" w:eastAsia="宋体" w:cs="宋体"/>
          <w:sz w:val="24"/>
          <w:highlight w:val="none"/>
        </w:rPr>
        <w:t>适用于</w:t>
      </w:r>
      <w:r>
        <w:rPr>
          <w:rFonts w:hint="eastAsia" w:ascii="宋体" w:hAnsi="宋体" w:eastAsia="宋体" w:cs="宋体"/>
          <w:bCs/>
          <w:sz w:val="24"/>
          <w:highlight w:val="none"/>
        </w:rPr>
        <w:t>本次</w:t>
      </w:r>
      <w:r>
        <w:rPr>
          <w:rFonts w:hint="eastAsia" w:ascii="宋体" w:hAnsi="宋体" w:eastAsia="宋体" w:cs="宋体"/>
          <w:sz w:val="24"/>
          <w:highlight w:val="none"/>
        </w:rPr>
        <w:t>项目的磋商、</w:t>
      </w:r>
      <w:r>
        <w:rPr>
          <w:rFonts w:hint="eastAsia" w:ascii="宋体" w:hAnsi="宋体" w:eastAsia="宋体" w:cs="宋体"/>
          <w:bCs/>
          <w:sz w:val="24"/>
          <w:highlight w:val="none"/>
        </w:rPr>
        <w:t>评审、确定成交供应商</w:t>
      </w:r>
      <w:r>
        <w:rPr>
          <w:rFonts w:hint="eastAsia" w:ascii="宋体" w:hAnsi="宋体" w:eastAsia="宋体" w:cs="宋体"/>
          <w:sz w:val="24"/>
          <w:highlight w:val="none"/>
        </w:rPr>
        <w:t>、验收、合同履约、付款等行为（法律、法规另有规定的，从其规定）。</w:t>
      </w:r>
    </w:p>
    <w:p w14:paraId="4CD92D6C">
      <w:pPr>
        <w:pStyle w:val="2"/>
        <w:spacing w:line="360" w:lineRule="auto"/>
        <w:ind w:firstLine="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 定义</w:t>
      </w:r>
    </w:p>
    <w:p w14:paraId="1122F5A7">
      <w:pPr>
        <w:pStyle w:val="5"/>
        <w:keepNext w:val="0"/>
        <w:keepLines w:val="0"/>
        <w:tabs>
          <w:tab w:val="left" w:pos="0"/>
          <w:tab w:val="left" w:pos="851"/>
          <w:tab w:val="clear" w:pos="8280"/>
        </w:tabs>
        <w:snapToGrid w:val="0"/>
        <w:spacing w:before="0" w:after="0"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2.1“采购组织机构”指采购人委托组织磋商的采购代理机构。</w:t>
      </w:r>
    </w:p>
    <w:p w14:paraId="4FF6733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2.2采购人：是指委托采购代理机构采购本次项目的国家机关、事业单位和团体组织。</w:t>
      </w:r>
    </w:p>
    <w:p w14:paraId="1B4805B0">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2.3供应商：是指向采购组织机构提交磋商响应文件的单位或个人。</w:t>
      </w:r>
    </w:p>
    <w:p w14:paraId="601F433F">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2.4货物：是指各种形态和种类的物品，包括原材料、燃料、设备、产品等。</w:t>
      </w:r>
    </w:p>
    <w:p w14:paraId="6E9868DE">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2.5服务：是指除货物和工程以外的政府采购对象，包括各类专业服务、信息网络开发服务、金融保险服务、运输服务，以及维修与维护服务等。</w:t>
      </w:r>
    </w:p>
    <w:p w14:paraId="5C06A5BA">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2.6“书面形式”包括纸质文件、电子邮件、传真、信函、电报等。</w:t>
      </w:r>
    </w:p>
    <w:p w14:paraId="0F6AF8D0">
      <w:pPr>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2.7</w:t>
      </w:r>
      <w:r>
        <w:rPr>
          <w:rFonts w:hint="eastAsia" w:ascii="宋体" w:hAnsi="宋体" w:eastAsia="宋体" w:cs="宋体"/>
          <w:b/>
          <w:bCs/>
          <w:sz w:val="24"/>
          <w:highlight w:val="none"/>
        </w:rPr>
        <w:t>“▲”条款系指实质性条款，电子响应文件须作出实质性响应，否则作无效响应处理。</w:t>
      </w:r>
    </w:p>
    <w:p w14:paraId="3594263A">
      <w:pPr>
        <w:pStyle w:val="2"/>
        <w:spacing w:line="360" w:lineRule="auto"/>
        <w:ind w:firstLine="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 磋商费用</w:t>
      </w:r>
    </w:p>
    <w:p w14:paraId="793ECC97">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3.1无论磋商过程中的做法和结果如何，供应商均应自行承担所有与磋商有关的全部费用（磋商文件有相关规定除外）。</w:t>
      </w:r>
    </w:p>
    <w:p w14:paraId="78F855DA">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.2本项目中标人承担招标过程中产生的一切费用</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其中</w:t>
      </w:r>
      <w:r>
        <w:rPr>
          <w:rFonts w:hint="eastAsia" w:ascii="仿宋" w:hAnsi="仿宋" w:eastAsia="仿宋" w:cs="仿宋"/>
          <w:b/>
          <w:bCs/>
          <w:color w:val="auto"/>
          <w:sz w:val="24"/>
          <w:highlight w:val="none"/>
        </w:rPr>
        <w:t>招标代理服务费按发改价格[2011]534号文件</w:t>
      </w:r>
      <w:r>
        <w:rPr>
          <w:rFonts w:hint="eastAsia" w:ascii="仿宋" w:hAnsi="仿宋" w:eastAsia="仿宋" w:cs="仿宋"/>
          <w:b/>
          <w:bCs/>
          <w:color w:val="auto"/>
          <w:sz w:val="24"/>
          <w:highlight w:val="none"/>
          <w:lang w:val="en-US" w:eastAsia="zh-CN"/>
        </w:rPr>
        <w:t>工程</w:t>
      </w:r>
      <w:r>
        <w:rPr>
          <w:rFonts w:hint="eastAsia" w:ascii="仿宋" w:hAnsi="仿宋" w:eastAsia="仿宋" w:cs="仿宋"/>
          <w:b/>
          <w:bCs/>
          <w:color w:val="auto"/>
          <w:sz w:val="24"/>
          <w:highlight w:val="none"/>
        </w:rPr>
        <w:t>类招标计算标准向中标</w:t>
      </w:r>
      <w:r>
        <w:rPr>
          <w:rFonts w:hint="eastAsia" w:ascii="仿宋" w:hAnsi="仿宋" w:eastAsia="仿宋" w:cs="仿宋"/>
          <w:b/>
          <w:bCs/>
          <w:color w:val="auto"/>
          <w:sz w:val="24"/>
          <w:highlight w:val="none"/>
          <w:lang w:val="en-US" w:eastAsia="zh-CN"/>
        </w:rPr>
        <w:t>供应商</w:t>
      </w:r>
      <w:r>
        <w:rPr>
          <w:rFonts w:hint="eastAsia" w:ascii="仿宋" w:hAnsi="仿宋" w:eastAsia="仿宋" w:cs="仿宋"/>
          <w:b/>
          <w:bCs/>
          <w:color w:val="auto"/>
          <w:sz w:val="24"/>
          <w:highlight w:val="none"/>
        </w:rPr>
        <w:t>收取，代理服务费包含在报价其他费用内，不在报价中单列，并在领取中标通知书前向采购代理机构提交。</w:t>
      </w:r>
    </w:p>
    <w:p w14:paraId="5BB8E8DF">
      <w:pPr>
        <w:snapToGrid w:val="0"/>
        <w:spacing w:line="360" w:lineRule="auto"/>
        <w:ind w:firstLine="482" w:firstLineChars="200"/>
        <w:jc w:val="left"/>
        <w:rPr>
          <w:rFonts w:ascii="仿宋" w:hAnsi="仿宋" w:eastAsia="仿宋" w:cs="仿宋"/>
          <w:b/>
          <w:bCs/>
          <w:color w:val="auto"/>
          <w:sz w:val="24"/>
          <w:highlight w:val="none"/>
        </w:rPr>
      </w:pPr>
      <w:r>
        <w:rPr>
          <w:rFonts w:ascii="仿宋" w:hAnsi="仿宋" w:eastAsia="仿宋" w:cs="仿宋"/>
          <w:b/>
          <w:bCs/>
          <w:color w:val="auto"/>
          <w:sz w:val="24"/>
          <w:highlight w:val="none"/>
        </w:rPr>
        <w:t>采购代理费收费按照差额定率累进法计取，具体计费标准如下：</w:t>
      </w:r>
    </w:p>
    <w:p w14:paraId="1D9FB659">
      <w:pPr>
        <w:snapToGrid w:val="0"/>
        <w:spacing w:after="124" w:afterLines="4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附： 招标代理服务收费标准（2011）</w:t>
      </w:r>
    </w:p>
    <w:tbl>
      <w:tblPr>
        <w:tblStyle w:val="42"/>
        <w:tblW w:w="0" w:type="auto"/>
        <w:jc w:val="center"/>
        <w:tblLayout w:type="fixed"/>
        <w:tblCellMar>
          <w:top w:w="0" w:type="dxa"/>
          <w:left w:w="108" w:type="dxa"/>
          <w:bottom w:w="0" w:type="dxa"/>
          <w:right w:w="108" w:type="dxa"/>
        </w:tblCellMar>
      </w:tblPr>
      <w:tblGrid>
        <w:gridCol w:w="2268"/>
        <w:gridCol w:w="1871"/>
        <w:gridCol w:w="1871"/>
        <w:gridCol w:w="1871"/>
      </w:tblGrid>
      <w:tr w14:paraId="437FAC62">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5F0D3681">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中标金额（万元）</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4FAF9FD9">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货物招标收费费率</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3CAE2CB9">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服务招标收费费率</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501DA3F8">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工程招标收费费率</w:t>
            </w:r>
          </w:p>
        </w:tc>
      </w:tr>
      <w:tr w14:paraId="23B31142">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23B35A03">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100万元以下</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77463480">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58D29FF7">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3F7173EB">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r>
      <w:tr w14:paraId="1401486B">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4B4A9819">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100～500万元</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00DC5F1C">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2CF331F6">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0.8%</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52EB03FC">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0.7%</w:t>
            </w:r>
          </w:p>
        </w:tc>
      </w:tr>
      <w:tr w14:paraId="4250EEE6">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3CF644F7">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500～1000万元</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4F9B61F5">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0.8%</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70732602">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0.45%</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1ADCB33D">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0.55%</w:t>
            </w:r>
          </w:p>
        </w:tc>
      </w:tr>
      <w:tr w14:paraId="2C6D62D3">
        <w:tblPrEx>
          <w:tblCellMar>
            <w:top w:w="0" w:type="dxa"/>
            <w:left w:w="108" w:type="dxa"/>
            <w:bottom w:w="0" w:type="dxa"/>
            <w:right w:w="108" w:type="dxa"/>
          </w:tblCellMar>
        </w:tblPrEx>
        <w:trPr>
          <w:trHeight w:val="207" w:hRule="atLeast"/>
          <w:jc w:val="center"/>
        </w:trPr>
        <w:tc>
          <w:tcPr>
            <w:tcW w:w="2268"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676688A1">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1000～5000万元</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6924EFFB">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0.5%</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576407E3">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0.25%</w:t>
            </w:r>
          </w:p>
        </w:tc>
        <w:tc>
          <w:tcPr>
            <w:tcW w:w="1871" w:type="dxa"/>
            <w:tcBorders>
              <w:top w:val="dotted" w:color="auto" w:sz="2" w:space="0"/>
              <w:left w:val="dotted" w:color="auto" w:sz="2" w:space="0"/>
              <w:bottom w:val="dotted" w:color="auto" w:sz="2" w:space="0"/>
              <w:right w:val="dotted" w:color="auto" w:sz="2" w:space="0"/>
            </w:tcBorders>
            <w:noWrap w:val="0"/>
            <w:tcMar>
              <w:top w:w="15" w:type="dxa"/>
              <w:left w:w="15" w:type="dxa"/>
              <w:bottom w:w="15" w:type="dxa"/>
              <w:right w:w="15" w:type="dxa"/>
            </w:tcMar>
            <w:vAlign w:val="center"/>
          </w:tcPr>
          <w:p w14:paraId="7700636E">
            <w:pPr>
              <w:widowControl/>
              <w:spacing w:after="124" w:afterLines="4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0.35%</w:t>
            </w:r>
          </w:p>
        </w:tc>
      </w:tr>
    </w:tbl>
    <w:p w14:paraId="6ABAB817">
      <w:pPr>
        <w:pStyle w:val="2"/>
        <w:rPr>
          <w:rFonts w:hint="eastAsia"/>
          <w:color w:val="auto"/>
          <w:highlight w:val="none"/>
        </w:rPr>
      </w:pPr>
    </w:p>
    <w:p w14:paraId="5136535A">
      <w:pPr>
        <w:pStyle w:val="23"/>
        <w:snapToGrid w:val="0"/>
        <w:spacing w:line="324" w:lineRule="exact"/>
        <w:ind w:left="2" w:leftChars="1" w:firstLine="240" w:firstLineChars="100"/>
        <w:rPr>
          <w:rFonts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4787CBB7">
      <w:pPr>
        <w:pStyle w:val="18"/>
        <w:rPr>
          <w:rFonts w:hint="eastAsia"/>
          <w:highlight w:val="none"/>
        </w:rPr>
      </w:pPr>
    </w:p>
    <w:p w14:paraId="5B135A1F">
      <w:pPr>
        <w:pStyle w:val="2"/>
        <w:spacing w:line="360" w:lineRule="auto"/>
        <w:ind w:firstLine="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 特别说明</w:t>
      </w:r>
    </w:p>
    <w:p w14:paraId="6BF6CA0B">
      <w:pPr>
        <w:pStyle w:val="23"/>
        <w:snapToGrid w:val="0"/>
        <w:spacing w:line="360" w:lineRule="auto"/>
        <w:ind w:left="2" w:leftChars="1" w:firstLine="480" w:firstLineChars="200"/>
        <w:rPr>
          <w:rFonts w:hint="eastAsia" w:ascii="宋体" w:hAnsi="宋体" w:eastAsia="宋体" w:cs="宋体"/>
          <w:sz w:val="24"/>
          <w:highlight w:val="none"/>
          <w:bdr w:val="single" w:color="auto" w:sz="4" w:space="0"/>
        </w:rPr>
      </w:pPr>
      <w:r>
        <w:rPr>
          <w:rFonts w:hint="eastAsia" w:ascii="宋体" w:hAnsi="宋体" w:eastAsia="宋体" w:cs="宋体"/>
          <w:sz w:val="24"/>
          <w:highlight w:val="none"/>
        </w:rPr>
        <w:t>▲4.1 供应商不得是采购人的附属机构（单位）。</w:t>
      </w:r>
    </w:p>
    <w:p w14:paraId="1DC6D278">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供应商磋商所使用的资格、信誉、荣誉、业绩与企业认证必须为本法人所拥有。供应商母公司（总机构）或者同一母公司下属的其他子公司（同一总机构下属的其他分支机构）的人员、业绩、荣誉、知识产权、项目案例等不作为供应商的资信文件。供应商磋商所使用的采购项目实施人员必须为本法人员工（指必须为本法人或控股公司正式员工）。</w:t>
      </w:r>
    </w:p>
    <w:p w14:paraId="1BC93715">
      <w:pPr>
        <w:pStyle w:val="23"/>
        <w:snapToGrid w:val="0"/>
        <w:spacing w:line="360" w:lineRule="auto"/>
        <w:ind w:left="2"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4.3 供应商在磋商活动中提供任何虚假材料或从事其他违法活动的,其响应无效，并报有关部门查处。</w:t>
      </w:r>
    </w:p>
    <w:p w14:paraId="79D0C904">
      <w:pPr>
        <w:pStyle w:val="23"/>
        <w:snapToGrid w:val="0"/>
        <w:spacing w:line="360" w:lineRule="auto"/>
        <w:ind w:left="2"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4.4 供应商与采购代理机构就有关磋商事宜的所有函电，除盖章、专用名称、阿拉伯数字等特殊情形外均应以简体中文书写，否则不予受理。</w:t>
      </w:r>
    </w:p>
    <w:p w14:paraId="28EDA4F6">
      <w:pPr>
        <w:pStyle w:val="23"/>
        <w:snapToGrid w:val="0"/>
        <w:spacing w:line="360" w:lineRule="auto"/>
        <w:ind w:left="2" w:leftChars="1"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4.5为采购项目提供整体设计、规范编制或者项目管理、监理、检测等服务的供应商，不得再参加该采购项目的其他采购活动。</w:t>
      </w:r>
    </w:p>
    <w:p w14:paraId="2D4C87EC">
      <w:pPr>
        <w:pStyle w:val="23"/>
        <w:snapToGrid w:val="0"/>
        <w:spacing w:line="360" w:lineRule="auto"/>
        <w:ind w:left="2" w:leftChars="1"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4.6单位负责人为同一人或者存在直接控股、管理关系的不同供应商，不得参加同一合同项下的政府采购活动。</w:t>
      </w:r>
    </w:p>
    <w:p w14:paraId="212351C6">
      <w:pPr>
        <w:pStyle w:val="23"/>
        <w:snapToGrid w:val="0"/>
        <w:spacing w:line="360" w:lineRule="auto"/>
        <w:ind w:left="2" w:leftChars="1"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4.7公益一类事业单位、使用事业编制且由财政拨款保障的群团组织，不作为政府购买服务的购买主体和承接主体。</w:t>
      </w:r>
    </w:p>
    <w:p w14:paraId="401B96DC">
      <w:pPr>
        <w:pStyle w:val="23"/>
        <w:snapToGrid w:val="0"/>
        <w:spacing w:line="360" w:lineRule="auto"/>
        <w:ind w:left="2"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4.8供应商所标产品除</w:t>
      </w:r>
      <w:r>
        <w:rPr>
          <w:rFonts w:hint="eastAsia" w:ascii="宋体" w:hAnsi="宋体" w:eastAsia="宋体" w:cs="宋体"/>
          <w:bCs/>
          <w:sz w:val="24"/>
          <w:highlight w:val="none"/>
        </w:rPr>
        <w:t>磋商文件</w:t>
      </w:r>
      <w:r>
        <w:rPr>
          <w:rFonts w:hint="eastAsia" w:ascii="宋体" w:hAnsi="宋体" w:eastAsia="宋体" w:cs="宋体"/>
          <w:sz w:val="24"/>
          <w:highlight w:val="none"/>
        </w:rPr>
        <w:t>中明确规定要求“提供官网截图或相应检测报告的证明材料”以外，所有技术参数描述均以磋商响应文件为准。</w:t>
      </w:r>
      <w:r>
        <w:rPr>
          <w:rFonts w:hint="eastAsia" w:ascii="宋体" w:hAnsi="宋体" w:eastAsia="宋体" w:cs="宋体"/>
          <w:bCs/>
          <w:sz w:val="24"/>
          <w:highlight w:val="none"/>
        </w:rPr>
        <w:t>磋商供应商对所标产品技术参数的真实性承担法律责任。</w:t>
      </w:r>
      <w:r>
        <w:rPr>
          <w:rFonts w:hint="eastAsia" w:ascii="宋体" w:hAnsi="宋体" w:eastAsia="宋体" w:cs="宋体"/>
          <w:sz w:val="24"/>
          <w:highlight w:val="none"/>
        </w:rPr>
        <w:t>项目</w:t>
      </w:r>
      <w:r>
        <w:rPr>
          <w:rFonts w:hint="eastAsia" w:ascii="宋体" w:hAnsi="宋体" w:eastAsia="宋体" w:cs="宋体"/>
          <w:bCs/>
          <w:sz w:val="24"/>
          <w:highlight w:val="none"/>
        </w:rPr>
        <w:t>磋商</w:t>
      </w:r>
      <w:r>
        <w:rPr>
          <w:rFonts w:hint="eastAsia" w:ascii="宋体" w:hAnsi="宋体" w:eastAsia="宋体" w:cs="宋体"/>
          <w:sz w:val="24"/>
          <w:highlight w:val="none"/>
        </w:rPr>
        <w:t>结束后、质疑期限内，如有质疑供应商认为成交供应商所标产品、磋商响应文件技术参数与采购需求存在重大偏离、错误、甚至造假的情况，应提供具体有效的证明材料。</w:t>
      </w:r>
    </w:p>
    <w:p w14:paraId="2F42F6B1">
      <w:pPr>
        <w:pStyle w:val="23"/>
        <w:snapToGrid w:val="0"/>
        <w:spacing w:line="360" w:lineRule="auto"/>
        <w:ind w:left="2"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4.9供应商在</w:t>
      </w:r>
      <w:r>
        <w:rPr>
          <w:rFonts w:hint="eastAsia" w:ascii="宋体" w:hAnsi="宋体" w:eastAsia="宋体" w:cs="宋体"/>
          <w:bCs/>
          <w:sz w:val="24"/>
          <w:highlight w:val="none"/>
        </w:rPr>
        <w:t>磋商</w:t>
      </w:r>
      <w:r>
        <w:rPr>
          <w:rFonts w:hint="eastAsia" w:ascii="宋体" w:hAnsi="宋体" w:eastAsia="宋体" w:cs="宋体"/>
          <w:sz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0407F8">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10供应商</w:t>
      </w:r>
      <w:r>
        <w:rPr>
          <w:rFonts w:hint="eastAsia" w:ascii="宋体" w:hAnsi="宋体" w:eastAsia="宋体" w:cs="宋体"/>
          <w:color w:val="auto"/>
          <w:sz w:val="24"/>
          <w:highlight w:val="none"/>
        </w:rPr>
        <w:t>须知前附表规定接受联合体</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的，应遵守以下规定</w:t>
      </w:r>
      <w:r>
        <w:rPr>
          <w:rFonts w:hint="eastAsia" w:ascii="宋体" w:hAnsi="宋体" w:eastAsia="宋体" w:cs="宋体"/>
          <w:color w:val="auto"/>
          <w:sz w:val="24"/>
          <w:highlight w:val="none"/>
          <w:lang w:eastAsia="zh-CN"/>
        </w:rPr>
        <w:t>：</w:t>
      </w:r>
    </w:p>
    <w:p w14:paraId="752884E9">
      <w:pPr>
        <w:pStyle w:val="5"/>
        <w:keepNext w:val="0"/>
        <w:keepLines w:val="0"/>
        <w:tabs>
          <w:tab w:val="left" w:pos="0"/>
          <w:tab w:val="left" w:pos="851"/>
          <w:tab w:val="clear" w:pos="8280"/>
        </w:tabs>
        <w:snapToGrid w:val="0"/>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1两个以上供应商可以组成一个联合体，以一个供应商的身份共同参加</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w:t>
      </w:r>
    </w:p>
    <w:p w14:paraId="43BD66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4.10</w:t>
      </w:r>
      <w:r>
        <w:rPr>
          <w:rFonts w:hint="eastAsia" w:ascii="宋体" w:hAnsi="宋体" w:eastAsia="宋体" w:cs="宋体"/>
          <w:color w:val="auto"/>
          <w:sz w:val="24"/>
          <w:highlight w:val="none"/>
        </w:rPr>
        <w:t>.2以联合体形式参加本项目</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的，联合体的各成员均应当具备《中华人民共和国政府采购法》第二十二条规定的条件，联合体各方中至少应当有一方符合采购人规定的特定条件，但同一专业的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组成的联合体以资质最低的一方为依据。</w:t>
      </w:r>
    </w:p>
    <w:p w14:paraId="445907C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4.10</w:t>
      </w:r>
      <w:r>
        <w:rPr>
          <w:rFonts w:hint="eastAsia" w:ascii="宋体" w:hAnsi="宋体" w:eastAsia="宋体" w:cs="宋体"/>
          <w:color w:val="auto"/>
          <w:sz w:val="24"/>
          <w:highlight w:val="none"/>
        </w:rPr>
        <w:t>.3联合体各方之间须签订</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联合协议，明确约定联合体各方承担的工作和相应的责任，在</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联合协议中指定本项目</w:t>
      </w:r>
      <w:r>
        <w:rPr>
          <w:rFonts w:hint="eastAsia" w:ascii="宋体" w:hAnsi="宋体" w:eastAsia="宋体" w:cs="宋体"/>
          <w:color w:val="auto"/>
          <w:sz w:val="24"/>
          <w:highlight w:val="none"/>
          <w:lang w:val="en-US" w:eastAsia="zh-CN"/>
        </w:rPr>
        <w:t>牵头人</w:t>
      </w:r>
      <w:r>
        <w:rPr>
          <w:rFonts w:hint="eastAsia" w:ascii="宋体" w:hAnsi="宋体" w:eastAsia="宋体" w:cs="宋体"/>
          <w:color w:val="auto"/>
          <w:sz w:val="24"/>
          <w:highlight w:val="none"/>
        </w:rPr>
        <w:t>，并将</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联合协议作为</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文件组成的一部分；本项目的主体、关键性工作须由</w:t>
      </w:r>
      <w:r>
        <w:rPr>
          <w:rFonts w:hint="eastAsia" w:ascii="宋体" w:hAnsi="宋体" w:eastAsia="宋体" w:cs="宋体"/>
          <w:color w:val="auto"/>
          <w:sz w:val="24"/>
          <w:highlight w:val="none"/>
          <w:lang w:val="en-US" w:eastAsia="zh-CN"/>
        </w:rPr>
        <w:t>牵头人</w:t>
      </w:r>
      <w:r>
        <w:rPr>
          <w:rFonts w:hint="eastAsia" w:ascii="宋体" w:hAnsi="宋体" w:eastAsia="宋体" w:cs="宋体"/>
          <w:color w:val="auto"/>
          <w:sz w:val="24"/>
          <w:highlight w:val="none"/>
        </w:rPr>
        <w:t>完成，并在</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联合协议中进行说明。</w:t>
      </w:r>
    </w:p>
    <w:p w14:paraId="2D4A51BB">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4.10.4联合体各方签订响应联合协议后，不得再以自己名义单独在本项目中参加响应，也不得组成新的联合体参加本项目响应。</w:t>
      </w:r>
    </w:p>
    <w:p w14:paraId="79885D4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5联合体各方共同与采购人签订采购合同，就采购合同约定的事项对采购人承担连带责任</w:t>
      </w:r>
      <w:r>
        <w:rPr>
          <w:rFonts w:hint="eastAsia" w:ascii="宋体" w:hAnsi="宋体" w:eastAsia="宋体" w:cs="宋体"/>
          <w:color w:val="auto"/>
          <w:sz w:val="24"/>
          <w:highlight w:val="none"/>
        </w:rPr>
        <w:t>。</w:t>
      </w:r>
    </w:p>
    <w:p w14:paraId="1DDE4F2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6响应文件须由牵头人盖章及其全权代表签署</w:t>
      </w:r>
      <w:r>
        <w:rPr>
          <w:rFonts w:hint="eastAsia" w:ascii="宋体" w:hAnsi="宋体" w:eastAsia="宋体" w:cs="宋体"/>
          <w:color w:val="auto"/>
          <w:sz w:val="24"/>
          <w:highlight w:val="none"/>
        </w:rPr>
        <w:t>。</w:t>
      </w:r>
    </w:p>
    <w:p w14:paraId="78D18AA1">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11供应商</w:t>
      </w:r>
      <w:r>
        <w:rPr>
          <w:rFonts w:hint="eastAsia" w:ascii="宋体" w:hAnsi="宋体" w:eastAsia="宋体" w:cs="宋体"/>
          <w:color w:val="auto"/>
          <w:sz w:val="24"/>
          <w:highlight w:val="none"/>
        </w:rPr>
        <w:t>须知前附表规定接受</w:t>
      </w:r>
      <w:r>
        <w:rPr>
          <w:rFonts w:hint="eastAsia" w:ascii="宋体" w:hAnsi="宋体" w:eastAsia="宋体" w:cs="宋体"/>
          <w:color w:val="auto"/>
          <w:sz w:val="24"/>
          <w:highlight w:val="none"/>
          <w:lang w:val="en-US" w:eastAsia="zh-CN"/>
        </w:rPr>
        <w:t>分包</w:t>
      </w:r>
      <w:r>
        <w:rPr>
          <w:rFonts w:hint="eastAsia" w:ascii="宋体" w:hAnsi="宋体" w:eastAsia="宋体" w:cs="宋体"/>
          <w:color w:val="auto"/>
          <w:sz w:val="24"/>
          <w:highlight w:val="none"/>
        </w:rPr>
        <w:t>的，应遵守以下规定</w:t>
      </w:r>
      <w:r>
        <w:rPr>
          <w:rFonts w:hint="eastAsia" w:ascii="宋体" w:hAnsi="宋体" w:eastAsia="宋体" w:cs="宋体"/>
          <w:color w:val="auto"/>
          <w:sz w:val="24"/>
          <w:highlight w:val="none"/>
          <w:lang w:eastAsia="zh-CN"/>
        </w:rPr>
        <w:t>：</w:t>
      </w:r>
    </w:p>
    <w:p w14:paraId="3B4FB7D4">
      <w:pPr>
        <w:pStyle w:val="5"/>
        <w:keepNext w:val="0"/>
        <w:keepLines w:val="0"/>
        <w:tabs>
          <w:tab w:val="left" w:pos="0"/>
          <w:tab w:val="left" w:pos="851"/>
          <w:tab w:val="clear" w:pos="8280"/>
        </w:tabs>
        <w:snapToGrid w:val="0"/>
        <w:spacing w:before="0" w:after="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文件的规定和采购项目的实际情况，拟在</w:t>
      </w: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后将</w:t>
      </w: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项目的非主体、非关键性工作分包的，应当在</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文件中提交《分包意向协议》，载明分包承担主体，分包承担主体应当具备相应资质条件且不得再次分包。政府采购合同分包履行的，成交供应商就采购项目和分包项目向采购人负责，分包供应商就分包项目承担责任。</w:t>
      </w:r>
    </w:p>
    <w:p w14:paraId="162E9934">
      <w:pPr>
        <w:pStyle w:val="5"/>
        <w:keepNext w:val="0"/>
        <w:keepLines w:val="0"/>
        <w:tabs>
          <w:tab w:val="left" w:pos="0"/>
          <w:tab w:val="left" w:pos="851"/>
          <w:tab w:val="clear" w:pos="8280"/>
        </w:tabs>
        <w:snapToGrid w:val="0"/>
        <w:spacing w:before="0" w:after="0"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4.11.2中小企业享受扶持政策获得政府采购合同的，小微企业不得将合同分包给大中型企业，中型企业不得将合同分包给大型企业。</w:t>
      </w:r>
    </w:p>
    <w:p w14:paraId="675F42BC">
      <w:pPr>
        <w:pStyle w:val="23"/>
        <w:snapToGrid w:val="0"/>
        <w:spacing w:line="360" w:lineRule="auto"/>
        <w:ind w:left="2"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4.12</w:t>
      </w:r>
      <w:r>
        <w:rPr>
          <w:rFonts w:hint="eastAsia" w:ascii="宋体" w:hAnsi="宋体" w:eastAsia="宋体" w:cs="宋体"/>
          <w:sz w:val="24"/>
          <w:highlight w:val="none"/>
        </w:rPr>
        <w:t>本项目不允许转包。</w:t>
      </w:r>
    </w:p>
    <w:p w14:paraId="195614B7">
      <w:pPr>
        <w:spacing w:before="156" w:beforeLines="50"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第二节  磋商文件</w:t>
      </w:r>
    </w:p>
    <w:p w14:paraId="55C57A7F">
      <w:pPr>
        <w:pStyle w:val="23"/>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5．磋商文件的组成</w:t>
      </w:r>
    </w:p>
    <w:p w14:paraId="29C60059">
      <w:pPr>
        <w:pStyle w:val="23"/>
        <w:spacing w:line="360" w:lineRule="auto"/>
        <w:ind w:firstLine="480" w:firstLineChars="200"/>
        <w:rPr>
          <w:rFonts w:hint="eastAsia" w:ascii="宋体" w:hAnsi="宋体" w:eastAsia="宋体" w:cs="宋体"/>
          <w:b/>
          <w:bCs/>
          <w:sz w:val="28"/>
          <w:szCs w:val="28"/>
          <w:highlight w:val="none"/>
        </w:rPr>
      </w:pPr>
      <w:r>
        <w:rPr>
          <w:rFonts w:hint="eastAsia" w:ascii="宋体" w:hAnsi="宋体" w:eastAsia="宋体" w:cs="宋体"/>
          <w:sz w:val="24"/>
          <w:highlight w:val="none"/>
        </w:rPr>
        <w:t>5.1 磋商文件由以下部分组成：</w:t>
      </w:r>
    </w:p>
    <w:p w14:paraId="7EF4D588">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第一章 竞争性磋商公告</w:t>
      </w:r>
    </w:p>
    <w:p w14:paraId="0AF126B1">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60874F94">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第三章 合同主要条款</w:t>
      </w:r>
    </w:p>
    <w:p w14:paraId="29C068AE">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第四章 项目内容及需求</w:t>
      </w:r>
    </w:p>
    <w:p w14:paraId="4C1F3801">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第五章 评审办法及评审标准</w:t>
      </w:r>
    </w:p>
    <w:p w14:paraId="7A7AF412">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第六章 附件：响应文件格式</w:t>
      </w:r>
    </w:p>
    <w:p w14:paraId="5ECDFB89">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 本磋商文件的解释权属</w:t>
      </w:r>
      <w:r>
        <w:rPr>
          <w:rFonts w:hint="eastAsia" w:ascii="宋体" w:hAnsi="宋体" w:eastAsia="宋体" w:cs="宋体"/>
          <w:iCs/>
          <w:sz w:val="24"/>
          <w:highlight w:val="none"/>
        </w:rPr>
        <w:t>采购人</w:t>
      </w:r>
      <w:r>
        <w:rPr>
          <w:rFonts w:hint="eastAsia" w:ascii="宋体" w:hAnsi="宋体" w:eastAsia="宋体" w:cs="宋体"/>
          <w:sz w:val="24"/>
          <w:highlight w:val="none"/>
        </w:rPr>
        <w:t>和采购代理机构。</w:t>
      </w:r>
    </w:p>
    <w:p w14:paraId="01B9C4CE">
      <w:pPr>
        <w:pStyle w:val="23"/>
        <w:spacing w:before="156" w:beforeLines="50" w:line="360" w:lineRule="auto"/>
        <w:jc w:val="left"/>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6．磋商文件的澄清、修改和补充</w:t>
      </w:r>
    </w:p>
    <w:p w14:paraId="11C26F28">
      <w:pPr>
        <w:spacing w:line="360" w:lineRule="auto"/>
        <w:ind w:firstLine="480" w:firstLineChars="200"/>
        <w:jc w:val="left"/>
        <w:rPr>
          <w:rFonts w:hint="eastAsia" w:ascii="宋体" w:hAnsi="宋体" w:eastAsia="宋体" w:cs="宋体"/>
          <w:sz w:val="24"/>
          <w:highlight w:val="none"/>
        </w:rPr>
      </w:pPr>
      <w:bookmarkStart w:id="5" w:name="_Toc123628880"/>
      <w:r>
        <w:rPr>
          <w:rFonts w:hint="eastAsia" w:ascii="宋体" w:hAnsi="宋体" w:eastAsia="宋体" w:cs="宋体"/>
          <w:sz w:val="24"/>
          <w:highlight w:val="none"/>
        </w:rPr>
        <w:t>6.1</w:t>
      </w:r>
      <w:r>
        <w:rPr>
          <w:rFonts w:hint="eastAsia" w:ascii="宋体" w:hAnsi="宋体" w:eastAsia="宋体" w:cs="宋体"/>
          <w:bCs/>
          <w:sz w:val="24"/>
          <w:highlight w:val="none"/>
        </w:rPr>
        <w:t>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4个工作日）起7个工作日内</w:t>
      </w:r>
      <w:r>
        <w:rPr>
          <w:rFonts w:hint="eastAsia" w:ascii="宋体" w:hAnsi="宋体" w:eastAsia="宋体" w:cs="宋体"/>
          <w:bCs/>
          <w:sz w:val="24"/>
          <w:highlight w:val="none"/>
          <w:lang w:bidi="zh-CN"/>
        </w:rPr>
        <w:t>且应在响应文件递交截止时间之前</w:t>
      </w:r>
      <w:r>
        <w:rPr>
          <w:rFonts w:hint="eastAsia" w:ascii="宋体" w:hAnsi="宋体" w:eastAsia="宋体" w:cs="宋体"/>
          <w:sz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9102D3">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r>
        <w:rPr>
          <w:rFonts w:hint="eastAsia" w:ascii="宋体" w:hAnsi="宋体" w:eastAsia="宋体" w:cs="宋体"/>
          <w:sz w:val="24"/>
          <w:highlight w:val="none"/>
          <w:lang w:eastAsia="zh-CN"/>
        </w:rPr>
        <w:t>。</w:t>
      </w:r>
    </w:p>
    <w:p w14:paraId="5334D0B7">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6.3</w:t>
      </w:r>
      <w:r>
        <w:rPr>
          <w:rFonts w:hint="eastAsia" w:ascii="宋体" w:hAnsi="宋体" w:eastAsia="宋体" w:cs="宋体"/>
          <w:sz w:val="24"/>
          <w:highlight w:val="none"/>
        </w:rPr>
        <w:t xml:space="preserve">采购代理机构可视采购具体情况对已发出的磋商文件进行必要的澄清、修改或者补充。澄清、修改或者补充的内容可能影响响应文件编制的，应当在响应文件递交截止时间至少5日前，在原公告发布媒体上发布澄清公告，澄清或者修改的内容为磋商文件的组成部分；不足5日的，应当顺延提交响应文件的截止时间。 </w:t>
      </w:r>
    </w:p>
    <w:p w14:paraId="4A9B9115">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供应商在规定的时间内未对磋商文件提出疑问、质疑或要求澄清的，将视其为无异议。</w:t>
      </w:r>
    </w:p>
    <w:p w14:paraId="5A0D7922">
      <w:pPr>
        <w:spacing w:before="156" w:beforeLines="50"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第三节  </w:t>
      </w:r>
      <w:bookmarkEnd w:id="5"/>
      <w:r>
        <w:rPr>
          <w:rFonts w:hint="eastAsia" w:ascii="宋体" w:hAnsi="宋体" w:eastAsia="宋体" w:cs="宋体"/>
          <w:b/>
          <w:sz w:val="32"/>
          <w:szCs w:val="32"/>
          <w:highlight w:val="none"/>
        </w:rPr>
        <w:t>响应文件</w:t>
      </w:r>
    </w:p>
    <w:p w14:paraId="4AEC01F9">
      <w:pPr>
        <w:pStyle w:val="23"/>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7. 响应文件的要求</w:t>
      </w:r>
    </w:p>
    <w:p w14:paraId="579C8A5E">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供应商应仔细阅读磋商文件的所有内容，按照磋商文件的要求详细编制响应文件，所提交的全部资料必须真实有效，并且要保证字迹清晰易于辨认。响应文件应对磋商文件实质性内容作出响应，否则按无效响应处理。</w:t>
      </w:r>
    </w:p>
    <w:p w14:paraId="58002A25">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7.2 响应文件格式按本磋商文件第六章格式要求编制，不得对磋商文件格式进行</w:t>
      </w:r>
      <w:r>
        <w:rPr>
          <w:rFonts w:hint="eastAsia" w:ascii="宋体" w:hAnsi="宋体" w:eastAsia="宋体" w:cs="宋体"/>
          <w:b w:val="0"/>
          <w:bCs/>
          <w:sz w:val="24"/>
          <w:highlight w:val="none"/>
          <w:lang w:val="en-US" w:eastAsia="zh-CN"/>
        </w:rPr>
        <w:t>随意</w:t>
      </w:r>
      <w:r>
        <w:rPr>
          <w:rFonts w:hint="eastAsia" w:ascii="宋体" w:hAnsi="宋体" w:eastAsia="宋体" w:cs="宋体"/>
          <w:sz w:val="24"/>
          <w:highlight w:val="none"/>
        </w:rPr>
        <w:t>增删更改，</w:t>
      </w:r>
      <w:r>
        <w:rPr>
          <w:rFonts w:hint="eastAsia" w:ascii="宋体" w:hAnsi="宋体" w:eastAsia="宋体" w:cs="宋体"/>
          <w:b w:val="0"/>
          <w:bCs/>
          <w:sz w:val="24"/>
          <w:highlight w:val="none"/>
          <w:lang w:val="en-US" w:eastAsia="zh-CN"/>
        </w:rPr>
        <w:t>如影响实质性内容表达的</w:t>
      </w:r>
      <w:r>
        <w:rPr>
          <w:rFonts w:hint="eastAsia" w:ascii="宋体" w:hAnsi="宋体" w:eastAsia="宋体" w:cs="宋体"/>
          <w:sz w:val="24"/>
          <w:highlight w:val="none"/>
        </w:rPr>
        <w:t xml:space="preserve">按无效响应处理。 </w:t>
      </w:r>
    </w:p>
    <w:p w14:paraId="549C2445">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lang w:val="en-US" w:eastAsia="zh-CN"/>
        </w:rPr>
        <w:t>3</w:t>
      </w:r>
      <w:r>
        <w:rPr>
          <w:rFonts w:hint="eastAsia" w:ascii="宋体" w:hAnsi="宋体" w:eastAsia="宋体" w:cs="宋体"/>
          <w:b/>
          <w:sz w:val="24"/>
          <w:highlight w:val="none"/>
        </w:rPr>
        <w:t>响应文件为电子响应文件，电子响应文件按“政采云供应商项目采购-电子招投标操作指南”及本磋商文件要求制作、加密传输</w:t>
      </w:r>
      <w:r>
        <w:rPr>
          <w:rFonts w:hint="eastAsia" w:ascii="宋体" w:hAnsi="宋体" w:eastAsia="宋体" w:cs="宋体"/>
          <w:sz w:val="24"/>
          <w:highlight w:val="none"/>
        </w:rPr>
        <w:t>。</w:t>
      </w:r>
    </w:p>
    <w:p w14:paraId="4150611F">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lang w:val="en-US" w:eastAsia="zh-CN"/>
        </w:rPr>
        <w:t>4</w:t>
      </w:r>
      <w:r>
        <w:rPr>
          <w:rFonts w:hint="eastAsia" w:ascii="宋体" w:hAnsi="宋体" w:eastAsia="宋体" w:cs="宋体"/>
          <w:b/>
          <w:sz w:val="24"/>
          <w:highlight w:val="none"/>
        </w:rPr>
        <w:t>响应文件未在响应文件递交截止时间前完成传输的，视为响应文件撤回；响应文件未按时解密也未提供备份响应文件的，亦视为响应文件撤回</w:t>
      </w:r>
      <w:r>
        <w:rPr>
          <w:rFonts w:hint="eastAsia" w:ascii="宋体" w:hAnsi="宋体" w:eastAsia="宋体" w:cs="宋体"/>
          <w:sz w:val="24"/>
          <w:highlight w:val="none"/>
        </w:rPr>
        <w:t>。</w:t>
      </w:r>
    </w:p>
    <w:p w14:paraId="5F62F888">
      <w:pPr>
        <w:pStyle w:val="23"/>
        <w:spacing w:before="156" w:beforeLines="50" w:line="360" w:lineRule="auto"/>
        <w:rPr>
          <w:rFonts w:hint="eastAsia" w:ascii="宋体" w:hAnsi="宋体" w:eastAsia="宋体" w:cs="宋体"/>
          <w:b/>
          <w:bCs/>
          <w:sz w:val="28"/>
          <w:szCs w:val="28"/>
          <w:highlight w:val="none"/>
        </w:rPr>
      </w:pPr>
      <w:r>
        <w:rPr>
          <w:rFonts w:hint="eastAsia" w:ascii="宋体" w:hAnsi="宋体" w:eastAsia="宋体" w:cs="宋体"/>
          <w:b/>
          <w:sz w:val="28"/>
          <w:szCs w:val="28"/>
          <w:highlight w:val="none"/>
        </w:rPr>
        <w:t xml:space="preserve">8. </w:t>
      </w:r>
      <w:r>
        <w:rPr>
          <w:rFonts w:hint="eastAsia" w:ascii="宋体" w:hAnsi="宋体" w:eastAsia="宋体" w:cs="宋体"/>
          <w:b/>
          <w:bCs/>
          <w:sz w:val="28"/>
          <w:szCs w:val="28"/>
          <w:highlight w:val="none"/>
        </w:rPr>
        <w:t>响应文件的组成</w:t>
      </w:r>
    </w:p>
    <w:p w14:paraId="434AE851">
      <w:pPr>
        <w:pStyle w:val="23"/>
        <w:spacing w:line="360" w:lineRule="auto"/>
        <w:ind w:firstLine="477" w:firstLineChars="198"/>
        <w:rPr>
          <w:rFonts w:hint="eastAsia" w:ascii="宋体" w:hAnsi="宋体" w:eastAsia="宋体" w:cs="宋体"/>
          <w:b/>
          <w:sz w:val="24"/>
          <w:highlight w:val="none"/>
        </w:rPr>
      </w:pPr>
      <w:r>
        <w:rPr>
          <w:rFonts w:hint="eastAsia" w:ascii="宋体" w:hAnsi="宋体" w:eastAsia="宋体" w:cs="宋体"/>
          <w:b/>
          <w:sz w:val="24"/>
          <w:highlight w:val="none"/>
        </w:rPr>
        <w:t>8.1 响应文件由资格响应文件、商务技术响应文件、报价响应文件三部分组成。</w:t>
      </w:r>
    </w:p>
    <w:p w14:paraId="185BEFED">
      <w:pPr>
        <w:snapToGrid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bCs/>
          <w:color w:val="auto"/>
          <w:sz w:val="24"/>
          <w:highlight w:val="none"/>
        </w:rPr>
        <w:t>具体包含的内容及组成以政采云电子交易客户端为准。</w:t>
      </w:r>
    </w:p>
    <w:p w14:paraId="548F9286">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▲1、资格证明内容的组成：</w:t>
      </w:r>
    </w:p>
    <w:p w14:paraId="4BB0B4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（1）磋商声明书</w:t>
      </w:r>
      <w:r>
        <w:rPr>
          <w:rFonts w:hint="eastAsia" w:ascii="宋体" w:hAnsi="宋体"/>
          <w:color w:val="auto"/>
          <w:sz w:val="24"/>
          <w:highlight w:val="none"/>
        </w:rPr>
        <w:t>（详见附件）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联合体投标的双方均提供</w:t>
      </w:r>
      <w:r>
        <w:rPr>
          <w:rFonts w:hint="eastAsia" w:ascii="宋体" w:hAnsi="宋体"/>
          <w:color w:val="auto"/>
          <w:sz w:val="24"/>
          <w:highlight w:val="none"/>
          <w:lang w:eastAsia="zh-CN"/>
        </w:rPr>
        <w:t>）</w:t>
      </w:r>
      <w:r>
        <w:rPr>
          <w:rFonts w:hint="eastAsia" w:ascii="宋体" w:hAnsi="宋体" w:cs="宋体"/>
          <w:color w:val="auto"/>
          <w:sz w:val="24"/>
          <w:highlight w:val="none"/>
        </w:rPr>
        <w:t>；</w:t>
      </w:r>
    </w:p>
    <w:p w14:paraId="5C6045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w:t>
      </w:r>
    </w:p>
    <w:p w14:paraId="0AFE31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联合体投标的双方均提供</w:t>
      </w:r>
      <w:r>
        <w:rPr>
          <w:rFonts w:hint="eastAsia" w:ascii="宋体" w:hAnsi="宋体"/>
          <w:color w:val="auto"/>
          <w:sz w:val="24"/>
          <w:highlight w:val="none"/>
          <w:lang w:eastAsia="zh-CN"/>
        </w:rPr>
        <w:t>）</w:t>
      </w:r>
      <w:r>
        <w:rPr>
          <w:rFonts w:hint="eastAsia" w:ascii="宋体" w:hAnsi="宋体" w:cs="宋体"/>
          <w:color w:val="auto"/>
          <w:sz w:val="24"/>
          <w:highlight w:val="none"/>
        </w:rPr>
        <w:t xml:space="preserve">； </w:t>
      </w:r>
    </w:p>
    <w:p w14:paraId="5E5FE9FA">
      <w:pPr>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lang w:val="en-US" w:eastAsia="zh-CN" w:bidi="ar-SA"/>
        </w:rPr>
        <w:t>联合体响应要求：供应商提供联合体协议书，联合体各方不得再以自己名义单独或加入其他联合体对本项目进行响应。（详见附件）。</w:t>
      </w:r>
    </w:p>
    <w:p w14:paraId="18DABE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olor w:val="auto"/>
          <w:sz w:val="24"/>
          <w:highlight w:val="none"/>
        </w:rPr>
        <w:t>具有良好的商业信誉和健全的财务会计制度的承诺函（详见附件）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联合体投标的双方均提供</w:t>
      </w:r>
      <w:r>
        <w:rPr>
          <w:rFonts w:hint="eastAsia" w:ascii="宋体" w:hAnsi="宋体"/>
          <w:color w:val="auto"/>
          <w:sz w:val="24"/>
          <w:highlight w:val="none"/>
          <w:lang w:eastAsia="zh-CN"/>
        </w:rPr>
        <w:t>）</w:t>
      </w:r>
      <w:r>
        <w:rPr>
          <w:rFonts w:hint="eastAsia" w:ascii="宋体" w:hAnsi="宋体" w:cs="宋体"/>
          <w:color w:val="auto"/>
          <w:sz w:val="24"/>
          <w:highlight w:val="none"/>
        </w:rPr>
        <w:t>；</w:t>
      </w:r>
    </w:p>
    <w:p w14:paraId="04925D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olor w:val="auto"/>
          <w:sz w:val="24"/>
          <w:highlight w:val="none"/>
          <w:lang w:val="zh-CN"/>
        </w:rPr>
        <w:t>具有依法缴纳税收和社会保障资金证明的承诺函（详见附件）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联合体投标的双方均提供</w:t>
      </w:r>
      <w:r>
        <w:rPr>
          <w:rFonts w:hint="eastAsia" w:ascii="宋体" w:hAnsi="宋体"/>
          <w:color w:val="auto"/>
          <w:sz w:val="24"/>
          <w:highlight w:val="none"/>
          <w:lang w:eastAsia="zh-CN"/>
        </w:rPr>
        <w:t>）</w:t>
      </w:r>
      <w:r>
        <w:rPr>
          <w:rFonts w:hint="eastAsia" w:ascii="宋体" w:hAnsi="宋体" w:cs="宋体"/>
          <w:color w:val="auto"/>
          <w:sz w:val="24"/>
          <w:highlight w:val="none"/>
        </w:rPr>
        <w:t>；</w:t>
      </w:r>
    </w:p>
    <w:p w14:paraId="581FC0DA">
      <w:pPr>
        <w:snapToGrid w:val="0"/>
        <w:spacing w:line="360" w:lineRule="auto"/>
        <w:ind w:right="-197" w:rightChars="-94"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）具有履行合同所必需的场地、设备和专业技术能力的承诺函（详见附件）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联合体投标的双方均提供</w:t>
      </w:r>
      <w:r>
        <w:rPr>
          <w:rFonts w:hint="eastAsia" w:ascii="宋体" w:hAnsi="宋体"/>
          <w:color w:val="auto"/>
          <w:sz w:val="24"/>
          <w:highlight w:val="none"/>
          <w:lang w:eastAsia="zh-CN"/>
        </w:rPr>
        <w:t>）</w:t>
      </w:r>
      <w:r>
        <w:rPr>
          <w:rFonts w:hint="eastAsia" w:ascii="宋体" w:hAnsi="宋体" w:cs="宋体"/>
          <w:color w:val="auto"/>
          <w:sz w:val="24"/>
          <w:highlight w:val="none"/>
        </w:rPr>
        <w:t>；</w:t>
      </w:r>
    </w:p>
    <w:p w14:paraId="1FB87BD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）磋商供应商没有失信记录承诺函（详见附件）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联合体投标的双方均提供</w:t>
      </w:r>
      <w:r>
        <w:rPr>
          <w:rFonts w:hint="eastAsia" w:ascii="宋体" w:hAnsi="宋体"/>
          <w:color w:val="auto"/>
          <w:sz w:val="24"/>
          <w:highlight w:val="none"/>
          <w:lang w:eastAsia="zh-CN"/>
        </w:rPr>
        <w:t>）</w:t>
      </w:r>
      <w:r>
        <w:rPr>
          <w:rFonts w:hint="eastAsia" w:ascii="宋体" w:hAnsi="宋体" w:eastAsia="宋体" w:cs="宋体"/>
          <w:color w:val="auto"/>
          <w:sz w:val="24"/>
          <w:highlight w:val="none"/>
        </w:rPr>
        <w:t>；</w:t>
      </w:r>
    </w:p>
    <w:p w14:paraId="063BBB2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）落实政府采购政策需满足资格要求声明函等[提供中小企业声明函（详见格式附件）或残疾人福利性单位声明函（详见格式附件）或监狱企业证明文件]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联合体投标的双方均提供</w:t>
      </w:r>
      <w:r>
        <w:rPr>
          <w:rFonts w:hint="eastAsia" w:ascii="宋体" w:hAnsi="宋体"/>
          <w:color w:val="auto"/>
          <w:sz w:val="24"/>
          <w:highlight w:val="none"/>
          <w:lang w:eastAsia="zh-CN"/>
        </w:rPr>
        <w:t>）</w:t>
      </w:r>
      <w:r>
        <w:rPr>
          <w:rFonts w:hint="eastAsia" w:ascii="宋体" w:hAnsi="宋体" w:cs="宋体"/>
          <w:color w:val="auto"/>
          <w:kern w:val="0"/>
          <w:sz w:val="24"/>
          <w:highlight w:val="none"/>
          <w:lang w:eastAsia="zh-CN"/>
        </w:rPr>
        <w:t>；</w:t>
      </w:r>
    </w:p>
    <w:p w14:paraId="09AEB4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）提供采购公告中符合供应商特定条件的有效证书或证明资料扫描件</w:t>
      </w:r>
      <w:r>
        <w:rPr>
          <w:rFonts w:hint="eastAsia" w:ascii="宋体" w:hAnsi="宋体"/>
          <w:color w:val="auto"/>
          <w:sz w:val="24"/>
          <w:highlight w:val="none"/>
        </w:rPr>
        <w:t>，</w:t>
      </w:r>
      <w:r>
        <w:rPr>
          <w:rFonts w:hint="eastAsia" w:ascii="宋体" w:hAnsi="宋体" w:cs="宋体"/>
          <w:color w:val="auto"/>
          <w:sz w:val="24"/>
          <w:highlight w:val="none"/>
        </w:rPr>
        <w:t>以及需要说明的其他资料；</w:t>
      </w:r>
    </w:p>
    <w:p w14:paraId="680D0EAF">
      <w:pPr>
        <w:pStyle w:val="185"/>
        <w:ind w:left="0" w:leftChars="0" w:firstLine="593" w:firstLineChars="246"/>
        <w:rPr>
          <w:rFonts w:ascii="宋体" w:hAnsi="宋体" w:cs="宋体"/>
          <w:color w:val="auto"/>
          <w:highlight w:val="none"/>
        </w:rPr>
      </w:pPr>
      <w:r>
        <w:rPr>
          <w:rFonts w:hint="eastAsia" w:ascii="宋体" w:hAnsi="宋体" w:cs="宋体"/>
          <w:color w:val="auto"/>
          <w:highlight w:val="none"/>
        </w:rPr>
        <w:t>2、商务与技术内容的组成：</w:t>
      </w:r>
    </w:p>
    <w:p w14:paraId="5862DF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）供应商基本情况表（详见附件）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联合体投标的双方均提供</w:t>
      </w:r>
      <w:r>
        <w:rPr>
          <w:rFonts w:hint="eastAsia" w:ascii="宋体" w:hAnsi="宋体"/>
          <w:color w:val="auto"/>
          <w:sz w:val="24"/>
          <w:highlight w:val="none"/>
          <w:lang w:eastAsia="zh-CN"/>
        </w:rPr>
        <w:t>）</w:t>
      </w:r>
      <w:r>
        <w:rPr>
          <w:rFonts w:hint="eastAsia" w:ascii="宋体" w:hAnsi="宋体" w:cs="宋体"/>
          <w:color w:val="auto"/>
          <w:sz w:val="24"/>
          <w:highlight w:val="none"/>
        </w:rPr>
        <w:t>；</w:t>
      </w:r>
    </w:p>
    <w:p w14:paraId="6DF2C22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）其余内容根据评标办法自拟（详见附件）</w:t>
      </w:r>
      <w:r>
        <w:rPr>
          <w:rFonts w:hint="eastAsia" w:ascii="宋体" w:hAnsi="宋体" w:cs="宋体"/>
          <w:color w:val="auto"/>
          <w:kern w:val="0"/>
          <w:sz w:val="24"/>
          <w:highlight w:val="none"/>
        </w:rPr>
        <w:t>；</w:t>
      </w:r>
    </w:p>
    <w:p w14:paraId="0436E339">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3</w:t>
      </w:r>
      <w:r>
        <w:rPr>
          <w:rFonts w:hint="eastAsia" w:ascii="宋体" w:hAnsi="宋体" w:cs="宋体"/>
          <w:color w:val="auto"/>
          <w:sz w:val="24"/>
          <w:szCs w:val="21"/>
          <w:highlight w:val="none"/>
        </w:rPr>
        <w:t>）投标人认为需要提供的其他资料</w:t>
      </w:r>
      <w:r>
        <w:rPr>
          <w:rFonts w:hint="eastAsia" w:ascii="宋体" w:hAnsi="宋体" w:cs="宋体"/>
          <w:color w:val="auto"/>
          <w:kern w:val="0"/>
          <w:sz w:val="24"/>
          <w:highlight w:val="none"/>
        </w:rPr>
        <w:t>。</w:t>
      </w:r>
    </w:p>
    <w:p w14:paraId="3993EE9B">
      <w:pPr>
        <w:pStyle w:val="2"/>
        <w:widowControl/>
        <w:adjustRightInd w:val="0"/>
        <w:snapToGrid w:val="0"/>
        <w:spacing w:line="360" w:lineRule="auto"/>
        <w:ind w:left="218" w:leftChars="104" w:firstLine="482" w:firstLineChars="200"/>
        <w:rPr>
          <w:rFonts w:ascii="宋体" w:hAnsi="宋体" w:cs="宋体"/>
          <w:color w:val="auto"/>
          <w:sz w:val="24"/>
          <w:szCs w:val="24"/>
          <w:highlight w:val="none"/>
        </w:rPr>
      </w:pPr>
      <w:r>
        <w:rPr>
          <w:rFonts w:hint="eastAsia" w:ascii="宋体" w:hAnsi="宋体" w:cs="宋体"/>
          <w:b/>
          <w:color w:val="auto"/>
          <w:kern w:val="0"/>
          <w:sz w:val="24"/>
          <w:highlight w:val="none"/>
        </w:rPr>
        <w:t>招标需求中要求提供的相关证明材料及根据评标办法提供的证明材料均需在磋商响应文件中提供扫描件。</w:t>
      </w:r>
    </w:p>
    <w:p w14:paraId="6E907023">
      <w:pPr>
        <w:autoSpaceDE w:val="0"/>
        <w:autoSpaceDN w:val="0"/>
        <w:adjustRightInd w:val="0"/>
        <w:spacing w:line="360" w:lineRule="auto"/>
        <w:ind w:left="426" w:firstLine="65" w:firstLineChars="27"/>
        <w:rPr>
          <w:rFonts w:ascii="宋体" w:hAnsi="宋体" w:cs="宋体"/>
          <w:b/>
          <w:color w:val="auto"/>
          <w:kern w:val="0"/>
          <w:sz w:val="24"/>
          <w:highlight w:val="none"/>
        </w:rPr>
      </w:pPr>
      <w:r>
        <w:rPr>
          <w:rFonts w:hint="eastAsia" w:ascii="宋体" w:hAnsi="宋体" w:cs="宋体"/>
          <w:b/>
          <w:color w:val="auto"/>
          <w:sz w:val="24"/>
          <w:highlight w:val="none"/>
        </w:rPr>
        <w:t>▲</w:t>
      </w:r>
      <w:r>
        <w:rPr>
          <w:rFonts w:hint="eastAsia" w:ascii="宋体" w:hAnsi="宋体" w:cs="宋体"/>
          <w:b/>
          <w:color w:val="auto"/>
          <w:kern w:val="0"/>
          <w:sz w:val="24"/>
          <w:highlight w:val="none"/>
        </w:rPr>
        <w:t>3、报价内容的组成</w:t>
      </w:r>
    </w:p>
    <w:p w14:paraId="148C26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（1）首次报价一览表（详见附件）；</w:t>
      </w:r>
    </w:p>
    <w:p w14:paraId="19475A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（2）工程量清单报价明细表（详见附件）；</w:t>
      </w:r>
    </w:p>
    <w:p w14:paraId="1682387D">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）单价计算表（详见附件，仅做参考）；</w:t>
      </w:r>
    </w:p>
    <w:p w14:paraId="2753FEE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注：</w:t>
      </w:r>
      <w:r>
        <w:rPr>
          <w:rFonts w:hint="eastAsia" w:ascii="宋体" w:hAnsi="宋体" w:cs="宋体"/>
          <w:b/>
          <w:color w:val="auto"/>
          <w:sz w:val="24"/>
          <w:highlight w:val="none"/>
        </w:rPr>
        <w:t>▲</w:t>
      </w:r>
      <w:r>
        <w:rPr>
          <w:rFonts w:hint="eastAsia" w:ascii="宋体" w:hAnsi="宋体" w:cs="宋体"/>
          <w:color w:val="auto"/>
          <w:kern w:val="0"/>
          <w:sz w:val="24"/>
          <w:highlight w:val="none"/>
        </w:rPr>
        <w:t>①此报价为供应商针对本项目报出的唯一的首次报价，包含其它一切所要涉及到的费用，</w:t>
      </w:r>
      <w:r>
        <w:rPr>
          <w:rFonts w:hint="eastAsia" w:ascii="宋体" w:hAnsi="宋体" w:cs="宋体"/>
          <w:color w:val="auto"/>
          <w:kern w:val="0"/>
          <w:sz w:val="24"/>
          <w:highlight w:val="none"/>
          <w:lang w:val="en-US" w:eastAsia="zh-CN"/>
        </w:rPr>
        <w:t>有条件、</w:t>
      </w:r>
      <w:r>
        <w:rPr>
          <w:rFonts w:hint="eastAsia" w:ascii="宋体" w:hAnsi="宋体" w:cs="宋体"/>
          <w:color w:val="auto"/>
          <w:kern w:val="0"/>
          <w:sz w:val="24"/>
          <w:highlight w:val="none"/>
        </w:rPr>
        <w:t>有选择的报价将被拒绝。</w:t>
      </w:r>
    </w:p>
    <w:p w14:paraId="693CF16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②</w:t>
      </w:r>
      <w:r>
        <w:rPr>
          <w:rFonts w:hint="eastAsia" w:ascii="宋体" w:hAnsi="宋体" w:cs="宋体"/>
          <w:color w:val="auto"/>
          <w:kern w:val="0"/>
          <w:sz w:val="24"/>
          <w:highlight w:val="none"/>
        </w:rPr>
        <w:t>磋商响应报价表不得涂改和增删，</w:t>
      </w:r>
      <w:r>
        <w:rPr>
          <w:rFonts w:hint="eastAsia" w:ascii="宋体" w:hAnsi="宋体" w:cs="宋体"/>
          <w:b/>
          <w:color w:val="auto"/>
          <w:sz w:val="24"/>
          <w:highlight w:val="none"/>
        </w:rPr>
        <w:t>▲</w:t>
      </w:r>
      <w:r>
        <w:rPr>
          <w:rFonts w:hint="eastAsia" w:ascii="宋体" w:hAnsi="宋体" w:cs="宋体"/>
          <w:color w:val="auto"/>
          <w:kern w:val="0"/>
          <w:sz w:val="24"/>
          <w:highlight w:val="none"/>
        </w:rPr>
        <w:t>如有错漏必须修改，修改处须由同一签署人签字或盖章。由于字迹模糊或表达不清引起的</w:t>
      </w:r>
      <w:r>
        <w:rPr>
          <w:rFonts w:hint="eastAsia" w:ascii="宋体" w:hAnsi="宋体" w:cs="宋体"/>
          <w:color w:val="auto"/>
          <w:kern w:val="0"/>
          <w:sz w:val="24"/>
          <w:highlight w:val="none"/>
          <w:lang w:eastAsia="zh-CN"/>
        </w:rPr>
        <w:t>不利于供应商的</w:t>
      </w:r>
      <w:r>
        <w:rPr>
          <w:rFonts w:hint="eastAsia" w:ascii="宋体" w:hAnsi="宋体" w:cs="宋体"/>
          <w:color w:val="auto"/>
          <w:kern w:val="0"/>
          <w:sz w:val="24"/>
          <w:highlight w:val="none"/>
        </w:rPr>
        <w:t>后果由供应商负责。</w:t>
      </w:r>
    </w:p>
    <w:p w14:paraId="2715418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报价有关表格应按磋商采购文件中相关附表格式填写。</w:t>
      </w:r>
    </w:p>
    <w:p w14:paraId="1671E3DF">
      <w:pPr>
        <w:pStyle w:val="51"/>
        <w:rPr>
          <w:rFonts w:hint="default" w:eastAsia="华文楷体"/>
          <w:b/>
          <w:bCs/>
          <w:highlight w:val="none"/>
          <w:lang w:val="en-US" w:eastAsia="zh-CN"/>
        </w:rPr>
      </w:pPr>
      <w:r>
        <w:rPr>
          <w:rFonts w:hint="eastAsia" w:ascii="宋体" w:hAnsi="宋体" w:cs="宋体"/>
          <w:b/>
          <w:bCs/>
          <w:color w:val="auto"/>
          <w:kern w:val="0"/>
          <w:sz w:val="24"/>
          <w:highlight w:val="none"/>
          <w:lang w:val="en-US" w:eastAsia="zh-CN"/>
        </w:rPr>
        <w:t>注：如联合体投标的磋商文件的上传由牵头人完成。</w:t>
      </w:r>
    </w:p>
    <w:p w14:paraId="795F24C3">
      <w:pPr>
        <w:snapToGrid w:val="0"/>
        <w:spacing w:before="156" w:beforeLines="50" w:line="360" w:lineRule="auto"/>
        <w:jc w:val="left"/>
        <w:rPr>
          <w:rFonts w:hint="eastAsia" w:ascii="宋体" w:hAnsi="宋体" w:eastAsia="宋体" w:cs="宋体"/>
          <w:b/>
          <w:sz w:val="28"/>
          <w:szCs w:val="28"/>
          <w:highlight w:val="none"/>
        </w:rPr>
      </w:pPr>
      <w:bookmarkStart w:id="6" w:name="_Toc177824878"/>
      <w:bookmarkStart w:id="7" w:name="_Toc177825126"/>
      <w:bookmarkStart w:id="8" w:name="_Toc177824945"/>
      <w:bookmarkStart w:id="9" w:name="_Toc177870548"/>
      <w:r>
        <w:rPr>
          <w:rFonts w:hint="eastAsia" w:ascii="宋体" w:hAnsi="宋体" w:eastAsia="宋体" w:cs="宋体"/>
          <w:b/>
          <w:sz w:val="28"/>
          <w:szCs w:val="28"/>
          <w:highlight w:val="none"/>
        </w:rPr>
        <w:t>9．报价</w:t>
      </w:r>
      <w:bookmarkEnd w:id="6"/>
      <w:bookmarkEnd w:id="7"/>
      <w:bookmarkEnd w:id="8"/>
      <w:bookmarkEnd w:id="9"/>
      <w:r>
        <w:rPr>
          <w:rFonts w:hint="eastAsia" w:ascii="宋体" w:hAnsi="宋体" w:eastAsia="宋体" w:cs="宋体"/>
          <w:b/>
          <w:sz w:val="28"/>
          <w:szCs w:val="28"/>
          <w:highlight w:val="none"/>
        </w:rPr>
        <w:t>要求</w:t>
      </w:r>
    </w:p>
    <w:p w14:paraId="3BB69B27">
      <w:pPr>
        <w:snapToGrid w:val="0"/>
        <w:spacing w:line="360" w:lineRule="auto"/>
        <w:ind w:firstLine="480" w:firstLineChars="200"/>
        <w:jc w:val="left"/>
        <w:rPr>
          <w:rFonts w:hint="eastAsia" w:ascii="宋体" w:hAnsi="宋体" w:cs="宋体"/>
          <w:sz w:val="24"/>
          <w:highlight w:val="none"/>
          <w:lang w:val="en-US" w:eastAsia="zh-CN"/>
        </w:rPr>
      </w:pPr>
      <w:r>
        <w:rPr>
          <w:rFonts w:hint="eastAsia" w:ascii="宋体" w:hAnsi="宋体" w:eastAsia="宋体" w:cs="宋体"/>
          <w:sz w:val="24"/>
          <w:highlight w:val="none"/>
        </w:rPr>
        <w:t>▲9.1报价应当是完全履行招标内容及要求的价格体现，报价中须包含工程直接费、施工设备、机械进退场费、运输、劳务、管理、材料、安装、安全文明、维护、技术措施费、施工组织措施费、风险费、保险、利润、规费、税金、政策性文件、采购代理费等其他费用，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hint="eastAsia" w:ascii="宋体" w:hAnsi="宋体" w:cs="宋体"/>
          <w:sz w:val="24"/>
          <w:highlight w:val="none"/>
          <w:lang w:val="en-US" w:eastAsia="zh-CN"/>
        </w:rPr>
        <w:t xml:space="preserve">  </w:t>
      </w:r>
    </w:p>
    <w:p w14:paraId="5F147CFF">
      <w:pPr>
        <w:snapToGrid w:val="0"/>
        <w:spacing w:line="360" w:lineRule="auto"/>
        <w:ind w:firstLine="482" w:firstLineChars="200"/>
        <w:jc w:val="left"/>
        <w:rPr>
          <w:rFonts w:hint="eastAsia" w:ascii="宋体" w:hAnsi="宋体" w:eastAsia="宋体" w:cs="宋体"/>
          <w:b/>
          <w:color w:val="auto"/>
          <w:spacing w:val="-2"/>
          <w:sz w:val="24"/>
          <w:highlight w:val="none"/>
          <w:u w:val="singl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9.2</w:t>
      </w:r>
      <w:r>
        <w:rPr>
          <w:rFonts w:hint="eastAsia" w:ascii="宋体" w:hAnsi="宋体" w:eastAsia="宋体" w:cs="宋体"/>
          <w:b/>
          <w:bCs/>
          <w:color w:val="auto"/>
          <w:sz w:val="24"/>
          <w:highlight w:val="none"/>
          <w:u w:val="single"/>
        </w:rPr>
        <w:t>报价超过采购预算（或最高限价）的，作无效响应处理。</w:t>
      </w:r>
    </w:p>
    <w:p w14:paraId="72681D8D">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 磋商报价币种及单位为</w:t>
      </w:r>
      <w:r>
        <w:rPr>
          <w:rFonts w:hint="eastAsia" w:ascii="宋体" w:hAnsi="宋体" w:eastAsia="宋体" w:cs="宋体"/>
          <w:b/>
          <w:sz w:val="24"/>
          <w:highlight w:val="none"/>
          <w:u w:val="single"/>
        </w:rPr>
        <w:t>人民币、元</w:t>
      </w:r>
      <w:r>
        <w:rPr>
          <w:rFonts w:hint="eastAsia" w:ascii="宋体" w:hAnsi="宋体" w:eastAsia="宋体" w:cs="宋体"/>
          <w:sz w:val="24"/>
          <w:highlight w:val="none"/>
        </w:rPr>
        <w:t>，否则按无效响应处理。</w:t>
      </w:r>
    </w:p>
    <w:p w14:paraId="2F900670">
      <w:pPr>
        <w:pStyle w:val="23"/>
        <w:snapToGrid w:val="0"/>
        <w:spacing w:line="360" w:lineRule="auto"/>
        <w:ind w:firstLine="480" w:firstLineChars="200"/>
        <w:jc w:val="left"/>
        <w:rPr>
          <w:rFonts w:hint="eastAsia" w:ascii="宋体" w:hAnsi="宋体" w:eastAsia="宋体" w:cs="宋体"/>
          <w:b/>
          <w:sz w:val="24"/>
          <w:highlight w:val="none"/>
        </w:rPr>
      </w:pPr>
      <w:r>
        <w:rPr>
          <w:rFonts w:hint="eastAsia" w:ascii="宋体" w:hAnsi="宋体" w:eastAsia="宋体" w:cs="宋体"/>
          <w:sz w:val="24"/>
          <w:highlight w:val="none"/>
        </w:rPr>
        <w:t xml:space="preserve">▲9.4 响应文件只允许有一个首次报价，提供两个或多个首次报价的按无效响应处理。 </w:t>
      </w:r>
    </w:p>
    <w:p w14:paraId="0D0C69CC">
      <w:pPr>
        <w:snapToGrid w:val="0"/>
        <w:spacing w:before="156" w:beforeLines="50" w:line="360" w:lineRule="auto"/>
        <w:jc w:val="left"/>
        <w:outlineLvl w:val="1"/>
        <w:rPr>
          <w:rFonts w:hint="eastAsia" w:ascii="宋体" w:hAnsi="宋体" w:eastAsia="宋体" w:cs="宋体"/>
          <w:b/>
          <w:bCs/>
          <w:sz w:val="28"/>
          <w:szCs w:val="28"/>
          <w:highlight w:val="none"/>
        </w:rPr>
      </w:pPr>
      <w:r>
        <w:rPr>
          <w:rFonts w:hint="eastAsia" w:ascii="宋体" w:hAnsi="宋体" w:eastAsia="宋体" w:cs="宋体"/>
          <w:b/>
          <w:sz w:val="28"/>
          <w:szCs w:val="28"/>
          <w:highlight w:val="none"/>
        </w:rPr>
        <w:t>10．响应文件有效期</w:t>
      </w:r>
    </w:p>
    <w:p w14:paraId="5E82E74E">
      <w:pPr>
        <w:pStyle w:val="23"/>
        <w:spacing w:line="360" w:lineRule="auto"/>
        <w:ind w:firstLine="475" w:firstLineChars="198"/>
        <w:rPr>
          <w:rFonts w:hint="eastAsia" w:ascii="宋体" w:hAnsi="宋体" w:eastAsia="宋体" w:cs="宋体"/>
          <w:b/>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 xml:space="preserve">10.1 响应文件有效期为 </w:t>
      </w:r>
      <w:r>
        <w:rPr>
          <w:rFonts w:hint="eastAsia" w:ascii="宋体" w:hAnsi="宋体" w:eastAsia="宋体" w:cs="宋体"/>
          <w:b/>
          <w:sz w:val="24"/>
          <w:highlight w:val="none"/>
          <w:u w:val="single"/>
        </w:rPr>
        <w:t xml:space="preserve"> 90</w:t>
      </w:r>
      <w:r>
        <w:rPr>
          <w:rFonts w:hint="eastAsia" w:ascii="宋体" w:hAnsi="宋体" w:eastAsia="宋体" w:cs="宋体"/>
          <w:b/>
          <w:sz w:val="24"/>
          <w:highlight w:val="none"/>
        </w:rPr>
        <w:t>天，从磋商文件规定的提交响应文件截止之日起计算，在此期限内，供应商不得撤回或修改其响应文件。</w:t>
      </w:r>
    </w:p>
    <w:p w14:paraId="5FEE97C0">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10.2 在响应文件有效期结束前，出现特殊情况的，采购代理机构可以书面形式要求所有供应商延长响应有效期，对此要求供应商须以书面形式予以答复。供应商同意延长的，不得要求也不允许修改或撤销其响应文件；供应商拒绝延长的，其响应失效。</w:t>
      </w:r>
    </w:p>
    <w:p w14:paraId="7B28BDDD">
      <w:pPr>
        <w:pStyle w:val="23"/>
        <w:spacing w:before="156" w:beforeLines="50" w:line="360" w:lineRule="auto"/>
        <w:rPr>
          <w:rFonts w:hint="eastAsia" w:ascii="宋体" w:hAnsi="宋体" w:eastAsia="宋体" w:cs="宋体"/>
          <w:b/>
          <w:bCs/>
          <w:sz w:val="28"/>
          <w:highlight w:val="none"/>
        </w:rPr>
      </w:pPr>
      <w:r>
        <w:rPr>
          <w:rFonts w:hint="eastAsia" w:ascii="宋体" w:hAnsi="宋体" w:eastAsia="宋体" w:cs="宋体"/>
          <w:b/>
          <w:bCs/>
          <w:sz w:val="28"/>
          <w:szCs w:val="28"/>
          <w:highlight w:val="none"/>
        </w:rPr>
        <w:t>11.</w:t>
      </w:r>
      <w:r>
        <w:rPr>
          <w:rFonts w:hint="eastAsia" w:ascii="宋体" w:hAnsi="宋体" w:eastAsia="宋体" w:cs="宋体"/>
          <w:b/>
          <w:bCs/>
          <w:sz w:val="28"/>
          <w:highlight w:val="none"/>
        </w:rPr>
        <w:t xml:space="preserve"> 现场踏勘</w:t>
      </w:r>
    </w:p>
    <w:p w14:paraId="194FD1EF">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11.1 </w:t>
      </w:r>
      <w:r>
        <w:rPr>
          <w:rFonts w:hint="eastAsia" w:ascii="宋体" w:hAnsi="宋体" w:eastAsia="宋体" w:cs="宋体"/>
          <w:b/>
          <w:sz w:val="24"/>
          <w:highlight w:val="none"/>
        </w:rPr>
        <w:t>本项目不组织现场踏勘。</w:t>
      </w:r>
      <w:r>
        <w:rPr>
          <w:rFonts w:hint="eastAsia" w:ascii="宋体" w:hAnsi="宋体" w:eastAsia="宋体" w:cs="宋体"/>
          <w:b/>
          <w:sz w:val="24"/>
          <w:highlight w:val="none"/>
          <w:lang w:bidi="zh-CN"/>
        </w:rPr>
        <w:t>供应商可自行组织对现场及周围环境进行踏勘，以便供应商获取须自己负责的有关编制响应文件和签署合同所需的所有资料，踏勘现场所发生的费用由供应商自己承担。</w:t>
      </w:r>
    </w:p>
    <w:p w14:paraId="627CEF41">
      <w:pPr>
        <w:pStyle w:val="23"/>
        <w:spacing w:before="156" w:beforeLines="50"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12．响应文件的制作、上传及递交要求</w:t>
      </w:r>
    </w:p>
    <w:p w14:paraId="2286D2AC">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12.1</w:t>
      </w:r>
      <w:r>
        <w:rPr>
          <w:rFonts w:hint="eastAsia" w:ascii="宋体" w:hAnsi="宋体" w:eastAsia="宋体" w:cs="宋体"/>
          <w:b/>
          <w:bCs/>
          <w:sz w:val="24"/>
          <w:highlight w:val="none"/>
        </w:rPr>
        <w:t>响应文件的制作要求</w:t>
      </w:r>
    </w:p>
    <w:p w14:paraId="2A933834">
      <w:pPr>
        <w:pStyle w:val="2"/>
        <w:spacing w:line="360" w:lineRule="auto"/>
        <w:rPr>
          <w:rFonts w:hint="eastAsia" w:ascii="宋体" w:hAnsi="宋体" w:eastAsia="宋体" w:cs="宋体"/>
          <w:sz w:val="24"/>
          <w:highlight w:val="none"/>
        </w:rPr>
      </w:pPr>
      <w:r>
        <w:rPr>
          <w:rFonts w:hint="eastAsia" w:ascii="宋体" w:hAnsi="宋体" w:eastAsia="宋体" w:cs="宋体"/>
          <w:sz w:val="24"/>
          <w:highlight w:val="none"/>
        </w:rPr>
        <w:t>（1）供应商应按照响应文件组成内容及项目需求和浙江政府采购云平台要求制作响应文件，不按磋商文件和浙江政府采购云平台要求制作响应文件的将视情况处理（拒收、扣分等），由此产生的责任由供应商自行承担。</w:t>
      </w:r>
      <w:r>
        <w:rPr>
          <w:rFonts w:hint="eastAsia" w:ascii="宋体" w:hAnsi="宋体" w:eastAsia="宋体" w:cs="宋体"/>
          <w:b/>
          <w:sz w:val="24"/>
          <w:highlight w:val="none"/>
        </w:rPr>
        <w:t>其中《资格响应文件》和《商务技术响应文件》中不得出现本项目首次报价，否则响应无效。</w:t>
      </w:r>
    </w:p>
    <w:p w14:paraId="1186B3E4">
      <w:pPr>
        <w:pStyle w:val="2"/>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电子响应文件部分：供应商应根据“政采云供应商项目采购-电子招投标操作指南”及本磋商文件规定的格式和顺序编制电子响应文件并进行关联定位。</w:t>
      </w:r>
      <w:r>
        <w:rPr>
          <w:rFonts w:hint="eastAsia" w:ascii="宋体" w:hAnsi="宋体" w:eastAsia="宋体" w:cs="宋体"/>
          <w:b/>
          <w:color w:val="000000"/>
          <w:sz w:val="24"/>
          <w:highlight w:val="none"/>
        </w:rPr>
        <w:t>本文件《第六章 响应文件格式》中有提供格式的，供应商应按照格式进行编制（格式中要求提供相关证明材料的还需后附相关证明材料），并按格式要求在指定位置根据要求进行签章，否则视为未提供；本文件《第六章响应文件格式》未提供格式的，请供应商自行拟定格式，并加盖单位公章，否则视为未提供。</w:t>
      </w:r>
    </w:p>
    <w:p w14:paraId="622FF260">
      <w:pPr>
        <w:pStyle w:val="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备份电子响应文件：通过“政采云”平台电子投标工具制作响应文件所产生的备份文件。</w:t>
      </w:r>
    </w:p>
    <w:p w14:paraId="7701B29C">
      <w:pPr>
        <w:pStyle w:val="2"/>
        <w:spacing w:line="360" w:lineRule="auto"/>
        <w:rPr>
          <w:rFonts w:hint="eastAsia" w:ascii="宋体" w:hAnsi="宋体" w:eastAsia="宋体" w:cs="宋体"/>
          <w:sz w:val="24"/>
          <w:highlight w:val="none"/>
        </w:rPr>
      </w:pPr>
      <w:r>
        <w:rPr>
          <w:rFonts w:hint="eastAsia" w:ascii="宋体" w:hAnsi="宋体" w:eastAsia="宋体" w:cs="宋体"/>
          <w:sz w:val="24"/>
          <w:highlight w:val="none"/>
        </w:rPr>
        <w:t>（2）供应商应对所提供的全部资料的真实性、有效性承担法律责任，电子响应文件中所须加盖公章部分均采用CA签章。</w:t>
      </w:r>
    </w:p>
    <w:p w14:paraId="49530641">
      <w:pPr>
        <w:pStyle w:val="2"/>
        <w:spacing w:line="360" w:lineRule="auto"/>
        <w:rPr>
          <w:rFonts w:hint="eastAsia" w:ascii="宋体" w:hAnsi="宋体" w:eastAsia="宋体" w:cs="宋体"/>
          <w:sz w:val="24"/>
          <w:highlight w:val="none"/>
        </w:rPr>
      </w:pPr>
      <w:r>
        <w:rPr>
          <w:rFonts w:hint="eastAsia" w:ascii="宋体" w:hAnsi="宋体" w:eastAsia="宋体" w:cs="宋体"/>
          <w:sz w:val="24"/>
          <w:highlight w:val="none"/>
        </w:rPr>
        <w:t>（3）响应文件以及供应商与采购组织机构就有关响应事宜的所有来往函电，均应以中文汉语书写。除签字、盖章、专用名称等特殊情形外，以中文汉语以外的文字表述的响应文件视同未提供。</w:t>
      </w:r>
    </w:p>
    <w:p w14:paraId="54F4EB00">
      <w:pPr>
        <w:pStyle w:val="2"/>
        <w:spacing w:line="360" w:lineRule="auto"/>
        <w:rPr>
          <w:rFonts w:hint="eastAsia" w:ascii="宋体" w:hAnsi="宋体" w:eastAsia="宋体" w:cs="宋体"/>
          <w:sz w:val="24"/>
          <w:highlight w:val="none"/>
        </w:rPr>
      </w:pPr>
      <w:r>
        <w:rPr>
          <w:rFonts w:hint="eastAsia" w:ascii="宋体" w:hAnsi="宋体" w:eastAsia="宋体" w:cs="宋体"/>
          <w:sz w:val="24"/>
          <w:highlight w:val="none"/>
        </w:rPr>
        <w:t>（4）响应计量单位，磋商文件已有明确规定的，使用磋商文件规定的计量单位；磋商文件没有规定的，应采用中华人民共和国法定计量单位（货币单位：人民币元）。</w:t>
      </w:r>
    </w:p>
    <w:p w14:paraId="6CA12ADF">
      <w:pPr>
        <w:pStyle w:val="2"/>
        <w:spacing w:line="360" w:lineRule="auto"/>
        <w:rPr>
          <w:rFonts w:hint="eastAsia" w:ascii="宋体" w:hAnsi="宋体" w:eastAsia="宋体" w:cs="宋体"/>
          <w:sz w:val="24"/>
          <w:highlight w:val="none"/>
        </w:rPr>
      </w:pPr>
      <w:r>
        <w:rPr>
          <w:rFonts w:hint="eastAsia" w:ascii="宋体" w:hAnsi="宋体" w:eastAsia="宋体" w:cs="宋体"/>
          <w:sz w:val="24"/>
          <w:highlight w:val="none"/>
        </w:rPr>
        <w:t>（5）若供应商不按磋商文件的要求提供资格审查材料，其风险由供应商自行承担。</w:t>
      </w:r>
    </w:p>
    <w:p w14:paraId="162CF13A">
      <w:pPr>
        <w:pStyle w:val="2"/>
        <w:spacing w:line="360" w:lineRule="auto"/>
        <w:rPr>
          <w:rFonts w:hint="eastAsia" w:ascii="宋体" w:hAnsi="宋体" w:eastAsia="宋体" w:cs="宋体"/>
          <w:sz w:val="24"/>
          <w:highlight w:val="none"/>
        </w:rPr>
      </w:pPr>
      <w:r>
        <w:rPr>
          <w:rFonts w:hint="eastAsia" w:ascii="宋体" w:hAnsi="宋体" w:eastAsia="宋体" w:cs="宋体"/>
          <w:sz w:val="24"/>
          <w:highlight w:val="none"/>
        </w:rPr>
        <w:t>（6）与本次响应无关的内容请不要制作在内，确保响应文件有针对性、简洁明了。</w:t>
      </w:r>
    </w:p>
    <w:p w14:paraId="6A7255FE">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12.2</w:t>
      </w:r>
      <w:r>
        <w:rPr>
          <w:rFonts w:hint="eastAsia" w:ascii="宋体" w:hAnsi="宋体" w:eastAsia="宋体" w:cs="宋体"/>
          <w:b/>
          <w:bCs/>
          <w:sz w:val="24"/>
          <w:highlight w:val="none"/>
        </w:rPr>
        <w:t>响应文件的上传提交要求</w:t>
      </w:r>
    </w:p>
    <w:p w14:paraId="31F57B51">
      <w:pPr>
        <w:pStyle w:val="2"/>
        <w:spacing w:line="360" w:lineRule="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bidi="zh-CN"/>
        </w:rPr>
        <w:t>电子加密响应文件（</w:t>
      </w:r>
      <w:r>
        <w:rPr>
          <w:rFonts w:hint="eastAsia" w:ascii="宋体" w:hAnsi="宋体" w:eastAsia="宋体" w:cs="宋体"/>
          <w:b/>
          <w:sz w:val="24"/>
          <w:highlight w:val="none"/>
          <w:lang w:bidi="zh-CN"/>
        </w:rPr>
        <w:t>“.jmbs”格式</w:t>
      </w:r>
      <w:r>
        <w:rPr>
          <w:rFonts w:hint="eastAsia" w:ascii="宋体" w:hAnsi="宋体" w:eastAsia="宋体" w:cs="宋体"/>
          <w:sz w:val="24"/>
          <w:highlight w:val="none"/>
          <w:lang w:bidi="zh-CN"/>
        </w:rPr>
        <w:t>）</w:t>
      </w:r>
      <w:r>
        <w:rPr>
          <w:rFonts w:hint="eastAsia" w:ascii="宋体" w:hAnsi="宋体" w:eastAsia="宋体" w:cs="宋体"/>
          <w:sz w:val="24"/>
          <w:highlight w:val="none"/>
        </w:rPr>
        <w:t>：</w:t>
      </w:r>
    </w:p>
    <w:p w14:paraId="7B78F5BE">
      <w:pPr>
        <w:pStyle w:val="2"/>
        <w:spacing w:line="360" w:lineRule="auto"/>
        <w:ind w:firstLine="600" w:firstLineChars="250"/>
        <w:rPr>
          <w:rFonts w:hint="eastAsia" w:ascii="宋体" w:hAnsi="宋体" w:eastAsia="宋体" w:cs="宋体"/>
          <w:bCs/>
          <w:sz w:val="24"/>
          <w:highlight w:val="none"/>
          <w:lang w:bidi="zh-CN"/>
        </w:rPr>
      </w:pPr>
      <w:r>
        <w:rPr>
          <w:rFonts w:hint="eastAsia" w:ascii="宋体" w:hAnsi="宋体" w:eastAsia="宋体" w:cs="宋体"/>
          <w:sz w:val="24"/>
          <w:highlight w:val="none"/>
          <w:lang w:bidi="zh-CN"/>
        </w:rPr>
        <w:t>a.</w:t>
      </w:r>
      <w:r>
        <w:rPr>
          <w:rFonts w:hint="eastAsia" w:ascii="宋体" w:hAnsi="宋体" w:eastAsia="宋体" w:cs="宋体"/>
          <w:bCs/>
          <w:kern w:val="0"/>
          <w:sz w:val="24"/>
          <w:highlight w:val="none"/>
        </w:rPr>
        <w:t xml:space="preserve"> </w:t>
      </w:r>
      <w:r>
        <w:rPr>
          <w:rFonts w:hint="eastAsia" w:ascii="宋体" w:hAnsi="宋体" w:eastAsia="宋体" w:cs="宋体"/>
          <w:bCs/>
          <w:sz w:val="24"/>
          <w:highlight w:val="none"/>
          <w:lang w:bidi="zh-CN"/>
        </w:rPr>
        <w:t>供应商应在</w:t>
      </w:r>
      <w:r>
        <w:rPr>
          <w:rFonts w:hint="eastAsia" w:ascii="宋体" w:hAnsi="宋体" w:eastAsia="宋体" w:cs="宋体"/>
          <w:sz w:val="24"/>
          <w:highlight w:val="none"/>
        </w:rPr>
        <w:t>响应文件递交</w:t>
      </w:r>
      <w:r>
        <w:rPr>
          <w:rFonts w:hint="eastAsia" w:ascii="宋体" w:hAnsi="宋体" w:eastAsia="宋体" w:cs="宋体"/>
          <w:bCs/>
          <w:sz w:val="24"/>
          <w:highlight w:val="none"/>
          <w:lang w:bidi="zh-CN"/>
        </w:rPr>
        <w:t>截止时间前将电子加密响应文件成功上传递交至政府采购云平台，否则响应无效；</w:t>
      </w:r>
    </w:p>
    <w:p w14:paraId="1EF93878">
      <w:pPr>
        <w:pStyle w:val="2"/>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lang w:bidi="zh-CN"/>
        </w:rPr>
        <w:t>b.供应商成功上传电子加密响应文件后，可自行打印响应文件接收回执。</w:t>
      </w:r>
    </w:p>
    <w:p w14:paraId="6A86CCF0">
      <w:pPr>
        <w:pStyle w:val="2"/>
        <w:spacing w:line="360" w:lineRule="auto"/>
        <w:rPr>
          <w:rFonts w:hint="eastAsia" w:ascii="宋体" w:hAnsi="宋体" w:eastAsia="宋体" w:cs="宋体"/>
          <w:sz w:val="24"/>
          <w:highlight w:val="none"/>
          <w:lang w:bidi="zh-CN"/>
        </w:rPr>
      </w:pPr>
      <w:r>
        <w:rPr>
          <w:rFonts w:hint="eastAsia" w:ascii="宋体" w:hAnsi="宋体" w:eastAsia="宋体" w:cs="宋体"/>
          <w:sz w:val="24"/>
          <w:highlight w:val="none"/>
        </w:rPr>
        <w:t>（2）</w:t>
      </w:r>
      <w:r>
        <w:rPr>
          <w:rFonts w:hint="eastAsia" w:ascii="宋体" w:hAnsi="宋体" w:eastAsia="宋体" w:cs="宋体"/>
          <w:sz w:val="24"/>
          <w:highlight w:val="none"/>
          <w:lang w:bidi="zh-CN"/>
        </w:rPr>
        <w:t>备份响应文件（</w:t>
      </w:r>
      <w:r>
        <w:rPr>
          <w:rFonts w:hint="eastAsia" w:ascii="宋体" w:hAnsi="宋体" w:eastAsia="宋体" w:cs="宋体"/>
          <w:b/>
          <w:sz w:val="24"/>
          <w:highlight w:val="none"/>
          <w:lang w:bidi="zh-CN"/>
        </w:rPr>
        <w:t>“.bfbs”格式</w:t>
      </w:r>
      <w:r>
        <w:rPr>
          <w:rFonts w:hint="eastAsia" w:ascii="宋体" w:hAnsi="宋体" w:eastAsia="宋体" w:cs="宋体"/>
          <w:sz w:val="24"/>
          <w:highlight w:val="none"/>
          <w:lang w:bidi="zh-CN"/>
        </w:rPr>
        <w:t>）：</w:t>
      </w:r>
    </w:p>
    <w:p w14:paraId="0E94CC7C">
      <w:pPr>
        <w:pStyle w:val="2"/>
        <w:spacing w:line="360" w:lineRule="auto"/>
        <w:ind w:firstLine="600" w:firstLineChars="250"/>
        <w:rPr>
          <w:rFonts w:hint="eastAsia" w:ascii="宋体" w:hAnsi="宋体" w:eastAsia="宋体" w:cs="宋体"/>
          <w:sz w:val="24"/>
          <w:highlight w:val="none"/>
          <w:lang w:bidi="zh-CN"/>
        </w:rPr>
      </w:pPr>
      <w:r>
        <w:rPr>
          <w:rFonts w:hint="eastAsia" w:ascii="宋体" w:hAnsi="宋体" w:eastAsia="宋体" w:cs="宋体"/>
          <w:sz w:val="24"/>
          <w:highlight w:val="none"/>
          <w:lang w:bidi="zh-CN"/>
        </w:rPr>
        <w:t>a.供应商可以将备份响应文件打包压缩并加密，压缩包命名为“XX单位备份响应文件”，加密密码由供应商自行保管；送达时间以采购代理机构实际接收时间为准。</w:t>
      </w:r>
      <w:r>
        <w:rPr>
          <w:rFonts w:hint="eastAsia" w:ascii="宋体" w:hAnsi="宋体" w:eastAsia="宋体" w:cs="宋体"/>
          <w:b/>
          <w:bCs/>
          <w:sz w:val="24"/>
          <w:highlight w:val="none"/>
          <w:lang w:bidi="zh-CN"/>
        </w:rPr>
        <w:t>“备份响应文件”以响应文件递交截止时间前指定接收邮箱最终收到的文件为准，逾期或未按要求提供的视为未提供</w:t>
      </w:r>
      <w:r>
        <w:rPr>
          <w:rFonts w:hint="eastAsia" w:ascii="宋体" w:hAnsi="宋体" w:eastAsia="宋体" w:cs="宋体"/>
          <w:sz w:val="24"/>
          <w:highlight w:val="none"/>
          <w:lang w:bidi="zh-CN"/>
        </w:rPr>
        <w:t>（接收人邮箱：</w:t>
      </w:r>
      <w:r>
        <w:rPr>
          <w:rFonts w:hint="eastAsia" w:ascii="宋体" w:hAnsi="宋体" w:eastAsia="宋体" w:cs="宋体"/>
          <w:sz w:val="24"/>
          <w:highlight w:val="none"/>
          <w:lang w:bidi="zh-CN"/>
        </w:rPr>
        <w:fldChar w:fldCharType="begin"/>
      </w:r>
      <w:r>
        <w:rPr>
          <w:rFonts w:hint="eastAsia" w:ascii="宋体" w:hAnsi="宋体" w:eastAsia="宋体" w:cs="宋体"/>
          <w:sz w:val="24"/>
          <w:highlight w:val="none"/>
          <w:lang w:bidi="zh-CN"/>
        </w:rPr>
        <w:instrText xml:space="preserve"> HYPERLINK "mailto:1207446769@qq.com，接收人：陈加轲，电话：15157655122" </w:instrText>
      </w:r>
      <w:r>
        <w:rPr>
          <w:rFonts w:hint="eastAsia" w:ascii="宋体" w:hAnsi="宋体" w:eastAsia="宋体" w:cs="宋体"/>
          <w:sz w:val="24"/>
          <w:highlight w:val="none"/>
          <w:lang w:bidi="zh-CN"/>
        </w:rPr>
        <w:fldChar w:fldCharType="separate"/>
      </w:r>
      <w:r>
        <w:rPr>
          <w:rFonts w:hint="eastAsia" w:ascii="宋体" w:hAnsi="宋体" w:eastAsia="宋体" w:cs="宋体"/>
          <w:sz w:val="24"/>
          <w:highlight w:val="none"/>
          <w:lang w:bidi="zh-CN"/>
        </w:rPr>
        <w:t>mdh15868814266@163.com</w:t>
      </w:r>
      <w:r>
        <w:rPr>
          <w:rStyle w:val="48"/>
          <w:rFonts w:hint="eastAsia" w:ascii="宋体" w:hAnsi="宋体" w:eastAsia="宋体" w:cs="宋体"/>
          <w:color w:val="auto"/>
          <w:sz w:val="24"/>
          <w:highlight w:val="none"/>
          <w:lang w:bidi="zh-CN"/>
        </w:rPr>
        <w:t>，接收人：马工，电话：15868814266</w:t>
      </w:r>
      <w:r>
        <w:rPr>
          <w:rFonts w:hint="eastAsia" w:ascii="宋体" w:hAnsi="宋体" w:eastAsia="宋体" w:cs="宋体"/>
          <w:sz w:val="24"/>
          <w:highlight w:val="none"/>
          <w:lang w:bidi="zh-CN"/>
        </w:rPr>
        <w:fldChar w:fldCharType="end"/>
      </w:r>
      <w:r>
        <w:rPr>
          <w:rFonts w:hint="eastAsia" w:ascii="宋体" w:hAnsi="宋体" w:eastAsia="宋体" w:cs="宋体"/>
          <w:sz w:val="24"/>
          <w:highlight w:val="none"/>
          <w:lang w:bidi="zh-CN"/>
        </w:rPr>
        <w:t>）；</w:t>
      </w:r>
    </w:p>
    <w:p w14:paraId="26811852">
      <w:pPr>
        <w:pStyle w:val="2"/>
        <w:spacing w:line="360" w:lineRule="auto"/>
        <w:ind w:firstLine="600" w:firstLineChars="250"/>
        <w:rPr>
          <w:rFonts w:hint="eastAsia" w:ascii="宋体" w:hAnsi="宋体" w:eastAsia="宋体" w:cs="宋体"/>
          <w:sz w:val="24"/>
          <w:highlight w:val="none"/>
          <w:lang w:bidi="zh-CN"/>
        </w:rPr>
      </w:pPr>
      <w:r>
        <w:rPr>
          <w:rFonts w:hint="eastAsia" w:ascii="宋体" w:hAnsi="宋体" w:eastAsia="宋体" w:cs="宋体"/>
          <w:sz w:val="24"/>
          <w:highlight w:val="none"/>
          <w:lang w:bidi="zh-CN"/>
        </w:rPr>
        <w:t>b.通过“政府采购云平台”成功上传递交的“电子加密响应文件”已按时解密的，“备份响应文件”自动失效。</w:t>
      </w:r>
      <w:r>
        <w:rPr>
          <w:rFonts w:hint="eastAsia" w:ascii="宋体" w:hAnsi="宋体" w:eastAsia="宋体" w:cs="宋体"/>
          <w:sz w:val="24"/>
          <w:highlight w:val="none"/>
        </w:rPr>
        <w:t>响应文件递交</w:t>
      </w:r>
      <w:r>
        <w:rPr>
          <w:rFonts w:hint="eastAsia" w:ascii="宋体" w:hAnsi="宋体" w:eastAsia="宋体" w:cs="宋体"/>
          <w:sz w:val="24"/>
          <w:highlight w:val="none"/>
          <w:lang w:bidi="zh-CN"/>
        </w:rPr>
        <w:t>截止时间前，供应商仅递交了“备份响应文件”而未将“电子加密响应文件”成功上传至“政府采购云平台”的，响应无效。</w:t>
      </w:r>
    </w:p>
    <w:p w14:paraId="5B4C7058">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12.3</w:t>
      </w:r>
      <w:r>
        <w:rPr>
          <w:rFonts w:hint="eastAsia" w:ascii="宋体" w:hAnsi="宋体" w:eastAsia="宋体" w:cs="宋体"/>
          <w:b/>
          <w:sz w:val="24"/>
          <w:highlight w:val="none"/>
        </w:rPr>
        <w:t>响应文件的递交要求</w:t>
      </w:r>
    </w:p>
    <w:p w14:paraId="249B03A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（1）供应商须按照磋商文件和政采云平台的要求编制并加密响应文件。在响应文件递交截止时间以前完成响应文件的传输递交，响应文件递交截止时间后递交的响应文件，将被拒收。</w:t>
      </w:r>
    </w:p>
    <w:p w14:paraId="3BD13776">
      <w:pPr>
        <w:tabs>
          <w:tab w:val="left" w:pos="1418"/>
        </w:tabs>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（2）备份电子响应文件必须在响应文件递交截止时间前送达指定的响应地点。备份电子响应文件在响应文件递交截止时间后提交，采购组织机构将拒绝接收。</w:t>
      </w:r>
    </w:p>
    <w:p w14:paraId="3628380B">
      <w:pPr>
        <w:tabs>
          <w:tab w:val="left" w:pos="1418"/>
        </w:tabs>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（3）如有特殊情况，采购组织机构延长截止时间和开启时间，采购组织机构和供应商的权利和义务将受到新的截止时间和开启时间的约束。</w:t>
      </w:r>
    </w:p>
    <w:p w14:paraId="43CBA578">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12.4</w:t>
      </w:r>
      <w:r>
        <w:rPr>
          <w:rFonts w:hint="eastAsia" w:ascii="宋体" w:hAnsi="宋体" w:eastAsia="宋体" w:cs="宋体"/>
          <w:b/>
          <w:sz w:val="24"/>
          <w:highlight w:val="none"/>
        </w:rPr>
        <w:t>响应文件的补充、修改和撤回</w:t>
      </w:r>
    </w:p>
    <w:p w14:paraId="76E33E12">
      <w:pPr>
        <w:tabs>
          <w:tab w:val="left" w:pos="960"/>
          <w:tab w:val="left" w:pos="1418"/>
        </w:tabs>
        <w:autoSpaceDE w:val="0"/>
        <w:autoSpaceDN w:val="0"/>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应当在响应文件递交截止时间前完成电子响应文件的传输递交，响应文件递交截止时间前可以补充、修改或者撤回电子响应文件。补充或者修改电子响应文件的，应当先行撤回原文件，补充、修改后重新传输递交。响应文件递交截止时间前未完成传输的，视为响应文件撤回。响应文件递交截止时间后传输递交的响应文件，“政府采购云平台”将予以拒收。响应文件递交截止时间后，供应商不得修改（补充）或撤回其响应文件。</w:t>
      </w:r>
    </w:p>
    <w:p w14:paraId="3149D9E5">
      <w:pPr>
        <w:pStyle w:val="4"/>
        <w:spacing w:before="156" w:beforeLines="50"/>
        <w:ind w:firstLine="321" w:firstLineChars="100"/>
        <w:jc w:val="center"/>
        <w:rPr>
          <w:rFonts w:hint="eastAsia" w:ascii="宋体" w:hAnsi="宋体" w:eastAsia="宋体" w:cs="宋体"/>
          <w:sz w:val="32"/>
          <w:highlight w:val="none"/>
        </w:rPr>
      </w:pPr>
      <w:bookmarkStart w:id="10" w:name="_Toc123628882"/>
      <w:r>
        <w:rPr>
          <w:rFonts w:hint="eastAsia" w:ascii="宋体" w:hAnsi="宋体" w:eastAsia="宋体" w:cs="宋体"/>
          <w:sz w:val="32"/>
          <w:highlight w:val="none"/>
        </w:rPr>
        <w:t>第四节  响应文件开启</w:t>
      </w:r>
    </w:p>
    <w:p w14:paraId="7384E840">
      <w:pPr>
        <w:pStyle w:val="23"/>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13．响应文件开启形式</w:t>
      </w:r>
    </w:p>
    <w:p w14:paraId="02D3F427">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13.1采购组织机构将按照磋商文件规定的时间通过“政府采购云平台”组织响应文件开启、开启响应文件，所有供应商均应当准时在线参加。</w:t>
      </w:r>
    </w:p>
    <w:p w14:paraId="24AE6208">
      <w:pPr>
        <w:pStyle w:val="23"/>
        <w:spacing w:line="360" w:lineRule="auto"/>
        <w:rPr>
          <w:rFonts w:hint="eastAsia" w:ascii="宋体" w:hAnsi="宋体" w:eastAsia="宋体" w:cs="宋体"/>
          <w:sz w:val="24"/>
          <w:highlight w:val="none"/>
        </w:rPr>
      </w:pPr>
      <w:r>
        <w:rPr>
          <w:rFonts w:hint="eastAsia" w:ascii="宋体" w:hAnsi="宋体" w:eastAsia="宋体" w:cs="宋体"/>
          <w:b/>
          <w:bCs/>
          <w:sz w:val="28"/>
          <w:szCs w:val="28"/>
          <w:highlight w:val="none"/>
        </w:rPr>
        <w:t>14．响应文件开启准备</w:t>
      </w:r>
    </w:p>
    <w:p w14:paraId="67E58A1D">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14.1响应文件开启的准备工作由采购组织机构负责落实；</w:t>
      </w:r>
    </w:p>
    <w:p w14:paraId="0A6D00B4">
      <w:pPr>
        <w:pStyle w:val="23"/>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14.2采购组织机构将按照磋商文件规定的时间通过“政府采购云平台”组织响应文件开启、开启响应文件，所有供应商均应当准时在线参加。供应商如不参加响应文件开启大会的，视同认可响应文件开启结果，事后不得对采购相关人员、响应文件开启过程和响应文件开启结果提出异议，同时供应商因未在线参加响应文件开启而导致响应文件无法按时解密等一切后果由供应商自己承担。</w:t>
      </w:r>
    </w:p>
    <w:p w14:paraId="7A8DF04E">
      <w:pPr>
        <w:pStyle w:val="23"/>
        <w:numPr>
          <w:ilvl w:val="0"/>
          <w:numId w:val="8"/>
        </w:num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响应文件开启流程</w:t>
      </w:r>
    </w:p>
    <w:p w14:paraId="386FDC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15.1响应文件递交截止时间到后，主持人宣布响应文件开启。</w:t>
      </w:r>
    </w:p>
    <w:p w14:paraId="5B49E69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w:t>
      </w:r>
      <w:r>
        <w:rPr>
          <w:rFonts w:hint="eastAsia" w:ascii="宋体" w:hAnsi="宋体" w:eastAsia="宋体" w:cs="宋体"/>
          <w:color w:val="000000"/>
          <w:kern w:val="0"/>
          <w:sz w:val="24"/>
          <w:szCs w:val="22"/>
          <w:highlight w:val="none"/>
        </w:rPr>
        <w:t>响应文件解密（</w:t>
      </w:r>
      <w:r>
        <w:rPr>
          <w:rFonts w:hint="eastAsia" w:ascii="宋体" w:hAnsi="宋体" w:eastAsia="宋体" w:cs="宋体"/>
          <w:b/>
          <w:color w:val="000000"/>
          <w:kern w:val="0"/>
          <w:sz w:val="24"/>
          <w:szCs w:val="22"/>
          <w:highlight w:val="none"/>
        </w:rPr>
        <w:t>解密规定</w:t>
      </w:r>
      <w:r>
        <w:rPr>
          <w:rFonts w:hint="eastAsia" w:ascii="宋体" w:hAnsi="宋体" w:eastAsia="宋体" w:cs="宋体"/>
          <w:b/>
          <w:color w:val="000000"/>
          <w:kern w:val="0"/>
          <w:sz w:val="24"/>
          <w:highlight w:val="none"/>
        </w:rPr>
        <w:t>见《供应商须知前附表》</w:t>
      </w:r>
      <w:r>
        <w:rPr>
          <w:rFonts w:hint="eastAsia" w:ascii="宋体" w:hAnsi="宋体" w:eastAsia="宋体" w:cs="宋体"/>
          <w:color w:val="000000"/>
          <w:kern w:val="0"/>
          <w:sz w:val="24"/>
          <w:szCs w:val="22"/>
          <w:highlight w:val="none"/>
        </w:rPr>
        <w:t>）</w:t>
      </w:r>
      <w:r>
        <w:rPr>
          <w:rFonts w:hint="eastAsia" w:ascii="宋体" w:hAnsi="宋体" w:eastAsia="宋体" w:cs="宋体"/>
          <w:sz w:val="24"/>
          <w:highlight w:val="none"/>
        </w:rPr>
        <w:t>。</w:t>
      </w:r>
    </w:p>
    <w:p w14:paraId="30368A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w:t>
      </w:r>
      <w:r>
        <w:rPr>
          <w:rFonts w:hint="eastAsia" w:ascii="宋体" w:hAnsi="宋体" w:eastAsia="宋体" w:cs="宋体"/>
          <w:color w:val="000000"/>
          <w:kern w:val="0"/>
          <w:sz w:val="24"/>
          <w:highlight w:val="none"/>
        </w:rPr>
        <w:t>响应文件解密异常情况处理（</w:t>
      </w:r>
      <w:r>
        <w:rPr>
          <w:rFonts w:hint="eastAsia" w:ascii="宋体" w:hAnsi="宋体" w:eastAsia="宋体" w:cs="宋体"/>
          <w:b/>
          <w:color w:val="000000"/>
          <w:kern w:val="0"/>
          <w:sz w:val="24"/>
          <w:highlight w:val="none"/>
        </w:rPr>
        <w:t>处理办法见《供应商须知前附表》</w:t>
      </w:r>
      <w:r>
        <w:rPr>
          <w:rFonts w:hint="eastAsia" w:ascii="宋体" w:hAnsi="宋体" w:eastAsia="宋体" w:cs="宋体"/>
          <w:color w:val="000000"/>
          <w:kern w:val="0"/>
          <w:sz w:val="24"/>
          <w:highlight w:val="none"/>
        </w:rPr>
        <w:t>）</w:t>
      </w:r>
      <w:r>
        <w:rPr>
          <w:rFonts w:hint="eastAsia" w:ascii="宋体" w:hAnsi="宋体" w:eastAsia="宋体" w:cs="宋体"/>
          <w:sz w:val="24"/>
          <w:highlight w:val="none"/>
        </w:rPr>
        <w:t>。</w:t>
      </w:r>
    </w:p>
    <w:p w14:paraId="5D9AFA0B">
      <w:pPr>
        <w:spacing w:line="360" w:lineRule="auto"/>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15.4公布响应文件解密情况（响应文件成功解密的供应商名单等信息），组织签署</w:t>
      </w:r>
      <w:r>
        <w:rPr>
          <w:rFonts w:hint="eastAsia" w:ascii="宋体" w:hAnsi="宋体" w:eastAsia="宋体" w:cs="宋体"/>
          <w:b/>
          <w:bCs/>
          <w:color w:val="000000"/>
          <w:kern w:val="0"/>
          <w:sz w:val="24"/>
          <w:szCs w:val="22"/>
          <w:highlight w:val="none"/>
        </w:rPr>
        <w:t>《政府采购活动现场确认声明书》（</w:t>
      </w:r>
      <w:r>
        <w:rPr>
          <w:rFonts w:hint="eastAsia" w:ascii="宋体" w:hAnsi="宋体" w:cs="宋体"/>
          <w:b/>
          <w:bCs/>
          <w:color w:val="000000"/>
          <w:kern w:val="0"/>
          <w:sz w:val="24"/>
          <w:szCs w:val="22"/>
          <w:highlight w:val="none"/>
          <w:lang w:val="en-US" w:eastAsia="zh-CN"/>
        </w:rPr>
        <w:t>详见</w:t>
      </w:r>
      <w:r>
        <w:rPr>
          <w:rFonts w:hint="eastAsia" w:ascii="宋体" w:hAnsi="宋体" w:eastAsia="宋体" w:cs="宋体"/>
          <w:b/>
          <w:bCs/>
          <w:color w:val="000000"/>
          <w:kern w:val="0"/>
          <w:sz w:val="24"/>
          <w:szCs w:val="22"/>
          <w:highlight w:val="none"/>
        </w:rPr>
        <w:t>附件，将通过电子邮件形式组织签署），供应商应在20分钟内通过邮件形式将经签署的《政府采购活动现场确认声明书》发送至采购代理机构指定邮箱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000000"/>
          <w:kern w:val="0"/>
          <w:sz w:val="24"/>
          <w:szCs w:val="22"/>
          <w:highlight w:val="none"/>
          <w:u w:val="single"/>
        </w:rPr>
        <w:t xml:space="preserve"> mdh15868814266@163.com</w:t>
      </w:r>
      <w:r>
        <w:rPr>
          <w:rFonts w:hint="eastAsia" w:ascii="宋体" w:hAnsi="宋体" w:eastAsia="宋体" w:cs="宋体"/>
          <w:b/>
          <w:bCs/>
          <w:color w:val="000000"/>
          <w:kern w:val="0"/>
          <w:sz w:val="24"/>
          <w:szCs w:val="22"/>
          <w:highlight w:val="none"/>
        </w:rPr>
        <w:t xml:space="preserve"> ，逾期发送或未发送的视为无异议</w:t>
      </w:r>
      <w:r>
        <w:rPr>
          <w:rFonts w:hint="eastAsia" w:ascii="宋体" w:hAnsi="宋体" w:eastAsia="宋体" w:cs="宋体"/>
          <w:color w:val="000000"/>
          <w:kern w:val="0"/>
          <w:sz w:val="24"/>
          <w:szCs w:val="22"/>
          <w:highlight w:val="none"/>
        </w:rPr>
        <w:t>。</w:t>
      </w:r>
    </w:p>
    <w:p w14:paraId="5E175E8C">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15.5开启标书信息（资格响应文件、商务技术响应文件）。标书信息开启后，首先由采购人或采购代理机构依法对供应商的资格进行审查。</w:t>
      </w:r>
    </w:p>
    <w:p w14:paraId="06A16C83">
      <w:pPr>
        <w:pStyle w:val="183"/>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15.6磋商小组根据磋商文件规定的评审程序、评审方法和评审标准进行独立评审。未实质性响应磋商文件的响应文件按无效响应处理，磋商小组应当告知提交响应文件的供应商。</w:t>
      </w:r>
    </w:p>
    <w:p w14:paraId="27B0174B">
      <w:pPr>
        <w:pStyle w:val="183"/>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15.7磋商小组所有成员给予所有参加磋商的供应商平等的磋商机会。</w:t>
      </w:r>
    </w:p>
    <w:p w14:paraId="16F0592C">
      <w:pPr>
        <w:pStyle w:val="183"/>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15.8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CDE4CFB">
      <w:pPr>
        <w:pStyle w:val="183"/>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 xml:space="preserve">15.9经磋商小组评审及磋商，要求所有实质性响应的供应商在规定时间（30分钟）内提交最终报价，采购代理机构向各供应商发出最终报价文件通知，由供应商按磋商文件规定的时间内自行填写最终报价加盖签章并上传。（最终报价是响应文件的有效组成部分；已提交响应文件的供应商，在提交最终报价之前，若因磋商文件实质性变动导致供应商无法满足采购需求的，允许供应商退出磋商。）在线公布有效供应商的最终报价，供应商予以确认（不予确认的应说明理由，否则视为无异议）。 </w:t>
      </w:r>
    </w:p>
    <w:p w14:paraId="34E05C61">
      <w:pPr>
        <w:pStyle w:val="183"/>
        <w:spacing w:line="360" w:lineRule="auto"/>
        <w:ind w:firstLine="480" w:firstLineChars="200"/>
        <w:rPr>
          <w:rFonts w:hint="eastAsia" w:ascii="宋体" w:hAnsi="宋体" w:eastAsia="宋体" w:cs="宋体"/>
          <w:highlight w:val="none"/>
        </w:rPr>
      </w:pPr>
      <w:r>
        <w:rPr>
          <w:rFonts w:hint="eastAsia" w:ascii="宋体" w:hAnsi="宋体" w:eastAsia="宋体" w:cs="宋体"/>
          <w:szCs w:val="22"/>
          <w:highlight w:val="none"/>
        </w:rPr>
        <w:t>15.10经磋商确定最终采购需求和提交最后报价的供应商后，由磋商小组采用综合评分法对提交最后报价的供应商的响应文件和最后报价进行综合评分。</w:t>
      </w:r>
    </w:p>
    <w:p w14:paraId="48F8B6AF">
      <w:pPr>
        <w:pStyle w:val="23"/>
        <w:spacing w:line="360" w:lineRule="auto"/>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15.11评审结束后，在线公布有效供应商评分情况和成交候选供应商名单，同时公布采购人最终确定成交供应商名单的时间和公告方式。</w:t>
      </w:r>
    </w:p>
    <w:p w14:paraId="3916F98F">
      <w:pPr>
        <w:spacing w:line="360" w:lineRule="auto"/>
        <w:ind w:left="480"/>
        <w:rPr>
          <w:rFonts w:hint="eastAsia" w:ascii="宋体" w:hAnsi="宋体" w:eastAsia="宋体" w:cs="宋体"/>
          <w:b/>
          <w:sz w:val="24"/>
          <w:highlight w:val="none"/>
        </w:rPr>
      </w:pPr>
      <w:r>
        <w:rPr>
          <w:rFonts w:hint="eastAsia" w:ascii="宋体" w:hAnsi="宋体" w:eastAsia="宋体" w:cs="宋体"/>
          <w:b/>
          <w:sz w:val="24"/>
          <w:highlight w:val="none"/>
        </w:rPr>
        <w:t>特别情况说明：</w:t>
      </w:r>
    </w:p>
    <w:p w14:paraId="29911D91">
      <w:pPr>
        <w:spacing w:line="360" w:lineRule="auto"/>
        <w:ind w:firstLine="426" w:firstLineChars="177"/>
        <w:jc w:val="left"/>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（1）本项目采用电子交易，如遇“政府采购云平台”电子化开标或评审程序调整的，按调整后程序执行。</w:t>
      </w:r>
    </w:p>
    <w:p w14:paraId="54488ADC">
      <w:pPr>
        <w:spacing w:line="360" w:lineRule="auto"/>
        <w:ind w:firstLine="426" w:firstLineChars="177"/>
        <w:jc w:val="left"/>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4"/>
          <w:szCs w:val="22"/>
          <w:highlight w:val="none"/>
        </w:rPr>
        <w:t>（2）磋商过程中需要相关当事人进行签字、盖章、补充和最终报价提交的材料将通过“政府采购云平台”进行，若因“政府采购云平台”技术问题无法进行签字、盖章、补充和最终报价提交的，采购组织机构将通过电子邮件等形式予以进行，</w:t>
      </w:r>
      <w:r>
        <w:rPr>
          <w:rFonts w:hint="eastAsia" w:ascii="宋体" w:hAnsi="宋体" w:eastAsia="宋体" w:cs="宋体"/>
          <w:b/>
          <w:color w:val="000000"/>
          <w:kern w:val="0"/>
          <w:sz w:val="24"/>
          <w:szCs w:val="22"/>
          <w:highlight w:val="none"/>
          <w:u w:val="single"/>
        </w:rPr>
        <w:t>请供应商保证办理磋商事宜人员电话畅通、网络在线，签字、盖章、补充和最终报价提交的时间为30分钟。如未及时签字、盖章、补充和最终报价提交的，视为无异议或放弃或退出</w:t>
      </w:r>
      <w:r>
        <w:rPr>
          <w:rFonts w:hint="eastAsia" w:ascii="宋体" w:hAnsi="宋体" w:eastAsia="宋体" w:cs="宋体"/>
          <w:b/>
          <w:color w:val="000000"/>
          <w:kern w:val="0"/>
          <w:sz w:val="24"/>
          <w:szCs w:val="22"/>
          <w:highlight w:val="none"/>
        </w:rPr>
        <w:t>。</w:t>
      </w:r>
    </w:p>
    <w:p w14:paraId="717715F2">
      <w:pPr>
        <w:pStyle w:val="4"/>
        <w:snapToGrid w:val="0"/>
        <w:ind w:firstLine="321" w:firstLineChars="100"/>
        <w:jc w:val="center"/>
        <w:rPr>
          <w:rFonts w:hint="eastAsia" w:ascii="宋体" w:hAnsi="宋体" w:eastAsia="宋体" w:cs="宋体"/>
          <w:sz w:val="32"/>
          <w:highlight w:val="none"/>
        </w:rPr>
      </w:pPr>
      <w:r>
        <w:rPr>
          <w:rFonts w:hint="eastAsia" w:ascii="宋体" w:hAnsi="宋体" w:eastAsia="宋体" w:cs="宋体"/>
          <w:sz w:val="32"/>
          <w:highlight w:val="none"/>
        </w:rPr>
        <w:t xml:space="preserve">第五节  磋 </w:t>
      </w:r>
      <w:bookmarkEnd w:id="10"/>
      <w:r>
        <w:rPr>
          <w:rFonts w:hint="eastAsia" w:ascii="宋体" w:hAnsi="宋体" w:eastAsia="宋体" w:cs="宋体"/>
          <w:sz w:val="32"/>
          <w:highlight w:val="none"/>
        </w:rPr>
        <w:t>商</w:t>
      </w:r>
    </w:p>
    <w:p w14:paraId="53863B62">
      <w:pPr>
        <w:pStyle w:val="23"/>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16．评审工作组织及磋商小组组建</w:t>
      </w:r>
    </w:p>
    <w:p w14:paraId="0A011D73">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本项目磋商小组由 3 人(含)以上单数的人员组成，负责对响应文件进行审查、质询、评审和比较等。磋商小组由采购人代表和评审专家组成，其中评审专家人数不得少于磋商小组成员总数的三分之二。</w:t>
      </w:r>
    </w:p>
    <w:p w14:paraId="22222D04">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磋商小组成员名单在评审结果（采购结果）公告前保密。</w:t>
      </w:r>
    </w:p>
    <w:p w14:paraId="4FBCFBD4">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17．磋商原则</w:t>
      </w:r>
    </w:p>
    <w:p w14:paraId="54BE534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17.1磋商小组必须公平、公正、客观，不带任何倾向性和启发性；不得向外界透露任何与磋商有关的内容；任何单位和个人不得干扰、影响磋商的正常进行；磋商小组及有关工作人员不得私下与磋商响应方接触。</w:t>
      </w:r>
    </w:p>
    <w:p w14:paraId="634801D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4BEDB60A">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2FD7B938">
      <w:pPr>
        <w:pStyle w:val="23"/>
        <w:snapToGrid w:val="0"/>
        <w:spacing w:line="360" w:lineRule="auto"/>
        <w:ind w:firstLine="480" w:firstLineChars="20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w:t>
      </w:r>
      <w:r>
        <w:rPr>
          <w:rFonts w:hint="eastAsia" w:ascii="宋体" w:hAnsi="宋体" w:eastAsia="宋体" w:cs="宋体"/>
          <w:b w:val="0"/>
          <w:bCs/>
          <w:color w:val="000000"/>
          <w:sz w:val="24"/>
          <w:highlight w:val="none"/>
          <w:lang w:val="en-US" w:eastAsia="zh-CN"/>
        </w:rPr>
        <w:t>7</w:t>
      </w:r>
      <w:r>
        <w:rPr>
          <w:rFonts w:hint="eastAsia" w:ascii="宋体" w:hAnsi="宋体" w:eastAsia="宋体" w:cs="宋体"/>
          <w:b w:val="0"/>
          <w:bCs/>
          <w:color w:val="000000"/>
          <w:sz w:val="24"/>
          <w:highlight w:val="none"/>
        </w:rPr>
        <w:t>.4 财政部令第87号《政府采购货物和服务招标投标管理办法》第三十一条规定：使用综合评分法的采购项目，提供相同品牌产品且通过资格审查、符合性审查的不同供应商参加同一合同项下</w:t>
      </w:r>
      <w:r>
        <w:rPr>
          <w:rFonts w:hint="eastAsia" w:ascii="宋体" w:hAnsi="宋体" w:eastAsia="宋体" w:cs="宋体"/>
          <w:b w:val="0"/>
          <w:bCs/>
          <w:color w:val="000000"/>
          <w:sz w:val="24"/>
          <w:highlight w:val="none"/>
          <w:lang w:val="en-US" w:eastAsia="zh-CN"/>
        </w:rPr>
        <w:t>响应</w:t>
      </w:r>
      <w:r>
        <w:rPr>
          <w:rFonts w:hint="eastAsia" w:ascii="宋体" w:hAnsi="宋体" w:eastAsia="宋体" w:cs="宋体"/>
          <w:b w:val="0"/>
          <w:bCs/>
          <w:color w:val="000000"/>
          <w:sz w:val="24"/>
          <w:highlight w:val="none"/>
        </w:rPr>
        <w:t>的，按一家供应商计算，评审后得分最高的同品牌供应商获得</w:t>
      </w:r>
      <w:r>
        <w:rPr>
          <w:rFonts w:hint="eastAsia" w:ascii="宋体" w:hAnsi="宋体" w:eastAsia="宋体" w:cs="宋体"/>
          <w:b w:val="0"/>
          <w:bCs/>
          <w:color w:val="000000"/>
          <w:sz w:val="24"/>
          <w:highlight w:val="none"/>
          <w:lang w:val="en-US" w:eastAsia="zh-CN"/>
        </w:rPr>
        <w:t>成交</w:t>
      </w:r>
      <w:r>
        <w:rPr>
          <w:rFonts w:hint="eastAsia" w:ascii="宋体" w:hAnsi="宋体" w:eastAsia="宋体" w:cs="宋体"/>
          <w:b w:val="0"/>
          <w:bCs/>
          <w:color w:val="000000"/>
          <w:sz w:val="24"/>
          <w:highlight w:val="none"/>
        </w:rPr>
        <w:t>人推荐资格；评审得分相同的，由采购人或者采购人委托评标委员会按照</w:t>
      </w:r>
      <w:r>
        <w:rPr>
          <w:rFonts w:hint="eastAsia" w:ascii="宋体" w:hAnsi="宋体" w:eastAsia="宋体" w:cs="宋体"/>
          <w:b w:val="0"/>
          <w:bCs/>
          <w:color w:val="000000"/>
          <w:sz w:val="24"/>
          <w:highlight w:val="none"/>
          <w:lang w:val="en-US" w:eastAsia="zh-CN"/>
        </w:rPr>
        <w:t>磋商</w:t>
      </w:r>
      <w:r>
        <w:rPr>
          <w:rFonts w:hint="eastAsia" w:ascii="宋体" w:hAnsi="宋体" w:eastAsia="宋体" w:cs="宋体"/>
          <w:b w:val="0"/>
          <w:bCs/>
          <w:color w:val="000000"/>
          <w:sz w:val="24"/>
          <w:highlight w:val="none"/>
        </w:rPr>
        <w:t>文件规定的方式确定一个供应商获得</w:t>
      </w:r>
      <w:r>
        <w:rPr>
          <w:rFonts w:hint="eastAsia" w:ascii="宋体" w:hAnsi="宋体" w:eastAsia="宋体" w:cs="宋体"/>
          <w:b w:val="0"/>
          <w:bCs/>
          <w:color w:val="000000"/>
          <w:sz w:val="24"/>
          <w:highlight w:val="none"/>
          <w:lang w:val="en-US" w:eastAsia="zh-CN"/>
        </w:rPr>
        <w:t>成交</w:t>
      </w:r>
      <w:r>
        <w:rPr>
          <w:rFonts w:hint="eastAsia" w:ascii="宋体" w:hAnsi="宋体" w:eastAsia="宋体" w:cs="宋体"/>
          <w:b w:val="0"/>
          <w:bCs/>
          <w:color w:val="000000"/>
          <w:sz w:val="24"/>
          <w:highlight w:val="none"/>
        </w:rPr>
        <w:t>人推荐资格，</w:t>
      </w:r>
      <w:r>
        <w:rPr>
          <w:rFonts w:hint="eastAsia" w:ascii="宋体" w:hAnsi="宋体" w:eastAsia="宋体" w:cs="宋体"/>
          <w:b w:val="0"/>
          <w:bCs/>
          <w:color w:val="000000"/>
          <w:sz w:val="24"/>
          <w:highlight w:val="none"/>
          <w:lang w:val="en-US" w:eastAsia="zh-CN"/>
        </w:rPr>
        <w:t>磋商</w:t>
      </w:r>
      <w:r>
        <w:rPr>
          <w:rFonts w:hint="eastAsia" w:ascii="宋体" w:hAnsi="宋体" w:eastAsia="宋体" w:cs="宋体"/>
          <w:b w:val="0"/>
          <w:bCs/>
          <w:color w:val="000000"/>
          <w:sz w:val="24"/>
          <w:highlight w:val="none"/>
        </w:rPr>
        <w:t>文件未规定的采取随机抽取方式确定，其他同品牌供应商不作为</w:t>
      </w:r>
      <w:r>
        <w:rPr>
          <w:rFonts w:hint="eastAsia" w:ascii="宋体" w:hAnsi="宋体" w:eastAsia="宋体" w:cs="宋体"/>
          <w:b w:val="0"/>
          <w:bCs/>
          <w:color w:val="000000"/>
          <w:sz w:val="24"/>
          <w:highlight w:val="none"/>
          <w:lang w:val="en-US" w:eastAsia="zh-CN"/>
        </w:rPr>
        <w:t>成交</w:t>
      </w:r>
      <w:r>
        <w:rPr>
          <w:rFonts w:hint="eastAsia" w:ascii="宋体" w:hAnsi="宋体" w:eastAsia="宋体" w:cs="宋体"/>
          <w:b w:val="0"/>
          <w:bCs/>
          <w:color w:val="000000"/>
          <w:sz w:val="24"/>
          <w:highlight w:val="none"/>
        </w:rPr>
        <w:t>候选人。</w:t>
      </w:r>
    </w:p>
    <w:p w14:paraId="7BBCD878">
      <w:pPr>
        <w:pStyle w:val="23"/>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color w:val="000000"/>
          <w:sz w:val="24"/>
          <w:highlight w:val="none"/>
        </w:rPr>
        <w:t>非单一产品采购项目，采购人应当根据采购项目技术构成、产品价格比重等合理确定核心产品，并在</w:t>
      </w:r>
      <w:r>
        <w:rPr>
          <w:rFonts w:hint="eastAsia" w:ascii="宋体" w:hAnsi="宋体" w:eastAsia="宋体" w:cs="宋体"/>
          <w:b/>
          <w:bCs/>
          <w:color w:val="000000"/>
          <w:sz w:val="24"/>
          <w:highlight w:val="none"/>
          <w:lang w:val="en-US" w:eastAsia="zh-CN"/>
        </w:rPr>
        <w:t>磋商</w:t>
      </w:r>
      <w:r>
        <w:rPr>
          <w:rFonts w:hint="eastAsia" w:ascii="宋体" w:hAnsi="宋体" w:eastAsia="宋体" w:cs="宋体"/>
          <w:b/>
          <w:bCs/>
          <w:color w:val="000000"/>
          <w:sz w:val="24"/>
          <w:highlight w:val="none"/>
        </w:rPr>
        <w:t>文件中载明。多家供应商提供的核心产品品牌相同的，按前款规定处理。</w:t>
      </w:r>
    </w:p>
    <w:p w14:paraId="6DD69F23">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18．磋商程序</w:t>
      </w:r>
    </w:p>
    <w:p w14:paraId="317217F0">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18.1在评审专家中推选磋商小组组长。</w:t>
      </w:r>
    </w:p>
    <w:p w14:paraId="5797E84C">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18.2磋商小组组长召集成员认真阅读磋商文件以及相关补充、质疑、答复文件、项目书面说明等材料，熟悉采购项目的基本概况、质量要求、数量、主要技术标准或服务需求，合同主要条款，响应文件无效情形，评审方法、评审依据、评审标准等。</w:t>
      </w:r>
    </w:p>
    <w:p w14:paraId="03762010">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18.3资格审查，采购人或采购代理机构按照磋商文件要求对供应商逐一进行资格审查，审查各供应商的资格是否满足磋商文件的要求，资格审查通过的供应商进入商务技术响应文件的符合性评审。如发现供应商所提交的资格证明材料不合法或与事实不符，采购人可取消其成交资格并追究供应商的法律责任。</w:t>
      </w:r>
    </w:p>
    <w:p w14:paraId="4A296003">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18.4商务技术响应文件的符合性审查，磋商小组对通过资格审查的各响应文件商务技术部分的有效性、完整性和响应程度等进行审查，确定是否对磋商文件作出实质性响应。</w:t>
      </w:r>
    </w:p>
    <w:p w14:paraId="38D3F9EE">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18.5磋商小组组长召集成员讨论确定磋商方法和磋商轮次。</w:t>
      </w:r>
    </w:p>
    <w:p w14:paraId="3B8E2125">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18.6磋商，磋商小组所有成员应当集中与单一供应商分别进行磋商，并可以根据磋商文件和磋商情况实质性变动采购需求中的技术、服务要求以及合同文本条款，但不得变动磋商文件中的其他内容。实质性变动的内容，须经采购人代表确认。</w:t>
      </w:r>
    </w:p>
    <w:p w14:paraId="29A007BE">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对磋商文件作出的实质性变动是磋商文件的有效组成部分并以书面形式同时通知所有参加磋商的供应商；</w:t>
      </w:r>
    </w:p>
    <w:p w14:paraId="16735DE0">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供应商应当按照磋商文件的变动情况和磋商小组的要求在规定时间（30分钟）内重新提交响应文件（材料），并加盖单位公章或法定代表人签字或授权代表签字。</w:t>
      </w:r>
    </w:p>
    <w:p w14:paraId="18EDED18">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18.7经磋商确定最终采购需求和实质性响应的供应商后，磋商小组要求各磋商响应方在规定时间内提交书面最终报价，并对最终报价的合理性进行审核。</w:t>
      </w:r>
    </w:p>
    <w:p w14:paraId="1E51FE3E">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磋商文件能够详细列明采购标的的技术、服务要求的，评审结束后，磋商小组应当要求所有实质性响应的供应商在规定时间（30分钟）内提交最终报价。提交最终报价的供应商不得少于3家。</w:t>
      </w:r>
    </w:p>
    <w:p w14:paraId="1B09006F">
      <w:pPr>
        <w:snapToGrid w:val="0"/>
        <w:spacing w:line="360" w:lineRule="auto"/>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家以上供应商的设计方案或者解决方案，并要求其在规定时间（30分钟）内提交最终报价。</w:t>
      </w:r>
    </w:p>
    <w:p w14:paraId="4778960C">
      <w:pPr>
        <w:snapToGrid w:val="0"/>
        <w:spacing w:line="360" w:lineRule="auto"/>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sz w:val="24"/>
          <w:highlight w:val="none"/>
        </w:rPr>
        <w:t>18.8磋商小组按磋商文件规定的评分方法和评分标准，依法独立对响应文件（含评审过程中因要求实质性变动所重新提交的响应材料）和最后报价进行综合评分，不受任何单位和个人的干预</w:t>
      </w:r>
      <w:r>
        <w:rPr>
          <w:rFonts w:hint="eastAsia" w:ascii="宋体" w:hAnsi="宋体" w:eastAsia="宋体" w:cs="宋体"/>
          <w:color w:val="000000"/>
          <w:kern w:val="0"/>
          <w:sz w:val="24"/>
          <w:szCs w:val="22"/>
          <w:highlight w:val="none"/>
        </w:rPr>
        <w:t>。</w:t>
      </w:r>
    </w:p>
    <w:p w14:paraId="30ED1708">
      <w:pPr>
        <w:snapToGrid w:val="0"/>
        <w:spacing w:line="360" w:lineRule="auto"/>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sz w:val="24"/>
          <w:highlight w:val="none"/>
        </w:rPr>
        <w:t>18.9磋商小组成员对各响应文件非实质性内容有疑议或异议，或者审查发现明显的文字或计算错误等，及时向磋商小组组长提出。经磋商小组商议认为需要供应商作出必要澄清或说明的，应通知该供应商代表以书面形式作出澄清或说明</w:t>
      </w:r>
      <w:r>
        <w:rPr>
          <w:rFonts w:hint="eastAsia" w:ascii="宋体" w:hAnsi="宋体" w:eastAsia="宋体" w:cs="宋体"/>
          <w:color w:val="000000"/>
          <w:kern w:val="0"/>
          <w:sz w:val="24"/>
          <w:szCs w:val="22"/>
          <w:highlight w:val="none"/>
        </w:rPr>
        <w:t>。</w:t>
      </w:r>
    </w:p>
    <w:p w14:paraId="2584B77B">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18.10磋商小组根据评审汇总情况和磋商文件规定确定成交候选供应商排序名单。</w:t>
      </w:r>
    </w:p>
    <w:p w14:paraId="0F22E403">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18.11起草评审报告，所有磋商小组成员须在评审报告上签字确认。</w:t>
      </w:r>
    </w:p>
    <w:p w14:paraId="5753123D">
      <w:pPr>
        <w:spacing w:line="360" w:lineRule="auto"/>
        <w:ind w:firstLine="480" w:firstLineChars="200"/>
        <w:rPr>
          <w:rFonts w:hint="eastAsia" w:ascii="宋体" w:hAnsi="宋体" w:eastAsia="宋体" w:cs="宋体"/>
          <w:highlight w:val="none"/>
        </w:rPr>
      </w:pPr>
      <w:r>
        <w:rPr>
          <w:rFonts w:hint="eastAsia" w:ascii="宋体" w:hAnsi="宋体" w:eastAsia="宋体" w:cs="宋体"/>
          <w:bCs/>
          <w:color w:val="000000"/>
          <w:kern w:val="0"/>
          <w:sz w:val="24"/>
          <w:szCs w:val="22"/>
          <w:highlight w:val="none"/>
        </w:rPr>
        <w:t>注：磋商小组成员对需要共同认定的事项存在争议的，按照少数服从多数的原则作出结论。持不同意见的磋商小组成员应当在评审报告上签署不同意见及理由，否则视为同意评审报告。</w:t>
      </w:r>
    </w:p>
    <w:p w14:paraId="042B60E5">
      <w:pPr>
        <w:snapToGrid w:val="0"/>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19．评价</w:t>
      </w:r>
    </w:p>
    <w:p w14:paraId="5E485CD5">
      <w:pPr>
        <w:pStyle w:val="17"/>
        <w:ind w:firstLine="480" w:firstLineChars="200"/>
        <w:rPr>
          <w:rFonts w:hint="eastAsia" w:ascii="宋体" w:hAnsi="宋体" w:eastAsia="宋体" w:cs="宋体"/>
          <w:bCs/>
          <w:color w:val="000000"/>
          <w:kern w:val="0"/>
          <w:szCs w:val="22"/>
          <w:highlight w:val="none"/>
        </w:rPr>
      </w:pPr>
      <w:r>
        <w:rPr>
          <w:rFonts w:hint="eastAsia" w:ascii="宋体" w:hAnsi="宋体" w:eastAsia="宋体" w:cs="宋体"/>
          <w:bCs/>
          <w:color w:val="000000"/>
          <w:kern w:val="0"/>
          <w:szCs w:val="22"/>
          <w:highlight w:val="none"/>
        </w:rPr>
        <w:t>采购组织机构对磋商小组评审专家进行评价。</w:t>
      </w:r>
    </w:p>
    <w:p w14:paraId="35D08713">
      <w:pPr>
        <w:snapToGrid w:val="0"/>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20．重新评审</w:t>
      </w:r>
    </w:p>
    <w:p w14:paraId="214089BC">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评审结果形成后，除下列情形外，任何人不得重新评审：</w:t>
      </w:r>
    </w:p>
    <w:p w14:paraId="5C75ECD1">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20.1资格性检查认定错误；</w:t>
      </w:r>
    </w:p>
    <w:p w14:paraId="4E26304B">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20.2分值汇总计算错误；</w:t>
      </w:r>
    </w:p>
    <w:p w14:paraId="6E186259">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20.3分项评分超出评分标准范围；</w:t>
      </w:r>
    </w:p>
    <w:p w14:paraId="39DD5779">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20.4客观分评分不一致；</w:t>
      </w:r>
    </w:p>
    <w:p w14:paraId="1E5F6674">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20.5经磋商小组一致认定评分畸高、畸低的情形。</w:t>
      </w:r>
    </w:p>
    <w:p w14:paraId="23740B96">
      <w:pPr>
        <w:pStyle w:val="183"/>
        <w:spacing w:line="360" w:lineRule="auto"/>
        <w:ind w:firstLine="480" w:firstLineChars="200"/>
        <w:rPr>
          <w:rFonts w:hint="eastAsia" w:ascii="宋体" w:hAnsi="宋体" w:eastAsia="宋体" w:cs="宋体"/>
          <w:bCs/>
          <w:szCs w:val="22"/>
          <w:highlight w:val="none"/>
        </w:rPr>
      </w:pPr>
      <w:r>
        <w:rPr>
          <w:rFonts w:hint="eastAsia" w:ascii="宋体" w:hAnsi="宋体" w:eastAsia="宋体" w:cs="宋体"/>
          <w:bCs/>
          <w:szCs w:val="22"/>
          <w:highlight w:val="none"/>
        </w:rPr>
        <w:t>采购人、采购代理机构发现磋商小组未按照磋商文件规定的评审标准进行评审的，应当重新开展采购活动，并同时书面报告本级财政部门。</w:t>
      </w:r>
    </w:p>
    <w:p w14:paraId="2D950E64">
      <w:pPr>
        <w:snapToGrid w:val="0"/>
        <w:spacing w:before="156" w:beforeLines="50" w:line="360" w:lineRule="auto"/>
        <w:ind w:firstLine="480" w:firstLineChars="200"/>
        <w:rPr>
          <w:rFonts w:hint="eastAsia" w:ascii="宋体" w:hAnsi="宋体" w:eastAsia="宋体" w:cs="宋体"/>
          <w:bCs/>
          <w:color w:val="000000"/>
          <w:kern w:val="0"/>
          <w:sz w:val="24"/>
          <w:szCs w:val="22"/>
          <w:highlight w:val="none"/>
        </w:rPr>
      </w:pPr>
      <w:r>
        <w:rPr>
          <w:rFonts w:hint="eastAsia" w:ascii="宋体" w:hAnsi="宋体" w:eastAsia="宋体" w:cs="宋体"/>
          <w:bCs/>
          <w:color w:val="000000"/>
          <w:kern w:val="0"/>
          <w:sz w:val="24"/>
          <w:szCs w:val="22"/>
          <w:highlight w:val="none"/>
        </w:rPr>
        <w:t>采购人或者采购代理机构不得通过对样品进行检测、对供应商进行考察等方式改变评审结果。</w:t>
      </w:r>
    </w:p>
    <w:p w14:paraId="5E6C37CA">
      <w:pPr>
        <w:snapToGrid w:val="0"/>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21．评审办法及评审标准（详见第</w:t>
      </w:r>
      <w:r>
        <w:rPr>
          <w:rFonts w:hint="eastAsia" w:ascii="宋体" w:hAnsi="宋体" w:cs="宋体"/>
          <w:b/>
          <w:sz w:val="28"/>
          <w:szCs w:val="28"/>
          <w:highlight w:val="none"/>
          <w:lang w:val="en-US" w:eastAsia="zh-CN"/>
        </w:rPr>
        <w:t>四</w:t>
      </w:r>
      <w:r>
        <w:rPr>
          <w:rFonts w:hint="eastAsia" w:ascii="宋体" w:hAnsi="宋体" w:eastAsia="宋体" w:cs="宋体"/>
          <w:b/>
          <w:sz w:val="28"/>
          <w:szCs w:val="28"/>
          <w:highlight w:val="none"/>
        </w:rPr>
        <w:t>章）</w:t>
      </w:r>
    </w:p>
    <w:p w14:paraId="2DA64302">
      <w:pPr>
        <w:snapToGrid w:val="0"/>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22．澄清、说明或补正的形式</w:t>
      </w:r>
    </w:p>
    <w:p w14:paraId="57A0CC0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w:t>
      </w:r>
      <w:r>
        <w:rPr>
          <w:rFonts w:hint="eastAsia" w:ascii="宋体" w:hAnsi="宋体" w:eastAsia="宋体" w:cs="宋体"/>
          <w:color w:val="000000"/>
          <w:kern w:val="0"/>
          <w:sz w:val="24"/>
          <w:szCs w:val="22"/>
          <w:highlight w:val="none"/>
        </w:rPr>
        <w:t>对于响应文件中含义不明确、同类问题表述不一致或者有明显文字和计算错误的内容，</w:t>
      </w:r>
      <w:r>
        <w:rPr>
          <w:rFonts w:hint="eastAsia" w:ascii="宋体" w:hAnsi="宋体" w:eastAsia="宋体" w:cs="宋体"/>
          <w:b/>
          <w:color w:val="000000"/>
          <w:kern w:val="0"/>
          <w:sz w:val="24"/>
          <w:szCs w:val="22"/>
          <w:highlight w:val="none"/>
        </w:rPr>
        <w:t>磋商小组将通过“政府采购云平台”在线询标的方式</w:t>
      </w:r>
      <w:r>
        <w:rPr>
          <w:rFonts w:hint="eastAsia" w:ascii="宋体" w:hAnsi="宋体" w:eastAsia="宋体" w:cs="宋体"/>
          <w:color w:val="000000"/>
          <w:kern w:val="0"/>
          <w:sz w:val="24"/>
          <w:szCs w:val="22"/>
          <w:highlight w:val="none"/>
        </w:rPr>
        <w:t>要求供应商在规定的时间内作出必要的澄清、说明或者补正，供应商澄清、说明或补正时间为30分钟</w:t>
      </w:r>
      <w:r>
        <w:rPr>
          <w:rFonts w:hint="eastAsia" w:ascii="宋体" w:hAnsi="宋体" w:eastAsia="宋体" w:cs="宋体"/>
          <w:sz w:val="24"/>
          <w:highlight w:val="none"/>
        </w:rPr>
        <w:t>。</w:t>
      </w:r>
    </w:p>
    <w:p w14:paraId="57851769">
      <w:pPr>
        <w:pStyle w:val="2"/>
        <w:spacing w:line="360" w:lineRule="auto"/>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22.2供应商的澄清、说明或者补正应当通过“政府采购云平台”在线答复的方式提交，并加盖公章</w:t>
      </w:r>
      <w:r>
        <w:rPr>
          <w:rFonts w:hint="eastAsia" w:ascii="宋体" w:hAnsi="宋体" w:eastAsia="宋体" w:cs="宋体"/>
          <w:sz w:val="24"/>
          <w:highlight w:val="none"/>
        </w:rPr>
        <w:t>（电子印章）</w:t>
      </w:r>
      <w:r>
        <w:rPr>
          <w:rFonts w:hint="eastAsia" w:ascii="宋体" w:hAnsi="宋体" w:eastAsia="宋体" w:cs="宋体"/>
          <w:color w:val="000000"/>
          <w:kern w:val="0"/>
          <w:sz w:val="24"/>
          <w:szCs w:val="22"/>
          <w:highlight w:val="none"/>
        </w:rPr>
        <w:t>，或者由法定代表人或其授权的代表签字。供应商的澄清、说明或者补正不得超出响应文件的范围或者改变响应文件的实质性内容。</w:t>
      </w:r>
    </w:p>
    <w:p w14:paraId="63360FA1">
      <w:pPr>
        <w:pStyle w:val="2"/>
        <w:spacing w:line="360" w:lineRule="auto"/>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22.3</w:t>
      </w:r>
      <w:r>
        <w:rPr>
          <w:rFonts w:hint="eastAsia" w:ascii="宋体" w:hAnsi="宋体" w:eastAsia="宋体" w:cs="宋体"/>
          <w:b/>
          <w:color w:val="000000"/>
          <w:kern w:val="0"/>
          <w:sz w:val="24"/>
          <w:szCs w:val="22"/>
          <w:highlight w:val="none"/>
        </w:rPr>
        <w:t>上述询标、澄清、说明和补正工作如因客观原因无法通过“政府采购云平台”在线进行的，将采用电子邮件等形式进行，</w:t>
      </w:r>
      <w:r>
        <w:rPr>
          <w:rFonts w:hint="eastAsia" w:ascii="宋体" w:hAnsi="宋体" w:eastAsia="宋体" w:cs="宋体"/>
          <w:b/>
          <w:color w:val="000000"/>
          <w:kern w:val="0"/>
          <w:sz w:val="24"/>
          <w:szCs w:val="22"/>
          <w:highlight w:val="none"/>
          <w:u w:val="single"/>
        </w:rPr>
        <w:t>请供应商保证办理磋商事宜人员电话畅通、网络在线。如未及时进行澄清、说明或者补正的，视为放弃澄清、说明或者补正的权利。</w:t>
      </w:r>
    </w:p>
    <w:p w14:paraId="1B58C10C">
      <w:pPr>
        <w:pStyle w:val="23"/>
        <w:snapToGrid w:val="0"/>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23．错误修正的原则</w:t>
      </w:r>
    </w:p>
    <w:p w14:paraId="2312C8B0">
      <w:pPr>
        <w:pStyle w:val="23"/>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电子交易平台客户端里开标一览表录入的报价或优惠率与扫描上传的报价响应文件信息不一致的，以扫描上传的报价响应文件信息为准进行修正。</w:t>
      </w:r>
    </w:p>
    <w:p w14:paraId="5886F1F1">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响应文件报价出现前后不一致的，除磋商文件另有规定外，按照下列规定修正：</w:t>
      </w:r>
    </w:p>
    <w:p w14:paraId="2FD749D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报价表中的内容与</w:t>
      </w:r>
      <w:r>
        <w:rPr>
          <w:rFonts w:hint="eastAsia" w:ascii="宋体" w:hAnsi="宋体" w:eastAsia="宋体" w:cs="宋体"/>
          <w:iCs/>
          <w:sz w:val="24"/>
          <w:highlight w:val="none"/>
        </w:rPr>
        <w:t>报价明细表</w:t>
      </w:r>
      <w:r>
        <w:rPr>
          <w:rFonts w:hint="eastAsia" w:ascii="宋体" w:hAnsi="宋体" w:eastAsia="宋体" w:cs="宋体"/>
          <w:sz w:val="24"/>
          <w:highlight w:val="none"/>
        </w:rPr>
        <w:t>不一致的，以报价表为准；</w:t>
      </w:r>
    </w:p>
    <w:p w14:paraId="3D2F63DE">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 响应文件中的大写金额和小写金额不一致的，以大写金额为准；</w:t>
      </w:r>
    </w:p>
    <w:p w14:paraId="30D1D565">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23.3 单价金额小数点或者百分比有明显错位的，以开标一览表的总价为准，并修改单价；</w:t>
      </w:r>
    </w:p>
    <w:p w14:paraId="51B7FA99">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23.4 总价金额与按单价汇总金额不一致的，以单价金额计算结果为准；</w:t>
      </w:r>
    </w:p>
    <w:p w14:paraId="44BCCFF1">
      <w:pPr>
        <w:pStyle w:val="2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23.5 若用文字表示的数值与用数字表示的数值不一致，以文字表示的数值为准；</w:t>
      </w:r>
    </w:p>
    <w:p w14:paraId="4282FA55">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23.6 如有多报（指数量超出磋商文件需求）、重报（指同一货物重复报价），其响应总价在评标过程中不予调整，如其成交，其合同价按其响应单价予以调整；</w:t>
      </w:r>
    </w:p>
    <w:p w14:paraId="1B655ACD">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23.7 对不同文字文本响应文件的解释发生异议的，以中文文本为准；</w:t>
      </w:r>
    </w:p>
    <w:p w14:paraId="279DA7D2">
      <w:pPr>
        <w:spacing w:before="156"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按上述修正错误的原则及方法调整或修正响应文件的响应报价，供应商确认后，以调整或修正后的响应报价为准。如供应商拒绝调整或修正的，其响应文件按无效响应处理。修正应当采用电子询标的形式，并加盖公章（电子印章）。</w:t>
      </w:r>
    </w:p>
    <w:p w14:paraId="239AAECA">
      <w:pPr>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24．无效响应文件</w:t>
      </w:r>
    </w:p>
    <w:p w14:paraId="55EB998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有下列情形之一的，响应文件按无效标处理：</w:t>
      </w:r>
    </w:p>
    <w:p w14:paraId="15B6F79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 未按规定标记、签署、盖章的；</w:t>
      </w:r>
    </w:p>
    <w:p w14:paraId="77CB8333">
      <w:pPr>
        <w:spacing w:line="360" w:lineRule="auto"/>
        <w:ind w:firstLine="480" w:firstLineChars="200"/>
        <w:rPr>
          <w:rFonts w:hint="eastAsia" w:ascii="宋体" w:hAnsi="宋体" w:eastAsia="宋体" w:cs="宋体"/>
          <w:spacing w:val="-6"/>
          <w:sz w:val="24"/>
          <w:highlight w:val="none"/>
        </w:rPr>
      </w:pPr>
      <w:r>
        <w:rPr>
          <w:rFonts w:hint="eastAsia" w:ascii="宋体" w:hAnsi="宋体" w:eastAsia="宋体" w:cs="宋体"/>
          <w:sz w:val="24"/>
          <w:highlight w:val="none"/>
        </w:rPr>
        <w:t>24.2</w:t>
      </w:r>
      <w:r>
        <w:rPr>
          <w:rFonts w:hint="eastAsia" w:ascii="宋体" w:hAnsi="宋体" w:eastAsia="宋体" w:cs="宋体"/>
          <w:spacing w:val="-6"/>
          <w:sz w:val="24"/>
          <w:highlight w:val="none"/>
        </w:rPr>
        <w:t>不具备磋商文件规定资格要求的；</w:t>
      </w:r>
    </w:p>
    <w:p w14:paraId="63A861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 不响应磋商文件实质性内容的（磋商文件中带“</w:t>
      </w:r>
      <w:r>
        <w:rPr>
          <w:rFonts w:hint="eastAsia" w:ascii="宋体" w:hAnsi="宋体" w:eastAsia="宋体" w:cs="宋体"/>
          <w:b/>
          <w:bCs/>
          <w:sz w:val="24"/>
          <w:highlight w:val="none"/>
        </w:rPr>
        <w:t>▲</w:t>
      </w:r>
      <w:r>
        <w:rPr>
          <w:rFonts w:hint="eastAsia" w:ascii="宋体" w:hAnsi="宋体" w:eastAsia="宋体" w:cs="宋体"/>
          <w:sz w:val="24"/>
          <w:highlight w:val="none"/>
        </w:rPr>
        <w:t>”内容及被拒绝的条款）；</w:t>
      </w:r>
    </w:p>
    <w:p w14:paraId="4AA6399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24.4 不符合</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范围、技术标准的要求无法满足</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人使用要求</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w:t>
      </w:r>
    </w:p>
    <w:p w14:paraId="387B57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24.5 响应文件的组成不符合磋商文件要求的；</w:t>
      </w:r>
    </w:p>
    <w:p w14:paraId="0BC5566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24.6 响应文件格式不规范、内容不齐全或者虚假的；</w:t>
      </w:r>
    </w:p>
    <w:p w14:paraId="35EC9A7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24.7 响应文件的关键内容字迹模糊、无法辨认的；</w:t>
      </w:r>
    </w:p>
    <w:p w14:paraId="5F91B78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24.8 响应文件的语言、币种及计量单位不符合磋商文件要求的；</w:t>
      </w:r>
    </w:p>
    <w:p w14:paraId="625E656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24.9 未按磋商文件第六章格式要求编制、随意进行增删更改</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影响实质性内容表达的</w:t>
      </w:r>
      <w:r>
        <w:rPr>
          <w:rFonts w:hint="eastAsia" w:ascii="宋体" w:hAnsi="宋体" w:eastAsia="宋体" w:cs="宋体"/>
          <w:sz w:val="24"/>
          <w:highlight w:val="none"/>
        </w:rPr>
        <w:t>；</w:t>
      </w:r>
    </w:p>
    <w:p w14:paraId="18A3B2B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24.10 供应商提交两份或多份内容不同的响应文件，或在一份响应文件中对同一项目提供两个或多个报价、参数及其他可选择内容的（</w:t>
      </w:r>
      <w:r>
        <w:rPr>
          <w:rFonts w:hint="eastAsia" w:ascii="宋体" w:hAnsi="宋体" w:eastAsia="宋体" w:cs="宋体"/>
          <w:b/>
          <w:color w:val="000000"/>
          <w:sz w:val="24"/>
          <w:highlight w:val="none"/>
        </w:rPr>
        <w:t>与“电子加密响应文件”同时生成的“备份响应文件”不是响应备选（替代）方案</w:t>
      </w:r>
      <w:r>
        <w:rPr>
          <w:rFonts w:hint="eastAsia" w:ascii="宋体" w:hAnsi="宋体" w:eastAsia="宋体" w:cs="宋体"/>
          <w:sz w:val="24"/>
          <w:highlight w:val="none"/>
        </w:rPr>
        <w:t>）；</w:t>
      </w:r>
    </w:p>
    <w:p w14:paraId="5E70466C">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24.11磋商小组认为供应商的报价明显低于其他通过符合性审查供应商的报价，有可能影响产品质量或者不能诚信履约的，应当要求其在合理的时间内提供电子答复，必要时提交相关证明材料。供应商不能在磋商小组要求的时间内作出合理电子答复或提供相关证明材料的，或者磋商小组认为其所作出的电子答复不合理的；</w:t>
      </w:r>
    </w:p>
    <w:p w14:paraId="26B8C7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24.1</w:t>
      </w:r>
      <w:r>
        <w:rPr>
          <w:rFonts w:hint="eastAsia" w:ascii="宋体" w:hAnsi="宋体" w:eastAsia="宋体" w:cs="宋体"/>
          <w:color w:val="auto"/>
          <w:sz w:val="24"/>
          <w:highlight w:val="none"/>
        </w:rPr>
        <w:t>2 报价超过采购预算（或最高限价）的；</w:t>
      </w:r>
    </w:p>
    <w:p w14:paraId="172C438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24.13 供应商未在规定时间内澄清说明补正或拒绝澄清说明补正响应文件中含义不明确、同类问题表述不一致或者有明显文字和计算错误的内容的；</w:t>
      </w:r>
    </w:p>
    <w:p w14:paraId="0E3BE14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24.14 </w:t>
      </w:r>
      <w:r>
        <w:rPr>
          <w:rFonts w:hint="eastAsia" w:ascii="宋体" w:hAnsi="宋体" w:eastAsia="宋体" w:cs="宋体"/>
          <w:bCs/>
          <w:sz w:val="24"/>
          <w:highlight w:val="none"/>
        </w:rPr>
        <w:t>开标一览表、</w:t>
      </w:r>
      <w:r>
        <w:rPr>
          <w:rFonts w:hint="eastAsia" w:ascii="宋体" w:hAnsi="宋体" w:eastAsia="宋体" w:cs="宋体"/>
          <w:sz w:val="24"/>
          <w:highlight w:val="none"/>
        </w:rPr>
        <w:t>报价表等内容填写有误的且拒绝接受磋商小组调整或修正意见的；</w:t>
      </w:r>
    </w:p>
    <w:p w14:paraId="477DDC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24.15 不同供应商提供的响应文件内容存在错漏之处一致或异常雷同现象的；</w:t>
      </w:r>
    </w:p>
    <w:p w14:paraId="47CBA9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24.16 附有采购人不能接受的条款的；</w:t>
      </w:r>
    </w:p>
    <w:p w14:paraId="500ADC4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24.17 供应商为采购人的附属机构（单位）的；</w:t>
      </w:r>
    </w:p>
    <w:p w14:paraId="772E57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24.18为采购项目提供整体设计、规范编制或者项目管理、监理、检测等服务的供应商的；</w:t>
      </w:r>
    </w:p>
    <w:p w14:paraId="371679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24.19单位负责人为同一人或者存在直接控股、管理关系的不同供应商参加同一合同项下的政府采购活动的；</w:t>
      </w:r>
    </w:p>
    <w:p w14:paraId="31E68D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24.20 供应商为公益一类事业单位、使用事业编制且由财政拨款保障的群团组织；</w:t>
      </w:r>
    </w:p>
    <w:p w14:paraId="78D2B30C">
      <w:pPr>
        <w:pStyle w:val="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24.21</w:t>
      </w:r>
      <w:r>
        <w:rPr>
          <w:rFonts w:hint="eastAsia" w:ascii="宋体" w:hAnsi="宋体" w:eastAsia="宋体" w:cs="宋体"/>
          <w:b w:val="0"/>
          <w:bCs/>
          <w:sz w:val="24"/>
          <w:highlight w:val="none"/>
        </w:rPr>
        <w:t>出现本文件1</w:t>
      </w:r>
      <w:r>
        <w:rPr>
          <w:rFonts w:hint="eastAsia" w:ascii="宋体" w:hAnsi="宋体" w:eastAsia="宋体" w:cs="宋体"/>
          <w:b w:val="0"/>
          <w:bCs/>
          <w:sz w:val="24"/>
          <w:highlight w:val="none"/>
          <w:lang w:val="en-US" w:eastAsia="zh-CN"/>
        </w:rPr>
        <w:t>7</w:t>
      </w:r>
      <w:r>
        <w:rPr>
          <w:rFonts w:hint="eastAsia" w:ascii="宋体" w:hAnsi="宋体" w:eastAsia="宋体" w:cs="宋体"/>
          <w:b w:val="0"/>
          <w:bCs/>
          <w:sz w:val="24"/>
          <w:highlight w:val="none"/>
        </w:rPr>
        <w:t>.4条情形的被磋商小组认定为无效的；</w:t>
      </w:r>
    </w:p>
    <w:p w14:paraId="188491DF">
      <w:pPr>
        <w:pStyle w:val="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24.22</w:t>
      </w:r>
      <w:r>
        <w:rPr>
          <w:rFonts w:hint="eastAsia" w:ascii="宋体" w:hAnsi="宋体" w:eastAsia="宋体" w:cs="宋体"/>
          <w:sz w:val="24"/>
          <w:highlight w:val="none"/>
        </w:rPr>
        <w:t>电子加密响应文件未按时上传解密，又未提供备份电子响应文件的；</w:t>
      </w:r>
    </w:p>
    <w:p w14:paraId="7B53CBF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供应商仅提交备份电子响应文件的；</w:t>
      </w:r>
    </w:p>
    <w:p w14:paraId="6D395AF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 xml:space="preserve">24.24 </w:t>
      </w:r>
      <w:r>
        <w:rPr>
          <w:rFonts w:hint="eastAsia" w:ascii="宋体" w:hAnsi="宋体" w:eastAsia="宋体" w:cs="宋体"/>
          <w:sz w:val="24"/>
          <w:highlight w:val="none"/>
          <w:lang w:eastAsia="zh-CN"/>
        </w:rPr>
        <w:t>不同投标人IP、MAC、硬件信息相同的；</w:t>
      </w:r>
    </w:p>
    <w:p w14:paraId="3C86D3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法律法规和磋商文件中其他规定无效的。</w:t>
      </w:r>
    </w:p>
    <w:p w14:paraId="26B89C8F">
      <w:pPr>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25．终止竞争性磋商采购活动</w:t>
      </w:r>
    </w:p>
    <w:p w14:paraId="3BFEC79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出现下列情形之一的，采购组织机构将终止竞争性磋商采购活动：</w:t>
      </w:r>
    </w:p>
    <w:p w14:paraId="193FC4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 因情况变化，不再符合规定的竞争性磋商采购方式适用情形的；</w:t>
      </w:r>
    </w:p>
    <w:p w14:paraId="42D594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出现影响采购公正的违法、违规行为的；</w:t>
      </w:r>
    </w:p>
    <w:p w14:paraId="5772829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25.3 除《政府采购竞争性磋商采购方式管理暂行办法》第二十一条第三款和《关于政府采购竞争性磋商采购方式管理暂行办法有关问题的补充通知》（财库〔2015〕124 号）规定情形外，在采购过程中符合要求的供应商或者报价未超过采购预算的供应商不足 3 家的;</w:t>
      </w:r>
    </w:p>
    <w:p w14:paraId="3681D5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25.4 符合《政府采购竞争性磋商采购方式管理暂行办法》第二十一条第三款和《关于政府采购竞争性磋商采购方式管理暂行办法有关问题的补充通知》（财库〔2015〕124 号）规定情形，但在采购过程中符合要求的供应商或者报价未超过采购预算的供应商不足 2 家的。</w:t>
      </w:r>
    </w:p>
    <w:p w14:paraId="504C08A3">
      <w:pPr>
        <w:pStyle w:val="17"/>
        <w:ind w:firstLine="480" w:firstLineChars="200"/>
        <w:rPr>
          <w:rFonts w:hint="eastAsia" w:ascii="宋体" w:hAnsi="宋体" w:eastAsia="宋体" w:cs="宋体"/>
          <w:highlight w:val="none"/>
        </w:rPr>
      </w:pPr>
      <w:r>
        <w:rPr>
          <w:rFonts w:hint="eastAsia" w:ascii="宋体" w:hAnsi="宋体" w:eastAsia="宋体" w:cs="宋体"/>
          <w:highlight w:val="none"/>
        </w:rPr>
        <w:t>25.5因重大变故，采购任务取消的。</w:t>
      </w:r>
    </w:p>
    <w:p w14:paraId="3D3475AB">
      <w:pPr>
        <w:pStyle w:val="183"/>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在采购活动中因重大变故，采购任务取消的，采购人或者采购代理机构应当终止采购活动，通知所有参加采购活动的供应商，并将项目实施情况和采购任务取消原因报送本级财政部门。</w:t>
      </w:r>
    </w:p>
    <w:p w14:paraId="20EB26E4">
      <w:pPr>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26．突发情况处理</w:t>
      </w:r>
    </w:p>
    <w:p w14:paraId="57F45905">
      <w:pPr>
        <w:snapToGrid w:val="0"/>
        <w:spacing w:line="360" w:lineRule="auto"/>
        <w:ind w:firstLine="482" w:firstLineChars="200"/>
        <w:rPr>
          <w:rFonts w:hint="eastAsia" w:ascii="宋体" w:hAnsi="宋体" w:eastAsia="宋体" w:cs="宋体"/>
          <w:b/>
          <w:color w:val="000000"/>
          <w:kern w:val="0"/>
          <w:sz w:val="24"/>
          <w:szCs w:val="22"/>
          <w:highlight w:val="none"/>
        </w:rPr>
      </w:pPr>
      <w:bookmarkStart w:id="11" w:name="_Toc177870555"/>
      <w:r>
        <w:rPr>
          <w:rFonts w:hint="eastAsia" w:ascii="宋体" w:hAnsi="宋体" w:eastAsia="宋体" w:cs="宋体"/>
          <w:b/>
          <w:color w:val="000000"/>
          <w:kern w:val="0"/>
          <w:sz w:val="24"/>
          <w:szCs w:val="22"/>
          <w:highlight w:val="none"/>
        </w:rPr>
        <w:t>26.1 采购过程中出现以下情形，导致电子交易平台无法正常运行，或者无法保证电子交易的公平、公正和安全时，采购组织机构可中止电子交易活动：</w:t>
      </w:r>
    </w:p>
    <w:p w14:paraId="05B36C34">
      <w:pPr>
        <w:snapToGrid w:val="0"/>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（1）电子交易平台发生故障而无法登录访问的； </w:t>
      </w:r>
    </w:p>
    <w:p w14:paraId="03563F11">
      <w:pPr>
        <w:snapToGrid w:val="0"/>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（2）电子交易平台应用或数据库出现错误，不能进行正常操作的；</w:t>
      </w:r>
    </w:p>
    <w:p w14:paraId="29191F5D">
      <w:pPr>
        <w:snapToGrid w:val="0"/>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（3）电子交易平台发现严重安全漏洞，有潜在泄密危险的；</w:t>
      </w:r>
    </w:p>
    <w:p w14:paraId="580B960E">
      <w:pPr>
        <w:snapToGrid w:val="0"/>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（4）病毒发作导致不能进行正常操作的； </w:t>
      </w:r>
    </w:p>
    <w:p w14:paraId="4C52F1FB">
      <w:pPr>
        <w:snapToGrid w:val="0"/>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（5）其他无法保证电子交易的公平、公正和安全的情况。</w:t>
      </w:r>
    </w:p>
    <w:p w14:paraId="0AA046C4">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35BB1DD">
      <w:pPr>
        <w:pStyle w:val="2"/>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26.2 采购代理机构或磋商小组因不可抗力（不可抗力包括但不限于自然灾害、断电、传播疫病等）原因造成电子交易活动无法正常运行的，将采取以下措施：</w:t>
      </w:r>
    </w:p>
    <w:p w14:paraId="7CA9E9EB">
      <w:pPr>
        <w:pStyle w:val="2"/>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（1）短时间内能消除不可抗力因素的，采购代理机构或磋商小组在消除不可抗力因素后继续组织电子交易活动； </w:t>
      </w:r>
    </w:p>
    <w:p w14:paraId="198022FB">
      <w:pPr>
        <w:pStyle w:val="2"/>
        <w:snapToGrid w:val="0"/>
        <w:spacing w:line="360" w:lineRule="auto"/>
        <w:rPr>
          <w:rFonts w:hint="eastAsia" w:ascii="宋体" w:hAnsi="宋体" w:eastAsia="宋体" w:cs="宋体"/>
          <w:sz w:val="24"/>
          <w:highlight w:val="none"/>
        </w:rPr>
      </w:pPr>
      <w:r>
        <w:rPr>
          <w:rFonts w:hint="eastAsia" w:ascii="宋体" w:hAnsi="宋体" w:eastAsia="宋体" w:cs="宋体"/>
          <w:color w:val="000000"/>
          <w:sz w:val="24"/>
          <w:highlight w:val="none"/>
        </w:rPr>
        <w:t>（2）长时间内无法消除不可抗力因素的，采购代理机构或磋商小组将中止电子交易活动。中止电子交易活动的，采购人应当重新组织政府采购活动。</w:t>
      </w:r>
    </w:p>
    <w:p w14:paraId="1CC466C3">
      <w:pPr>
        <w:pStyle w:val="23"/>
        <w:snapToGrid w:val="0"/>
        <w:spacing w:before="156" w:beforeLines="50" w:line="360" w:lineRule="auto"/>
        <w:ind w:firstLine="157" w:firstLineChars="49"/>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第六节  </w:t>
      </w:r>
      <w:bookmarkEnd w:id="11"/>
      <w:r>
        <w:rPr>
          <w:rFonts w:hint="eastAsia" w:ascii="宋体" w:hAnsi="宋体" w:eastAsia="宋体" w:cs="宋体"/>
          <w:b/>
          <w:sz w:val="32"/>
          <w:szCs w:val="32"/>
          <w:highlight w:val="none"/>
        </w:rPr>
        <w:t>磋商结果确定</w:t>
      </w:r>
    </w:p>
    <w:p w14:paraId="0AF1F47D">
      <w:pPr>
        <w:pStyle w:val="23"/>
        <w:spacing w:before="156" w:beforeLines="50" w:line="360" w:lineRule="auto"/>
        <w:rPr>
          <w:rFonts w:hint="eastAsia" w:ascii="宋体" w:hAnsi="宋体" w:eastAsia="宋体" w:cs="宋体"/>
          <w:sz w:val="24"/>
          <w:highlight w:val="none"/>
        </w:rPr>
      </w:pPr>
      <w:r>
        <w:rPr>
          <w:rFonts w:hint="eastAsia" w:ascii="宋体" w:hAnsi="宋体" w:eastAsia="宋体" w:cs="宋体"/>
          <w:b/>
          <w:sz w:val="28"/>
          <w:szCs w:val="28"/>
          <w:highlight w:val="none"/>
        </w:rPr>
        <w:t>27．磋商结果确认（确定成交供应商）</w:t>
      </w:r>
      <w:bookmarkStart w:id="12" w:name="_Toc170792772"/>
      <w:bookmarkStart w:id="13" w:name="_Toc107820051"/>
    </w:p>
    <w:p w14:paraId="7D2B63A5">
      <w:pPr>
        <w:snapToGrid w:val="0"/>
        <w:spacing w:line="360" w:lineRule="auto"/>
        <w:ind w:firstLine="480" w:firstLineChars="200"/>
        <w:rPr>
          <w:rFonts w:hint="eastAsia" w:ascii="宋体" w:hAnsi="宋体" w:eastAsia="宋体" w:cs="宋体"/>
          <w:b/>
          <w:color w:val="000000"/>
          <w:kern w:val="0"/>
          <w:sz w:val="24"/>
          <w:szCs w:val="22"/>
          <w:highlight w:val="none"/>
        </w:rPr>
      </w:pPr>
      <w:r>
        <w:rPr>
          <w:rFonts w:hint="eastAsia" w:ascii="宋体" w:hAnsi="宋体" w:eastAsia="宋体" w:cs="宋体"/>
          <w:sz w:val="24"/>
          <w:highlight w:val="none"/>
        </w:rPr>
        <w:t>27.1</w:t>
      </w:r>
      <w:r>
        <w:rPr>
          <w:rFonts w:hint="eastAsia" w:ascii="宋体" w:hAnsi="宋体" w:eastAsia="宋体" w:cs="宋体"/>
          <w:b/>
          <w:color w:val="000000"/>
          <w:kern w:val="0"/>
          <w:sz w:val="24"/>
          <w:szCs w:val="22"/>
          <w:highlight w:val="none"/>
        </w:rPr>
        <w:t>磋商结果确认（确定成交供应商）：本项目由采购人根据磋商小组提交的《评审报告》，通过“政府采购云平台”依法确认采购结果、确定成交供应商。具体流程如下：</w:t>
      </w:r>
    </w:p>
    <w:p w14:paraId="2123B079">
      <w:pPr>
        <w:spacing w:line="360" w:lineRule="auto"/>
        <w:ind w:firstLine="420" w:firstLineChars="175"/>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（1）采购代理机构将在评审结束后2个工作日内将评审报告送采购人。</w:t>
      </w:r>
    </w:p>
    <w:p w14:paraId="677CDD4C">
      <w:pPr>
        <w:spacing w:line="360" w:lineRule="auto"/>
        <w:ind w:firstLine="420" w:firstLineChars="175"/>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（2）采购人将在收到评审报告之日起5个工作日内，在评审报告推荐的成交候选供应商名单中按顺序确定成交供应商，并将确认意见以书面形式回复采购代理机构。</w:t>
      </w:r>
      <w:r>
        <w:rPr>
          <w:rFonts w:hint="eastAsia" w:ascii="宋体" w:hAnsi="宋体" w:eastAsia="宋体" w:cs="宋体"/>
          <w:color w:val="000000"/>
          <w:sz w:val="24"/>
          <w:highlight w:val="none"/>
        </w:rPr>
        <w:t xml:space="preserve"> </w:t>
      </w:r>
    </w:p>
    <w:p w14:paraId="71BD0A2D">
      <w:pPr>
        <w:snapToGrid w:val="0"/>
        <w:spacing w:line="360" w:lineRule="auto"/>
        <w:ind w:firstLine="424" w:firstLineChars="200"/>
        <w:rPr>
          <w:rFonts w:hint="eastAsia" w:ascii="宋体" w:hAnsi="宋体" w:eastAsia="宋体" w:cs="宋体"/>
          <w:sz w:val="24"/>
          <w:highlight w:val="none"/>
        </w:rPr>
      </w:pPr>
      <w:r>
        <w:rPr>
          <w:rFonts w:hint="eastAsia" w:ascii="宋体" w:hAnsi="宋体" w:eastAsia="宋体" w:cs="宋体"/>
          <w:spacing w:val="-14"/>
          <w:sz w:val="24"/>
          <w:highlight w:val="none"/>
        </w:rPr>
        <w:t>27.2</w:t>
      </w:r>
      <w:r>
        <w:rPr>
          <w:rFonts w:hint="eastAsia" w:ascii="宋体" w:hAnsi="宋体" w:eastAsia="宋体" w:cs="宋体"/>
          <w:color w:val="000000"/>
          <w:sz w:val="24"/>
          <w:highlight w:val="none"/>
        </w:rPr>
        <w:t>磋商结果经采购人确认后2个工作日内，采购代理机构将在</w:t>
      </w:r>
      <w:r>
        <w:rPr>
          <w:rFonts w:hint="eastAsia" w:ascii="宋体" w:hAnsi="宋体" w:eastAsia="宋体" w:cs="宋体"/>
          <w:spacing w:val="-14"/>
          <w:sz w:val="24"/>
          <w:highlight w:val="none"/>
        </w:rPr>
        <w:t>浙江政府采购网（www.zjzfcg.gov.cn）</w:t>
      </w:r>
      <w:r>
        <w:rPr>
          <w:rFonts w:hint="eastAsia" w:ascii="宋体" w:hAnsi="宋体" w:eastAsia="宋体" w:cs="宋体"/>
          <w:spacing w:val="-12"/>
          <w:sz w:val="24"/>
          <w:highlight w:val="none"/>
        </w:rPr>
        <w:t>和天台县公共资源交易中心网</w:t>
      </w:r>
      <w:r>
        <w:rPr>
          <w:rFonts w:hint="eastAsia" w:ascii="宋体" w:hAnsi="宋体" w:eastAsia="宋体" w:cs="宋体"/>
          <w:spacing w:val="-9"/>
          <w:sz w:val="24"/>
          <w:highlight w:val="none"/>
        </w:rPr>
        <w:t>（http://ztb.zjtt.gov.cn）</w:t>
      </w:r>
      <w:r>
        <w:rPr>
          <w:rFonts w:hint="eastAsia" w:ascii="宋体" w:hAnsi="宋体" w:eastAsia="宋体" w:cs="宋体"/>
          <w:sz w:val="24"/>
          <w:highlight w:val="none"/>
        </w:rPr>
        <w:t>上</w:t>
      </w:r>
      <w:r>
        <w:rPr>
          <w:rFonts w:hint="eastAsia" w:ascii="宋体" w:hAnsi="宋体" w:eastAsia="宋体" w:cs="宋体"/>
          <w:color w:val="000000"/>
          <w:sz w:val="24"/>
          <w:highlight w:val="none"/>
        </w:rPr>
        <w:t>公告采购结果，成交公告期限为1个工作日。</w:t>
      </w:r>
    </w:p>
    <w:p w14:paraId="4088DAC4">
      <w:pPr>
        <w:pStyle w:val="23"/>
        <w:snapToGrid w:val="0"/>
        <w:spacing w:before="156" w:beforeLines="50" w:line="360" w:lineRule="auto"/>
        <w:outlineLvl w:val="1"/>
        <w:rPr>
          <w:rFonts w:hint="eastAsia" w:ascii="宋体" w:hAnsi="宋体" w:eastAsia="宋体" w:cs="宋体"/>
          <w:b/>
          <w:bCs/>
          <w:sz w:val="28"/>
          <w:szCs w:val="28"/>
          <w:highlight w:val="none"/>
        </w:rPr>
      </w:pPr>
      <w:bookmarkStart w:id="14" w:name="_Toc177870543"/>
      <w:r>
        <w:rPr>
          <w:rFonts w:hint="eastAsia" w:ascii="宋体" w:hAnsi="宋体" w:eastAsia="宋体" w:cs="宋体"/>
          <w:b/>
          <w:bCs/>
          <w:sz w:val="28"/>
          <w:szCs w:val="28"/>
          <w:highlight w:val="none"/>
        </w:rPr>
        <w:t>28．质疑</w:t>
      </w:r>
      <w:bookmarkEnd w:id="14"/>
      <w:r>
        <w:rPr>
          <w:rFonts w:hint="eastAsia" w:ascii="宋体" w:hAnsi="宋体" w:eastAsia="宋体" w:cs="宋体"/>
          <w:b/>
          <w:bCs/>
          <w:sz w:val="28"/>
          <w:szCs w:val="28"/>
          <w:highlight w:val="none"/>
        </w:rPr>
        <w:t>和投诉</w:t>
      </w:r>
    </w:p>
    <w:p w14:paraId="0DBC3E2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28.1.供应商认为磋商文件、磋商过程和成交结果使自己的权益受到损害的，可以在知道或者应知其权益受到损害之日起七个工作日内，以书面形式向采购人提出质疑。供应商应当在法定质疑期内一次性提出针对同一磋商程序环节的质疑。供应商应知其权益受到损害之日，是指：</w:t>
      </w:r>
    </w:p>
    <w:p w14:paraId="75E25A25">
      <w:pPr>
        <w:numPr>
          <w:ilvl w:val="0"/>
          <w:numId w:val="9"/>
        </w:num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对可以质疑的磋商文件提出质疑的，为收到磋商文件之日或者磋商文件公告期限届满之日；</w:t>
      </w:r>
    </w:p>
    <w:p w14:paraId="5CB9E5A2">
      <w:pPr>
        <w:numPr>
          <w:ilvl w:val="0"/>
          <w:numId w:val="9"/>
        </w:num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对磋商过程提出质疑的，为各磋商程序环节结束之日；</w:t>
      </w:r>
    </w:p>
    <w:p w14:paraId="60D99EF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（三）对成交结果提出质疑的，为成交结果公告期限届满之日。</w:t>
      </w:r>
    </w:p>
    <w:p w14:paraId="553BDDBE">
      <w:pPr>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18B04E6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供应商为自然人的，应当由本人签字；供应商为法人或者其他组织的，应当由法定代表人、主要负责人，或者其授权代表签字或者盖章，并加盖公章。</w:t>
      </w:r>
    </w:p>
    <w:p w14:paraId="7689A87D">
      <w:pPr>
        <w:snapToGrid w:val="0"/>
        <w:spacing w:line="360" w:lineRule="auto"/>
        <w:ind w:firstLine="240" w:firstLineChars="100"/>
        <w:rPr>
          <w:rFonts w:hint="eastAsia" w:ascii="宋体" w:hAnsi="宋体" w:eastAsia="宋体" w:cs="宋体"/>
          <w:highlight w:val="none"/>
        </w:rPr>
      </w:pPr>
      <w:r>
        <w:rPr>
          <w:rFonts w:hint="eastAsia" w:ascii="宋体" w:hAnsi="宋体" w:eastAsia="宋体" w:cs="宋体"/>
          <w:sz w:val="24"/>
          <w:highlight w:val="none"/>
        </w:rPr>
        <w:t>28.3.供应商质疑、投诉应当有明确的请求和必要的证明材料。供应商投诉的事项不得超出已质疑事项的范围。采购人及采购代理机构按《政府采购质疑和投诉办法》进行处理供应商质疑事项。</w:t>
      </w:r>
    </w:p>
    <w:p w14:paraId="19C7313B">
      <w:pPr>
        <w:pStyle w:val="41"/>
        <w:snapToGrid w:val="0"/>
        <w:spacing w:after="0"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28.4.质疑供应商对采购人、采购代理机构的质疑答复不满意，或者采购人、采购代理机构未在规定期限内作出答复的，供应商可以在答复期满后15个工作日内向同级财政部门提起投诉。</w:t>
      </w:r>
    </w:p>
    <w:p w14:paraId="21329EDE">
      <w:pPr>
        <w:pStyle w:val="23"/>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28.5.</w:t>
      </w:r>
      <w:r>
        <w:rPr>
          <w:rFonts w:hint="eastAsia" w:ascii="宋体" w:hAnsi="宋体" w:eastAsia="宋体" w:cs="宋体"/>
          <w:b/>
          <w:bCs/>
          <w:sz w:val="24"/>
          <w:highlight w:val="none"/>
        </w:rPr>
        <w:t>供应商有下列情形之一的，采购代理机构将报天台县财政局，将其列入不良行为记录名单：</w:t>
      </w:r>
    </w:p>
    <w:p w14:paraId="41476F2C">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（一）一年内三次以上质疑均查无实据的；</w:t>
      </w:r>
    </w:p>
    <w:p w14:paraId="1940C3D5">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（二）捏造事实或者提供虚假质疑材料的。</w:t>
      </w:r>
    </w:p>
    <w:p w14:paraId="17D8C902">
      <w:pPr>
        <w:pStyle w:val="23"/>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（三）以非法手段取得证明材料。证据来源的合法性存在明显疑问，质疑人无法证明其取得方式合法的，视为以非法手段取得证明材料。</w:t>
      </w:r>
    </w:p>
    <w:p w14:paraId="5633AB0E">
      <w:pPr>
        <w:pStyle w:val="23"/>
        <w:snapToGrid w:val="0"/>
        <w:spacing w:line="360" w:lineRule="auto"/>
        <w:ind w:firstLine="480" w:firstLineChars="200"/>
        <w:rPr>
          <w:rFonts w:hint="default" w:ascii="宋体" w:hAnsi="宋体" w:eastAsia="宋体" w:cs="宋体"/>
          <w:sz w:val="24"/>
          <w:highlight w:val="none"/>
          <w:lang w:val="en-US" w:eastAsia="zh-CN"/>
        </w:rPr>
      </w:pPr>
      <w:r>
        <w:rPr>
          <w:rFonts w:hint="eastAsia" w:hAnsi="宋体" w:cs="宋体"/>
          <w:sz w:val="24"/>
          <w:highlight w:val="none"/>
          <w:lang w:val="en-US" w:eastAsia="zh-CN"/>
        </w:rPr>
        <w:t>联合体投标的，需联合体双方签字盖章。</w:t>
      </w:r>
    </w:p>
    <w:p w14:paraId="7FDBE8DB">
      <w:pPr>
        <w:pStyle w:val="23"/>
        <w:snapToGrid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29. 成交通知书</w:t>
      </w:r>
    </w:p>
    <w:p w14:paraId="563037CD">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29.1</w:t>
      </w:r>
      <w:r>
        <w:rPr>
          <w:rFonts w:hint="eastAsia" w:ascii="宋体" w:hAnsi="宋体" w:eastAsia="宋体" w:cs="宋体"/>
          <w:b/>
          <w:sz w:val="24"/>
          <w:highlight w:val="none"/>
        </w:rPr>
        <w:t>采购组织机构在发布成交结果的同时向成交人发出成交通知书。</w:t>
      </w:r>
    </w:p>
    <w:p w14:paraId="279BC6A6">
      <w:pPr>
        <w:snapToGrid w:val="0"/>
        <w:spacing w:line="360" w:lineRule="auto"/>
        <w:ind w:firstLine="480" w:firstLineChars="200"/>
        <w:rPr>
          <w:rFonts w:hint="eastAsia" w:ascii="宋体" w:hAnsi="宋体" w:eastAsia="宋体" w:cs="宋体"/>
          <w:b/>
          <w:sz w:val="24"/>
          <w:highlight w:val="none"/>
        </w:rPr>
      </w:pPr>
      <w:r>
        <w:rPr>
          <w:rFonts w:hint="eastAsia" w:ascii="宋体" w:hAnsi="宋体" w:eastAsia="宋体" w:cs="宋体"/>
          <w:bCs/>
          <w:sz w:val="24"/>
          <w:highlight w:val="none"/>
        </w:rPr>
        <w:t>29.2</w:t>
      </w:r>
      <w:r>
        <w:rPr>
          <w:rFonts w:hint="eastAsia" w:ascii="宋体" w:hAnsi="宋体" w:eastAsia="宋体" w:cs="宋体"/>
          <w:b/>
          <w:sz w:val="24"/>
          <w:highlight w:val="none"/>
        </w:rPr>
        <w:t>成交通知书作为签订合同的重要依据，对采购人和成交供应商均具有法律效力。采购人改变成交结果或者成交供应商放弃成交项目的都应承担法律责任。成交供应商不得向他人转让成交项目，也不得将成交项目肢解后分别向他人转让。</w:t>
      </w:r>
    </w:p>
    <w:p w14:paraId="1A7B76A1">
      <w:pPr>
        <w:snapToGrid w:val="0"/>
        <w:spacing w:before="156" w:beforeLines="50" w:line="360" w:lineRule="auto"/>
        <w:ind w:firstLine="157" w:firstLineChars="49"/>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第七</w:t>
      </w:r>
      <w:bookmarkStart w:id="15" w:name="_Toc177870556"/>
      <w:r>
        <w:rPr>
          <w:rFonts w:hint="eastAsia" w:ascii="宋体" w:hAnsi="宋体" w:eastAsia="宋体" w:cs="宋体"/>
          <w:b/>
          <w:sz w:val="32"/>
          <w:szCs w:val="32"/>
          <w:highlight w:val="none"/>
        </w:rPr>
        <w:t>节  合同</w:t>
      </w:r>
      <w:bookmarkEnd w:id="12"/>
      <w:bookmarkEnd w:id="13"/>
      <w:r>
        <w:rPr>
          <w:rFonts w:hint="eastAsia" w:ascii="宋体" w:hAnsi="宋体" w:eastAsia="宋体" w:cs="宋体"/>
          <w:b/>
          <w:sz w:val="32"/>
          <w:szCs w:val="32"/>
          <w:highlight w:val="none"/>
        </w:rPr>
        <w:t>授予</w:t>
      </w:r>
      <w:bookmarkEnd w:id="15"/>
    </w:p>
    <w:p w14:paraId="5E3E767F">
      <w:pPr>
        <w:pStyle w:val="23"/>
        <w:snapToGrid w:val="0"/>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30．履约保证金</w:t>
      </w:r>
    </w:p>
    <w:p w14:paraId="69677FAE">
      <w:pPr>
        <w:snapToGrid w:val="0"/>
        <w:spacing w:before="156" w:beforeLines="50"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详见前附表。</w:t>
      </w:r>
    </w:p>
    <w:p w14:paraId="38A381D7">
      <w:pPr>
        <w:snapToGrid w:val="0"/>
        <w:spacing w:before="156" w:before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31．签订合同及其他</w:t>
      </w:r>
    </w:p>
    <w:p w14:paraId="0F4B598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31.1</w:t>
      </w:r>
      <w:r>
        <w:rPr>
          <w:rFonts w:hint="eastAsia" w:ascii="宋体" w:hAnsi="宋体" w:eastAsia="宋体" w:cs="宋体"/>
          <w:color w:val="auto"/>
          <w:sz w:val="24"/>
          <w:highlight w:val="none"/>
        </w:rPr>
        <w:t>采购人在成交通知书发出之日起</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日内与成交供应商签订合同。</w:t>
      </w:r>
    </w:p>
    <w:p w14:paraId="4794D16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 成交供应商拖延、拒签合同的, 取消成交资格。</w:t>
      </w:r>
    </w:p>
    <w:p w14:paraId="53066DF5">
      <w:pPr>
        <w:pStyle w:val="23"/>
        <w:snapToGrid w:val="0"/>
        <w:spacing w:line="360" w:lineRule="auto"/>
        <w:ind w:firstLine="480" w:firstLineChars="200"/>
        <w:rPr>
          <w:rFonts w:hint="eastAsia" w:ascii="宋体" w:hAnsi="宋体" w:eastAsia="宋体" w:cs="宋体"/>
          <w:spacing w:val="-10"/>
          <w:sz w:val="24"/>
          <w:highlight w:val="none"/>
        </w:rPr>
      </w:pPr>
      <w:r>
        <w:rPr>
          <w:rFonts w:hint="eastAsia" w:ascii="宋体" w:hAnsi="宋体" w:eastAsia="宋体" w:cs="宋体"/>
          <w:sz w:val="24"/>
          <w:highlight w:val="none"/>
        </w:rPr>
        <w:t>31.3 如成交供应商拒绝承担成交的项目、否认已经承诺的条件、未按规定的时间或提出采购人不能接受的条件致使合同无法签订的，采购人将取消其成交资格，损失由成交供应商承担。同时采购人可根据磋商小组推荐的成交候选人先后顺序，将下一顺序的成交候选人作为成交供应商进行公告，或重新组织采购。拒绝签订政府采购合同的成交供应商不得参加对该项目重新开展的采购活动</w:t>
      </w:r>
      <w:r>
        <w:rPr>
          <w:rFonts w:hint="eastAsia" w:ascii="宋体" w:hAnsi="宋体" w:eastAsia="宋体" w:cs="宋体"/>
          <w:spacing w:val="-10"/>
          <w:sz w:val="24"/>
          <w:highlight w:val="none"/>
        </w:rPr>
        <w:t>。</w:t>
      </w:r>
    </w:p>
    <w:p w14:paraId="7FED41B5">
      <w:pPr>
        <w:pStyle w:val="23"/>
        <w:snapToGrid w:val="0"/>
        <w:spacing w:line="360" w:lineRule="auto"/>
        <w:ind w:firstLine="480" w:firstLineChars="200"/>
        <w:rPr>
          <w:rFonts w:hint="eastAsia" w:ascii="宋体" w:hAnsi="宋体" w:eastAsia="宋体" w:cs="宋体"/>
          <w:spacing w:val="-10"/>
          <w:sz w:val="24"/>
          <w:highlight w:val="none"/>
        </w:rPr>
      </w:pPr>
      <w:r>
        <w:rPr>
          <w:rFonts w:hint="eastAsia" w:ascii="宋体" w:hAnsi="宋体" w:eastAsia="宋体" w:cs="宋体"/>
          <w:sz w:val="24"/>
          <w:highlight w:val="none"/>
        </w:rPr>
        <w:t xml:space="preserve">31.4 </w:t>
      </w:r>
      <w:r>
        <w:rPr>
          <w:rFonts w:hint="eastAsia" w:ascii="宋体" w:hAnsi="宋体" w:eastAsia="宋体" w:cs="宋体"/>
          <w:spacing w:val="-10"/>
          <w:sz w:val="24"/>
          <w:highlight w:val="none"/>
        </w:rPr>
        <w:t>磋商文件、成交供应商的响应文件及评标过程中有关澄清文件等均作为签订合同的依据。所签订的合同不得对磋商文件和成交供应商的响应文件的内容作实质性修改。</w:t>
      </w:r>
    </w:p>
    <w:p w14:paraId="098962F6">
      <w:pPr>
        <w:rPr>
          <w:rFonts w:hint="eastAsia" w:ascii="宋体" w:hAnsi="宋体" w:eastAsia="宋体" w:cs="宋体"/>
          <w:spacing w:val="-10"/>
          <w:sz w:val="24"/>
          <w:highlight w:val="none"/>
        </w:rPr>
      </w:pPr>
      <w:r>
        <w:rPr>
          <w:rFonts w:hint="eastAsia" w:ascii="宋体" w:hAnsi="宋体" w:eastAsia="宋体" w:cs="宋体"/>
          <w:spacing w:val="-10"/>
          <w:sz w:val="24"/>
          <w:highlight w:val="none"/>
        </w:rPr>
        <w:br w:type="page"/>
      </w:r>
    </w:p>
    <w:p w14:paraId="6A4C0D02">
      <w:pPr>
        <w:pStyle w:val="24"/>
        <w:rPr>
          <w:rFonts w:hint="eastAsia"/>
          <w:highlight w:val="none"/>
        </w:rPr>
      </w:pPr>
    </w:p>
    <w:p w14:paraId="5B27DE47">
      <w:pPr>
        <w:numPr>
          <w:ilvl w:val="0"/>
          <w:numId w:val="6"/>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项目需求</w:t>
      </w:r>
      <w:bookmarkEnd w:id="4"/>
    </w:p>
    <w:p w14:paraId="02CF613E">
      <w:pPr>
        <w:tabs>
          <w:tab w:val="left" w:pos="8280"/>
        </w:tabs>
        <w:autoSpaceDE w:val="0"/>
        <w:autoSpaceDN w:val="0"/>
        <w:adjustRightInd w:val="0"/>
        <w:spacing w:line="360" w:lineRule="auto"/>
        <w:ind w:right="25"/>
        <w:rPr>
          <w:rFonts w:ascii="宋体" w:hAnsi="宋体" w:cs="宋体"/>
          <w:color w:val="auto"/>
          <w:szCs w:val="21"/>
          <w:highlight w:val="none"/>
        </w:rPr>
      </w:pPr>
      <w:r>
        <w:rPr>
          <w:rFonts w:hint="eastAsia" w:ascii="宋体" w:hAnsi="宋体" w:cs="宋体"/>
          <w:b/>
          <w:color w:val="auto"/>
          <w:szCs w:val="21"/>
          <w:highlight w:val="none"/>
        </w:rPr>
        <w:t>一、项目一览表</w:t>
      </w:r>
    </w:p>
    <w:p w14:paraId="33F80F92">
      <w:pPr>
        <w:tabs>
          <w:tab w:val="left" w:pos="8280"/>
        </w:tabs>
        <w:autoSpaceDE w:val="0"/>
        <w:autoSpaceDN w:val="0"/>
        <w:adjustRightInd w:val="0"/>
        <w:spacing w:line="360" w:lineRule="auto"/>
        <w:ind w:right="25" w:firstLine="420" w:firstLineChars="200"/>
        <w:rPr>
          <w:rFonts w:ascii="宋体" w:hAnsi="宋体" w:cs="宋体"/>
          <w:color w:val="auto"/>
          <w:szCs w:val="21"/>
          <w:highlight w:val="none"/>
        </w:rPr>
      </w:pPr>
      <w:r>
        <w:rPr>
          <w:rFonts w:hint="eastAsia" w:ascii="宋体" w:hAnsi="宋体" w:cs="宋体"/>
          <w:color w:val="auto"/>
          <w:szCs w:val="21"/>
          <w:highlight w:val="none"/>
        </w:rPr>
        <w:t>本次磋商共</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个标项，具体内容如下表：</w:t>
      </w:r>
    </w:p>
    <w:tbl>
      <w:tblPr>
        <w:tblStyle w:val="42"/>
        <w:tblpPr w:leftFromText="181" w:rightFromText="181" w:bottomFromText="170" w:vertAnchor="text" w:tblpXSpec="center" w:tblpY="1"/>
        <w:tblOverlap w:val="never"/>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8"/>
        <w:gridCol w:w="1690"/>
        <w:gridCol w:w="693"/>
        <w:gridCol w:w="750"/>
        <w:gridCol w:w="1899"/>
        <w:gridCol w:w="1481"/>
      </w:tblGrid>
      <w:tr w14:paraId="5EF2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14:paraId="0F8287C4">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1778" w:type="dxa"/>
            <w:vAlign w:val="center"/>
          </w:tcPr>
          <w:p w14:paraId="7ABEFBAC">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1690" w:type="dxa"/>
            <w:vAlign w:val="center"/>
          </w:tcPr>
          <w:p w14:paraId="1F5A53A7">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kern w:val="0"/>
                <w:szCs w:val="21"/>
                <w:highlight w:val="none"/>
              </w:rPr>
              <w:t>简要技术要求</w:t>
            </w:r>
          </w:p>
        </w:tc>
        <w:tc>
          <w:tcPr>
            <w:tcW w:w="693" w:type="dxa"/>
            <w:vAlign w:val="center"/>
          </w:tcPr>
          <w:p w14:paraId="51CF525D">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50" w:type="dxa"/>
            <w:vAlign w:val="center"/>
          </w:tcPr>
          <w:p w14:paraId="10CBC8EF">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899" w:type="dxa"/>
            <w:vAlign w:val="center"/>
          </w:tcPr>
          <w:p w14:paraId="17B716AF">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预算审核价（元）</w:t>
            </w:r>
          </w:p>
        </w:tc>
        <w:tc>
          <w:tcPr>
            <w:tcW w:w="1481" w:type="dxa"/>
            <w:vAlign w:val="center"/>
          </w:tcPr>
          <w:p w14:paraId="46143A65">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b/>
                <w:color w:val="auto"/>
                <w:szCs w:val="21"/>
                <w:highlight w:val="none"/>
              </w:rPr>
              <w:t>最高限价（元）</w:t>
            </w:r>
          </w:p>
        </w:tc>
      </w:tr>
      <w:tr w14:paraId="75F4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14:paraId="20F76B01">
            <w:pPr>
              <w:tabs>
                <w:tab w:val="left" w:pos="8280"/>
              </w:tabs>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778" w:type="dxa"/>
            <w:vAlign w:val="center"/>
          </w:tcPr>
          <w:p w14:paraId="4F7CB696">
            <w:pPr>
              <w:tabs>
                <w:tab w:val="left" w:pos="8280"/>
              </w:tabs>
              <w:autoSpaceDE w:val="0"/>
              <w:autoSpaceDN w:val="0"/>
              <w:adjustRightInd w:val="0"/>
              <w:jc w:val="center"/>
              <w:rPr>
                <w:rFonts w:hint="eastAsia" w:ascii="宋体" w:hAnsi="宋体" w:eastAsia="宋体" w:cs="宋体"/>
                <w:b/>
                <w:color w:val="auto"/>
                <w:szCs w:val="21"/>
                <w:highlight w:val="none"/>
                <w:lang w:eastAsia="zh-CN"/>
              </w:rPr>
            </w:pPr>
            <w:r>
              <w:rPr>
                <w:rFonts w:hint="eastAsia" w:ascii="宋体" w:hAnsi="宋体" w:cs="宋体"/>
                <w:color w:val="auto"/>
                <w:kern w:val="0"/>
                <w:szCs w:val="21"/>
                <w:highlight w:val="none"/>
                <w:lang w:eastAsia="zh-CN"/>
              </w:rPr>
              <w:t>天台县红旗渡槽槽渠和槽身砌石修缮保护工程（第三次）</w:t>
            </w:r>
          </w:p>
        </w:tc>
        <w:tc>
          <w:tcPr>
            <w:tcW w:w="1690" w:type="dxa"/>
            <w:vAlign w:val="center"/>
          </w:tcPr>
          <w:p w14:paraId="7208CF5D">
            <w:pPr>
              <w:tabs>
                <w:tab w:val="left" w:pos="8280"/>
              </w:tabs>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详见技术需求</w:t>
            </w:r>
          </w:p>
        </w:tc>
        <w:tc>
          <w:tcPr>
            <w:tcW w:w="693" w:type="dxa"/>
            <w:vAlign w:val="center"/>
          </w:tcPr>
          <w:p w14:paraId="3FD229FB">
            <w:pPr>
              <w:tabs>
                <w:tab w:val="left" w:pos="8280"/>
              </w:tabs>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50" w:type="dxa"/>
            <w:vAlign w:val="center"/>
          </w:tcPr>
          <w:p w14:paraId="292BB1DA">
            <w:pPr>
              <w:tabs>
                <w:tab w:val="left" w:pos="8280"/>
              </w:tabs>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899" w:type="dxa"/>
            <w:vAlign w:val="center"/>
          </w:tcPr>
          <w:p w14:paraId="58639A6E">
            <w:pPr>
              <w:tabs>
                <w:tab w:val="left" w:pos="8280"/>
              </w:tabs>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highlight w:val="none"/>
              </w:rPr>
              <w:t>1318607</w:t>
            </w:r>
          </w:p>
        </w:tc>
        <w:tc>
          <w:tcPr>
            <w:tcW w:w="1481" w:type="dxa"/>
            <w:vAlign w:val="center"/>
          </w:tcPr>
          <w:p w14:paraId="162D640B">
            <w:pPr>
              <w:tabs>
                <w:tab w:val="left" w:pos="8280"/>
              </w:tabs>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highlight w:val="none"/>
              </w:rPr>
              <w:t>1318607</w:t>
            </w:r>
          </w:p>
        </w:tc>
      </w:tr>
    </w:tbl>
    <w:p w14:paraId="7BAF573E">
      <w:pPr>
        <w:tabs>
          <w:tab w:val="left" w:pos="8280"/>
        </w:tabs>
        <w:autoSpaceDE w:val="0"/>
        <w:autoSpaceDN w:val="0"/>
        <w:adjustRightInd w:val="0"/>
        <w:spacing w:line="360" w:lineRule="auto"/>
        <w:ind w:right="25" w:firstLine="422" w:firstLineChars="200"/>
        <w:jc w:val="left"/>
        <w:rPr>
          <w:rFonts w:ascii="宋体" w:hAnsi="宋体"/>
          <w:b/>
          <w:color w:val="auto"/>
          <w:szCs w:val="21"/>
          <w:highlight w:val="none"/>
        </w:rPr>
      </w:pPr>
      <w:r>
        <w:rPr>
          <w:rFonts w:hint="eastAsia" w:ascii="宋体" w:hAnsi="宋体"/>
          <w:b/>
          <w:color w:val="auto"/>
          <w:szCs w:val="21"/>
          <w:highlight w:val="none"/>
        </w:rPr>
        <w:t>二、技术需求</w:t>
      </w:r>
    </w:p>
    <w:p w14:paraId="1EEAF209">
      <w:pPr>
        <w:widowControl/>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（一）工程概况：</w:t>
      </w:r>
    </w:p>
    <w:p w14:paraId="679D41AF">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1、工程概况</w:t>
      </w:r>
    </w:p>
    <w:p w14:paraId="35207398">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浙江省天台县红旗渡槽水利工程始建于1977年，位于白鹤镇，西起新楼村，东至溪东村，变截面悬链线浆砌石拱结构，全长797.5米，渡槽大拱拱带和槽身分别以苍南绿色条石及大地林产的浅红色岩材砌成，槽身顶部盖板为混凝土构造，外侧混凝土圈梁，盖板上方栏杆和望柱均为钢筋混凝土构造。经过40多年的运行，本体存在老化、损伤等病害现象。现对其进行修缮保护。主要内容包括：漕渠防水、注浆加固、植物清理、表面防水加固防潮实验、渗漏点位勘察、槽身砌石外鼓情况勘察、砌石风化情况检测、砌石成分分析等。</w:t>
      </w:r>
    </w:p>
    <w:p w14:paraId="23A9AE4F">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2、工程招标范围</w:t>
      </w:r>
    </w:p>
    <w:p w14:paraId="15ECB48F">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招标范围为施工图纸内招标人指定的工程（详见招标人提供的图纸及工程量清单）。</w:t>
      </w:r>
    </w:p>
    <w:p w14:paraId="7F8CEA73">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三、工程量清单计价说明</w:t>
      </w:r>
    </w:p>
    <w:p w14:paraId="5EC5D58F">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3.1 工程量清单应与招标文件中的投标人须知、通用合同条款、专用合同条款、技术标准和要求（合同技术条款）、图纸等一起阅读和理解。 </w:t>
      </w:r>
    </w:p>
    <w:p w14:paraId="1D8D1146">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3.2 工程量清单标明的工程量仅是投标人投标报价的共同基础。除另有约定外，工程量清单中的工程量是根据招标设计图纸按《浙江省水利水电工程工程量清单计价办法》计算规则计算的用于投标报价的估算工程量，不作为最终结算工程量。最终结算的工程量是承包人实际完成并符合技术标准和要求（合同技术条款）和《浙江省水利水电工程工程量清单计价办法》计算规则等规定、按合同约定予以计量的有效工程量。 </w:t>
      </w:r>
    </w:p>
    <w:p w14:paraId="038C59C4">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3.3 工程量清单中各项目的工作内容和要求应符合相关技术标准和要求（合同技术条款）以及《浙江省水利水电工程工程量清单计价办法》的规定。 </w:t>
      </w:r>
    </w:p>
    <w:p w14:paraId="30DBC068">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3.4 工程量清单计价应包括按招标文件规定完成工程量清单所列项目的全部费用，包括分类分项工程费、措施项目费和其他项目费。 </w:t>
      </w:r>
    </w:p>
    <w:p w14:paraId="75786C81">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3.5 除清单另有规定外，分类分项工程量清单计价应采用工程单价计价。 </w:t>
      </w:r>
    </w:p>
    <w:p w14:paraId="7DA1E725">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3.6 工程量清单中的工程单价是完成工程量清单中的一个质量合格的规定计量单位项目所需的直接费（包括人工费、材料费、机械使用费）、间接费、利润、补差和税金等，并考虑一定范围内的风险费用。 </w:t>
      </w:r>
    </w:p>
    <w:p w14:paraId="5B596734">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3.7 施工临时工程分类分项工程量清单的金额，应根据招标文件的要求以及工程的施工方案，按清单中所列项目计量单位计价。 </w:t>
      </w:r>
    </w:p>
    <w:p w14:paraId="105BA72F">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3.8其他项目清单应按下列规定确定：</w:t>
      </w:r>
    </w:p>
    <w:p w14:paraId="4168F795">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安全施工费此项统一按17799元计入，安全施工费不得作为竞争性费用，不得变动，否则按无效标处理;且实行标外管理。安全施工费的使用按国家和省有关规定执行，具体由承包人提出方案和预算，经监理审核，发包人批准后按方案实施进度支付，在确保工程安全措施的前提下，安全施工费和文明标化工地建设费可统筹使用。</w:t>
      </w:r>
    </w:p>
    <w:p w14:paraId="1819C17F">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3.9其他项目清单应按下列规定确定：</w:t>
      </w:r>
    </w:p>
    <w:p w14:paraId="3E29B021">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预留金为不可竞争费用,投标报价时，不得变动，否则按无效标处理,预留金共100000元。</w:t>
      </w:r>
    </w:p>
    <w:p w14:paraId="4681F27D">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预算编制依据</w:t>
      </w:r>
    </w:p>
    <w:p w14:paraId="726B2442">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1、建设单位提供的施工图纸。</w:t>
      </w:r>
    </w:p>
    <w:p w14:paraId="3D33A652">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2、《水利工程工程量清单计价规范》GB50501-2017。</w:t>
      </w:r>
    </w:p>
    <w:p w14:paraId="17D49CB8">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3、《浙江省水利工程工程量清单计价办法》（浙水建〔2012〕42号）。</w:t>
      </w:r>
    </w:p>
    <w:p w14:paraId="5285CC41">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4、《浙江省水利水电建筑工程预算定额(2021年)》及补充规定。</w:t>
      </w:r>
    </w:p>
    <w:p w14:paraId="6F7D9D4C">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5、《浙江省水利水电工程施工机械台班费定额(2021版)》。</w:t>
      </w:r>
    </w:p>
    <w:p w14:paraId="28D26659">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6、《浙江省水利厅关于水利工程营业税改增值税后计价依据调整的通知》（浙水建〔2016〕14号）。</w:t>
      </w:r>
    </w:p>
    <w:p w14:paraId="12A3D434">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7、《浙江省建筑工程预算定额（2018版）》。</w:t>
      </w:r>
    </w:p>
    <w:p w14:paraId="444EC031">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8、《浙江省安装工程预算定额（2018版）》。</w:t>
      </w:r>
    </w:p>
    <w:p w14:paraId="26761747">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9、《浙江省园林绿化及仿古建筑工程预算定额（2018版）》。</w:t>
      </w:r>
    </w:p>
    <w:p w14:paraId="74904D56">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10、《浙江省建设工程计价规则（2018版）》。</w:t>
      </w:r>
    </w:p>
    <w:p w14:paraId="79148AFD">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11、材料价格按《台州造价》2024/08天台价计算。部分无信息价材料按市场同类相近价格确定，具体材料价格见材料价格表。</w:t>
      </w:r>
    </w:p>
    <w:p w14:paraId="1B869FCC">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12、其他有关依据和规定。</w:t>
      </w:r>
    </w:p>
    <w:p w14:paraId="5996972D">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五、预算编制原则及办法</w:t>
      </w:r>
    </w:p>
    <w:p w14:paraId="199D6B81">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三、预算审核原则及办法</w:t>
      </w:r>
    </w:p>
    <w:p w14:paraId="6FF73751">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（一）基础单价</w:t>
      </w:r>
    </w:p>
    <w:p w14:paraId="7A3447FC">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1.人工工日预算单价</w:t>
      </w:r>
    </w:p>
    <w:p w14:paraId="25D0BB33">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根据《浙江省水利水电工程设计概（预）算编制规定》〔2021年〕，21额的人工工日预算单价为128/工日，项目的人工按128元/工日（包括机上人工）。</w:t>
      </w:r>
    </w:p>
    <w:p w14:paraId="201DC61B">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2.风、水、电预算价</w:t>
      </w:r>
    </w:p>
    <w:p w14:paraId="403AE683">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1)施工用电价格</w:t>
      </w:r>
    </w:p>
    <w:p w14:paraId="60CA3128">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柴油发电机；</w:t>
      </w:r>
    </w:p>
    <w:p w14:paraId="36DD2776">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2)施工用水价格</w:t>
      </w:r>
    </w:p>
    <w:p w14:paraId="4E7C3B67">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按经验公式计算水价：0.64元/m3；</w:t>
      </w:r>
    </w:p>
    <w:p w14:paraId="6EC22288">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3)施工用风价格</w:t>
      </w:r>
    </w:p>
    <w:p w14:paraId="11288DA2">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施工用风预算价格根据《21编规》进行计算，经计算风价为：0.12元/ m3；</w:t>
      </w:r>
    </w:p>
    <w:p w14:paraId="48E81188">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3.进入直接费的水泥预算价限价300元/吨，柴油预算价限价3000元/吨，超过限价部分作为材料预算价差，计取税金，列入相应单价内（实际低于限价的，按实计算）。   </w:t>
      </w:r>
    </w:p>
    <w:p w14:paraId="0FCD86B6">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（二）取费标准</w:t>
      </w:r>
    </w:p>
    <w:p w14:paraId="7DB114CB">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1.本项目根据《浙江省水利水电工程设计概（预）算编制规定》〔2021年〕</w:t>
      </w:r>
    </w:p>
    <w:p w14:paraId="6F94E7D3">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按其他水利工程三类工程取费，具体系数见下表：</w:t>
      </w:r>
    </w:p>
    <w:tbl>
      <w:tblPr>
        <w:tblStyle w:val="42"/>
        <w:tblW w:w="93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11"/>
        <w:gridCol w:w="2017"/>
        <w:gridCol w:w="1795"/>
        <w:gridCol w:w="1721"/>
        <w:gridCol w:w="1729"/>
      </w:tblGrid>
      <w:tr w14:paraId="6E2CFB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111" w:type="dxa"/>
            <w:noWrap w:val="0"/>
            <w:vAlign w:val="center"/>
          </w:tcPr>
          <w:p w14:paraId="45DE1CB3">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工程类别</w:t>
            </w:r>
          </w:p>
        </w:tc>
        <w:tc>
          <w:tcPr>
            <w:tcW w:w="2017" w:type="dxa"/>
            <w:noWrap w:val="0"/>
            <w:vAlign w:val="center"/>
          </w:tcPr>
          <w:p w14:paraId="41C6D463">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土方工程</w:t>
            </w:r>
          </w:p>
        </w:tc>
        <w:tc>
          <w:tcPr>
            <w:tcW w:w="1795" w:type="dxa"/>
            <w:noWrap w:val="0"/>
            <w:vAlign w:val="center"/>
          </w:tcPr>
          <w:p w14:paraId="06971341">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砼工程</w:t>
            </w:r>
          </w:p>
        </w:tc>
        <w:tc>
          <w:tcPr>
            <w:tcW w:w="1721" w:type="dxa"/>
            <w:noWrap w:val="0"/>
            <w:vAlign w:val="center"/>
          </w:tcPr>
          <w:p w14:paraId="49661BCC">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left="0"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钢筋制安</w:t>
            </w:r>
          </w:p>
        </w:tc>
        <w:tc>
          <w:tcPr>
            <w:tcW w:w="1729" w:type="dxa"/>
            <w:noWrap w:val="0"/>
            <w:vAlign w:val="center"/>
          </w:tcPr>
          <w:p w14:paraId="20E55FB1">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left="0"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安装工程</w:t>
            </w:r>
          </w:p>
        </w:tc>
      </w:tr>
      <w:tr w14:paraId="5B8744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2111" w:type="dxa"/>
            <w:noWrap w:val="0"/>
            <w:vAlign w:val="center"/>
          </w:tcPr>
          <w:p w14:paraId="3EA90312">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措施费</w:t>
            </w:r>
          </w:p>
        </w:tc>
        <w:tc>
          <w:tcPr>
            <w:tcW w:w="2017" w:type="dxa"/>
            <w:noWrap w:val="0"/>
            <w:vAlign w:val="center"/>
          </w:tcPr>
          <w:p w14:paraId="099375FC">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firstLine="720" w:firstLineChars="3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3.5%</w:t>
            </w:r>
          </w:p>
        </w:tc>
        <w:tc>
          <w:tcPr>
            <w:tcW w:w="1795" w:type="dxa"/>
            <w:noWrap w:val="0"/>
            <w:vAlign w:val="center"/>
          </w:tcPr>
          <w:p w14:paraId="45CF1A0E">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3.5%</w:t>
            </w:r>
          </w:p>
        </w:tc>
        <w:tc>
          <w:tcPr>
            <w:tcW w:w="1721" w:type="dxa"/>
            <w:noWrap w:val="0"/>
            <w:vAlign w:val="center"/>
          </w:tcPr>
          <w:p w14:paraId="2F5197C4">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3.5%</w:t>
            </w:r>
          </w:p>
        </w:tc>
        <w:tc>
          <w:tcPr>
            <w:tcW w:w="1729" w:type="dxa"/>
            <w:noWrap w:val="0"/>
            <w:vAlign w:val="center"/>
          </w:tcPr>
          <w:p w14:paraId="2BFED2E7">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3.5%</w:t>
            </w:r>
          </w:p>
        </w:tc>
      </w:tr>
      <w:tr w14:paraId="72352D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2111" w:type="dxa"/>
            <w:noWrap w:val="0"/>
            <w:vAlign w:val="center"/>
          </w:tcPr>
          <w:p w14:paraId="6FABC66C">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间接费</w:t>
            </w:r>
          </w:p>
        </w:tc>
        <w:tc>
          <w:tcPr>
            <w:tcW w:w="2017" w:type="dxa"/>
            <w:noWrap w:val="0"/>
            <w:vAlign w:val="center"/>
          </w:tcPr>
          <w:p w14:paraId="53626FFD">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firstLine="720" w:firstLineChars="3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6.5%</w:t>
            </w:r>
          </w:p>
        </w:tc>
        <w:tc>
          <w:tcPr>
            <w:tcW w:w="1795" w:type="dxa"/>
            <w:noWrap w:val="0"/>
            <w:vAlign w:val="center"/>
          </w:tcPr>
          <w:p w14:paraId="211CF2D4">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9.5%</w:t>
            </w:r>
          </w:p>
        </w:tc>
        <w:tc>
          <w:tcPr>
            <w:tcW w:w="1721" w:type="dxa"/>
            <w:noWrap w:val="0"/>
            <w:vAlign w:val="center"/>
          </w:tcPr>
          <w:p w14:paraId="028720E4">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5.7%</w:t>
            </w:r>
          </w:p>
        </w:tc>
        <w:tc>
          <w:tcPr>
            <w:tcW w:w="1729" w:type="dxa"/>
            <w:noWrap w:val="0"/>
            <w:vAlign w:val="center"/>
          </w:tcPr>
          <w:p w14:paraId="24243004">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50.0%</w:t>
            </w:r>
          </w:p>
        </w:tc>
      </w:tr>
      <w:tr w14:paraId="56D78B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2111" w:type="dxa"/>
            <w:noWrap w:val="0"/>
            <w:vAlign w:val="center"/>
          </w:tcPr>
          <w:p w14:paraId="5A6DF158">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利润</w:t>
            </w:r>
          </w:p>
        </w:tc>
        <w:tc>
          <w:tcPr>
            <w:tcW w:w="2017" w:type="dxa"/>
            <w:noWrap w:val="0"/>
            <w:vAlign w:val="center"/>
          </w:tcPr>
          <w:p w14:paraId="689A95DB">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firstLine="720" w:firstLineChars="3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5.00%</w:t>
            </w:r>
          </w:p>
        </w:tc>
        <w:tc>
          <w:tcPr>
            <w:tcW w:w="1795" w:type="dxa"/>
            <w:noWrap w:val="0"/>
            <w:vAlign w:val="center"/>
          </w:tcPr>
          <w:p w14:paraId="227964E6">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5.00%</w:t>
            </w:r>
          </w:p>
        </w:tc>
        <w:tc>
          <w:tcPr>
            <w:tcW w:w="1721" w:type="dxa"/>
            <w:noWrap w:val="0"/>
            <w:vAlign w:val="center"/>
          </w:tcPr>
          <w:p w14:paraId="4E185853">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5.00%</w:t>
            </w:r>
          </w:p>
        </w:tc>
        <w:tc>
          <w:tcPr>
            <w:tcW w:w="1729" w:type="dxa"/>
            <w:noWrap w:val="0"/>
            <w:vAlign w:val="center"/>
          </w:tcPr>
          <w:p w14:paraId="27763E6F">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5.00%</w:t>
            </w:r>
          </w:p>
        </w:tc>
      </w:tr>
      <w:tr w14:paraId="2CD09D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2111" w:type="dxa"/>
            <w:noWrap w:val="0"/>
            <w:vAlign w:val="center"/>
          </w:tcPr>
          <w:p w14:paraId="6F2ACDF6">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增值税金</w:t>
            </w:r>
          </w:p>
        </w:tc>
        <w:tc>
          <w:tcPr>
            <w:tcW w:w="2017" w:type="dxa"/>
            <w:noWrap w:val="0"/>
            <w:vAlign w:val="center"/>
          </w:tcPr>
          <w:p w14:paraId="4A541A24">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firstLine="720" w:firstLineChars="3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9.00%</w:t>
            </w:r>
          </w:p>
        </w:tc>
        <w:tc>
          <w:tcPr>
            <w:tcW w:w="1795" w:type="dxa"/>
            <w:noWrap w:val="0"/>
            <w:vAlign w:val="center"/>
          </w:tcPr>
          <w:p w14:paraId="6BE95922">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9.00%</w:t>
            </w:r>
          </w:p>
        </w:tc>
        <w:tc>
          <w:tcPr>
            <w:tcW w:w="1721" w:type="dxa"/>
            <w:noWrap w:val="0"/>
            <w:vAlign w:val="center"/>
          </w:tcPr>
          <w:p w14:paraId="3FDBF673">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9.00%</w:t>
            </w:r>
          </w:p>
        </w:tc>
        <w:tc>
          <w:tcPr>
            <w:tcW w:w="1729" w:type="dxa"/>
            <w:noWrap w:val="0"/>
            <w:vAlign w:val="center"/>
          </w:tcPr>
          <w:p w14:paraId="2C9B8BDD">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9.00%</w:t>
            </w:r>
          </w:p>
        </w:tc>
      </w:tr>
      <w:tr w14:paraId="67B6FF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2111" w:type="dxa"/>
            <w:noWrap w:val="0"/>
            <w:vAlign w:val="center"/>
          </w:tcPr>
          <w:p w14:paraId="0E1630C2">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left="0"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定额阶段系数</w:t>
            </w:r>
          </w:p>
        </w:tc>
        <w:tc>
          <w:tcPr>
            <w:tcW w:w="2017" w:type="dxa"/>
            <w:noWrap w:val="0"/>
            <w:vAlign w:val="center"/>
          </w:tcPr>
          <w:p w14:paraId="2D1CC0E6">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firstLine="720" w:firstLineChars="3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w:t>
            </w:r>
          </w:p>
        </w:tc>
        <w:tc>
          <w:tcPr>
            <w:tcW w:w="1795" w:type="dxa"/>
            <w:noWrap w:val="0"/>
            <w:vAlign w:val="center"/>
          </w:tcPr>
          <w:p w14:paraId="475F3FD0">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w:t>
            </w:r>
          </w:p>
        </w:tc>
        <w:tc>
          <w:tcPr>
            <w:tcW w:w="1721" w:type="dxa"/>
            <w:noWrap w:val="0"/>
            <w:vAlign w:val="center"/>
          </w:tcPr>
          <w:p w14:paraId="26EC8F2F">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w:t>
            </w:r>
          </w:p>
        </w:tc>
        <w:tc>
          <w:tcPr>
            <w:tcW w:w="1729" w:type="dxa"/>
            <w:noWrap w:val="0"/>
            <w:vAlign w:val="center"/>
          </w:tcPr>
          <w:p w14:paraId="5E4A78D9">
            <w:pPr>
              <w:pStyle w:val="41"/>
              <w:keepNext w:val="0"/>
              <w:keepLines w:val="0"/>
              <w:pageBreakBefore w:val="0"/>
              <w:widowControl w:val="0"/>
              <w:tabs>
                <w:tab w:val="left" w:pos="3025"/>
                <w:tab w:val="left" w:pos="3780"/>
                <w:tab w:val="left" w:pos="5040"/>
                <w:tab w:val="left" w:pos="6120"/>
              </w:tabs>
              <w:kinsoku/>
              <w:wordWrap/>
              <w:overflowPunct/>
              <w:topLinePunct w:val="0"/>
              <w:autoSpaceDE/>
              <w:autoSpaceDN/>
              <w:bidi w:val="0"/>
              <w:spacing w:line="480" w:lineRule="exact"/>
              <w:ind w:firstLine="720" w:firstLineChars="300"/>
              <w:jc w:val="both"/>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0</w:t>
            </w:r>
          </w:p>
        </w:tc>
      </w:tr>
    </w:tbl>
    <w:p w14:paraId="1445781A">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2.安全施工费按建安造价的1.6%计算。</w:t>
      </w:r>
    </w:p>
    <w:p w14:paraId="3D0B913D">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（三）工程量：根据建设单位提供的施工图纸计算。</w:t>
      </w:r>
    </w:p>
    <w:p w14:paraId="0D879D67">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 </w:t>
      </w:r>
    </w:p>
    <w:p w14:paraId="044B7AF7">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六、有关事项说明</w:t>
      </w:r>
    </w:p>
    <w:p w14:paraId="290FD50A">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1、本工程ECC抗渗材料配合比与工艺优化暂按100000元/项计入，结算时按实际发生由业主签字确认；</w:t>
      </w:r>
    </w:p>
    <w:p w14:paraId="50CFF9BD">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2、注浆加固按20000元/项计入,机械清除根系植物按30000元/项计入，投标人综合考虑报价，结算不作调整；</w:t>
      </w:r>
    </w:p>
    <w:p w14:paraId="4A144260">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3、本预算计价取定的费用、费率、材料价格或综合单价等只是预算计价，投标报价时投标人应据工程实际情况综合考虑后投标报价，结算不因具体施工方案、运距、取费、成本投入差异等调整费率、单价；</w:t>
      </w:r>
    </w:p>
    <w:p w14:paraId="572A48BE">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4、本工程施工期结束后对施工场地采取土地整治，植被恢复等措施，相关费用已包含在投标单价中，投标人根据现场实际情况综合考虑报价，结算不作调整；</w:t>
      </w:r>
    </w:p>
    <w:p w14:paraId="37A8CB79">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5、本工程施工期须按规定设置垃圾堆放点，收集生产垃圾、固体废弃物，施工结束后按规定清理，相关费用已包含在投标单价中，投标人根据现场实际情况综合考虑报价，结算不作调整；</w:t>
      </w:r>
    </w:p>
    <w:p w14:paraId="666CB471">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6、本工程以“项”为计量单位的，承包人均已在投标报价时综合考虑各方面因素，结算时均按承包人投标时的综合单价计入工程总造价，结算不作调整；</w:t>
      </w:r>
    </w:p>
    <w:p w14:paraId="2A8E6086">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7、本工程量清单子目要求各潜在投标人根据招标文件、施工图纸、项目特征内容综合报价，对没有在清单中列出的工作内容或清单描述不够详尽之处，要求各潜在投标人根据施工规范及施工图纸结合现行的定额在相应子目中综合考虑，结算时，除法律法规、行业主管部门明确规定可以调整外不作调整；</w:t>
      </w:r>
    </w:p>
    <w:p w14:paraId="385A403A">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8、施工单位必须按照发包人提供的施工图纸进行文明科学的施工，未经发包人批准，施工单位擅自对超出图纸部分内容进行施工的，发包人将不予支付该部分费用；</w:t>
      </w:r>
    </w:p>
    <w:p w14:paraId="47B6A671">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9、施工期间承包人须严格按照设计和施工规范划定施工场地，施工车辆要在划定的线路上行驶，使表土和植被的破坏降到最低；</w:t>
      </w:r>
    </w:p>
    <w:p w14:paraId="7C10EF17">
      <w:pPr>
        <w:pStyle w:val="18"/>
        <w:widowControl/>
        <w:spacing w:line="360" w:lineRule="auto"/>
        <w:ind w:firstLine="42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10、委托方应正确使用咨询报告，由于使用不当所造成的后果，与受托方无关；</w:t>
      </w:r>
    </w:p>
    <w:p w14:paraId="1069F6E2">
      <w:pPr>
        <w:pStyle w:val="18"/>
        <w:widowControl/>
        <w:spacing w:line="360" w:lineRule="auto"/>
        <w:ind w:firstLine="420"/>
        <w:jc w:val="left"/>
        <w:rPr>
          <w:rFonts w:ascii="宋体" w:hAnsi="宋体" w:cs="宋体"/>
          <w:bCs/>
          <w:color w:val="auto"/>
          <w:sz w:val="21"/>
          <w:szCs w:val="21"/>
          <w:highlight w:val="none"/>
        </w:rPr>
      </w:pPr>
      <w:r>
        <w:rPr>
          <w:rFonts w:hint="eastAsia" w:ascii="宋体" w:hAnsi="宋体" w:cs="宋体"/>
          <w:bCs/>
          <w:color w:val="auto"/>
          <w:sz w:val="21"/>
          <w:szCs w:val="21"/>
          <w:highlight w:val="none"/>
        </w:rPr>
        <w:t>11、本预算编制报告所有涉及金额计量单位均为人民币元。</w:t>
      </w:r>
    </w:p>
    <w:p w14:paraId="664800C8">
      <w:pPr>
        <w:tabs>
          <w:tab w:val="left" w:pos="8280"/>
        </w:tabs>
        <w:autoSpaceDE w:val="0"/>
        <w:autoSpaceDN w:val="0"/>
        <w:adjustRightInd w:val="0"/>
        <w:spacing w:line="360" w:lineRule="auto"/>
        <w:ind w:right="25" w:firstLine="422" w:firstLineChars="200"/>
        <w:jc w:val="left"/>
        <w:rPr>
          <w:rFonts w:ascii="宋体" w:hAnsi="宋体"/>
          <w:b/>
          <w:color w:val="auto"/>
          <w:szCs w:val="21"/>
          <w:highlight w:val="none"/>
        </w:rPr>
      </w:pPr>
      <w:r>
        <w:rPr>
          <w:rFonts w:hint="eastAsia" w:ascii="宋体" w:hAnsi="宋体"/>
          <w:b/>
          <w:color w:val="auto"/>
          <w:szCs w:val="21"/>
          <w:highlight w:val="none"/>
        </w:rPr>
        <w:t>三、商务需求</w:t>
      </w:r>
    </w:p>
    <w:p w14:paraId="3D4E5389">
      <w:pPr>
        <w:pStyle w:val="103"/>
        <w:spacing w:line="360" w:lineRule="auto"/>
        <w:ind w:firstLine="211" w:firstLineChars="100"/>
        <w:rPr>
          <w:rFonts w:ascii="宋体" w:hAnsi="宋体"/>
          <w:color w:val="auto"/>
          <w:szCs w:val="21"/>
          <w:highlight w:val="none"/>
        </w:rPr>
      </w:pPr>
      <w:r>
        <w:rPr>
          <w:rFonts w:hint="eastAsia" w:ascii="宋体" w:hAnsi="宋体"/>
          <w:b/>
          <w:bCs/>
          <w:color w:val="auto"/>
          <w:szCs w:val="21"/>
          <w:highlight w:val="none"/>
        </w:rPr>
        <w:t>1、付款条件</w:t>
      </w:r>
      <w:r>
        <w:rPr>
          <w:rFonts w:hint="eastAsia" w:ascii="宋体" w:hAnsi="宋体"/>
          <w:b/>
          <w:bCs/>
          <w:color w:val="auto"/>
          <w:szCs w:val="21"/>
          <w:highlight w:val="none"/>
          <w:lang w:val="en-US" w:eastAsia="zh-CN"/>
        </w:rPr>
        <w:t>:详见合同</w:t>
      </w:r>
      <w:r>
        <w:rPr>
          <w:rFonts w:hint="eastAsia" w:ascii="宋体" w:hAnsi="宋体"/>
          <w:b/>
          <w:color w:val="auto"/>
          <w:szCs w:val="21"/>
          <w:highlight w:val="none"/>
        </w:rPr>
        <w:t>。</w:t>
      </w:r>
    </w:p>
    <w:p w14:paraId="547E006F">
      <w:pPr>
        <w:pStyle w:val="103"/>
        <w:spacing w:line="360" w:lineRule="auto"/>
        <w:ind w:firstLine="211" w:firstLineChars="100"/>
        <w:rPr>
          <w:rFonts w:ascii="宋体" w:hAnsi="宋体"/>
          <w:color w:val="auto"/>
          <w:szCs w:val="21"/>
          <w:highlight w:val="none"/>
        </w:rPr>
      </w:pPr>
      <w:r>
        <w:rPr>
          <w:rFonts w:hint="eastAsia" w:ascii="宋体" w:hAnsi="宋体"/>
          <w:b/>
          <w:bCs/>
          <w:color w:val="auto"/>
          <w:szCs w:val="21"/>
          <w:highlight w:val="none"/>
        </w:rPr>
        <w:t>2、履约保证金：</w:t>
      </w:r>
      <w:r>
        <w:rPr>
          <w:rFonts w:hint="eastAsia" w:ascii="宋体" w:hAnsi="宋体"/>
          <w:color w:val="auto"/>
          <w:szCs w:val="21"/>
          <w:highlight w:val="none"/>
        </w:rPr>
        <w:t>中标人须提交合同总价</w:t>
      </w:r>
      <w:r>
        <w:rPr>
          <w:rFonts w:hint="eastAsia" w:ascii="宋体" w:hAnsi="宋体"/>
          <w:color w:val="auto"/>
          <w:szCs w:val="21"/>
          <w:highlight w:val="none"/>
          <w:lang w:val="en-US" w:eastAsia="zh-CN"/>
        </w:rPr>
        <w:t>0.8</w:t>
      </w:r>
      <w:r>
        <w:rPr>
          <w:rFonts w:hint="eastAsia" w:ascii="宋体" w:hAnsi="宋体"/>
          <w:color w:val="auto"/>
          <w:szCs w:val="21"/>
          <w:highlight w:val="none"/>
        </w:rPr>
        <w:t>%的履约保证金，履约保证金可以用银行保函、保险机构保证保险保单和融资担保公司保函或现金。如合同履行期间中标人出现违约责任的，从履约保证金中扣除相应金额。履约保证金如为现金的，在完工验收结束后，十个工作日内无息退还。</w:t>
      </w:r>
    </w:p>
    <w:p w14:paraId="6BEB3A20">
      <w:pPr>
        <w:pStyle w:val="20"/>
        <w:widowControl/>
        <w:tabs>
          <w:tab w:val="left" w:pos="0"/>
          <w:tab w:val="left" w:pos="1260"/>
          <w:tab w:val="left" w:pos="1365"/>
        </w:tabs>
        <w:spacing w:line="360" w:lineRule="auto"/>
        <w:ind w:left="0" w:leftChars="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3、发包人向承包人支付的一切费用，承包人不得移作他用。发包人和监理工程师有权对此进行监督，如承包人抽走用于本工程的资金，且影响了工程的实施，按承包人违约处理。</w:t>
      </w:r>
    </w:p>
    <w:p w14:paraId="0C87C610">
      <w:pPr>
        <w:tabs>
          <w:tab w:val="left" w:pos="8280"/>
        </w:tabs>
        <w:autoSpaceDE w:val="0"/>
        <w:autoSpaceDN w:val="0"/>
        <w:adjustRightInd w:val="0"/>
        <w:spacing w:line="360" w:lineRule="auto"/>
        <w:ind w:right="25" w:firstLine="422" w:firstLineChars="200"/>
        <w:jc w:val="left"/>
        <w:rPr>
          <w:rFonts w:hint="default"/>
          <w:b/>
          <w:bCs/>
          <w:sz w:val="28"/>
          <w:szCs w:val="28"/>
          <w:highlight w:val="none"/>
          <w:lang w:val="en-US" w:eastAsia="zh-CN"/>
        </w:rPr>
      </w:pPr>
      <w:r>
        <w:rPr>
          <w:rFonts w:hint="eastAsia" w:ascii="宋体" w:hAnsi="宋体"/>
          <w:b/>
          <w:color w:val="auto"/>
          <w:szCs w:val="21"/>
          <w:highlight w:val="none"/>
          <w:lang w:val="en-US" w:eastAsia="zh-CN"/>
        </w:rPr>
        <w:t xml:space="preserve">   四、其他</w:t>
      </w:r>
    </w:p>
    <w:p w14:paraId="7981F762">
      <w:pPr>
        <w:rPr>
          <w:rFonts w:ascii="宋体" w:hAnsi="宋体" w:cs="宋体"/>
          <w:color w:val="auto"/>
          <w:szCs w:val="21"/>
          <w:highlight w:val="none"/>
        </w:rPr>
      </w:pPr>
      <w:r>
        <w:rPr>
          <w:rFonts w:hint="eastAsia" w:ascii="宋体" w:hAnsi="宋体" w:eastAsia="宋体" w:cs="宋体"/>
          <w:b/>
          <w:bCs/>
          <w:sz w:val="28"/>
          <w:szCs w:val="28"/>
          <w:highlight w:val="none"/>
        </w:rPr>
        <w:t>▲</w:t>
      </w:r>
      <w:r>
        <w:rPr>
          <w:rFonts w:hint="eastAsia" w:ascii="宋体" w:hAnsi="宋体" w:cs="宋体"/>
          <w:b/>
          <w:bCs/>
          <w:color w:val="auto"/>
          <w:sz w:val="28"/>
          <w:szCs w:val="28"/>
          <w:highlight w:val="none"/>
        </w:rPr>
        <w:t>拟派的项目负责人具有水利水电工程专业二级及以上建造师注册证书（不含临时建造师）</w:t>
      </w:r>
      <w:r>
        <w:rPr>
          <w:rFonts w:hint="eastAsia" w:ascii="宋体" w:hAnsi="宋体" w:cs="宋体"/>
          <w:b/>
          <w:bCs/>
          <w:color w:val="auto"/>
          <w:sz w:val="28"/>
          <w:szCs w:val="28"/>
          <w:highlight w:val="none"/>
          <w:lang w:val="en-US" w:eastAsia="zh-CN"/>
        </w:rPr>
        <w:t>或具有</w:t>
      </w:r>
      <w:r>
        <w:rPr>
          <w:rFonts w:hint="eastAsia" w:cs="宋体"/>
          <w:b/>
          <w:bCs/>
          <w:color w:val="auto"/>
          <w:kern w:val="2"/>
          <w:sz w:val="28"/>
          <w:szCs w:val="28"/>
          <w:highlight w:val="none"/>
        </w:rPr>
        <w:t>文物保护工程责任工程师证书</w:t>
      </w:r>
      <w:r>
        <w:rPr>
          <w:rFonts w:hint="eastAsia" w:cs="宋体"/>
          <w:b/>
          <w:bCs/>
          <w:color w:val="auto"/>
          <w:kern w:val="2"/>
          <w:sz w:val="28"/>
          <w:szCs w:val="28"/>
          <w:highlight w:val="none"/>
          <w:lang w:eastAsia="zh-CN"/>
        </w:rPr>
        <w:t>。</w:t>
      </w:r>
      <w:r>
        <w:rPr>
          <w:rFonts w:hint="eastAsia" w:ascii="宋体" w:hAnsi="宋体" w:cs="宋体"/>
          <w:color w:val="auto"/>
          <w:szCs w:val="21"/>
          <w:highlight w:val="none"/>
        </w:rPr>
        <w:br w:type="page"/>
      </w:r>
    </w:p>
    <w:p w14:paraId="4521C0CB">
      <w:pPr>
        <w:rPr>
          <w:rFonts w:ascii="宋体" w:hAnsi="宋体" w:cs="宋体"/>
          <w:color w:val="auto"/>
          <w:highlight w:val="none"/>
        </w:rPr>
      </w:pPr>
    </w:p>
    <w:p w14:paraId="4EF4DA3B">
      <w:pPr>
        <w:numPr>
          <w:ilvl w:val="0"/>
          <w:numId w:val="6"/>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16" w:name="_Toc16486"/>
      <w:r>
        <w:rPr>
          <w:rFonts w:hint="eastAsia" w:ascii="宋体" w:hAnsi="宋体" w:cs="宋体"/>
          <w:b/>
          <w:color w:val="auto"/>
          <w:sz w:val="36"/>
          <w:szCs w:val="36"/>
          <w:highlight w:val="none"/>
        </w:rPr>
        <w:t>磋商</w:t>
      </w:r>
      <w:bookmarkEnd w:id="16"/>
    </w:p>
    <w:p w14:paraId="5914ECF0">
      <w:pPr>
        <w:pStyle w:val="23"/>
        <w:snapToGrid w:val="0"/>
        <w:spacing w:before="156" w:beforeLines="50" w:after="156" w:afterLines="50"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一、总则</w:t>
      </w:r>
    </w:p>
    <w:p w14:paraId="2BE214A5">
      <w:pPr>
        <w:pStyle w:val="23"/>
        <w:snapToGrid w:val="0"/>
        <w:spacing w:before="156"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磋商小组必须公平、公正、客观，不带任何倾向性和启发性，不得向外界透露任何与评标有关的内容；任何单位和个人不得干扰、影响评货物正常进行；磋商小组及有关工作人员不得私下与供应商接触。</w:t>
      </w:r>
    </w:p>
    <w:p w14:paraId="3CE85EFD">
      <w:pPr>
        <w:pStyle w:val="23"/>
        <w:snapToGrid w:val="0"/>
        <w:spacing w:before="156" w:beforeLines="50" w:line="360" w:lineRule="auto"/>
        <w:rPr>
          <w:rFonts w:hint="eastAsia" w:ascii="宋体" w:hAnsi="宋体" w:eastAsia="宋体" w:cs="宋体"/>
          <w:b/>
          <w:color w:val="auto"/>
          <w:sz w:val="28"/>
          <w:szCs w:val="28"/>
          <w:highlight w:val="none"/>
        </w:rPr>
      </w:pPr>
      <w:r>
        <w:rPr>
          <w:rFonts w:hint="eastAsia" w:ascii="宋体" w:hAnsi="宋体" w:eastAsia="宋体" w:cs="宋体"/>
          <w:b/>
          <w:sz w:val="28"/>
          <w:szCs w:val="28"/>
          <w:highlight w:val="none"/>
        </w:rPr>
        <w:t>二</w:t>
      </w:r>
      <w:r>
        <w:rPr>
          <w:rFonts w:hint="eastAsia" w:ascii="宋体" w:hAnsi="宋体" w:eastAsia="宋体" w:cs="宋体"/>
          <w:b/>
          <w:color w:val="auto"/>
          <w:sz w:val="28"/>
          <w:szCs w:val="28"/>
          <w:highlight w:val="none"/>
        </w:rPr>
        <w:t>、评审办法：采用综合评分法总得分为100分，其中商务与技术得分</w:t>
      </w:r>
      <w:r>
        <w:rPr>
          <w:rFonts w:hint="eastAsia"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0</w:t>
      </w:r>
      <w:r>
        <w:rPr>
          <w:rFonts w:hint="eastAsia" w:ascii="宋体" w:hAnsi="宋体" w:eastAsia="宋体" w:cs="宋体"/>
          <w:b/>
          <w:color w:val="auto"/>
          <w:sz w:val="28"/>
          <w:szCs w:val="28"/>
          <w:highlight w:val="none"/>
        </w:rPr>
        <w:t>分，价格得分</w:t>
      </w:r>
      <w:r>
        <w:rPr>
          <w:rFonts w:hint="eastAsia"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0</w:t>
      </w:r>
      <w:r>
        <w:rPr>
          <w:rFonts w:hint="eastAsia" w:ascii="宋体" w:hAnsi="宋体" w:eastAsia="宋体" w:cs="宋体"/>
          <w:b/>
          <w:color w:val="auto"/>
          <w:sz w:val="28"/>
          <w:szCs w:val="28"/>
          <w:highlight w:val="none"/>
        </w:rPr>
        <w:t>分</w:t>
      </w:r>
    </w:p>
    <w:p w14:paraId="1F1A7033">
      <w:pPr>
        <w:autoSpaceDE w:val="0"/>
        <w:autoSpaceDN w:val="0"/>
        <w:adjustRightInd w:val="0"/>
        <w:spacing w:before="156" w:line="360" w:lineRule="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（一）</w:t>
      </w:r>
      <w:r>
        <w:rPr>
          <w:rFonts w:hint="eastAsia" w:ascii="宋体" w:hAnsi="宋体" w:eastAsia="宋体" w:cs="宋体"/>
          <w:b/>
          <w:bCs/>
          <w:sz w:val="24"/>
          <w:highlight w:val="none"/>
        </w:rPr>
        <w:t>评审</w:t>
      </w:r>
      <w:r>
        <w:rPr>
          <w:rFonts w:hint="eastAsia" w:ascii="宋体" w:hAnsi="宋体" w:eastAsia="宋体" w:cs="宋体"/>
          <w:b/>
          <w:bCs/>
          <w:sz w:val="24"/>
          <w:highlight w:val="none"/>
          <w:lang w:val="zh-CN"/>
        </w:rPr>
        <w:t>要求</w:t>
      </w:r>
    </w:p>
    <w:p w14:paraId="4E337DA8">
      <w:pPr>
        <w:autoSpaceDE w:val="0"/>
        <w:autoSpaceDN w:val="0"/>
        <w:adjustRightInd w:val="0"/>
        <w:spacing w:before="156" w:line="360" w:lineRule="auto"/>
        <w:ind w:firstLine="480" w:firstLineChars="200"/>
        <w:rPr>
          <w:rFonts w:hint="eastAsia" w:ascii="宋体" w:hAnsi="宋体" w:eastAsia="宋体" w:cs="宋体"/>
          <w:b/>
          <w:bCs/>
          <w:sz w:val="24"/>
          <w:highlight w:val="none"/>
          <w:lang w:val="zh-CN"/>
        </w:rPr>
      </w:pPr>
      <w:r>
        <w:rPr>
          <w:rFonts w:hint="eastAsia" w:ascii="宋体" w:hAnsi="宋体" w:eastAsia="宋体" w:cs="宋体"/>
          <w:bCs/>
          <w:sz w:val="24"/>
          <w:highlight w:val="none"/>
          <w:lang w:val="zh-CN"/>
        </w:rPr>
        <w:t>1、</w:t>
      </w:r>
      <w:r>
        <w:rPr>
          <w:rFonts w:hint="eastAsia" w:ascii="宋体" w:hAnsi="宋体" w:eastAsia="宋体" w:cs="宋体"/>
          <w:sz w:val="24"/>
          <w:highlight w:val="none"/>
        </w:rPr>
        <w:t>磋商小组</w:t>
      </w:r>
      <w:r>
        <w:rPr>
          <w:rFonts w:hint="eastAsia" w:ascii="宋体" w:hAnsi="宋体" w:eastAsia="宋体" w:cs="宋体"/>
          <w:sz w:val="24"/>
          <w:highlight w:val="none"/>
          <w:lang w:val="zh-CN"/>
        </w:rPr>
        <w:t>将对响应文件的内容进行评审，凡响应文件实质性内容不响应磋商文件要求和关键格式不符合磋商文件规定的，经</w:t>
      </w:r>
      <w:r>
        <w:rPr>
          <w:rFonts w:hint="eastAsia" w:ascii="宋体" w:hAnsi="宋体" w:eastAsia="宋体" w:cs="宋体"/>
          <w:sz w:val="24"/>
          <w:highlight w:val="none"/>
        </w:rPr>
        <w:t>磋商小组</w:t>
      </w:r>
      <w:r>
        <w:rPr>
          <w:rFonts w:hint="eastAsia" w:ascii="宋体" w:hAnsi="宋体" w:eastAsia="宋体" w:cs="宋体"/>
          <w:sz w:val="24"/>
          <w:highlight w:val="none"/>
          <w:lang w:val="zh-CN"/>
        </w:rPr>
        <w:t>认定作为无效</w:t>
      </w:r>
      <w:r>
        <w:rPr>
          <w:rFonts w:hint="eastAsia" w:ascii="宋体" w:hAnsi="宋体" w:eastAsia="宋体" w:cs="宋体"/>
          <w:sz w:val="24"/>
          <w:highlight w:val="none"/>
        </w:rPr>
        <w:t>响应</w:t>
      </w:r>
      <w:r>
        <w:rPr>
          <w:rFonts w:hint="eastAsia" w:ascii="宋体" w:hAnsi="宋体" w:eastAsia="宋体" w:cs="宋体"/>
          <w:sz w:val="24"/>
          <w:highlight w:val="none"/>
          <w:lang w:val="zh-CN"/>
        </w:rPr>
        <w:t>处理。</w:t>
      </w:r>
      <w:r>
        <w:rPr>
          <w:rFonts w:hint="eastAsia" w:ascii="宋体" w:hAnsi="宋体" w:eastAsia="宋体" w:cs="宋体"/>
          <w:sz w:val="24"/>
          <w:highlight w:val="none"/>
        </w:rPr>
        <w:t>磋商小组</w:t>
      </w:r>
      <w:r>
        <w:rPr>
          <w:rFonts w:hint="eastAsia" w:ascii="宋体" w:hAnsi="宋体" w:eastAsia="宋体" w:cs="宋体"/>
          <w:sz w:val="24"/>
          <w:highlight w:val="none"/>
          <w:lang w:val="zh-CN"/>
        </w:rPr>
        <w:t>经过审标、询标，在对各供应商及其响应文件进行充分分析、评议的基础上进行打分</w:t>
      </w:r>
      <w:r>
        <w:rPr>
          <w:rFonts w:hint="eastAsia" w:ascii="宋体" w:hAnsi="宋体" w:eastAsia="宋体" w:cs="宋体"/>
          <w:sz w:val="24"/>
          <w:highlight w:val="none"/>
        </w:rPr>
        <w:t>。</w:t>
      </w:r>
    </w:p>
    <w:p w14:paraId="001DD934">
      <w:pPr>
        <w:autoSpaceDE w:val="0"/>
        <w:autoSpaceDN w:val="0"/>
        <w:adjustRightInd w:val="0"/>
        <w:spacing w:before="156"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2、总得分为100分。在规定的分值范围内由评委自行评定打分。</w:t>
      </w:r>
    </w:p>
    <w:p w14:paraId="2F536B88">
      <w:pPr>
        <w:autoSpaceDE w:val="0"/>
        <w:autoSpaceDN w:val="0"/>
        <w:adjustRightInd w:val="0"/>
        <w:spacing w:before="156"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3、根据评委打分累计后再取平均分作为供应商的最终得分。</w:t>
      </w:r>
    </w:p>
    <w:p w14:paraId="7E4A41B6">
      <w:pPr>
        <w:autoSpaceDE w:val="0"/>
        <w:autoSpaceDN w:val="0"/>
        <w:adjustRightInd w:val="0"/>
        <w:spacing w:before="156"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4、所有计算结果小数点后保留2位，第3位四舍五入。</w:t>
      </w:r>
    </w:p>
    <w:p w14:paraId="7EDA7362">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（二）评标</w:t>
      </w:r>
    </w:p>
    <w:p w14:paraId="44F4DA0B">
      <w:pPr>
        <w:spacing w:after="156" w:afterLines="50" w:line="360" w:lineRule="auto"/>
        <w:ind w:firstLine="236" w:firstLineChars="98"/>
        <w:rPr>
          <w:rFonts w:hint="eastAsia" w:ascii="宋体" w:hAnsi="宋体" w:eastAsia="宋体" w:cs="宋体"/>
          <w:sz w:val="24"/>
          <w:highlight w:val="none"/>
        </w:rPr>
      </w:pPr>
      <w:r>
        <w:rPr>
          <w:rFonts w:hint="eastAsia" w:ascii="宋体" w:hAnsi="宋体" w:eastAsia="宋体" w:cs="宋体"/>
          <w:b/>
          <w:sz w:val="24"/>
          <w:highlight w:val="none"/>
        </w:rPr>
        <w:t>1、响应文件符合性评审</w:t>
      </w:r>
    </w:p>
    <w:p w14:paraId="375F1D9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磋商小组首先对符合资格的响应供应商的响应文件进行符合性审查，以确定其是否满足磋商文件的实质性要求。如果响应文件实质上不响应磋商文件要求，磋商小组将按无效响应处理。</w:t>
      </w:r>
    </w:p>
    <w:p w14:paraId="58770103">
      <w:pPr>
        <w:spacing w:after="156" w:afterLines="50"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  2、商务技术响应文件评审</w:t>
      </w:r>
    </w:p>
    <w:p w14:paraId="659D9BB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磋商小组应当按照磋商文件中规定的评审方法和标准，对符合性审查合格的响应文件进行商务和技术评价与评分。评标时，磋商小组各成员将独立对每个响应供应商的响应文件进行评价，并汇总每个响应供应商的得分。</w:t>
      </w:r>
    </w:p>
    <w:p w14:paraId="7E25E0F2">
      <w:pPr>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2.2商务与技术得分计算方法如下</w:t>
      </w:r>
      <w:r>
        <w:rPr>
          <w:rFonts w:hint="eastAsia" w:ascii="宋体" w:hAnsi="宋体" w:eastAsia="宋体" w:cs="宋体"/>
          <w:sz w:val="24"/>
          <w:highlight w:val="none"/>
        </w:rPr>
        <w:t xml:space="preserve">： </w:t>
      </w:r>
    </w:p>
    <w:p w14:paraId="4A834B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①商务与技术评定</w:t>
      </w:r>
      <w:r>
        <w:rPr>
          <w:rFonts w:hint="eastAsia" w:ascii="宋体" w:hAnsi="宋体" w:eastAsia="宋体" w:cs="宋体"/>
          <w:color w:val="auto"/>
          <w:sz w:val="24"/>
          <w:highlight w:val="none"/>
        </w:rPr>
        <w:t>分值为</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p>
    <w:p w14:paraId="5713B5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②磋商小组按评分标准（详见表）中的内容，对各供应商的商务技术响应文件进行评审打分，合计得出各供应商的技术得分。</w:t>
      </w:r>
    </w:p>
    <w:p w14:paraId="434591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③各供应商的商务与技术得分由评委自行评议，商务与技术得分评分的最终得分为所有评委评分的平均值。</w:t>
      </w:r>
    </w:p>
    <w:p w14:paraId="2FC12AE3">
      <w:pPr>
        <w:numPr>
          <w:ilvl w:val="0"/>
          <w:numId w:val="10"/>
        </w:numPr>
        <w:autoSpaceDE w:val="0"/>
        <w:autoSpaceDN w:val="0"/>
        <w:adjustRightInd w:val="0"/>
        <w:ind w:right="85" w:firstLine="422" w:firstLineChars="200"/>
        <w:rPr>
          <w:rFonts w:ascii="宋体" w:hAnsi="宋体"/>
          <w:b/>
          <w:bCs/>
          <w:color w:val="auto"/>
          <w:szCs w:val="21"/>
          <w:highlight w:val="none"/>
        </w:rPr>
      </w:pPr>
      <w:r>
        <w:rPr>
          <w:rFonts w:hint="eastAsia" w:ascii="宋体" w:hAnsi="宋体"/>
          <w:b/>
          <w:bCs/>
          <w:color w:val="auto"/>
          <w:szCs w:val="21"/>
          <w:highlight w:val="none"/>
        </w:rPr>
        <w:t>评分标准</w:t>
      </w:r>
    </w:p>
    <w:tbl>
      <w:tblPr>
        <w:tblStyle w:val="42"/>
        <w:tblpPr w:leftFromText="180" w:rightFromText="180" w:vertAnchor="text" w:horzAnchor="page" w:tblpX="1194" w:tblpY="360"/>
        <w:tblOverlap w:val="never"/>
        <w:tblW w:w="48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385"/>
        <w:gridCol w:w="6819"/>
        <w:gridCol w:w="823"/>
      </w:tblGrid>
      <w:tr w14:paraId="1F97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93" w:type="pct"/>
            <w:tcBorders>
              <w:top w:val="single" w:color="auto" w:sz="4" w:space="0"/>
              <w:left w:val="single" w:color="auto" w:sz="4" w:space="0"/>
              <w:bottom w:val="single" w:color="auto" w:sz="4" w:space="0"/>
              <w:right w:val="single" w:color="auto" w:sz="4" w:space="0"/>
            </w:tcBorders>
            <w:vAlign w:val="center"/>
          </w:tcPr>
          <w:p w14:paraId="0CD7DCBB">
            <w:pPr>
              <w:spacing w:line="288" w:lineRule="auto"/>
              <w:jc w:val="center"/>
              <w:rPr>
                <w:rFonts w:ascii="宋体" w:hAnsi="宋体" w:cs="宋体"/>
                <w:color w:val="auto"/>
                <w:szCs w:val="21"/>
                <w:highlight w:val="none"/>
              </w:rPr>
            </w:pPr>
            <w:r>
              <w:rPr>
                <w:rFonts w:hint="eastAsia" w:ascii="宋体" w:hAnsi="宋体" w:cs="宋体"/>
                <w:b/>
                <w:color w:val="auto"/>
                <w:szCs w:val="21"/>
                <w:highlight w:val="none"/>
                <w:lang w:bidi="ar"/>
              </w:rPr>
              <w:t>序号</w:t>
            </w:r>
          </w:p>
        </w:tc>
        <w:tc>
          <w:tcPr>
            <w:tcW w:w="722" w:type="pct"/>
            <w:tcBorders>
              <w:top w:val="single" w:color="auto" w:sz="4" w:space="0"/>
              <w:left w:val="single" w:color="auto" w:sz="4" w:space="0"/>
              <w:bottom w:val="single" w:color="auto" w:sz="4" w:space="0"/>
              <w:right w:val="single" w:color="auto" w:sz="4" w:space="0"/>
            </w:tcBorders>
            <w:vAlign w:val="center"/>
          </w:tcPr>
          <w:p w14:paraId="2D22A5C8">
            <w:pPr>
              <w:spacing w:line="288" w:lineRule="auto"/>
              <w:jc w:val="center"/>
              <w:rPr>
                <w:rFonts w:ascii="宋体" w:hAnsi="宋体" w:cs="宋体"/>
                <w:color w:val="auto"/>
                <w:szCs w:val="21"/>
                <w:highlight w:val="none"/>
              </w:rPr>
            </w:pPr>
            <w:r>
              <w:rPr>
                <w:rFonts w:hint="eastAsia" w:ascii="宋体" w:hAnsi="宋体" w:cs="宋体"/>
                <w:b/>
                <w:color w:val="auto"/>
                <w:szCs w:val="21"/>
                <w:highlight w:val="none"/>
                <w:lang w:bidi="ar"/>
              </w:rPr>
              <w:t>评审内容</w:t>
            </w:r>
          </w:p>
        </w:tc>
        <w:tc>
          <w:tcPr>
            <w:tcW w:w="3556" w:type="pct"/>
            <w:tcBorders>
              <w:top w:val="single" w:color="auto" w:sz="4" w:space="0"/>
              <w:left w:val="single" w:color="auto" w:sz="4" w:space="0"/>
              <w:bottom w:val="single" w:color="auto" w:sz="4" w:space="0"/>
              <w:right w:val="single" w:color="auto" w:sz="4" w:space="0"/>
            </w:tcBorders>
            <w:vAlign w:val="center"/>
          </w:tcPr>
          <w:p w14:paraId="6CC40AEE">
            <w:pPr>
              <w:spacing w:line="288" w:lineRule="auto"/>
              <w:jc w:val="center"/>
              <w:rPr>
                <w:rFonts w:ascii="宋体" w:hAnsi="宋体" w:cs="宋体"/>
                <w:color w:val="auto"/>
                <w:szCs w:val="21"/>
                <w:highlight w:val="none"/>
              </w:rPr>
            </w:pPr>
            <w:r>
              <w:rPr>
                <w:rFonts w:hint="eastAsia" w:ascii="宋体" w:hAnsi="宋体" w:cs="宋体"/>
                <w:b/>
                <w:color w:val="auto"/>
                <w:szCs w:val="21"/>
                <w:highlight w:val="none"/>
                <w:lang w:bidi="ar"/>
              </w:rPr>
              <w:t>评分细则</w:t>
            </w:r>
          </w:p>
        </w:tc>
        <w:tc>
          <w:tcPr>
            <w:tcW w:w="428" w:type="pct"/>
            <w:tcBorders>
              <w:top w:val="single" w:color="auto" w:sz="4" w:space="0"/>
              <w:left w:val="single" w:color="auto" w:sz="4" w:space="0"/>
              <w:bottom w:val="single" w:color="auto" w:sz="4" w:space="0"/>
              <w:right w:val="single" w:color="auto" w:sz="4" w:space="0"/>
            </w:tcBorders>
            <w:vAlign w:val="center"/>
          </w:tcPr>
          <w:p w14:paraId="0D024165">
            <w:pPr>
              <w:spacing w:line="288" w:lineRule="auto"/>
              <w:jc w:val="center"/>
              <w:rPr>
                <w:rFonts w:ascii="宋体" w:hAnsi="宋体" w:cs="宋体"/>
                <w:color w:val="auto"/>
                <w:szCs w:val="21"/>
                <w:highlight w:val="none"/>
              </w:rPr>
            </w:pPr>
            <w:r>
              <w:rPr>
                <w:rFonts w:hint="eastAsia" w:ascii="宋体" w:hAnsi="宋体" w:cs="宋体"/>
                <w:b/>
                <w:color w:val="auto"/>
                <w:szCs w:val="21"/>
                <w:highlight w:val="none"/>
                <w:lang w:bidi="ar"/>
              </w:rPr>
              <w:t>分值</w:t>
            </w:r>
          </w:p>
        </w:tc>
      </w:tr>
      <w:tr w14:paraId="3BCA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93" w:type="pct"/>
            <w:tcBorders>
              <w:top w:val="single" w:color="auto" w:sz="4" w:space="0"/>
              <w:left w:val="single" w:color="auto" w:sz="4" w:space="0"/>
              <w:bottom w:val="single" w:color="auto" w:sz="4" w:space="0"/>
              <w:right w:val="single" w:color="auto" w:sz="4" w:space="0"/>
            </w:tcBorders>
            <w:vAlign w:val="center"/>
          </w:tcPr>
          <w:p w14:paraId="10ECE4E4">
            <w:pPr>
              <w:spacing w:line="288" w:lineRule="auto"/>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1</w:t>
            </w:r>
          </w:p>
        </w:tc>
        <w:tc>
          <w:tcPr>
            <w:tcW w:w="722" w:type="pct"/>
            <w:tcBorders>
              <w:top w:val="single" w:color="auto" w:sz="4" w:space="0"/>
              <w:left w:val="single" w:color="auto" w:sz="4" w:space="0"/>
              <w:bottom w:val="single" w:color="auto" w:sz="4" w:space="0"/>
              <w:right w:val="single" w:color="auto" w:sz="4" w:space="0"/>
            </w:tcBorders>
            <w:vAlign w:val="center"/>
          </w:tcPr>
          <w:p w14:paraId="1B6A0C8A">
            <w:pPr>
              <w:spacing w:line="288"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企业类似业绩</w:t>
            </w:r>
          </w:p>
        </w:tc>
        <w:tc>
          <w:tcPr>
            <w:tcW w:w="3556" w:type="pct"/>
            <w:tcBorders>
              <w:top w:val="single" w:color="auto" w:sz="4" w:space="0"/>
              <w:left w:val="single" w:color="auto" w:sz="4" w:space="0"/>
              <w:bottom w:val="single" w:color="auto" w:sz="4" w:space="0"/>
              <w:right w:val="single" w:color="auto" w:sz="4" w:space="0"/>
            </w:tcBorders>
            <w:vAlign w:val="center"/>
          </w:tcPr>
          <w:p w14:paraId="6F10AE10">
            <w:pPr>
              <w:pStyle w:val="38"/>
              <w:widowControl w:val="0"/>
              <w:spacing w:before="0" w:beforeAutospacing="0" w:after="0" w:afterAutospacing="0" w:line="300" w:lineRule="exact"/>
              <w:ind w:firstLine="420" w:firstLineChars="200"/>
              <w:jc w:val="both"/>
              <w:rPr>
                <w:rFonts w:cs="宋体"/>
                <w:color w:val="auto"/>
                <w:sz w:val="21"/>
                <w:szCs w:val="21"/>
                <w:highlight w:val="none"/>
              </w:rPr>
            </w:pPr>
            <w:r>
              <w:rPr>
                <w:rFonts w:cs="宋体"/>
                <w:color w:val="auto"/>
                <w:sz w:val="21"/>
                <w:szCs w:val="21"/>
                <w:highlight w:val="none"/>
              </w:rPr>
              <w:t>投标人</w:t>
            </w:r>
            <w:r>
              <w:rPr>
                <w:rFonts w:hint="eastAsia" w:cs="宋体"/>
                <w:color w:val="auto"/>
                <w:sz w:val="21"/>
                <w:szCs w:val="21"/>
                <w:highlight w:val="none"/>
                <w:lang w:eastAsia="zh-CN"/>
              </w:rPr>
              <w:t>（</w:t>
            </w:r>
            <w:r>
              <w:rPr>
                <w:rFonts w:hint="eastAsia" w:cs="宋体"/>
                <w:color w:val="auto"/>
                <w:sz w:val="21"/>
                <w:szCs w:val="21"/>
                <w:highlight w:val="none"/>
                <w:lang w:val="en-US" w:eastAsia="zh-CN"/>
              </w:rPr>
              <w:t>联合体投标的任意一方提供的均认可</w:t>
            </w:r>
            <w:r>
              <w:rPr>
                <w:rFonts w:hint="eastAsia" w:cs="宋体"/>
                <w:color w:val="auto"/>
                <w:sz w:val="21"/>
                <w:szCs w:val="21"/>
                <w:highlight w:val="none"/>
                <w:lang w:eastAsia="zh-CN"/>
              </w:rPr>
              <w:t>）</w:t>
            </w:r>
            <w:r>
              <w:rPr>
                <w:rFonts w:cs="宋体"/>
                <w:color w:val="auto"/>
                <w:sz w:val="21"/>
                <w:szCs w:val="21"/>
                <w:highlight w:val="none"/>
              </w:rPr>
              <w:t>自2021年1月1日（含）以来（以合同签订时间为准）具有类似</w:t>
            </w:r>
            <w:r>
              <w:rPr>
                <w:rFonts w:hint="eastAsia" w:cs="宋体"/>
                <w:color w:val="auto"/>
                <w:sz w:val="21"/>
                <w:szCs w:val="21"/>
                <w:highlight w:val="none"/>
              </w:rPr>
              <w:t>文保修缮业绩</w:t>
            </w:r>
            <w:r>
              <w:rPr>
                <w:rFonts w:cs="宋体"/>
                <w:color w:val="auto"/>
                <w:sz w:val="21"/>
                <w:szCs w:val="21"/>
                <w:highlight w:val="none"/>
              </w:rPr>
              <w:t>的每个得</w:t>
            </w:r>
            <w:r>
              <w:rPr>
                <w:rFonts w:hint="eastAsia" w:cs="宋体"/>
                <w:color w:val="auto"/>
                <w:sz w:val="21"/>
                <w:szCs w:val="21"/>
                <w:highlight w:val="none"/>
                <w:lang w:val="en-US" w:eastAsia="zh-CN"/>
              </w:rPr>
              <w:t>1</w:t>
            </w:r>
            <w:r>
              <w:rPr>
                <w:rFonts w:cs="宋体"/>
                <w:color w:val="auto"/>
                <w:sz w:val="21"/>
                <w:szCs w:val="21"/>
                <w:highlight w:val="none"/>
              </w:rPr>
              <w:t>分，最多得</w:t>
            </w:r>
            <w:r>
              <w:rPr>
                <w:rFonts w:hint="eastAsia" w:cs="宋体"/>
                <w:color w:val="auto"/>
                <w:sz w:val="21"/>
                <w:szCs w:val="21"/>
                <w:highlight w:val="none"/>
                <w:lang w:val="en-US" w:eastAsia="zh-CN"/>
              </w:rPr>
              <w:t>1</w:t>
            </w:r>
            <w:r>
              <w:rPr>
                <w:rFonts w:cs="宋体"/>
                <w:color w:val="auto"/>
                <w:sz w:val="21"/>
                <w:szCs w:val="21"/>
                <w:highlight w:val="none"/>
              </w:rPr>
              <w:t>分。</w:t>
            </w:r>
          </w:p>
          <w:p w14:paraId="4931F3B5">
            <w:pPr>
              <w:adjustRightInd/>
              <w:spacing w:line="480" w:lineRule="exact"/>
              <w:contextualSpacing/>
              <w:rPr>
                <w:rFonts w:hint="default" w:cs="宋体"/>
                <w:b/>
                <w:color w:val="auto"/>
                <w:kern w:val="2"/>
                <w:sz w:val="21"/>
                <w:szCs w:val="21"/>
                <w:highlight w:val="none"/>
                <w:lang w:bidi="ar"/>
              </w:rPr>
            </w:pPr>
            <w:r>
              <w:rPr>
                <w:rFonts w:hint="eastAsia" w:ascii="宋体" w:hAnsi="宋体" w:eastAsia="宋体" w:cs="宋体"/>
                <w:color w:val="auto"/>
                <w:kern w:val="0"/>
                <w:sz w:val="21"/>
                <w:szCs w:val="21"/>
                <w:highlight w:val="none"/>
                <w:lang w:val="en-US" w:eastAsia="zh-CN" w:bidi="ar-SA"/>
              </w:rPr>
              <w:t>（业绩证明资料：1.合同扫描件；2.</w:t>
            </w:r>
            <w:r>
              <w:rPr>
                <w:rFonts w:hint="default" w:ascii="宋体" w:hAnsi="宋体" w:eastAsia="宋体" w:cs="宋体"/>
                <w:color w:val="auto"/>
                <w:kern w:val="0"/>
                <w:sz w:val="21"/>
                <w:szCs w:val="21"/>
                <w:highlight w:val="none"/>
                <w:lang w:val="en-US" w:eastAsia="zh-CN" w:bidi="ar-SA"/>
              </w:rPr>
              <w:t>竣工验收证明资料</w:t>
            </w:r>
            <w:r>
              <w:rPr>
                <w:rFonts w:hint="eastAsia" w:ascii="宋体" w:hAnsi="宋体" w:eastAsia="宋体" w:cs="宋体"/>
                <w:color w:val="auto"/>
                <w:kern w:val="0"/>
                <w:sz w:val="21"/>
                <w:szCs w:val="21"/>
                <w:highlight w:val="none"/>
                <w:lang w:val="en-US" w:eastAsia="zh-CN" w:bidi="ar-SA"/>
              </w:rPr>
              <w:t>扫描件</w:t>
            </w:r>
            <w:r>
              <w:rPr>
                <w:rFonts w:hint="eastAsia" w:ascii="宋体" w:hAnsi="宋体" w:cs="宋体"/>
                <w:color w:val="auto"/>
                <w:kern w:val="0"/>
                <w:sz w:val="21"/>
                <w:szCs w:val="21"/>
                <w:highlight w:val="none"/>
                <w:lang w:val="en-US" w:eastAsia="zh-CN" w:bidi="ar-SA"/>
              </w:rPr>
              <w:t>；</w:t>
            </w:r>
            <w:r>
              <w:rPr>
                <w:rFonts w:hint="default" w:ascii="宋体" w:hAnsi="宋体" w:eastAsia="宋体" w:cs="宋体"/>
                <w:color w:val="auto"/>
                <w:kern w:val="0"/>
                <w:sz w:val="21"/>
                <w:szCs w:val="21"/>
                <w:highlight w:val="none"/>
                <w:lang w:val="en-US" w:eastAsia="zh-CN" w:bidi="ar-SA"/>
              </w:rPr>
              <w:t>未按要求提供的不得分</w:t>
            </w:r>
            <w:r>
              <w:rPr>
                <w:rFonts w:hint="eastAsia" w:ascii="宋体" w:hAnsi="宋体" w:eastAsia="宋体" w:cs="宋体"/>
                <w:color w:val="auto"/>
                <w:kern w:val="0"/>
                <w:sz w:val="21"/>
                <w:szCs w:val="21"/>
                <w:highlight w:val="none"/>
                <w:lang w:val="en-US" w:eastAsia="zh-CN" w:bidi="ar-SA"/>
              </w:rPr>
              <w:t>）</w:t>
            </w:r>
          </w:p>
        </w:tc>
        <w:tc>
          <w:tcPr>
            <w:tcW w:w="428" w:type="pct"/>
            <w:tcBorders>
              <w:top w:val="single" w:color="auto" w:sz="4" w:space="0"/>
              <w:left w:val="single" w:color="auto" w:sz="4" w:space="0"/>
              <w:bottom w:val="single" w:color="auto" w:sz="4" w:space="0"/>
              <w:right w:val="single" w:color="auto" w:sz="4" w:space="0"/>
            </w:tcBorders>
            <w:vAlign w:val="center"/>
          </w:tcPr>
          <w:p w14:paraId="1EF35E17">
            <w:pPr>
              <w:spacing w:line="288" w:lineRule="auto"/>
              <w:jc w:val="center"/>
              <w:rPr>
                <w:rFonts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rPr>
              <w:t>分</w:t>
            </w:r>
          </w:p>
        </w:tc>
      </w:tr>
      <w:tr w14:paraId="37A2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93" w:type="pct"/>
            <w:vMerge w:val="restart"/>
            <w:tcBorders>
              <w:left w:val="single" w:color="auto" w:sz="4" w:space="0"/>
              <w:right w:val="single" w:color="auto" w:sz="4" w:space="0"/>
            </w:tcBorders>
            <w:vAlign w:val="center"/>
          </w:tcPr>
          <w:p w14:paraId="0D9152C0">
            <w:pPr>
              <w:spacing w:line="288" w:lineRule="auto"/>
              <w:jc w:val="center"/>
              <w:rPr>
                <w:rFonts w:ascii="宋体" w:hAnsi="宋体" w:cs="宋体"/>
                <w:bCs/>
                <w:color w:val="auto"/>
                <w:szCs w:val="21"/>
                <w:highlight w:val="none"/>
                <w:lang w:bidi="ar"/>
              </w:rPr>
            </w:pPr>
            <w:r>
              <w:rPr>
                <w:rFonts w:ascii="宋体" w:hAnsi="宋体" w:cs="宋体"/>
                <w:bCs/>
                <w:color w:val="auto"/>
                <w:szCs w:val="21"/>
                <w:highlight w:val="none"/>
                <w:lang w:bidi="ar"/>
              </w:rPr>
              <w:t>2</w:t>
            </w:r>
          </w:p>
        </w:tc>
        <w:tc>
          <w:tcPr>
            <w:tcW w:w="722" w:type="pct"/>
            <w:vMerge w:val="restart"/>
            <w:tcBorders>
              <w:left w:val="single" w:color="auto" w:sz="4" w:space="0"/>
              <w:right w:val="single" w:color="auto" w:sz="4" w:space="0"/>
            </w:tcBorders>
            <w:vAlign w:val="center"/>
          </w:tcPr>
          <w:p w14:paraId="308695F9">
            <w:pPr>
              <w:pStyle w:val="106"/>
              <w:spacing w:line="288" w:lineRule="auto"/>
              <w:jc w:val="center"/>
              <w:rPr>
                <w:color w:val="auto"/>
                <w:sz w:val="21"/>
                <w:szCs w:val="21"/>
                <w:highlight w:val="none"/>
              </w:rPr>
            </w:pPr>
            <w:r>
              <w:rPr>
                <w:color w:val="auto"/>
                <w:sz w:val="21"/>
                <w:szCs w:val="21"/>
                <w:highlight w:val="none"/>
              </w:rPr>
              <w:t>项目组成员</w:t>
            </w:r>
          </w:p>
        </w:tc>
        <w:tc>
          <w:tcPr>
            <w:tcW w:w="3556" w:type="pct"/>
            <w:tcBorders>
              <w:top w:val="single" w:color="auto" w:sz="4" w:space="0"/>
              <w:left w:val="single" w:color="auto" w:sz="4" w:space="0"/>
              <w:bottom w:val="single" w:color="auto" w:sz="4" w:space="0"/>
              <w:right w:val="single" w:color="auto" w:sz="4" w:space="0"/>
            </w:tcBorders>
            <w:vAlign w:val="center"/>
          </w:tcPr>
          <w:p w14:paraId="2F5D0DED">
            <w:pPr>
              <w:pStyle w:val="38"/>
              <w:widowControl w:val="0"/>
              <w:spacing w:before="0" w:beforeAutospacing="0" w:after="0" w:afterAutospacing="0" w:line="300" w:lineRule="exact"/>
              <w:jc w:val="both"/>
              <w:rPr>
                <w:rFonts w:hint="eastAsia" w:cs="宋体"/>
                <w:color w:val="auto"/>
                <w:sz w:val="21"/>
                <w:szCs w:val="21"/>
                <w:highlight w:val="none"/>
                <w:lang w:eastAsia="zh-CN"/>
              </w:rPr>
            </w:pPr>
            <w:r>
              <w:rPr>
                <w:rFonts w:cs="宋体"/>
                <w:color w:val="auto"/>
                <w:sz w:val="21"/>
                <w:szCs w:val="21"/>
                <w:highlight w:val="none"/>
              </w:rPr>
              <w:t>拟派项目</w:t>
            </w:r>
            <w:r>
              <w:rPr>
                <w:rFonts w:hint="eastAsia" w:cs="宋体"/>
                <w:color w:val="auto"/>
                <w:sz w:val="21"/>
                <w:szCs w:val="21"/>
                <w:highlight w:val="none"/>
                <w:lang w:val="en-US" w:eastAsia="zh-CN"/>
              </w:rPr>
              <w:t>人员（除项目负责人，联合体投标的任意一方提供的均认可）</w:t>
            </w:r>
            <w:r>
              <w:rPr>
                <w:rFonts w:cs="宋体"/>
                <w:color w:val="auto"/>
                <w:sz w:val="21"/>
                <w:szCs w:val="21"/>
                <w:highlight w:val="none"/>
              </w:rPr>
              <w:t>具有具备持有文物保护工程从业人员上岗证</w:t>
            </w:r>
            <w:r>
              <w:rPr>
                <w:rFonts w:hint="eastAsia" w:cs="宋体"/>
                <w:color w:val="auto"/>
                <w:sz w:val="21"/>
                <w:szCs w:val="21"/>
                <w:highlight w:val="none"/>
                <w:lang w:val="en-US" w:eastAsia="zh-CN"/>
              </w:rPr>
              <w:t>或建造师（水利水电专业）二级及以上，每个得1分，最高得3分</w:t>
            </w:r>
            <w:r>
              <w:rPr>
                <w:rFonts w:hint="eastAsia" w:cs="宋体"/>
                <w:color w:val="auto"/>
                <w:sz w:val="21"/>
                <w:szCs w:val="21"/>
                <w:highlight w:val="none"/>
                <w:lang w:eastAsia="zh-CN"/>
              </w:rPr>
              <w:t>；</w:t>
            </w:r>
          </w:p>
          <w:p w14:paraId="7488FA0E">
            <w:pPr>
              <w:pStyle w:val="38"/>
              <w:widowControl w:val="0"/>
              <w:spacing w:before="0" w:beforeAutospacing="0" w:after="0" w:afterAutospacing="0" w:line="300" w:lineRule="exact"/>
              <w:jc w:val="both"/>
              <w:rPr>
                <w:rFonts w:hint="default" w:cs="宋体"/>
                <w:b/>
                <w:color w:val="auto"/>
                <w:sz w:val="21"/>
                <w:szCs w:val="21"/>
                <w:highlight w:val="none"/>
              </w:rPr>
            </w:pPr>
            <w:r>
              <w:rPr>
                <w:rFonts w:cs="宋体"/>
                <w:b/>
                <w:color w:val="auto"/>
                <w:sz w:val="21"/>
                <w:szCs w:val="21"/>
                <w:highlight w:val="none"/>
              </w:rPr>
              <w:t>（提供证书扫描件加盖公章，且须提供上述人员由社保部门出具的开标时间前连续三个月在本单位社保缴纳证明）</w:t>
            </w:r>
          </w:p>
        </w:tc>
        <w:tc>
          <w:tcPr>
            <w:tcW w:w="428" w:type="pct"/>
            <w:tcBorders>
              <w:top w:val="single" w:color="auto" w:sz="4" w:space="0"/>
              <w:left w:val="single" w:color="auto" w:sz="4" w:space="0"/>
              <w:bottom w:val="single" w:color="auto" w:sz="4" w:space="0"/>
              <w:right w:val="single" w:color="auto" w:sz="4" w:space="0"/>
            </w:tcBorders>
            <w:vAlign w:val="center"/>
          </w:tcPr>
          <w:p w14:paraId="0ED01EE9">
            <w:pPr>
              <w:pStyle w:val="106"/>
              <w:spacing w:line="288" w:lineRule="auto"/>
              <w:jc w:val="center"/>
              <w:rPr>
                <w:color w:val="auto"/>
                <w:sz w:val="21"/>
                <w:szCs w:val="21"/>
                <w:highlight w:val="none"/>
                <w:lang w:val="en-US" w:eastAsia="zh-CN"/>
              </w:rPr>
            </w:pPr>
            <w:r>
              <w:rPr>
                <w:rFonts w:hint="eastAsia"/>
                <w:color w:val="auto"/>
                <w:sz w:val="21"/>
                <w:szCs w:val="21"/>
                <w:highlight w:val="none"/>
                <w:lang w:val="en-US" w:eastAsia="zh-CN"/>
              </w:rPr>
              <w:t>3分</w:t>
            </w:r>
          </w:p>
        </w:tc>
      </w:tr>
      <w:tr w14:paraId="24AB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00" w:type="pct"/>
            <w:gridSpan w:val="4"/>
            <w:tcBorders>
              <w:left w:val="single" w:color="auto" w:sz="4" w:space="0"/>
              <w:right w:val="single" w:color="auto" w:sz="4" w:space="0"/>
            </w:tcBorders>
            <w:vAlign w:val="center"/>
          </w:tcPr>
          <w:p w14:paraId="42235C0B">
            <w:pPr>
              <w:pStyle w:val="106"/>
              <w:spacing w:line="288" w:lineRule="auto"/>
              <w:jc w:val="center"/>
              <w:rPr>
                <w:b/>
                <w:color w:val="auto"/>
                <w:sz w:val="21"/>
                <w:szCs w:val="21"/>
                <w:highlight w:val="none"/>
                <w:lang w:val="en-US" w:eastAsia="zh-CN"/>
              </w:rPr>
            </w:pPr>
            <w:r>
              <w:rPr>
                <w:b/>
                <w:color w:val="auto"/>
                <w:sz w:val="21"/>
                <w:szCs w:val="21"/>
                <w:highlight w:val="none"/>
              </w:rPr>
              <w:t>施工组织设计</w:t>
            </w:r>
          </w:p>
        </w:tc>
      </w:tr>
      <w:tr w14:paraId="085B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93" w:type="pct"/>
            <w:vMerge w:val="restart"/>
            <w:tcBorders>
              <w:left w:val="single" w:color="auto" w:sz="4" w:space="0"/>
              <w:right w:val="single" w:color="auto" w:sz="4" w:space="0"/>
            </w:tcBorders>
            <w:vAlign w:val="center"/>
          </w:tcPr>
          <w:p w14:paraId="294FEF5D">
            <w:pPr>
              <w:pStyle w:val="38"/>
              <w:widowControl w:val="0"/>
              <w:spacing w:before="0" w:beforeAutospacing="0" w:after="0" w:afterAutospacing="0" w:line="288" w:lineRule="auto"/>
              <w:ind w:firstLine="210" w:firstLineChars="100"/>
              <w:jc w:val="both"/>
              <w:rPr>
                <w:rFonts w:hint="default" w:cs="宋体"/>
                <w:color w:val="auto"/>
                <w:sz w:val="21"/>
                <w:szCs w:val="21"/>
                <w:highlight w:val="none"/>
              </w:rPr>
            </w:pPr>
            <w:r>
              <w:rPr>
                <w:rFonts w:cs="宋体"/>
                <w:color w:val="auto"/>
                <w:sz w:val="21"/>
                <w:szCs w:val="21"/>
                <w:highlight w:val="none"/>
              </w:rPr>
              <w:t xml:space="preserve">3 </w:t>
            </w:r>
          </w:p>
        </w:tc>
        <w:tc>
          <w:tcPr>
            <w:tcW w:w="722" w:type="pct"/>
            <w:vMerge w:val="restart"/>
            <w:tcBorders>
              <w:left w:val="single" w:color="auto" w:sz="4" w:space="0"/>
              <w:right w:val="single" w:color="auto" w:sz="4" w:space="0"/>
            </w:tcBorders>
            <w:vAlign w:val="center"/>
          </w:tcPr>
          <w:p w14:paraId="05532D95">
            <w:pPr>
              <w:pStyle w:val="38"/>
              <w:widowControl w:val="0"/>
              <w:spacing w:before="0" w:beforeAutospacing="0" w:after="0" w:afterAutospacing="0" w:line="288" w:lineRule="auto"/>
              <w:jc w:val="center"/>
              <w:rPr>
                <w:rFonts w:hint="default" w:cs="宋体"/>
                <w:color w:val="auto"/>
                <w:sz w:val="21"/>
                <w:szCs w:val="21"/>
                <w:highlight w:val="none"/>
              </w:rPr>
            </w:pPr>
            <w:r>
              <w:rPr>
                <w:rFonts w:cs="宋体"/>
                <w:color w:val="auto"/>
                <w:sz w:val="21"/>
                <w:szCs w:val="21"/>
                <w:highlight w:val="none"/>
              </w:rPr>
              <w:t>总体方案</w:t>
            </w:r>
          </w:p>
        </w:tc>
        <w:tc>
          <w:tcPr>
            <w:tcW w:w="3556" w:type="pct"/>
            <w:tcBorders>
              <w:top w:val="single" w:color="auto" w:sz="4" w:space="0"/>
              <w:left w:val="single" w:color="auto" w:sz="4" w:space="0"/>
              <w:bottom w:val="single" w:color="auto" w:sz="4" w:space="0"/>
              <w:right w:val="single" w:color="auto" w:sz="4" w:space="0"/>
            </w:tcBorders>
            <w:vAlign w:val="center"/>
          </w:tcPr>
          <w:p w14:paraId="13083B0A">
            <w:pPr>
              <w:pStyle w:val="38"/>
              <w:widowControl w:val="0"/>
              <w:spacing w:before="0" w:beforeAutospacing="0" w:after="0" w:afterAutospacing="0" w:line="300" w:lineRule="exact"/>
              <w:jc w:val="both"/>
              <w:rPr>
                <w:rFonts w:hint="default" w:cs="宋体"/>
                <w:color w:val="auto"/>
                <w:sz w:val="21"/>
                <w:szCs w:val="21"/>
                <w:highlight w:val="none"/>
              </w:rPr>
            </w:pPr>
            <w:r>
              <w:rPr>
                <w:rFonts w:cs="宋体"/>
                <w:color w:val="auto"/>
                <w:sz w:val="21"/>
                <w:szCs w:val="21"/>
                <w:highlight w:val="none"/>
              </w:rPr>
              <w:t>总体施工方案的针对性、全面性、合理性（结合本项目的实际情况详细描述），根据项目实际，分析是否科学合理、可行。</w:t>
            </w:r>
          </w:p>
        </w:tc>
        <w:tc>
          <w:tcPr>
            <w:tcW w:w="428" w:type="pct"/>
            <w:tcBorders>
              <w:top w:val="single" w:color="auto" w:sz="4" w:space="0"/>
              <w:left w:val="single" w:color="auto" w:sz="4" w:space="0"/>
              <w:bottom w:val="single" w:color="auto" w:sz="4" w:space="0"/>
              <w:right w:val="single" w:color="auto" w:sz="4" w:space="0"/>
            </w:tcBorders>
            <w:vAlign w:val="center"/>
          </w:tcPr>
          <w:p w14:paraId="144F5EE4">
            <w:pPr>
              <w:pStyle w:val="106"/>
              <w:spacing w:line="288" w:lineRule="auto"/>
              <w:ind w:firstLine="0" w:firstLineChars="0"/>
              <w:jc w:val="both"/>
              <w:rPr>
                <w:color w:val="auto"/>
                <w:sz w:val="21"/>
                <w:szCs w:val="21"/>
                <w:highlight w:val="none"/>
                <w:lang w:val="en-US" w:eastAsia="zh-CN"/>
              </w:rPr>
            </w:pPr>
            <w:r>
              <w:rPr>
                <w:rFonts w:hint="eastAsia"/>
                <w:color w:val="auto"/>
                <w:sz w:val="21"/>
                <w:szCs w:val="21"/>
                <w:highlight w:val="none"/>
                <w:lang w:val="en-US" w:eastAsia="zh-CN"/>
              </w:rPr>
              <w:t>0-6</w:t>
            </w:r>
            <w:r>
              <w:rPr>
                <w:rFonts w:hint="eastAsia"/>
                <w:color w:val="auto"/>
                <w:sz w:val="21"/>
                <w:szCs w:val="21"/>
                <w:highlight w:val="none"/>
              </w:rPr>
              <w:t>分</w:t>
            </w:r>
          </w:p>
        </w:tc>
      </w:tr>
      <w:tr w14:paraId="4A83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3" w:type="pct"/>
            <w:vMerge w:val="continue"/>
            <w:tcBorders>
              <w:left w:val="single" w:color="auto" w:sz="4" w:space="0"/>
              <w:right w:val="single" w:color="auto" w:sz="4" w:space="0"/>
            </w:tcBorders>
            <w:vAlign w:val="center"/>
          </w:tcPr>
          <w:p w14:paraId="35FBF13E">
            <w:pPr>
              <w:pStyle w:val="38"/>
              <w:widowControl w:val="0"/>
              <w:spacing w:before="0" w:beforeAutospacing="0" w:after="0" w:afterAutospacing="0" w:line="288" w:lineRule="auto"/>
              <w:ind w:firstLine="210" w:firstLineChars="100"/>
              <w:jc w:val="both"/>
              <w:rPr>
                <w:rFonts w:hint="default" w:cs="宋体"/>
                <w:color w:val="auto"/>
                <w:sz w:val="21"/>
                <w:szCs w:val="21"/>
                <w:highlight w:val="none"/>
              </w:rPr>
            </w:pPr>
          </w:p>
        </w:tc>
        <w:tc>
          <w:tcPr>
            <w:tcW w:w="722" w:type="pct"/>
            <w:vMerge w:val="continue"/>
            <w:tcBorders>
              <w:left w:val="single" w:color="auto" w:sz="4" w:space="0"/>
              <w:right w:val="single" w:color="auto" w:sz="4" w:space="0"/>
            </w:tcBorders>
            <w:vAlign w:val="center"/>
          </w:tcPr>
          <w:p w14:paraId="551B1BFE">
            <w:pPr>
              <w:pStyle w:val="38"/>
              <w:widowControl w:val="0"/>
              <w:spacing w:before="0" w:beforeAutospacing="0" w:after="0" w:afterAutospacing="0" w:line="288" w:lineRule="auto"/>
              <w:jc w:val="center"/>
              <w:rPr>
                <w:rFonts w:hint="default" w:cs="宋体"/>
                <w:color w:val="auto"/>
                <w:sz w:val="21"/>
                <w:szCs w:val="21"/>
                <w:highlight w:val="none"/>
              </w:rPr>
            </w:pPr>
          </w:p>
        </w:tc>
        <w:tc>
          <w:tcPr>
            <w:tcW w:w="3556" w:type="pct"/>
            <w:tcBorders>
              <w:top w:val="single" w:color="auto" w:sz="4" w:space="0"/>
              <w:left w:val="single" w:color="auto" w:sz="4" w:space="0"/>
              <w:bottom w:val="single" w:color="auto" w:sz="4" w:space="0"/>
              <w:right w:val="single" w:color="auto" w:sz="4" w:space="0"/>
            </w:tcBorders>
            <w:vAlign w:val="center"/>
          </w:tcPr>
          <w:p w14:paraId="3F2F56EA">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根据总体施工方案的先进性情况，进行综合评定</w:t>
            </w:r>
            <w:r>
              <w:rPr>
                <w:rFonts w:hint="eastAsia" w:cs="宋体"/>
                <w:color w:val="auto"/>
                <w:sz w:val="21"/>
                <w:szCs w:val="21"/>
                <w:highlight w:val="none"/>
                <w:lang w:eastAsia="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5DA3B260">
            <w:pPr>
              <w:pStyle w:val="106"/>
              <w:spacing w:line="288" w:lineRule="auto"/>
              <w:ind w:firstLine="0" w:firstLineChars="0"/>
              <w:jc w:val="both"/>
              <w:rPr>
                <w:color w:val="auto"/>
                <w:sz w:val="21"/>
                <w:szCs w:val="21"/>
                <w:highlight w:val="none"/>
                <w:lang w:val="en-US" w:eastAsia="zh-CN"/>
              </w:rPr>
            </w:pPr>
            <w:r>
              <w:rPr>
                <w:rFonts w:hint="eastAsia"/>
                <w:color w:val="auto"/>
                <w:sz w:val="21"/>
                <w:szCs w:val="21"/>
                <w:highlight w:val="none"/>
                <w:lang w:val="en-US" w:eastAsia="zh-CN"/>
              </w:rPr>
              <w:t>0-5分</w:t>
            </w:r>
          </w:p>
        </w:tc>
      </w:tr>
      <w:tr w14:paraId="2A23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3" w:type="pct"/>
            <w:tcBorders>
              <w:left w:val="single" w:color="auto" w:sz="4" w:space="0"/>
              <w:right w:val="single" w:color="auto" w:sz="4" w:space="0"/>
            </w:tcBorders>
            <w:vAlign w:val="center"/>
          </w:tcPr>
          <w:p w14:paraId="387F29E8">
            <w:pPr>
              <w:spacing w:line="288" w:lineRule="auto"/>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4</w:t>
            </w:r>
          </w:p>
        </w:tc>
        <w:tc>
          <w:tcPr>
            <w:tcW w:w="722" w:type="pct"/>
            <w:tcBorders>
              <w:left w:val="single" w:color="auto" w:sz="4" w:space="0"/>
              <w:right w:val="single" w:color="auto" w:sz="4" w:space="0"/>
            </w:tcBorders>
            <w:vAlign w:val="center"/>
          </w:tcPr>
          <w:p w14:paraId="02719730">
            <w:pPr>
              <w:pStyle w:val="38"/>
              <w:widowControl w:val="0"/>
              <w:spacing w:before="0" w:beforeAutospacing="0" w:after="0" w:afterAutospacing="0" w:line="288" w:lineRule="auto"/>
              <w:jc w:val="center"/>
              <w:rPr>
                <w:rFonts w:hint="default" w:cs="宋体"/>
                <w:color w:val="auto"/>
                <w:sz w:val="21"/>
                <w:szCs w:val="21"/>
                <w:highlight w:val="none"/>
              </w:rPr>
            </w:pPr>
            <w:r>
              <w:rPr>
                <w:rFonts w:cs="宋体"/>
                <w:color w:val="auto"/>
                <w:sz w:val="21"/>
                <w:szCs w:val="21"/>
                <w:highlight w:val="none"/>
              </w:rPr>
              <w:t>工程质量</w:t>
            </w:r>
          </w:p>
        </w:tc>
        <w:tc>
          <w:tcPr>
            <w:tcW w:w="3556" w:type="pct"/>
            <w:tcBorders>
              <w:top w:val="single" w:color="auto" w:sz="4" w:space="0"/>
              <w:left w:val="single" w:color="auto" w:sz="4" w:space="0"/>
              <w:bottom w:val="single" w:color="auto" w:sz="4" w:space="0"/>
              <w:right w:val="single" w:color="auto" w:sz="4" w:space="0"/>
            </w:tcBorders>
            <w:vAlign w:val="center"/>
          </w:tcPr>
          <w:p w14:paraId="30EBE02D">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施工质量目标明确，质量控制措施科学、合理，且有技术支撑的</w:t>
            </w:r>
            <w:r>
              <w:rPr>
                <w:rFonts w:hint="eastAsia" w:cs="宋体"/>
                <w:color w:val="auto"/>
                <w:sz w:val="21"/>
                <w:szCs w:val="21"/>
                <w:highlight w:val="none"/>
                <w:lang w:val="en-US" w:eastAsia="zh-CN"/>
              </w:rPr>
              <w:t>进行综合评定。</w:t>
            </w:r>
          </w:p>
        </w:tc>
        <w:tc>
          <w:tcPr>
            <w:tcW w:w="428" w:type="pct"/>
            <w:tcBorders>
              <w:top w:val="single" w:color="auto" w:sz="4" w:space="0"/>
              <w:left w:val="single" w:color="auto" w:sz="4" w:space="0"/>
              <w:bottom w:val="single" w:color="auto" w:sz="4" w:space="0"/>
              <w:right w:val="single" w:color="auto" w:sz="4" w:space="0"/>
            </w:tcBorders>
            <w:vAlign w:val="center"/>
          </w:tcPr>
          <w:p w14:paraId="3DDF24F0">
            <w:pPr>
              <w:pStyle w:val="38"/>
              <w:widowControl w:val="0"/>
              <w:spacing w:before="0" w:beforeAutospacing="0" w:after="0" w:afterAutospacing="0" w:line="288" w:lineRule="auto"/>
              <w:jc w:val="center"/>
              <w:rPr>
                <w:rFonts w:hint="default" w:cs="宋体"/>
                <w:color w:val="auto"/>
                <w:sz w:val="21"/>
                <w:szCs w:val="21"/>
                <w:highlight w:val="none"/>
              </w:rPr>
            </w:pPr>
            <w:r>
              <w:rPr>
                <w:rFonts w:hint="eastAsia" w:cs="宋体"/>
                <w:color w:val="auto"/>
                <w:kern w:val="2"/>
                <w:sz w:val="21"/>
                <w:szCs w:val="21"/>
                <w:highlight w:val="none"/>
                <w:lang w:val="en-US" w:eastAsia="zh-CN" w:bidi="ar"/>
              </w:rPr>
              <w:t>0-5</w:t>
            </w:r>
            <w:r>
              <w:rPr>
                <w:rFonts w:cs="宋体"/>
                <w:color w:val="auto"/>
                <w:sz w:val="21"/>
                <w:szCs w:val="21"/>
                <w:highlight w:val="none"/>
              </w:rPr>
              <w:t>分</w:t>
            </w:r>
          </w:p>
        </w:tc>
      </w:tr>
      <w:tr w14:paraId="5A86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3" w:type="pct"/>
            <w:vMerge w:val="restart"/>
            <w:tcBorders>
              <w:left w:val="single" w:color="auto" w:sz="4" w:space="0"/>
              <w:right w:val="single" w:color="auto" w:sz="4" w:space="0"/>
            </w:tcBorders>
            <w:vAlign w:val="center"/>
          </w:tcPr>
          <w:p w14:paraId="5E5DE1C6">
            <w:pPr>
              <w:spacing w:line="288" w:lineRule="auto"/>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5</w:t>
            </w:r>
          </w:p>
        </w:tc>
        <w:tc>
          <w:tcPr>
            <w:tcW w:w="722" w:type="pct"/>
            <w:vMerge w:val="restart"/>
            <w:tcBorders>
              <w:left w:val="single" w:color="auto" w:sz="4" w:space="0"/>
              <w:right w:val="single" w:color="auto" w:sz="4" w:space="0"/>
            </w:tcBorders>
            <w:vAlign w:val="center"/>
          </w:tcPr>
          <w:p w14:paraId="21B8C44D">
            <w:pPr>
              <w:pStyle w:val="35"/>
              <w:spacing w:after="0" w:line="288" w:lineRule="auto"/>
              <w:ind w:left="0" w:leftChars="0"/>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w:t>
            </w:r>
          </w:p>
        </w:tc>
        <w:tc>
          <w:tcPr>
            <w:tcW w:w="3556" w:type="pct"/>
            <w:tcBorders>
              <w:top w:val="single" w:color="auto" w:sz="4" w:space="0"/>
              <w:left w:val="single" w:color="auto" w:sz="4" w:space="0"/>
              <w:bottom w:val="single" w:color="auto" w:sz="4" w:space="0"/>
              <w:right w:val="single" w:color="auto" w:sz="4" w:space="0"/>
            </w:tcBorders>
            <w:vAlign w:val="center"/>
          </w:tcPr>
          <w:p w14:paraId="223B684E">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根据投标人提供的施工进度计划管理制度及施工进度计划横道图进行</w:t>
            </w:r>
            <w:r>
              <w:rPr>
                <w:rFonts w:hint="eastAsia" w:cs="宋体"/>
                <w:color w:val="auto"/>
                <w:sz w:val="21"/>
                <w:szCs w:val="21"/>
                <w:highlight w:val="none"/>
                <w:lang w:val="en-US" w:eastAsia="zh-CN"/>
              </w:rPr>
              <w:t>综合评定</w:t>
            </w:r>
            <w:r>
              <w:rPr>
                <w:rFonts w:cs="宋体"/>
                <w:color w:val="auto"/>
                <w:sz w:val="21"/>
                <w:szCs w:val="21"/>
                <w:highlight w:val="none"/>
              </w:rPr>
              <w:t>。</w:t>
            </w:r>
          </w:p>
        </w:tc>
        <w:tc>
          <w:tcPr>
            <w:tcW w:w="428" w:type="pct"/>
            <w:tcBorders>
              <w:top w:val="single" w:color="auto" w:sz="4" w:space="0"/>
              <w:left w:val="single" w:color="auto" w:sz="4" w:space="0"/>
              <w:bottom w:val="single" w:color="auto" w:sz="4" w:space="0"/>
              <w:right w:val="single" w:color="auto" w:sz="4" w:space="0"/>
            </w:tcBorders>
            <w:vAlign w:val="center"/>
          </w:tcPr>
          <w:p w14:paraId="239AA3B1">
            <w:pPr>
              <w:pStyle w:val="38"/>
              <w:widowControl w:val="0"/>
              <w:spacing w:before="0" w:beforeAutospacing="0" w:after="0" w:afterAutospacing="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0-5</w:t>
            </w:r>
            <w:r>
              <w:rPr>
                <w:rFonts w:cs="宋体"/>
                <w:color w:val="auto"/>
                <w:kern w:val="2"/>
                <w:sz w:val="21"/>
                <w:szCs w:val="21"/>
                <w:highlight w:val="none"/>
                <w:lang w:bidi="ar"/>
              </w:rPr>
              <w:t>分</w:t>
            </w:r>
          </w:p>
        </w:tc>
      </w:tr>
      <w:tr w14:paraId="3694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93" w:type="pct"/>
            <w:vMerge w:val="continue"/>
            <w:tcBorders>
              <w:left w:val="single" w:color="auto" w:sz="4" w:space="0"/>
              <w:right w:val="single" w:color="auto" w:sz="4" w:space="0"/>
            </w:tcBorders>
            <w:vAlign w:val="center"/>
          </w:tcPr>
          <w:p w14:paraId="5BC83E5D">
            <w:pPr>
              <w:spacing w:line="288" w:lineRule="auto"/>
              <w:jc w:val="center"/>
              <w:rPr>
                <w:rFonts w:ascii="宋体" w:hAnsi="宋体" w:cs="宋体"/>
                <w:bCs/>
                <w:color w:val="auto"/>
                <w:szCs w:val="21"/>
                <w:highlight w:val="none"/>
                <w:lang w:bidi="ar"/>
              </w:rPr>
            </w:pPr>
          </w:p>
        </w:tc>
        <w:tc>
          <w:tcPr>
            <w:tcW w:w="722" w:type="pct"/>
            <w:vMerge w:val="continue"/>
            <w:tcBorders>
              <w:left w:val="single" w:color="auto" w:sz="4" w:space="0"/>
              <w:right w:val="single" w:color="auto" w:sz="4" w:space="0"/>
            </w:tcBorders>
            <w:vAlign w:val="center"/>
          </w:tcPr>
          <w:p w14:paraId="370223C3">
            <w:pPr>
              <w:pStyle w:val="35"/>
              <w:spacing w:after="0" w:line="288" w:lineRule="auto"/>
              <w:ind w:left="0" w:leftChars="0"/>
              <w:jc w:val="center"/>
              <w:rPr>
                <w:rFonts w:ascii="宋体" w:hAnsi="宋体" w:eastAsia="宋体" w:cs="宋体"/>
                <w:color w:val="auto"/>
                <w:kern w:val="0"/>
                <w:sz w:val="21"/>
                <w:szCs w:val="21"/>
                <w:highlight w:val="none"/>
              </w:rPr>
            </w:pPr>
          </w:p>
        </w:tc>
        <w:tc>
          <w:tcPr>
            <w:tcW w:w="3556" w:type="pct"/>
            <w:tcBorders>
              <w:top w:val="single" w:color="auto" w:sz="4" w:space="0"/>
              <w:left w:val="single" w:color="auto" w:sz="4" w:space="0"/>
              <w:bottom w:val="single" w:color="auto" w:sz="4" w:space="0"/>
              <w:right w:val="single" w:color="auto" w:sz="4" w:space="0"/>
            </w:tcBorders>
            <w:vAlign w:val="center"/>
          </w:tcPr>
          <w:p w14:paraId="406543B9">
            <w:pPr>
              <w:pStyle w:val="38"/>
              <w:widowControl w:val="0"/>
              <w:spacing w:before="0" w:after="0" w:line="288" w:lineRule="auto"/>
              <w:jc w:val="both"/>
              <w:rPr>
                <w:rFonts w:hint="default" w:cs="宋体"/>
                <w:color w:val="auto"/>
                <w:sz w:val="21"/>
                <w:szCs w:val="21"/>
                <w:highlight w:val="none"/>
              </w:rPr>
            </w:pPr>
            <w:r>
              <w:rPr>
                <w:rFonts w:cs="宋体"/>
                <w:color w:val="auto"/>
                <w:sz w:val="21"/>
                <w:szCs w:val="21"/>
                <w:highlight w:val="none"/>
              </w:rPr>
              <w:t>施工工期、总进度计划及保证措施安排完善合理，各主要施工工序应有详细周密的劳动力安排计划进行</w:t>
            </w:r>
            <w:r>
              <w:rPr>
                <w:rFonts w:hint="eastAsia" w:cs="宋体"/>
                <w:color w:val="auto"/>
                <w:sz w:val="21"/>
                <w:szCs w:val="21"/>
                <w:highlight w:val="none"/>
                <w:lang w:val="en-US" w:eastAsia="zh-CN"/>
              </w:rPr>
              <w:t>综合评定</w:t>
            </w:r>
            <w:r>
              <w:rPr>
                <w:rFonts w:cs="宋体"/>
                <w:color w:val="auto"/>
                <w:sz w:val="21"/>
                <w:szCs w:val="21"/>
                <w:highlight w:val="none"/>
              </w:rPr>
              <w:t>。</w:t>
            </w:r>
          </w:p>
        </w:tc>
        <w:tc>
          <w:tcPr>
            <w:tcW w:w="428" w:type="pct"/>
            <w:tcBorders>
              <w:top w:val="single" w:color="auto" w:sz="4" w:space="0"/>
              <w:left w:val="single" w:color="auto" w:sz="4" w:space="0"/>
              <w:bottom w:val="single" w:color="auto" w:sz="4" w:space="0"/>
              <w:right w:val="single" w:color="auto" w:sz="4" w:space="0"/>
            </w:tcBorders>
            <w:vAlign w:val="center"/>
          </w:tcPr>
          <w:p w14:paraId="33EBF4A9">
            <w:pPr>
              <w:pStyle w:val="38"/>
              <w:widowControl w:val="0"/>
              <w:spacing w:before="0" w:after="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w:t>
            </w:r>
            <w:r>
              <w:rPr>
                <w:rFonts w:cs="宋体"/>
                <w:color w:val="auto"/>
                <w:kern w:val="2"/>
                <w:sz w:val="21"/>
                <w:szCs w:val="21"/>
                <w:highlight w:val="none"/>
                <w:lang w:bidi="ar"/>
              </w:rPr>
              <w:t>5分</w:t>
            </w:r>
          </w:p>
        </w:tc>
      </w:tr>
      <w:tr w14:paraId="740C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3" w:type="pct"/>
            <w:vMerge w:val="restart"/>
            <w:tcBorders>
              <w:left w:val="single" w:color="auto" w:sz="4" w:space="0"/>
              <w:right w:val="single" w:color="auto" w:sz="4" w:space="0"/>
            </w:tcBorders>
            <w:vAlign w:val="center"/>
          </w:tcPr>
          <w:p w14:paraId="6C0838A9">
            <w:pPr>
              <w:spacing w:line="288" w:lineRule="auto"/>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6</w:t>
            </w:r>
          </w:p>
        </w:tc>
        <w:tc>
          <w:tcPr>
            <w:tcW w:w="722" w:type="pct"/>
            <w:vMerge w:val="restart"/>
            <w:tcBorders>
              <w:left w:val="single" w:color="auto" w:sz="4" w:space="0"/>
              <w:right w:val="single" w:color="auto" w:sz="4" w:space="0"/>
            </w:tcBorders>
            <w:vAlign w:val="center"/>
          </w:tcPr>
          <w:p w14:paraId="76C8A098">
            <w:pPr>
              <w:pStyle w:val="38"/>
              <w:widowControl w:val="0"/>
              <w:spacing w:before="0" w:beforeAutospacing="0" w:after="0" w:afterAutospacing="0" w:line="288" w:lineRule="auto"/>
              <w:jc w:val="center"/>
              <w:rPr>
                <w:rFonts w:hint="default" w:cs="宋体"/>
                <w:color w:val="auto"/>
                <w:sz w:val="21"/>
                <w:szCs w:val="21"/>
                <w:highlight w:val="none"/>
              </w:rPr>
            </w:pPr>
            <w:r>
              <w:rPr>
                <w:rFonts w:cs="宋体"/>
                <w:color w:val="auto"/>
                <w:sz w:val="21"/>
                <w:szCs w:val="21"/>
                <w:highlight w:val="none"/>
              </w:rPr>
              <w:t>环境</w:t>
            </w:r>
            <w:r>
              <w:rPr>
                <w:rFonts w:hint="default" w:cs="宋体"/>
                <w:color w:val="auto"/>
                <w:sz w:val="21"/>
                <w:szCs w:val="21"/>
                <w:highlight w:val="none"/>
              </w:rPr>
              <w:t>保护措施、</w:t>
            </w:r>
            <w:r>
              <w:rPr>
                <w:rFonts w:cs="宋体"/>
                <w:color w:val="auto"/>
                <w:sz w:val="21"/>
                <w:szCs w:val="21"/>
                <w:highlight w:val="none"/>
              </w:rPr>
              <w:t>安全文明施工保证</w:t>
            </w:r>
            <w:r>
              <w:rPr>
                <w:rFonts w:hint="default" w:cs="宋体"/>
                <w:color w:val="auto"/>
                <w:sz w:val="21"/>
                <w:szCs w:val="21"/>
                <w:highlight w:val="none"/>
              </w:rPr>
              <w:t>措施</w:t>
            </w:r>
          </w:p>
        </w:tc>
        <w:tc>
          <w:tcPr>
            <w:tcW w:w="3556" w:type="pct"/>
            <w:tcBorders>
              <w:top w:val="single" w:color="auto" w:sz="4" w:space="0"/>
              <w:left w:val="single" w:color="auto" w:sz="4" w:space="0"/>
              <w:bottom w:val="single" w:color="auto" w:sz="4" w:space="0"/>
              <w:right w:val="single" w:color="auto" w:sz="4" w:space="0"/>
            </w:tcBorders>
            <w:vAlign w:val="center"/>
          </w:tcPr>
          <w:p w14:paraId="0FC81102">
            <w:pPr>
              <w:pStyle w:val="38"/>
              <w:widowControl w:val="0"/>
              <w:spacing w:before="0" w:after="0" w:line="288" w:lineRule="auto"/>
              <w:jc w:val="both"/>
              <w:rPr>
                <w:rFonts w:hint="default" w:cs="宋体"/>
                <w:color w:val="auto"/>
                <w:sz w:val="21"/>
                <w:szCs w:val="21"/>
                <w:highlight w:val="none"/>
              </w:rPr>
            </w:pPr>
            <w:r>
              <w:rPr>
                <w:rFonts w:cs="宋体"/>
                <w:color w:val="auto"/>
                <w:sz w:val="21"/>
                <w:szCs w:val="21"/>
                <w:highlight w:val="none"/>
              </w:rPr>
              <w:t>按照安全文明施工要求，对施工场地周边围挡的响应承诺，对人员管理的措施进行</w:t>
            </w:r>
            <w:r>
              <w:rPr>
                <w:rFonts w:hint="eastAsia" w:cs="宋体"/>
                <w:color w:val="auto"/>
                <w:sz w:val="21"/>
                <w:szCs w:val="21"/>
                <w:highlight w:val="none"/>
                <w:lang w:val="en-US" w:eastAsia="zh-CN"/>
              </w:rPr>
              <w:t>综合评定</w:t>
            </w:r>
            <w:r>
              <w:rPr>
                <w:rFonts w:cs="宋体"/>
                <w:color w:val="auto"/>
                <w:sz w:val="21"/>
                <w:szCs w:val="21"/>
                <w:highlight w:val="none"/>
              </w:rPr>
              <w:t>。</w:t>
            </w:r>
          </w:p>
        </w:tc>
        <w:tc>
          <w:tcPr>
            <w:tcW w:w="428" w:type="pct"/>
            <w:tcBorders>
              <w:top w:val="single" w:color="auto" w:sz="4" w:space="0"/>
              <w:left w:val="single" w:color="auto" w:sz="4" w:space="0"/>
              <w:right w:val="single" w:color="auto" w:sz="4" w:space="0"/>
            </w:tcBorders>
            <w:vAlign w:val="center"/>
          </w:tcPr>
          <w:p w14:paraId="009A044F">
            <w:pPr>
              <w:pStyle w:val="38"/>
              <w:widowControl w:val="0"/>
              <w:spacing w:before="0" w:beforeAutospacing="0" w:after="0" w:afterAutospacing="0" w:line="288" w:lineRule="auto"/>
              <w:jc w:val="center"/>
              <w:rPr>
                <w:rFonts w:hint="default" w:cs="宋体"/>
                <w:color w:val="auto"/>
                <w:sz w:val="21"/>
                <w:szCs w:val="21"/>
                <w:highlight w:val="none"/>
              </w:rPr>
            </w:pPr>
            <w:r>
              <w:rPr>
                <w:rFonts w:hint="eastAsia" w:cs="宋体"/>
                <w:color w:val="auto"/>
                <w:kern w:val="2"/>
                <w:sz w:val="21"/>
                <w:szCs w:val="21"/>
                <w:highlight w:val="none"/>
                <w:lang w:val="en-US" w:eastAsia="zh-CN" w:bidi="ar"/>
              </w:rPr>
              <w:t>0-5</w:t>
            </w:r>
            <w:r>
              <w:rPr>
                <w:rFonts w:cs="宋体"/>
                <w:color w:val="auto"/>
                <w:sz w:val="21"/>
                <w:szCs w:val="21"/>
                <w:highlight w:val="none"/>
              </w:rPr>
              <w:t>分</w:t>
            </w:r>
          </w:p>
        </w:tc>
      </w:tr>
      <w:tr w14:paraId="7AD1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3" w:type="pct"/>
            <w:vMerge w:val="continue"/>
            <w:tcBorders>
              <w:left w:val="single" w:color="auto" w:sz="4" w:space="0"/>
              <w:right w:val="single" w:color="auto" w:sz="4" w:space="0"/>
            </w:tcBorders>
            <w:vAlign w:val="center"/>
          </w:tcPr>
          <w:p w14:paraId="5B0A894D">
            <w:pPr>
              <w:spacing w:line="288" w:lineRule="auto"/>
              <w:jc w:val="center"/>
              <w:rPr>
                <w:rFonts w:ascii="宋体" w:hAnsi="宋体" w:cs="宋体"/>
                <w:bCs/>
                <w:color w:val="auto"/>
                <w:szCs w:val="21"/>
                <w:highlight w:val="none"/>
                <w:lang w:bidi="ar"/>
              </w:rPr>
            </w:pPr>
          </w:p>
        </w:tc>
        <w:tc>
          <w:tcPr>
            <w:tcW w:w="722" w:type="pct"/>
            <w:vMerge w:val="continue"/>
            <w:tcBorders>
              <w:left w:val="single" w:color="auto" w:sz="4" w:space="0"/>
              <w:right w:val="single" w:color="auto" w:sz="4" w:space="0"/>
            </w:tcBorders>
            <w:vAlign w:val="center"/>
          </w:tcPr>
          <w:p w14:paraId="14FB8EDF">
            <w:pPr>
              <w:pStyle w:val="38"/>
              <w:widowControl w:val="0"/>
              <w:spacing w:before="0" w:beforeAutospacing="0" w:after="0" w:afterAutospacing="0" w:line="288" w:lineRule="auto"/>
              <w:jc w:val="center"/>
              <w:rPr>
                <w:rFonts w:hint="default" w:cs="宋体"/>
                <w:color w:val="auto"/>
                <w:sz w:val="21"/>
                <w:szCs w:val="21"/>
                <w:highlight w:val="none"/>
              </w:rPr>
            </w:pPr>
          </w:p>
        </w:tc>
        <w:tc>
          <w:tcPr>
            <w:tcW w:w="3556" w:type="pct"/>
            <w:tcBorders>
              <w:top w:val="single" w:color="auto" w:sz="4" w:space="0"/>
              <w:left w:val="single" w:color="auto" w:sz="4" w:space="0"/>
              <w:bottom w:val="single" w:color="auto" w:sz="4" w:space="0"/>
              <w:right w:val="single" w:color="auto" w:sz="4" w:space="0"/>
            </w:tcBorders>
            <w:vAlign w:val="center"/>
          </w:tcPr>
          <w:p w14:paraId="7C8F3A54">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施工现场的降噪措施合理、具有可操作性，进行</w:t>
            </w:r>
            <w:r>
              <w:rPr>
                <w:rFonts w:hint="eastAsia" w:cs="宋体"/>
                <w:color w:val="auto"/>
                <w:sz w:val="21"/>
                <w:szCs w:val="21"/>
                <w:highlight w:val="none"/>
                <w:lang w:val="en-US" w:eastAsia="zh-CN"/>
              </w:rPr>
              <w:t>综合评定</w:t>
            </w:r>
            <w:r>
              <w:rPr>
                <w:rFonts w:cs="宋体"/>
                <w:color w:val="auto"/>
                <w:sz w:val="21"/>
                <w:szCs w:val="21"/>
                <w:highlight w:val="none"/>
              </w:rPr>
              <w:t>。</w:t>
            </w:r>
          </w:p>
        </w:tc>
        <w:tc>
          <w:tcPr>
            <w:tcW w:w="428" w:type="pct"/>
            <w:tcBorders>
              <w:left w:val="single" w:color="auto" w:sz="4" w:space="0"/>
              <w:bottom w:val="single" w:color="auto" w:sz="4" w:space="0"/>
              <w:right w:val="single" w:color="auto" w:sz="4" w:space="0"/>
            </w:tcBorders>
            <w:vAlign w:val="center"/>
          </w:tcPr>
          <w:p w14:paraId="3DA87160">
            <w:pPr>
              <w:pStyle w:val="38"/>
              <w:widowControl w:val="0"/>
              <w:spacing w:before="0" w:after="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0-5</w:t>
            </w:r>
            <w:r>
              <w:rPr>
                <w:rFonts w:cs="宋体"/>
                <w:color w:val="auto"/>
                <w:kern w:val="2"/>
                <w:sz w:val="21"/>
                <w:szCs w:val="21"/>
                <w:highlight w:val="none"/>
                <w:lang w:bidi="ar"/>
              </w:rPr>
              <w:t>分</w:t>
            </w:r>
          </w:p>
        </w:tc>
      </w:tr>
      <w:tr w14:paraId="18E8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3" w:type="pct"/>
            <w:vMerge w:val="continue"/>
            <w:tcBorders>
              <w:left w:val="single" w:color="auto" w:sz="4" w:space="0"/>
              <w:right w:val="single" w:color="auto" w:sz="4" w:space="0"/>
            </w:tcBorders>
            <w:vAlign w:val="center"/>
          </w:tcPr>
          <w:p w14:paraId="318B0C0F">
            <w:pPr>
              <w:spacing w:line="288" w:lineRule="auto"/>
              <w:jc w:val="center"/>
              <w:rPr>
                <w:rFonts w:ascii="宋体" w:hAnsi="宋体" w:cs="宋体"/>
                <w:bCs/>
                <w:color w:val="auto"/>
                <w:szCs w:val="21"/>
                <w:highlight w:val="none"/>
                <w:lang w:bidi="ar"/>
              </w:rPr>
            </w:pPr>
          </w:p>
        </w:tc>
        <w:tc>
          <w:tcPr>
            <w:tcW w:w="722" w:type="pct"/>
            <w:vMerge w:val="continue"/>
            <w:tcBorders>
              <w:left w:val="single" w:color="auto" w:sz="4" w:space="0"/>
              <w:right w:val="single" w:color="auto" w:sz="4" w:space="0"/>
            </w:tcBorders>
            <w:vAlign w:val="center"/>
          </w:tcPr>
          <w:p w14:paraId="7D8A4667">
            <w:pPr>
              <w:pStyle w:val="38"/>
              <w:widowControl w:val="0"/>
              <w:spacing w:before="0" w:beforeAutospacing="0" w:after="0" w:afterAutospacing="0" w:line="288" w:lineRule="auto"/>
              <w:jc w:val="center"/>
              <w:rPr>
                <w:rFonts w:hint="default" w:cs="宋体"/>
                <w:color w:val="auto"/>
                <w:sz w:val="21"/>
                <w:szCs w:val="21"/>
                <w:highlight w:val="none"/>
              </w:rPr>
            </w:pPr>
          </w:p>
        </w:tc>
        <w:tc>
          <w:tcPr>
            <w:tcW w:w="3556" w:type="pct"/>
            <w:tcBorders>
              <w:top w:val="single" w:color="auto" w:sz="4" w:space="0"/>
              <w:left w:val="single" w:color="auto" w:sz="4" w:space="0"/>
              <w:bottom w:val="single" w:color="auto" w:sz="4" w:space="0"/>
              <w:right w:val="single" w:color="auto" w:sz="4" w:space="0"/>
            </w:tcBorders>
            <w:vAlign w:val="center"/>
          </w:tcPr>
          <w:p w14:paraId="50BE2EB5">
            <w:pPr>
              <w:pStyle w:val="38"/>
              <w:widowControl w:val="0"/>
              <w:spacing w:line="288" w:lineRule="auto"/>
              <w:jc w:val="both"/>
              <w:rPr>
                <w:rFonts w:hint="default" w:cs="宋体"/>
                <w:color w:val="auto"/>
                <w:sz w:val="21"/>
                <w:szCs w:val="21"/>
                <w:highlight w:val="none"/>
              </w:rPr>
            </w:pPr>
            <w:r>
              <w:rPr>
                <w:rFonts w:cs="宋体"/>
                <w:color w:val="auto"/>
                <w:sz w:val="21"/>
                <w:szCs w:val="21"/>
                <w:highlight w:val="none"/>
              </w:rPr>
              <w:t>除尘、垃圾清运，施工现场管理的针对措施，进行</w:t>
            </w:r>
            <w:r>
              <w:rPr>
                <w:rFonts w:hint="eastAsia" w:cs="宋体"/>
                <w:color w:val="auto"/>
                <w:sz w:val="21"/>
                <w:szCs w:val="21"/>
                <w:highlight w:val="none"/>
                <w:lang w:val="en-US" w:eastAsia="zh-CN"/>
              </w:rPr>
              <w:t>综合评定。</w:t>
            </w:r>
          </w:p>
        </w:tc>
        <w:tc>
          <w:tcPr>
            <w:tcW w:w="428" w:type="pct"/>
            <w:tcBorders>
              <w:left w:val="single" w:color="auto" w:sz="4" w:space="0"/>
              <w:bottom w:val="single" w:color="auto" w:sz="4" w:space="0"/>
              <w:right w:val="single" w:color="auto" w:sz="4" w:space="0"/>
            </w:tcBorders>
            <w:vAlign w:val="center"/>
          </w:tcPr>
          <w:p w14:paraId="024F221F">
            <w:pPr>
              <w:pStyle w:val="38"/>
              <w:widowControl w:val="0"/>
              <w:spacing w:before="0" w:after="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0-5</w:t>
            </w:r>
            <w:r>
              <w:rPr>
                <w:rFonts w:cs="宋体"/>
                <w:color w:val="auto"/>
                <w:kern w:val="2"/>
                <w:sz w:val="21"/>
                <w:szCs w:val="21"/>
                <w:highlight w:val="none"/>
                <w:lang w:bidi="ar"/>
              </w:rPr>
              <w:t>分</w:t>
            </w:r>
          </w:p>
        </w:tc>
      </w:tr>
      <w:tr w14:paraId="256F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93" w:type="pct"/>
            <w:vMerge w:val="restart"/>
            <w:tcBorders>
              <w:left w:val="single" w:color="auto" w:sz="4" w:space="0"/>
              <w:right w:val="single" w:color="auto" w:sz="4" w:space="0"/>
            </w:tcBorders>
            <w:vAlign w:val="center"/>
          </w:tcPr>
          <w:p w14:paraId="1E132F9B">
            <w:pPr>
              <w:spacing w:line="288" w:lineRule="auto"/>
              <w:jc w:val="center"/>
              <w:rPr>
                <w:rFonts w:ascii="宋体" w:hAnsi="宋体" w:cs="宋体"/>
                <w:bCs/>
                <w:color w:val="auto"/>
                <w:szCs w:val="21"/>
                <w:highlight w:val="none"/>
                <w:lang w:bidi="ar"/>
              </w:rPr>
            </w:pPr>
            <w:r>
              <w:rPr>
                <w:rFonts w:hint="eastAsia" w:ascii="宋体" w:hAnsi="宋体" w:cs="宋体"/>
                <w:bCs/>
                <w:color w:val="auto"/>
                <w:szCs w:val="21"/>
                <w:highlight w:val="none"/>
                <w:lang w:bidi="ar"/>
              </w:rPr>
              <w:t>7</w:t>
            </w:r>
          </w:p>
        </w:tc>
        <w:tc>
          <w:tcPr>
            <w:tcW w:w="722" w:type="pct"/>
            <w:vMerge w:val="restart"/>
            <w:tcBorders>
              <w:left w:val="single" w:color="auto" w:sz="4" w:space="0"/>
              <w:right w:val="single" w:color="auto" w:sz="4" w:space="0"/>
            </w:tcBorders>
            <w:vAlign w:val="center"/>
          </w:tcPr>
          <w:p w14:paraId="6D2BE4EA">
            <w:pPr>
              <w:pStyle w:val="38"/>
              <w:widowControl w:val="0"/>
              <w:spacing w:before="0" w:beforeAutospacing="0" w:after="0" w:afterAutospacing="0" w:line="288" w:lineRule="auto"/>
              <w:rPr>
                <w:rFonts w:hint="default" w:cs="宋体"/>
                <w:color w:val="auto"/>
                <w:sz w:val="21"/>
                <w:szCs w:val="21"/>
                <w:highlight w:val="none"/>
              </w:rPr>
            </w:pPr>
            <w:r>
              <w:rPr>
                <w:rFonts w:cs="宋体"/>
                <w:color w:val="auto"/>
                <w:sz w:val="21"/>
                <w:szCs w:val="21"/>
                <w:highlight w:val="none"/>
              </w:rPr>
              <w:t>劳动力配置</w:t>
            </w:r>
            <w:r>
              <w:rPr>
                <w:rFonts w:hint="default" w:cs="宋体"/>
                <w:color w:val="auto"/>
                <w:sz w:val="21"/>
                <w:szCs w:val="21"/>
                <w:highlight w:val="none"/>
              </w:rPr>
              <w:t>、主要</w:t>
            </w:r>
            <w:r>
              <w:rPr>
                <w:rFonts w:cs="宋体"/>
                <w:color w:val="auto"/>
                <w:sz w:val="21"/>
                <w:szCs w:val="21"/>
                <w:highlight w:val="none"/>
              </w:rPr>
              <w:t>施工机具</w:t>
            </w:r>
            <w:r>
              <w:rPr>
                <w:rFonts w:hint="default" w:cs="宋体"/>
                <w:color w:val="auto"/>
                <w:sz w:val="21"/>
                <w:szCs w:val="21"/>
                <w:highlight w:val="none"/>
              </w:rPr>
              <w:t>配置进场计划</w:t>
            </w:r>
          </w:p>
        </w:tc>
        <w:tc>
          <w:tcPr>
            <w:tcW w:w="3556" w:type="pct"/>
            <w:tcBorders>
              <w:top w:val="single" w:color="auto" w:sz="4" w:space="0"/>
              <w:left w:val="single" w:color="auto" w:sz="4" w:space="0"/>
              <w:bottom w:val="single" w:color="auto" w:sz="4" w:space="0"/>
              <w:right w:val="single" w:color="auto" w:sz="4" w:space="0"/>
            </w:tcBorders>
            <w:vAlign w:val="center"/>
          </w:tcPr>
          <w:p w14:paraId="73D8BD90">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拟投入本项目的管理人员及各专业工种劳动力配置的组织架构完善、</w:t>
            </w:r>
            <w:r>
              <w:rPr>
                <w:rFonts w:hint="default" w:cs="宋体"/>
                <w:color w:val="auto"/>
                <w:sz w:val="21"/>
                <w:szCs w:val="21"/>
                <w:highlight w:val="none"/>
              </w:rPr>
              <w:t>质量、安全、文明施工的相关人员配置和施工强度匹配，</w:t>
            </w:r>
            <w:r>
              <w:rPr>
                <w:rFonts w:cs="宋体"/>
                <w:color w:val="auto"/>
                <w:sz w:val="21"/>
                <w:szCs w:val="21"/>
                <w:highlight w:val="none"/>
              </w:rPr>
              <w:t>能满足采购要求</w:t>
            </w:r>
            <w:r>
              <w:rPr>
                <w:rFonts w:hint="eastAsia" w:cs="宋体"/>
                <w:color w:val="auto"/>
                <w:sz w:val="21"/>
                <w:szCs w:val="21"/>
                <w:highlight w:val="none"/>
                <w:lang w:eastAsia="zh-CN"/>
              </w:rPr>
              <w:t>，</w:t>
            </w:r>
            <w:r>
              <w:rPr>
                <w:rFonts w:cs="宋体"/>
                <w:color w:val="auto"/>
                <w:sz w:val="21"/>
                <w:szCs w:val="21"/>
                <w:highlight w:val="none"/>
              </w:rPr>
              <w:t>进行</w:t>
            </w:r>
            <w:r>
              <w:rPr>
                <w:rFonts w:hint="eastAsia" w:cs="宋体"/>
                <w:color w:val="auto"/>
                <w:sz w:val="21"/>
                <w:szCs w:val="21"/>
                <w:highlight w:val="none"/>
                <w:lang w:val="en-US" w:eastAsia="zh-CN"/>
              </w:rPr>
              <w:t>综合评定</w:t>
            </w:r>
            <w:r>
              <w:rPr>
                <w:rFonts w:cs="宋体"/>
                <w:color w:val="auto"/>
                <w:sz w:val="21"/>
                <w:szCs w:val="21"/>
                <w:highlight w:val="none"/>
              </w:rPr>
              <w:t>。</w:t>
            </w:r>
          </w:p>
        </w:tc>
        <w:tc>
          <w:tcPr>
            <w:tcW w:w="428" w:type="pct"/>
            <w:tcBorders>
              <w:top w:val="single" w:color="auto" w:sz="4" w:space="0"/>
              <w:left w:val="single" w:color="auto" w:sz="4" w:space="0"/>
              <w:bottom w:val="single" w:color="auto" w:sz="4" w:space="0"/>
              <w:right w:val="single" w:color="auto" w:sz="4" w:space="0"/>
            </w:tcBorders>
            <w:vAlign w:val="center"/>
          </w:tcPr>
          <w:p w14:paraId="1A512EAF">
            <w:pPr>
              <w:pStyle w:val="38"/>
              <w:widowControl w:val="0"/>
              <w:spacing w:before="0" w:beforeAutospacing="0" w:after="0" w:afterAutospacing="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0-5</w:t>
            </w:r>
            <w:r>
              <w:rPr>
                <w:rFonts w:cs="宋体"/>
                <w:color w:val="auto"/>
                <w:kern w:val="2"/>
                <w:sz w:val="21"/>
                <w:szCs w:val="21"/>
                <w:highlight w:val="none"/>
                <w:lang w:bidi="ar"/>
              </w:rPr>
              <w:t>分</w:t>
            </w:r>
          </w:p>
        </w:tc>
      </w:tr>
      <w:tr w14:paraId="33EF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93" w:type="pct"/>
            <w:vMerge w:val="continue"/>
            <w:tcBorders>
              <w:left w:val="single" w:color="auto" w:sz="4" w:space="0"/>
              <w:right w:val="single" w:color="auto" w:sz="4" w:space="0"/>
            </w:tcBorders>
            <w:vAlign w:val="center"/>
          </w:tcPr>
          <w:p w14:paraId="4380407E">
            <w:pPr>
              <w:spacing w:line="288" w:lineRule="auto"/>
              <w:jc w:val="center"/>
              <w:rPr>
                <w:rFonts w:ascii="宋体" w:hAnsi="宋体" w:cs="宋体"/>
                <w:bCs/>
                <w:color w:val="auto"/>
                <w:szCs w:val="21"/>
                <w:highlight w:val="none"/>
                <w:lang w:bidi="ar"/>
              </w:rPr>
            </w:pPr>
          </w:p>
        </w:tc>
        <w:tc>
          <w:tcPr>
            <w:tcW w:w="722" w:type="pct"/>
            <w:vMerge w:val="continue"/>
            <w:tcBorders>
              <w:left w:val="single" w:color="auto" w:sz="4" w:space="0"/>
              <w:right w:val="single" w:color="auto" w:sz="4" w:space="0"/>
            </w:tcBorders>
            <w:vAlign w:val="center"/>
          </w:tcPr>
          <w:p w14:paraId="3D69802D">
            <w:pPr>
              <w:pStyle w:val="38"/>
              <w:widowControl w:val="0"/>
              <w:spacing w:before="0" w:beforeAutospacing="0" w:after="0" w:afterAutospacing="0" w:line="288" w:lineRule="auto"/>
              <w:jc w:val="center"/>
              <w:rPr>
                <w:rFonts w:hint="default" w:cs="宋体"/>
                <w:color w:val="auto"/>
                <w:sz w:val="21"/>
                <w:szCs w:val="21"/>
                <w:highlight w:val="none"/>
              </w:rPr>
            </w:pPr>
          </w:p>
        </w:tc>
        <w:tc>
          <w:tcPr>
            <w:tcW w:w="3556" w:type="pct"/>
            <w:tcBorders>
              <w:top w:val="single" w:color="auto" w:sz="4" w:space="0"/>
              <w:left w:val="single" w:color="auto" w:sz="4" w:space="0"/>
              <w:bottom w:val="single" w:color="auto" w:sz="4" w:space="0"/>
              <w:right w:val="single" w:color="auto" w:sz="4" w:space="0"/>
            </w:tcBorders>
            <w:vAlign w:val="center"/>
          </w:tcPr>
          <w:p w14:paraId="0959B746">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材料设备进场计划及施工计划情况：具有详细的材料设备进场计划且计划周密，材料数量、质量控制，时间安排合理，满足施工需要</w:t>
            </w:r>
            <w:r>
              <w:rPr>
                <w:rFonts w:hint="eastAsia" w:cs="宋体"/>
                <w:color w:val="auto"/>
                <w:sz w:val="21"/>
                <w:szCs w:val="21"/>
                <w:highlight w:val="none"/>
                <w:lang w:eastAsia="zh-CN"/>
              </w:rPr>
              <w:t>，</w:t>
            </w:r>
            <w:r>
              <w:rPr>
                <w:rFonts w:cs="宋体"/>
                <w:color w:val="auto"/>
                <w:sz w:val="21"/>
                <w:szCs w:val="21"/>
                <w:highlight w:val="none"/>
              </w:rPr>
              <w:t>进行</w:t>
            </w:r>
            <w:r>
              <w:rPr>
                <w:rFonts w:hint="eastAsia" w:cs="宋体"/>
                <w:color w:val="auto"/>
                <w:sz w:val="21"/>
                <w:szCs w:val="21"/>
                <w:highlight w:val="none"/>
                <w:lang w:val="en-US" w:eastAsia="zh-CN"/>
              </w:rPr>
              <w:t>综合评定</w:t>
            </w:r>
            <w:r>
              <w:rPr>
                <w:rFonts w:cs="宋体"/>
                <w:color w:val="auto"/>
                <w:sz w:val="21"/>
                <w:szCs w:val="21"/>
                <w:highlight w:val="none"/>
              </w:rPr>
              <w:t>。</w:t>
            </w:r>
          </w:p>
        </w:tc>
        <w:tc>
          <w:tcPr>
            <w:tcW w:w="428" w:type="pct"/>
            <w:tcBorders>
              <w:top w:val="single" w:color="auto" w:sz="4" w:space="0"/>
              <w:left w:val="single" w:color="auto" w:sz="4" w:space="0"/>
              <w:bottom w:val="single" w:color="auto" w:sz="4" w:space="0"/>
              <w:right w:val="single" w:color="auto" w:sz="4" w:space="0"/>
            </w:tcBorders>
            <w:vAlign w:val="center"/>
          </w:tcPr>
          <w:p w14:paraId="5EC1954C">
            <w:pPr>
              <w:pStyle w:val="38"/>
              <w:widowControl w:val="0"/>
              <w:spacing w:before="0" w:beforeAutospacing="0" w:after="0" w:afterAutospacing="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0-5</w:t>
            </w:r>
            <w:r>
              <w:rPr>
                <w:rFonts w:cs="宋体"/>
                <w:color w:val="auto"/>
                <w:kern w:val="2"/>
                <w:sz w:val="21"/>
                <w:szCs w:val="21"/>
                <w:highlight w:val="none"/>
                <w:lang w:bidi="ar"/>
              </w:rPr>
              <w:t>分</w:t>
            </w:r>
          </w:p>
        </w:tc>
      </w:tr>
      <w:tr w14:paraId="0A04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3" w:type="pct"/>
            <w:vMerge w:val="continue"/>
            <w:tcBorders>
              <w:left w:val="single" w:color="auto" w:sz="4" w:space="0"/>
              <w:right w:val="single" w:color="auto" w:sz="4" w:space="0"/>
            </w:tcBorders>
            <w:vAlign w:val="center"/>
          </w:tcPr>
          <w:p w14:paraId="06285537">
            <w:pPr>
              <w:spacing w:line="288" w:lineRule="auto"/>
              <w:jc w:val="center"/>
              <w:rPr>
                <w:rFonts w:ascii="宋体" w:hAnsi="宋体" w:cs="宋体"/>
                <w:bCs/>
                <w:color w:val="auto"/>
                <w:szCs w:val="21"/>
                <w:highlight w:val="none"/>
                <w:lang w:bidi="ar"/>
              </w:rPr>
            </w:pPr>
          </w:p>
        </w:tc>
        <w:tc>
          <w:tcPr>
            <w:tcW w:w="722" w:type="pct"/>
            <w:vMerge w:val="continue"/>
            <w:tcBorders>
              <w:left w:val="single" w:color="auto" w:sz="4" w:space="0"/>
              <w:right w:val="single" w:color="auto" w:sz="4" w:space="0"/>
            </w:tcBorders>
            <w:vAlign w:val="center"/>
          </w:tcPr>
          <w:p w14:paraId="4B2E212A">
            <w:pPr>
              <w:pStyle w:val="38"/>
              <w:widowControl w:val="0"/>
              <w:spacing w:before="0" w:beforeAutospacing="0" w:after="0" w:afterAutospacing="0" w:line="288" w:lineRule="auto"/>
              <w:jc w:val="center"/>
              <w:rPr>
                <w:rFonts w:hint="default" w:cs="宋体"/>
                <w:color w:val="auto"/>
                <w:sz w:val="21"/>
                <w:szCs w:val="21"/>
                <w:highlight w:val="none"/>
              </w:rPr>
            </w:pPr>
          </w:p>
        </w:tc>
        <w:tc>
          <w:tcPr>
            <w:tcW w:w="3556" w:type="pct"/>
            <w:tcBorders>
              <w:top w:val="single" w:color="auto" w:sz="4" w:space="0"/>
              <w:left w:val="single" w:color="auto" w:sz="4" w:space="0"/>
              <w:bottom w:val="single" w:color="auto" w:sz="4" w:space="0"/>
              <w:right w:val="single" w:color="auto" w:sz="4" w:space="0"/>
            </w:tcBorders>
            <w:vAlign w:val="center"/>
          </w:tcPr>
          <w:p w14:paraId="5EB6E2F0">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施工设备及检验仪器的投入是否满足工程质量进度要求</w:t>
            </w:r>
            <w:r>
              <w:rPr>
                <w:rFonts w:hint="eastAsia" w:cs="宋体"/>
                <w:color w:val="auto"/>
                <w:sz w:val="21"/>
                <w:szCs w:val="21"/>
                <w:highlight w:val="none"/>
                <w:lang w:eastAsia="zh-CN"/>
              </w:rPr>
              <w:t>，</w:t>
            </w:r>
            <w:r>
              <w:rPr>
                <w:rFonts w:cs="宋体"/>
                <w:color w:val="auto"/>
                <w:sz w:val="21"/>
                <w:szCs w:val="21"/>
                <w:highlight w:val="none"/>
              </w:rPr>
              <w:t>进行</w:t>
            </w:r>
            <w:r>
              <w:rPr>
                <w:rFonts w:hint="eastAsia" w:cs="宋体"/>
                <w:color w:val="auto"/>
                <w:sz w:val="21"/>
                <w:szCs w:val="21"/>
                <w:highlight w:val="none"/>
                <w:lang w:val="en-US" w:eastAsia="zh-CN"/>
              </w:rPr>
              <w:t>综合评定</w:t>
            </w:r>
            <w:r>
              <w:rPr>
                <w:rFonts w:cs="宋体"/>
                <w:color w:val="auto"/>
                <w:sz w:val="21"/>
                <w:szCs w:val="21"/>
                <w:highlight w:val="none"/>
              </w:rPr>
              <w:t>。</w:t>
            </w:r>
          </w:p>
        </w:tc>
        <w:tc>
          <w:tcPr>
            <w:tcW w:w="428" w:type="pct"/>
            <w:tcBorders>
              <w:top w:val="single" w:color="auto" w:sz="4" w:space="0"/>
              <w:left w:val="single" w:color="auto" w:sz="4" w:space="0"/>
              <w:bottom w:val="single" w:color="auto" w:sz="4" w:space="0"/>
              <w:right w:val="single" w:color="auto" w:sz="4" w:space="0"/>
            </w:tcBorders>
            <w:vAlign w:val="center"/>
          </w:tcPr>
          <w:p w14:paraId="014B22EB">
            <w:pPr>
              <w:pStyle w:val="38"/>
              <w:widowControl w:val="0"/>
              <w:spacing w:before="0" w:beforeAutospacing="0" w:after="0" w:afterAutospacing="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0-5</w:t>
            </w:r>
            <w:r>
              <w:rPr>
                <w:rFonts w:cs="宋体"/>
                <w:color w:val="auto"/>
                <w:kern w:val="2"/>
                <w:sz w:val="21"/>
                <w:szCs w:val="21"/>
                <w:highlight w:val="none"/>
                <w:lang w:bidi="ar"/>
              </w:rPr>
              <w:t>分</w:t>
            </w:r>
          </w:p>
        </w:tc>
      </w:tr>
      <w:tr w14:paraId="3CCA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93" w:type="pct"/>
            <w:tcBorders>
              <w:left w:val="single" w:color="auto" w:sz="4" w:space="0"/>
              <w:right w:val="single" w:color="auto" w:sz="4" w:space="0"/>
            </w:tcBorders>
            <w:vAlign w:val="center"/>
          </w:tcPr>
          <w:p w14:paraId="24689F1E">
            <w:pPr>
              <w:spacing w:line="288" w:lineRule="auto"/>
              <w:jc w:val="center"/>
              <w:rPr>
                <w:rFonts w:ascii="宋体" w:hAnsi="宋体" w:cs="宋体"/>
                <w:bCs/>
                <w:color w:val="auto"/>
                <w:szCs w:val="21"/>
                <w:highlight w:val="none"/>
                <w:lang w:bidi="ar"/>
              </w:rPr>
            </w:pPr>
            <w:r>
              <w:rPr>
                <w:rFonts w:ascii="宋体" w:hAnsi="宋体" w:cs="宋体"/>
                <w:bCs/>
                <w:color w:val="auto"/>
                <w:szCs w:val="21"/>
                <w:highlight w:val="none"/>
                <w:lang w:bidi="ar"/>
              </w:rPr>
              <w:t>8</w:t>
            </w:r>
          </w:p>
        </w:tc>
        <w:tc>
          <w:tcPr>
            <w:tcW w:w="722" w:type="pct"/>
            <w:tcBorders>
              <w:left w:val="single" w:color="auto" w:sz="4" w:space="0"/>
              <w:right w:val="single" w:color="auto" w:sz="4" w:space="0"/>
            </w:tcBorders>
            <w:vAlign w:val="center"/>
          </w:tcPr>
          <w:p w14:paraId="20EAD6C3">
            <w:pPr>
              <w:pStyle w:val="38"/>
              <w:widowControl w:val="0"/>
              <w:spacing w:before="0" w:beforeAutospacing="0" w:after="0" w:afterAutospacing="0" w:line="288" w:lineRule="auto"/>
              <w:jc w:val="center"/>
              <w:rPr>
                <w:rFonts w:hint="default" w:cs="宋体"/>
                <w:color w:val="auto"/>
                <w:sz w:val="21"/>
                <w:szCs w:val="21"/>
                <w:highlight w:val="none"/>
              </w:rPr>
            </w:pPr>
            <w:r>
              <w:rPr>
                <w:rFonts w:cs="宋体"/>
                <w:color w:val="auto"/>
                <w:sz w:val="21"/>
                <w:szCs w:val="21"/>
                <w:highlight w:val="none"/>
              </w:rPr>
              <w:t>缺陷责任期</w:t>
            </w:r>
          </w:p>
        </w:tc>
        <w:tc>
          <w:tcPr>
            <w:tcW w:w="3556" w:type="pct"/>
            <w:tcBorders>
              <w:top w:val="single" w:color="auto" w:sz="4" w:space="0"/>
              <w:left w:val="single" w:color="auto" w:sz="4" w:space="0"/>
              <w:bottom w:val="single" w:color="auto" w:sz="4" w:space="0"/>
              <w:right w:val="single" w:color="auto" w:sz="4" w:space="0"/>
            </w:tcBorders>
            <w:vAlign w:val="center"/>
          </w:tcPr>
          <w:p w14:paraId="04889E72">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根据投标人缺陷责任期内提供的响应时间、到场时间和问题解决时长的情况及实际进行综合评定</w:t>
            </w:r>
            <w:r>
              <w:rPr>
                <w:rFonts w:hint="eastAsia" w:cs="宋体"/>
                <w:color w:val="auto"/>
                <w:sz w:val="21"/>
                <w:szCs w:val="21"/>
                <w:highlight w:val="none"/>
                <w:lang w:eastAsia="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74C5231C">
            <w:pPr>
              <w:pStyle w:val="38"/>
              <w:widowControl w:val="0"/>
              <w:spacing w:before="0" w:beforeAutospacing="0" w:after="0" w:afterAutospacing="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0-5</w:t>
            </w:r>
            <w:r>
              <w:rPr>
                <w:rFonts w:cs="宋体"/>
                <w:color w:val="auto"/>
                <w:kern w:val="2"/>
                <w:sz w:val="21"/>
                <w:szCs w:val="21"/>
                <w:highlight w:val="none"/>
                <w:lang w:bidi="ar"/>
              </w:rPr>
              <w:t>分</w:t>
            </w:r>
          </w:p>
        </w:tc>
      </w:tr>
      <w:tr w14:paraId="7EB1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3" w:type="pct"/>
            <w:tcBorders>
              <w:left w:val="single" w:color="auto" w:sz="4" w:space="0"/>
              <w:right w:val="single" w:color="auto" w:sz="4" w:space="0"/>
            </w:tcBorders>
            <w:vAlign w:val="center"/>
          </w:tcPr>
          <w:p w14:paraId="665BD83E">
            <w:pPr>
              <w:spacing w:line="288" w:lineRule="auto"/>
              <w:jc w:val="center"/>
              <w:rPr>
                <w:rFonts w:ascii="宋体" w:hAnsi="宋体" w:cs="宋体"/>
                <w:bCs/>
                <w:color w:val="auto"/>
                <w:szCs w:val="21"/>
                <w:highlight w:val="none"/>
                <w:lang w:bidi="ar"/>
              </w:rPr>
            </w:pPr>
            <w:r>
              <w:rPr>
                <w:rFonts w:ascii="宋体" w:hAnsi="宋体" w:cs="宋体"/>
                <w:bCs/>
                <w:color w:val="auto"/>
                <w:szCs w:val="21"/>
                <w:highlight w:val="none"/>
                <w:lang w:bidi="ar"/>
              </w:rPr>
              <w:t>9</w:t>
            </w:r>
          </w:p>
        </w:tc>
        <w:tc>
          <w:tcPr>
            <w:tcW w:w="722" w:type="pct"/>
            <w:tcBorders>
              <w:top w:val="single" w:color="auto" w:sz="4" w:space="0"/>
              <w:left w:val="single" w:color="auto" w:sz="4" w:space="0"/>
              <w:bottom w:val="single" w:color="auto" w:sz="4" w:space="0"/>
              <w:right w:val="single" w:color="auto" w:sz="4" w:space="0"/>
            </w:tcBorders>
            <w:vAlign w:val="center"/>
          </w:tcPr>
          <w:p w14:paraId="16AEB8D9">
            <w:pPr>
              <w:pStyle w:val="38"/>
              <w:widowControl w:val="0"/>
              <w:spacing w:before="0" w:beforeAutospacing="0" w:after="0" w:afterAutospacing="0" w:line="288" w:lineRule="auto"/>
              <w:jc w:val="center"/>
              <w:rPr>
                <w:rFonts w:hint="default" w:cs="宋体"/>
                <w:color w:val="auto"/>
                <w:sz w:val="21"/>
                <w:szCs w:val="21"/>
                <w:highlight w:val="none"/>
              </w:rPr>
            </w:pPr>
            <w:r>
              <w:rPr>
                <w:rFonts w:cs="宋体"/>
                <w:color w:val="auto"/>
                <w:sz w:val="21"/>
                <w:szCs w:val="21"/>
                <w:highlight w:val="none"/>
              </w:rPr>
              <w:t>修缮过程中不可预见状况分析合理化建议</w:t>
            </w:r>
          </w:p>
        </w:tc>
        <w:tc>
          <w:tcPr>
            <w:tcW w:w="3556" w:type="pct"/>
            <w:tcBorders>
              <w:top w:val="single" w:color="auto" w:sz="4" w:space="0"/>
              <w:left w:val="single" w:color="auto" w:sz="4" w:space="0"/>
              <w:bottom w:val="single" w:color="auto" w:sz="4" w:space="0"/>
              <w:right w:val="single" w:color="auto" w:sz="4" w:space="0"/>
            </w:tcBorders>
            <w:vAlign w:val="center"/>
          </w:tcPr>
          <w:p w14:paraId="3A9E78F5">
            <w:pPr>
              <w:pStyle w:val="38"/>
              <w:widowControl w:val="0"/>
              <w:spacing w:before="0" w:beforeAutospacing="0" w:after="0" w:afterAutospacing="0" w:line="288" w:lineRule="auto"/>
              <w:jc w:val="both"/>
              <w:rPr>
                <w:rFonts w:hint="default" w:cs="宋体"/>
                <w:color w:val="auto"/>
                <w:sz w:val="21"/>
                <w:szCs w:val="21"/>
                <w:highlight w:val="none"/>
              </w:rPr>
            </w:pPr>
            <w:r>
              <w:rPr>
                <w:rFonts w:cs="宋体"/>
                <w:color w:val="auto"/>
                <w:sz w:val="21"/>
                <w:szCs w:val="21"/>
                <w:highlight w:val="none"/>
              </w:rPr>
              <w:t>根据本</w:t>
            </w:r>
            <w:r>
              <w:rPr>
                <w:rFonts w:hint="eastAsia" w:cs="宋体"/>
                <w:color w:val="auto"/>
                <w:sz w:val="21"/>
                <w:szCs w:val="21"/>
                <w:highlight w:val="none"/>
                <w:lang w:val="en-US" w:eastAsia="zh-CN"/>
              </w:rPr>
              <w:t>项目</w:t>
            </w:r>
            <w:r>
              <w:rPr>
                <w:rFonts w:cs="宋体"/>
                <w:color w:val="auto"/>
                <w:sz w:val="21"/>
                <w:szCs w:val="21"/>
                <w:highlight w:val="none"/>
              </w:rPr>
              <w:t>特点，分析修缮过程中可能会出现的问题及处理方案及项目实施过程的重点、难点、具体建议并提出改进措施</w:t>
            </w:r>
            <w:r>
              <w:rPr>
                <w:rFonts w:hint="eastAsia" w:cs="宋体"/>
                <w:color w:val="auto"/>
                <w:sz w:val="21"/>
                <w:szCs w:val="21"/>
                <w:highlight w:val="none"/>
                <w:lang w:eastAsia="zh-CN"/>
              </w:rPr>
              <w:t>，</w:t>
            </w:r>
            <w:r>
              <w:rPr>
                <w:rFonts w:cs="宋体"/>
                <w:color w:val="auto"/>
                <w:sz w:val="21"/>
                <w:szCs w:val="21"/>
                <w:highlight w:val="none"/>
              </w:rPr>
              <w:t>进行</w:t>
            </w:r>
            <w:r>
              <w:rPr>
                <w:rFonts w:hint="eastAsia" w:cs="宋体"/>
                <w:color w:val="auto"/>
                <w:sz w:val="21"/>
                <w:szCs w:val="21"/>
                <w:highlight w:val="none"/>
                <w:lang w:val="en-US" w:eastAsia="zh-CN"/>
              </w:rPr>
              <w:t>综合评定</w:t>
            </w:r>
            <w:r>
              <w:rPr>
                <w:rFonts w:cs="宋体"/>
                <w:color w:val="auto"/>
                <w:sz w:val="21"/>
                <w:szCs w:val="21"/>
                <w:highlight w:val="none"/>
              </w:rPr>
              <w:t>。</w:t>
            </w:r>
          </w:p>
        </w:tc>
        <w:tc>
          <w:tcPr>
            <w:tcW w:w="428" w:type="pct"/>
            <w:tcBorders>
              <w:top w:val="single" w:color="auto" w:sz="4" w:space="0"/>
              <w:left w:val="single" w:color="auto" w:sz="4" w:space="0"/>
              <w:right w:val="single" w:color="auto" w:sz="4" w:space="0"/>
            </w:tcBorders>
            <w:vAlign w:val="center"/>
          </w:tcPr>
          <w:p w14:paraId="0BECD188">
            <w:pPr>
              <w:pStyle w:val="38"/>
              <w:widowControl w:val="0"/>
              <w:spacing w:before="0" w:after="0" w:line="288" w:lineRule="auto"/>
              <w:jc w:val="center"/>
              <w:rPr>
                <w:rFonts w:hint="default" w:cs="宋体"/>
                <w:color w:val="auto"/>
                <w:kern w:val="2"/>
                <w:sz w:val="21"/>
                <w:szCs w:val="21"/>
                <w:highlight w:val="none"/>
                <w:lang w:bidi="ar"/>
              </w:rPr>
            </w:pPr>
            <w:r>
              <w:rPr>
                <w:rFonts w:hint="eastAsia" w:cs="宋体"/>
                <w:color w:val="auto"/>
                <w:kern w:val="2"/>
                <w:sz w:val="21"/>
                <w:szCs w:val="21"/>
                <w:highlight w:val="none"/>
                <w:lang w:val="en-US" w:eastAsia="zh-CN" w:bidi="ar"/>
              </w:rPr>
              <w:t>0-5</w:t>
            </w:r>
            <w:r>
              <w:rPr>
                <w:rFonts w:cs="宋体"/>
                <w:color w:val="auto"/>
                <w:kern w:val="2"/>
                <w:sz w:val="21"/>
                <w:szCs w:val="21"/>
                <w:highlight w:val="none"/>
                <w:lang w:bidi="ar"/>
              </w:rPr>
              <w:t>分</w:t>
            </w:r>
          </w:p>
        </w:tc>
      </w:tr>
    </w:tbl>
    <w:p w14:paraId="19D132F5">
      <w:pPr>
        <w:spacing w:line="360" w:lineRule="auto"/>
        <w:rPr>
          <w:rFonts w:ascii="宋体" w:hAnsi="宋体"/>
          <w:color w:val="auto"/>
          <w:szCs w:val="21"/>
          <w:highlight w:val="none"/>
        </w:rPr>
      </w:pPr>
      <w:r>
        <w:rPr>
          <w:rFonts w:hint="eastAsia" w:ascii="宋体" w:hAnsi="宋体"/>
          <w:color w:val="auto"/>
          <w:szCs w:val="21"/>
          <w:highlight w:val="none"/>
        </w:rPr>
        <w:t>注：①合同、证书及其他相关证明材料，将原件扫描上传至响应文件，并加盖公章。</w:t>
      </w:r>
    </w:p>
    <w:p w14:paraId="6E427500">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3、报价文件评审</w:t>
      </w:r>
    </w:p>
    <w:p w14:paraId="7F29AAB6">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3.1报价得分计算方法如下：</w:t>
      </w:r>
    </w:p>
    <w:p w14:paraId="3BA591D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①价格评定分</w:t>
      </w:r>
      <w:r>
        <w:rPr>
          <w:rFonts w:hint="eastAsia" w:ascii="仿宋" w:hAnsi="仿宋" w:eastAsia="仿宋" w:cs="仿宋"/>
          <w:color w:val="auto"/>
          <w:sz w:val="24"/>
          <w:highlight w:val="none"/>
        </w:rPr>
        <w:t>值为</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分。 </w:t>
      </w:r>
    </w:p>
    <w:p w14:paraId="6B1ED9BF">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②评标基准价的确定：</w:t>
      </w:r>
    </w:p>
    <w:p w14:paraId="12E3612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A、磋商小组认为供应商的最终报价明显低于其他通过符合性审查供应商的最终报价，有可能影响产品质量或者不能诚信履约的，应当要求其在合理的时间内提供电子答复，必要时提交相关证明材料。供应商不能在磋商小组要求的时间内作出合理电子答复或提供相关证明材料的，或者磋商小组认为其所作出的电子答复不合理的</w:t>
      </w:r>
      <w:r>
        <w:rPr>
          <w:rFonts w:hint="eastAsia" w:ascii="仿宋_GB2312" w:hAnsi="Courier New" w:eastAsia="仿宋_GB2312"/>
          <w:sz w:val="24"/>
          <w:highlight w:val="none"/>
        </w:rPr>
        <w:t>，</w:t>
      </w:r>
      <w:r>
        <w:rPr>
          <w:rFonts w:hint="eastAsia" w:ascii="仿宋" w:hAnsi="仿宋" w:eastAsia="仿宋" w:cs="仿宋"/>
          <w:sz w:val="24"/>
          <w:highlight w:val="none"/>
        </w:rPr>
        <w:t>该响应作无效标处理</w:t>
      </w:r>
      <w:r>
        <w:rPr>
          <w:rFonts w:hint="eastAsia" w:ascii="仿宋" w:hAnsi="仿宋" w:eastAsia="仿宋" w:cs="仿宋"/>
          <w:sz w:val="24"/>
          <w:highlight w:val="none"/>
          <w:lang w:eastAsia="zh-CN"/>
        </w:rPr>
        <w:t>。</w:t>
      </w:r>
    </w:p>
    <w:p w14:paraId="7909977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B、价格分统一采用低价优先法计算,即满足磋商文件要求且最终响应价格最低的有效最终响应报价为评标基准价,其价格分为满分。供应商的价格分按照下列公式计算:</w:t>
      </w:r>
    </w:p>
    <w:p w14:paraId="6AF5A2BE">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报价得分=(评标基准价/最终响应报</w:t>
      </w:r>
      <w:r>
        <w:rPr>
          <w:rFonts w:hint="eastAsia" w:ascii="仿宋" w:hAnsi="仿宋" w:eastAsia="仿宋" w:cs="仿宋"/>
          <w:b/>
          <w:color w:val="auto"/>
          <w:sz w:val="24"/>
          <w:highlight w:val="none"/>
        </w:rPr>
        <w:t>价)×</w:t>
      </w:r>
      <w:r>
        <w:rPr>
          <w:rFonts w:hint="eastAsia" w:ascii="仿宋" w:hAnsi="仿宋" w:eastAsia="仿宋" w:cs="仿宋"/>
          <w:b/>
          <w:color w:val="auto"/>
          <w:sz w:val="24"/>
          <w:highlight w:val="none"/>
          <w:lang w:val="en-US" w:eastAsia="zh-CN"/>
        </w:rPr>
        <w:t>30</w:t>
      </w:r>
      <w:r>
        <w:rPr>
          <w:rFonts w:hint="eastAsia" w:ascii="仿宋" w:hAnsi="仿宋" w:eastAsia="仿宋" w:cs="仿宋"/>
          <w:b/>
          <w:color w:val="auto"/>
          <w:sz w:val="24"/>
          <w:highlight w:val="none"/>
        </w:rPr>
        <w:t>%×100</w:t>
      </w:r>
    </w:p>
    <w:p w14:paraId="0204A9CF">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sz w:val="24"/>
          <w:highlight w:val="none"/>
        </w:rPr>
      </w:pPr>
      <w:r>
        <w:rPr>
          <w:rFonts w:hint="eastAsia" w:ascii="仿宋" w:hAnsi="仿宋" w:eastAsia="仿宋"/>
          <w:sz w:val="24"/>
          <w:highlight w:val="none"/>
        </w:rPr>
        <w:t>4、政府采购政策性规定说明：</w:t>
      </w:r>
    </w:p>
    <w:p w14:paraId="2A8BCB85">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（1）中小企业（含监狱企业、残疾人福利性单位）扶持政策</w:t>
      </w:r>
    </w:p>
    <w:p w14:paraId="1FB32AAF">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1）</w:t>
      </w:r>
      <w:r>
        <w:rPr>
          <w:rFonts w:hint="eastAsia" w:ascii="仿宋" w:hAnsi="仿宋" w:eastAsia="仿宋" w:cs="仿宋"/>
          <w:sz w:val="24"/>
          <w:highlight w:val="none"/>
        </w:rPr>
        <w:t>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的扣除，用扣除后的价格参加评审。组成联合体或者接受分包的小微企业与联合体内其他企业、分包企业之间存在直接控股、管理关系的，不享受价格扣除优惠政策。供应商按</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"https://www.miit.gov.cn/zwgk/zcwj/wjfb/zh/art/2020/art_a14d0253a2f64bd283b53f5442fe81b3.html"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工信部联企业〔2011〕300号规定</w:t>
      </w:r>
      <w:r>
        <w:rPr>
          <w:rFonts w:hint="eastAsia" w:ascii="仿宋" w:hAnsi="仿宋" w:eastAsia="仿宋" w:cs="仿宋"/>
          <w:sz w:val="24"/>
          <w:highlight w:val="none"/>
        </w:rPr>
        <w:fldChar w:fldCharType="end"/>
      </w:r>
      <w:r>
        <w:rPr>
          <w:rFonts w:hint="eastAsia" w:ascii="仿宋" w:hAnsi="仿宋" w:eastAsia="仿宋" w:cs="仿宋"/>
          <w:sz w:val="24"/>
          <w:highlight w:val="none"/>
        </w:rPr>
        <w:t>的划分标准提供《中小企业声明函》（附件）。</w:t>
      </w:r>
      <w:r>
        <w:rPr>
          <w:rFonts w:hint="eastAsia" w:ascii="仿宋" w:hAnsi="仿宋" w:eastAsia="仿宋" w:cs="仿宋"/>
          <w:sz w:val="24"/>
          <w:highlight w:val="none"/>
          <w:lang w:val="en-US" w:eastAsia="zh-CN"/>
        </w:rPr>
        <w:t>磋商小组</w:t>
      </w:r>
      <w:r>
        <w:rPr>
          <w:rFonts w:hint="eastAsia" w:ascii="仿宋" w:hAnsi="仿宋" w:eastAsia="仿宋" w:cs="仿宋"/>
          <w:sz w:val="24"/>
          <w:highlight w:val="none"/>
        </w:rPr>
        <w:t>依据《中小企业声明函》来审查供应商是否属于小型或微型企业，享受评审中价格扣除政策。</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供应商为中小企业的，将随</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结果同时公告其《中小企业声明函》，接受社会监督</w:t>
      </w:r>
      <w:r>
        <w:rPr>
          <w:rFonts w:hint="eastAsia" w:ascii="仿宋" w:hAnsi="仿宋" w:eastAsia="仿宋"/>
          <w:sz w:val="24"/>
          <w:highlight w:val="none"/>
        </w:rPr>
        <w:t>。</w:t>
      </w:r>
    </w:p>
    <w:p w14:paraId="33B8DE06">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2）</w:t>
      </w:r>
      <w:r>
        <w:rPr>
          <w:rFonts w:hint="eastAsia" w:ascii="仿宋" w:hAnsi="仿宋" w:eastAsia="仿宋" w:cs="仿宋"/>
          <w:sz w:val="24"/>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文件中提供《残疾人福利性单位声明函》。</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供应商为残疾人福利性单位的，将随</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结果同时公告其《残疾人福利性单位声明函》，接受社会监督</w:t>
      </w:r>
      <w:r>
        <w:rPr>
          <w:rFonts w:hint="eastAsia" w:ascii="仿宋" w:hAnsi="仿宋" w:eastAsia="仿宋"/>
          <w:sz w:val="24"/>
          <w:highlight w:val="none"/>
        </w:rPr>
        <w:t>。</w:t>
      </w:r>
    </w:p>
    <w:p w14:paraId="0FA6CA0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3）</w:t>
      </w:r>
      <w:r>
        <w:rPr>
          <w:rFonts w:hint="eastAsia" w:ascii="仿宋" w:hAnsi="仿宋" w:eastAsia="仿宋" w:cs="仿宋"/>
          <w:sz w:val="24"/>
          <w:highlight w:val="none"/>
        </w:rPr>
        <w:t>根据财库〔2014〕68号的相关规定，在政府采购活动中，监狱企业视同小型、微型企业，享受评审中价格扣除政策，并在</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文件中提供由省级以上监狱管理局、戒毒管理局（含新疆生产建设兵团）出具的属于监狱企业的证明文件</w:t>
      </w:r>
      <w:r>
        <w:rPr>
          <w:rFonts w:hint="eastAsia" w:ascii="仿宋" w:hAnsi="仿宋" w:eastAsia="仿宋"/>
          <w:sz w:val="24"/>
          <w:highlight w:val="none"/>
        </w:rPr>
        <w:t>。</w:t>
      </w:r>
    </w:p>
    <w:p w14:paraId="43576B26">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同一供应商（包括联合体），小微企业、监狱企业、残疾人福利性单位价格扣除优惠只享受一次，不得重复享受。以上证明材料不提供或提供不全的视为自动放弃优惠政策。</w:t>
      </w:r>
    </w:p>
    <w:p w14:paraId="2C30B97A">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76E7D06">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29889F4">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在货物采购项目中，供应商提供的货物既有中小企业制造货物，也有大型企业制造货物的，不享受本办法规定的中小企业扶持政策。</w:t>
      </w:r>
    </w:p>
    <w:p w14:paraId="636D1B28">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以联合体形式参加政府采购活动，联合体各方均为中小企业的，联合体视同中小企业。其中，联合体各方均为小微企业的，联合体视同小微企业。</w:t>
      </w:r>
    </w:p>
    <w:p w14:paraId="09258576">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sz w:val="24"/>
          <w:highlight w:val="none"/>
        </w:rPr>
      </w:pPr>
      <w:r>
        <w:rPr>
          <w:rFonts w:hint="eastAsia" w:ascii="仿宋" w:hAnsi="仿宋" w:eastAsia="仿宋" w:cs="仿宋"/>
          <w:b/>
          <w:bCs/>
          <w:color w:val="auto"/>
          <w:sz w:val="24"/>
          <w:szCs w:val="24"/>
          <w:highlight w:val="none"/>
        </w:rPr>
        <w:t>本项目为专门面向</w:t>
      </w:r>
      <w:r>
        <w:rPr>
          <w:rFonts w:hint="eastAsia" w:ascii="仿宋" w:hAnsi="仿宋" w:eastAsia="仿宋" w:cs="仿宋"/>
          <w:b/>
          <w:bCs/>
          <w:color w:val="auto"/>
          <w:sz w:val="24"/>
          <w:szCs w:val="24"/>
          <w:highlight w:val="none"/>
          <w:lang w:val="en-US" w:eastAsia="zh-CN"/>
        </w:rPr>
        <w:t>中小</w:t>
      </w:r>
      <w:r>
        <w:rPr>
          <w:rFonts w:hint="eastAsia" w:ascii="仿宋" w:hAnsi="仿宋" w:eastAsia="仿宋" w:cs="仿宋"/>
          <w:b/>
          <w:bCs/>
          <w:color w:val="auto"/>
          <w:sz w:val="24"/>
          <w:szCs w:val="24"/>
          <w:highlight w:val="none"/>
        </w:rPr>
        <w:t>企业采购项目</w:t>
      </w:r>
      <w:r>
        <w:rPr>
          <w:rFonts w:hint="eastAsia" w:ascii="仿宋" w:hAnsi="仿宋" w:eastAsia="仿宋" w:cs="仿宋"/>
          <w:b/>
          <w:bCs/>
          <w:color w:val="auto"/>
          <w:sz w:val="24"/>
          <w:szCs w:val="24"/>
          <w:highlight w:val="none"/>
          <w:lang w:eastAsia="zh-CN"/>
        </w:rPr>
        <w:t>，不再执行价格扣除评审优惠政策。</w:t>
      </w:r>
      <w:r>
        <w:rPr>
          <w:rFonts w:hint="eastAsia" w:ascii="仿宋" w:hAnsi="仿宋" w:eastAsia="仿宋"/>
          <w:sz w:val="24"/>
          <w:highlight w:val="none"/>
        </w:rPr>
        <w:tab/>
      </w:r>
      <w:r>
        <w:rPr>
          <w:rFonts w:hint="eastAsia" w:ascii="仿宋" w:hAnsi="仿宋" w:eastAsia="仿宋"/>
          <w:sz w:val="24"/>
          <w:highlight w:val="none"/>
        </w:rPr>
        <w:tab/>
      </w:r>
    </w:p>
    <w:p w14:paraId="5F355EC6">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（2）节能产品、环境标志产品的强制采购政策</w:t>
      </w:r>
    </w:p>
    <w:p w14:paraId="207B6AB4">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w:t>
      </w:r>
      <w:r>
        <w:rPr>
          <w:rFonts w:hint="eastAsia" w:ascii="仿宋" w:hAnsi="仿宋" w:eastAsia="仿宋"/>
          <w:sz w:val="24"/>
          <w:highlight w:val="none"/>
          <w:lang w:val="en-US" w:eastAsia="zh-CN"/>
        </w:rPr>
        <w:t>响应</w:t>
      </w:r>
      <w:r>
        <w:rPr>
          <w:rFonts w:hint="eastAsia" w:ascii="仿宋" w:hAnsi="仿宋" w:eastAsia="仿宋"/>
          <w:sz w:val="24"/>
          <w:highlight w:val="none"/>
        </w:rPr>
        <w:t>文件中，否则无效。（注：本项目执行最新政府采购节能产品、环境标志产品品目清单。）</w:t>
      </w:r>
    </w:p>
    <w:p w14:paraId="7FD5C80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 xml:space="preserve">（3）节能产品、环境标志产品的优先采购政策 </w:t>
      </w:r>
    </w:p>
    <w:p w14:paraId="6EC72042">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sz w:val="24"/>
          <w:highlight w:val="none"/>
        </w:rPr>
      </w:pPr>
      <w:r>
        <w:rPr>
          <w:rFonts w:hint="eastAsia" w:ascii="仿宋" w:hAnsi="仿宋" w:eastAsia="仿宋"/>
          <w:sz w:val="24"/>
          <w:highlight w:val="none"/>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w:t>
      </w:r>
      <w:r>
        <w:rPr>
          <w:rFonts w:hint="eastAsia" w:ascii="仿宋" w:hAnsi="仿宋" w:eastAsia="仿宋"/>
          <w:sz w:val="24"/>
          <w:highlight w:val="none"/>
          <w:lang w:val="en-US" w:eastAsia="zh-CN"/>
        </w:rPr>
        <w:t>响应</w:t>
      </w:r>
      <w:r>
        <w:rPr>
          <w:rFonts w:hint="eastAsia" w:ascii="仿宋" w:hAnsi="仿宋" w:eastAsia="仿宋"/>
          <w:sz w:val="24"/>
          <w:highlight w:val="none"/>
        </w:rPr>
        <w:t>文件中。（注：本项目执行最新政府采购节能产品、环境标志产品品目清单。）</w:t>
      </w:r>
    </w:p>
    <w:p w14:paraId="1001B7E6">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4</w:t>
      </w: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科技创新</w:t>
      </w:r>
      <w:r>
        <w:rPr>
          <w:rFonts w:hint="eastAsia" w:ascii="仿宋" w:hAnsi="仿宋" w:eastAsia="仿宋" w:cs="仿宋"/>
          <w:b w:val="0"/>
          <w:bCs w:val="0"/>
          <w:sz w:val="24"/>
          <w:highlight w:val="none"/>
        </w:rPr>
        <w:t xml:space="preserve">扶持政策 </w:t>
      </w:r>
    </w:p>
    <w:p w14:paraId="4BF38BB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1）采购人优先采购被认定为首台套产品和“制造精品”的自主创新产品。</w:t>
      </w:r>
    </w:p>
    <w:p w14:paraId="4A48262C">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2）对省级以上主管部门认定的首台套产品，自纳入《省推广应用指导目录》起三年内参加政府采购活动，视同已具备相应销售业绩，业绩分为满分。</w:t>
      </w:r>
    </w:p>
    <w:p w14:paraId="45220CDC">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b w:val="0"/>
          <w:bCs w:val="0"/>
          <w:sz w:val="24"/>
          <w:highlight w:val="none"/>
          <w:lang w:val="en-US" w:eastAsia="zh-CN"/>
        </w:rPr>
        <w:t>政府绿色采购</w:t>
      </w:r>
      <w:r>
        <w:rPr>
          <w:rFonts w:hint="eastAsia" w:ascii="仿宋" w:hAnsi="仿宋" w:eastAsia="仿宋" w:cs="仿宋"/>
          <w:b w:val="0"/>
          <w:bCs w:val="0"/>
          <w:sz w:val="24"/>
          <w:highlight w:val="none"/>
        </w:rPr>
        <w:t xml:space="preserve">扶持政策 </w:t>
      </w:r>
    </w:p>
    <w:p w14:paraId="397C28C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1）修缮、装修类项目采购建材的，采购人应将绿色建筑和绿色建材性能、指标等作为实质性条件纳入磋商文件和合同。</w:t>
      </w:r>
    </w:p>
    <w:p w14:paraId="05A9C58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highlight w:val="none"/>
        </w:rPr>
      </w:pPr>
      <w:r>
        <w:rPr>
          <w:rFonts w:hint="eastAsia" w:ascii="仿宋" w:hAnsi="仿宋" w:eastAsia="仿宋" w:cs="仿宋"/>
          <w:sz w:val="24"/>
          <w:highlight w:val="none"/>
          <w:lang w:val="en-US" w:eastAsia="zh-CN"/>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78EFB52">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5、评委对各部分得分汇总,得出本项目各供应商的最终得分：</w:t>
      </w:r>
    </w:p>
    <w:p w14:paraId="5FDAFDCE">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供应商的总得分=商务与技术得分+报价得分</w:t>
      </w:r>
    </w:p>
    <w:p w14:paraId="562E2B27">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6、成交候选供应商的确定：</w:t>
      </w:r>
    </w:p>
    <w:p w14:paraId="4E91A037">
      <w:pPr>
        <w:autoSpaceDE/>
        <w:autoSpaceDN/>
        <w:adjustRightInd/>
        <w:snapToGrid w:val="0"/>
        <w:spacing w:line="360" w:lineRule="auto"/>
        <w:ind w:firstLine="482" w:firstLineChars="200"/>
        <w:rPr>
          <w:rFonts w:hint="eastAsia" w:ascii="仿宋" w:hAnsi="仿宋" w:eastAsia="仿宋" w:cs="Times New Roman"/>
          <w:color w:val="auto"/>
          <w:kern w:val="2"/>
          <w:highlight w:val="none"/>
        </w:rPr>
      </w:pPr>
      <w:r>
        <w:rPr>
          <w:rFonts w:hint="eastAsia" w:ascii="仿宋" w:hAnsi="仿宋" w:eastAsia="仿宋" w:cs="仿宋"/>
          <w:b/>
          <w:sz w:val="24"/>
          <w:highlight w:val="none"/>
        </w:rPr>
        <w:t>磋商小组推荐成交候选供应商排序名单。合格响应方的得分为各项目汇总得分，成交推荐候选资格按得分由高到低顺序排列，总得分相同的，按最终报价由低到高顺序排列；总得分且最终报价相同的，则抽签确定。</w:t>
      </w:r>
    </w:p>
    <w:p w14:paraId="14D6AA57">
      <w:pPr>
        <w:pStyle w:val="57"/>
        <w:spacing w:line="360" w:lineRule="auto"/>
        <w:ind w:firstLine="0" w:firstLineChars="0"/>
        <w:jc w:val="both"/>
        <w:rPr>
          <w:rFonts w:ascii="宋体" w:hAnsi="宋体" w:eastAsia="宋体" w:cs="宋体"/>
          <w:color w:val="auto"/>
          <w:highlight w:val="none"/>
        </w:rPr>
      </w:pPr>
    </w:p>
    <w:p w14:paraId="6D9315BD">
      <w:pPr>
        <w:pStyle w:val="57"/>
        <w:spacing w:line="360" w:lineRule="auto"/>
        <w:ind w:firstLine="440" w:firstLineChars="200"/>
        <w:jc w:val="both"/>
        <w:rPr>
          <w:rFonts w:ascii="宋体" w:hAnsi="宋体" w:eastAsia="宋体" w:cs="宋体"/>
          <w:color w:val="auto"/>
          <w:highlight w:val="none"/>
        </w:rPr>
      </w:pPr>
    </w:p>
    <w:p w14:paraId="04463032">
      <w:pPr>
        <w:pStyle w:val="57"/>
        <w:spacing w:line="360" w:lineRule="auto"/>
        <w:ind w:firstLine="440" w:firstLineChars="200"/>
        <w:jc w:val="both"/>
        <w:rPr>
          <w:rFonts w:ascii="宋体" w:hAnsi="宋体" w:eastAsia="宋体" w:cs="宋体"/>
          <w:color w:val="auto"/>
          <w:highlight w:val="none"/>
        </w:rPr>
      </w:pPr>
    </w:p>
    <w:p w14:paraId="4E9BD742">
      <w:pPr>
        <w:pStyle w:val="57"/>
        <w:spacing w:line="360" w:lineRule="auto"/>
        <w:ind w:firstLine="440" w:firstLineChars="200"/>
        <w:jc w:val="both"/>
        <w:rPr>
          <w:rFonts w:ascii="宋体" w:hAnsi="宋体" w:eastAsia="宋体" w:cs="宋体"/>
          <w:color w:val="auto"/>
          <w:highlight w:val="none"/>
        </w:rPr>
      </w:pPr>
    </w:p>
    <w:p w14:paraId="63A44309">
      <w:pPr>
        <w:pStyle w:val="57"/>
        <w:spacing w:line="360" w:lineRule="auto"/>
        <w:ind w:firstLine="440" w:firstLineChars="200"/>
        <w:jc w:val="both"/>
        <w:rPr>
          <w:rFonts w:ascii="宋体" w:hAnsi="宋体" w:eastAsia="宋体" w:cs="宋体"/>
          <w:color w:val="auto"/>
          <w:highlight w:val="none"/>
        </w:rPr>
      </w:pPr>
    </w:p>
    <w:p w14:paraId="11851AB7">
      <w:pPr>
        <w:pStyle w:val="57"/>
        <w:spacing w:line="360" w:lineRule="auto"/>
        <w:ind w:firstLine="440" w:firstLineChars="200"/>
        <w:jc w:val="both"/>
        <w:rPr>
          <w:rFonts w:ascii="宋体" w:hAnsi="宋体" w:eastAsia="宋体" w:cs="宋体"/>
          <w:color w:val="auto"/>
          <w:highlight w:val="none"/>
        </w:rPr>
      </w:pPr>
    </w:p>
    <w:p w14:paraId="58A00538">
      <w:pPr>
        <w:pStyle w:val="57"/>
        <w:spacing w:line="360" w:lineRule="auto"/>
        <w:ind w:firstLine="440" w:firstLineChars="200"/>
        <w:jc w:val="both"/>
        <w:rPr>
          <w:rFonts w:ascii="宋体" w:hAnsi="宋体" w:eastAsia="宋体" w:cs="宋体"/>
          <w:color w:val="auto"/>
          <w:highlight w:val="none"/>
        </w:rPr>
      </w:pPr>
    </w:p>
    <w:p w14:paraId="0A88D54A">
      <w:pPr>
        <w:spacing w:before="120" w:after="120" w:line="400" w:lineRule="exact"/>
        <w:jc w:val="center"/>
        <w:outlineLvl w:val="0"/>
        <w:rPr>
          <w:rFonts w:ascii="宋体" w:hAnsi="宋体" w:cs="宋体"/>
          <w:color w:val="auto"/>
          <w:kern w:val="44"/>
          <w:sz w:val="32"/>
          <w:szCs w:val="44"/>
          <w:highlight w:val="none"/>
        </w:rPr>
      </w:pPr>
      <w:bookmarkStart w:id="17" w:name="_Toc152045609"/>
      <w:bookmarkStart w:id="18" w:name="_Toc152042387"/>
      <w:bookmarkStart w:id="19" w:name="_Toc144974577"/>
      <w:bookmarkStart w:id="20" w:name="_Toc68615905"/>
      <w:bookmarkStart w:id="21" w:name="_Toc621"/>
      <w:r>
        <w:rPr>
          <w:rFonts w:hint="eastAsia" w:ascii="宋体" w:hAnsi="宋体" w:cs="宋体"/>
          <w:color w:val="auto"/>
          <w:kern w:val="44"/>
          <w:sz w:val="32"/>
          <w:szCs w:val="44"/>
          <w:highlight w:val="none"/>
        </w:rPr>
        <w:t xml:space="preserve">第五章  </w:t>
      </w:r>
      <w:bookmarkEnd w:id="17"/>
      <w:bookmarkEnd w:id="18"/>
      <w:bookmarkEnd w:id="19"/>
      <w:bookmarkEnd w:id="20"/>
      <w:r>
        <w:rPr>
          <w:rFonts w:hint="eastAsia" w:ascii="宋体" w:hAnsi="宋体" w:cs="宋体"/>
          <w:color w:val="auto"/>
          <w:kern w:val="44"/>
          <w:sz w:val="32"/>
          <w:szCs w:val="44"/>
          <w:highlight w:val="none"/>
        </w:rPr>
        <w:t>拟签订合同</w:t>
      </w:r>
      <w:bookmarkEnd w:id="21"/>
    </w:p>
    <w:p w14:paraId="3462E374">
      <w:pPr>
        <w:spacing w:line="360" w:lineRule="exact"/>
        <w:ind w:firstLine="420" w:firstLineChars="200"/>
        <w:rPr>
          <w:rFonts w:ascii="宋体" w:hAnsi="宋体" w:cs="宋体"/>
          <w:color w:val="auto"/>
          <w:highlight w:val="none"/>
        </w:rPr>
      </w:pPr>
    </w:p>
    <w:p w14:paraId="42E9A593">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合同文本采用《建设工程施工合同（示范文本）》（GF-2017-0201）。</w:t>
      </w:r>
    </w:p>
    <w:p w14:paraId="4F5367BA">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合同通用条款采用《建设工程施工合同（示范文本）》的通用条款（GF-2017-0201）。</w:t>
      </w:r>
    </w:p>
    <w:p w14:paraId="44A96B50">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合同专用条款中的主要条款将由招标人(发包人)与中标人(承包人)根据投标文件签订。</w:t>
      </w:r>
    </w:p>
    <w:p w14:paraId="4DB2F75F">
      <w:pPr>
        <w:keepNext/>
        <w:keepLines/>
        <w:numPr>
          <w:ilvl w:val="0"/>
          <w:numId w:val="11"/>
        </w:numPr>
        <w:spacing w:before="340" w:after="330" w:line="578" w:lineRule="auto"/>
        <w:outlineLvl w:val="0"/>
        <w:rPr>
          <w:rFonts w:ascii="宋体" w:hAnsi="宋体" w:cs="宋体"/>
          <w:b/>
          <w:bCs/>
          <w:color w:val="auto"/>
          <w:kern w:val="44"/>
          <w:sz w:val="44"/>
          <w:szCs w:val="44"/>
          <w:highlight w:val="none"/>
        </w:rPr>
        <w:sectPr>
          <w:headerReference r:id="rId4" w:type="default"/>
          <w:footerReference r:id="rId5" w:type="default"/>
          <w:footnotePr>
            <w:numRestart w:val="eachPage"/>
          </w:footnotePr>
          <w:endnotePr>
            <w:numRestart w:val="eachSect"/>
          </w:endnotePr>
          <w:pgSz w:w="11907" w:h="16840"/>
          <w:pgMar w:top="1440" w:right="1080" w:bottom="1440" w:left="1080" w:header="851" w:footer="839" w:gutter="0"/>
          <w:cols w:space="720" w:num="1"/>
          <w:docGrid w:linePitch="435" w:charSpace="-6554"/>
        </w:sectPr>
      </w:pPr>
    </w:p>
    <w:p w14:paraId="4DE7842A">
      <w:pPr>
        <w:snapToGrid w:val="0"/>
        <w:spacing w:line="360" w:lineRule="auto"/>
        <w:ind w:left="3358" w:leftChars="1599"/>
        <w:rPr>
          <w:rFonts w:hint="eastAsia" w:ascii="宋体" w:hAnsi="宋体" w:eastAsia="宋体" w:cs="宋体"/>
          <w:b/>
          <w:bCs/>
          <w:szCs w:val="24"/>
          <w:highlight w:val="none"/>
        </w:rPr>
      </w:pPr>
    </w:p>
    <w:p w14:paraId="08038D99">
      <w:pPr>
        <w:keepLines/>
        <w:widowControl/>
        <w:snapToGrid w:val="0"/>
        <w:spacing w:before="120" w:beforeLines="50" w:line="360" w:lineRule="auto"/>
        <w:jc w:val="center"/>
        <w:outlineLvl w:val="2"/>
        <w:rPr>
          <w:rFonts w:hint="eastAsia" w:ascii="宋体" w:hAnsi="宋体" w:eastAsia="宋体" w:cs="宋体"/>
          <w:b/>
          <w:kern w:val="2"/>
          <w:highlight w:val="none"/>
        </w:rPr>
      </w:pPr>
      <w:bookmarkStart w:id="22" w:name="_Toc403733988"/>
      <w:bookmarkStart w:id="23" w:name="_Toc8488"/>
      <w:bookmarkStart w:id="24" w:name="_Toc270512726"/>
      <w:bookmarkStart w:id="25" w:name="_Toc42857984"/>
      <w:bookmarkStart w:id="26" w:name="_Toc413830630"/>
      <w:bookmarkStart w:id="27" w:name="_Toc426321894"/>
      <w:r>
        <w:rPr>
          <w:rFonts w:hint="eastAsia" w:ascii="宋体" w:hAnsi="宋体" w:eastAsia="宋体" w:cs="宋体"/>
          <w:b/>
          <w:kern w:val="2"/>
          <w:highlight w:val="none"/>
        </w:rPr>
        <w:t>第1节 通用合同条款</w:t>
      </w:r>
      <w:bookmarkEnd w:id="22"/>
      <w:bookmarkEnd w:id="23"/>
      <w:bookmarkEnd w:id="24"/>
      <w:bookmarkEnd w:id="25"/>
      <w:bookmarkEnd w:id="26"/>
    </w:p>
    <w:p w14:paraId="0251173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通用合同条款使用浙水建【2014】1号文《浙江省水利水电工程施工招标文件示范文本》中的第4章通用合同条款。</w:t>
      </w:r>
    </w:p>
    <w:p w14:paraId="3BFC0E20">
      <w:pPr>
        <w:keepLines/>
        <w:widowControl/>
        <w:snapToGrid w:val="0"/>
        <w:spacing w:before="120" w:beforeLines="50" w:line="360" w:lineRule="auto"/>
        <w:jc w:val="center"/>
        <w:outlineLvl w:val="2"/>
        <w:rPr>
          <w:rFonts w:hint="eastAsia" w:ascii="宋体" w:hAnsi="宋体" w:eastAsia="宋体" w:cs="宋体"/>
          <w:b/>
          <w:kern w:val="2"/>
          <w:highlight w:val="none"/>
        </w:rPr>
      </w:pPr>
      <w:bookmarkStart w:id="28" w:name="_Toc42857985"/>
      <w:bookmarkStart w:id="29" w:name="_Toc413830631"/>
      <w:bookmarkStart w:id="30" w:name="_Toc27330"/>
      <w:bookmarkStart w:id="31" w:name="_Toc403733989"/>
      <w:bookmarkStart w:id="32" w:name="_Toc270512727"/>
      <w:r>
        <w:rPr>
          <w:rFonts w:hint="eastAsia" w:ascii="宋体" w:hAnsi="宋体" w:eastAsia="宋体" w:cs="宋体"/>
          <w:b/>
          <w:kern w:val="2"/>
          <w:highlight w:val="none"/>
        </w:rPr>
        <w:t>第2节 专用合同条款</w:t>
      </w:r>
      <w:bookmarkEnd w:id="28"/>
      <w:bookmarkEnd w:id="29"/>
      <w:bookmarkEnd w:id="30"/>
      <w:bookmarkEnd w:id="31"/>
      <w:bookmarkEnd w:id="32"/>
    </w:p>
    <w:p w14:paraId="033CFD15">
      <w:pPr>
        <w:pStyle w:val="2"/>
        <w:rPr>
          <w:rFonts w:hint="eastAsia" w:ascii="宋体" w:hAnsi="宋体" w:eastAsia="宋体" w:cs="宋体"/>
          <w:highlight w:val="none"/>
        </w:rPr>
      </w:pPr>
    </w:p>
    <w:p w14:paraId="5593AF0B">
      <w:pPr>
        <w:pStyle w:val="6"/>
        <w:snapToGrid w:val="0"/>
        <w:spacing w:line="420" w:lineRule="exact"/>
        <w:rPr>
          <w:rFonts w:hint="eastAsia" w:ascii="宋体" w:hAnsi="宋体" w:eastAsia="宋体" w:cs="宋体"/>
          <w:bCs/>
          <w:sz w:val="21"/>
          <w:szCs w:val="21"/>
          <w:highlight w:val="none"/>
        </w:rPr>
      </w:pPr>
      <w:r>
        <w:rPr>
          <w:rStyle w:val="105"/>
          <w:rFonts w:hint="eastAsia" w:ascii="宋体" w:hAnsi="宋体" w:eastAsia="宋体" w:cs="宋体"/>
          <w:b/>
          <w:bCs/>
          <w:sz w:val="21"/>
          <w:szCs w:val="21"/>
          <w:highlight w:val="none"/>
        </w:rPr>
        <w:t>1 一般约定</w:t>
      </w:r>
    </w:p>
    <w:p w14:paraId="6BFB9C6F">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1.1 词语定义</w:t>
      </w:r>
    </w:p>
    <w:p w14:paraId="4776E770">
      <w:pPr>
        <w:pStyle w:val="17"/>
        <w:snapToGrid w:val="0"/>
        <w:spacing w:after="0"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1.1.2 合同当事人和人员</w:t>
      </w:r>
    </w:p>
    <w:p w14:paraId="701A0385">
      <w:pPr>
        <w:tabs>
          <w:tab w:val="left" w:pos="36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1.1.2.2 发包人：</w:t>
      </w:r>
      <w:r>
        <w:rPr>
          <w:rFonts w:hint="eastAsia" w:ascii="宋体" w:hAnsi="宋体" w:eastAsia="宋体" w:cs="宋体"/>
          <w:sz w:val="21"/>
          <w:szCs w:val="21"/>
          <w:highlight w:val="none"/>
          <w:u w:val="single"/>
          <w:lang w:eastAsia="zh-CN"/>
        </w:rPr>
        <w:t>天台县里石门水库事务中心</w:t>
      </w:r>
      <w:r>
        <w:rPr>
          <w:rFonts w:hint="eastAsia" w:ascii="宋体" w:hAnsi="宋体" w:eastAsia="宋体" w:cs="宋体"/>
          <w:sz w:val="21"/>
          <w:szCs w:val="21"/>
          <w:highlight w:val="none"/>
        </w:rPr>
        <w:t>。</w:t>
      </w:r>
    </w:p>
    <w:p w14:paraId="7B889ABC">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1.1.2.3 承包人：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E3BEECA">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1.1.2.5 分包人：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BA26F35">
      <w:pPr>
        <w:tabs>
          <w:tab w:val="left" w:pos="36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1.1.2.6 监理人：</w:t>
      </w:r>
      <w:r>
        <w:rPr>
          <w:rFonts w:hint="eastAsia" w:ascii="宋体" w:hAnsi="宋体" w:eastAsia="宋体" w:cs="宋体"/>
          <w:sz w:val="21"/>
          <w:szCs w:val="21"/>
          <w:highlight w:val="none"/>
          <w:u w:val="single"/>
        </w:rPr>
        <w:t xml:space="preserve"> 浙江天水之利工程管理有限公司     </w:t>
      </w:r>
      <w:r>
        <w:rPr>
          <w:rFonts w:hint="eastAsia" w:ascii="宋体" w:hAnsi="宋体" w:eastAsia="宋体" w:cs="宋体"/>
          <w:sz w:val="21"/>
          <w:szCs w:val="21"/>
          <w:highlight w:val="none"/>
        </w:rPr>
        <w:t>。</w:t>
      </w:r>
    </w:p>
    <w:p w14:paraId="41CE0E34">
      <w:pPr>
        <w:tabs>
          <w:tab w:val="left" w:pos="36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1.1.3 工程和设备</w:t>
      </w:r>
    </w:p>
    <w:p w14:paraId="4300FEC3">
      <w:pPr>
        <w:tabs>
          <w:tab w:val="left" w:pos="36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1.1.3.4 单位工程：指经工程质量监督机构确认的工程项目划分表中确定的具有独立发挥作用或独立施工条件的永久建筑物。</w:t>
      </w:r>
    </w:p>
    <w:p w14:paraId="31CC7827">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1.1.4 日期</w:t>
      </w:r>
    </w:p>
    <w:p w14:paraId="3904846A">
      <w:pPr>
        <w:tabs>
          <w:tab w:val="left" w:pos="36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1.1.4.5缺陷责任期（工程质量保修期）：</w:t>
      </w:r>
      <w:r>
        <w:rPr>
          <w:rFonts w:hint="eastAsia" w:ascii="宋体" w:hAnsi="宋体" w:eastAsia="宋体" w:cs="宋体"/>
          <w:snapToGrid w:val="0"/>
          <w:color w:val="FF0000"/>
          <w:sz w:val="21"/>
          <w:szCs w:val="21"/>
          <w:highlight w:val="none"/>
          <w:u w:val="single"/>
        </w:rPr>
        <w:t>本工程缺陷责任期为</w:t>
      </w:r>
      <w:r>
        <w:rPr>
          <w:rFonts w:hint="eastAsia" w:ascii="宋体" w:hAnsi="宋体" w:cs="宋体"/>
          <w:snapToGrid w:val="0"/>
          <w:color w:val="FF0000"/>
          <w:sz w:val="21"/>
          <w:szCs w:val="21"/>
          <w:highlight w:val="none"/>
          <w:u w:val="single"/>
          <w:lang w:val="en-US" w:eastAsia="zh-CN"/>
        </w:rPr>
        <w:t>1</w:t>
      </w:r>
      <w:r>
        <w:rPr>
          <w:rFonts w:hint="eastAsia" w:ascii="宋体" w:hAnsi="宋体" w:eastAsia="宋体" w:cs="宋体"/>
          <w:snapToGrid w:val="0"/>
          <w:color w:val="FF0000"/>
          <w:sz w:val="21"/>
          <w:szCs w:val="21"/>
          <w:highlight w:val="none"/>
          <w:u w:val="single"/>
        </w:rPr>
        <w:t>年</w:t>
      </w:r>
      <w:r>
        <w:rPr>
          <w:rFonts w:hint="eastAsia" w:ascii="宋体" w:hAnsi="宋体" w:eastAsia="宋体" w:cs="宋体"/>
          <w:color w:val="FF0000"/>
          <w:sz w:val="21"/>
          <w:szCs w:val="21"/>
          <w:highlight w:val="none"/>
        </w:rPr>
        <w:t>。</w:t>
      </w:r>
    </w:p>
    <w:p w14:paraId="20F909B8">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1.1.6 其他</w:t>
      </w:r>
    </w:p>
    <w:p w14:paraId="226178BB">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1.1.6.2 完工验收：指《水利水电建设工程验收规程》中的合同工程完工验收。通用合同条款中“竣工验收”一词具有相同含义。</w:t>
      </w:r>
    </w:p>
    <w:p w14:paraId="1A319CB6">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1.4 合同文件的优先顺序</w:t>
      </w:r>
    </w:p>
    <w:p w14:paraId="475F9F50">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除合同另有规定外，解释合同文件的优先顺序如下：</w:t>
      </w:r>
    </w:p>
    <w:p w14:paraId="317C66D7">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（1）协议书（包括补充协议书）；</w:t>
      </w:r>
    </w:p>
    <w:p w14:paraId="6C467636">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（2）中标通知书；</w:t>
      </w:r>
    </w:p>
    <w:p w14:paraId="7D74E181">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（3）投标函及投标函附录；</w:t>
      </w:r>
    </w:p>
    <w:p w14:paraId="1B24B259">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（4）招投标文件澄清问题、澄清问题的复函、补充通知等相关资料；</w:t>
      </w:r>
    </w:p>
    <w:p w14:paraId="5C06D2C8">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（5）专用合同条款；</w:t>
      </w:r>
    </w:p>
    <w:p w14:paraId="6D6A6B58">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（6）通用合同条款；</w:t>
      </w:r>
    </w:p>
    <w:p w14:paraId="2B9B4AD2">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（7）技术标准和要求； </w:t>
      </w:r>
    </w:p>
    <w:p w14:paraId="0EB71E29">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（8）图纸； </w:t>
      </w:r>
    </w:p>
    <w:p w14:paraId="35E84E79">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（9）已标价的工程量清单</w:t>
      </w:r>
    </w:p>
    <w:p w14:paraId="24F6D6F8">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（10）经双方确认进入合同的其他文件。</w:t>
      </w:r>
    </w:p>
    <w:p w14:paraId="540356B2">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1.7 联络</w:t>
      </w:r>
    </w:p>
    <w:p w14:paraId="5D298FED">
      <w:pPr>
        <w:snapToGrid w:val="0"/>
        <w:spacing w:line="420" w:lineRule="exact"/>
        <w:ind w:firstLine="48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1.7.2 来往函件均应按技术标准和要求（合同技术条款）约定的期限</w:t>
      </w:r>
      <w:r>
        <w:rPr>
          <w:rFonts w:hint="eastAsia" w:ascii="宋体" w:hAnsi="宋体" w:eastAsia="宋体" w:cs="宋体"/>
          <w:sz w:val="21"/>
          <w:szCs w:val="21"/>
          <w:highlight w:val="none"/>
          <w:u w:val="single"/>
        </w:rPr>
        <w:t>送达项目监理部、项目管理部以及发包人项目负责人</w:t>
      </w:r>
      <w:r>
        <w:rPr>
          <w:rFonts w:hint="eastAsia" w:ascii="宋体" w:hAnsi="宋体" w:eastAsia="宋体" w:cs="宋体"/>
          <w:sz w:val="21"/>
          <w:szCs w:val="21"/>
          <w:highlight w:val="none"/>
          <w:u w:val="none"/>
          <w:lang w:eastAsia="zh-CN"/>
        </w:rPr>
        <w:t>。</w:t>
      </w:r>
    </w:p>
    <w:p w14:paraId="3B27A448">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2 发包人义务</w:t>
      </w:r>
    </w:p>
    <w:p w14:paraId="38A9D56A">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2.3 提供施工场地</w:t>
      </w:r>
    </w:p>
    <w:p w14:paraId="7EA047F0">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2.3.2发包人提供的用地范围：</w:t>
      </w:r>
      <w:r>
        <w:rPr>
          <w:rFonts w:hint="eastAsia" w:ascii="宋体" w:hAnsi="宋体" w:eastAsia="宋体" w:cs="宋体"/>
          <w:sz w:val="21"/>
          <w:szCs w:val="21"/>
          <w:highlight w:val="none"/>
          <w:u w:val="single"/>
        </w:rPr>
        <w:t xml:space="preserve"> 规划部门批准的红线范围或借地范围，承包人应无条件接受现场条件。超出上述范围需要使用的场地，均由承包人自行解决，并自行办妥一切需要办理的手续，由此引起的一切纠纷、事故和赔偿责任，均由承包人承担              </w:t>
      </w:r>
      <w:r>
        <w:rPr>
          <w:rFonts w:hint="eastAsia" w:ascii="宋体" w:hAnsi="宋体" w:eastAsia="宋体" w:cs="宋体"/>
          <w:sz w:val="21"/>
          <w:szCs w:val="21"/>
          <w:highlight w:val="none"/>
        </w:rPr>
        <w:t>。</w:t>
      </w:r>
    </w:p>
    <w:p w14:paraId="569B5FA4">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2.3.3 承包人自行勘察的施工场地范围：</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651E85A7">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3 监理人</w:t>
      </w:r>
    </w:p>
    <w:p w14:paraId="4A09565A">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3.1 监理人的职责和权力</w:t>
      </w:r>
    </w:p>
    <w:p w14:paraId="413621B0">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3.1.1监理人须根据发包人事先批准的权力范围行使权力，需经发包人批准的权利范围：</w:t>
      </w:r>
    </w:p>
    <w:p w14:paraId="09C45098">
      <w:pPr>
        <w:pStyle w:val="82"/>
        <w:widowControl w:val="0"/>
        <w:snapToGrid w:val="0"/>
        <w:spacing w:after="0" w:line="420" w:lineRule="exact"/>
        <w:ind w:left="0" w:firstLine="48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（1）按第4.3条约定，批准工程的分包；</w:t>
      </w:r>
    </w:p>
    <w:p w14:paraId="0D6957CF">
      <w:pPr>
        <w:pStyle w:val="82"/>
        <w:widowControl w:val="0"/>
        <w:snapToGrid w:val="0"/>
        <w:spacing w:after="0" w:line="420" w:lineRule="exact"/>
        <w:ind w:left="0" w:firstLine="48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（2）按第11.3条约定，确定延长完工期限；</w:t>
      </w:r>
    </w:p>
    <w:p w14:paraId="458E5570">
      <w:pPr>
        <w:pStyle w:val="82"/>
        <w:widowControl w:val="0"/>
        <w:snapToGrid w:val="0"/>
        <w:spacing w:after="0" w:line="420" w:lineRule="exact"/>
        <w:ind w:left="0" w:firstLine="48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（3）按第15.4条规定，批准因变更而变动的单价和合价；</w:t>
      </w:r>
    </w:p>
    <w:p w14:paraId="3FC2DDEA">
      <w:pPr>
        <w:pStyle w:val="82"/>
        <w:widowControl w:val="0"/>
        <w:snapToGrid w:val="0"/>
        <w:spacing w:after="0" w:line="420" w:lineRule="exact"/>
        <w:ind w:left="0" w:firstLine="48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（4）按第23条约定，作出索赔的处理的决定；</w:t>
      </w:r>
    </w:p>
    <w:p w14:paraId="4256BAB9">
      <w:pPr>
        <w:pStyle w:val="82"/>
        <w:widowControl w:val="0"/>
        <w:snapToGrid w:val="0"/>
        <w:spacing w:after="0" w:line="420" w:lineRule="exact"/>
        <w:ind w:left="0" w:firstLine="48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（5）批准承包人主要管理人员（施工项目负责人、技术负责人、质量负责人、安全负责人、施工员、安全员、质检员、专职安全员等）的调动和重要设备的调遣；</w:t>
      </w:r>
    </w:p>
    <w:p w14:paraId="267F18FE">
      <w:pPr>
        <w:pStyle w:val="82"/>
        <w:widowControl w:val="0"/>
        <w:snapToGrid w:val="0"/>
        <w:spacing w:after="0" w:line="420" w:lineRule="exact"/>
        <w:ind w:left="0" w:firstLine="48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（7）作出其他影响工期、质量、合同价格等其他重大决定。</w:t>
      </w:r>
    </w:p>
    <w:p w14:paraId="1B9BD2AF">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4 承包人</w:t>
      </w:r>
    </w:p>
    <w:p w14:paraId="1C293CBA">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4.1 承包人一般义务</w:t>
      </w:r>
    </w:p>
    <w:p w14:paraId="69AFF011">
      <w:pPr>
        <w:snapToGrid w:val="0"/>
        <w:spacing w:line="420" w:lineRule="exact"/>
        <w:ind w:firstLine="420" w:firstLineChars="200"/>
        <w:rPr>
          <w:rFonts w:hint="eastAsia" w:ascii="宋体" w:hAnsi="宋体" w:eastAsia="宋体" w:cs="宋体"/>
          <w:i/>
          <w:snapToGrid w:val="0"/>
          <w:sz w:val="21"/>
          <w:szCs w:val="21"/>
          <w:highlight w:val="none"/>
        </w:rPr>
      </w:pPr>
      <w:r>
        <w:rPr>
          <w:rFonts w:hint="eastAsia" w:ascii="宋体" w:hAnsi="宋体" w:eastAsia="宋体" w:cs="宋体"/>
          <w:snapToGrid w:val="0"/>
          <w:sz w:val="21"/>
          <w:szCs w:val="21"/>
          <w:highlight w:val="none"/>
        </w:rPr>
        <w:t>4.1.10 其它义务</w:t>
      </w:r>
    </w:p>
    <w:p w14:paraId="598EFCD2">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承包人应按有关规定自行落实为完成本工程需临时占用的土地，并办理相关手续，所发生的的费用由承包人自行承担，并包含在报价中，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14:paraId="2F21531E">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（2）承包人应根据工程施工情况及监理人的指令，及时向监理人提交开工报告、测量报告、试验检验报告、隐蔽工程验收通知、工程质量自检报告、竣工验收申请报告及工程事故报告等。</w:t>
      </w:r>
    </w:p>
    <w:p w14:paraId="5B902ECB">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（3）必须接受发包人、监理单位的管理，并为其开展工作和生活提供方便，按照要求提供完整真实的原始数据、检测记录等技术资料及各种报表。承包人应执行发包人对工程管理所制定的各项管理制度。</w:t>
      </w:r>
    </w:p>
    <w:p w14:paraId="17735562">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4）在整个施工过程中对承包人采取的安全、保卫和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CF6086D">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（5）本工程完工验收通过后15日内，承包人应自行拆除施工临时设施，撤退施工机械设备并清理场地，修复场内的交通道路，撤离所有施工人员。</w:t>
      </w:r>
    </w:p>
    <w:p w14:paraId="7A65F860">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（6）承包人在工程实施中应按照水利部、台州市及上级有关部门相关文件资料归档要求及时整理施工过程中的相关资料，做好资料归档工作，并根据发包人的要求按时提供，该项工作作为合同履约的组成部分。</w:t>
      </w:r>
    </w:p>
    <w:p w14:paraId="719D6F3D">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（7）在保修期内要及时做好回访工作，需保修责任范围的事项应及时按质检标准修好。</w:t>
      </w:r>
    </w:p>
    <w:p w14:paraId="4A127414">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8）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14:paraId="5F3786A5">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（9）本工程多余的所有</w:t>
      </w:r>
      <w:r>
        <w:rPr>
          <w:rFonts w:hint="eastAsia" w:ascii="宋体" w:hAnsi="宋体" w:eastAsia="宋体" w:cs="宋体"/>
          <w:snapToGrid w:val="0"/>
          <w:color w:val="FF0000"/>
          <w:sz w:val="21"/>
          <w:szCs w:val="21"/>
          <w:highlight w:val="none"/>
        </w:rPr>
        <w:t>弃土弃渣、</w:t>
      </w:r>
      <w:r>
        <w:rPr>
          <w:rFonts w:hint="eastAsia" w:ascii="宋体" w:hAnsi="宋体" w:eastAsia="宋体" w:cs="宋体"/>
          <w:snapToGrid w:val="0"/>
          <w:color w:val="FF0000"/>
          <w:sz w:val="21"/>
          <w:szCs w:val="21"/>
          <w:highlight w:val="none"/>
          <w:lang w:val="en-US" w:eastAsia="zh-CN"/>
        </w:rPr>
        <w:t>条石</w:t>
      </w:r>
      <w:r>
        <w:rPr>
          <w:rFonts w:hint="eastAsia" w:ascii="宋体" w:hAnsi="宋体" w:eastAsia="宋体" w:cs="宋体"/>
          <w:snapToGrid w:val="0"/>
          <w:color w:val="FF0000"/>
          <w:sz w:val="21"/>
          <w:szCs w:val="21"/>
          <w:highlight w:val="none"/>
        </w:rPr>
        <w:t>均堆放在</w:t>
      </w:r>
      <w:r>
        <w:rPr>
          <w:rFonts w:hint="eastAsia" w:ascii="宋体" w:hAnsi="宋体" w:eastAsia="宋体" w:cs="宋体"/>
          <w:snapToGrid w:val="0"/>
          <w:color w:val="FF0000"/>
          <w:sz w:val="21"/>
          <w:szCs w:val="21"/>
          <w:highlight w:val="none"/>
          <w:lang w:val="en-US" w:eastAsia="zh-CN"/>
        </w:rPr>
        <w:t>建设单位指定场地</w:t>
      </w:r>
      <w:r>
        <w:rPr>
          <w:rFonts w:hint="eastAsia" w:ascii="宋体" w:hAnsi="宋体" w:eastAsia="宋体" w:cs="宋体"/>
          <w:snapToGrid w:val="0"/>
          <w:sz w:val="21"/>
          <w:szCs w:val="21"/>
          <w:highlight w:val="none"/>
        </w:rPr>
        <w:t>，承包人应自行测算运输距离，土石方开挖单价不因线路变化而调整，承包人应按监理人批准的环境保护措施计划，在弃渣场周围及场地内设置防洪和排水设施，防止冲刷弃渣，造成水土流失。投标人应将上述所需费用计入投标报价，发包人不再另行支付。</w:t>
      </w:r>
    </w:p>
    <w:p w14:paraId="35841D2C">
      <w:pPr>
        <w:pStyle w:val="7"/>
        <w:tabs>
          <w:tab w:val="left" w:pos="0"/>
          <w:tab w:val="clear" w:pos="1008"/>
        </w:tabs>
        <w:suppressAutoHyphens/>
        <w:snapToGrid w:val="0"/>
        <w:spacing w:before="0" w:after="0" w:line="420" w:lineRule="exact"/>
        <w:rPr>
          <w:rStyle w:val="105"/>
          <w:rFonts w:hint="eastAsia" w:ascii="宋体" w:hAnsi="宋体" w:eastAsia="宋体" w:cs="宋体"/>
          <w:b/>
          <w:spacing w:val="0"/>
          <w:sz w:val="21"/>
          <w:highlight w:val="none"/>
        </w:rPr>
      </w:pPr>
      <w:r>
        <w:rPr>
          <w:rStyle w:val="105"/>
          <w:rFonts w:hint="eastAsia" w:ascii="宋体" w:hAnsi="宋体" w:eastAsia="宋体" w:cs="宋体"/>
          <w:b/>
          <w:spacing w:val="0"/>
          <w:sz w:val="21"/>
          <w:szCs w:val="21"/>
          <w:highlight w:val="none"/>
        </w:rPr>
        <w:t>4.2履约担保</w:t>
      </w:r>
    </w:p>
    <w:p w14:paraId="5A0026EE">
      <w:pPr>
        <w:tabs>
          <w:tab w:val="left" w:pos="2790"/>
        </w:tabs>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承包人应保证其履约担保在发包人颁发合同工程完工证书前一直有效。承包商履约保函有效期内，如合同规定的承包人履约义务未完成的，应在履约保函到期日前及时办理续保手续，否则发包人有权暂停支付工程款。</w:t>
      </w:r>
    </w:p>
    <w:p w14:paraId="34079A05">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4.3 分包</w:t>
      </w:r>
    </w:p>
    <w:p w14:paraId="7C4CA68E">
      <w:pPr>
        <w:pStyle w:val="188"/>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4.3.2 允许承包人分包的工程项目、工作内容与分包金额限额为：</w:t>
      </w:r>
    </w:p>
    <w:p w14:paraId="716DCCBB">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（1）工程项目：</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p>
    <w:p w14:paraId="28C00E09">
      <w:pPr>
        <w:widowControl/>
        <w:snapToGrid w:val="0"/>
        <w:spacing w:line="420" w:lineRule="exact"/>
        <w:ind w:firstLine="48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（2）工作内容：</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p>
    <w:p w14:paraId="4DAC6C62">
      <w:pPr>
        <w:widowControl/>
        <w:snapToGrid w:val="0"/>
        <w:spacing w:line="420" w:lineRule="exact"/>
        <w:ind w:firstLine="480"/>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（3）分包金额限额：</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p>
    <w:p w14:paraId="54EC2129">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4.3.10 分包人项目管理机构的设立：</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543F92A">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4.5 承包人项目负责人</w:t>
      </w:r>
    </w:p>
    <w:p w14:paraId="31C1A94A">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补充4.5.5款：</w:t>
      </w:r>
    </w:p>
    <w:p w14:paraId="3B11235B">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（1）关于项目负责人每月在施工现场的时间要求：</w:t>
      </w:r>
      <w:r>
        <w:rPr>
          <w:rFonts w:hint="eastAsia" w:ascii="宋体" w:hAnsi="宋体" w:eastAsia="宋体" w:cs="宋体"/>
          <w:color w:val="FF0000"/>
          <w:sz w:val="21"/>
          <w:szCs w:val="21"/>
          <w:highlight w:val="none"/>
          <w:u w:val="single"/>
        </w:rPr>
        <w:t>月到位达到22天及以上</w:t>
      </w:r>
      <w:r>
        <w:rPr>
          <w:rFonts w:hint="eastAsia" w:ascii="宋体" w:hAnsi="宋体" w:eastAsia="宋体" w:cs="宋体"/>
          <w:color w:val="FF0000"/>
          <w:sz w:val="21"/>
          <w:szCs w:val="21"/>
          <w:highlight w:val="none"/>
        </w:rPr>
        <w:t>。</w:t>
      </w:r>
    </w:p>
    <w:p w14:paraId="16912F14">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（2）项目负责人未经批准，擅自离开施工现场的违约责任：</w:t>
      </w:r>
      <w:r>
        <w:rPr>
          <w:rFonts w:hint="eastAsia" w:ascii="宋体" w:hAnsi="宋体" w:eastAsia="宋体" w:cs="宋体"/>
          <w:sz w:val="21"/>
          <w:szCs w:val="21"/>
          <w:highlight w:val="none"/>
          <w:u w:val="single"/>
        </w:rPr>
        <w:t>项目负责人月到位达不到22天的，每天扣除人民币</w:t>
      </w:r>
      <w:r>
        <w:rPr>
          <w:rFonts w:hint="eastAsia" w:ascii="宋体" w:hAnsi="宋体" w:cs="宋体"/>
          <w:color w:val="FF0000"/>
          <w:sz w:val="21"/>
          <w:szCs w:val="21"/>
          <w:highlight w:val="none"/>
          <w:u w:val="single"/>
          <w:lang w:val="en-US" w:eastAsia="zh-CN"/>
        </w:rPr>
        <w:t>1</w:t>
      </w:r>
      <w:r>
        <w:rPr>
          <w:rFonts w:hint="eastAsia" w:ascii="宋体" w:hAnsi="宋体" w:eastAsia="宋体" w:cs="宋体"/>
          <w:color w:val="FF0000"/>
          <w:sz w:val="21"/>
          <w:szCs w:val="21"/>
          <w:highlight w:val="none"/>
          <w:u w:val="single"/>
        </w:rPr>
        <w:t>00</w:t>
      </w:r>
      <w:r>
        <w:rPr>
          <w:rFonts w:hint="eastAsia" w:ascii="宋体" w:hAnsi="宋体" w:eastAsia="宋体" w:cs="宋体"/>
          <w:color w:val="FF0000"/>
          <w:sz w:val="21"/>
          <w:szCs w:val="21"/>
          <w:highlight w:val="none"/>
          <w:u w:val="single"/>
          <w:lang w:val="en-US" w:eastAsia="zh-CN"/>
        </w:rPr>
        <w:t>0</w:t>
      </w:r>
      <w:r>
        <w:rPr>
          <w:rFonts w:hint="eastAsia" w:ascii="宋体" w:hAnsi="宋体" w:eastAsia="宋体" w:cs="宋体"/>
          <w:color w:val="FF0000"/>
          <w:sz w:val="21"/>
          <w:szCs w:val="21"/>
          <w:highlight w:val="none"/>
          <w:u w:val="single"/>
        </w:rPr>
        <w:t>元</w:t>
      </w:r>
      <w:r>
        <w:rPr>
          <w:rFonts w:hint="eastAsia" w:ascii="宋体" w:hAnsi="宋体" w:eastAsia="宋体" w:cs="宋体"/>
          <w:sz w:val="21"/>
          <w:szCs w:val="21"/>
          <w:highlight w:val="none"/>
          <w:u w:val="single"/>
        </w:rPr>
        <w:t>，每月结算；累计不到位15天的，没收全部履约担保金，同时赔偿发包人由此造成的损失并报当地相关主管部门列入黑名单。另遇有工程检查、验收或参观等活动时，无特殊原因不得离开施工现场。</w:t>
      </w:r>
    </w:p>
    <w:p w14:paraId="3304C0B3">
      <w:pPr>
        <w:snapToGrid w:val="0"/>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上述违约金在当月工程进度款中直接扣除</w:t>
      </w:r>
      <w:r>
        <w:rPr>
          <w:rFonts w:hint="eastAsia" w:ascii="宋体" w:hAnsi="宋体" w:eastAsia="宋体" w:cs="宋体"/>
          <w:snapToGrid w:val="0"/>
          <w:sz w:val="21"/>
          <w:szCs w:val="21"/>
          <w:highlight w:val="none"/>
        </w:rPr>
        <w:t>。在工地工作天数以监理人实际考勤记录为准。</w:t>
      </w:r>
      <w:r>
        <w:rPr>
          <w:rFonts w:hint="eastAsia" w:ascii="宋体" w:hAnsi="宋体" w:eastAsia="宋体" w:cs="宋体"/>
          <w:sz w:val="21"/>
          <w:szCs w:val="21"/>
          <w:highlight w:val="none"/>
        </w:rPr>
        <w:t>驻工地时间按天签到为准。</w:t>
      </w:r>
    </w:p>
    <w:p w14:paraId="7FBCC0F8">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发包人有权对严重违约的承包人终止合同，合同履约保证金不予返还。</w:t>
      </w:r>
    </w:p>
    <w:p w14:paraId="48853FFC">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4.6 承包人人员的管理</w:t>
      </w:r>
    </w:p>
    <w:p w14:paraId="1167CDC5">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4.6.5项目技术负责人、质量员、施工员、安全员每人每月驻工地的天数不少于</w:t>
      </w:r>
      <w:r>
        <w:rPr>
          <w:rFonts w:hint="eastAsia" w:ascii="宋体" w:hAnsi="宋体" w:eastAsia="宋体" w:cs="宋体"/>
          <w:color w:val="FF0000"/>
          <w:sz w:val="21"/>
          <w:szCs w:val="21"/>
          <w:highlight w:val="none"/>
        </w:rPr>
        <w:t>2</w:t>
      </w:r>
      <w:r>
        <w:rPr>
          <w:rFonts w:hint="eastAsia" w:ascii="宋体" w:hAnsi="宋体" w:cs="宋体"/>
          <w:color w:val="FF0000"/>
          <w:sz w:val="21"/>
          <w:szCs w:val="21"/>
          <w:highlight w:val="none"/>
          <w:lang w:val="en-US" w:eastAsia="zh-CN"/>
        </w:rPr>
        <w:t>6</w:t>
      </w:r>
      <w:r>
        <w:rPr>
          <w:rFonts w:hint="eastAsia" w:ascii="宋体" w:hAnsi="宋体" w:eastAsia="宋体" w:cs="宋体"/>
          <w:color w:val="FF0000"/>
          <w:sz w:val="21"/>
          <w:szCs w:val="21"/>
          <w:highlight w:val="none"/>
        </w:rPr>
        <w:t>天</w:t>
      </w:r>
      <w:r>
        <w:rPr>
          <w:rFonts w:hint="eastAsia" w:ascii="宋体" w:hAnsi="宋体" w:eastAsia="宋体" w:cs="宋体"/>
          <w:sz w:val="21"/>
          <w:szCs w:val="21"/>
          <w:highlight w:val="none"/>
        </w:rPr>
        <w:t>，每人每少一天支付违约金</w:t>
      </w:r>
      <w:r>
        <w:rPr>
          <w:rFonts w:hint="eastAsia" w:ascii="宋体" w:hAnsi="宋体" w:cs="宋体"/>
          <w:color w:val="FF0000"/>
          <w:sz w:val="21"/>
          <w:szCs w:val="21"/>
          <w:highlight w:val="none"/>
          <w:lang w:val="en-US" w:eastAsia="zh-CN"/>
        </w:rPr>
        <w:t>10</w:t>
      </w:r>
      <w:r>
        <w:rPr>
          <w:rFonts w:hint="eastAsia" w:ascii="宋体" w:hAnsi="宋体" w:eastAsia="宋体" w:cs="宋体"/>
          <w:color w:val="FF0000"/>
          <w:sz w:val="21"/>
          <w:szCs w:val="21"/>
          <w:highlight w:val="none"/>
          <w:lang w:val="en-US" w:eastAsia="zh-CN"/>
        </w:rPr>
        <w:t>00</w:t>
      </w:r>
      <w:r>
        <w:rPr>
          <w:rFonts w:hint="eastAsia" w:ascii="宋体" w:hAnsi="宋体" w:eastAsia="宋体" w:cs="宋体"/>
          <w:sz w:val="21"/>
          <w:szCs w:val="21"/>
          <w:highlight w:val="none"/>
        </w:rPr>
        <w:t>元，每月结算。</w:t>
      </w:r>
    </w:p>
    <w:p w14:paraId="1561ABFE">
      <w:pPr>
        <w:snapToGrid w:val="0"/>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上述违约金在当月工程进度款中直接扣除，</w:t>
      </w:r>
      <w:r>
        <w:rPr>
          <w:rFonts w:hint="eastAsia" w:ascii="宋体" w:hAnsi="宋体" w:eastAsia="宋体" w:cs="宋体"/>
          <w:snapToGrid w:val="0"/>
          <w:sz w:val="21"/>
          <w:szCs w:val="21"/>
          <w:highlight w:val="none"/>
        </w:rPr>
        <w:t>在工地工作天数以监理人实际考勤记录为准。</w:t>
      </w:r>
    </w:p>
    <w:p w14:paraId="16854E6B">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4.7 撤换承包人项目负责人和其他人员</w:t>
      </w:r>
    </w:p>
    <w:p w14:paraId="1DA3D1D8">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本款补充：</w:t>
      </w:r>
    </w:p>
    <w:p w14:paraId="00A9386E">
      <w:pPr>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项目负责人、技术负责人不得擅自更换。若承包人擅自更换的，除每人次需支付10万元的违约金外，发包人有权将其作为不良行为记录上报水行政主管部门；情节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14:paraId="6E68A727">
      <w:pPr>
        <w:snapToGrid w:val="0"/>
        <w:spacing w:line="42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承包人的质量负责人、安全负责人、</w:t>
      </w:r>
      <w:r>
        <w:rPr>
          <w:rFonts w:hint="eastAsia" w:ascii="宋体" w:hAnsi="宋体" w:eastAsia="宋体" w:cs="宋体"/>
          <w:sz w:val="21"/>
          <w:szCs w:val="21"/>
          <w:highlight w:val="none"/>
        </w:rPr>
        <w:t>专职安全生产管理人员、</w:t>
      </w:r>
      <w:r>
        <w:rPr>
          <w:rFonts w:hint="eastAsia" w:ascii="宋体" w:hAnsi="宋体" w:eastAsia="宋体" w:cs="宋体"/>
          <w:snapToGrid w:val="0"/>
          <w:sz w:val="21"/>
          <w:szCs w:val="21"/>
          <w:highlight w:val="none"/>
        </w:rPr>
        <w:t>质量员、施工员、安全员擅自调换每一人次需支付违约金1万元。违约金在工程进度付款中扣除。</w:t>
      </w:r>
    </w:p>
    <w:p w14:paraId="7F30BEC7">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4.11 不利物质条件</w:t>
      </w:r>
    </w:p>
    <w:p w14:paraId="04412B01">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4.11.1 不利物质条件的范围：</w:t>
      </w:r>
      <w:r>
        <w:rPr>
          <w:rFonts w:hint="eastAsia" w:ascii="宋体" w:hAnsi="宋体" w:eastAsia="宋体" w:cs="宋体"/>
          <w:sz w:val="21"/>
          <w:szCs w:val="21"/>
          <w:highlight w:val="none"/>
          <w:u w:val="single"/>
        </w:rPr>
        <w:t>施工中遇到文物或古迹</w:t>
      </w:r>
      <w:r>
        <w:rPr>
          <w:rFonts w:hint="eastAsia" w:ascii="宋体" w:hAnsi="宋体" w:eastAsia="宋体" w:cs="宋体"/>
          <w:sz w:val="21"/>
          <w:szCs w:val="21"/>
          <w:highlight w:val="none"/>
        </w:rPr>
        <w:t>。</w:t>
      </w:r>
    </w:p>
    <w:p w14:paraId="5A05B821">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5 材料和工程设备</w:t>
      </w:r>
    </w:p>
    <w:p w14:paraId="2027DC47">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5.2.1发包人不提供材料和工程设备。</w:t>
      </w:r>
    </w:p>
    <w:p w14:paraId="53B4A44A">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6 施工设备和临时设施</w:t>
      </w:r>
    </w:p>
    <w:p w14:paraId="637B570B">
      <w:pPr>
        <w:pStyle w:val="6"/>
        <w:snapToGrid w:val="0"/>
        <w:spacing w:line="420" w:lineRule="exact"/>
        <w:rPr>
          <w:rFonts w:hint="eastAsia" w:ascii="宋体" w:hAnsi="宋体" w:eastAsia="宋体" w:cs="宋体"/>
          <w:sz w:val="21"/>
          <w:szCs w:val="21"/>
          <w:highlight w:val="none"/>
        </w:rPr>
      </w:pPr>
      <w:r>
        <w:rPr>
          <w:rStyle w:val="105"/>
          <w:rFonts w:hint="eastAsia" w:ascii="宋体" w:hAnsi="宋体" w:eastAsia="宋体" w:cs="宋体"/>
          <w:b/>
          <w:sz w:val="21"/>
          <w:szCs w:val="21"/>
          <w:highlight w:val="none"/>
        </w:rPr>
        <w:t>6.2 发包人提供的施工设备和临时设施</w:t>
      </w:r>
    </w:p>
    <w:p w14:paraId="1B49E584">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删去本款全文，并代之以：</w:t>
      </w:r>
      <w:r>
        <w:rPr>
          <w:rFonts w:hint="eastAsia" w:ascii="宋体" w:hAnsi="宋体" w:eastAsia="宋体" w:cs="宋体"/>
          <w:sz w:val="21"/>
          <w:szCs w:val="21"/>
          <w:highlight w:val="none"/>
          <w:u w:val="single"/>
        </w:rPr>
        <w:t>发包人不提供施工设备和临时设施</w:t>
      </w:r>
      <w:r>
        <w:rPr>
          <w:rFonts w:hint="eastAsia" w:ascii="宋体" w:hAnsi="宋体" w:eastAsia="宋体" w:cs="宋体"/>
          <w:sz w:val="21"/>
          <w:szCs w:val="21"/>
          <w:highlight w:val="none"/>
        </w:rPr>
        <w:t>。</w:t>
      </w:r>
    </w:p>
    <w:p w14:paraId="27FCFCEB">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7　交通运输</w:t>
      </w:r>
    </w:p>
    <w:p w14:paraId="10CEFD05">
      <w:pPr>
        <w:pStyle w:val="6"/>
        <w:snapToGrid w:val="0"/>
        <w:spacing w:line="420" w:lineRule="exact"/>
        <w:rPr>
          <w:rFonts w:hint="eastAsia" w:ascii="宋体" w:hAnsi="宋体" w:eastAsia="宋体" w:cs="宋体"/>
          <w:sz w:val="21"/>
          <w:szCs w:val="21"/>
          <w:highlight w:val="none"/>
        </w:rPr>
      </w:pPr>
      <w:r>
        <w:rPr>
          <w:rStyle w:val="105"/>
          <w:rFonts w:hint="eastAsia" w:ascii="宋体" w:hAnsi="宋体" w:eastAsia="宋体" w:cs="宋体"/>
          <w:b/>
          <w:sz w:val="21"/>
          <w:szCs w:val="21"/>
          <w:highlight w:val="none"/>
        </w:rPr>
        <w:t>7.1 道路通行权和场外设施</w:t>
      </w:r>
    </w:p>
    <w:p w14:paraId="179046DB">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道路通行权和场外设施的约定：</w:t>
      </w:r>
    </w:p>
    <w:p w14:paraId="715A0DD0">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（1）承包人自行协调场外道路、设施、行车干扰、道路维护修复、噪音粉尘扰民等所有不利的状况，所产生的费用和所有的风险由承包人自行在报价中综合考虑。</w:t>
      </w:r>
    </w:p>
    <w:p w14:paraId="56C45296">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（2）承包人负责场内过境车辆的协调和分流工作；</w:t>
      </w:r>
    </w:p>
    <w:p w14:paraId="02BE321C">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（3）本条（1）～（2）款相关费用计入措施费，不再另行计费。</w:t>
      </w:r>
    </w:p>
    <w:p w14:paraId="71C967BA">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8 测量放线</w:t>
      </w:r>
    </w:p>
    <w:p w14:paraId="5A768264">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8.1 施工控制网</w:t>
      </w:r>
    </w:p>
    <w:p w14:paraId="054245C9">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8.1.1 施工控制网的约定：发包人应在本合同协议书签订后的</w:t>
      </w:r>
      <w:r>
        <w:rPr>
          <w:rFonts w:hint="eastAsia" w:ascii="宋体" w:hAnsi="宋体" w:eastAsia="宋体" w:cs="宋体"/>
          <w:sz w:val="21"/>
          <w:szCs w:val="21"/>
          <w:highlight w:val="none"/>
          <w:u w:val="single"/>
        </w:rPr>
        <w:t xml:space="preserve"> 14 </w:t>
      </w:r>
      <w:r>
        <w:rPr>
          <w:rFonts w:hint="eastAsia" w:ascii="宋体" w:hAnsi="宋体" w:eastAsia="宋体" w:cs="宋体"/>
          <w:sz w:val="21"/>
          <w:szCs w:val="21"/>
          <w:highlight w:val="none"/>
        </w:rPr>
        <w:t>天内，通过监理人向承包人提供首级施工控制网成果。承包人在接到首级施工控制网成果后</w:t>
      </w:r>
      <w:r>
        <w:rPr>
          <w:rFonts w:hint="eastAsia" w:ascii="宋体" w:hAnsi="宋体" w:eastAsia="宋体" w:cs="宋体"/>
          <w:sz w:val="21"/>
          <w:szCs w:val="21"/>
          <w:highlight w:val="none"/>
          <w:u w:val="single"/>
        </w:rPr>
        <w:t xml:space="preserve"> 14</w:t>
      </w:r>
      <w:r>
        <w:rPr>
          <w:rFonts w:hint="eastAsia" w:ascii="宋体" w:hAnsi="宋体" w:eastAsia="宋体" w:cs="宋体"/>
          <w:sz w:val="21"/>
          <w:szCs w:val="21"/>
          <w:highlight w:val="none"/>
        </w:rPr>
        <w:t>天内完成施工控制网布设，并将施工控制网资料报送监理人审批。</w:t>
      </w:r>
    </w:p>
    <w:p w14:paraId="6BE28C13">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9 施工安全、治安保卫和环境保护</w:t>
      </w:r>
    </w:p>
    <w:p w14:paraId="09CAE4EE">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9.1 发包人的施工安全责任</w:t>
      </w:r>
    </w:p>
    <w:p w14:paraId="781E58BB">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9.1.4 发包人提供</w:t>
      </w:r>
      <w:r>
        <w:rPr>
          <w:rFonts w:hint="eastAsia" w:ascii="宋体" w:hAnsi="宋体" w:eastAsia="宋体" w:cs="宋体"/>
          <w:sz w:val="21"/>
          <w:szCs w:val="21"/>
          <w:highlight w:val="none"/>
          <w:u w:val="single"/>
        </w:rPr>
        <w:t xml:space="preserve"> 工程区域内的水文、地质等资料</w:t>
      </w:r>
      <w:r>
        <w:rPr>
          <w:rFonts w:hint="eastAsia" w:ascii="宋体" w:hAnsi="宋体" w:eastAsia="宋体" w:cs="宋体"/>
          <w:sz w:val="21"/>
          <w:szCs w:val="21"/>
          <w:highlight w:val="none"/>
        </w:rPr>
        <w:t>，其余资料由承包人负责收集。</w:t>
      </w:r>
    </w:p>
    <w:p w14:paraId="6D39B3CD">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9.2 承包人的施工安全责任</w:t>
      </w:r>
    </w:p>
    <w:p w14:paraId="2C10ADD1">
      <w:pPr>
        <w:spacing w:line="420" w:lineRule="exact"/>
        <w:ind w:firstLine="360"/>
        <w:rPr>
          <w:rFonts w:hint="eastAsia" w:ascii="宋体" w:hAnsi="宋体" w:eastAsia="宋体" w:cs="宋体"/>
          <w:sz w:val="21"/>
          <w:szCs w:val="21"/>
          <w:highlight w:val="none"/>
        </w:rPr>
      </w:pPr>
      <w:r>
        <w:rPr>
          <w:rFonts w:hint="eastAsia" w:ascii="宋体" w:hAnsi="宋体" w:eastAsia="宋体" w:cs="宋体"/>
          <w:sz w:val="21"/>
          <w:szCs w:val="21"/>
          <w:highlight w:val="none"/>
        </w:rPr>
        <w:t>9.2.5承包人的安全施工费不得作为竞争性费用。 “安全施工费”的使用管理办法按国家和浙江省有关规定执行。安全施工费包括文明施工费和施工安全费，应用于施工安全防护用具及设施的采购和更新、安全施工措施的落实、安全生产条件的改善，不得挪作他用。承包人必须按国家有关规定，切实落实各项安全技术措施，确保施工现场的安全生产和文明施工。在施工过程中由于承包人原因而发生的人身伤亡、财产损失及其它一切事故，其责任全部由承包人承担。</w:t>
      </w:r>
    </w:p>
    <w:p w14:paraId="584C2007">
      <w:pPr>
        <w:tabs>
          <w:tab w:val="left" w:pos="2790"/>
        </w:tabs>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施工合同签订时，承包人应同时与发包人签订安全生产协议书。</w:t>
      </w:r>
    </w:p>
    <w:p w14:paraId="59446F04">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9.4 环境保护</w:t>
      </w:r>
    </w:p>
    <w:p w14:paraId="00106436">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补充以下条款：</w:t>
      </w:r>
    </w:p>
    <w:p w14:paraId="4AFA8BA4">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9.4.7 承包人应严格执行国家有关水域环境生态保护的规定，合理选择施工机械和施工工艺，采取有效措施，减少施工对周边水域的影响。</w:t>
      </w:r>
    </w:p>
    <w:p w14:paraId="4E5FF97F">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9.4.8承包人应尽可能优化施工方案，严格限定施工活动范围，合理安排好施工时段和施工方式。加强水土流失防治，落实相应的工程措施、植物措施和临时措施。</w:t>
      </w:r>
    </w:p>
    <w:p w14:paraId="13C50CE2">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9.4.9承包人应做好施工区附近和施工公路沿线居民点的噪声和扬尘污染防治工作。选用低噪声设备，合理安排施工作业时间。建筑垃圾及施工人员生活垃圾须及时清运并妥善处理，禁止随意抛弃、排入水体。</w:t>
      </w:r>
    </w:p>
    <w:p w14:paraId="3543C162">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9.6 水土保持</w:t>
      </w:r>
    </w:p>
    <w:p w14:paraId="4E58CBE7">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增加以下条款：</w:t>
      </w:r>
    </w:p>
    <w:p w14:paraId="614250BD">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9.6.4 承包人的各类施工活动要严格限定在用地范围内，严禁随意占压、扰动和破坏地表植被；做好表土的剥离、集中堆放、拦挡、排水、苫盖及回覆等；施工过程中产生的弃土（渣）要及时清运至</w:t>
      </w:r>
      <w:r>
        <w:rPr>
          <w:rFonts w:hint="eastAsia" w:ascii="宋体" w:hAnsi="宋体" w:eastAsia="宋体" w:cs="宋体"/>
          <w:snapToGrid w:val="0"/>
          <w:color w:val="FF0000"/>
          <w:sz w:val="21"/>
          <w:szCs w:val="21"/>
          <w:highlight w:val="none"/>
          <w:u w:val="single"/>
        </w:rPr>
        <w:t>弃土弃渣、</w:t>
      </w:r>
      <w:r>
        <w:rPr>
          <w:rFonts w:hint="eastAsia" w:ascii="宋体" w:hAnsi="宋体" w:eastAsia="宋体" w:cs="宋体"/>
          <w:snapToGrid w:val="0"/>
          <w:color w:val="FF0000"/>
          <w:sz w:val="21"/>
          <w:szCs w:val="21"/>
          <w:highlight w:val="none"/>
          <w:u w:val="single"/>
          <w:lang w:val="en-US" w:eastAsia="zh-CN"/>
        </w:rPr>
        <w:t>条石</w:t>
      </w:r>
      <w:r>
        <w:rPr>
          <w:rFonts w:hint="eastAsia" w:ascii="宋体" w:hAnsi="宋体" w:eastAsia="宋体" w:cs="宋体"/>
          <w:snapToGrid w:val="0"/>
          <w:color w:val="FF0000"/>
          <w:sz w:val="21"/>
          <w:szCs w:val="21"/>
          <w:highlight w:val="none"/>
          <w:u w:val="single"/>
        </w:rPr>
        <w:t>均堆放在</w:t>
      </w:r>
      <w:r>
        <w:rPr>
          <w:rFonts w:hint="eastAsia" w:ascii="宋体" w:hAnsi="宋体" w:eastAsia="宋体" w:cs="宋体"/>
          <w:snapToGrid w:val="0"/>
          <w:color w:val="FF0000"/>
          <w:sz w:val="21"/>
          <w:szCs w:val="21"/>
          <w:highlight w:val="none"/>
          <w:u w:val="single"/>
          <w:lang w:val="en-US" w:eastAsia="zh-CN"/>
        </w:rPr>
        <w:t>建设单位指定场地</w:t>
      </w:r>
      <w:r>
        <w:rPr>
          <w:rFonts w:hint="eastAsia" w:ascii="宋体" w:hAnsi="宋体" w:eastAsia="宋体" w:cs="宋体"/>
          <w:sz w:val="21"/>
          <w:szCs w:val="21"/>
          <w:highlight w:val="none"/>
          <w:u w:val="single"/>
        </w:rPr>
        <w:t>消纳，禁止随意倾倒或在河道里堆弃。施工结束后要及时进行迹地整治、复耕或恢复植被。加强施工组织管理和临时防护措施，合理安排施工时序，严格控制施工期间可能造成的水土流失。</w:t>
      </w:r>
    </w:p>
    <w:p w14:paraId="7A019BE5">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9.7 文明工地</w:t>
      </w:r>
    </w:p>
    <w:p w14:paraId="460D2BAF">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本合同文明工地的约定：</w:t>
      </w:r>
      <w:r>
        <w:rPr>
          <w:rFonts w:hint="eastAsia" w:ascii="宋体" w:hAnsi="宋体" w:eastAsia="宋体" w:cs="宋体"/>
          <w:sz w:val="21"/>
          <w:szCs w:val="21"/>
          <w:highlight w:val="none"/>
          <w:u w:val="single"/>
        </w:rPr>
        <w:t>有关标准按工程所在地的规定执行。</w:t>
      </w:r>
    </w:p>
    <w:p w14:paraId="6738361C">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增加以下条款：</w:t>
      </w:r>
    </w:p>
    <w:p w14:paraId="0D523980">
      <w:pPr>
        <w:pStyle w:val="17"/>
        <w:spacing w:after="0" w:line="420" w:lineRule="exact"/>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在施工期间，应严格执行国家、省和本市有关建设工程安全、文明施工的规定；如因承包人管理不善，受到政府有关部门处罚或责令停工整改等，其发生的所有的费用和造成的损失均由承包人自行承担，工期不予顺延，且发包人保留因此而缓付工程进度款的权利</w:t>
      </w:r>
      <w:r>
        <w:rPr>
          <w:rFonts w:hint="eastAsia" w:ascii="宋体" w:hAnsi="宋体" w:eastAsia="宋体" w:cs="宋体"/>
          <w:sz w:val="21"/>
          <w:szCs w:val="21"/>
          <w:highlight w:val="none"/>
        </w:rPr>
        <w:t>。</w:t>
      </w:r>
    </w:p>
    <w:p w14:paraId="44447023">
      <w:pPr>
        <w:pStyle w:val="6"/>
        <w:snapToGrid w:val="0"/>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 开工和竣工（完工）</w:t>
      </w:r>
    </w:p>
    <w:p w14:paraId="5A0FF379">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11.1 开工</w:t>
      </w:r>
    </w:p>
    <w:p w14:paraId="28F7D805">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本工程计划于  年   月    日开工。具体开工日期以监理工程师发出的开工令为准。</w:t>
      </w:r>
    </w:p>
    <w:p w14:paraId="0F0184F6">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11.2  竣工（完工）</w:t>
      </w:r>
    </w:p>
    <w:p w14:paraId="1EC15DA8">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全部工程要求自监理工程师发出的开工令起</w:t>
      </w:r>
      <w:r>
        <w:rPr>
          <w:rFonts w:hint="eastAsia" w:ascii="宋体" w:hAnsi="宋体" w:eastAsia="宋体" w:cs="宋体"/>
          <w:sz w:val="21"/>
          <w:szCs w:val="21"/>
          <w:highlight w:val="none"/>
          <w:u w:val="single"/>
        </w:rPr>
        <w:t xml:space="preserve">   </w:t>
      </w:r>
      <w:r>
        <w:rPr>
          <w:rFonts w:hint="eastAsia" w:ascii="宋体" w:hAnsi="宋体" w:cs="宋体"/>
          <w:color w:val="FF0000"/>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天</w:t>
      </w:r>
      <w:r>
        <w:rPr>
          <w:rFonts w:hint="eastAsia" w:ascii="宋体" w:hAnsi="宋体" w:eastAsia="宋体" w:cs="宋体"/>
          <w:sz w:val="21"/>
          <w:szCs w:val="21"/>
          <w:highlight w:val="none"/>
        </w:rPr>
        <w:t>内完工。</w:t>
      </w:r>
    </w:p>
    <w:p w14:paraId="0CA149FB">
      <w:pPr>
        <w:pStyle w:val="7"/>
        <w:tabs>
          <w:tab w:val="left" w:pos="0"/>
          <w:tab w:val="clear" w:pos="1008"/>
        </w:tabs>
        <w:suppressAutoHyphens/>
        <w:snapToGrid w:val="0"/>
        <w:spacing w:before="0" w:after="0" w:line="420" w:lineRule="exact"/>
        <w:rPr>
          <w:rStyle w:val="105"/>
          <w:rFonts w:hint="eastAsia" w:ascii="宋体" w:hAnsi="宋体" w:eastAsia="宋体" w:cs="宋体"/>
          <w:b/>
          <w:spacing w:val="0"/>
          <w:sz w:val="21"/>
          <w:szCs w:val="21"/>
          <w:highlight w:val="none"/>
        </w:rPr>
      </w:pPr>
      <w:r>
        <w:rPr>
          <w:rStyle w:val="105"/>
          <w:rFonts w:hint="eastAsia" w:ascii="宋体" w:hAnsi="宋体" w:eastAsia="宋体" w:cs="宋体"/>
          <w:b/>
          <w:spacing w:val="0"/>
          <w:sz w:val="21"/>
          <w:szCs w:val="21"/>
          <w:highlight w:val="none"/>
        </w:rPr>
        <w:t>11.4 异常恶劣的气候条件</w:t>
      </w:r>
    </w:p>
    <w:p w14:paraId="60FADF67">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11.4.3 本合同工程界定异常恶劣的气候条件的范围为：</w:t>
      </w:r>
    </w:p>
    <w:p w14:paraId="61D365AC">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 日降雨量大于 </w:t>
      </w:r>
      <w:r>
        <w:rPr>
          <w:rFonts w:hint="eastAsia" w:ascii="宋体" w:hAnsi="宋体" w:eastAsia="宋体" w:cs="宋体"/>
          <w:sz w:val="21"/>
          <w:szCs w:val="21"/>
          <w:highlight w:val="none"/>
          <w:u w:val="single"/>
        </w:rPr>
        <w:t>50</w:t>
      </w:r>
      <w:r>
        <w:rPr>
          <w:rFonts w:hint="eastAsia" w:ascii="宋体" w:hAnsi="宋体" w:eastAsia="宋体" w:cs="宋体"/>
          <w:sz w:val="21"/>
          <w:szCs w:val="21"/>
          <w:highlight w:val="none"/>
        </w:rPr>
        <w:t xml:space="preserve"> mm的雨日超过</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天；</w:t>
      </w:r>
    </w:p>
    <w:p w14:paraId="367ACA6F">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 风速大于</w:t>
      </w:r>
      <w:r>
        <w:rPr>
          <w:rFonts w:hint="eastAsia" w:ascii="宋体" w:hAnsi="宋体" w:eastAsia="宋体" w:cs="宋体"/>
          <w:sz w:val="21"/>
          <w:szCs w:val="21"/>
          <w:highlight w:val="none"/>
          <w:u w:val="single"/>
        </w:rPr>
        <w:t>17</w:t>
      </w:r>
      <w:r>
        <w:rPr>
          <w:rFonts w:hint="eastAsia" w:ascii="宋体" w:hAnsi="宋体" w:eastAsia="宋体" w:cs="宋体"/>
          <w:sz w:val="21"/>
          <w:szCs w:val="21"/>
          <w:highlight w:val="none"/>
        </w:rPr>
        <w:t xml:space="preserve"> m/s的</w:t>
      </w:r>
      <w:r>
        <w:rPr>
          <w:rFonts w:hint="eastAsia" w:ascii="宋体" w:hAnsi="宋体" w:eastAsia="宋体" w:cs="宋体"/>
          <w:sz w:val="21"/>
          <w:szCs w:val="21"/>
          <w:highlight w:val="none"/>
          <w:u w:val="single"/>
        </w:rPr>
        <w:t>7</w:t>
      </w:r>
      <w:r>
        <w:rPr>
          <w:rFonts w:hint="eastAsia" w:ascii="宋体" w:hAnsi="宋体" w:eastAsia="宋体" w:cs="宋体"/>
          <w:sz w:val="21"/>
          <w:szCs w:val="21"/>
          <w:highlight w:val="none"/>
        </w:rPr>
        <w:t>级以上台风灾害；</w:t>
      </w:r>
    </w:p>
    <w:p w14:paraId="31B470CE">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 日气温超过</w:t>
      </w:r>
      <w:r>
        <w:rPr>
          <w:rFonts w:hint="eastAsia" w:ascii="宋体" w:hAnsi="宋体" w:eastAsia="宋体" w:cs="宋体"/>
          <w:sz w:val="21"/>
          <w:szCs w:val="21"/>
          <w:highlight w:val="none"/>
          <w:u w:val="single"/>
        </w:rPr>
        <w:t>40</w:t>
      </w:r>
      <w:r>
        <w:rPr>
          <w:rFonts w:hint="eastAsia" w:ascii="宋体" w:hAnsi="宋体" w:eastAsia="宋体" w:cs="宋体"/>
          <w:sz w:val="21"/>
          <w:szCs w:val="21"/>
          <w:highlight w:val="none"/>
        </w:rPr>
        <w:t>℃的高温大于</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天；</w:t>
      </w:r>
    </w:p>
    <w:p w14:paraId="60B2E5AE">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 日气温低于</w:t>
      </w:r>
      <w:r>
        <w:rPr>
          <w:rFonts w:hint="eastAsia" w:ascii="宋体" w:hAnsi="宋体" w:eastAsia="宋体" w:cs="宋体"/>
          <w:sz w:val="21"/>
          <w:szCs w:val="21"/>
          <w:highlight w:val="none"/>
          <w:u w:val="single"/>
        </w:rPr>
        <w:t>-5</w:t>
      </w:r>
      <w:r>
        <w:rPr>
          <w:rFonts w:hint="eastAsia" w:ascii="宋体" w:hAnsi="宋体" w:eastAsia="宋体" w:cs="宋体"/>
          <w:sz w:val="21"/>
          <w:szCs w:val="21"/>
          <w:highlight w:val="none"/>
        </w:rPr>
        <w:t>℃的严寒大于</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天；</w:t>
      </w:r>
    </w:p>
    <w:p w14:paraId="035DE756">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（5） 造成工程损失的冰雹和大雪灾害：冰雹天气或日降雪量超过</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mm以上的天气大于</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天；</w:t>
      </w:r>
    </w:p>
    <w:p w14:paraId="612CD74A">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（6） 其它异常恶劣气候灾害。</w:t>
      </w:r>
    </w:p>
    <w:p w14:paraId="7E7BFA29">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11.5 承包人的工期延误</w:t>
      </w:r>
    </w:p>
    <w:p w14:paraId="0F17F0BB">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（1）逾期完工违约金表</w:t>
      </w:r>
    </w:p>
    <w:p w14:paraId="6A1CF21E">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逾期完工违约金表</w:t>
      </w:r>
    </w:p>
    <w:tbl>
      <w:tblPr>
        <w:tblStyle w:val="42"/>
        <w:tblW w:w="0" w:type="auto"/>
        <w:tblInd w:w="28" w:type="dxa"/>
        <w:tblLayout w:type="fixed"/>
        <w:tblCellMar>
          <w:top w:w="0" w:type="dxa"/>
          <w:left w:w="28" w:type="dxa"/>
          <w:bottom w:w="0" w:type="dxa"/>
          <w:right w:w="28" w:type="dxa"/>
        </w:tblCellMar>
      </w:tblPr>
      <w:tblGrid>
        <w:gridCol w:w="851"/>
        <w:gridCol w:w="2268"/>
        <w:gridCol w:w="3260"/>
        <w:gridCol w:w="2461"/>
      </w:tblGrid>
      <w:tr w14:paraId="79A1835E">
        <w:tblPrEx>
          <w:tblCellMar>
            <w:top w:w="0" w:type="dxa"/>
            <w:left w:w="28" w:type="dxa"/>
            <w:bottom w:w="0" w:type="dxa"/>
            <w:right w:w="28" w:type="dxa"/>
          </w:tblCellMar>
        </w:tblPrEx>
        <w:trPr>
          <w:trHeight w:val="541" w:hRule="atLeast"/>
        </w:trPr>
        <w:tc>
          <w:tcPr>
            <w:tcW w:w="851" w:type="dxa"/>
            <w:tcBorders>
              <w:top w:val="single" w:color="000000" w:sz="8" w:space="0"/>
              <w:left w:val="single" w:color="000000" w:sz="8" w:space="0"/>
              <w:bottom w:val="single" w:color="000000" w:sz="4" w:space="0"/>
            </w:tcBorders>
            <w:noWrap w:val="0"/>
            <w:vAlign w:val="center"/>
          </w:tcPr>
          <w:p w14:paraId="165714A2">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268" w:type="dxa"/>
            <w:tcBorders>
              <w:top w:val="single" w:color="000000" w:sz="8" w:space="0"/>
              <w:left w:val="single" w:color="000000" w:sz="4" w:space="0"/>
              <w:bottom w:val="single" w:color="000000" w:sz="4" w:space="0"/>
            </w:tcBorders>
            <w:noWrap w:val="0"/>
            <w:vAlign w:val="center"/>
          </w:tcPr>
          <w:p w14:paraId="164C3383">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项目及其说明</w:t>
            </w:r>
          </w:p>
        </w:tc>
        <w:tc>
          <w:tcPr>
            <w:tcW w:w="3260" w:type="dxa"/>
            <w:tcBorders>
              <w:top w:val="single" w:color="000000" w:sz="8" w:space="0"/>
              <w:left w:val="single" w:color="000000" w:sz="4" w:space="0"/>
              <w:bottom w:val="single" w:color="000000" w:sz="4" w:space="0"/>
            </w:tcBorders>
            <w:noWrap w:val="0"/>
            <w:vAlign w:val="center"/>
          </w:tcPr>
          <w:p w14:paraId="73A3DEAD">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要求完工日期</w:t>
            </w:r>
          </w:p>
        </w:tc>
        <w:tc>
          <w:tcPr>
            <w:tcW w:w="2461" w:type="dxa"/>
            <w:tcBorders>
              <w:top w:val="single" w:color="000000" w:sz="8" w:space="0"/>
              <w:left w:val="single" w:color="000000" w:sz="4" w:space="0"/>
              <w:bottom w:val="single" w:color="000000" w:sz="4" w:space="0"/>
              <w:right w:val="single" w:color="000000" w:sz="8" w:space="0"/>
            </w:tcBorders>
            <w:noWrap w:val="0"/>
            <w:vAlign w:val="center"/>
          </w:tcPr>
          <w:p w14:paraId="2C032226">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违约金（元/天）</w:t>
            </w:r>
          </w:p>
        </w:tc>
      </w:tr>
      <w:tr w14:paraId="76B6DCE0">
        <w:tblPrEx>
          <w:tblCellMar>
            <w:top w:w="0" w:type="dxa"/>
            <w:left w:w="28" w:type="dxa"/>
            <w:bottom w:w="0" w:type="dxa"/>
            <w:right w:w="28" w:type="dxa"/>
          </w:tblCellMar>
        </w:tblPrEx>
        <w:trPr>
          <w:trHeight w:val="541" w:hRule="atLeast"/>
        </w:trPr>
        <w:tc>
          <w:tcPr>
            <w:tcW w:w="851" w:type="dxa"/>
            <w:tcBorders>
              <w:top w:val="single" w:color="000000" w:sz="4" w:space="0"/>
              <w:left w:val="single" w:color="000000" w:sz="8" w:space="0"/>
              <w:bottom w:val="single" w:color="000000" w:sz="4" w:space="0"/>
            </w:tcBorders>
            <w:noWrap w:val="0"/>
            <w:vAlign w:val="center"/>
          </w:tcPr>
          <w:p w14:paraId="2526909B">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68" w:type="dxa"/>
            <w:tcBorders>
              <w:top w:val="single" w:color="000000" w:sz="4" w:space="0"/>
              <w:left w:val="single" w:color="000000" w:sz="4" w:space="0"/>
              <w:bottom w:val="single" w:color="000000" w:sz="4" w:space="0"/>
            </w:tcBorders>
            <w:noWrap w:val="0"/>
            <w:vAlign w:val="center"/>
          </w:tcPr>
          <w:p w14:paraId="121560C5">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全部工程</w:t>
            </w:r>
          </w:p>
        </w:tc>
        <w:tc>
          <w:tcPr>
            <w:tcW w:w="3260" w:type="dxa"/>
            <w:tcBorders>
              <w:top w:val="single" w:color="000000" w:sz="4" w:space="0"/>
              <w:left w:val="single" w:color="000000" w:sz="4" w:space="0"/>
              <w:bottom w:val="single" w:color="000000" w:sz="4" w:space="0"/>
            </w:tcBorders>
            <w:noWrap w:val="0"/>
            <w:vAlign w:val="center"/>
          </w:tcPr>
          <w:p w14:paraId="3BDCEC26">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开工令发出后</w:t>
            </w:r>
            <w:r>
              <w:rPr>
                <w:rFonts w:hint="eastAsia" w:ascii="宋体" w:hAnsi="宋体" w:eastAsia="宋体" w:cs="宋体"/>
                <w:sz w:val="21"/>
                <w:szCs w:val="21"/>
                <w:highlight w:val="none"/>
                <w:u w:val="single"/>
              </w:rPr>
              <w:t xml:space="preserve">   </w:t>
            </w:r>
            <w:r>
              <w:rPr>
                <w:rFonts w:hint="eastAsia" w:ascii="宋体" w:hAnsi="宋体" w:cs="宋体"/>
                <w:color w:val="FF0000"/>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w:t>
            </w:r>
          </w:p>
        </w:tc>
        <w:tc>
          <w:tcPr>
            <w:tcW w:w="2461" w:type="dxa"/>
            <w:tcBorders>
              <w:top w:val="single" w:color="000000" w:sz="4" w:space="0"/>
              <w:left w:val="single" w:color="000000" w:sz="4" w:space="0"/>
              <w:bottom w:val="single" w:color="000000" w:sz="4" w:space="0"/>
              <w:right w:val="single" w:color="000000" w:sz="8" w:space="0"/>
            </w:tcBorders>
            <w:noWrap w:val="0"/>
            <w:vAlign w:val="center"/>
          </w:tcPr>
          <w:p w14:paraId="4DD93B79">
            <w:pPr>
              <w:snapToGrid w:val="0"/>
              <w:spacing w:line="420" w:lineRule="exact"/>
              <w:jc w:val="center"/>
              <w:rPr>
                <w:rFonts w:hint="eastAsia" w:ascii="宋体" w:hAnsi="宋体" w:eastAsia="宋体" w:cs="宋体"/>
                <w:sz w:val="21"/>
                <w:szCs w:val="21"/>
                <w:highlight w:val="none"/>
                <w:lang w:val="en-US" w:eastAsia="zh-CN"/>
              </w:rPr>
            </w:pPr>
            <w:r>
              <w:rPr>
                <w:rFonts w:hint="eastAsia" w:ascii="宋体" w:hAnsi="宋体" w:cs="宋体"/>
                <w:color w:val="FF0000"/>
                <w:sz w:val="21"/>
                <w:szCs w:val="21"/>
                <w:highlight w:val="none"/>
                <w:lang w:val="en-US" w:eastAsia="zh-CN"/>
              </w:rPr>
              <w:t>5</w:t>
            </w:r>
            <w:r>
              <w:rPr>
                <w:rFonts w:hint="eastAsia" w:ascii="宋体" w:hAnsi="宋体" w:eastAsia="宋体" w:cs="宋体"/>
                <w:color w:val="FF0000"/>
                <w:sz w:val="21"/>
                <w:szCs w:val="21"/>
                <w:highlight w:val="none"/>
                <w:lang w:val="en-US" w:eastAsia="zh-CN"/>
              </w:rPr>
              <w:t>000</w:t>
            </w:r>
          </w:p>
        </w:tc>
      </w:tr>
    </w:tbl>
    <w:p w14:paraId="4BBE46E4">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（2）全部逾期完工违约金的总限额为不超过签约合同价的</w:t>
      </w:r>
      <w:r>
        <w:rPr>
          <w:rFonts w:hint="eastAsia" w:ascii="宋体" w:hAnsi="宋体" w:eastAsia="宋体" w:cs="宋体"/>
          <w:color w:val="FF0000"/>
          <w:szCs w:val="21"/>
          <w:highlight w:val="none"/>
          <w:u w:val="single"/>
          <w:lang w:val="en-US" w:eastAsia="zh-CN"/>
        </w:rPr>
        <w:t>5</w:t>
      </w:r>
      <w:r>
        <w:rPr>
          <w:rFonts w:hint="eastAsia" w:ascii="宋体" w:hAnsi="宋体" w:eastAsia="宋体" w:cs="宋体"/>
          <w:color w:val="FF0000"/>
          <w:szCs w:val="21"/>
          <w:highlight w:val="none"/>
        </w:rPr>
        <w:t>%</w:t>
      </w:r>
      <w:r>
        <w:rPr>
          <w:rFonts w:hint="eastAsia" w:ascii="宋体" w:hAnsi="宋体" w:eastAsia="宋体" w:cs="宋体"/>
          <w:szCs w:val="21"/>
          <w:highlight w:val="none"/>
        </w:rPr>
        <w:t>。</w:t>
      </w:r>
    </w:p>
    <w:p w14:paraId="29C6C76A">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11.6  工期提前</w:t>
      </w:r>
    </w:p>
    <w:p w14:paraId="0A35640C">
      <w:pPr>
        <w:tabs>
          <w:tab w:val="left" w:pos="567"/>
        </w:tabs>
        <w:snapToGrid w:val="0"/>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工期提前的奖金约定：</w:t>
      </w:r>
      <w:r>
        <w:rPr>
          <w:rFonts w:hint="eastAsia" w:ascii="宋体" w:hAnsi="宋体" w:eastAsia="宋体" w:cs="宋体"/>
          <w:sz w:val="21"/>
          <w:szCs w:val="21"/>
          <w:highlight w:val="none"/>
          <w:u w:val="single"/>
        </w:rPr>
        <w:t>工期提前不奖励。</w:t>
      </w:r>
    </w:p>
    <w:p w14:paraId="1562EB57">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12 暂停施工</w:t>
      </w:r>
    </w:p>
    <w:p w14:paraId="3F6F7194">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12.1 承包人暂停施工的责任</w:t>
      </w:r>
    </w:p>
    <w:p w14:paraId="50BB6394">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（5）承包人承担暂停施工责任的其他情形：</w:t>
      </w:r>
      <w:r>
        <w:rPr>
          <w:rFonts w:hint="eastAsia" w:ascii="宋体" w:hAnsi="宋体" w:eastAsia="宋体" w:cs="宋体"/>
          <w:sz w:val="21"/>
          <w:szCs w:val="21"/>
          <w:highlight w:val="none"/>
          <w:u w:val="single"/>
        </w:rPr>
        <w:t>现场气候条件导致的必要停工（第11.4.3项规定的异常恶劣的气候条件除外）</w:t>
      </w:r>
      <w:r>
        <w:rPr>
          <w:rFonts w:hint="eastAsia" w:ascii="宋体" w:hAnsi="宋体" w:eastAsia="宋体" w:cs="宋体"/>
          <w:sz w:val="21"/>
          <w:szCs w:val="21"/>
          <w:highlight w:val="none"/>
        </w:rPr>
        <w:t>。</w:t>
      </w:r>
    </w:p>
    <w:p w14:paraId="375304B4">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12.2 发包人暂停施工的责任</w:t>
      </w:r>
    </w:p>
    <w:p w14:paraId="48CC7242">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（3）发包人承担暂停施工责任的其他情形：</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810A521">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13 工程质量</w:t>
      </w:r>
    </w:p>
    <w:p w14:paraId="3A5CBB8C">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13.7 质量评定</w:t>
      </w:r>
    </w:p>
    <w:p w14:paraId="4BD02D7D">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13.7.7 工程质量标准为：</w:t>
      </w:r>
      <w:r>
        <w:rPr>
          <w:rFonts w:hint="eastAsia" w:ascii="宋体" w:hAnsi="宋体" w:eastAsia="宋体" w:cs="宋体"/>
          <w:sz w:val="21"/>
          <w:szCs w:val="21"/>
          <w:highlight w:val="none"/>
          <w:u w:val="single"/>
        </w:rPr>
        <w:t xml:space="preserve"> 合格 </w:t>
      </w:r>
      <w:r>
        <w:rPr>
          <w:rFonts w:hint="eastAsia" w:ascii="宋体" w:hAnsi="宋体" w:eastAsia="宋体" w:cs="宋体"/>
          <w:sz w:val="21"/>
          <w:szCs w:val="21"/>
          <w:highlight w:val="none"/>
        </w:rPr>
        <w:t>，达到优良的奖金</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A6636DD">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14 验收和检验</w:t>
      </w:r>
    </w:p>
    <w:p w14:paraId="075B52E5">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14.1 材料、工程设备和工程的试验和检验</w:t>
      </w:r>
    </w:p>
    <w:p w14:paraId="1A3EDAEE">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14.1.5 水工金属结构、启闭机及机电产品进场后的交货检查和验收中，承包人负责</w:t>
      </w:r>
      <w:r>
        <w:rPr>
          <w:rFonts w:hint="eastAsia" w:ascii="宋体" w:hAnsi="宋体" w:eastAsia="宋体" w:cs="宋体"/>
          <w:sz w:val="21"/>
          <w:szCs w:val="21"/>
          <w:highlight w:val="none"/>
          <w:u w:val="single"/>
        </w:rPr>
        <w:t>按通用条款</w:t>
      </w:r>
      <w:r>
        <w:rPr>
          <w:rFonts w:hint="eastAsia" w:ascii="宋体" w:hAnsi="宋体" w:eastAsia="宋体" w:cs="宋体"/>
          <w:sz w:val="21"/>
          <w:szCs w:val="21"/>
          <w:highlight w:val="none"/>
        </w:rPr>
        <w:t>。</w:t>
      </w:r>
    </w:p>
    <w:p w14:paraId="52043D97">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14.1.6 本工程实行见证取样的试块、试件及有关材料：</w:t>
      </w:r>
      <w:r>
        <w:rPr>
          <w:rFonts w:hint="eastAsia" w:ascii="宋体" w:hAnsi="宋体" w:eastAsia="宋体" w:cs="宋体"/>
          <w:sz w:val="21"/>
          <w:szCs w:val="21"/>
          <w:highlight w:val="none"/>
          <w:u w:val="single"/>
        </w:rPr>
        <w:t>水泥、砼、钢筋、砼骨料等（具体由监理人按有关规定确定）</w:t>
      </w:r>
      <w:r>
        <w:rPr>
          <w:rFonts w:hint="eastAsia" w:ascii="宋体" w:hAnsi="宋体" w:eastAsia="宋体" w:cs="宋体"/>
          <w:sz w:val="21"/>
          <w:szCs w:val="21"/>
          <w:highlight w:val="none"/>
        </w:rPr>
        <w:t>。</w:t>
      </w:r>
    </w:p>
    <w:p w14:paraId="647F2D1D">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15 变更</w:t>
      </w:r>
    </w:p>
    <w:p w14:paraId="5B5588B0">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15.1 变更的范围和内容</w:t>
      </w:r>
    </w:p>
    <w:p w14:paraId="4BEF8248">
      <w:pPr>
        <w:spacing w:line="420" w:lineRule="exact"/>
        <w:ind w:firstLine="210" w:firstLineChars="100"/>
        <w:rPr>
          <w:rFonts w:hint="eastAsia" w:ascii="宋体" w:hAnsi="宋体" w:eastAsia="宋体" w:cs="宋体"/>
          <w:sz w:val="21"/>
          <w:szCs w:val="21"/>
          <w:highlight w:val="none"/>
        </w:rPr>
      </w:pPr>
      <w:bookmarkStart w:id="33" w:name="_Toc221951216"/>
      <w:r>
        <w:rPr>
          <w:rFonts w:hint="eastAsia" w:ascii="宋体" w:hAnsi="宋体" w:eastAsia="宋体" w:cs="宋体"/>
          <w:szCs w:val="21"/>
          <w:highlight w:val="none"/>
        </w:rPr>
        <w:t xml:space="preserve"> </w:t>
      </w:r>
      <w:bookmarkEnd w:id="33"/>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除本项目招标范围内的设计变更</w:t>
      </w:r>
      <w:r>
        <w:rPr>
          <w:rFonts w:hint="eastAsia" w:ascii="宋体" w:hAnsi="宋体" w:eastAsia="宋体" w:cs="宋体"/>
          <w:sz w:val="21"/>
          <w:szCs w:val="21"/>
          <w:highlight w:val="none"/>
        </w:rPr>
        <w:t>出现新增或</w:t>
      </w:r>
      <w:r>
        <w:rPr>
          <w:rFonts w:hint="eastAsia" w:ascii="宋体" w:hAnsi="宋体" w:cs="宋体"/>
          <w:sz w:val="21"/>
          <w:szCs w:val="21"/>
          <w:highlight w:val="none"/>
          <w:lang w:val="en-US" w:eastAsia="zh-CN"/>
        </w:rPr>
        <w:t>减少外，其余均不变更。</w:t>
      </w:r>
    </w:p>
    <w:p w14:paraId="4DAF672C">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15.3变更程序</w:t>
      </w:r>
    </w:p>
    <w:p w14:paraId="6DF3A5A7">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按通用条款执行。另外工程变更审批权限和程序应遵照天政办发[2015]38号《天台县政府投资项目工程变更管理规定》，否则不得作为结算依据。</w:t>
      </w:r>
    </w:p>
    <w:p w14:paraId="01F33D3D">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15.4 变更的估价原则</w:t>
      </w:r>
    </w:p>
    <w:p w14:paraId="51C3FC3D">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15.4.3细化为：本合同在实施过程中，如遇到</w:t>
      </w:r>
      <w:r>
        <w:rPr>
          <w:rFonts w:hint="eastAsia" w:ascii="宋体" w:hAnsi="宋体" w:cs="宋体"/>
          <w:sz w:val="21"/>
          <w:szCs w:val="21"/>
          <w:highlight w:val="none"/>
          <w:lang w:val="en-US" w:eastAsia="zh-CN"/>
        </w:rPr>
        <w:t>本项目招标范围内的</w:t>
      </w:r>
      <w:r>
        <w:rPr>
          <w:rFonts w:hint="eastAsia" w:ascii="宋体" w:hAnsi="宋体" w:eastAsia="宋体" w:cs="宋体"/>
          <w:sz w:val="21"/>
          <w:szCs w:val="21"/>
          <w:highlight w:val="none"/>
        </w:rPr>
        <w:t>设计变更出现新增或</w:t>
      </w:r>
      <w:r>
        <w:rPr>
          <w:rFonts w:hint="eastAsia" w:ascii="宋体" w:hAnsi="宋体" w:cs="宋体"/>
          <w:sz w:val="21"/>
          <w:szCs w:val="21"/>
          <w:highlight w:val="none"/>
          <w:lang w:val="en-US" w:eastAsia="zh-CN"/>
        </w:rPr>
        <w:t>减少</w:t>
      </w:r>
      <w:r>
        <w:rPr>
          <w:rFonts w:hint="eastAsia" w:ascii="宋体" w:hAnsi="宋体" w:eastAsia="宋体" w:cs="宋体"/>
          <w:sz w:val="21"/>
          <w:szCs w:val="21"/>
          <w:highlight w:val="none"/>
        </w:rPr>
        <w:t>项目时，则该新增或</w:t>
      </w:r>
      <w:r>
        <w:rPr>
          <w:rFonts w:hint="eastAsia" w:ascii="宋体" w:hAnsi="宋体" w:cs="宋体"/>
          <w:sz w:val="21"/>
          <w:szCs w:val="21"/>
          <w:highlight w:val="none"/>
          <w:lang w:val="en-US" w:eastAsia="zh-CN"/>
        </w:rPr>
        <w:t>减少</w:t>
      </w:r>
      <w:r>
        <w:rPr>
          <w:rFonts w:hint="eastAsia" w:ascii="宋体" w:hAnsi="宋体" w:eastAsia="宋体" w:cs="宋体"/>
          <w:sz w:val="21"/>
          <w:szCs w:val="21"/>
          <w:highlight w:val="none"/>
        </w:rPr>
        <w:t>项目的单价由承包人按以下原则提出变更单价，监理人审核，发包人同意后进入工程结算，支付方式执行合同约定的支付条款。</w:t>
      </w:r>
    </w:p>
    <w:p w14:paraId="39E8CB43">
      <w:pPr>
        <w:spacing w:line="420" w:lineRule="exact"/>
        <w:ind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rPr>
        <w:t>（1）人工预算单价按照《浙江省水利水电工程设计概（预）算编制规定》（2021年）</w:t>
      </w:r>
      <w:r>
        <w:rPr>
          <w:rFonts w:hint="eastAsia" w:ascii="宋体" w:hAnsi="宋体" w:cs="宋体"/>
          <w:color w:val="FF0000"/>
          <w:sz w:val="21"/>
          <w:szCs w:val="21"/>
          <w:highlight w:val="none"/>
          <w:lang w:val="en-US" w:eastAsia="zh-CN"/>
        </w:rPr>
        <w:t>编制。</w:t>
      </w:r>
    </w:p>
    <w:p w14:paraId="2E643484">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（2）材料预算价格采用投标期基价【</w:t>
      </w:r>
      <w:r>
        <w:rPr>
          <w:rFonts w:hint="eastAsia" w:ascii="宋体" w:hAnsi="宋体" w:eastAsia="宋体" w:cs="宋体"/>
          <w:color w:val="FF0000"/>
          <w:sz w:val="21"/>
          <w:szCs w:val="21"/>
          <w:highlight w:val="none"/>
        </w:rPr>
        <w:t>按《台州市建材价格信息》（202</w:t>
      </w:r>
      <w:r>
        <w:rPr>
          <w:rFonts w:hint="eastAsia" w:ascii="宋体" w:hAnsi="宋体" w:eastAsia="宋体" w:cs="宋体"/>
          <w:color w:val="FF0000"/>
          <w:sz w:val="21"/>
          <w:szCs w:val="21"/>
          <w:highlight w:val="none"/>
          <w:lang w:val="en-US" w:eastAsia="zh-CN"/>
        </w:rPr>
        <w:t>4</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lang w:val="en-US" w:eastAsia="zh-CN"/>
        </w:rPr>
        <w:t>8</w:t>
      </w:r>
      <w:r>
        <w:rPr>
          <w:rFonts w:hint="eastAsia" w:ascii="宋体" w:hAnsi="宋体" w:eastAsia="宋体" w:cs="宋体"/>
          <w:color w:val="FF0000"/>
          <w:sz w:val="21"/>
          <w:szCs w:val="21"/>
          <w:highlight w:val="none"/>
        </w:rPr>
        <w:t>月除税价）并结合市场行情</w:t>
      </w:r>
      <w:r>
        <w:rPr>
          <w:rFonts w:hint="eastAsia" w:ascii="宋体" w:hAnsi="宋体" w:eastAsia="宋体" w:cs="宋体"/>
          <w:sz w:val="21"/>
          <w:szCs w:val="21"/>
          <w:highlight w:val="none"/>
        </w:rPr>
        <w:t>】。</w:t>
      </w:r>
    </w:p>
    <w:p w14:paraId="12F3663A">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（3）机械台班单价按投标期浙江省现行水利水电工程施工机械台班定额和有关规定及浙水建[2016]14号文件“浙江省水利厅关于水利工程营业税改增值税后计价依据调整的通知”计算。</w:t>
      </w:r>
    </w:p>
    <w:p w14:paraId="2AFBFBE5">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（4）定额采用投标期现行水利水电工程定额和有关规定，如浙江省水利定额不能满足计价，可采用水利部颁布水利定额及其他相关行业的定额含量计价。</w:t>
      </w:r>
    </w:p>
    <w:p w14:paraId="1DBDAC09">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（5）取费标准：按浙水建[2016]14号文件“浙江省水利厅关于水利工程营业税改增值税后计价依据调整的通知”。</w:t>
      </w:r>
    </w:p>
    <w:p w14:paraId="0EA219EE">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（6）上述单价按以下计算的综合优惠率进行优惠。</w:t>
      </w:r>
    </w:p>
    <w:p w14:paraId="6136D143">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综合优惠率=（1-投标人投标价/经财政部门审核确认的预算造价）×100%</w:t>
      </w:r>
    </w:p>
    <w:p w14:paraId="76591649">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（7）按照上述仍无法组价的，根据市场招标或询价确定</w:t>
      </w:r>
    </w:p>
    <w:p w14:paraId="68894095">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15.4.4 本合同工程新增或变更工程项目，不论金额大小，均不得要求增加合同总价中的措施项目费用与其他项目费用。投标报价时安全施工费不得优惠。</w:t>
      </w:r>
    </w:p>
    <w:p w14:paraId="7C80FF8A">
      <w:pPr>
        <w:pStyle w:val="188"/>
        <w:spacing w:before="60" w:after="60" w:line="420" w:lineRule="exact"/>
        <w:ind w:firstLine="471"/>
        <w:rPr>
          <w:rFonts w:hint="eastAsia" w:ascii="宋体" w:hAnsi="宋体" w:eastAsia="宋体" w:cs="宋体"/>
          <w:sz w:val="21"/>
          <w:szCs w:val="21"/>
          <w:highlight w:val="none"/>
        </w:rPr>
      </w:pPr>
      <w:r>
        <w:rPr>
          <w:rFonts w:hint="eastAsia" w:ascii="宋体" w:hAnsi="宋体" w:eastAsia="宋体" w:cs="宋体"/>
          <w:sz w:val="21"/>
          <w:szCs w:val="21"/>
          <w:highlight w:val="none"/>
        </w:rPr>
        <w:t>15.4.5承包人不得因本工程的工程量调整（增加或减少）原因而提出索赔或其他补偿要求。</w:t>
      </w:r>
    </w:p>
    <w:p w14:paraId="1568F74A">
      <w:pPr>
        <w:pStyle w:val="188"/>
        <w:spacing w:before="60" w:after="60" w:line="420" w:lineRule="exact"/>
        <w:ind w:firstLine="471"/>
        <w:rPr>
          <w:rFonts w:hint="eastAsia" w:ascii="宋体" w:hAnsi="宋体" w:eastAsia="宋体" w:cs="宋体"/>
          <w:sz w:val="21"/>
          <w:szCs w:val="21"/>
          <w:highlight w:val="none"/>
        </w:rPr>
      </w:pPr>
      <w:r>
        <w:rPr>
          <w:rFonts w:hint="eastAsia" w:ascii="宋体" w:hAnsi="宋体" w:eastAsia="宋体" w:cs="宋体"/>
          <w:sz w:val="21"/>
          <w:szCs w:val="21"/>
          <w:highlight w:val="none"/>
        </w:rPr>
        <w:t>15.4.6 承包人应充分考虑施工现场实际情况，不得因本工程施工场地政策处理原因而提出索赔或其他补偿要求。</w:t>
      </w:r>
    </w:p>
    <w:p w14:paraId="3365D8C7">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15.5 承包人的合理化建议</w:t>
      </w:r>
    </w:p>
    <w:p w14:paraId="204B92E7">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15.5.2 承包人实现合理化建议的奖励金额为：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674BFB4">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15.8 暂估价</w:t>
      </w:r>
    </w:p>
    <w:p w14:paraId="43D67C1D">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15.8.1</w:t>
      </w:r>
    </w:p>
    <w:p w14:paraId="1C9B9193">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⑴ 发包人和承包人组织招标的暂估价项目：</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；发包人组织招标的暂估价项目：</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7554398">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⑵ 发包人和承包人以招标方式选择暂估价项目供应商或分包人时，双方的权利义务系：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6D2ED98">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16 价格调整</w:t>
      </w:r>
    </w:p>
    <w:p w14:paraId="16E5F653">
      <w:pPr>
        <w:pStyle w:val="7"/>
        <w:tabs>
          <w:tab w:val="left" w:pos="0"/>
          <w:tab w:val="clear" w:pos="1008"/>
        </w:tabs>
        <w:suppressAutoHyphens/>
        <w:snapToGrid w:val="0"/>
        <w:spacing w:before="0" w:after="0" w:line="420" w:lineRule="exact"/>
        <w:rPr>
          <w:rStyle w:val="105"/>
          <w:rFonts w:hint="eastAsia" w:ascii="宋体" w:hAnsi="宋体" w:eastAsia="宋体" w:cs="宋体"/>
          <w:b/>
          <w:spacing w:val="0"/>
          <w:sz w:val="21"/>
          <w:szCs w:val="21"/>
          <w:highlight w:val="none"/>
        </w:rPr>
      </w:pPr>
      <w:r>
        <w:rPr>
          <w:rStyle w:val="105"/>
          <w:rFonts w:hint="eastAsia" w:ascii="宋体" w:hAnsi="宋体" w:eastAsia="宋体" w:cs="宋体"/>
          <w:b/>
          <w:spacing w:val="0"/>
          <w:sz w:val="21"/>
          <w:szCs w:val="21"/>
          <w:highlight w:val="none"/>
        </w:rPr>
        <w:t>16.1 物价波动引起的价格调整</w:t>
      </w:r>
    </w:p>
    <w:p w14:paraId="16A395E1">
      <w:pPr>
        <w:pStyle w:val="7"/>
        <w:tabs>
          <w:tab w:val="left" w:pos="0"/>
          <w:tab w:val="clear" w:pos="1008"/>
        </w:tabs>
        <w:snapToGrid w:val="0"/>
        <w:spacing w:before="0" w:after="0" w:line="420" w:lineRule="exact"/>
        <w:ind w:left="1008" w:leftChars="200" w:hanging="588" w:hangingChars="279"/>
        <w:jc w:val="both"/>
        <w:rPr>
          <w:rFonts w:hint="eastAsia" w:ascii="宋体" w:hAnsi="宋体" w:eastAsia="宋体" w:cs="宋体"/>
          <w:b w:val="0"/>
          <w:color w:val="FF0000"/>
          <w:sz w:val="21"/>
          <w:szCs w:val="21"/>
          <w:highlight w:val="none"/>
          <w:lang w:eastAsia="zh-CN"/>
        </w:rPr>
      </w:pPr>
      <w:r>
        <w:rPr>
          <w:rFonts w:hint="eastAsia" w:ascii="宋体" w:hAnsi="宋体" w:eastAsia="宋体" w:cs="宋体"/>
          <w:sz w:val="21"/>
          <w:szCs w:val="21"/>
          <w:highlight w:val="none"/>
        </w:rPr>
        <w:t>物价波动引起的价格调整方式：不作调整。</w:t>
      </w:r>
    </w:p>
    <w:p w14:paraId="3F3FC02C">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17 计量与支付</w:t>
      </w:r>
    </w:p>
    <w:p w14:paraId="07AB67CD">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17.2 预付款</w:t>
      </w:r>
    </w:p>
    <w:p w14:paraId="25B8CD4F">
      <w:pPr>
        <w:spacing w:line="420" w:lineRule="exact"/>
        <w:ind w:firstLine="480"/>
        <w:rPr>
          <w:rFonts w:hint="eastAsia" w:ascii="宋体" w:hAnsi="宋体" w:eastAsia="宋体" w:cs="宋体"/>
          <w:sz w:val="21"/>
          <w:szCs w:val="21"/>
          <w:highlight w:val="none"/>
        </w:rPr>
      </w:pPr>
      <w:r>
        <w:rPr>
          <w:rFonts w:hint="eastAsia" w:ascii="宋体" w:hAnsi="宋体" w:eastAsia="宋体" w:cs="宋体"/>
          <w:b/>
          <w:sz w:val="21"/>
          <w:szCs w:val="21"/>
          <w:highlight w:val="none"/>
        </w:rPr>
        <w:t>17.2.1</w:t>
      </w:r>
      <w:r>
        <w:rPr>
          <w:rFonts w:hint="eastAsia" w:ascii="宋体" w:hAnsi="宋体" w:eastAsia="宋体" w:cs="宋体"/>
          <w:sz w:val="21"/>
          <w:szCs w:val="21"/>
          <w:highlight w:val="none"/>
        </w:rPr>
        <w:t xml:space="preserve"> 预付款：</w:t>
      </w:r>
    </w:p>
    <w:p w14:paraId="31E29D2E">
      <w:pPr>
        <w:spacing w:line="420" w:lineRule="exact"/>
        <w:ind w:firstLine="48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⑴ 工程预付款：</w:t>
      </w:r>
      <w:r>
        <w:rPr>
          <w:rFonts w:hint="eastAsia" w:ascii="宋体" w:hAnsi="宋体" w:eastAsia="宋体" w:cs="宋体"/>
          <w:sz w:val="21"/>
          <w:szCs w:val="21"/>
          <w:highlight w:val="none"/>
          <w:u w:val="single"/>
        </w:rPr>
        <w:t xml:space="preserve"> 工程预付款的总金额为签约合同价的</w:t>
      </w:r>
      <w:r>
        <w:rPr>
          <w:rFonts w:hint="eastAsia" w:ascii="宋体" w:hAnsi="宋体" w:cs="宋体"/>
          <w:sz w:val="21"/>
          <w:szCs w:val="21"/>
          <w:highlight w:val="none"/>
          <w:u w:val="single"/>
          <w:lang w:val="en-US" w:eastAsia="zh-CN"/>
        </w:rPr>
        <w:t>3</w:t>
      </w:r>
      <w:r>
        <w:rPr>
          <w:rFonts w:hint="eastAsia" w:ascii="宋体" w:hAnsi="宋体" w:eastAsia="宋体" w:cs="宋体"/>
          <w:color w:val="FF0000"/>
          <w:sz w:val="21"/>
          <w:szCs w:val="21"/>
          <w:highlight w:val="none"/>
          <w:u w:val="single"/>
        </w:rPr>
        <w:t>0 %</w:t>
      </w:r>
      <w:r>
        <w:rPr>
          <w:rFonts w:hint="eastAsia" w:ascii="宋体" w:hAnsi="宋体" w:eastAsia="宋体" w:cs="宋体"/>
          <w:sz w:val="21"/>
          <w:szCs w:val="21"/>
          <w:highlight w:val="none"/>
          <w:u w:val="single"/>
        </w:rPr>
        <w:t>，付款时间应在合同协议书订后，待承包人主要设备</w:t>
      </w:r>
      <w:r>
        <w:rPr>
          <w:rFonts w:hint="eastAsia" w:ascii="宋体" w:hAnsi="宋体" w:cs="宋体"/>
          <w:sz w:val="21"/>
          <w:szCs w:val="21"/>
          <w:highlight w:val="none"/>
          <w:u w:val="single"/>
          <w:lang w:eastAsia="zh-CN"/>
        </w:rPr>
        <w:t>、</w:t>
      </w:r>
      <w:r>
        <w:rPr>
          <w:rFonts w:hint="eastAsia" w:ascii="宋体" w:hAnsi="宋体" w:cs="宋体"/>
          <w:color w:val="FF0000"/>
          <w:sz w:val="21"/>
          <w:szCs w:val="21"/>
          <w:highlight w:val="none"/>
          <w:u w:val="single"/>
          <w:lang w:val="en-US" w:eastAsia="zh-CN"/>
        </w:rPr>
        <w:t>材料</w:t>
      </w:r>
      <w:r>
        <w:rPr>
          <w:rFonts w:hint="eastAsia" w:ascii="宋体" w:hAnsi="宋体" w:eastAsia="宋体" w:cs="宋体"/>
          <w:sz w:val="21"/>
          <w:szCs w:val="21"/>
          <w:highlight w:val="none"/>
          <w:u w:val="single"/>
        </w:rPr>
        <w:t>进入工地后，其估算价值已达到本次预付款金额时，由承包人提出书面申请，经监理人审核后，出具付款证书报送发包人批准后 14 天内予以支付。</w:t>
      </w:r>
    </w:p>
    <w:p w14:paraId="605AA462">
      <w:pPr>
        <w:spacing w:line="420" w:lineRule="exact"/>
        <w:ind w:firstLine="48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承包人不得将该预付款用于与本工程无关的支出，监理人有权监督承包人对该项费用的使用，如经查实承包人滥用工程预付款，发包人有权立即通过向担保机构发出通知收回预付款。</w:t>
      </w:r>
    </w:p>
    <w:p w14:paraId="2AC195B2">
      <w:pPr>
        <w:pStyle w:val="18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⑵ 工程材料预付款的额度和预付办法约定为：</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 xml:space="preserve"> 。</w:t>
      </w:r>
    </w:p>
    <w:p w14:paraId="06CCED4C">
      <w:pPr>
        <w:spacing w:line="420" w:lineRule="exact"/>
        <w:ind w:firstLine="413" w:firstLineChars="196"/>
        <w:rPr>
          <w:rFonts w:hint="eastAsia" w:ascii="宋体" w:hAnsi="宋体" w:eastAsia="宋体" w:cs="宋体"/>
          <w:sz w:val="21"/>
          <w:szCs w:val="21"/>
          <w:highlight w:val="none"/>
        </w:rPr>
      </w:pPr>
      <w:r>
        <w:rPr>
          <w:rFonts w:hint="eastAsia" w:ascii="宋体" w:hAnsi="宋体" w:eastAsia="宋体" w:cs="宋体"/>
          <w:b/>
          <w:sz w:val="21"/>
          <w:szCs w:val="21"/>
          <w:highlight w:val="none"/>
        </w:rPr>
        <w:t>17.2. 2</w:t>
      </w:r>
      <w:r>
        <w:rPr>
          <w:rFonts w:hint="eastAsia" w:ascii="宋体" w:hAnsi="宋体" w:eastAsia="宋体" w:cs="宋体"/>
          <w:sz w:val="21"/>
          <w:szCs w:val="21"/>
          <w:highlight w:val="none"/>
        </w:rPr>
        <w:t xml:space="preserve"> 预付款保函（担保）</w:t>
      </w:r>
    </w:p>
    <w:p w14:paraId="3C5E286E">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⑵ 工程材料预付款的担保约定为：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3462053">
      <w:pPr>
        <w:spacing w:line="400" w:lineRule="exact"/>
        <w:ind w:firstLine="480"/>
        <w:rPr>
          <w:rFonts w:hint="eastAsia" w:ascii="宋体" w:hAnsi="宋体" w:eastAsia="宋体" w:cs="宋体"/>
          <w:sz w:val="21"/>
          <w:szCs w:val="21"/>
          <w:highlight w:val="none"/>
        </w:rPr>
      </w:pPr>
      <w:r>
        <w:rPr>
          <w:rFonts w:hint="eastAsia" w:ascii="宋体" w:hAnsi="宋体" w:eastAsia="宋体" w:cs="宋体"/>
          <w:b/>
          <w:sz w:val="21"/>
          <w:szCs w:val="21"/>
          <w:highlight w:val="none"/>
        </w:rPr>
        <w:t>17.2.3</w:t>
      </w:r>
      <w:r>
        <w:rPr>
          <w:rFonts w:hint="eastAsia" w:ascii="宋体" w:hAnsi="宋体" w:eastAsia="宋体" w:cs="宋体"/>
          <w:sz w:val="21"/>
          <w:szCs w:val="21"/>
          <w:highlight w:val="none"/>
        </w:rPr>
        <w:t xml:space="preserve"> 预付款的扣回与还清</w:t>
      </w:r>
    </w:p>
    <w:p w14:paraId="24077131">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⑴ 工程预付款：</w:t>
      </w:r>
      <w:r>
        <w:rPr>
          <w:rFonts w:hint="eastAsia" w:ascii="宋体" w:hAnsi="宋体" w:eastAsia="宋体" w:cs="宋体"/>
          <w:sz w:val="21"/>
          <w:szCs w:val="21"/>
          <w:highlight w:val="none"/>
          <w:u w:val="single"/>
        </w:rPr>
        <w:t>不扣回。抵作工程款</w:t>
      </w:r>
      <w:r>
        <w:rPr>
          <w:rFonts w:hint="eastAsia" w:ascii="宋体" w:hAnsi="宋体" w:eastAsia="宋体" w:cs="宋体"/>
          <w:sz w:val="21"/>
          <w:szCs w:val="21"/>
          <w:highlight w:val="none"/>
        </w:rPr>
        <w:t>。</w:t>
      </w:r>
    </w:p>
    <w:p w14:paraId="0F5DE949">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⑵ 工程材料预付款的扣回与还清约定为：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5081FDE">
      <w:pPr>
        <w:pStyle w:val="7"/>
        <w:tabs>
          <w:tab w:val="left" w:pos="0"/>
          <w:tab w:val="clear" w:pos="1008"/>
        </w:tabs>
        <w:suppressAutoHyphens/>
        <w:snapToGrid w:val="0"/>
        <w:spacing w:before="0" w:after="0" w:line="400" w:lineRule="exact"/>
        <w:rPr>
          <w:rStyle w:val="105"/>
          <w:rFonts w:hint="eastAsia" w:ascii="宋体" w:hAnsi="宋体" w:eastAsia="宋体" w:cs="宋体"/>
          <w:b/>
          <w:spacing w:val="0"/>
          <w:sz w:val="21"/>
          <w:highlight w:val="none"/>
        </w:rPr>
      </w:pPr>
      <w:r>
        <w:rPr>
          <w:rStyle w:val="105"/>
          <w:rFonts w:hint="eastAsia" w:ascii="宋体" w:hAnsi="宋体" w:eastAsia="宋体" w:cs="宋体"/>
          <w:b/>
          <w:spacing w:val="0"/>
          <w:sz w:val="21"/>
          <w:szCs w:val="21"/>
          <w:highlight w:val="none"/>
        </w:rPr>
        <w:t>17.3 工程进度付款</w:t>
      </w:r>
    </w:p>
    <w:p w14:paraId="162BB9EF">
      <w:pPr>
        <w:snapToGrid w:val="0"/>
        <w:spacing w:line="400" w:lineRule="exact"/>
        <w:ind w:firstLine="422" w:firstLineChars="200"/>
        <w:rPr>
          <w:rFonts w:hint="eastAsia" w:ascii="宋体" w:hAnsi="宋体" w:eastAsia="宋体" w:cs="宋体"/>
          <w:color w:val="FF0000"/>
          <w:sz w:val="21"/>
          <w:szCs w:val="21"/>
          <w:highlight w:val="none"/>
          <w:u w:val="single"/>
        </w:rPr>
      </w:pPr>
      <w:bookmarkStart w:id="34" w:name="_Toc518914412"/>
      <w:r>
        <w:rPr>
          <w:rFonts w:hint="eastAsia" w:ascii="宋体" w:hAnsi="宋体" w:eastAsia="宋体" w:cs="宋体"/>
          <w:b/>
          <w:sz w:val="21"/>
          <w:szCs w:val="21"/>
          <w:highlight w:val="none"/>
        </w:rPr>
        <w:t>17.3.1 双方约定的工程进度款支付的方式、时间和比例：</w:t>
      </w:r>
      <w:bookmarkEnd w:id="34"/>
      <w:r>
        <w:rPr>
          <w:rFonts w:hint="eastAsia" w:ascii="宋体" w:hAnsi="宋体" w:eastAsia="宋体" w:cs="宋体"/>
          <w:sz w:val="21"/>
          <w:szCs w:val="21"/>
          <w:highlight w:val="none"/>
          <w:u w:val="single"/>
        </w:rPr>
        <w:t>本工程按月支付工程进度款，承包人必须每月25日前将当月实际完成的各部位的已完工程量报告送交发包人及监理工程师。经发包人及监理工程师确认计量结果后14天内，发包人应向承包人支付当期工程款的</w:t>
      </w:r>
      <w:r>
        <w:rPr>
          <w:rFonts w:hint="eastAsia" w:ascii="宋体" w:hAnsi="宋体" w:cs="宋体"/>
          <w:sz w:val="21"/>
          <w:szCs w:val="21"/>
          <w:highlight w:val="none"/>
          <w:u w:val="single"/>
          <w:lang w:val="en-US" w:eastAsia="zh-CN"/>
        </w:rPr>
        <w:t>55</w:t>
      </w:r>
      <w:r>
        <w:rPr>
          <w:rFonts w:hint="eastAsia" w:ascii="宋体" w:hAnsi="宋体" w:eastAsia="宋体" w:cs="宋体"/>
          <w:sz w:val="21"/>
          <w:szCs w:val="21"/>
          <w:highlight w:val="none"/>
          <w:u w:val="single"/>
        </w:rPr>
        <w:t>%(不含工程预付款）。工程完工支付不超过合同价的85%工程价款。</w:t>
      </w:r>
    </w:p>
    <w:p w14:paraId="6A5CD6E1">
      <w:pPr>
        <w:pStyle w:val="5"/>
        <w:spacing w:before="0" w:line="400" w:lineRule="exact"/>
        <w:ind w:firstLine="420" w:firstLineChars="200"/>
        <w:rPr>
          <w:rFonts w:hint="eastAsia" w:ascii="宋体" w:hAnsi="宋体" w:eastAsia="宋体" w:cs="宋体"/>
          <w:b w:val="0"/>
          <w:sz w:val="21"/>
          <w:szCs w:val="21"/>
          <w:highlight w:val="none"/>
        </w:rPr>
      </w:pPr>
      <w:r>
        <w:rPr>
          <w:rFonts w:hint="eastAsia" w:ascii="宋体" w:hAnsi="宋体" w:eastAsia="宋体" w:cs="宋体"/>
          <w:sz w:val="21"/>
          <w:szCs w:val="21"/>
          <w:highlight w:val="none"/>
        </w:rPr>
        <w:t xml:space="preserve">17.3.2 </w:t>
      </w:r>
      <w:r>
        <w:rPr>
          <w:rFonts w:hint="eastAsia" w:ascii="宋体" w:hAnsi="宋体" w:eastAsia="宋体" w:cs="宋体"/>
          <w:b w:val="0"/>
          <w:sz w:val="21"/>
          <w:szCs w:val="21"/>
          <w:highlight w:val="none"/>
        </w:rPr>
        <w:t>承包人收取每期工程款前应向发包人开具正式专用发票。</w:t>
      </w:r>
    </w:p>
    <w:p w14:paraId="495DB7A1">
      <w:pPr>
        <w:spacing w:line="400" w:lineRule="exact"/>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 xml:space="preserve">17.3.3 </w:t>
      </w:r>
      <w:r>
        <w:rPr>
          <w:rFonts w:hint="eastAsia" w:ascii="宋体" w:hAnsi="宋体" w:eastAsia="宋体" w:cs="宋体"/>
          <w:sz w:val="21"/>
          <w:szCs w:val="21"/>
          <w:highlight w:val="none"/>
          <w:u w:val="single"/>
        </w:rPr>
        <w:t>发包人将当期应付工程进度款的</w:t>
      </w:r>
      <w:r>
        <w:rPr>
          <w:rFonts w:hint="eastAsia" w:ascii="宋体" w:hAnsi="宋体" w:eastAsia="宋体" w:cs="宋体"/>
          <w:color w:val="FF0000"/>
          <w:sz w:val="21"/>
          <w:szCs w:val="21"/>
          <w:highlight w:val="none"/>
          <w:u w:val="single"/>
          <w:lang w:val="en-US" w:eastAsia="zh-CN"/>
        </w:rPr>
        <w:t>20</w:t>
      </w:r>
      <w:r>
        <w:rPr>
          <w:rFonts w:hint="eastAsia" w:ascii="宋体" w:hAnsi="宋体" w:eastAsia="宋体" w:cs="宋体"/>
          <w:color w:val="FF0000"/>
          <w:sz w:val="21"/>
          <w:szCs w:val="21"/>
          <w:highlight w:val="none"/>
          <w:u w:val="single"/>
        </w:rPr>
        <w:t>%</w:t>
      </w:r>
      <w:r>
        <w:rPr>
          <w:rFonts w:hint="eastAsia" w:ascii="宋体" w:hAnsi="宋体" w:eastAsia="宋体" w:cs="宋体"/>
          <w:sz w:val="21"/>
          <w:szCs w:val="21"/>
          <w:highlight w:val="none"/>
          <w:u w:val="single"/>
        </w:rPr>
        <w:t xml:space="preserve"> 拨付到承包人的农民工工资专用账</w:t>
      </w:r>
      <w:r>
        <w:rPr>
          <w:rFonts w:hint="eastAsia" w:ascii="宋体" w:hAnsi="宋体" w:eastAsia="宋体" w:cs="宋体"/>
          <w:sz w:val="21"/>
          <w:szCs w:val="21"/>
          <w:highlight w:val="none"/>
        </w:rPr>
        <w:t>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；其余合同价款支付至合同协议书中约定的承包人帐户。</w:t>
      </w:r>
    </w:p>
    <w:p w14:paraId="3F152664">
      <w:pPr>
        <w:pStyle w:val="7"/>
        <w:tabs>
          <w:tab w:val="left" w:pos="0"/>
          <w:tab w:val="clear" w:pos="1008"/>
        </w:tabs>
        <w:suppressAutoHyphens/>
        <w:snapToGrid w:val="0"/>
        <w:spacing w:before="0" w:after="0" w:line="400" w:lineRule="exact"/>
        <w:rPr>
          <w:rStyle w:val="105"/>
          <w:rFonts w:hint="eastAsia" w:ascii="宋体" w:hAnsi="宋体" w:eastAsia="宋体" w:cs="宋体"/>
          <w:b/>
          <w:spacing w:val="0"/>
          <w:sz w:val="21"/>
          <w:szCs w:val="21"/>
          <w:highlight w:val="none"/>
        </w:rPr>
      </w:pPr>
      <w:r>
        <w:rPr>
          <w:rStyle w:val="105"/>
          <w:rFonts w:hint="eastAsia" w:ascii="宋体" w:hAnsi="宋体" w:eastAsia="宋体" w:cs="宋体"/>
          <w:b/>
          <w:spacing w:val="0"/>
          <w:sz w:val="21"/>
          <w:szCs w:val="21"/>
          <w:highlight w:val="none"/>
        </w:rPr>
        <w:t>17.4 质量保证金</w:t>
      </w:r>
    </w:p>
    <w:p w14:paraId="6399634D">
      <w:pPr>
        <w:pStyle w:val="18"/>
        <w:spacing w:after="0" w:line="400" w:lineRule="exact"/>
        <w:ind w:firstLine="210"/>
        <w:rPr>
          <w:rFonts w:hint="eastAsia" w:ascii="宋体" w:hAnsi="宋体" w:eastAsia="宋体" w:cs="宋体"/>
          <w:highlight w:val="none"/>
        </w:rPr>
      </w:pPr>
      <w:r>
        <w:rPr>
          <w:rFonts w:hint="eastAsia" w:ascii="宋体" w:hAnsi="宋体" w:eastAsia="宋体" w:cs="宋体"/>
          <w:sz w:val="21"/>
          <w:szCs w:val="21"/>
          <w:highlight w:val="none"/>
        </w:rPr>
        <w:t>17.4.1</w:t>
      </w:r>
      <w:r>
        <w:rPr>
          <w:rFonts w:hint="eastAsia" w:ascii="宋体" w:hAnsi="宋体" w:cs="宋体"/>
          <w:sz w:val="21"/>
          <w:szCs w:val="21"/>
          <w:highlight w:val="none"/>
          <w:lang w:val="en-US" w:eastAsia="zh-CN"/>
        </w:rPr>
        <w:t>本项目无质量保证金，</w:t>
      </w:r>
      <w:r>
        <w:rPr>
          <w:rFonts w:hint="eastAsia" w:ascii="宋体" w:hAnsi="宋体" w:eastAsia="宋体" w:cs="宋体"/>
          <w:sz w:val="21"/>
          <w:szCs w:val="21"/>
          <w:highlight w:val="none"/>
        </w:rPr>
        <w:t>完工验收合格结算经有关部门造价审定后付至工程结算价款的</w:t>
      </w:r>
      <w:r>
        <w:rPr>
          <w:rFonts w:hint="eastAsia" w:ascii="宋体" w:hAnsi="宋体" w:cs="宋体"/>
          <w:sz w:val="21"/>
          <w:szCs w:val="21"/>
          <w:highlight w:val="none"/>
          <w:lang w:val="en-US" w:eastAsia="zh-CN"/>
        </w:rPr>
        <w:t>100</w:t>
      </w:r>
      <w:r>
        <w:rPr>
          <w:rFonts w:hint="eastAsia" w:ascii="宋体" w:hAnsi="宋体" w:eastAsia="宋体" w:cs="宋体"/>
          <w:sz w:val="21"/>
          <w:szCs w:val="21"/>
          <w:highlight w:val="none"/>
        </w:rPr>
        <w:t>%。</w:t>
      </w:r>
    </w:p>
    <w:p w14:paraId="76050389">
      <w:pPr>
        <w:pStyle w:val="7"/>
        <w:tabs>
          <w:tab w:val="left" w:pos="0"/>
          <w:tab w:val="clear" w:pos="1008"/>
        </w:tabs>
        <w:suppressAutoHyphens/>
        <w:snapToGrid w:val="0"/>
        <w:spacing w:before="0" w:after="0" w:line="40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17.5 竣工（完工）结算</w:t>
      </w:r>
    </w:p>
    <w:p w14:paraId="17F51BB8">
      <w:pPr>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17.5.1 竣工（完工）付款申请单</w:t>
      </w:r>
    </w:p>
    <w:p w14:paraId="6FF42A46">
      <w:pPr>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⑴ 承包人应提交完工付款申请单一式</w:t>
      </w:r>
      <w:r>
        <w:rPr>
          <w:rFonts w:hint="eastAsia" w:ascii="宋体" w:hAnsi="宋体" w:eastAsia="宋体" w:cs="宋体"/>
          <w:sz w:val="21"/>
          <w:szCs w:val="21"/>
          <w:highlight w:val="none"/>
          <w:u w:val="single"/>
        </w:rPr>
        <w:t>4</w:t>
      </w:r>
      <w:r>
        <w:rPr>
          <w:rFonts w:hint="eastAsia" w:ascii="宋体" w:hAnsi="宋体" w:eastAsia="宋体" w:cs="宋体"/>
          <w:sz w:val="21"/>
          <w:szCs w:val="21"/>
          <w:highlight w:val="none"/>
        </w:rPr>
        <w:t>份。</w:t>
      </w:r>
    </w:p>
    <w:p w14:paraId="5E80569D">
      <w:pPr>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本款增加：</w:t>
      </w:r>
    </w:p>
    <w:p w14:paraId="17E49CC8">
      <w:pPr>
        <w:pStyle w:val="188"/>
        <w:spacing w:before="60" w:after="60" w:line="400" w:lineRule="exact"/>
        <w:ind w:firstLine="561"/>
        <w:rPr>
          <w:rFonts w:hint="eastAsia" w:ascii="宋体" w:hAnsi="宋体" w:eastAsia="宋体" w:cs="宋体"/>
          <w:sz w:val="21"/>
          <w:szCs w:val="21"/>
          <w:highlight w:val="none"/>
        </w:rPr>
      </w:pPr>
      <w:r>
        <w:rPr>
          <w:rFonts w:hint="eastAsia" w:ascii="宋体" w:hAnsi="宋体" w:eastAsia="宋体" w:cs="宋体"/>
          <w:sz w:val="21"/>
          <w:szCs w:val="21"/>
          <w:highlight w:val="none"/>
        </w:rPr>
        <w:t>17.5.3工程价款必须经过有关部门或发包人委托的第三方审定后支付。工程审计（价）后的核减费用超过送审结算价5%以上部分的审计（价）费由承包人承担。</w:t>
      </w:r>
    </w:p>
    <w:p w14:paraId="3789DBEE">
      <w:pPr>
        <w:pStyle w:val="7"/>
        <w:tabs>
          <w:tab w:val="left" w:pos="0"/>
          <w:tab w:val="clear" w:pos="1008"/>
        </w:tabs>
        <w:suppressAutoHyphens/>
        <w:snapToGrid w:val="0"/>
        <w:spacing w:before="0" w:after="0" w:line="40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17.6 最终结清</w:t>
      </w:r>
    </w:p>
    <w:p w14:paraId="56402CC6">
      <w:pPr>
        <w:spacing w:line="400" w:lineRule="exact"/>
        <w:ind w:firstLine="480"/>
        <w:rPr>
          <w:rFonts w:hint="eastAsia" w:ascii="宋体" w:hAnsi="宋体" w:eastAsia="宋体" w:cs="宋体"/>
          <w:sz w:val="21"/>
          <w:szCs w:val="21"/>
          <w:highlight w:val="none"/>
        </w:rPr>
      </w:pPr>
      <w:r>
        <w:rPr>
          <w:rFonts w:hint="eastAsia" w:ascii="宋体" w:hAnsi="宋体" w:eastAsia="宋体" w:cs="宋体"/>
          <w:b/>
          <w:sz w:val="21"/>
          <w:szCs w:val="21"/>
          <w:highlight w:val="none"/>
        </w:rPr>
        <w:t>17. 6.1</w:t>
      </w:r>
      <w:r>
        <w:rPr>
          <w:rFonts w:hint="eastAsia" w:ascii="宋体" w:hAnsi="宋体" w:eastAsia="宋体" w:cs="宋体"/>
          <w:sz w:val="21"/>
          <w:szCs w:val="21"/>
          <w:highlight w:val="none"/>
        </w:rPr>
        <w:t xml:space="preserve"> 最终结清申请单</w:t>
      </w:r>
    </w:p>
    <w:p w14:paraId="675CB0C6">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⑴ 承包人应提交最终结清申请单一式</w:t>
      </w:r>
      <w:r>
        <w:rPr>
          <w:rFonts w:hint="eastAsia" w:ascii="宋体" w:hAnsi="宋体" w:eastAsia="宋体" w:cs="宋体"/>
          <w:sz w:val="21"/>
          <w:szCs w:val="21"/>
          <w:highlight w:val="none"/>
          <w:u w:val="single"/>
        </w:rPr>
        <w:t>4</w:t>
      </w:r>
      <w:r>
        <w:rPr>
          <w:rFonts w:hint="eastAsia" w:ascii="宋体" w:hAnsi="宋体" w:eastAsia="宋体" w:cs="宋体"/>
          <w:sz w:val="21"/>
          <w:szCs w:val="21"/>
          <w:highlight w:val="none"/>
        </w:rPr>
        <w:t>份。</w:t>
      </w:r>
    </w:p>
    <w:p w14:paraId="3B03B051">
      <w:pPr>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本款补充：</w:t>
      </w:r>
      <w:r>
        <w:rPr>
          <w:rFonts w:hint="eastAsia" w:ascii="宋体" w:hAnsi="宋体" w:eastAsia="宋体" w:cs="宋体"/>
          <w:sz w:val="21"/>
          <w:szCs w:val="21"/>
          <w:highlight w:val="none"/>
          <w:u w:val="single"/>
        </w:rPr>
        <w:t>以发包人委托的审价部门审定的工程造价办理最终工程结算</w:t>
      </w:r>
      <w:r>
        <w:rPr>
          <w:rFonts w:hint="eastAsia" w:ascii="宋体" w:hAnsi="宋体" w:eastAsia="宋体" w:cs="宋体"/>
          <w:sz w:val="21"/>
          <w:szCs w:val="21"/>
          <w:highlight w:val="none"/>
        </w:rPr>
        <w:t>。</w:t>
      </w:r>
    </w:p>
    <w:p w14:paraId="20A29D42">
      <w:pPr>
        <w:pStyle w:val="7"/>
        <w:tabs>
          <w:tab w:val="left" w:pos="0"/>
          <w:tab w:val="clear" w:pos="1008"/>
        </w:tabs>
        <w:suppressAutoHyphens/>
        <w:snapToGrid w:val="0"/>
        <w:spacing w:before="0" w:after="0" w:line="40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17.7 竣工财务决算</w:t>
      </w:r>
    </w:p>
    <w:p w14:paraId="5C1B2B4A">
      <w:pPr>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承包人应为竣工财务决算编制提供的资料：</w:t>
      </w:r>
      <w:r>
        <w:rPr>
          <w:rFonts w:hint="eastAsia" w:ascii="宋体" w:hAnsi="宋体" w:eastAsia="宋体" w:cs="宋体"/>
          <w:sz w:val="21"/>
          <w:szCs w:val="21"/>
          <w:highlight w:val="none"/>
          <w:u w:val="single"/>
        </w:rPr>
        <w:t>财务决算所需的一切资料</w:t>
      </w:r>
      <w:r>
        <w:rPr>
          <w:rFonts w:hint="eastAsia" w:ascii="宋体" w:hAnsi="宋体" w:eastAsia="宋体" w:cs="宋体"/>
          <w:sz w:val="21"/>
          <w:szCs w:val="21"/>
          <w:highlight w:val="none"/>
        </w:rPr>
        <w:t>。</w:t>
      </w:r>
    </w:p>
    <w:p w14:paraId="69EA0B89">
      <w:pPr>
        <w:pStyle w:val="6"/>
        <w:snapToGrid w:val="0"/>
        <w:spacing w:line="40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18工程验收</w:t>
      </w:r>
    </w:p>
    <w:p w14:paraId="685C7CD2">
      <w:pPr>
        <w:pStyle w:val="7"/>
        <w:tabs>
          <w:tab w:val="left" w:pos="0"/>
          <w:tab w:val="clear" w:pos="1008"/>
        </w:tabs>
        <w:suppressAutoHyphens/>
        <w:snapToGrid w:val="0"/>
        <w:spacing w:before="0" w:after="0" w:line="40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18.1 验收工作分类</w:t>
      </w:r>
    </w:p>
    <w:p w14:paraId="1C59DD7B">
      <w:pPr>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本工程法人验收包括：</w:t>
      </w:r>
      <w:r>
        <w:rPr>
          <w:rFonts w:hint="eastAsia" w:ascii="宋体" w:hAnsi="宋体" w:eastAsia="宋体" w:cs="宋体"/>
          <w:sz w:val="21"/>
          <w:szCs w:val="21"/>
          <w:highlight w:val="none"/>
          <w:u w:val="single"/>
        </w:rPr>
        <w:t>分部工程验收、单位工程验收、合同工程完工验收等</w:t>
      </w:r>
      <w:r>
        <w:rPr>
          <w:rFonts w:hint="eastAsia" w:ascii="宋体" w:hAnsi="宋体" w:eastAsia="宋体" w:cs="宋体"/>
          <w:sz w:val="21"/>
          <w:szCs w:val="21"/>
          <w:highlight w:val="none"/>
        </w:rPr>
        <w:t>；政府验收包括：</w:t>
      </w:r>
      <w:r>
        <w:rPr>
          <w:rFonts w:hint="eastAsia" w:ascii="宋体" w:hAnsi="宋体" w:eastAsia="宋体" w:cs="宋体"/>
          <w:sz w:val="21"/>
          <w:szCs w:val="21"/>
          <w:highlight w:val="none"/>
          <w:u w:val="single"/>
        </w:rPr>
        <w:t>阶段验收、专项验收、竣工验收</w:t>
      </w:r>
      <w:r>
        <w:rPr>
          <w:rFonts w:hint="eastAsia" w:ascii="宋体" w:hAnsi="宋体" w:eastAsia="宋体" w:cs="宋体"/>
          <w:sz w:val="21"/>
          <w:szCs w:val="21"/>
          <w:highlight w:val="none"/>
        </w:rPr>
        <w:t>。验收条件：</w:t>
      </w:r>
      <w:r>
        <w:rPr>
          <w:rFonts w:hint="eastAsia" w:ascii="宋体" w:hAnsi="宋体" w:eastAsia="宋体" w:cs="宋体"/>
          <w:sz w:val="21"/>
          <w:szCs w:val="21"/>
          <w:highlight w:val="none"/>
          <w:u w:val="single"/>
        </w:rPr>
        <w:t>合格</w:t>
      </w:r>
      <w:r>
        <w:rPr>
          <w:rFonts w:hint="eastAsia" w:ascii="宋体" w:hAnsi="宋体" w:eastAsia="宋体" w:cs="宋体"/>
          <w:sz w:val="21"/>
          <w:szCs w:val="21"/>
          <w:highlight w:val="none"/>
        </w:rPr>
        <w:t>，验收程序为：</w:t>
      </w:r>
      <w:r>
        <w:rPr>
          <w:rFonts w:hint="eastAsia" w:ascii="宋体" w:hAnsi="宋体" w:eastAsia="宋体" w:cs="宋体"/>
          <w:color w:val="auto"/>
          <w:highlight w:val="none"/>
          <w:u w:val="single"/>
        </w:rPr>
        <w:t>按国家和省颁布的有关验收规定进行。</w:t>
      </w:r>
      <w:r>
        <w:rPr>
          <w:rFonts w:hint="eastAsia" w:ascii="宋体" w:hAnsi="宋体" w:eastAsia="宋体" w:cs="宋体"/>
          <w:sz w:val="21"/>
          <w:szCs w:val="21"/>
          <w:highlight w:val="none"/>
        </w:rPr>
        <w:t>。</w:t>
      </w:r>
    </w:p>
    <w:p w14:paraId="6CF500B7">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18.2 分部工程验收</w:t>
      </w:r>
    </w:p>
    <w:p w14:paraId="6F8C5149">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18.2.2 本工程由监理人主持的分部工程验收在监理合同中约定，其余由发包人主持。</w:t>
      </w:r>
    </w:p>
    <w:p w14:paraId="00A071E7">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18.3 单位工程验收</w:t>
      </w:r>
    </w:p>
    <w:p w14:paraId="3BB07141">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18.3.4 提前投入使用的单位工程包括：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2770E20">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18.5 阶段验收</w:t>
      </w:r>
    </w:p>
    <w:p w14:paraId="5C1B517A">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18.5.1 本合同工程阶段验收类别包括：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F7E68B6">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18.6 专项验收</w:t>
      </w:r>
    </w:p>
    <w:p w14:paraId="2F0DCEAC">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18.6.2 本合同工程专项验收类别包括：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6B737C5">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18.7 竣工验收</w:t>
      </w:r>
    </w:p>
    <w:p w14:paraId="700A3B4C">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18.7.3 本工程</w:t>
      </w:r>
      <w:r>
        <w:rPr>
          <w:rFonts w:hint="eastAsia" w:ascii="宋体" w:hAnsi="宋体" w:eastAsia="宋体" w:cs="宋体"/>
          <w:sz w:val="21"/>
          <w:szCs w:val="21"/>
          <w:highlight w:val="none"/>
          <w:u w:val="single"/>
        </w:rPr>
        <w:t xml:space="preserve"> 需要 </w:t>
      </w:r>
      <w:r>
        <w:rPr>
          <w:rFonts w:hint="eastAsia" w:ascii="宋体" w:hAnsi="宋体" w:eastAsia="宋体" w:cs="宋体"/>
          <w:sz w:val="21"/>
          <w:szCs w:val="21"/>
          <w:highlight w:val="none"/>
        </w:rPr>
        <w:t>竣工验收技术鉴定（蓄水安全鉴定）。</w:t>
      </w:r>
    </w:p>
    <w:p w14:paraId="371AF1BC">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18.8 施工期运行</w:t>
      </w:r>
    </w:p>
    <w:p w14:paraId="5D261C6B">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18.8.1 需要在施工期运行的单位工程或工程设备为：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D858A64">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18.9 试运行</w:t>
      </w:r>
    </w:p>
    <w:p w14:paraId="4E7EAAB3">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18.9.1 试运行的组织：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；费用承担：</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BC2DD5A">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19 缺陷责任与保修责任</w:t>
      </w:r>
    </w:p>
    <w:p w14:paraId="6417FB6E">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19.1 缺陷责任期（工程质量保修期）的起算时间</w:t>
      </w:r>
    </w:p>
    <w:p w14:paraId="1F25E7C4">
      <w:pPr>
        <w:tabs>
          <w:tab w:val="left" w:pos="-560"/>
        </w:tabs>
        <w:spacing w:line="420" w:lineRule="exact"/>
        <w:ind w:left="86" w:firstLine="48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本工程缺陷责期（工程质量保修期）计算如下：</w:t>
      </w:r>
      <w:r>
        <w:rPr>
          <w:rFonts w:hint="eastAsia" w:ascii="宋体" w:hAnsi="宋体" w:eastAsia="宋体" w:cs="宋体"/>
          <w:sz w:val="21"/>
          <w:szCs w:val="21"/>
          <w:highlight w:val="none"/>
          <w:u w:val="single"/>
        </w:rPr>
        <w:t xml:space="preserve">  </w:t>
      </w:r>
      <w:r>
        <w:rPr>
          <w:rFonts w:hint="eastAsia" w:ascii="宋体" w:hAnsi="宋体" w:eastAsia="宋体" w:cs="宋体"/>
          <w:color w:val="FF0000"/>
          <w:sz w:val="21"/>
          <w:szCs w:val="21"/>
          <w:highlight w:val="none"/>
          <w:u w:val="single"/>
        </w:rPr>
        <w:t>1年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7AF729F">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20 保险</w:t>
      </w:r>
    </w:p>
    <w:p w14:paraId="170D625D">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20.1 工程保险</w:t>
      </w:r>
    </w:p>
    <w:p w14:paraId="0558E066">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建筑工程一切险和（或）安装工程一切险投保人：</w:t>
      </w:r>
      <w:r>
        <w:rPr>
          <w:rFonts w:hint="eastAsia" w:ascii="宋体" w:hAnsi="宋体" w:eastAsia="宋体" w:cs="宋体"/>
          <w:sz w:val="21"/>
          <w:szCs w:val="21"/>
          <w:highlight w:val="none"/>
          <w:u w:val="single"/>
        </w:rPr>
        <w:t>由承包人以发包人和承包人的名义投保</w:t>
      </w:r>
      <w:r>
        <w:rPr>
          <w:rFonts w:hint="eastAsia" w:ascii="宋体" w:hAnsi="宋体" w:eastAsia="宋体" w:cs="宋体"/>
          <w:sz w:val="21"/>
          <w:szCs w:val="21"/>
          <w:highlight w:val="none"/>
        </w:rPr>
        <w:t>；</w:t>
      </w:r>
    </w:p>
    <w:p w14:paraId="031D5575">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投保内容：</w:t>
      </w:r>
      <w:r>
        <w:rPr>
          <w:rFonts w:hint="eastAsia" w:ascii="宋体" w:hAnsi="宋体" w:eastAsia="宋体" w:cs="宋体"/>
          <w:sz w:val="21"/>
          <w:szCs w:val="21"/>
          <w:highlight w:val="none"/>
          <w:u w:val="single"/>
        </w:rPr>
        <w:t>为本合同工程的永久工程、临时工程及已运至施工工地用于永久工程的材料和设备所投的保险</w:t>
      </w:r>
      <w:r>
        <w:rPr>
          <w:rFonts w:hint="eastAsia" w:ascii="宋体" w:hAnsi="宋体" w:eastAsia="宋体" w:cs="宋体"/>
          <w:sz w:val="21"/>
          <w:szCs w:val="21"/>
          <w:highlight w:val="none"/>
        </w:rPr>
        <w:t>；</w:t>
      </w:r>
    </w:p>
    <w:p w14:paraId="1E3261DB">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保险金额、保险费率和保险期限：</w:t>
      </w:r>
      <w:r>
        <w:rPr>
          <w:rFonts w:hint="eastAsia" w:ascii="宋体" w:hAnsi="宋体" w:eastAsia="宋体" w:cs="宋体"/>
          <w:sz w:val="21"/>
          <w:szCs w:val="21"/>
          <w:highlight w:val="none"/>
          <w:u w:val="single"/>
        </w:rPr>
        <w:t>保险金额及保险费率按保险人规定，保险期限自开工即日算起</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颁发工程移交证书</w:t>
      </w:r>
      <w:r>
        <w:rPr>
          <w:rFonts w:hint="eastAsia" w:ascii="宋体" w:hAnsi="宋体" w:eastAsia="宋体" w:cs="宋体"/>
          <w:sz w:val="21"/>
          <w:szCs w:val="21"/>
          <w:highlight w:val="none"/>
        </w:rPr>
        <w:t>。</w:t>
      </w:r>
    </w:p>
    <w:p w14:paraId="35D91AAA">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20.4 第三者责任险</w:t>
      </w:r>
    </w:p>
    <w:p w14:paraId="3B6BE6FD">
      <w:pPr>
        <w:pStyle w:val="23"/>
        <w:snapToGrid w:val="0"/>
        <w:spacing w:line="420" w:lineRule="exact"/>
        <w:ind w:firstLine="480"/>
        <w:rPr>
          <w:rFonts w:hint="eastAsia" w:ascii="宋体" w:hAnsi="宋体" w:eastAsia="宋体" w:cs="宋体"/>
          <w:szCs w:val="21"/>
          <w:highlight w:val="none"/>
          <w:u w:val="single"/>
        </w:rPr>
      </w:pPr>
      <w:r>
        <w:rPr>
          <w:rFonts w:hint="eastAsia" w:ascii="宋体" w:hAnsi="宋体" w:eastAsia="宋体" w:cs="宋体"/>
          <w:szCs w:val="21"/>
          <w:highlight w:val="none"/>
        </w:rPr>
        <w:t>20.4.2 第三者责任险保险费率：</w:t>
      </w:r>
      <w:r>
        <w:rPr>
          <w:rFonts w:hint="eastAsia" w:ascii="宋体" w:hAnsi="宋体" w:eastAsia="宋体" w:cs="宋体"/>
          <w:szCs w:val="21"/>
          <w:highlight w:val="none"/>
          <w:u w:val="single"/>
        </w:rPr>
        <w:t>保险费率按保险人规定</w:t>
      </w:r>
      <w:r>
        <w:rPr>
          <w:rFonts w:hint="eastAsia" w:ascii="宋体" w:hAnsi="宋体" w:eastAsia="宋体" w:cs="宋体"/>
          <w:szCs w:val="21"/>
          <w:highlight w:val="none"/>
        </w:rPr>
        <w:t>；第三者责任险最低保险金额：</w:t>
      </w:r>
      <w:r>
        <w:rPr>
          <w:rFonts w:hint="eastAsia" w:ascii="宋体" w:hAnsi="宋体" w:eastAsia="宋体" w:cs="宋体"/>
          <w:szCs w:val="21"/>
          <w:highlight w:val="none"/>
          <w:u w:val="single"/>
        </w:rPr>
        <w:t>相应的保险费进入报价，结算时根据发票按实结算。</w:t>
      </w:r>
    </w:p>
    <w:p w14:paraId="43D996A3">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20.5 其它保险</w:t>
      </w:r>
    </w:p>
    <w:p w14:paraId="4D32784F">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需要投保的其它内容：</w:t>
      </w:r>
      <w:r>
        <w:rPr>
          <w:rFonts w:hint="eastAsia" w:ascii="宋体" w:hAnsi="宋体" w:eastAsia="宋体" w:cs="宋体"/>
          <w:szCs w:val="21"/>
          <w:highlight w:val="none"/>
          <w:u w:val="single"/>
        </w:rPr>
        <w:t xml:space="preserve"> 由承包人自行决定。</w:t>
      </w:r>
    </w:p>
    <w:p w14:paraId="2478913F">
      <w:pPr>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保险金额、保险费率和保险期限：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C93A1CB">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20.6 对各项保险的一般要求</w:t>
      </w:r>
    </w:p>
    <w:p w14:paraId="499E548F">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20. 6.1 保险凭证</w:t>
      </w:r>
    </w:p>
    <w:p w14:paraId="1383F9D7">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承包人提交保险凭证的期限：</w:t>
      </w:r>
      <w:r>
        <w:rPr>
          <w:rFonts w:hint="eastAsia" w:ascii="宋体" w:hAnsi="宋体" w:eastAsia="宋体" w:cs="宋体"/>
          <w:szCs w:val="21"/>
          <w:highlight w:val="none"/>
          <w:u w:val="single"/>
        </w:rPr>
        <w:t>保险手续办理完毕后7 天内提交；</w:t>
      </w:r>
    </w:p>
    <w:p w14:paraId="20BAEEE4">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保险条件：</w:t>
      </w:r>
      <w:r>
        <w:rPr>
          <w:rFonts w:hint="eastAsia" w:ascii="宋体" w:hAnsi="宋体" w:eastAsia="宋体" w:cs="宋体"/>
          <w:szCs w:val="21"/>
          <w:highlight w:val="none"/>
          <w:u w:val="single"/>
        </w:rPr>
        <w:t>满足合同条款的规定</w:t>
      </w:r>
      <w:r>
        <w:rPr>
          <w:rFonts w:hint="eastAsia" w:ascii="宋体" w:hAnsi="宋体" w:eastAsia="宋体" w:cs="宋体"/>
          <w:szCs w:val="21"/>
          <w:highlight w:val="none"/>
        </w:rPr>
        <w:t>。</w:t>
      </w:r>
    </w:p>
    <w:p w14:paraId="228B89AA">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20.6.4 保险金不足的补偿</w:t>
      </w:r>
    </w:p>
    <w:p w14:paraId="1F6F8DC1">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承包人负责补偿的范围与金额：</w:t>
      </w:r>
      <w:r>
        <w:rPr>
          <w:rFonts w:hint="eastAsia" w:ascii="宋体" w:hAnsi="宋体" w:eastAsia="宋体" w:cs="宋体"/>
          <w:szCs w:val="21"/>
          <w:highlight w:val="none"/>
          <w:u w:val="single"/>
        </w:rPr>
        <w:t>免赔额部分及保险金不足的补偿均由承包人负责</w:t>
      </w:r>
      <w:r>
        <w:rPr>
          <w:rFonts w:hint="eastAsia" w:ascii="宋体" w:hAnsi="宋体" w:eastAsia="宋体" w:cs="宋体"/>
          <w:szCs w:val="21"/>
          <w:highlight w:val="none"/>
        </w:rPr>
        <w:t>。</w:t>
      </w:r>
    </w:p>
    <w:p w14:paraId="46E891F5">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发包人负责补偿的范围与金额：</w:t>
      </w:r>
      <w:r>
        <w:rPr>
          <w:rFonts w:hint="eastAsia" w:ascii="宋体" w:hAnsi="宋体" w:eastAsia="宋体" w:cs="宋体"/>
          <w:szCs w:val="21"/>
          <w:highlight w:val="none"/>
          <w:u w:val="single"/>
        </w:rPr>
        <w:t>由于本工程一切保险均由承包人负责投保，其费用均列入报价，故发包人不承担保险金不足的补偿</w:t>
      </w:r>
      <w:r>
        <w:rPr>
          <w:rFonts w:hint="eastAsia" w:ascii="宋体" w:hAnsi="宋体" w:eastAsia="宋体" w:cs="宋体"/>
          <w:szCs w:val="21"/>
          <w:highlight w:val="none"/>
        </w:rPr>
        <w:t>。</w:t>
      </w:r>
    </w:p>
    <w:p w14:paraId="3C18244B">
      <w:pPr>
        <w:pStyle w:val="23"/>
        <w:snapToGrid w:val="0"/>
        <w:spacing w:line="420" w:lineRule="exact"/>
        <w:ind w:firstLine="480"/>
        <w:rPr>
          <w:rFonts w:hint="eastAsia" w:ascii="宋体" w:hAnsi="宋体" w:eastAsia="宋体" w:cs="宋体"/>
          <w:szCs w:val="21"/>
          <w:highlight w:val="none"/>
        </w:rPr>
      </w:pPr>
      <w:r>
        <w:rPr>
          <w:rFonts w:hint="eastAsia" w:ascii="宋体" w:hAnsi="宋体" w:eastAsia="宋体" w:cs="宋体"/>
          <w:szCs w:val="21"/>
          <w:highlight w:val="none"/>
        </w:rPr>
        <w:t>22.违约</w:t>
      </w:r>
    </w:p>
    <w:p w14:paraId="6297B573">
      <w:pPr>
        <w:pStyle w:val="6"/>
        <w:snapToGrid w:val="0"/>
        <w:spacing w:line="420" w:lineRule="exact"/>
        <w:rPr>
          <w:rStyle w:val="105"/>
          <w:rFonts w:hint="eastAsia" w:ascii="宋体" w:hAnsi="宋体" w:eastAsia="宋体" w:cs="宋体"/>
          <w:b/>
          <w:bCs/>
          <w:sz w:val="21"/>
          <w:szCs w:val="21"/>
          <w:highlight w:val="none"/>
        </w:rPr>
      </w:pPr>
      <w:bookmarkStart w:id="35" w:name="_Toc350975306"/>
      <w:bookmarkStart w:id="36" w:name="_Toc398708163"/>
      <w:bookmarkStart w:id="37" w:name="_Toc381220923"/>
      <w:bookmarkStart w:id="38" w:name="_Toc456597043"/>
      <w:bookmarkStart w:id="39" w:name="_Toc384843112"/>
      <w:r>
        <w:rPr>
          <w:rStyle w:val="105"/>
          <w:rFonts w:hint="eastAsia" w:ascii="宋体" w:hAnsi="宋体" w:eastAsia="宋体" w:cs="宋体"/>
          <w:b/>
          <w:bCs/>
          <w:sz w:val="21"/>
          <w:szCs w:val="21"/>
          <w:highlight w:val="none"/>
        </w:rPr>
        <w:t>22 违约</w:t>
      </w:r>
      <w:bookmarkEnd w:id="35"/>
      <w:bookmarkEnd w:id="36"/>
      <w:bookmarkEnd w:id="37"/>
      <w:bookmarkEnd w:id="38"/>
      <w:bookmarkEnd w:id="39"/>
    </w:p>
    <w:p w14:paraId="3BFE5817">
      <w:pPr>
        <w:pStyle w:val="7"/>
        <w:tabs>
          <w:tab w:val="left" w:pos="0"/>
          <w:tab w:val="clear" w:pos="1008"/>
        </w:tabs>
        <w:suppressAutoHyphens/>
        <w:snapToGrid w:val="0"/>
        <w:spacing w:before="0" w:after="0" w:line="420" w:lineRule="exact"/>
        <w:rPr>
          <w:rStyle w:val="105"/>
          <w:rFonts w:hint="eastAsia" w:ascii="宋体" w:hAnsi="宋体" w:eastAsia="宋体" w:cs="宋体"/>
          <w:b/>
          <w:spacing w:val="0"/>
          <w:sz w:val="21"/>
          <w:szCs w:val="21"/>
          <w:highlight w:val="none"/>
        </w:rPr>
      </w:pPr>
      <w:r>
        <w:rPr>
          <w:rStyle w:val="105"/>
          <w:rFonts w:hint="eastAsia" w:ascii="宋体" w:hAnsi="宋体" w:eastAsia="宋体" w:cs="宋体"/>
          <w:b/>
          <w:spacing w:val="0"/>
          <w:sz w:val="21"/>
          <w:szCs w:val="21"/>
          <w:highlight w:val="none"/>
        </w:rPr>
        <w:t>22.1 承包人违约</w:t>
      </w:r>
    </w:p>
    <w:p w14:paraId="551F5827">
      <w:pPr>
        <w:pStyle w:val="7"/>
        <w:tabs>
          <w:tab w:val="left" w:pos="0"/>
          <w:tab w:val="clear" w:pos="1008"/>
        </w:tabs>
        <w:suppressAutoHyphens/>
        <w:snapToGrid w:val="0"/>
        <w:spacing w:before="0" w:after="0" w:line="420" w:lineRule="exact"/>
        <w:rPr>
          <w:rStyle w:val="105"/>
          <w:rFonts w:hint="eastAsia" w:ascii="宋体" w:hAnsi="宋体" w:eastAsia="宋体" w:cs="宋体"/>
          <w:b/>
          <w:spacing w:val="0"/>
          <w:sz w:val="21"/>
          <w:szCs w:val="21"/>
          <w:highlight w:val="none"/>
        </w:rPr>
      </w:pPr>
      <w:r>
        <w:rPr>
          <w:rStyle w:val="105"/>
          <w:rFonts w:hint="eastAsia" w:ascii="宋体" w:hAnsi="宋体" w:eastAsia="宋体" w:cs="宋体"/>
          <w:b/>
          <w:spacing w:val="0"/>
          <w:sz w:val="21"/>
          <w:szCs w:val="21"/>
          <w:highlight w:val="none"/>
        </w:rPr>
        <w:t>22.1.2 对承包人违约的处理</w:t>
      </w:r>
    </w:p>
    <w:p w14:paraId="4B496AFC">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补充以下条款：</w:t>
      </w:r>
    </w:p>
    <w:p w14:paraId="1634B266">
      <w:pPr>
        <w:pStyle w:val="111"/>
        <w:spacing w:line="360" w:lineRule="auto"/>
        <w:ind w:firstLine="420" w:firstLineChars="200"/>
        <w:rPr>
          <w:rFonts w:hint="eastAsia" w:ascii="宋体" w:hAnsi="宋体" w:eastAsia="宋体" w:cs="宋体"/>
          <w:szCs w:val="20"/>
          <w:highlight w:val="none"/>
          <w:u w:val="single"/>
        </w:rPr>
      </w:pPr>
      <w:r>
        <w:rPr>
          <w:rFonts w:hint="eastAsia" w:ascii="宋体" w:hAnsi="宋体" w:eastAsia="宋体" w:cs="宋体"/>
          <w:highlight w:val="none"/>
          <w:u w:val="single"/>
        </w:rPr>
        <w:t>（5）进度违约的处理：详见本合同条款第11.5款。</w:t>
      </w:r>
    </w:p>
    <w:p w14:paraId="39EBDCFE">
      <w:pPr>
        <w:pStyle w:val="111"/>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u w:val="single"/>
        </w:rPr>
        <w:t>（6）质量违约的处理：</w:t>
      </w:r>
    </w:p>
    <w:p w14:paraId="06537EC1">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① </w:t>
      </w:r>
      <w:r>
        <w:rPr>
          <w:rFonts w:hint="eastAsia" w:ascii="宋体" w:hAnsi="宋体" w:eastAsia="宋体" w:cs="宋体"/>
          <w:highlight w:val="none"/>
          <w:u w:val="single"/>
        </w:rPr>
        <w:t>承包人发生第22.1.1项（3）目情况，在发包人向承包人发出书面通知的14天内未见纠正后，发包人将按每一情况酌情向承包人扣以不超过0.1％签约合同价的违约金。即使缴纳了违约金，承包人仍应按合同规定继续实施和完成本合同工程及其缺陷修复</w:t>
      </w:r>
      <w:r>
        <w:rPr>
          <w:rFonts w:hint="eastAsia" w:ascii="宋体" w:hAnsi="宋体" w:eastAsia="宋体" w:cs="宋体"/>
          <w:highlight w:val="none"/>
        </w:rPr>
        <w:t>。</w:t>
      </w:r>
    </w:p>
    <w:p w14:paraId="2CF0CA5A">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② </w:t>
      </w:r>
      <w:r>
        <w:rPr>
          <w:rFonts w:hint="eastAsia" w:ascii="宋体" w:hAnsi="宋体" w:eastAsia="宋体" w:cs="宋体"/>
          <w:highlight w:val="none"/>
          <w:u w:val="single"/>
        </w:rPr>
        <w:t>工程未能一次性通过验收合格，每次支付签约合同价0.2%的违约金。</w:t>
      </w:r>
    </w:p>
    <w:p w14:paraId="6CAE1A7C">
      <w:pPr>
        <w:pStyle w:val="111"/>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 xml:space="preserve">③ </w:t>
      </w:r>
      <w:r>
        <w:rPr>
          <w:rFonts w:hint="eastAsia" w:ascii="宋体" w:hAnsi="宋体" w:eastAsia="宋体" w:cs="宋体"/>
          <w:highlight w:val="none"/>
          <w:u w:val="single"/>
        </w:rPr>
        <w:t>工程发生较大及以上质量事故的，每次支付签约合同价0.2%的违约金。</w:t>
      </w:r>
    </w:p>
    <w:p w14:paraId="68C417AF">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④ </w:t>
      </w:r>
      <w:r>
        <w:rPr>
          <w:rFonts w:hint="eastAsia" w:ascii="宋体" w:hAnsi="宋体" w:eastAsia="宋体" w:cs="宋体"/>
          <w:snapToGrid w:val="0"/>
          <w:highlight w:val="none"/>
          <w:u w:val="single"/>
        </w:rPr>
        <w:t>上述违约金的总和不超过履约保证金的30%。</w:t>
      </w:r>
    </w:p>
    <w:p w14:paraId="413F674E">
      <w:pPr>
        <w:pStyle w:val="111"/>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u w:val="single"/>
        </w:rPr>
        <w:t>（7）民工工资支付违约处理</w:t>
      </w:r>
    </w:p>
    <w:p w14:paraId="3181A6F6">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① </w:t>
      </w:r>
      <w:r>
        <w:rPr>
          <w:rFonts w:hint="eastAsia" w:ascii="宋体" w:hAnsi="宋体" w:eastAsia="宋体" w:cs="宋体"/>
          <w:highlight w:val="none"/>
          <w:u w:val="single"/>
        </w:rPr>
        <w:t>未按规定及时支付民工工资的，除由发包人从工程进度款中代发以外，每次扣除签约合同价0.1%的违约金。</w:t>
      </w:r>
    </w:p>
    <w:p w14:paraId="7825FFAC">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② </w:t>
      </w:r>
      <w:r>
        <w:rPr>
          <w:rFonts w:hint="eastAsia" w:ascii="宋体" w:hAnsi="宋体" w:eastAsia="宋体" w:cs="宋体"/>
          <w:snapToGrid w:val="0"/>
          <w:highlight w:val="none"/>
          <w:u w:val="single"/>
        </w:rPr>
        <w:t>上述违约金的总和不超过履约保证金的10%。</w:t>
      </w:r>
    </w:p>
    <w:p w14:paraId="5A006623">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（8）安全违约的处理：</w:t>
      </w:r>
    </w:p>
    <w:p w14:paraId="0ECCE734">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① </w:t>
      </w:r>
      <w:r>
        <w:rPr>
          <w:rFonts w:hint="eastAsia" w:ascii="宋体" w:hAnsi="宋体" w:eastAsia="宋体" w:cs="宋体"/>
          <w:highlight w:val="none"/>
          <w:u w:val="single"/>
        </w:rPr>
        <w:t>经检查，发现存在安全隐患且在规定的时间内未整改到位的，除酌情扣除安全施工费外，每次扣除签约合同价0.1%的违约金。</w:t>
      </w:r>
    </w:p>
    <w:p w14:paraId="347DBBF6">
      <w:pPr>
        <w:pStyle w:val="111"/>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 xml:space="preserve">② </w:t>
      </w:r>
      <w:r>
        <w:rPr>
          <w:rFonts w:hint="eastAsia" w:ascii="宋体" w:hAnsi="宋体" w:eastAsia="宋体" w:cs="宋体"/>
          <w:highlight w:val="none"/>
          <w:u w:val="single"/>
        </w:rPr>
        <w:t>发生安全事故的，扣除全部安全保证金。</w:t>
      </w:r>
    </w:p>
    <w:p w14:paraId="236AD95F">
      <w:pPr>
        <w:pStyle w:val="111"/>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③ 上述违约金的总和不超过履约保证金的20%。</w:t>
      </w:r>
    </w:p>
    <w:p w14:paraId="1D8D3A75">
      <w:pPr>
        <w:pStyle w:val="6"/>
        <w:snapToGrid w:val="0"/>
        <w:spacing w:line="420" w:lineRule="exact"/>
        <w:rPr>
          <w:rStyle w:val="105"/>
          <w:rFonts w:hint="eastAsia" w:ascii="宋体" w:hAnsi="宋体" w:eastAsia="宋体" w:cs="宋体"/>
          <w:b/>
          <w:bCs/>
          <w:sz w:val="21"/>
          <w:szCs w:val="21"/>
          <w:highlight w:val="none"/>
        </w:rPr>
      </w:pPr>
      <w:r>
        <w:rPr>
          <w:rStyle w:val="105"/>
          <w:rFonts w:hint="eastAsia" w:ascii="宋体" w:hAnsi="宋体" w:eastAsia="宋体" w:cs="宋体"/>
          <w:b/>
          <w:bCs/>
          <w:sz w:val="21"/>
          <w:szCs w:val="21"/>
          <w:highlight w:val="none"/>
        </w:rPr>
        <w:t>24 争议的解决</w:t>
      </w:r>
    </w:p>
    <w:p w14:paraId="2E4D7CD2">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24.1 争议的解决方式</w:t>
      </w:r>
    </w:p>
    <w:p w14:paraId="15D31760">
      <w:pPr>
        <w:pStyle w:val="38"/>
        <w:snapToGrid w:val="0"/>
        <w:spacing w:before="0" w:beforeAutospacing="0" w:after="0" w:afterAutospacing="0"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合同当事人友好协商解决不成、不愿提请争议评审或不接受争议评审组意见的，向约定的合同</w:t>
      </w:r>
      <w:r>
        <w:rPr>
          <w:rFonts w:hint="eastAsia" w:ascii="宋体" w:hAnsi="宋体" w:eastAsia="宋体" w:cs="宋体"/>
          <w:sz w:val="21"/>
          <w:szCs w:val="21"/>
          <w:highlight w:val="none"/>
          <w:u w:val="single"/>
        </w:rPr>
        <w:t>工程所在地的人民法院提起诉讼。</w:t>
      </w:r>
    </w:p>
    <w:p w14:paraId="603F6288">
      <w:pPr>
        <w:pStyle w:val="7"/>
        <w:tabs>
          <w:tab w:val="left" w:pos="0"/>
          <w:tab w:val="clear" w:pos="1008"/>
        </w:tabs>
        <w:suppressAutoHyphens/>
        <w:snapToGrid w:val="0"/>
        <w:spacing w:before="0" w:after="0" w:line="420" w:lineRule="exact"/>
        <w:rPr>
          <w:rFonts w:hint="eastAsia" w:ascii="宋体" w:hAnsi="宋体" w:eastAsia="宋体" w:cs="宋体"/>
          <w:sz w:val="21"/>
          <w:szCs w:val="21"/>
          <w:highlight w:val="none"/>
        </w:rPr>
      </w:pPr>
      <w:r>
        <w:rPr>
          <w:rStyle w:val="105"/>
          <w:rFonts w:hint="eastAsia" w:ascii="宋体" w:hAnsi="宋体" w:eastAsia="宋体" w:cs="宋体"/>
          <w:b/>
          <w:spacing w:val="0"/>
          <w:sz w:val="21"/>
          <w:szCs w:val="21"/>
          <w:highlight w:val="none"/>
        </w:rPr>
        <w:t>24.2 友好解决</w:t>
      </w:r>
    </w:p>
    <w:p w14:paraId="20A12538">
      <w:pPr>
        <w:pStyle w:val="38"/>
        <w:snapToGrid w:val="0"/>
        <w:spacing w:line="42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补充：合同当事人可以就争议请第三方或省水行政主管部门进行调解，调解达成协议的，经双方签字并盖章后作为合同补充文件，双方均应遵照执行</w:t>
      </w:r>
      <w:r>
        <w:rPr>
          <w:rFonts w:hint="eastAsia" w:cs="宋体"/>
          <w:sz w:val="21"/>
          <w:szCs w:val="21"/>
          <w:highlight w:val="none"/>
          <w:lang w:eastAsia="zh-CN"/>
        </w:rPr>
        <w:t>。</w:t>
      </w:r>
    </w:p>
    <w:p w14:paraId="4FC2D1CE">
      <w:pPr>
        <w:spacing w:line="420" w:lineRule="exact"/>
        <w:ind w:firstLine="360"/>
        <w:rPr>
          <w:rFonts w:hint="eastAsia" w:ascii="宋体" w:hAnsi="宋体" w:eastAsia="宋体" w:cs="宋体"/>
          <w:b/>
          <w:kern w:val="2"/>
          <w:highlight w:val="none"/>
        </w:rPr>
      </w:pPr>
      <w:r>
        <w:rPr>
          <w:rFonts w:hint="eastAsia" w:ascii="宋体" w:hAnsi="宋体" w:eastAsia="宋体" w:cs="宋体"/>
          <w:b/>
          <w:kern w:val="2"/>
          <w:highlight w:val="none"/>
        </w:rPr>
        <w:br w:type="page"/>
      </w:r>
    </w:p>
    <w:p w14:paraId="2D414752">
      <w:pPr>
        <w:keepLines/>
        <w:widowControl/>
        <w:snapToGrid w:val="0"/>
        <w:spacing w:before="120" w:beforeLines="50" w:line="360" w:lineRule="auto"/>
        <w:jc w:val="center"/>
        <w:outlineLvl w:val="2"/>
        <w:rPr>
          <w:rFonts w:hint="eastAsia" w:ascii="宋体" w:hAnsi="宋体" w:eastAsia="宋体" w:cs="宋体"/>
          <w:szCs w:val="24"/>
          <w:highlight w:val="none"/>
        </w:rPr>
      </w:pPr>
      <w:bookmarkStart w:id="40" w:name="_Toc26147"/>
      <w:r>
        <w:rPr>
          <w:rFonts w:hint="eastAsia" w:ascii="宋体" w:hAnsi="宋体" w:eastAsia="宋体" w:cs="宋体"/>
          <w:b/>
          <w:kern w:val="2"/>
          <w:highlight w:val="none"/>
        </w:rPr>
        <w:t>第3节 合同附件格式</w:t>
      </w:r>
      <w:bookmarkEnd w:id="27"/>
      <w:bookmarkEnd w:id="40"/>
    </w:p>
    <w:p w14:paraId="68C3B541">
      <w:pPr>
        <w:pStyle w:val="2"/>
        <w:rPr>
          <w:rFonts w:hint="eastAsia" w:ascii="宋体" w:hAnsi="宋体" w:eastAsia="宋体" w:cs="宋体"/>
          <w:highlight w:val="none"/>
        </w:rPr>
      </w:pPr>
    </w:p>
    <w:p w14:paraId="4188EED6">
      <w:pPr>
        <w:pStyle w:val="6"/>
        <w:snapToGrid w:val="0"/>
        <w:spacing w:line="360" w:lineRule="auto"/>
        <w:rPr>
          <w:rStyle w:val="105"/>
          <w:rFonts w:hint="eastAsia" w:ascii="宋体" w:hAnsi="宋体" w:eastAsia="宋体" w:cs="宋体"/>
          <w:b/>
          <w:highlight w:val="none"/>
        </w:rPr>
      </w:pPr>
      <w:bookmarkStart w:id="41" w:name="_Toc426321895"/>
      <w:r>
        <w:rPr>
          <w:rStyle w:val="105"/>
          <w:rFonts w:hint="eastAsia" w:ascii="宋体" w:hAnsi="宋体" w:eastAsia="宋体" w:cs="宋体"/>
          <w:b/>
          <w:highlight w:val="none"/>
        </w:rPr>
        <w:t>附件一  合同协议书</w:t>
      </w:r>
      <w:bookmarkEnd w:id="41"/>
    </w:p>
    <w:p w14:paraId="3F6C8650">
      <w:pPr>
        <w:pStyle w:val="23"/>
        <w:adjustRightInd w:val="0"/>
        <w:snapToGrid w:val="0"/>
        <w:spacing w:line="360" w:lineRule="auto"/>
        <w:ind w:firstLine="240"/>
        <w:jc w:val="center"/>
        <w:rPr>
          <w:rFonts w:hint="eastAsia" w:ascii="宋体" w:hAnsi="宋体" w:eastAsia="宋体" w:cs="宋体"/>
          <w:b/>
          <w:snapToGrid w:val="0"/>
          <w:kern w:val="0"/>
          <w:sz w:val="24"/>
          <w:szCs w:val="24"/>
          <w:highlight w:val="none"/>
        </w:rPr>
      </w:pPr>
    </w:p>
    <w:p w14:paraId="2E5634F1">
      <w:pPr>
        <w:pStyle w:val="23"/>
        <w:adjustRightInd w:val="0"/>
        <w:snapToGrid w:val="0"/>
        <w:spacing w:line="460" w:lineRule="exact"/>
        <w:ind w:firstLine="240"/>
        <w:jc w:val="center"/>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合同协议书</w:t>
      </w:r>
    </w:p>
    <w:p w14:paraId="649EC05E">
      <w:pPr>
        <w:pStyle w:val="23"/>
        <w:adjustRightInd w:val="0"/>
        <w:snapToGrid w:val="0"/>
        <w:spacing w:line="460" w:lineRule="exact"/>
        <w:ind w:firstLine="240"/>
        <w:jc w:val="center"/>
        <w:rPr>
          <w:rFonts w:hint="eastAsia" w:ascii="宋体" w:hAnsi="宋体" w:eastAsia="宋体" w:cs="宋体"/>
          <w:b/>
          <w:snapToGrid w:val="0"/>
          <w:kern w:val="0"/>
          <w:sz w:val="24"/>
          <w:szCs w:val="24"/>
          <w:highlight w:val="none"/>
        </w:rPr>
      </w:pPr>
    </w:p>
    <w:p w14:paraId="72A7FCBC">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u w:val="single"/>
          <w:lang w:eastAsia="zh-CN"/>
        </w:rPr>
        <w:t>天台县里石门水库事务中心</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（发包人名称，以下简称“发包人”）为实施</w:t>
      </w:r>
      <w:r>
        <w:rPr>
          <w:rFonts w:hint="eastAsia" w:ascii="宋体" w:hAnsi="宋体" w:eastAsia="宋体" w:cs="宋体"/>
          <w:snapToGrid w:val="0"/>
          <w:sz w:val="21"/>
          <w:szCs w:val="21"/>
          <w:highlight w:val="none"/>
          <w:u w:val="single"/>
        </w:rPr>
        <w:t xml:space="preserve"> </w:t>
      </w:r>
      <w:r>
        <w:rPr>
          <w:rFonts w:hint="eastAsia" w:ascii="宋体" w:hAnsi="宋体" w:cs="宋体"/>
          <w:snapToGrid w:val="0"/>
          <w:sz w:val="21"/>
          <w:szCs w:val="21"/>
          <w:highlight w:val="none"/>
          <w:u w:val="single"/>
          <w:lang w:val="en-US" w:eastAsia="zh-CN"/>
        </w:rPr>
        <w:t xml:space="preserve"> </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（项目名称），已接受</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u w:val="single"/>
          <w:lang w:val="en-US" w:eastAsia="zh-CN"/>
        </w:rPr>
        <w:t xml:space="preserve">        </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u w:val="single"/>
          <w:lang w:val="en-US" w:eastAsia="zh-CN"/>
        </w:rPr>
        <w:t xml:space="preserve">      </w:t>
      </w:r>
      <w:r>
        <w:rPr>
          <w:rFonts w:hint="eastAsia" w:ascii="宋体" w:hAnsi="宋体" w:eastAsia="宋体" w:cs="宋体"/>
          <w:snapToGrid w:val="0"/>
          <w:sz w:val="21"/>
          <w:szCs w:val="21"/>
          <w:highlight w:val="none"/>
        </w:rPr>
        <w:t>（承包人名称，以下简称“承包人”）对</w:t>
      </w:r>
      <w:r>
        <w:rPr>
          <w:rFonts w:hint="eastAsia" w:ascii="宋体" w:hAnsi="宋体" w:eastAsia="宋体" w:cs="宋体"/>
          <w:snapToGrid w:val="0"/>
          <w:sz w:val="21"/>
          <w:szCs w:val="21"/>
          <w:highlight w:val="none"/>
          <w:u w:val="single"/>
        </w:rPr>
        <w:t xml:space="preserve">  </w:t>
      </w:r>
      <w:r>
        <w:rPr>
          <w:rFonts w:hint="eastAsia" w:ascii="宋体" w:hAnsi="宋体" w:cs="宋体"/>
          <w:snapToGrid w:val="0"/>
          <w:sz w:val="21"/>
          <w:szCs w:val="21"/>
          <w:highlight w:val="none"/>
          <w:u w:val="single"/>
          <w:lang w:val="en-US" w:eastAsia="zh-CN"/>
        </w:rPr>
        <w:t xml:space="preserve">                        </w:t>
      </w:r>
      <w:r>
        <w:rPr>
          <w:rFonts w:hint="eastAsia" w:ascii="宋体" w:hAnsi="宋体" w:cs="宋体"/>
          <w:snapToGrid w:val="0"/>
          <w:sz w:val="21"/>
          <w:szCs w:val="21"/>
          <w:highlight w:val="none"/>
          <w:u w:val="single"/>
          <w:lang w:eastAsia="zh-CN"/>
        </w:rPr>
        <w:t xml:space="preserve"> </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（项目名称）的投标，并确定其为中标人。发包人和承包人共同达成如下协议。</w:t>
      </w:r>
    </w:p>
    <w:p w14:paraId="4B2D5AD1">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1．本协议书与下列文件一起构成合同文件：</w:t>
      </w:r>
    </w:p>
    <w:p w14:paraId="2C8DA7F5">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（1）协议书（包括补充协议书）；</w:t>
      </w:r>
    </w:p>
    <w:p w14:paraId="5414079E">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（2）中标通知书；</w:t>
      </w:r>
    </w:p>
    <w:p w14:paraId="798EE079">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（3）投标函及投标函附录；</w:t>
      </w:r>
    </w:p>
    <w:p w14:paraId="421B5AE1">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（4）招投标文件澄清问题、澄清问题的复函、补充通知等相关资料；</w:t>
      </w:r>
    </w:p>
    <w:p w14:paraId="32FF055C">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（5） 专用合同条款；</w:t>
      </w:r>
    </w:p>
    <w:p w14:paraId="5E7373DF">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（6） 通用合同条款；</w:t>
      </w:r>
    </w:p>
    <w:p w14:paraId="0318E807">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（7） 技术标准和要求；</w:t>
      </w:r>
    </w:p>
    <w:p w14:paraId="708A19C4">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（8） 图纸；</w:t>
      </w:r>
    </w:p>
    <w:p w14:paraId="5F3C8797">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（9） 已标价工程量清单；</w:t>
      </w:r>
    </w:p>
    <w:p w14:paraId="17CC72BC">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（10）经双方确认进入合同的其他文件。</w:t>
      </w:r>
    </w:p>
    <w:p w14:paraId="03270B74">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2．上述文件互相补充和解释，如有不明确或不一致之处，以合同约定次序在先者为准。</w:t>
      </w:r>
    </w:p>
    <w:p w14:paraId="6B2B06AF">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3．签约合同价：人民币（大写）</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元（￥</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w:t>
      </w:r>
    </w:p>
    <w:p w14:paraId="495D5C0C">
      <w:pPr>
        <w:snapToGrid w:val="0"/>
        <w:spacing w:line="440" w:lineRule="exact"/>
        <w:ind w:firstLine="420" w:firstLineChars="200"/>
        <w:rPr>
          <w:rFonts w:hint="eastAsia" w:ascii="宋体" w:hAnsi="宋体" w:eastAsia="宋体" w:cs="宋体"/>
          <w:snapToGrid w:val="0"/>
          <w:sz w:val="21"/>
          <w:szCs w:val="21"/>
          <w:highlight w:val="none"/>
          <w:u w:val="single"/>
        </w:rPr>
      </w:pPr>
      <w:r>
        <w:rPr>
          <w:rFonts w:hint="eastAsia" w:ascii="宋体" w:hAnsi="宋体" w:eastAsia="宋体" w:cs="宋体"/>
          <w:snapToGrid w:val="0"/>
          <w:sz w:val="21"/>
          <w:szCs w:val="21"/>
          <w:highlight w:val="none"/>
        </w:rPr>
        <w:t>4．承包人项目负责人：</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，项目技术负责</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人。</w:t>
      </w:r>
    </w:p>
    <w:p w14:paraId="7AFBA1AD">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5．工程质量符合标准：</w:t>
      </w:r>
      <w:r>
        <w:rPr>
          <w:rFonts w:hint="eastAsia" w:ascii="宋体" w:hAnsi="宋体" w:eastAsia="宋体" w:cs="宋体"/>
          <w:snapToGrid w:val="0"/>
          <w:sz w:val="21"/>
          <w:szCs w:val="21"/>
          <w:highlight w:val="none"/>
          <w:u w:val="single"/>
        </w:rPr>
        <w:t xml:space="preserve">  合格    </w:t>
      </w:r>
      <w:r>
        <w:rPr>
          <w:rFonts w:hint="eastAsia" w:ascii="宋体" w:hAnsi="宋体" w:eastAsia="宋体" w:cs="宋体"/>
          <w:snapToGrid w:val="0"/>
          <w:sz w:val="21"/>
          <w:szCs w:val="21"/>
          <w:highlight w:val="none"/>
        </w:rPr>
        <w:t>。</w:t>
      </w:r>
    </w:p>
    <w:p w14:paraId="3A0E4710">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6．承包人承诺按合同约定承担工程的实施、完成及缺陷修复。</w:t>
      </w:r>
    </w:p>
    <w:p w14:paraId="31E66972">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7．发包人承诺按合同约定的条件、时间和方式向承包人支付合同价款。</w:t>
      </w:r>
    </w:p>
    <w:p w14:paraId="618EC4E3">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8．承包人承诺执行监理人开工通知，计划工期为</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天（日历天）。</w:t>
      </w:r>
    </w:p>
    <w:p w14:paraId="09FEE1A5">
      <w:pPr>
        <w:tabs>
          <w:tab w:val="left" w:pos="260"/>
        </w:tabs>
        <w:snapToGrid w:val="0"/>
        <w:spacing w:line="440" w:lineRule="exact"/>
        <w:ind w:left="99" w:leftChars="47" w:firstLine="319" w:firstLineChars="152"/>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9．</w:t>
      </w:r>
      <w:r>
        <w:rPr>
          <w:rFonts w:hint="eastAsia" w:ascii="宋体" w:hAnsi="宋体" w:eastAsia="宋体" w:cs="宋体"/>
          <w:snapToGrid w:val="0"/>
          <w:color w:val="FF0000"/>
          <w:sz w:val="21"/>
          <w:szCs w:val="21"/>
          <w:highlight w:val="none"/>
        </w:rPr>
        <w:t>本协议书正本一式</w:t>
      </w:r>
      <w:r>
        <w:rPr>
          <w:rFonts w:hint="eastAsia" w:ascii="宋体" w:hAnsi="宋体" w:eastAsia="宋体" w:cs="宋体"/>
          <w:snapToGrid w:val="0"/>
          <w:color w:val="FF0000"/>
          <w:sz w:val="21"/>
          <w:szCs w:val="21"/>
          <w:highlight w:val="none"/>
          <w:u w:val="single"/>
        </w:rPr>
        <w:t xml:space="preserve"> </w:t>
      </w:r>
      <w:r>
        <w:rPr>
          <w:rFonts w:hint="eastAsia" w:ascii="宋体" w:hAnsi="宋体" w:cs="宋体"/>
          <w:snapToGrid w:val="0"/>
          <w:color w:val="FF0000"/>
          <w:sz w:val="21"/>
          <w:szCs w:val="21"/>
          <w:highlight w:val="none"/>
          <w:u w:val="single"/>
          <w:lang w:val="en-US" w:eastAsia="zh-CN"/>
        </w:rPr>
        <w:t>捌</w:t>
      </w:r>
      <w:r>
        <w:rPr>
          <w:rFonts w:hint="eastAsia" w:ascii="宋体" w:hAnsi="宋体" w:eastAsia="宋体" w:cs="宋体"/>
          <w:snapToGrid w:val="0"/>
          <w:color w:val="FF0000"/>
          <w:sz w:val="21"/>
          <w:szCs w:val="21"/>
          <w:highlight w:val="none"/>
          <w:u w:val="single"/>
        </w:rPr>
        <w:t xml:space="preserve"> </w:t>
      </w:r>
      <w:r>
        <w:rPr>
          <w:rFonts w:hint="eastAsia" w:ascii="宋体" w:hAnsi="宋体" w:eastAsia="宋体" w:cs="宋体"/>
          <w:snapToGrid w:val="0"/>
          <w:color w:val="FF0000"/>
          <w:sz w:val="21"/>
          <w:szCs w:val="21"/>
          <w:highlight w:val="none"/>
        </w:rPr>
        <w:t>份，合同双方各执</w:t>
      </w:r>
      <w:r>
        <w:rPr>
          <w:rFonts w:hint="eastAsia" w:ascii="宋体" w:hAnsi="宋体" w:eastAsia="宋体" w:cs="宋体"/>
          <w:snapToGrid w:val="0"/>
          <w:color w:val="FF0000"/>
          <w:sz w:val="21"/>
          <w:szCs w:val="21"/>
          <w:highlight w:val="none"/>
          <w:u w:val="single"/>
        </w:rPr>
        <w:t xml:space="preserve"> </w:t>
      </w:r>
      <w:r>
        <w:rPr>
          <w:rFonts w:hint="eastAsia" w:ascii="宋体" w:hAnsi="宋体" w:cs="宋体"/>
          <w:snapToGrid w:val="0"/>
          <w:color w:val="FF0000"/>
          <w:sz w:val="21"/>
          <w:szCs w:val="21"/>
          <w:highlight w:val="none"/>
          <w:u w:val="single"/>
          <w:lang w:val="en-US" w:eastAsia="zh-CN"/>
        </w:rPr>
        <w:t>肆</w:t>
      </w:r>
      <w:r>
        <w:rPr>
          <w:rFonts w:hint="eastAsia" w:ascii="宋体" w:hAnsi="宋体" w:eastAsia="宋体" w:cs="宋体"/>
          <w:snapToGrid w:val="0"/>
          <w:color w:val="FF0000"/>
          <w:sz w:val="21"/>
          <w:szCs w:val="21"/>
          <w:highlight w:val="none"/>
          <w:u w:val="single"/>
        </w:rPr>
        <w:t xml:space="preserve"> </w:t>
      </w:r>
      <w:r>
        <w:rPr>
          <w:rFonts w:hint="eastAsia" w:ascii="宋体" w:hAnsi="宋体" w:eastAsia="宋体" w:cs="宋体"/>
          <w:snapToGrid w:val="0"/>
          <w:color w:val="FF0000"/>
          <w:sz w:val="21"/>
          <w:szCs w:val="21"/>
          <w:highlight w:val="none"/>
        </w:rPr>
        <w:t>份。</w:t>
      </w:r>
    </w:p>
    <w:p w14:paraId="563451CE">
      <w:pPr>
        <w:snapToGrid w:val="0"/>
        <w:spacing w:line="44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10．合同未尽事宜，双方另行签订补充协议。补充协议是合同的组成部分。</w:t>
      </w:r>
    </w:p>
    <w:p w14:paraId="4CA5F8C7">
      <w:pPr>
        <w:snapToGrid w:val="0"/>
        <w:spacing w:line="440" w:lineRule="exact"/>
        <w:rPr>
          <w:rFonts w:hint="eastAsia" w:ascii="宋体" w:hAnsi="宋体" w:eastAsia="宋体" w:cs="宋体"/>
          <w:snapToGrid w:val="0"/>
          <w:sz w:val="21"/>
          <w:szCs w:val="21"/>
          <w:highlight w:val="none"/>
          <w:u w:val="single"/>
        </w:rPr>
      </w:pPr>
      <w:r>
        <w:rPr>
          <w:rFonts w:hint="eastAsia" w:ascii="宋体" w:hAnsi="宋体" w:eastAsia="宋体" w:cs="宋体"/>
          <w:snapToGrid w:val="0"/>
          <w:spacing w:val="109"/>
          <w:sz w:val="21"/>
          <w:szCs w:val="21"/>
          <w:highlight w:val="none"/>
        </w:rPr>
        <w:t>发包</w:t>
      </w:r>
      <w:r>
        <w:rPr>
          <w:rFonts w:hint="eastAsia" w:ascii="宋体" w:hAnsi="宋体" w:eastAsia="宋体" w:cs="宋体"/>
          <w:snapToGrid w:val="0"/>
          <w:sz w:val="21"/>
          <w:szCs w:val="21"/>
          <w:highlight w:val="none"/>
        </w:rPr>
        <w:t>人：</w:t>
      </w:r>
      <w:r>
        <w:rPr>
          <w:rFonts w:hint="eastAsia" w:ascii="宋体" w:hAnsi="宋体" w:eastAsia="宋体" w:cs="宋体"/>
          <w:snapToGrid w:val="0"/>
          <w:sz w:val="21"/>
          <w:szCs w:val="21"/>
          <w:highlight w:val="none"/>
          <w:u w:val="single"/>
        </w:rPr>
        <w:t xml:space="preserve">   （盖单位公章）   </w:t>
      </w:r>
      <w:r>
        <w:rPr>
          <w:rFonts w:hint="eastAsia" w:ascii="宋体" w:hAnsi="宋体" w:eastAsia="宋体" w:cs="宋体"/>
          <w:snapToGrid w:val="0"/>
          <w:spacing w:val="109"/>
          <w:sz w:val="21"/>
          <w:szCs w:val="21"/>
          <w:highlight w:val="none"/>
        </w:rPr>
        <w:t>承包</w:t>
      </w:r>
      <w:r>
        <w:rPr>
          <w:rFonts w:hint="eastAsia" w:ascii="宋体" w:hAnsi="宋体" w:eastAsia="宋体" w:cs="宋体"/>
          <w:snapToGrid w:val="0"/>
          <w:sz w:val="21"/>
          <w:szCs w:val="21"/>
          <w:highlight w:val="none"/>
        </w:rPr>
        <w:t>人：</w:t>
      </w:r>
      <w:r>
        <w:rPr>
          <w:rFonts w:hint="eastAsia" w:ascii="宋体" w:hAnsi="宋体" w:eastAsia="宋体" w:cs="宋体"/>
          <w:snapToGrid w:val="0"/>
          <w:sz w:val="21"/>
          <w:szCs w:val="21"/>
          <w:highlight w:val="none"/>
          <w:u w:val="single"/>
        </w:rPr>
        <w:t xml:space="preserve">    （盖单位公章）    </w:t>
      </w:r>
    </w:p>
    <w:p w14:paraId="1EE29B7C">
      <w:pPr>
        <w:snapToGrid w:val="0"/>
        <w:spacing w:line="440" w:lineRule="exac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法定代表人法定代表人</w:t>
      </w:r>
    </w:p>
    <w:p w14:paraId="15EB006B">
      <w:pPr>
        <w:snapToGrid w:val="0"/>
        <w:spacing w:line="440" w:lineRule="exact"/>
        <w:ind w:firstLine="105" w:firstLineChars="50"/>
        <w:rPr>
          <w:rFonts w:hint="eastAsia" w:ascii="宋体" w:hAnsi="宋体" w:eastAsia="宋体" w:cs="宋体"/>
          <w:snapToGrid w:val="0"/>
          <w:sz w:val="21"/>
          <w:szCs w:val="21"/>
          <w:highlight w:val="none"/>
          <w:u w:val="single"/>
        </w:rPr>
      </w:pPr>
      <w:r>
        <w:rPr>
          <w:rFonts w:hint="eastAsia" w:ascii="宋体" w:hAnsi="宋体" w:eastAsia="宋体" w:cs="宋体"/>
          <w:sz w:val="21"/>
          <w:szCs w:val="21"/>
          <w:highlight w:val="none"/>
        </w:rPr>
        <w:t>或其委托代理人</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u w:val="single"/>
        </w:rPr>
        <w:t xml:space="preserve"> （签字） </w:t>
      </w:r>
      <w:r>
        <w:rPr>
          <w:rFonts w:hint="eastAsia" w:ascii="宋体" w:hAnsi="宋体" w:eastAsia="宋体" w:cs="宋体"/>
          <w:sz w:val="21"/>
          <w:szCs w:val="21"/>
          <w:highlight w:val="none"/>
        </w:rPr>
        <w:t>或其委托代理人</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u w:val="single"/>
        </w:rPr>
        <w:t xml:space="preserve"> （签字） </w:t>
      </w:r>
    </w:p>
    <w:tbl>
      <w:tblPr>
        <w:tblStyle w:val="42"/>
        <w:tblW w:w="0" w:type="auto"/>
        <w:jc w:val="center"/>
        <w:tblLayout w:type="fixed"/>
        <w:tblCellMar>
          <w:top w:w="0" w:type="dxa"/>
          <w:left w:w="108" w:type="dxa"/>
          <w:bottom w:w="0" w:type="dxa"/>
          <w:right w:w="108" w:type="dxa"/>
        </w:tblCellMar>
      </w:tblPr>
      <w:tblGrid>
        <w:gridCol w:w="1497"/>
        <w:gridCol w:w="3060"/>
        <w:gridCol w:w="1440"/>
        <w:gridCol w:w="2865"/>
      </w:tblGrid>
      <w:tr w14:paraId="0443A2FC">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14:paraId="43D5AD44">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联 系 人：</w:t>
            </w:r>
          </w:p>
        </w:tc>
        <w:tc>
          <w:tcPr>
            <w:tcW w:w="3060" w:type="dxa"/>
            <w:noWrap w:val="0"/>
            <w:tcMar>
              <w:left w:w="28" w:type="dxa"/>
              <w:right w:w="28" w:type="dxa"/>
            </w:tcMar>
            <w:vAlign w:val="center"/>
          </w:tcPr>
          <w:p w14:paraId="0C6D2B19">
            <w:pPr>
              <w:snapToGrid w:val="0"/>
              <w:spacing w:line="360" w:lineRule="auto"/>
              <w:jc w:val="center"/>
              <w:rPr>
                <w:rFonts w:hint="eastAsia" w:ascii="宋体" w:hAnsi="宋体" w:eastAsia="宋体" w:cs="宋体"/>
                <w:snapToGrid w:val="0"/>
                <w:sz w:val="21"/>
                <w:szCs w:val="21"/>
                <w:highlight w:val="none"/>
              </w:rPr>
            </w:pPr>
          </w:p>
        </w:tc>
        <w:tc>
          <w:tcPr>
            <w:tcW w:w="1440" w:type="dxa"/>
            <w:noWrap w:val="0"/>
            <w:tcMar>
              <w:left w:w="28" w:type="dxa"/>
              <w:right w:w="28" w:type="dxa"/>
            </w:tcMar>
            <w:vAlign w:val="center"/>
          </w:tcPr>
          <w:p w14:paraId="3A05004D">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联 系 人：</w:t>
            </w:r>
          </w:p>
        </w:tc>
        <w:tc>
          <w:tcPr>
            <w:tcW w:w="2865" w:type="dxa"/>
            <w:noWrap w:val="0"/>
            <w:tcMar>
              <w:left w:w="28" w:type="dxa"/>
              <w:right w:w="28" w:type="dxa"/>
            </w:tcMar>
            <w:vAlign w:val="center"/>
          </w:tcPr>
          <w:p w14:paraId="25AD6C61">
            <w:pPr>
              <w:snapToGrid w:val="0"/>
              <w:spacing w:line="360" w:lineRule="auto"/>
              <w:jc w:val="center"/>
              <w:rPr>
                <w:rFonts w:hint="eastAsia" w:ascii="宋体" w:hAnsi="宋体" w:eastAsia="宋体" w:cs="宋体"/>
                <w:snapToGrid w:val="0"/>
                <w:sz w:val="21"/>
                <w:szCs w:val="21"/>
                <w:highlight w:val="none"/>
              </w:rPr>
            </w:pPr>
          </w:p>
        </w:tc>
      </w:tr>
      <w:tr w14:paraId="2222FFBC">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14:paraId="16199CAE">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地    址：</w:t>
            </w:r>
          </w:p>
        </w:tc>
        <w:tc>
          <w:tcPr>
            <w:tcW w:w="3060" w:type="dxa"/>
            <w:noWrap w:val="0"/>
            <w:tcMar>
              <w:left w:w="28" w:type="dxa"/>
              <w:right w:w="28" w:type="dxa"/>
            </w:tcMar>
            <w:vAlign w:val="center"/>
          </w:tcPr>
          <w:p w14:paraId="5D12CAB8">
            <w:pPr>
              <w:snapToGrid w:val="0"/>
              <w:spacing w:line="360" w:lineRule="auto"/>
              <w:jc w:val="center"/>
              <w:rPr>
                <w:rFonts w:hint="eastAsia" w:ascii="宋体" w:hAnsi="宋体" w:eastAsia="宋体" w:cs="宋体"/>
                <w:snapToGrid w:val="0"/>
                <w:sz w:val="21"/>
                <w:szCs w:val="21"/>
                <w:highlight w:val="none"/>
              </w:rPr>
            </w:pPr>
          </w:p>
        </w:tc>
        <w:tc>
          <w:tcPr>
            <w:tcW w:w="1440" w:type="dxa"/>
            <w:noWrap w:val="0"/>
            <w:tcMar>
              <w:left w:w="28" w:type="dxa"/>
              <w:right w:w="28" w:type="dxa"/>
            </w:tcMar>
            <w:vAlign w:val="center"/>
          </w:tcPr>
          <w:p w14:paraId="453D4799">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地    址：</w:t>
            </w:r>
          </w:p>
        </w:tc>
        <w:tc>
          <w:tcPr>
            <w:tcW w:w="2865" w:type="dxa"/>
            <w:noWrap w:val="0"/>
            <w:tcMar>
              <w:left w:w="28" w:type="dxa"/>
              <w:right w:w="28" w:type="dxa"/>
            </w:tcMar>
            <w:vAlign w:val="center"/>
          </w:tcPr>
          <w:p w14:paraId="108C2B60">
            <w:pPr>
              <w:snapToGrid w:val="0"/>
              <w:spacing w:line="360" w:lineRule="auto"/>
              <w:jc w:val="center"/>
              <w:rPr>
                <w:rFonts w:hint="eastAsia" w:ascii="宋体" w:hAnsi="宋体" w:eastAsia="宋体" w:cs="宋体"/>
                <w:snapToGrid w:val="0"/>
                <w:sz w:val="21"/>
                <w:szCs w:val="21"/>
                <w:highlight w:val="none"/>
              </w:rPr>
            </w:pPr>
          </w:p>
        </w:tc>
      </w:tr>
      <w:tr w14:paraId="0314619E">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14:paraId="21336594">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电    话：</w:t>
            </w:r>
          </w:p>
        </w:tc>
        <w:tc>
          <w:tcPr>
            <w:tcW w:w="3060" w:type="dxa"/>
            <w:noWrap w:val="0"/>
            <w:tcMar>
              <w:left w:w="28" w:type="dxa"/>
              <w:right w:w="28" w:type="dxa"/>
            </w:tcMar>
            <w:vAlign w:val="center"/>
          </w:tcPr>
          <w:p w14:paraId="5586ED62">
            <w:pPr>
              <w:snapToGrid w:val="0"/>
              <w:spacing w:line="360" w:lineRule="auto"/>
              <w:jc w:val="center"/>
              <w:rPr>
                <w:rFonts w:hint="eastAsia" w:ascii="宋体" w:hAnsi="宋体" w:eastAsia="宋体" w:cs="宋体"/>
                <w:snapToGrid w:val="0"/>
                <w:sz w:val="21"/>
                <w:szCs w:val="21"/>
                <w:highlight w:val="none"/>
              </w:rPr>
            </w:pPr>
          </w:p>
        </w:tc>
        <w:tc>
          <w:tcPr>
            <w:tcW w:w="1440" w:type="dxa"/>
            <w:noWrap w:val="0"/>
            <w:tcMar>
              <w:left w:w="28" w:type="dxa"/>
              <w:right w:w="28" w:type="dxa"/>
            </w:tcMar>
            <w:vAlign w:val="center"/>
          </w:tcPr>
          <w:p w14:paraId="0196C5B0">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电    话：</w:t>
            </w:r>
          </w:p>
        </w:tc>
        <w:tc>
          <w:tcPr>
            <w:tcW w:w="2865" w:type="dxa"/>
            <w:noWrap w:val="0"/>
            <w:tcMar>
              <w:left w:w="28" w:type="dxa"/>
              <w:right w:w="28" w:type="dxa"/>
            </w:tcMar>
            <w:vAlign w:val="center"/>
          </w:tcPr>
          <w:p w14:paraId="2E1D2CB3">
            <w:pPr>
              <w:snapToGrid w:val="0"/>
              <w:spacing w:line="360" w:lineRule="auto"/>
              <w:jc w:val="center"/>
              <w:rPr>
                <w:rFonts w:hint="eastAsia" w:ascii="宋体" w:hAnsi="宋体" w:eastAsia="宋体" w:cs="宋体"/>
                <w:snapToGrid w:val="0"/>
                <w:sz w:val="21"/>
                <w:szCs w:val="21"/>
                <w:highlight w:val="none"/>
              </w:rPr>
            </w:pPr>
          </w:p>
        </w:tc>
      </w:tr>
      <w:tr w14:paraId="54CBE2DB">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14:paraId="2CC902DB">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传    真：</w:t>
            </w:r>
          </w:p>
        </w:tc>
        <w:tc>
          <w:tcPr>
            <w:tcW w:w="3060" w:type="dxa"/>
            <w:noWrap w:val="0"/>
            <w:tcMar>
              <w:left w:w="28" w:type="dxa"/>
              <w:right w:w="28" w:type="dxa"/>
            </w:tcMar>
            <w:vAlign w:val="center"/>
          </w:tcPr>
          <w:p w14:paraId="05EB3968">
            <w:pPr>
              <w:snapToGrid w:val="0"/>
              <w:spacing w:line="360" w:lineRule="auto"/>
              <w:jc w:val="center"/>
              <w:rPr>
                <w:rFonts w:hint="eastAsia" w:ascii="宋体" w:hAnsi="宋体" w:eastAsia="宋体" w:cs="宋体"/>
                <w:snapToGrid w:val="0"/>
                <w:sz w:val="21"/>
                <w:szCs w:val="21"/>
                <w:highlight w:val="none"/>
              </w:rPr>
            </w:pPr>
          </w:p>
        </w:tc>
        <w:tc>
          <w:tcPr>
            <w:tcW w:w="1440" w:type="dxa"/>
            <w:noWrap w:val="0"/>
            <w:tcMar>
              <w:left w:w="28" w:type="dxa"/>
              <w:right w:w="28" w:type="dxa"/>
            </w:tcMar>
            <w:vAlign w:val="center"/>
          </w:tcPr>
          <w:p w14:paraId="30B58DDB">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传    真：</w:t>
            </w:r>
          </w:p>
        </w:tc>
        <w:tc>
          <w:tcPr>
            <w:tcW w:w="2865" w:type="dxa"/>
            <w:noWrap w:val="0"/>
            <w:tcMar>
              <w:left w:w="28" w:type="dxa"/>
              <w:right w:w="28" w:type="dxa"/>
            </w:tcMar>
            <w:vAlign w:val="center"/>
          </w:tcPr>
          <w:p w14:paraId="4963AD08">
            <w:pPr>
              <w:snapToGrid w:val="0"/>
              <w:spacing w:line="360" w:lineRule="auto"/>
              <w:jc w:val="center"/>
              <w:rPr>
                <w:rFonts w:hint="eastAsia" w:ascii="宋体" w:hAnsi="宋体" w:eastAsia="宋体" w:cs="宋体"/>
                <w:snapToGrid w:val="0"/>
                <w:sz w:val="21"/>
                <w:szCs w:val="21"/>
                <w:highlight w:val="none"/>
              </w:rPr>
            </w:pPr>
          </w:p>
        </w:tc>
      </w:tr>
      <w:tr w14:paraId="6954AC16">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14:paraId="3939917F">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邮    编：</w:t>
            </w:r>
          </w:p>
        </w:tc>
        <w:tc>
          <w:tcPr>
            <w:tcW w:w="3060" w:type="dxa"/>
            <w:noWrap w:val="0"/>
            <w:tcMar>
              <w:left w:w="28" w:type="dxa"/>
              <w:right w:w="28" w:type="dxa"/>
            </w:tcMar>
            <w:vAlign w:val="center"/>
          </w:tcPr>
          <w:p w14:paraId="0B3E29B7">
            <w:pPr>
              <w:snapToGrid w:val="0"/>
              <w:spacing w:line="360" w:lineRule="auto"/>
              <w:jc w:val="center"/>
              <w:rPr>
                <w:rFonts w:hint="eastAsia" w:ascii="宋体" w:hAnsi="宋体" w:eastAsia="宋体" w:cs="宋体"/>
                <w:snapToGrid w:val="0"/>
                <w:sz w:val="21"/>
                <w:szCs w:val="21"/>
                <w:highlight w:val="none"/>
              </w:rPr>
            </w:pPr>
          </w:p>
        </w:tc>
        <w:tc>
          <w:tcPr>
            <w:tcW w:w="1440" w:type="dxa"/>
            <w:noWrap w:val="0"/>
            <w:tcMar>
              <w:left w:w="28" w:type="dxa"/>
              <w:right w:w="28" w:type="dxa"/>
            </w:tcMar>
            <w:vAlign w:val="center"/>
          </w:tcPr>
          <w:p w14:paraId="22D5A049">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邮    编：</w:t>
            </w:r>
          </w:p>
        </w:tc>
        <w:tc>
          <w:tcPr>
            <w:tcW w:w="2865" w:type="dxa"/>
            <w:noWrap w:val="0"/>
            <w:tcMar>
              <w:left w:w="28" w:type="dxa"/>
              <w:right w:w="28" w:type="dxa"/>
            </w:tcMar>
            <w:vAlign w:val="center"/>
          </w:tcPr>
          <w:p w14:paraId="171F739F">
            <w:pPr>
              <w:snapToGrid w:val="0"/>
              <w:spacing w:line="360" w:lineRule="auto"/>
              <w:jc w:val="center"/>
              <w:rPr>
                <w:rFonts w:hint="eastAsia" w:ascii="宋体" w:hAnsi="宋体" w:eastAsia="宋体" w:cs="宋体"/>
                <w:snapToGrid w:val="0"/>
                <w:sz w:val="21"/>
                <w:szCs w:val="21"/>
                <w:highlight w:val="none"/>
              </w:rPr>
            </w:pPr>
          </w:p>
        </w:tc>
      </w:tr>
      <w:tr w14:paraId="1543C19B">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14:paraId="0CEDD555">
            <w:pPr>
              <w:snapToGrid w:val="0"/>
              <w:spacing w:line="360" w:lineRule="auto"/>
              <w:ind w:firstLine="105" w:firstLineChars="5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开户银行：</w:t>
            </w:r>
          </w:p>
        </w:tc>
        <w:tc>
          <w:tcPr>
            <w:tcW w:w="3060" w:type="dxa"/>
            <w:noWrap w:val="0"/>
            <w:tcMar>
              <w:left w:w="28" w:type="dxa"/>
              <w:right w:w="28" w:type="dxa"/>
            </w:tcMar>
            <w:vAlign w:val="center"/>
          </w:tcPr>
          <w:p w14:paraId="77E7419C">
            <w:pPr>
              <w:snapToGrid w:val="0"/>
              <w:spacing w:line="360" w:lineRule="auto"/>
              <w:rPr>
                <w:rFonts w:hint="eastAsia" w:ascii="宋体" w:hAnsi="宋体" w:eastAsia="宋体" w:cs="宋体"/>
                <w:snapToGrid w:val="0"/>
                <w:sz w:val="21"/>
                <w:szCs w:val="21"/>
                <w:highlight w:val="none"/>
              </w:rPr>
            </w:pPr>
          </w:p>
        </w:tc>
        <w:tc>
          <w:tcPr>
            <w:tcW w:w="1440" w:type="dxa"/>
            <w:noWrap w:val="0"/>
            <w:tcMar>
              <w:left w:w="28" w:type="dxa"/>
              <w:right w:w="28" w:type="dxa"/>
            </w:tcMar>
            <w:vAlign w:val="center"/>
          </w:tcPr>
          <w:p w14:paraId="254E5380">
            <w:pPr>
              <w:snapToGrid w:val="0"/>
              <w:spacing w:line="360" w:lineRule="auto"/>
              <w:ind w:firstLine="105" w:firstLineChars="5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开户银行：</w:t>
            </w:r>
          </w:p>
        </w:tc>
        <w:tc>
          <w:tcPr>
            <w:tcW w:w="2865" w:type="dxa"/>
            <w:noWrap w:val="0"/>
            <w:tcMar>
              <w:left w:w="28" w:type="dxa"/>
              <w:right w:w="28" w:type="dxa"/>
            </w:tcMar>
            <w:vAlign w:val="center"/>
          </w:tcPr>
          <w:p w14:paraId="3DF4C2C1">
            <w:pPr>
              <w:snapToGrid w:val="0"/>
              <w:spacing w:line="360" w:lineRule="auto"/>
              <w:jc w:val="center"/>
              <w:rPr>
                <w:rFonts w:hint="eastAsia" w:ascii="宋体" w:hAnsi="宋体" w:eastAsia="宋体" w:cs="宋体"/>
                <w:snapToGrid w:val="0"/>
                <w:sz w:val="21"/>
                <w:szCs w:val="21"/>
                <w:highlight w:val="none"/>
              </w:rPr>
            </w:pPr>
          </w:p>
        </w:tc>
      </w:tr>
      <w:tr w14:paraId="2AA928FC">
        <w:tblPrEx>
          <w:tblCellMar>
            <w:top w:w="0" w:type="dxa"/>
            <w:left w:w="108" w:type="dxa"/>
            <w:bottom w:w="0" w:type="dxa"/>
            <w:right w:w="108" w:type="dxa"/>
          </w:tblCellMar>
        </w:tblPrEx>
        <w:trPr>
          <w:trHeight w:val="567" w:hRule="atLeast"/>
          <w:jc w:val="center"/>
        </w:trPr>
        <w:tc>
          <w:tcPr>
            <w:tcW w:w="1497" w:type="dxa"/>
            <w:noWrap w:val="0"/>
            <w:tcMar>
              <w:left w:w="28" w:type="dxa"/>
              <w:right w:w="28" w:type="dxa"/>
            </w:tcMar>
            <w:vAlign w:val="center"/>
          </w:tcPr>
          <w:p w14:paraId="6C8CF91A">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帐    号：</w:t>
            </w:r>
          </w:p>
        </w:tc>
        <w:tc>
          <w:tcPr>
            <w:tcW w:w="3060" w:type="dxa"/>
            <w:noWrap w:val="0"/>
            <w:tcMar>
              <w:left w:w="28" w:type="dxa"/>
              <w:right w:w="28" w:type="dxa"/>
            </w:tcMar>
            <w:vAlign w:val="center"/>
          </w:tcPr>
          <w:p w14:paraId="666243F8">
            <w:pPr>
              <w:snapToGrid w:val="0"/>
              <w:spacing w:line="360" w:lineRule="auto"/>
              <w:jc w:val="center"/>
              <w:rPr>
                <w:rFonts w:hint="eastAsia" w:ascii="宋体" w:hAnsi="宋体" w:eastAsia="宋体" w:cs="宋体"/>
                <w:snapToGrid w:val="0"/>
                <w:sz w:val="21"/>
                <w:szCs w:val="21"/>
                <w:highlight w:val="none"/>
              </w:rPr>
            </w:pPr>
          </w:p>
        </w:tc>
        <w:tc>
          <w:tcPr>
            <w:tcW w:w="1440" w:type="dxa"/>
            <w:noWrap w:val="0"/>
            <w:tcMar>
              <w:left w:w="28" w:type="dxa"/>
              <w:right w:w="28" w:type="dxa"/>
            </w:tcMar>
            <w:vAlign w:val="center"/>
          </w:tcPr>
          <w:p w14:paraId="1FC88B69">
            <w:pPr>
              <w:snapToGrid w:val="0"/>
              <w:spacing w:line="360" w:lineRule="auto"/>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帐    号：</w:t>
            </w:r>
          </w:p>
        </w:tc>
        <w:tc>
          <w:tcPr>
            <w:tcW w:w="2865" w:type="dxa"/>
            <w:noWrap w:val="0"/>
            <w:tcMar>
              <w:left w:w="28" w:type="dxa"/>
              <w:right w:w="28" w:type="dxa"/>
            </w:tcMar>
            <w:vAlign w:val="center"/>
          </w:tcPr>
          <w:p w14:paraId="28F860E1">
            <w:pPr>
              <w:snapToGrid w:val="0"/>
              <w:spacing w:line="360" w:lineRule="auto"/>
              <w:jc w:val="center"/>
              <w:rPr>
                <w:rFonts w:hint="eastAsia" w:ascii="宋体" w:hAnsi="宋体" w:eastAsia="宋体" w:cs="宋体"/>
                <w:snapToGrid w:val="0"/>
                <w:sz w:val="21"/>
                <w:szCs w:val="21"/>
                <w:highlight w:val="none"/>
              </w:rPr>
            </w:pPr>
          </w:p>
        </w:tc>
      </w:tr>
    </w:tbl>
    <w:p w14:paraId="2DB27792">
      <w:pPr>
        <w:pStyle w:val="23"/>
        <w:adjustRightInd w:val="0"/>
        <w:snapToGrid w:val="0"/>
        <w:spacing w:line="360" w:lineRule="auto"/>
        <w:ind w:left="1440" w:firstLine="1365" w:firstLineChars="650"/>
        <w:rPr>
          <w:rFonts w:hint="eastAsia" w:ascii="宋体" w:hAnsi="宋体" w:eastAsia="宋体" w:cs="宋体"/>
          <w:snapToGrid w:val="0"/>
          <w:kern w:val="0"/>
          <w:szCs w:val="21"/>
          <w:highlight w:val="none"/>
        </w:rPr>
      </w:pPr>
    </w:p>
    <w:p w14:paraId="155456B2">
      <w:pPr>
        <w:pStyle w:val="23"/>
        <w:adjustRightInd w:val="0"/>
        <w:snapToGrid w:val="0"/>
        <w:spacing w:line="360" w:lineRule="auto"/>
        <w:ind w:left="1440" w:firstLine="1365" w:firstLineChars="650"/>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签订日期：    年月日</w:t>
      </w:r>
    </w:p>
    <w:p w14:paraId="4548ECF4">
      <w:pPr>
        <w:pStyle w:val="6"/>
        <w:snapToGrid w:val="0"/>
        <w:spacing w:line="360" w:lineRule="auto"/>
        <w:rPr>
          <w:rStyle w:val="105"/>
          <w:rFonts w:hint="eastAsia" w:ascii="宋体" w:hAnsi="宋体" w:eastAsia="宋体" w:cs="宋体"/>
          <w:b/>
          <w:highlight w:val="none"/>
        </w:rPr>
      </w:pPr>
      <w:r>
        <w:rPr>
          <w:rFonts w:hint="eastAsia" w:ascii="宋体" w:hAnsi="宋体" w:eastAsia="宋体" w:cs="宋体"/>
          <w:sz w:val="21"/>
          <w:szCs w:val="21"/>
          <w:highlight w:val="none"/>
        </w:rPr>
        <w:br w:type="page"/>
      </w:r>
      <w:bookmarkStart w:id="42" w:name="_Toc426321896"/>
      <w:r>
        <w:rPr>
          <w:rStyle w:val="105"/>
          <w:rFonts w:hint="eastAsia" w:ascii="宋体" w:hAnsi="宋体" w:eastAsia="宋体" w:cs="宋体"/>
          <w:b/>
          <w:highlight w:val="none"/>
        </w:rPr>
        <w:t>附件二  履约担保</w:t>
      </w:r>
      <w:bookmarkEnd w:id="42"/>
    </w:p>
    <w:p w14:paraId="75FCFA8B">
      <w:pPr>
        <w:snapToGrid w:val="0"/>
        <w:spacing w:line="360" w:lineRule="auto"/>
        <w:jc w:val="center"/>
        <w:rPr>
          <w:rFonts w:hint="eastAsia" w:ascii="宋体" w:hAnsi="宋体" w:eastAsia="宋体" w:cs="宋体"/>
          <w:b/>
          <w:bCs/>
          <w:snapToGrid w:val="0"/>
          <w:szCs w:val="24"/>
          <w:highlight w:val="none"/>
        </w:rPr>
      </w:pPr>
    </w:p>
    <w:p w14:paraId="10FBFDA2">
      <w:pPr>
        <w:snapToGrid w:val="0"/>
        <w:spacing w:line="360" w:lineRule="auto"/>
        <w:jc w:val="center"/>
        <w:rPr>
          <w:rFonts w:hint="eastAsia" w:ascii="宋体" w:hAnsi="宋体" w:eastAsia="宋体" w:cs="宋体"/>
          <w:b/>
          <w:bCs/>
          <w:snapToGrid w:val="0"/>
          <w:szCs w:val="24"/>
          <w:highlight w:val="none"/>
        </w:rPr>
      </w:pPr>
      <w:r>
        <w:rPr>
          <w:rFonts w:hint="eastAsia" w:ascii="宋体" w:hAnsi="宋体" w:eastAsia="宋体" w:cs="宋体"/>
          <w:b/>
          <w:bCs/>
          <w:snapToGrid w:val="0"/>
          <w:szCs w:val="24"/>
          <w:highlight w:val="none"/>
        </w:rPr>
        <w:t>履约担保</w:t>
      </w:r>
    </w:p>
    <w:p w14:paraId="74EB5622">
      <w:pPr>
        <w:snapToGrid w:val="0"/>
        <w:spacing w:line="360" w:lineRule="auto"/>
        <w:rPr>
          <w:rFonts w:hint="eastAsia" w:ascii="宋体" w:hAnsi="宋体" w:eastAsia="宋体" w:cs="宋体"/>
          <w:snapToGrid w:val="0"/>
          <w:szCs w:val="24"/>
          <w:highlight w:val="none"/>
          <w:u w:val="single"/>
        </w:rPr>
      </w:pPr>
    </w:p>
    <w:p w14:paraId="62B0D595">
      <w:pPr>
        <w:snapToGrid w:val="0"/>
        <w:spacing w:line="360" w:lineRule="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（发包人名称）：</w:t>
      </w:r>
    </w:p>
    <w:p w14:paraId="1D5A5DC7">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鉴于</w:t>
      </w:r>
      <w:r>
        <w:rPr>
          <w:rFonts w:hint="eastAsia" w:ascii="宋体" w:hAnsi="宋体" w:eastAsia="宋体" w:cs="宋体"/>
          <w:snapToGrid w:val="0"/>
          <w:sz w:val="21"/>
          <w:szCs w:val="21"/>
          <w:highlight w:val="none"/>
          <w:u w:val="single"/>
          <w:lang w:eastAsia="zh-CN"/>
        </w:rPr>
        <w:t>天台县里石门水库事务中心</w:t>
      </w:r>
      <w:r>
        <w:rPr>
          <w:rFonts w:hint="eastAsia" w:ascii="宋体" w:hAnsi="宋体" w:eastAsia="宋体" w:cs="宋体"/>
          <w:snapToGrid w:val="0"/>
          <w:sz w:val="21"/>
          <w:szCs w:val="21"/>
          <w:highlight w:val="none"/>
        </w:rPr>
        <w:t>（发包人名称，以下简称“发包人”）接受</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（承包人名称，以下称“承包人”）于</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年</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月</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日递交的</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snapToGrid w:val="0"/>
          <w:sz w:val="21"/>
          <w:szCs w:val="21"/>
          <w:highlight w:val="none"/>
        </w:rPr>
        <w:t>（项目名称）（标段名称）的投标文件。我方愿意无条件地、不可撤销地就承包人履行与你方订立的合同，向你方提供担保。</w:t>
      </w:r>
    </w:p>
    <w:p w14:paraId="3E935955">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1．担保金额人民币（大写）</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元（￥</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w:t>
      </w:r>
    </w:p>
    <w:p w14:paraId="6E55F9B5">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2．担保有效期自发包人与承包人签订的合同生效之日起至发包人签发合同工程完工证书之日止。</w:t>
      </w:r>
    </w:p>
    <w:p w14:paraId="0255D302">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3．在本担保有效期内，因承包人违反合同约定的义务给你方造成经济损失时，我方在收到你方以书面形式提出的在担保金额内的赔偿要求后，无条件地在7天内予以支付。</w:t>
      </w:r>
    </w:p>
    <w:p w14:paraId="7BCFC1F8">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4．发包人和承包人按《通用合同条款》第15条变更合同时，我方承担本担保规定的义务不变。</w:t>
      </w:r>
    </w:p>
    <w:p w14:paraId="43EC255A">
      <w:pPr>
        <w:snapToGrid w:val="0"/>
        <w:spacing w:line="360" w:lineRule="auto"/>
        <w:ind w:firstLine="420" w:firstLineChars="200"/>
        <w:rPr>
          <w:rFonts w:hint="eastAsia" w:ascii="宋体" w:hAnsi="宋体" w:eastAsia="宋体" w:cs="宋体"/>
          <w:snapToGrid w:val="0"/>
          <w:sz w:val="21"/>
          <w:szCs w:val="21"/>
          <w:highlight w:val="none"/>
        </w:rPr>
      </w:pPr>
    </w:p>
    <w:p w14:paraId="20CC51BB">
      <w:pPr>
        <w:snapToGrid w:val="0"/>
        <w:spacing w:line="360" w:lineRule="auto"/>
        <w:ind w:firstLine="3045" w:firstLineChars="145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担保人：（盖单位公章）</w:t>
      </w:r>
    </w:p>
    <w:p w14:paraId="1D2FFD94">
      <w:pPr>
        <w:snapToGrid w:val="0"/>
        <w:spacing w:line="360" w:lineRule="auto"/>
        <w:ind w:firstLine="420" w:firstLineChars="200"/>
        <w:rPr>
          <w:rFonts w:hint="eastAsia" w:ascii="宋体" w:hAnsi="宋体" w:eastAsia="宋体" w:cs="宋体"/>
          <w:snapToGrid w:val="0"/>
          <w:sz w:val="21"/>
          <w:szCs w:val="21"/>
          <w:highlight w:val="none"/>
        </w:rPr>
      </w:pPr>
    </w:p>
    <w:p w14:paraId="72107032">
      <w:pPr>
        <w:snapToGrid w:val="0"/>
        <w:spacing w:line="360" w:lineRule="auto"/>
        <w:ind w:firstLine="2902" w:firstLineChars="1382"/>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法定代表人或其委托代理人：（签字）</w:t>
      </w:r>
    </w:p>
    <w:p w14:paraId="14322E88">
      <w:pPr>
        <w:snapToGrid w:val="0"/>
        <w:spacing w:line="360" w:lineRule="auto"/>
        <w:ind w:firstLine="420" w:firstLineChars="200"/>
        <w:rPr>
          <w:rFonts w:hint="eastAsia" w:ascii="宋体" w:hAnsi="宋体" w:eastAsia="宋体" w:cs="宋体"/>
          <w:snapToGrid w:val="0"/>
          <w:sz w:val="21"/>
          <w:szCs w:val="21"/>
          <w:highlight w:val="none"/>
        </w:rPr>
      </w:pPr>
    </w:p>
    <w:p w14:paraId="15E3F765">
      <w:pPr>
        <w:snapToGrid w:val="0"/>
        <w:spacing w:line="360" w:lineRule="auto"/>
        <w:ind w:firstLine="3045" w:firstLineChars="145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地址：</w:t>
      </w:r>
    </w:p>
    <w:p w14:paraId="78D89F7A">
      <w:pPr>
        <w:snapToGrid w:val="0"/>
        <w:spacing w:line="360" w:lineRule="auto"/>
        <w:ind w:firstLine="3045" w:firstLineChars="145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邮政编码：</w:t>
      </w:r>
    </w:p>
    <w:p w14:paraId="72E8A758">
      <w:pPr>
        <w:snapToGrid w:val="0"/>
        <w:spacing w:line="360" w:lineRule="auto"/>
        <w:ind w:firstLine="3045" w:firstLineChars="145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电话：</w:t>
      </w:r>
    </w:p>
    <w:p w14:paraId="04061035">
      <w:pPr>
        <w:snapToGrid w:val="0"/>
        <w:spacing w:line="360" w:lineRule="auto"/>
        <w:ind w:firstLine="3045" w:firstLineChars="145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传真：</w:t>
      </w:r>
    </w:p>
    <w:p w14:paraId="67D0AF32">
      <w:pPr>
        <w:snapToGrid w:val="0"/>
        <w:spacing w:line="360" w:lineRule="auto"/>
        <w:ind w:firstLine="3885" w:firstLineChars="1850"/>
        <w:rPr>
          <w:rFonts w:hint="eastAsia" w:ascii="宋体" w:hAnsi="宋体" w:eastAsia="宋体" w:cs="宋体"/>
          <w:snapToGrid w:val="0"/>
          <w:sz w:val="21"/>
          <w:szCs w:val="21"/>
          <w:highlight w:val="none"/>
          <w:u w:val="single"/>
        </w:rPr>
      </w:pPr>
    </w:p>
    <w:p w14:paraId="6286BF3F">
      <w:pPr>
        <w:snapToGrid w:val="0"/>
        <w:spacing w:line="360" w:lineRule="auto"/>
        <w:ind w:firstLine="4313" w:firstLineChars="2054"/>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年   月    日</w:t>
      </w:r>
    </w:p>
    <w:p w14:paraId="47FF9D5D">
      <w:pPr>
        <w:pStyle w:val="2"/>
        <w:snapToGrid w:val="0"/>
        <w:spacing w:line="360" w:lineRule="auto"/>
        <w:ind w:firstLine="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注：委托代理人应附授权委托书。</w:t>
      </w:r>
    </w:p>
    <w:p w14:paraId="539D48F1">
      <w:pPr>
        <w:snapToGrid w:val="0"/>
        <w:spacing w:line="360" w:lineRule="auto"/>
        <w:ind w:firstLine="420" w:firstLineChars="200"/>
        <w:rPr>
          <w:rFonts w:hint="eastAsia" w:ascii="宋体" w:hAnsi="宋体" w:eastAsia="宋体" w:cs="宋体"/>
          <w:snapToGrid w:val="0"/>
          <w:szCs w:val="24"/>
          <w:highlight w:val="none"/>
        </w:rPr>
      </w:pPr>
    </w:p>
    <w:p w14:paraId="613C4B11">
      <w:pPr>
        <w:snapToGrid w:val="0"/>
        <w:spacing w:line="360" w:lineRule="auto"/>
        <w:ind w:firstLine="420" w:firstLineChars="200"/>
        <w:rPr>
          <w:rStyle w:val="105"/>
          <w:rFonts w:hint="eastAsia" w:ascii="宋体" w:hAnsi="宋体" w:eastAsia="宋体" w:cs="宋体"/>
          <w:b w:val="0"/>
          <w:highlight w:val="none"/>
        </w:rPr>
      </w:pPr>
      <w:r>
        <w:rPr>
          <w:rFonts w:hint="eastAsia" w:ascii="宋体" w:hAnsi="宋体" w:eastAsia="宋体" w:cs="宋体"/>
          <w:snapToGrid w:val="0"/>
          <w:szCs w:val="24"/>
          <w:highlight w:val="none"/>
        </w:rPr>
        <w:br w:type="page"/>
      </w:r>
      <w:bookmarkStart w:id="43" w:name="_Toc426321897"/>
      <w:r>
        <w:rPr>
          <w:rStyle w:val="105"/>
          <w:rFonts w:hint="eastAsia" w:ascii="宋体" w:hAnsi="宋体" w:eastAsia="宋体" w:cs="宋体"/>
          <w:b w:val="0"/>
          <w:highlight w:val="none"/>
        </w:rPr>
        <w:t>附件三  预付款担保格式（供参考）</w:t>
      </w:r>
      <w:bookmarkEnd w:id="43"/>
    </w:p>
    <w:p w14:paraId="105AF0C9">
      <w:pPr>
        <w:pStyle w:val="2"/>
        <w:snapToGrid w:val="0"/>
        <w:spacing w:line="360" w:lineRule="auto"/>
        <w:rPr>
          <w:rFonts w:hint="eastAsia" w:ascii="宋体" w:hAnsi="宋体" w:eastAsia="宋体" w:cs="宋体"/>
          <w:snapToGrid w:val="0"/>
          <w:szCs w:val="24"/>
          <w:highlight w:val="none"/>
        </w:rPr>
      </w:pPr>
    </w:p>
    <w:p w14:paraId="66F3AB9C">
      <w:pPr>
        <w:snapToGrid w:val="0"/>
        <w:spacing w:line="360" w:lineRule="auto"/>
        <w:jc w:val="center"/>
        <w:rPr>
          <w:rFonts w:hint="eastAsia" w:ascii="宋体" w:hAnsi="宋体" w:eastAsia="宋体" w:cs="宋体"/>
          <w:b/>
          <w:bCs/>
          <w:snapToGrid w:val="0"/>
          <w:szCs w:val="24"/>
          <w:highlight w:val="none"/>
        </w:rPr>
      </w:pPr>
      <w:r>
        <w:rPr>
          <w:rFonts w:hint="eastAsia" w:ascii="宋体" w:hAnsi="宋体" w:eastAsia="宋体" w:cs="宋体"/>
          <w:b/>
          <w:bCs/>
          <w:snapToGrid w:val="0"/>
          <w:szCs w:val="24"/>
          <w:highlight w:val="none"/>
        </w:rPr>
        <w:t>预付款担保</w:t>
      </w:r>
    </w:p>
    <w:p w14:paraId="4C1ACA06">
      <w:pPr>
        <w:snapToGrid w:val="0"/>
        <w:spacing w:line="360" w:lineRule="auto"/>
        <w:ind w:firstLine="420" w:firstLineChars="200"/>
        <w:rPr>
          <w:rFonts w:hint="eastAsia" w:ascii="宋体" w:hAnsi="宋体" w:eastAsia="宋体" w:cs="宋体"/>
          <w:snapToGrid w:val="0"/>
          <w:szCs w:val="24"/>
          <w:highlight w:val="none"/>
        </w:rPr>
      </w:pPr>
    </w:p>
    <w:p w14:paraId="63954258">
      <w:pPr>
        <w:snapToGrid w:val="0"/>
        <w:spacing w:line="360" w:lineRule="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（发包人名称）：</w:t>
      </w:r>
    </w:p>
    <w:p w14:paraId="639541A7">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根据（承包人名称，以下称“承包人”）与（发包人名称，以下简称“发包人”）于  年  月日签订的（项目名称）（标段名称）合同协议书，承包人按约定的金额向发包人提交一份预付款担保，即有权得到发包人支付相等金额的预付款。我方愿意就你方提供给承包人的预付款提供担保。</w:t>
      </w:r>
    </w:p>
    <w:p w14:paraId="2FB00E7D">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1．担保金额人民币（大写）元（￥）。</w:t>
      </w:r>
    </w:p>
    <w:p w14:paraId="4F8031CC">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2．担保有效期自预付款支付给承包人起生效，至发包人签发的进度付款证书说明预付款已完全扣清止。</w:t>
      </w:r>
    </w:p>
    <w:p w14:paraId="1E85FF80">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扣回的金额。</w:t>
      </w:r>
    </w:p>
    <w:p w14:paraId="7670DB3F">
      <w:pPr>
        <w:snapToGrid w:val="0"/>
        <w:spacing w:line="360" w:lineRule="auto"/>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4．发包人和承包人按《通用合同条款》第15条变更合同时，我方承担本担保规定的义务不变。</w:t>
      </w:r>
    </w:p>
    <w:p w14:paraId="20D3A32B">
      <w:pPr>
        <w:snapToGrid w:val="0"/>
        <w:spacing w:line="360" w:lineRule="auto"/>
        <w:ind w:firstLine="420" w:firstLineChars="200"/>
        <w:rPr>
          <w:rFonts w:hint="eastAsia" w:ascii="宋体" w:hAnsi="宋体" w:eastAsia="宋体" w:cs="宋体"/>
          <w:snapToGrid w:val="0"/>
          <w:sz w:val="21"/>
          <w:szCs w:val="21"/>
          <w:highlight w:val="none"/>
        </w:rPr>
      </w:pPr>
    </w:p>
    <w:p w14:paraId="46CECFD4">
      <w:pPr>
        <w:snapToGrid w:val="0"/>
        <w:spacing w:line="360" w:lineRule="auto"/>
        <w:ind w:firstLine="3675" w:firstLineChars="175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担保人：（盖单位公章）</w:t>
      </w:r>
    </w:p>
    <w:p w14:paraId="6B4F77A7">
      <w:pPr>
        <w:snapToGrid w:val="0"/>
        <w:spacing w:line="360" w:lineRule="auto"/>
        <w:ind w:firstLine="3009" w:firstLineChars="1433"/>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法定代表人或其委托代理人：（签字）</w:t>
      </w:r>
    </w:p>
    <w:p w14:paraId="1C52AF90">
      <w:pPr>
        <w:snapToGrid w:val="0"/>
        <w:spacing w:line="360" w:lineRule="auto"/>
        <w:ind w:firstLine="4200" w:firstLineChars="20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地址：</w:t>
      </w:r>
    </w:p>
    <w:p w14:paraId="770CC2E3">
      <w:pPr>
        <w:snapToGrid w:val="0"/>
        <w:spacing w:line="360" w:lineRule="auto"/>
        <w:ind w:firstLine="4200" w:firstLineChars="20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邮政编码：</w:t>
      </w:r>
    </w:p>
    <w:p w14:paraId="6E4D4703">
      <w:pPr>
        <w:snapToGrid w:val="0"/>
        <w:spacing w:line="360" w:lineRule="auto"/>
        <w:ind w:firstLine="4200" w:firstLineChars="20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电话：</w:t>
      </w:r>
    </w:p>
    <w:p w14:paraId="26AF333F">
      <w:pPr>
        <w:snapToGrid w:val="0"/>
        <w:spacing w:line="360" w:lineRule="auto"/>
        <w:ind w:firstLine="4200" w:firstLineChars="2000"/>
        <w:rPr>
          <w:rFonts w:hint="eastAsia" w:ascii="宋体" w:hAnsi="宋体" w:eastAsia="宋体" w:cs="宋体"/>
          <w:snapToGrid w:val="0"/>
          <w:sz w:val="21"/>
          <w:szCs w:val="21"/>
          <w:highlight w:val="none"/>
          <w:u w:val="single"/>
        </w:rPr>
      </w:pPr>
      <w:r>
        <w:rPr>
          <w:rFonts w:hint="eastAsia" w:ascii="宋体" w:hAnsi="宋体" w:eastAsia="宋体" w:cs="宋体"/>
          <w:snapToGrid w:val="0"/>
          <w:sz w:val="21"/>
          <w:szCs w:val="21"/>
          <w:highlight w:val="none"/>
        </w:rPr>
        <w:t>传真:</w:t>
      </w:r>
    </w:p>
    <w:p w14:paraId="4FF06540">
      <w:pPr>
        <w:pStyle w:val="23"/>
        <w:adjustRightInd w:val="0"/>
        <w:snapToGrid w:val="0"/>
        <w:spacing w:line="360" w:lineRule="auto"/>
        <w:ind w:left="1205" w:leftChars="574" w:firstLine="4059" w:firstLineChars="1933"/>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年月日</w:t>
      </w:r>
    </w:p>
    <w:p w14:paraId="0955D757">
      <w:pPr>
        <w:pStyle w:val="2"/>
        <w:snapToGrid w:val="0"/>
        <w:spacing w:line="360" w:lineRule="auto"/>
        <w:ind w:firstLine="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注：委托代理人应附授权委托书。</w:t>
      </w:r>
    </w:p>
    <w:p w14:paraId="16E109E9">
      <w:pPr>
        <w:pStyle w:val="2"/>
        <w:snapToGrid w:val="0"/>
        <w:spacing w:line="360" w:lineRule="auto"/>
        <w:ind w:firstLine="0"/>
        <w:rPr>
          <w:rFonts w:hint="eastAsia" w:ascii="宋体" w:hAnsi="宋体" w:eastAsia="宋体" w:cs="宋体"/>
          <w:snapToGrid w:val="0"/>
          <w:sz w:val="21"/>
          <w:szCs w:val="21"/>
          <w:highlight w:val="none"/>
        </w:rPr>
      </w:pPr>
    </w:p>
    <w:p w14:paraId="39E42C94">
      <w:pPr>
        <w:pStyle w:val="2"/>
        <w:snapToGrid w:val="0"/>
        <w:spacing w:line="360" w:lineRule="auto"/>
        <w:ind w:firstLine="0"/>
        <w:rPr>
          <w:rFonts w:hint="eastAsia" w:ascii="宋体" w:hAnsi="宋体" w:eastAsia="宋体" w:cs="宋体"/>
          <w:snapToGrid w:val="0"/>
          <w:szCs w:val="24"/>
          <w:highlight w:val="none"/>
        </w:rPr>
      </w:pPr>
      <w:r>
        <w:rPr>
          <w:rFonts w:hint="eastAsia" w:ascii="宋体" w:hAnsi="宋体" w:eastAsia="宋体" w:cs="宋体"/>
          <w:snapToGrid w:val="0"/>
          <w:szCs w:val="24"/>
          <w:highlight w:val="none"/>
        </w:rPr>
        <w:br w:type="page"/>
      </w:r>
    </w:p>
    <w:p w14:paraId="4AADAADD">
      <w:pPr>
        <w:pStyle w:val="6"/>
        <w:snapToGrid w:val="0"/>
        <w:spacing w:line="360" w:lineRule="auto"/>
        <w:rPr>
          <w:rStyle w:val="105"/>
          <w:rFonts w:hint="eastAsia" w:ascii="宋体" w:hAnsi="宋体" w:eastAsia="宋体" w:cs="宋体"/>
          <w:b/>
          <w:highlight w:val="none"/>
        </w:rPr>
      </w:pPr>
      <w:bookmarkStart w:id="44" w:name="_Toc426321898"/>
      <w:r>
        <w:rPr>
          <w:rStyle w:val="105"/>
          <w:rFonts w:hint="eastAsia" w:ascii="宋体" w:hAnsi="宋体" w:eastAsia="宋体" w:cs="宋体"/>
          <w:b/>
          <w:highlight w:val="none"/>
        </w:rPr>
        <w:t>附件四  廉政建设协议书（格式）</w:t>
      </w:r>
      <w:bookmarkEnd w:id="44"/>
    </w:p>
    <w:p w14:paraId="68061045">
      <w:pPr>
        <w:pStyle w:val="23"/>
        <w:adjustRightInd w:val="0"/>
        <w:snapToGrid w:val="0"/>
        <w:spacing w:line="360" w:lineRule="auto"/>
        <w:ind w:firstLine="240"/>
        <w:jc w:val="center"/>
        <w:rPr>
          <w:rFonts w:hint="eastAsia" w:ascii="宋体" w:hAnsi="宋体" w:eastAsia="宋体" w:cs="宋体"/>
          <w:b/>
          <w:bCs/>
          <w:snapToGrid w:val="0"/>
          <w:kern w:val="0"/>
          <w:sz w:val="24"/>
          <w:szCs w:val="24"/>
          <w:highlight w:val="none"/>
        </w:rPr>
      </w:pPr>
      <w:r>
        <w:rPr>
          <w:rFonts w:hint="eastAsia" w:ascii="宋体" w:hAnsi="宋体" w:eastAsia="宋体" w:cs="宋体"/>
          <w:snapToGrid w:val="0"/>
          <w:kern w:val="0"/>
          <w:sz w:val="24"/>
          <w:szCs w:val="24"/>
          <w:highlight w:val="none"/>
        </w:rPr>
        <w:t>（本格式为廉政建设协议书标准格式，投标人不需填写）</w:t>
      </w:r>
    </w:p>
    <w:p w14:paraId="01A9891D">
      <w:pPr>
        <w:snapToGrid w:val="0"/>
        <w:spacing w:line="360" w:lineRule="auto"/>
        <w:jc w:val="center"/>
        <w:rPr>
          <w:rFonts w:hint="eastAsia" w:ascii="宋体" w:hAnsi="宋体" w:eastAsia="宋体" w:cs="宋体"/>
          <w:b/>
          <w:snapToGrid w:val="0"/>
          <w:szCs w:val="24"/>
          <w:highlight w:val="none"/>
        </w:rPr>
      </w:pPr>
      <w:r>
        <w:rPr>
          <w:rFonts w:hint="eastAsia" w:ascii="宋体" w:hAnsi="宋体" w:eastAsia="宋体" w:cs="宋体"/>
          <w:b/>
          <w:snapToGrid w:val="0"/>
          <w:szCs w:val="24"/>
          <w:highlight w:val="none"/>
        </w:rPr>
        <w:t>廉政建设协议书（格式）</w:t>
      </w:r>
    </w:p>
    <w:p w14:paraId="48F2D8CB">
      <w:pPr>
        <w:snapToGrid w:val="0"/>
        <w:spacing w:line="360" w:lineRule="auto"/>
        <w:jc w:val="center"/>
        <w:rPr>
          <w:rFonts w:hint="eastAsia" w:ascii="宋体" w:hAnsi="宋体" w:eastAsia="宋体" w:cs="宋体"/>
          <w:bCs/>
          <w:szCs w:val="24"/>
          <w:highlight w:val="none"/>
        </w:rPr>
      </w:pPr>
    </w:p>
    <w:p w14:paraId="0856754C">
      <w:pPr>
        <w:snapToGrid w:val="0"/>
        <w:spacing w:line="420" w:lineRule="exact"/>
        <w:rPr>
          <w:rFonts w:hint="eastAsia" w:ascii="宋体" w:hAnsi="宋体" w:eastAsia="宋体" w:cs="宋体"/>
          <w:b/>
          <w:bCs/>
          <w:sz w:val="21"/>
          <w:szCs w:val="21"/>
          <w:highlight w:val="none"/>
        </w:rPr>
      </w:pPr>
    </w:p>
    <w:p w14:paraId="51A1626B">
      <w:pPr>
        <w:snapToGrid w:val="0"/>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立协议单位：</w:t>
      </w:r>
    </w:p>
    <w:tbl>
      <w:tblPr>
        <w:tblStyle w:val="42"/>
        <w:tblW w:w="0" w:type="auto"/>
        <w:tblInd w:w="0" w:type="dxa"/>
        <w:tblLayout w:type="fixed"/>
        <w:tblCellMar>
          <w:top w:w="0" w:type="dxa"/>
          <w:left w:w="108" w:type="dxa"/>
          <w:bottom w:w="0" w:type="dxa"/>
          <w:right w:w="108" w:type="dxa"/>
        </w:tblCellMar>
      </w:tblPr>
      <w:tblGrid>
        <w:gridCol w:w="1035"/>
        <w:gridCol w:w="4622"/>
        <w:gridCol w:w="2865"/>
      </w:tblGrid>
      <w:tr w14:paraId="2A440FA5">
        <w:tblPrEx>
          <w:tblCellMar>
            <w:top w:w="0" w:type="dxa"/>
            <w:left w:w="108" w:type="dxa"/>
            <w:bottom w:w="0" w:type="dxa"/>
            <w:right w:w="108" w:type="dxa"/>
          </w:tblCellMar>
        </w:tblPrEx>
        <w:tc>
          <w:tcPr>
            <w:tcW w:w="1035" w:type="dxa"/>
            <w:noWrap w:val="0"/>
            <w:vAlign w:val="top"/>
          </w:tcPr>
          <w:p w14:paraId="1182071B">
            <w:pPr>
              <w:snapToGrid w:val="0"/>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w:t>
            </w:r>
          </w:p>
        </w:tc>
        <w:tc>
          <w:tcPr>
            <w:tcW w:w="4622" w:type="dxa"/>
            <w:noWrap w:val="0"/>
            <w:vAlign w:val="top"/>
          </w:tcPr>
          <w:p w14:paraId="7C8A1BD8">
            <w:pPr>
              <w:snapToGrid w:val="0"/>
              <w:spacing w:line="440" w:lineRule="exact"/>
              <w:rPr>
                <w:rFonts w:hint="eastAsia" w:ascii="宋体" w:hAnsi="宋体" w:eastAsia="宋体" w:cs="宋体"/>
                <w:b/>
                <w:bCs/>
                <w:sz w:val="21"/>
                <w:szCs w:val="21"/>
                <w:highlight w:val="none"/>
              </w:rPr>
            </w:pPr>
          </w:p>
        </w:tc>
        <w:tc>
          <w:tcPr>
            <w:tcW w:w="2865" w:type="dxa"/>
            <w:noWrap w:val="0"/>
            <w:vAlign w:val="top"/>
          </w:tcPr>
          <w:p w14:paraId="28A02BC5">
            <w:pPr>
              <w:snapToGrid w:val="0"/>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（以下简称甲方）</w:t>
            </w:r>
          </w:p>
        </w:tc>
      </w:tr>
      <w:tr w14:paraId="29C98F47">
        <w:tblPrEx>
          <w:tblCellMar>
            <w:top w:w="0" w:type="dxa"/>
            <w:left w:w="108" w:type="dxa"/>
            <w:bottom w:w="0" w:type="dxa"/>
            <w:right w:w="108" w:type="dxa"/>
          </w:tblCellMar>
        </w:tblPrEx>
        <w:tc>
          <w:tcPr>
            <w:tcW w:w="1035" w:type="dxa"/>
            <w:noWrap w:val="0"/>
            <w:vAlign w:val="top"/>
          </w:tcPr>
          <w:p w14:paraId="33793315">
            <w:pPr>
              <w:snapToGrid w:val="0"/>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乙方：</w:t>
            </w:r>
          </w:p>
        </w:tc>
        <w:tc>
          <w:tcPr>
            <w:tcW w:w="4622" w:type="dxa"/>
            <w:noWrap w:val="0"/>
            <w:vAlign w:val="top"/>
          </w:tcPr>
          <w:p w14:paraId="1DEF4683">
            <w:pPr>
              <w:snapToGrid w:val="0"/>
              <w:spacing w:line="440" w:lineRule="exact"/>
              <w:rPr>
                <w:rFonts w:hint="eastAsia" w:ascii="宋体" w:hAnsi="宋体" w:eastAsia="宋体" w:cs="宋体"/>
                <w:b/>
                <w:bCs/>
                <w:sz w:val="21"/>
                <w:szCs w:val="21"/>
                <w:highlight w:val="none"/>
              </w:rPr>
            </w:pPr>
          </w:p>
        </w:tc>
        <w:tc>
          <w:tcPr>
            <w:tcW w:w="2865" w:type="dxa"/>
            <w:noWrap w:val="0"/>
            <w:vAlign w:val="top"/>
          </w:tcPr>
          <w:p w14:paraId="5BB8FF62">
            <w:pPr>
              <w:snapToGrid w:val="0"/>
              <w:spacing w:line="44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（以下简称乙方）</w:t>
            </w:r>
          </w:p>
        </w:tc>
      </w:tr>
    </w:tbl>
    <w:p w14:paraId="1AEC2745">
      <w:pPr>
        <w:snapToGrid w:val="0"/>
        <w:spacing w:line="440" w:lineRule="exact"/>
        <w:rPr>
          <w:rFonts w:hint="eastAsia" w:ascii="宋体" w:hAnsi="宋体" w:eastAsia="宋体" w:cs="宋体"/>
          <w:sz w:val="21"/>
          <w:szCs w:val="21"/>
          <w:highlight w:val="none"/>
        </w:rPr>
      </w:pPr>
    </w:p>
    <w:p w14:paraId="4AA4892A">
      <w:pPr>
        <w:snapToGrid w:val="0"/>
        <w:spacing w:line="440" w:lineRule="exact"/>
        <w:ind w:firstLine="426" w:firstLineChars="203"/>
        <w:rPr>
          <w:rFonts w:hint="eastAsia" w:ascii="宋体" w:hAnsi="宋体" w:eastAsia="宋体" w:cs="宋体"/>
          <w:sz w:val="21"/>
          <w:szCs w:val="21"/>
          <w:highlight w:val="none"/>
        </w:rPr>
      </w:pPr>
      <w:r>
        <w:rPr>
          <w:rFonts w:hint="eastAsia" w:ascii="宋体" w:hAnsi="宋体" w:eastAsia="宋体" w:cs="宋体"/>
          <w:sz w:val="21"/>
          <w:szCs w:val="21"/>
          <w:highlight w:val="none"/>
        </w:rPr>
        <w:t>为加强甲乙双方的廉政建设，增强各方的反腐倡廉意识和廉洁自律的自觉性，做到业主单位与施工（设计、监理）等单位相互制约，相互监督，树立企业新形象，特此签订本协议：</w:t>
      </w:r>
    </w:p>
    <w:p w14:paraId="55AAD718">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一、甲乙双方应当自觉遵守国家和省市关于工程建设中廉政建设的各项规定。</w:t>
      </w:r>
    </w:p>
    <w:p w14:paraId="7551075C">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二、甲方及其工作人员不得以任何形式向乙方索要和收受回扣等好处费。</w:t>
      </w:r>
    </w:p>
    <w:p w14:paraId="1541725B">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三、甲方工作人员应当保持与乙方的正常业务交往，不得接受乙方的礼金、有价证券和贵重物品，不得在乙方报销任何应由个人支付的费用。</w:t>
      </w:r>
    </w:p>
    <w:p w14:paraId="7200C921">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四、甲方工作人员不得参加乙方安排的宴请和娱乐、健身、旅游等活动。</w:t>
      </w:r>
    </w:p>
    <w:p w14:paraId="466A83F1">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五、甲方工作人员不得要求或者接受乙方为其住房装修、婚丧嫁娶、家属和子女就业（就学）以及出国等提供方便。</w:t>
      </w:r>
    </w:p>
    <w:p w14:paraId="55FC96C4">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六、甲方工作人员不得向乙方介绍家属等特定关系人从事材料设备供应、工程分包等经济活动。</w:t>
      </w:r>
    </w:p>
    <w:p w14:paraId="534158F6">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七、乙方应当通过正常途径开展业务工作，不得为获取不正当利益而向甲方工作人员赠送礼金、有价证券和贵重物品等。</w:t>
      </w:r>
    </w:p>
    <w:p w14:paraId="44389AA5">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八、乙方不得为谋取私利擅自与甲方工作人员就工程承包、工程费用、材料设备供应、工程量变动、工程验收、工程质量问题处理等进行私下商谈或者达成默契。</w:t>
      </w:r>
    </w:p>
    <w:p w14:paraId="3FF77B29">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九、乙方不得为甲方单位和个人购置或者提供通讯工具、交通工具、家电、高档办公用品等物品。</w:t>
      </w:r>
    </w:p>
    <w:p w14:paraId="710B41BF">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十、乙方如发现甲方工作人员有违反上述协议者，有权向甲方或者甲方上级单位举报。甲方不得以任何借口对乙方进行报复。</w:t>
      </w:r>
    </w:p>
    <w:p w14:paraId="0E5AB123">
      <w:pPr>
        <w:snapToGrid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十一、甲方发现乙方有违反本协议或者采用不正当的手段行贿甲方工作人员，甲方依照工程合同并根据具体情节和造成的后果向乙方追究违约金。由此给甲方单位造成的损失均由乙方承担，乙方用不正当手段获取的非法所得依法予以追缴。</w:t>
      </w:r>
    </w:p>
    <w:p w14:paraId="322E9A56">
      <w:pPr>
        <w:snapToGrid w:val="0"/>
        <w:spacing w:line="440" w:lineRule="exact"/>
        <w:ind w:firstLine="476" w:firstLineChars="227"/>
        <w:rPr>
          <w:rFonts w:hint="eastAsia" w:ascii="宋体" w:hAnsi="宋体" w:eastAsia="宋体" w:cs="宋体"/>
          <w:sz w:val="21"/>
          <w:szCs w:val="21"/>
          <w:highlight w:val="none"/>
        </w:rPr>
      </w:pPr>
      <w:r>
        <w:rPr>
          <w:rFonts w:hint="eastAsia" w:ascii="宋体" w:hAnsi="宋体" w:eastAsia="宋体" w:cs="宋体"/>
          <w:sz w:val="21"/>
          <w:szCs w:val="21"/>
          <w:highlight w:val="none"/>
        </w:rPr>
        <w:t>十二、本廉政协议作为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sz w:val="21"/>
          <w:szCs w:val="21"/>
          <w:highlight w:val="none"/>
        </w:rPr>
        <w:t>承发包合同的附件，与工程承发包合同具有同等法律效力。经协议双方签署后立即生效。</w:t>
      </w:r>
    </w:p>
    <w:p w14:paraId="2C52F2FE">
      <w:pPr>
        <w:snapToGrid w:val="0"/>
        <w:spacing w:line="440" w:lineRule="exact"/>
        <w:ind w:firstLine="476" w:firstLineChars="227"/>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十三、本协议书</w:t>
      </w:r>
      <w:r>
        <w:rPr>
          <w:rFonts w:hint="eastAsia" w:ascii="宋体" w:hAnsi="宋体" w:eastAsia="宋体" w:cs="宋体"/>
          <w:snapToGrid w:val="0"/>
          <w:sz w:val="21"/>
          <w:szCs w:val="21"/>
          <w:highlight w:val="none"/>
        </w:rPr>
        <w:t>壹式</w:t>
      </w:r>
      <w:r>
        <w:rPr>
          <w:rFonts w:hint="eastAsia" w:ascii="宋体" w:hAnsi="宋体" w:cs="宋体"/>
          <w:snapToGrid w:val="0"/>
          <w:sz w:val="21"/>
          <w:szCs w:val="21"/>
          <w:highlight w:val="none"/>
          <w:lang w:val="en-US" w:eastAsia="zh-CN"/>
        </w:rPr>
        <w:t>捌</w:t>
      </w:r>
      <w:r>
        <w:rPr>
          <w:rFonts w:hint="eastAsia" w:ascii="宋体" w:hAnsi="宋体" w:eastAsia="宋体" w:cs="宋体"/>
          <w:snapToGrid w:val="0"/>
          <w:sz w:val="21"/>
          <w:szCs w:val="21"/>
          <w:highlight w:val="none"/>
        </w:rPr>
        <w:t>份，</w:t>
      </w:r>
      <w:r>
        <w:rPr>
          <w:rFonts w:hint="eastAsia" w:ascii="宋体" w:hAnsi="宋体" w:eastAsia="宋体" w:cs="宋体"/>
          <w:sz w:val="21"/>
          <w:szCs w:val="21"/>
          <w:highlight w:val="none"/>
        </w:rPr>
        <w:t>其中正本</w:t>
      </w:r>
      <w:r>
        <w:rPr>
          <w:rFonts w:hint="eastAsia" w:ascii="宋体" w:hAnsi="宋体" w:eastAsia="宋体" w:cs="宋体"/>
          <w:b/>
          <w:sz w:val="21"/>
          <w:szCs w:val="21"/>
          <w:highlight w:val="none"/>
          <w:u w:val="single"/>
        </w:rPr>
        <w:t>贰</w:t>
      </w:r>
      <w:r>
        <w:rPr>
          <w:rFonts w:hint="eastAsia" w:ascii="宋体" w:hAnsi="宋体" w:eastAsia="宋体" w:cs="宋体"/>
          <w:sz w:val="21"/>
          <w:szCs w:val="21"/>
          <w:highlight w:val="none"/>
        </w:rPr>
        <w:t>份，双方各执</w:t>
      </w:r>
      <w:r>
        <w:rPr>
          <w:rFonts w:hint="eastAsia" w:ascii="宋体" w:hAnsi="宋体" w:eastAsia="宋体" w:cs="宋体"/>
          <w:b/>
          <w:sz w:val="21"/>
          <w:szCs w:val="21"/>
          <w:highlight w:val="none"/>
          <w:u w:val="single"/>
          <w:lang w:val="en-US" w:eastAsia="zh-CN"/>
        </w:rPr>
        <w:t>壹</w:t>
      </w:r>
      <w:r>
        <w:rPr>
          <w:rFonts w:hint="eastAsia" w:ascii="宋体" w:hAnsi="宋体" w:eastAsia="宋体" w:cs="宋体"/>
          <w:sz w:val="21"/>
          <w:szCs w:val="21"/>
          <w:highlight w:val="none"/>
        </w:rPr>
        <w:t>份，副本</w:t>
      </w:r>
      <w:r>
        <w:rPr>
          <w:rFonts w:hint="eastAsia" w:ascii="宋体" w:hAnsi="宋体" w:cs="宋体"/>
          <w:sz w:val="21"/>
          <w:szCs w:val="21"/>
          <w:highlight w:val="none"/>
          <w:lang w:val="en-US" w:eastAsia="zh-CN"/>
        </w:rPr>
        <w:t>陆</w:t>
      </w:r>
      <w:r>
        <w:rPr>
          <w:rFonts w:hint="eastAsia" w:ascii="宋体" w:hAnsi="宋体" w:eastAsia="宋体" w:cs="宋体"/>
          <w:sz w:val="21"/>
          <w:szCs w:val="21"/>
          <w:highlight w:val="none"/>
        </w:rPr>
        <w:t>份，甲方执</w:t>
      </w:r>
      <w:r>
        <w:rPr>
          <w:rFonts w:hint="eastAsia" w:ascii="宋体" w:hAnsi="宋体" w:cs="宋体"/>
          <w:sz w:val="21"/>
          <w:szCs w:val="21"/>
          <w:highlight w:val="none"/>
          <w:lang w:val="en-US" w:eastAsia="zh-CN"/>
        </w:rPr>
        <w:t>叁</w:t>
      </w:r>
      <w:r>
        <w:rPr>
          <w:rFonts w:hint="eastAsia" w:ascii="宋体" w:hAnsi="宋体" w:eastAsia="宋体" w:cs="宋体"/>
          <w:sz w:val="21"/>
          <w:szCs w:val="21"/>
          <w:highlight w:val="none"/>
        </w:rPr>
        <w:t>份，乙方执</w:t>
      </w:r>
      <w:r>
        <w:rPr>
          <w:rFonts w:hint="eastAsia" w:ascii="宋体" w:hAnsi="宋体" w:cs="宋体"/>
          <w:sz w:val="21"/>
          <w:szCs w:val="21"/>
          <w:highlight w:val="none"/>
          <w:lang w:val="en-US" w:eastAsia="zh-CN"/>
        </w:rPr>
        <w:t>叁</w:t>
      </w:r>
      <w:r>
        <w:rPr>
          <w:rFonts w:hint="eastAsia" w:ascii="宋体" w:hAnsi="宋体" w:eastAsia="宋体" w:cs="宋体"/>
          <w:sz w:val="21"/>
          <w:szCs w:val="21"/>
          <w:highlight w:val="none"/>
        </w:rPr>
        <w:t>份</w:t>
      </w:r>
      <w:r>
        <w:rPr>
          <w:rFonts w:hint="eastAsia" w:ascii="宋体" w:hAnsi="宋体" w:eastAsia="宋体" w:cs="宋体"/>
          <w:snapToGrid w:val="0"/>
          <w:sz w:val="21"/>
          <w:szCs w:val="21"/>
          <w:highlight w:val="none"/>
        </w:rPr>
        <w:t>。</w:t>
      </w:r>
    </w:p>
    <w:p w14:paraId="1487C3E7">
      <w:pPr>
        <w:snapToGrid w:val="0"/>
        <w:spacing w:line="420" w:lineRule="exact"/>
        <w:ind w:firstLine="476" w:firstLineChars="227"/>
        <w:rPr>
          <w:rFonts w:hint="eastAsia" w:ascii="宋体" w:hAnsi="宋体" w:eastAsia="宋体" w:cs="宋体"/>
          <w:snapToGrid w:val="0"/>
          <w:sz w:val="21"/>
          <w:szCs w:val="21"/>
          <w:highlight w:val="none"/>
        </w:rPr>
      </w:pPr>
    </w:p>
    <w:tbl>
      <w:tblPr>
        <w:tblStyle w:val="42"/>
        <w:tblW w:w="0" w:type="auto"/>
        <w:tblInd w:w="-82" w:type="dxa"/>
        <w:tblLayout w:type="fixed"/>
        <w:tblCellMar>
          <w:top w:w="0" w:type="dxa"/>
          <w:left w:w="108" w:type="dxa"/>
          <w:bottom w:w="0" w:type="dxa"/>
          <w:right w:w="108" w:type="dxa"/>
        </w:tblCellMar>
      </w:tblPr>
      <w:tblGrid>
        <w:gridCol w:w="1438"/>
        <w:gridCol w:w="3243"/>
        <w:gridCol w:w="1222"/>
        <w:gridCol w:w="3597"/>
      </w:tblGrid>
      <w:tr w14:paraId="47355B71">
        <w:tblPrEx>
          <w:tblCellMar>
            <w:top w:w="0" w:type="dxa"/>
            <w:left w:w="108" w:type="dxa"/>
            <w:bottom w:w="0" w:type="dxa"/>
            <w:right w:w="108" w:type="dxa"/>
          </w:tblCellMar>
        </w:tblPrEx>
        <w:trPr>
          <w:trHeight w:val="567" w:hRule="atLeast"/>
        </w:trPr>
        <w:tc>
          <w:tcPr>
            <w:tcW w:w="1438" w:type="dxa"/>
            <w:noWrap w:val="0"/>
            <w:vAlign w:val="center"/>
          </w:tcPr>
          <w:p w14:paraId="68198D89">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tc>
        <w:tc>
          <w:tcPr>
            <w:tcW w:w="3243" w:type="dxa"/>
            <w:noWrap w:val="0"/>
            <w:vAlign w:val="center"/>
          </w:tcPr>
          <w:p w14:paraId="2E1BD7E8">
            <w:pPr>
              <w:snapToGrid w:val="0"/>
              <w:spacing w:line="420" w:lineRule="exact"/>
              <w:jc w:val="center"/>
              <w:rPr>
                <w:rFonts w:hint="eastAsia" w:ascii="宋体" w:hAnsi="宋体" w:eastAsia="宋体" w:cs="宋体"/>
                <w:sz w:val="21"/>
                <w:szCs w:val="21"/>
                <w:highlight w:val="none"/>
              </w:rPr>
            </w:pPr>
          </w:p>
        </w:tc>
        <w:tc>
          <w:tcPr>
            <w:tcW w:w="1222" w:type="dxa"/>
            <w:noWrap w:val="0"/>
            <w:vAlign w:val="center"/>
          </w:tcPr>
          <w:p w14:paraId="52E7A6A7">
            <w:pPr>
              <w:snapToGrid w:val="0"/>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tc>
        <w:tc>
          <w:tcPr>
            <w:tcW w:w="3597" w:type="dxa"/>
            <w:noWrap w:val="0"/>
            <w:vAlign w:val="center"/>
          </w:tcPr>
          <w:p w14:paraId="1C4F439F">
            <w:pPr>
              <w:snapToGrid w:val="0"/>
              <w:spacing w:line="420" w:lineRule="exact"/>
              <w:jc w:val="center"/>
              <w:rPr>
                <w:rFonts w:hint="eastAsia" w:ascii="宋体" w:hAnsi="宋体" w:eastAsia="宋体" w:cs="宋体"/>
                <w:sz w:val="21"/>
                <w:szCs w:val="21"/>
                <w:highlight w:val="none"/>
              </w:rPr>
            </w:pPr>
          </w:p>
        </w:tc>
      </w:tr>
      <w:tr w14:paraId="5E41F5E9">
        <w:tblPrEx>
          <w:tblCellMar>
            <w:top w:w="0" w:type="dxa"/>
            <w:left w:w="108" w:type="dxa"/>
            <w:bottom w:w="0" w:type="dxa"/>
            <w:right w:w="108" w:type="dxa"/>
          </w:tblCellMar>
        </w:tblPrEx>
        <w:trPr>
          <w:trHeight w:val="567" w:hRule="atLeast"/>
        </w:trPr>
        <w:tc>
          <w:tcPr>
            <w:tcW w:w="1438" w:type="dxa"/>
            <w:noWrap w:val="0"/>
            <w:vAlign w:val="center"/>
          </w:tcPr>
          <w:p w14:paraId="17DFC6BB">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代表人：</w:t>
            </w:r>
          </w:p>
        </w:tc>
        <w:tc>
          <w:tcPr>
            <w:tcW w:w="3243" w:type="dxa"/>
            <w:noWrap w:val="0"/>
            <w:vAlign w:val="center"/>
          </w:tcPr>
          <w:p w14:paraId="4A87BCD8">
            <w:pPr>
              <w:snapToGrid w:val="0"/>
              <w:spacing w:line="420" w:lineRule="exact"/>
              <w:jc w:val="center"/>
              <w:rPr>
                <w:rFonts w:hint="eastAsia" w:ascii="宋体" w:hAnsi="宋体" w:eastAsia="宋体" w:cs="宋体"/>
                <w:sz w:val="21"/>
                <w:szCs w:val="21"/>
                <w:highlight w:val="none"/>
              </w:rPr>
            </w:pPr>
          </w:p>
        </w:tc>
        <w:tc>
          <w:tcPr>
            <w:tcW w:w="1222" w:type="dxa"/>
            <w:noWrap w:val="0"/>
            <w:vAlign w:val="center"/>
          </w:tcPr>
          <w:p w14:paraId="6D193366">
            <w:pPr>
              <w:snapToGrid w:val="0"/>
              <w:spacing w:line="420" w:lineRule="exact"/>
              <w:rPr>
                <w:rFonts w:hint="eastAsia" w:ascii="宋体" w:hAnsi="宋体" w:eastAsia="宋体" w:cs="宋体"/>
                <w:w w:val="90"/>
                <w:sz w:val="21"/>
                <w:szCs w:val="21"/>
                <w:highlight w:val="none"/>
              </w:rPr>
            </w:pPr>
            <w:r>
              <w:rPr>
                <w:rFonts w:hint="eastAsia" w:ascii="宋体" w:hAnsi="宋体" w:eastAsia="宋体" w:cs="宋体"/>
                <w:w w:val="80"/>
                <w:sz w:val="21"/>
                <w:szCs w:val="21"/>
                <w:highlight w:val="none"/>
              </w:rPr>
              <w:t>代表人</w:t>
            </w:r>
            <w:r>
              <w:rPr>
                <w:rFonts w:hint="eastAsia" w:ascii="宋体" w:hAnsi="宋体" w:eastAsia="宋体" w:cs="宋体"/>
                <w:w w:val="90"/>
                <w:sz w:val="21"/>
                <w:szCs w:val="21"/>
                <w:highlight w:val="none"/>
              </w:rPr>
              <w:t>：</w:t>
            </w:r>
          </w:p>
        </w:tc>
        <w:tc>
          <w:tcPr>
            <w:tcW w:w="3597" w:type="dxa"/>
            <w:noWrap w:val="0"/>
            <w:vAlign w:val="center"/>
          </w:tcPr>
          <w:p w14:paraId="4A837844">
            <w:pPr>
              <w:snapToGrid w:val="0"/>
              <w:spacing w:line="420" w:lineRule="exact"/>
              <w:jc w:val="center"/>
              <w:rPr>
                <w:rFonts w:hint="eastAsia" w:ascii="宋体" w:hAnsi="宋体" w:eastAsia="宋体" w:cs="宋体"/>
                <w:sz w:val="21"/>
                <w:szCs w:val="21"/>
                <w:highlight w:val="none"/>
              </w:rPr>
            </w:pPr>
          </w:p>
        </w:tc>
      </w:tr>
      <w:tr w14:paraId="53327C45">
        <w:tblPrEx>
          <w:tblCellMar>
            <w:top w:w="0" w:type="dxa"/>
            <w:left w:w="108" w:type="dxa"/>
            <w:bottom w:w="0" w:type="dxa"/>
            <w:right w:w="108" w:type="dxa"/>
          </w:tblCellMar>
        </w:tblPrEx>
        <w:trPr>
          <w:trHeight w:val="567" w:hRule="atLeast"/>
        </w:trPr>
        <w:tc>
          <w:tcPr>
            <w:tcW w:w="1438" w:type="dxa"/>
            <w:noWrap w:val="0"/>
            <w:vAlign w:val="center"/>
          </w:tcPr>
          <w:p w14:paraId="5F7BD9B7">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3243" w:type="dxa"/>
            <w:noWrap w:val="0"/>
            <w:vAlign w:val="center"/>
          </w:tcPr>
          <w:p w14:paraId="0495AA66">
            <w:pPr>
              <w:snapToGrid w:val="0"/>
              <w:spacing w:line="420" w:lineRule="exact"/>
              <w:jc w:val="center"/>
              <w:rPr>
                <w:rFonts w:hint="eastAsia" w:ascii="宋体" w:hAnsi="宋体" w:eastAsia="宋体" w:cs="宋体"/>
                <w:sz w:val="21"/>
                <w:szCs w:val="21"/>
                <w:highlight w:val="none"/>
              </w:rPr>
            </w:pPr>
          </w:p>
        </w:tc>
        <w:tc>
          <w:tcPr>
            <w:tcW w:w="1222" w:type="dxa"/>
            <w:noWrap w:val="0"/>
            <w:vAlign w:val="center"/>
          </w:tcPr>
          <w:p w14:paraId="4CAF0E14">
            <w:pPr>
              <w:snapToGrid w:val="0"/>
              <w:spacing w:line="420" w:lineRule="exact"/>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地址：</w:t>
            </w:r>
          </w:p>
        </w:tc>
        <w:tc>
          <w:tcPr>
            <w:tcW w:w="3597" w:type="dxa"/>
            <w:noWrap w:val="0"/>
            <w:vAlign w:val="center"/>
          </w:tcPr>
          <w:p w14:paraId="7A4B133C">
            <w:pPr>
              <w:snapToGrid w:val="0"/>
              <w:spacing w:line="420" w:lineRule="exact"/>
              <w:jc w:val="center"/>
              <w:rPr>
                <w:rFonts w:hint="eastAsia" w:ascii="宋体" w:hAnsi="宋体" w:eastAsia="宋体" w:cs="宋体"/>
                <w:snapToGrid w:val="0"/>
                <w:sz w:val="21"/>
                <w:szCs w:val="21"/>
                <w:highlight w:val="none"/>
              </w:rPr>
            </w:pPr>
          </w:p>
        </w:tc>
      </w:tr>
      <w:tr w14:paraId="50F789A1">
        <w:tblPrEx>
          <w:tblCellMar>
            <w:top w:w="0" w:type="dxa"/>
            <w:left w:w="108" w:type="dxa"/>
            <w:bottom w:w="0" w:type="dxa"/>
            <w:right w:w="108" w:type="dxa"/>
          </w:tblCellMar>
        </w:tblPrEx>
        <w:trPr>
          <w:trHeight w:val="567" w:hRule="atLeast"/>
        </w:trPr>
        <w:tc>
          <w:tcPr>
            <w:tcW w:w="1438" w:type="dxa"/>
            <w:noWrap w:val="0"/>
            <w:vAlign w:val="center"/>
          </w:tcPr>
          <w:p w14:paraId="3D365438">
            <w:pPr>
              <w:snapToGrid w:val="0"/>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3243" w:type="dxa"/>
            <w:noWrap w:val="0"/>
            <w:vAlign w:val="center"/>
          </w:tcPr>
          <w:p w14:paraId="3F2DBEF4">
            <w:pPr>
              <w:snapToGrid w:val="0"/>
              <w:spacing w:line="420" w:lineRule="exact"/>
              <w:jc w:val="center"/>
              <w:rPr>
                <w:rFonts w:hint="eastAsia" w:ascii="宋体" w:hAnsi="宋体" w:eastAsia="宋体" w:cs="宋体"/>
                <w:sz w:val="21"/>
                <w:szCs w:val="21"/>
                <w:highlight w:val="none"/>
              </w:rPr>
            </w:pPr>
          </w:p>
        </w:tc>
        <w:tc>
          <w:tcPr>
            <w:tcW w:w="1222" w:type="dxa"/>
            <w:noWrap w:val="0"/>
            <w:vAlign w:val="center"/>
          </w:tcPr>
          <w:p w14:paraId="6BD37BD5">
            <w:pPr>
              <w:snapToGrid w:val="0"/>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3597" w:type="dxa"/>
            <w:noWrap w:val="0"/>
            <w:vAlign w:val="center"/>
          </w:tcPr>
          <w:p w14:paraId="01308852">
            <w:pPr>
              <w:snapToGrid w:val="0"/>
              <w:spacing w:line="420" w:lineRule="exact"/>
              <w:jc w:val="center"/>
              <w:rPr>
                <w:rFonts w:hint="eastAsia" w:ascii="宋体" w:hAnsi="宋体" w:eastAsia="宋体" w:cs="宋体"/>
                <w:snapToGrid w:val="0"/>
                <w:sz w:val="21"/>
                <w:szCs w:val="21"/>
                <w:highlight w:val="none"/>
              </w:rPr>
            </w:pPr>
          </w:p>
        </w:tc>
      </w:tr>
    </w:tbl>
    <w:p w14:paraId="6D4D9CBD">
      <w:pPr>
        <w:pStyle w:val="23"/>
        <w:adjustRightInd w:val="0"/>
        <w:snapToGrid w:val="0"/>
        <w:spacing w:line="420" w:lineRule="exact"/>
        <w:ind w:firstLine="240"/>
        <w:jc w:val="right"/>
        <w:rPr>
          <w:rFonts w:hint="eastAsia" w:ascii="宋体" w:hAnsi="宋体" w:eastAsia="宋体" w:cs="宋体"/>
          <w:b/>
          <w:szCs w:val="21"/>
          <w:highlight w:val="none"/>
        </w:rPr>
      </w:pPr>
      <w:r>
        <w:rPr>
          <w:rFonts w:hint="eastAsia" w:ascii="宋体" w:hAnsi="宋体" w:eastAsia="宋体" w:cs="宋体"/>
          <w:szCs w:val="21"/>
          <w:highlight w:val="none"/>
        </w:rPr>
        <w:t>签订日期:     年月日</w:t>
      </w:r>
    </w:p>
    <w:p w14:paraId="12866739">
      <w:pPr>
        <w:pStyle w:val="2"/>
        <w:snapToGrid w:val="0"/>
        <w:spacing w:line="360" w:lineRule="auto"/>
        <w:ind w:firstLine="3675" w:firstLineChars="1750"/>
        <w:rPr>
          <w:rFonts w:hint="eastAsia" w:ascii="宋体" w:hAnsi="宋体" w:eastAsia="宋体" w:cs="宋体"/>
          <w:snapToGrid w:val="0"/>
          <w:szCs w:val="24"/>
          <w:highlight w:val="none"/>
        </w:rPr>
      </w:pPr>
    </w:p>
    <w:p w14:paraId="20029E13">
      <w:pPr>
        <w:pStyle w:val="6"/>
        <w:snapToGrid w:val="0"/>
        <w:spacing w:line="480" w:lineRule="auto"/>
        <w:rPr>
          <w:rStyle w:val="105"/>
          <w:rFonts w:hint="eastAsia" w:ascii="宋体" w:hAnsi="宋体" w:eastAsia="宋体" w:cs="宋体"/>
          <w:b/>
          <w:highlight w:val="none"/>
        </w:rPr>
      </w:pPr>
      <w:r>
        <w:rPr>
          <w:rFonts w:hint="eastAsia" w:ascii="宋体" w:hAnsi="宋体" w:eastAsia="宋体" w:cs="宋体"/>
          <w:szCs w:val="24"/>
          <w:highlight w:val="none"/>
        </w:rPr>
        <w:br w:type="page"/>
      </w:r>
      <w:bookmarkStart w:id="45" w:name="_Toc426321899"/>
      <w:r>
        <w:rPr>
          <w:rStyle w:val="105"/>
          <w:rFonts w:hint="eastAsia" w:ascii="宋体" w:hAnsi="宋体" w:eastAsia="宋体" w:cs="宋体"/>
          <w:b/>
          <w:highlight w:val="none"/>
        </w:rPr>
        <w:t>附件五  安全生产协议书</w:t>
      </w:r>
      <w:bookmarkEnd w:id="45"/>
    </w:p>
    <w:p w14:paraId="68BE1643">
      <w:pPr>
        <w:pStyle w:val="23"/>
        <w:adjustRightInd w:val="0"/>
        <w:snapToGrid w:val="0"/>
        <w:spacing w:line="480" w:lineRule="auto"/>
        <w:ind w:firstLine="240"/>
        <w:jc w:val="center"/>
        <w:rPr>
          <w:rFonts w:hint="eastAsia" w:ascii="宋体" w:hAnsi="宋体" w:eastAsia="宋体" w:cs="宋体"/>
          <w:b/>
          <w:bCs/>
          <w:snapToGrid w:val="0"/>
          <w:kern w:val="0"/>
          <w:sz w:val="24"/>
          <w:szCs w:val="24"/>
          <w:highlight w:val="none"/>
        </w:rPr>
      </w:pPr>
      <w:r>
        <w:rPr>
          <w:rFonts w:hint="eastAsia" w:ascii="宋体" w:hAnsi="宋体" w:eastAsia="宋体" w:cs="宋体"/>
          <w:snapToGrid w:val="0"/>
          <w:kern w:val="0"/>
          <w:sz w:val="24"/>
          <w:szCs w:val="24"/>
          <w:highlight w:val="none"/>
        </w:rPr>
        <w:t>（本格式为安全生产协议书标准格式，投标人不需填写）</w:t>
      </w:r>
    </w:p>
    <w:p w14:paraId="17E42476">
      <w:pPr>
        <w:snapToGrid w:val="0"/>
        <w:spacing w:line="360" w:lineRule="exact"/>
        <w:jc w:val="center"/>
        <w:rPr>
          <w:rFonts w:hint="eastAsia" w:ascii="宋体" w:hAnsi="宋体" w:eastAsia="宋体" w:cs="宋体"/>
          <w:b/>
          <w:snapToGrid w:val="0"/>
          <w:szCs w:val="24"/>
          <w:highlight w:val="none"/>
        </w:rPr>
      </w:pPr>
      <w:r>
        <w:rPr>
          <w:rFonts w:hint="eastAsia" w:ascii="宋体" w:hAnsi="宋体" w:eastAsia="宋体" w:cs="宋体"/>
          <w:b/>
          <w:snapToGrid w:val="0"/>
          <w:szCs w:val="24"/>
          <w:highlight w:val="none"/>
        </w:rPr>
        <w:t>安全生产协议书（格式）</w:t>
      </w:r>
    </w:p>
    <w:p w14:paraId="4481526F">
      <w:pPr>
        <w:snapToGrid w:val="0"/>
        <w:spacing w:line="40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为在施工合同的实施过程中创造安全、高效的施工环境，切实搞好本项目的安全管理工作，本项目的业主（以下简称“甲方”）与承包人（以下简称“乙方”），特此签订安全生产协议书。</w:t>
      </w:r>
    </w:p>
    <w:p w14:paraId="3C94A20F">
      <w:pPr>
        <w:snapToGrid w:val="0"/>
        <w:spacing w:line="400" w:lineRule="exact"/>
        <w:ind w:firstLine="422" w:firstLineChars="200"/>
        <w:rPr>
          <w:rFonts w:hint="eastAsia" w:ascii="宋体" w:hAnsi="宋体" w:eastAsia="宋体" w:cs="宋体"/>
          <w:snapToGrid w:val="0"/>
          <w:sz w:val="21"/>
          <w:szCs w:val="21"/>
          <w:highlight w:val="none"/>
        </w:rPr>
      </w:pPr>
      <w:r>
        <w:rPr>
          <w:rFonts w:hint="eastAsia" w:ascii="宋体" w:hAnsi="宋体" w:eastAsia="宋体" w:cs="宋体"/>
          <w:b/>
          <w:snapToGrid w:val="0"/>
          <w:sz w:val="21"/>
          <w:szCs w:val="21"/>
          <w:highlight w:val="none"/>
        </w:rPr>
        <w:t>一、甲方职责</w:t>
      </w:r>
    </w:p>
    <w:p w14:paraId="6D331FCC">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（一）严格遵守国家有关安全生产的法律法规，认真执行工程承包合同中的有关安全要求。</w:t>
      </w:r>
    </w:p>
    <w:p w14:paraId="331D1169">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（二）按照“安全第一、预防为主、综合治理”和坚持“管生产必须管安全”的原则进行安全生产管理，做到生产与安全工作同时计划、布置、检查、总结和评比。</w:t>
      </w:r>
    </w:p>
    <w:p w14:paraId="24A3C1AB">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（三）重要的安全设施必须坚持与主体工程“三同时”的原则，即：同时设计、审批；同时施工，同时验收，投入使用。</w:t>
      </w:r>
    </w:p>
    <w:p w14:paraId="7047C43F">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（四）定期召开安全生产调度会，及时传达中央及地方有关安全生产的精神。</w:t>
      </w:r>
    </w:p>
    <w:p w14:paraId="090EDD3A">
      <w:pPr>
        <w:snapToGrid w:val="0"/>
        <w:spacing w:line="400" w:lineRule="exact"/>
        <w:ind w:firstLine="420" w:firstLineChars="200"/>
        <w:rPr>
          <w:rFonts w:hint="eastAsia" w:ascii="宋体" w:hAnsi="宋体" w:eastAsia="宋体" w:cs="宋体"/>
          <w:snapToGrid w:val="0"/>
          <w:spacing w:val="-8"/>
          <w:sz w:val="21"/>
          <w:szCs w:val="21"/>
          <w:highlight w:val="none"/>
        </w:rPr>
      </w:pPr>
      <w:r>
        <w:rPr>
          <w:rFonts w:hint="eastAsia" w:ascii="宋体" w:hAnsi="宋体" w:eastAsia="宋体" w:cs="宋体"/>
          <w:sz w:val="21"/>
          <w:szCs w:val="21"/>
          <w:highlight w:val="none"/>
        </w:rPr>
        <w:t>（五）组织对乙方施工现场安全生产检查，监督乙方及时处理发现的各种安全隐患。</w:t>
      </w:r>
    </w:p>
    <w:p w14:paraId="26571530">
      <w:pPr>
        <w:autoSpaceDE/>
        <w:autoSpaceDN/>
        <w:snapToGrid w:val="0"/>
        <w:spacing w:line="400" w:lineRule="exact"/>
        <w:ind w:left="482"/>
        <w:textAlignment w:val="auto"/>
        <w:rPr>
          <w:rFonts w:hint="eastAsia"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二、乙方职责</w:t>
      </w:r>
    </w:p>
    <w:p w14:paraId="26A3E991">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（一）严格遵守国家有关安全生产的法律法规、有关安全生产的规定，认真执行工程承包合同中的有关安全要求。</w:t>
      </w:r>
    </w:p>
    <w:p w14:paraId="75005962">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6ECDB30">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专职安全生产管理人员，专职负责所有员工的安全和治安保卫工作及预防事故的发生。安全机构人员，有权按有关规定发布指令，并采取保护性措施防止事故发生。</w:t>
      </w:r>
    </w:p>
    <w:p w14:paraId="7CFD9E43">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（四）乙方在任何时侯都应采取各种合理的预防措施，防止其员工发生任何违法、违禁、暴力或妨碍治安的行为。</w:t>
      </w:r>
    </w:p>
    <w:p w14:paraId="1AF7A9AD">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99D73D0">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14:paraId="01D8CD4F">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（七）操作人员上岗，必须按规定穿戴防护用品。施工负责人和安全检查员应随时检查劳动防护用品的穿戴情况，不按规定穿戴防护用品的人员不得上岗。</w:t>
      </w:r>
    </w:p>
    <w:p w14:paraId="1AF49E55">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（八）所有施工机具设备和高空作业的设备均应定期检查，并有项目专职安全员的签字记录，保证其处于完好状态；不合格的机具、设备和劳动保护用品严禁使用。</w:t>
      </w:r>
    </w:p>
    <w:p w14:paraId="011005CA">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（九）所有施工中采用新技术、新工艺、新设备、新材料时，必须制定相应的安全技术措施，施工现场必须具有相关的安全标志牌。</w:t>
      </w:r>
    </w:p>
    <w:p w14:paraId="39E55946">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51E5366">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一）为确保承包人安全投入，安全施工费实行总价包干，项目实施过程中，监理工程师及业主根据安全设施完成情况，经验收合格后，据实支付。月计划中应说明下月安全生产措施费投入计划，经监理批复后实施。乙方必须服从甲方对现场安全管理规定，乙方如违反甲方对现场安全管理的相关规定，甲方有权对乙方进行相应的处罚。年度安全目标考核分必须在及格分数线上。</w:t>
      </w:r>
    </w:p>
    <w:p w14:paraId="1822235C">
      <w:pPr>
        <w:snapToGrid w:val="0"/>
        <w:spacing w:line="400" w:lineRule="exact"/>
        <w:ind w:firstLine="480"/>
        <w:rPr>
          <w:rFonts w:hint="eastAsia" w:ascii="宋体" w:hAnsi="宋体" w:eastAsia="宋体" w:cs="宋体"/>
          <w:b/>
          <w:sz w:val="21"/>
          <w:szCs w:val="21"/>
          <w:highlight w:val="none"/>
        </w:rPr>
      </w:pPr>
      <w:r>
        <w:rPr>
          <w:rFonts w:hint="eastAsia" w:ascii="宋体" w:hAnsi="宋体" w:eastAsia="宋体" w:cs="宋体"/>
          <w:b/>
          <w:sz w:val="21"/>
          <w:szCs w:val="21"/>
          <w:highlight w:val="none"/>
        </w:rPr>
        <w:t>第三条 违约责任</w:t>
      </w:r>
    </w:p>
    <w:p w14:paraId="5CBF8DD2">
      <w:pPr>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如因甲方或乙方违约造成安全事故，将依法追究责任。</w:t>
      </w:r>
    </w:p>
    <w:p w14:paraId="4E2A363A">
      <w:pPr>
        <w:snapToGrid w:val="0"/>
        <w:spacing w:line="400" w:lineRule="exact"/>
        <w:ind w:firstLine="420" w:firstLineChars="200"/>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本合同</w:t>
      </w:r>
      <w:r>
        <w:rPr>
          <w:rFonts w:hint="eastAsia" w:ascii="宋体" w:hAnsi="宋体" w:eastAsia="宋体" w:cs="宋体"/>
          <w:snapToGrid w:val="0"/>
          <w:sz w:val="21"/>
          <w:szCs w:val="21"/>
          <w:highlight w:val="none"/>
        </w:rPr>
        <w:t>壹式</w:t>
      </w:r>
      <w:r>
        <w:rPr>
          <w:rFonts w:hint="eastAsia" w:ascii="宋体" w:hAnsi="宋体" w:cs="宋体"/>
          <w:snapToGrid w:val="0"/>
          <w:sz w:val="21"/>
          <w:szCs w:val="21"/>
          <w:highlight w:val="none"/>
          <w:lang w:val="en-US" w:eastAsia="zh-CN"/>
        </w:rPr>
        <w:t>捌</w:t>
      </w:r>
      <w:r>
        <w:rPr>
          <w:rFonts w:hint="eastAsia" w:ascii="宋体" w:hAnsi="宋体" w:eastAsia="宋体" w:cs="宋体"/>
          <w:snapToGrid w:val="0"/>
          <w:sz w:val="21"/>
          <w:szCs w:val="21"/>
          <w:highlight w:val="none"/>
        </w:rPr>
        <w:t>份，</w:t>
      </w:r>
      <w:r>
        <w:rPr>
          <w:rFonts w:hint="eastAsia" w:ascii="宋体" w:hAnsi="宋体" w:eastAsia="宋体" w:cs="宋体"/>
          <w:sz w:val="21"/>
          <w:szCs w:val="21"/>
          <w:highlight w:val="none"/>
        </w:rPr>
        <w:t>其中正本</w:t>
      </w:r>
      <w:r>
        <w:rPr>
          <w:rFonts w:hint="eastAsia" w:ascii="宋体" w:hAnsi="宋体" w:eastAsia="宋体" w:cs="宋体"/>
          <w:b/>
          <w:sz w:val="21"/>
          <w:szCs w:val="21"/>
          <w:highlight w:val="none"/>
          <w:u w:val="single"/>
        </w:rPr>
        <w:t>贰</w:t>
      </w:r>
      <w:r>
        <w:rPr>
          <w:rFonts w:hint="eastAsia" w:ascii="宋体" w:hAnsi="宋体" w:eastAsia="宋体" w:cs="宋体"/>
          <w:sz w:val="21"/>
          <w:szCs w:val="21"/>
          <w:highlight w:val="none"/>
        </w:rPr>
        <w:t>份，双方各执</w:t>
      </w:r>
      <w:r>
        <w:rPr>
          <w:rFonts w:hint="eastAsia" w:ascii="宋体" w:hAnsi="宋体" w:eastAsia="宋体" w:cs="宋体"/>
          <w:b/>
          <w:sz w:val="21"/>
          <w:szCs w:val="21"/>
          <w:highlight w:val="none"/>
          <w:u w:val="single"/>
        </w:rPr>
        <w:t>壹</w:t>
      </w:r>
      <w:r>
        <w:rPr>
          <w:rFonts w:hint="eastAsia" w:ascii="宋体" w:hAnsi="宋体" w:eastAsia="宋体" w:cs="宋体"/>
          <w:sz w:val="21"/>
          <w:szCs w:val="21"/>
          <w:highlight w:val="none"/>
        </w:rPr>
        <w:t>份，副本</w:t>
      </w:r>
      <w:r>
        <w:rPr>
          <w:rFonts w:hint="eastAsia" w:ascii="宋体" w:hAnsi="宋体" w:cs="宋体"/>
          <w:sz w:val="21"/>
          <w:szCs w:val="21"/>
          <w:highlight w:val="none"/>
          <w:lang w:val="en-US" w:eastAsia="zh-CN"/>
        </w:rPr>
        <w:t>陆</w:t>
      </w:r>
      <w:r>
        <w:rPr>
          <w:rFonts w:hint="eastAsia" w:ascii="宋体" w:hAnsi="宋体" w:eastAsia="宋体" w:cs="宋体"/>
          <w:sz w:val="21"/>
          <w:szCs w:val="21"/>
          <w:highlight w:val="none"/>
        </w:rPr>
        <w:t>份，甲方执</w:t>
      </w:r>
      <w:r>
        <w:rPr>
          <w:rFonts w:hint="eastAsia" w:ascii="宋体" w:hAnsi="宋体" w:cs="宋体"/>
          <w:sz w:val="21"/>
          <w:szCs w:val="21"/>
          <w:highlight w:val="none"/>
          <w:lang w:val="en-US" w:eastAsia="zh-CN"/>
        </w:rPr>
        <w:t>叁</w:t>
      </w:r>
      <w:r>
        <w:rPr>
          <w:rFonts w:hint="eastAsia" w:ascii="宋体" w:hAnsi="宋体" w:eastAsia="宋体" w:cs="宋体"/>
          <w:sz w:val="21"/>
          <w:szCs w:val="21"/>
          <w:highlight w:val="none"/>
        </w:rPr>
        <w:t>份，乙方执</w:t>
      </w:r>
      <w:r>
        <w:rPr>
          <w:rFonts w:hint="eastAsia" w:ascii="宋体" w:hAnsi="宋体" w:cs="宋体"/>
          <w:sz w:val="21"/>
          <w:szCs w:val="21"/>
          <w:highlight w:val="none"/>
          <w:lang w:val="en-US" w:eastAsia="zh-CN"/>
        </w:rPr>
        <w:t>叁</w:t>
      </w:r>
      <w:r>
        <w:rPr>
          <w:rFonts w:hint="eastAsia" w:ascii="宋体" w:hAnsi="宋体" w:eastAsia="宋体" w:cs="宋体"/>
          <w:sz w:val="21"/>
          <w:szCs w:val="21"/>
          <w:highlight w:val="none"/>
        </w:rPr>
        <w:t>份</w:t>
      </w:r>
      <w:r>
        <w:rPr>
          <w:rFonts w:hint="eastAsia" w:ascii="宋体" w:hAnsi="宋体" w:eastAsia="宋体" w:cs="宋体"/>
          <w:snapToGrid w:val="0"/>
          <w:sz w:val="21"/>
          <w:szCs w:val="21"/>
          <w:highlight w:val="none"/>
        </w:rPr>
        <w:t>。</w:t>
      </w:r>
      <w:r>
        <w:rPr>
          <w:rFonts w:hint="eastAsia" w:ascii="宋体" w:hAnsi="宋体" w:eastAsia="宋体" w:cs="宋体"/>
          <w:sz w:val="21"/>
          <w:szCs w:val="21"/>
          <w:highlight w:val="none"/>
        </w:rPr>
        <w:t>由双方法定代表人或其授权的代理人签署与加盖单位公章后生效，全部工程竣工验收后失效。</w:t>
      </w:r>
    </w:p>
    <w:p w14:paraId="3725FB5C">
      <w:pPr>
        <w:snapToGrid w:val="0"/>
        <w:spacing w:line="360" w:lineRule="exact"/>
        <w:rPr>
          <w:rFonts w:hint="eastAsia" w:ascii="宋体" w:hAnsi="宋体" w:eastAsia="宋体" w:cs="宋体"/>
          <w:snapToGrid w:val="0"/>
          <w:szCs w:val="24"/>
          <w:highlight w:val="none"/>
        </w:rPr>
      </w:pPr>
    </w:p>
    <w:tbl>
      <w:tblPr>
        <w:tblStyle w:val="42"/>
        <w:tblW w:w="9306" w:type="dxa"/>
        <w:jc w:val="center"/>
        <w:tblLayout w:type="fixed"/>
        <w:tblCellMar>
          <w:top w:w="0" w:type="dxa"/>
          <w:left w:w="108" w:type="dxa"/>
          <w:bottom w:w="0" w:type="dxa"/>
          <w:right w:w="108" w:type="dxa"/>
        </w:tblCellMar>
      </w:tblPr>
      <w:tblGrid>
        <w:gridCol w:w="1552"/>
        <w:gridCol w:w="2546"/>
        <w:gridCol w:w="1470"/>
        <w:gridCol w:w="3738"/>
      </w:tblGrid>
      <w:tr w14:paraId="4B626E35">
        <w:tblPrEx>
          <w:tblCellMar>
            <w:top w:w="0" w:type="dxa"/>
            <w:left w:w="108" w:type="dxa"/>
            <w:bottom w:w="0" w:type="dxa"/>
            <w:right w:w="108" w:type="dxa"/>
          </w:tblCellMar>
        </w:tblPrEx>
        <w:trPr>
          <w:trHeight w:val="567" w:hRule="atLeast"/>
          <w:jc w:val="center"/>
        </w:trPr>
        <w:tc>
          <w:tcPr>
            <w:tcW w:w="1552" w:type="dxa"/>
            <w:noWrap w:val="0"/>
            <w:vAlign w:val="center"/>
          </w:tcPr>
          <w:p w14:paraId="04391126">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甲      方：</w:t>
            </w:r>
          </w:p>
        </w:tc>
        <w:tc>
          <w:tcPr>
            <w:tcW w:w="2546" w:type="dxa"/>
            <w:noWrap w:val="0"/>
            <w:vAlign w:val="center"/>
          </w:tcPr>
          <w:p w14:paraId="0884619E">
            <w:pPr>
              <w:snapToGrid w:val="0"/>
              <w:spacing w:line="360" w:lineRule="exact"/>
              <w:jc w:val="center"/>
              <w:rPr>
                <w:rFonts w:hint="eastAsia" w:ascii="宋体" w:hAnsi="宋体" w:eastAsia="宋体" w:cs="宋体"/>
                <w:b/>
                <w:snapToGrid w:val="0"/>
                <w:sz w:val="21"/>
                <w:szCs w:val="21"/>
                <w:highlight w:val="none"/>
                <w:u w:val="single"/>
              </w:rPr>
            </w:pPr>
          </w:p>
          <w:p w14:paraId="4057DEEE">
            <w:pPr>
              <w:snapToGrid w:val="0"/>
              <w:spacing w:line="360" w:lineRule="exact"/>
              <w:ind w:firstLine="1050" w:firstLineChars="50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（公章）</w:t>
            </w:r>
          </w:p>
        </w:tc>
        <w:tc>
          <w:tcPr>
            <w:tcW w:w="1470" w:type="dxa"/>
            <w:noWrap w:val="0"/>
            <w:vAlign w:val="center"/>
          </w:tcPr>
          <w:p w14:paraId="66CAA991">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乙      方：</w:t>
            </w:r>
          </w:p>
        </w:tc>
        <w:tc>
          <w:tcPr>
            <w:tcW w:w="3738" w:type="dxa"/>
            <w:noWrap w:val="0"/>
            <w:vAlign w:val="center"/>
          </w:tcPr>
          <w:p w14:paraId="70C750A5">
            <w:pPr>
              <w:snapToGrid w:val="0"/>
              <w:spacing w:line="360" w:lineRule="exact"/>
              <w:jc w:val="center"/>
              <w:rPr>
                <w:rFonts w:hint="eastAsia" w:ascii="宋体" w:hAnsi="宋体" w:eastAsia="宋体" w:cs="宋体"/>
                <w:b/>
                <w:sz w:val="21"/>
                <w:szCs w:val="21"/>
                <w:highlight w:val="none"/>
              </w:rPr>
            </w:pPr>
          </w:p>
          <w:p w14:paraId="5FACF557">
            <w:pPr>
              <w:snapToGrid w:val="0"/>
              <w:spacing w:line="360" w:lineRule="exact"/>
              <w:jc w:val="center"/>
              <w:rPr>
                <w:rFonts w:hint="eastAsia" w:ascii="宋体" w:hAnsi="宋体" w:eastAsia="宋体" w:cs="宋体"/>
                <w:b/>
                <w:snapToGrid w:val="0"/>
                <w:sz w:val="21"/>
                <w:szCs w:val="21"/>
                <w:highlight w:val="none"/>
                <w:u w:val="single"/>
              </w:rPr>
            </w:pPr>
            <w:r>
              <w:rPr>
                <w:rFonts w:hint="eastAsia" w:ascii="宋体" w:hAnsi="宋体" w:eastAsia="宋体" w:cs="宋体"/>
                <w:snapToGrid w:val="0"/>
                <w:sz w:val="21"/>
                <w:szCs w:val="21"/>
                <w:highlight w:val="none"/>
              </w:rPr>
              <w:t>（公章）</w:t>
            </w:r>
          </w:p>
        </w:tc>
      </w:tr>
      <w:tr w14:paraId="3B5DC375">
        <w:tblPrEx>
          <w:tblCellMar>
            <w:top w:w="0" w:type="dxa"/>
            <w:left w:w="108" w:type="dxa"/>
            <w:bottom w:w="0" w:type="dxa"/>
            <w:right w:w="108" w:type="dxa"/>
          </w:tblCellMar>
        </w:tblPrEx>
        <w:trPr>
          <w:trHeight w:val="555" w:hRule="atLeast"/>
          <w:jc w:val="center"/>
        </w:trPr>
        <w:tc>
          <w:tcPr>
            <w:tcW w:w="1552" w:type="dxa"/>
            <w:noWrap w:val="0"/>
            <w:vAlign w:val="center"/>
          </w:tcPr>
          <w:p w14:paraId="2E363323">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法定代表人：</w:t>
            </w:r>
          </w:p>
        </w:tc>
        <w:tc>
          <w:tcPr>
            <w:tcW w:w="2546" w:type="dxa"/>
            <w:noWrap w:val="0"/>
            <w:vAlign w:val="center"/>
          </w:tcPr>
          <w:p w14:paraId="6D6F722A">
            <w:pPr>
              <w:snapToGrid w:val="0"/>
              <w:spacing w:line="360" w:lineRule="exact"/>
              <w:rPr>
                <w:rFonts w:hint="eastAsia" w:ascii="宋体" w:hAnsi="宋体" w:eastAsia="宋体" w:cs="宋体"/>
                <w:snapToGrid w:val="0"/>
                <w:sz w:val="21"/>
                <w:szCs w:val="21"/>
                <w:highlight w:val="none"/>
              </w:rPr>
            </w:pPr>
          </w:p>
        </w:tc>
        <w:tc>
          <w:tcPr>
            <w:tcW w:w="1470" w:type="dxa"/>
            <w:noWrap w:val="0"/>
            <w:vAlign w:val="center"/>
          </w:tcPr>
          <w:p w14:paraId="360FE2FE">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法定代表人：</w:t>
            </w:r>
          </w:p>
        </w:tc>
        <w:tc>
          <w:tcPr>
            <w:tcW w:w="3738" w:type="dxa"/>
            <w:noWrap w:val="0"/>
            <w:vAlign w:val="center"/>
          </w:tcPr>
          <w:p w14:paraId="2D00CFAD">
            <w:pPr>
              <w:snapToGrid w:val="0"/>
              <w:spacing w:line="360" w:lineRule="exact"/>
              <w:rPr>
                <w:rFonts w:hint="eastAsia" w:ascii="宋体" w:hAnsi="宋体" w:eastAsia="宋体" w:cs="宋体"/>
                <w:snapToGrid w:val="0"/>
                <w:sz w:val="21"/>
                <w:szCs w:val="21"/>
                <w:highlight w:val="none"/>
              </w:rPr>
            </w:pPr>
          </w:p>
        </w:tc>
      </w:tr>
      <w:tr w14:paraId="44C34247">
        <w:tblPrEx>
          <w:tblCellMar>
            <w:top w:w="0" w:type="dxa"/>
            <w:left w:w="108" w:type="dxa"/>
            <w:bottom w:w="0" w:type="dxa"/>
            <w:right w:w="108" w:type="dxa"/>
          </w:tblCellMar>
        </w:tblPrEx>
        <w:trPr>
          <w:trHeight w:val="795" w:hRule="atLeast"/>
          <w:jc w:val="center"/>
        </w:trPr>
        <w:tc>
          <w:tcPr>
            <w:tcW w:w="1552" w:type="dxa"/>
            <w:noWrap w:val="0"/>
            <w:vAlign w:val="center"/>
          </w:tcPr>
          <w:p w14:paraId="06E2CA3B">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授权代理人：</w:t>
            </w:r>
          </w:p>
          <w:p w14:paraId="4516F5B9">
            <w:pPr>
              <w:snapToGrid w:val="0"/>
              <w:spacing w:line="360" w:lineRule="exact"/>
              <w:rPr>
                <w:rFonts w:hint="eastAsia" w:ascii="宋体" w:hAnsi="宋体" w:eastAsia="宋体" w:cs="宋体"/>
                <w:snapToGrid w:val="0"/>
                <w:sz w:val="21"/>
                <w:szCs w:val="21"/>
                <w:highlight w:val="none"/>
              </w:rPr>
            </w:pPr>
          </w:p>
          <w:p w14:paraId="3DD27989">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联  系  人：</w:t>
            </w:r>
          </w:p>
        </w:tc>
        <w:tc>
          <w:tcPr>
            <w:tcW w:w="2546" w:type="dxa"/>
            <w:noWrap w:val="0"/>
            <w:vAlign w:val="center"/>
          </w:tcPr>
          <w:p w14:paraId="54B0C27A">
            <w:pPr>
              <w:snapToGrid w:val="0"/>
              <w:spacing w:line="360" w:lineRule="exact"/>
              <w:rPr>
                <w:rFonts w:hint="eastAsia" w:ascii="宋体" w:hAnsi="宋体" w:eastAsia="宋体" w:cs="宋体"/>
                <w:snapToGrid w:val="0"/>
                <w:sz w:val="21"/>
                <w:szCs w:val="21"/>
                <w:highlight w:val="none"/>
              </w:rPr>
            </w:pPr>
          </w:p>
        </w:tc>
        <w:tc>
          <w:tcPr>
            <w:tcW w:w="1470" w:type="dxa"/>
            <w:noWrap w:val="0"/>
            <w:vAlign w:val="center"/>
          </w:tcPr>
          <w:p w14:paraId="54EBC8F5">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授权代理人：</w:t>
            </w:r>
          </w:p>
          <w:p w14:paraId="2B0EB047">
            <w:pPr>
              <w:snapToGrid w:val="0"/>
              <w:spacing w:line="360" w:lineRule="exact"/>
              <w:rPr>
                <w:rFonts w:hint="eastAsia" w:ascii="宋体" w:hAnsi="宋体" w:eastAsia="宋体" w:cs="宋体"/>
                <w:snapToGrid w:val="0"/>
                <w:sz w:val="21"/>
                <w:szCs w:val="21"/>
                <w:highlight w:val="none"/>
              </w:rPr>
            </w:pPr>
          </w:p>
          <w:p w14:paraId="54263636">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联  系  人：</w:t>
            </w:r>
          </w:p>
        </w:tc>
        <w:tc>
          <w:tcPr>
            <w:tcW w:w="3738" w:type="dxa"/>
            <w:noWrap w:val="0"/>
            <w:vAlign w:val="center"/>
          </w:tcPr>
          <w:p w14:paraId="149CD402">
            <w:pPr>
              <w:snapToGrid w:val="0"/>
              <w:spacing w:line="360" w:lineRule="exact"/>
              <w:rPr>
                <w:rFonts w:hint="eastAsia" w:ascii="宋体" w:hAnsi="宋体" w:eastAsia="宋体" w:cs="宋体"/>
                <w:snapToGrid w:val="0"/>
                <w:sz w:val="21"/>
                <w:szCs w:val="21"/>
                <w:highlight w:val="none"/>
              </w:rPr>
            </w:pPr>
          </w:p>
        </w:tc>
      </w:tr>
      <w:tr w14:paraId="4785C795">
        <w:tblPrEx>
          <w:tblCellMar>
            <w:top w:w="0" w:type="dxa"/>
            <w:left w:w="108" w:type="dxa"/>
            <w:bottom w:w="0" w:type="dxa"/>
            <w:right w:w="108" w:type="dxa"/>
          </w:tblCellMar>
        </w:tblPrEx>
        <w:trPr>
          <w:trHeight w:val="312" w:hRule="atLeast"/>
          <w:jc w:val="center"/>
        </w:trPr>
        <w:tc>
          <w:tcPr>
            <w:tcW w:w="1552" w:type="dxa"/>
            <w:noWrap w:val="0"/>
            <w:vAlign w:val="center"/>
          </w:tcPr>
          <w:p w14:paraId="133F642D">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地址：</w:t>
            </w:r>
          </w:p>
        </w:tc>
        <w:tc>
          <w:tcPr>
            <w:tcW w:w="2546" w:type="dxa"/>
            <w:noWrap w:val="0"/>
            <w:vAlign w:val="center"/>
          </w:tcPr>
          <w:p w14:paraId="3EFA2846">
            <w:pPr>
              <w:snapToGrid w:val="0"/>
              <w:spacing w:line="360" w:lineRule="exact"/>
              <w:jc w:val="center"/>
              <w:rPr>
                <w:rFonts w:hint="eastAsia" w:ascii="宋体" w:hAnsi="宋体" w:eastAsia="宋体" w:cs="宋体"/>
                <w:snapToGrid w:val="0"/>
                <w:sz w:val="21"/>
                <w:szCs w:val="21"/>
                <w:highlight w:val="none"/>
              </w:rPr>
            </w:pPr>
          </w:p>
        </w:tc>
        <w:tc>
          <w:tcPr>
            <w:tcW w:w="1470" w:type="dxa"/>
            <w:noWrap w:val="0"/>
            <w:vAlign w:val="center"/>
          </w:tcPr>
          <w:p w14:paraId="747A5DD6">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地址：</w:t>
            </w:r>
          </w:p>
        </w:tc>
        <w:tc>
          <w:tcPr>
            <w:tcW w:w="3738" w:type="dxa"/>
            <w:noWrap w:val="0"/>
            <w:vAlign w:val="center"/>
          </w:tcPr>
          <w:p w14:paraId="4CFAC312">
            <w:pPr>
              <w:snapToGrid w:val="0"/>
              <w:spacing w:line="360" w:lineRule="exact"/>
              <w:jc w:val="center"/>
              <w:rPr>
                <w:rFonts w:hint="eastAsia" w:ascii="宋体" w:hAnsi="宋体" w:eastAsia="宋体" w:cs="宋体"/>
                <w:snapToGrid w:val="0"/>
                <w:sz w:val="21"/>
                <w:szCs w:val="21"/>
                <w:highlight w:val="none"/>
              </w:rPr>
            </w:pPr>
          </w:p>
        </w:tc>
      </w:tr>
      <w:tr w14:paraId="07347208">
        <w:tblPrEx>
          <w:tblCellMar>
            <w:top w:w="0" w:type="dxa"/>
            <w:left w:w="108" w:type="dxa"/>
            <w:bottom w:w="0" w:type="dxa"/>
            <w:right w:w="108" w:type="dxa"/>
          </w:tblCellMar>
        </w:tblPrEx>
        <w:trPr>
          <w:trHeight w:val="327" w:hRule="atLeast"/>
          <w:jc w:val="center"/>
        </w:trPr>
        <w:tc>
          <w:tcPr>
            <w:tcW w:w="1552" w:type="dxa"/>
            <w:noWrap w:val="0"/>
            <w:vAlign w:val="center"/>
          </w:tcPr>
          <w:p w14:paraId="177521BF">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电话：</w:t>
            </w:r>
          </w:p>
        </w:tc>
        <w:tc>
          <w:tcPr>
            <w:tcW w:w="2546" w:type="dxa"/>
            <w:noWrap w:val="0"/>
            <w:vAlign w:val="center"/>
          </w:tcPr>
          <w:p w14:paraId="5380E32B">
            <w:pPr>
              <w:snapToGrid w:val="0"/>
              <w:spacing w:line="360" w:lineRule="exact"/>
              <w:jc w:val="center"/>
              <w:rPr>
                <w:rFonts w:hint="eastAsia" w:ascii="宋体" w:hAnsi="宋体" w:eastAsia="宋体" w:cs="宋体"/>
                <w:snapToGrid w:val="0"/>
                <w:sz w:val="21"/>
                <w:szCs w:val="21"/>
                <w:highlight w:val="none"/>
              </w:rPr>
            </w:pPr>
          </w:p>
        </w:tc>
        <w:tc>
          <w:tcPr>
            <w:tcW w:w="1470" w:type="dxa"/>
            <w:noWrap w:val="0"/>
            <w:vAlign w:val="center"/>
          </w:tcPr>
          <w:p w14:paraId="070EAAF1">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电话：</w:t>
            </w:r>
          </w:p>
        </w:tc>
        <w:tc>
          <w:tcPr>
            <w:tcW w:w="3738" w:type="dxa"/>
            <w:noWrap w:val="0"/>
            <w:vAlign w:val="center"/>
          </w:tcPr>
          <w:p w14:paraId="56D8D9D4">
            <w:pPr>
              <w:snapToGrid w:val="0"/>
              <w:spacing w:line="360" w:lineRule="exact"/>
              <w:jc w:val="center"/>
              <w:rPr>
                <w:rFonts w:hint="eastAsia" w:ascii="宋体" w:hAnsi="宋体" w:eastAsia="宋体" w:cs="宋体"/>
                <w:snapToGrid w:val="0"/>
                <w:sz w:val="21"/>
                <w:szCs w:val="21"/>
                <w:highlight w:val="none"/>
              </w:rPr>
            </w:pPr>
          </w:p>
        </w:tc>
      </w:tr>
      <w:tr w14:paraId="349D054F">
        <w:tblPrEx>
          <w:tblCellMar>
            <w:top w:w="0" w:type="dxa"/>
            <w:left w:w="108" w:type="dxa"/>
            <w:bottom w:w="0" w:type="dxa"/>
            <w:right w:w="108" w:type="dxa"/>
          </w:tblCellMar>
        </w:tblPrEx>
        <w:trPr>
          <w:trHeight w:val="387" w:hRule="atLeast"/>
          <w:jc w:val="center"/>
        </w:trPr>
        <w:tc>
          <w:tcPr>
            <w:tcW w:w="1552" w:type="dxa"/>
            <w:noWrap w:val="0"/>
            <w:vAlign w:val="center"/>
          </w:tcPr>
          <w:p w14:paraId="4FC3D5B8">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传真：</w:t>
            </w:r>
          </w:p>
        </w:tc>
        <w:tc>
          <w:tcPr>
            <w:tcW w:w="2546" w:type="dxa"/>
            <w:noWrap w:val="0"/>
            <w:vAlign w:val="center"/>
          </w:tcPr>
          <w:p w14:paraId="1EA1F063">
            <w:pPr>
              <w:snapToGrid w:val="0"/>
              <w:spacing w:line="360" w:lineRule="exact"/>
              <w:jc w:val="center"/>
              <w:rPr>
                <w:rFonts w:hint="eastAsia" w:ascii="宋体" w:hAnsi="宋体" w:eastAsia="宋体" w:cs="宋体"/>
                <w:snapToGrid w:val="0"/>
                <w:sz w:val="21"/>
                <w:szCs w:val="21"/>
                <w:highlight w:val="none"/>
              </w:rPr>
            </w:pPr>
          </w:p>
        </w:tc>
        <w:tc>
          <w:tcPr>
            <w:tcW w:w="1470" w:type="dxa"/>
            <w:noWrap w:val="0"/>
            <w:vAlign w:val="center"/>
          </w:tcPr>
          <w:p w14:paraId="270D8ABE">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传真：</w:t>
            </w:r>
          </w:p>
        </w:tc>
        <w:tc>
          <w:tcPr>
            <w:tcW w:w="3738" w:type="dxa"/>
            <w:noWrap w:val="0"/>
            <w:vAlign w:val="center"/>
          </w:tcPr>
          <w:p w14:paraId="24761A5A">
            <w:pPr>
              <w:snapToGrid w:val="0"/>
              <w:spacing w:line="360" w:lineRule="exact"/>
              <w:jc w:val="center"/>
              <w:rPr>
                <w:rFonts w:hint="eastAsia" w:ascii="宋体" w:hAnsi="宋体" w:eastAsia="宋体" w:cs="宋体"/>
                <w:snapToGrid w:val="0"/>
                <w:sz w:val="21"/>
                <w:szCs w:val="21"/>
                <w:highlight w:val="none"/>
              </w:rPr>
            </w:pPr>
          </w:p>
        </w:tc>
      </w:tr>
      <w:tr w14:paraId="384576DB">
        <w:tblPrEx>
          <w:tblCellMar>
            <w:top w:w="0" w:type="dxa"/>
            <w:left w:w="108" w:type="dxa"/>
            <w:bottom w:w="0" w:type="dxa"/>
            <w:right w:w="108" w:type="dxa"/>
          </w:tblCellMar>
        </w:tblPrEx>
        <w:trPr>
          <w:trHeight w:val="387" w:hRule="atLeast"/>
          <w:jc w:val="center"/>
        </w:trPr>
        <w:tc>
          <w:tcPr>
            <w:tcW w:w="1552" w:type="dxa"/>
            <w:noWrap w:val="0"/>
            <w:vAlign w:val="center"/>
          </w:tcPr>
          <w:p w14:paraId="4C8EF1B9">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邮编：</w:t>
            </w:r>
          </w:p>
        </w:tc>
        <w:tc>
          <w:tcPr>
            <w:tcW w:w="2546" w:type="dxa"/>
            <w:noWrap w:val="0"/>
            <w:vAlign w:val="center"/>
          </w:tcPr>
          <w:p w14:paraId="0581C992">
            <w:pPr>
              <w:snapToGrid w:val="0"/>
              <w:spacing w:line="360" w:lineRule="exact"/>
              <w:jc w:val="center"/>
              <w:rPr>
                <w:rFonts w:hint="eastAsia" w:ascii="宋体" w:hAnsi="宋体" w:eastAsia="宋体" w:cs="宋体"/>
                <w:snapToGrid w:val="0"/>
                <w:sz w:val="21"/>
                <w:szCs w:val="21"/>
                <w:highlight w:val="none"/>
              </w:rPr>
            </w:pPr>
          </w:p>
        </w:tc>
        <w:tc>
          <w:tcPr>
            <w:tcW w:w="1470" w:type="dxa"/>
            <w:noWrap w:val="0"/>
            <w:vAlign w:val="center"/>
          </w:tcPr>
          <w:p w14:paraId="1CE42286">
            <w:pPr>
              <w:snapToGrid w:val="0"/>
              <w:spacing w:line="360" w:lineRule="exac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邮编：</w:t>
            </w:r>
          </w:p>
        </w:tc>
        <w:tc>
          <w:tcPr>
            <w:tcW w:w="3738" w:type="dxa"/>
            <w:noWrap w:val="0"/>
            <w:vAlign w:val="center"/>
          </w:tcPr>
          <w:p w14:paraId="182578B8">
            <w:pPr>
              <w:snapToGrid w:val="0"/>
              <w:spacing w:line="360" w:lineRule="exact"/>
              <w:jc w:val="center"/>
              <w:rPr>
                <w:rFonts w:hint="eastAsia" w:ascii="宋体" w:hAnsi="宋体" w:eastAsia="宋体" w:cs="宋体"/>
                <w:snapToGrid w:val="0"/>
                <w:sz w:val="21"/>
                <w:szCs w:val="21"/>
                <w:highlight w:val="none"/>
              </w:rPr>
            </w:pPr>
          </w:p>
        </w:tc>
      </w:tr>
    </w:tbl>
    <w:p w14:paraId="013C2B88">
      <w:pPr>
        <w:pStyle w:val="23"/>
        <w:wordWrap w:val="0"/>
        <w:spacing w:line="360" w:lineRule="exact"/>
        <w:ind w:right="560" w:firstLine="4560" w:firstLineChars="19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签订日期: </w:t>
      </w:r>
    </w:p>
    <w:p w14:paraId="2CB2AD9E">
      <w:pPr>
        <w:snapToGrid w:val="0"/>
        <w:spacing w:line="360" w:lineRule="auto"/>
        <w:rPr>
          <w:rFonts w:hint="eastAsia" w:ascii="宋体" w:hAnsi="宋体" w:eastAsia="宋体" w:cs="宋体"/>
          <w:snapToGrid w:val="0"/>
          <w:szCs w:val="24"/>
          <w:highlight w:val="none"/>
        </w:rPr>
      </w:pPr>
    </w:p>
    <w:p w14:paraId="0AE91EB8">
      <w:pPr>
        <w:rPr>
          <w:rFonts w:ascii="宋体" w:hAnsi="宋体" w:cs="宋体"/>
          <w:color w:val="auto"/>
          <w:highlight w:val="none"/>
        </w:rPr>
      </w:pPr>
      <w:r>
        <w:rPr>
          <w:rFonts w:hint="eastAsia" w:ascii="宋体" w:hAnsi="宋体" w:cs="宋体"/>
          <w:color w:val="auto"/>
          <w:highlight w:val="none"/>
        </w:rPr>
        <w:br w:type="page"/>
      </w:r>
    </w:p>
    <w:p w14:paraId="14B66BD7">
      <w:pPr>
        <w:rPr>
          <w:rFonts w:ascii="宋体" w:hAnsi="宋体" w:cs="宋体"/>
          <w:b/>
          <w:color w:val="auto"/>
          <w:kern w:val="0"/>
          <w:sz w:val="28"/>
          <w:szCs w:val="28"/>
          <w:highlight w:val="none"/>
        </w:rPr>
      </w:pPr>
      <w:r>
        <w:rPr>
          <w:rFonts w:hint="eastAsia" w:ascii="宋体" w:hAnsi="宋体" w:cs="宋体"/>
          <w:color w:val="auto"/>
          <w:sz w:val="30"/>
          <w:szCs w:val="30"/>
          <w:highlight w:val="none"/>
        </w:rPr>
        <w:t xml:space="preserve"> 　　　</w:t>
      </w:r>
    </w:p>
    <w:p w14:paraId="1FFEEEB4">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第六章：响应文件格式附件</w:t>
      </w:r>
    </w:p>
    <w:p w14:paraId="7C539434">
      <w:pPr>
        <w:tabs>
          <w:tab w:val="left" w:pos="8280"/>
        </w:tabs>
        <w:autoSpaceDE w:val="0"/>
        <w:autoSpaceDN w:val="0"/>
        <w:adjustRightInd w:val="0"/>
        <w:spacing w:line="240" w:lineRule="atLeast"/>
        <w:ind w:right="25"/>
        <w:rPr>
          <w:rFonts w:ascii="宋体" w:hAnsi="宋体" w:cs="宋体"/>
          <w:color w:val="auto"/>
          <w:kern w:val="0"/>
          <w:sz w:val="24"/>
          <w:highlight w:val="none"/>
        </w:rPr>
      </w:pPr>
    </w:p>
    <w:p w14:paraId="1AB8BE51">
      <w:pPr>
        <w:rPr>
          <w:rFonts w:ascii="宋体" w:hAnsi="宋体" w:cs="宋体"/>
          <w:b/>
          <w:bCs/>
          <w:color w:val="auto"/>
          <w:sz w:val="32"/>
          <w:szCs w:val="32"/>
          <w:highlight w:val="none"/>
        </w:rPr>
      </w:pPr>
      <w:r>
        <w:rPr>
          <w:rFonts w:hint="eastAsia" w:ascii="宋体" w:hAnsi="宋体" w:cs="宋体"/>
          <w:b/>
          <w:color w:val="auto"/>
          <w:kern w:val="0"/>
          <w:sz w:val="28"/>
          <w:szCs w:val="28"/>
          <w:highlight w:val="none"/>
        </w:rPr>
        <w:t>附件1：</w:t>
      </w:r>
      <w:r>
        <w:rPr>
          <w:rFonts w:hint="eastAsia" w:ascii="宋体" w:hAnsi="宋体" w:cs="宋体"/>
          <w:b/>
          <w:color w:val="auto"/>
          <w:sz w:val="30"/>
          <w:szCs w:val="30"/>
          <w:highlight w:val="none"/>
        </w:rPr>
        <w:t xml:space="preserve">                             </w:t>
      </w:r>
      <w:r>
        <w:rPr>
          <w:rFonts w:hint="eastAsia" w:ascii="宋体" w:hAnsi="宋体" w:cs="宋体"/>
          <w:color w:val="auto"/>
          <w:sz w:val="30"/>
          <w:szCs w:val="30"/>
          <w:highlight w:val="none"/>
        </w:rPr>
        <w:t xml:space="preserve"> 　　　</w:t>
      </w:r>
      <w:r>
        <w:rPr>
          <w:rFonts w:hint="eastAsia" w:ascii="宋体" w:hAnsi="宋体" w:cs="宋体"/>
          <w:b/>
          <w:color w:val="auto"/>
          <w:sz w:val="28"/>
          <w:highlight w:val="none"/>
        </w:rPr>
        <w:t xml:space="preserve">        </w:t>
      </w:r>
    </w:p>
    <w:p w14:paraId="67BED8F3">
      <w:pPr>
        <w:snapToGrid w:val="0"/>
        <w:spacing w:before="50" w:after="50" w:line="360" w:lineRule="auto"/>
        <w:jc w:val="center"/>
        <w:rPr>
          <w:rFonts w:ascii="宋体" w:hAnsi="宋体" w:cs="宋体"/>
          <w:b/>
          <w:bCs/>
          <w:color w:val="auto"/>
          <w:sz w:val="32"/>
          <w:szCs w:val="32"/>
          <w:highlight w:val="none"/>
        </w:rPr>
      </w:pPr>
      <w:r>
        <w:rPr>
          <w:rFonts w:hint="eastAsia" w:ascii="宋体" w:hAnsi="宋体" w:cs="宋体"/>
          <w:b/>
          <w:bCs/>
          <w:color w:val="auto"/>
          <w:sz w:val="36"/>
          <w:szCs w:val="36"/>
          <w:highlight w:val="none"/>
        </w:rPr>
        <w:t>磋商响应文件目录</w:t>
      </w:r>
    </w:p>
    <w:p w14:paraId="59B4F441">
      <w:pPr>
        <w:snapToGrid w:val="0"/>
        <w:spacing w:before="50" w:after="50" w:line="360" w:lineRule="auto"/>
        <w:ind w:firstLine="422" w:firstLineChars="150"/>
        <w:rPr>
          <w:rFonts w:ascii="宋体" w:hAnsi="宋体" w:cs="宋体"/>
          <w:b/>
          <w:bCs/>
          <w:color w:val="auto"/>
          <w:sz w:val="28"/>
          <w:szCs w:val="28"/>
          <w:highlight w:val="none"/>
        </w:rPr>
      </w:pPr>
      <w:r>
        <w:rPr>
          <w:rFonts w:hint="eastAsia" w:ascii="宋体" w:hAnsi="宋体" w:cs="宋体"/>
          <w:b/>
          <w:bCs/>
          <w:color w:val="auto"/>
          <w:sz w:val="28"/>
          <w:szCs w:val="28"/>
          <w:highlight w:val="none"/>
        </w:rPr>
        <w:t>第一部分：资格证明部分</w:t>
      </w:r>
    </w:p>
    <w:p w14:paraId="3B089E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（1）磋商声明书</w:t>
      </w:r>
      <w:r>
        <w:rPr>
          <w:rFonts w:hint="eastAsia" w:ascii="宋体" w:hAnsi="宋体"/>
          <w:color w:val="auto"/>
          <w:sz w:val="24"/>
          <w:highlight w:val="none"/>
        </w:rPr>
        <w:t>（详见附件）</w:t>
      </w:r>
      <w:r>
        <w:rPr>
          <w:rFonts w:hint="eastAsia" w:ascii="宋体" w:hAnsi="宋体" w:cs="宋体"/>
          <w:color w:val="auto"/>
          <w:sz w:val="24"/>
          <w:highlight w:val="none"/>
        </w:rPr>
        <w:t>；</w:t>
      </w:r>
    </w:p>
    <w:p w14:paraId="191E01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w:t>
      </w:r>
    </w:p>
    <w:p w14:paraId="6CC38C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（3）法人或者其他组织的营业执照等证明文件； </w:t>
      </w:r>
    </w:p>
    <w:p w14:paraId="35393118">
      <w:pPr>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lang w:val="en-US" w:eastAsia="zh-CN" w:bidi="ar-SA"/>
        </w:rPr>
        <w:t>联合体响应要求：供应商提供联合体协议书，联合体各方不得再以自己名义单独或加入其他联合体对本项目进行响应。（详见附件）。</w:t>
      </w:r>
    </w:p>
    <w:p w14:paraId="6D00BC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olor w:val="auto"/>
          <w:sz w:val="24"/>
          <w:highlight w:val="none"/>
        </w:rPr>
        <w:t>具有良好的商业信誉和健全的财务会计制度的承诺函（详见附件）</w:t>
      </w:r>
      <w:r>
        <w:rPr>
          <w:rFonts w:hint="eastAsia" w:ascii="宋体" w:hAnsi="宋体" w:cs="宋体"/>
          <w:color w:val="auto"/>
          <w:sz w:val="24"/>
          <w:highlight w:val="none"/>
        </w:rPr>
        <w:t>；</w:t>
      </w:r>
    </w:p>
    <w:p w14:paraId="65C99F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olor w:val="auto"/>
          <w:sz w:val="24"/>
          <w:highlight w:val="none"/>
          <w:lang w:val="zh-CN"/>
        </w:rPr>
        <w:t>具有依法缴纳税收和社会保障资金证明的承诺函（详见附件）</w:t>
      </w:r>
      <w:r>
        <w:rPr>
          <w:rFonts w:hint="eastAsia" w:ascii="宋体" w:hAnsi="宋体" w:cs="宋体"/>
          <w:color w:val="auto"/>
          <w:sz w:val="24"/>
          <w:highlight w:val="none"/>
        </w:rPr>
        <w:t>；</w:t>
      </w:r>
    </w:p>
    <w:p w14:paraId="744D9C62">
      <w:pPr>
        <w:snapToGrid w:val="0"/>
        <w:spacing w:line="360" w:lineRule="auto"/>
        <w:ind w:right="-197" w:rightChars="-94"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）具有履行合同所必需的场地、设备和专业技术能力的承诺函（详见附件）；</w:t>
      </w:r>
    </w:p>
    <w:p w14:paraId="38F562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）磋商供应商没有失信记录承诺函（详见附件）；</w:t>
      </w:r>
    </w:p>
    <w:p w14:paraId="1CF3BC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）项目负责人无在建工程承诺函（详见附件）</w:t>
      </w:r>
    </w:p>
    <w:p w14:paraId="1CC6481E">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）落实政府采购政策需满足资格要求声明函等[提供中小企业声明函（详见格式附件）或残疾人福利性单位声明函（详见格式附件）或监狱企业证明文件]</w:t>
      </w:r>
      <w:r>
        <w:rPr>
          <w:rFonts w:hint="eastAsia" w:ascii="宋体" w:hAnsi="宋体" w:cs="宋体"/>
          <w:color w:val="auto"/>
          <w:kern w:val="0"/>
          <w:sz w:val="24"/>
          <w:highlight w:val="none"/>
          <w:lang w:eastAsia="zh-CN"/>
        </w:rPr>
        <w:t>；</w:t>
      </w:r>
    </w:p>
    <w:p w14:paraId="227C3B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）提供采购公告中符合供应商特定条件的有效证书或证明资料扫描件（投标供应商特定条件中有要求的必须提供</w:t>
      </w:r>
      <w:r>
        <w:rPr>
          <w:rFonts w:hint="eastAsia" w:ascii="宋体" w:hAnsi="宋体" w:eastAsia="宋体" w:cs="Times New Roman"/>
          <w:color w:val="auto"/>
          <w:sz w:val="24"/>
          <w:highlight w:val="none"/>
          <w:lang w:eastAsia="zh-CN"/>
        </w:rPr>
        <w:t>，</w:t>
      </w:r>
      <w:r>
        <w:rPr>
          <w:rFonts w:hint="eastAsia" w:ascii="宋体" w:hAnsi="宋体" w:eastAsia="宋体" w:cs="Times New Roman"/>
          <w:b/>
          <w:bCs/>
          <w:color w:val="auto"/>
          <w:sz w:val="24"/>
          <w:highlight w:val="none"/>
          <w:lang w:eastAsia="zh-CN"/>
        </w:rPr>
        <w:t>其中参与投标资质的“</w:t>
      </w:r>
      <w:r>
        <w:rPr>
          <w:rFonts w:hint="eastAsia" w:ascii="宋体" w:hAnsi="宋体" w:eastAsia="宋体" w:cs="Times New Roman"/>
          <w:b/>
          <w:bCs/>
          <w:color w:val="auto"/>
          <w:sz w:val="24"/>
          <w:highlight w:val="none"/>
          <w:lang w:val="en-US" w:eastAsia="zh-CN"/>
        </w:rPr>
        <w:t>资质动态核查结果证明”的</w:t>
      </w:r>
      <w:r>
        <w:rPr>
          <w:rFonts w:hint="eastAsia" w:ascii="宋体" w:hAnsi="宋体" w:eastAsia="宋体" w:cs="Times New Roman"/>
          <w:b/>
          <w:bCs/>
          <w:color w:val="auto"/>
          <w:sz w:val="24"/>
          <w:highlight w:val="none"/>
          <w:lang w:eastAsia="zh-CN"/>
        </w:rPr>
        <w:t>核查发布日期须为</w:t>
      </w:r>
      <w:r>
        <w:rPr>
          <w:rFonts w:hint="eastAsia" w:ascii="宋体" w:hAnsi="宋体" w:cs="Times New Roman"/>
          <w:b/>
          <w:bCs/>
          <w:color w:val="auto"/>
          <w:sz w:val="24"/>
          <w:highlight w:val="none"/>
          <w:lang w:val="en-US" w:eastAsia="zh-CN"/>
        </w:rPr>
        <w:t>投标截止日前一周</w:t>
      </w:r>
      <w:r>
        <w:rPr>
          <w:rFonts w:hint="eastAsia" w:ascii="宋体" w:hAnsi="宋体" w:eastAsia="宋体" w:cs="Times New Roman"/>
          <w:b/>
          <w:bCs/>
          <w:color w:val="auto"/>
          <w:sz w:val="24"/>
          <w:highlight w:val="none"/>
          <w:lang w:eastAsia="zh-CN"/>
        </w:rPr>
        <w:t>，否则投标无效)</w:t>
      </w:r>
      <w:r>
        <w:rPr>
          <w:rFonts w:hint="eastAsia" w:ascii="宋体" w:hAnsi="宋体"/>
          <w:color w:val="auto"/>
          <w:sz w:val="24"/>
          <w:highlight w:val="none"/>
        </w:rPr>
        <w:t>，</w:t>
      </w:r>
      <w:r>
        <w:rPr>
          <w:rFonts w:hint="eastAsia" w:ascii="宋体" w:hAnsi="宋体" w:cs="宋体"/>
          <w:color w:val="auto"/>
          <w:sz w:val="24"/>
          <w:highlight w:val="none"/>
        </w:rPr>
        <w:t>以及需要说明的其他资料；</w:t>
      </w:r>
    </w:p>
    <w:p w14:paraId="69CFBE87">
      <w:pPr>
        <w:snapToGrid w:val="0"/>
        <w:spacing w:line="360" w:lineRule="auto"/>
        <w:ind w:firstLine="422" w:firstLineChars="150"/>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第二部分：商务与技术</w:t>
      </w:r>
      <w:r>
        <w:rPr>
          <w:rFonts w:hint="eastAsia" w:ascii="宋体" w:hAnsi="宋体" w:cs="宋体"/>
          <w:b/>
          <w:bCs/>
          <w:color w:val="auto"/>
          <w:sz w:val="28"/>
          <w:szCs w:val="28"/>
          <w:highlight w:val="none"/>
        </w:rPr>
        <w:t>部分</w:t>
      </w:r>
    </w:p>
    <w:p w14:paraId="2F178A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）供应商基本情况表（详见附件）；</w:t>
      </w:r>
    </w:p>
    <w:p w14:paraId="77DA5887">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）其余内容根据评标办法自拟（</w:t>
      </w:r>
      <w:r>
        <w:rPr>
          <w:rFonts w:hint="eastAsia" w:ascii="宋体" w:hAnsi="宋体" w:cs="宋体"/>
          <w:color w:val="auto"/>
          <w:sz w:val="24"/>
          <w:highlight w:val="none"/>
        </w:rPr>
        <w:t>详见附件</w:t>
      </w:r>
      <w:r>
        <w:rPr>
          <w:rFonts w:hint="eastAsia" w:ascii="宋体" w:hAnsi="宋体" w:cs="宋体"/>
          <w:bCs/>
          <w:color w:val="auto"/>
          <w:sz w:val="24"/>
          <w:highlight w:val="none"/>
        </w:rPr>
        <w:t>）</w:t>
      </w:r>
    </w:p>
    <w:p w14:paraId="5F91662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）投标人认为需要提供的其他资料。</w:t>
      </w:r>
    </w:p>
    <w:p w14:paraId="7A9A5DC8">
      <w:pPr>
        <w:spacing w:line="360" w:lineRule="auto"/>
        <w:ind w:right="-108" w:firstLine="422" w:firstLineChars="150"/>
        <w:rPr>
          <w:rFonts w:ascii="宋体" w:hAnsi="宋体" w:cs="宋体"/>
          <w:color w:val="auto"/>
          <w:sz w:val="24"/>
          <w:highlight w:val="none"/>
        </w:rPr>
      </w:pPr>
      <w:r>
        <w:rPr>
          <w:rFonts w:hint="eastAsia" w:ascii="宋体" w:hAnsi="宋体" w:cs="宋体"/>
          <w:b/>
          <w:bCs/>
          <w:color w:val="auto"/>
          <w:kern w:val="0"/>
          <w:sz w:val="28"/>
          <w:szCs w:val="28"/>
          <w:highlight w:val="none"/>
        </w:rPr>
        <w:t>第三部分:</w:t>
      </w:r>
      <w:r>
        <w:rPr>
          <w:rFonts w:hint="eastAsia" w:ascii="宋体" w:hAnsi="宋体" w:cs="宋体"/>
          <w:b/>
          <w:color w:val="auto"/>
          <w:sz w:val="28"/>
          <w:szCs w:val="28"/>
          <w:highlight w:val="none"/>
        </w:rPr>
        <w:t>报价</w:t>
      </w:r>
      <w:r>
        <w:rPr>
          <w:rFonts w:hint="eastAsia" w:ascii="宋体" w:hAnsi="宋体" w:cs="宋体"/>
          <w:b/>
          <w:bCs/>
          <w:color w:val="auto"/>
          <w:sz w:val="28"/>
          <w:szCs w:val="28"/>
          <w:highlight w:val="none"/>
        </w:rPr>
        <w:t>部分</w:t>
      </w:r>
    </w:p>
    <w:p w14:paraId="191CA4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（1）首次报价一览表（详见附件）；</w:t>
      </w:r>
    </w:p>
    <w:p w14:paraId="1248F6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（2）工程量清单报价明细表（详见附件）；</w:t>
      </w:r>
    </w:p>
    <w:p w14:paraId="5B18601F">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）单价计算表（详见附件，仅做参考）；</w:t>
      </w:r>
    </w:p>
    <w:p w14:paraId="12418487">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703D09F5">
      <w:pPr>
        <w:pStyle w:val="104"/>
        <w:rPr>
          <w:rFonts w:hint="eastAsia"/>
          <w:highlight w:val="none"/>
        </w:rPr>
      </w:pPr>
    </w:p>
    <w:p w14:paraId="6EBDEFF3">
      <w:pPr>
        <w:spacing w:line="360" w:lineRule="auto"/>
        <w:ind w:left="420"/>
        <w:rPr>
          <w:rFonts w:ascii="宋体" w:hAnsi="宋体" w:cs="宋体"/>
          <w:b/>
          <w:color w:val="auto"/>
          <w:sz w:val="28"/>
          <w:highlight w:val="none"/>
        </w:rPr>
      </w:pPr>
      <w:r>
        <w:rPr>
          <w:rFonts w:hint="eastAsia" w:ascii="宋体" w:hAnsi="宋体" w:cs="宋体"/>
          <w:b/>
          <w:color w:val="auto"/>
          <w:sz w:val="28"/>
          <w:highlight w:val="none"/>
        </w:rPr>
        <w:t>附件2：</w:t>
      </w:r>
    </w:p>
    <w:p w14:paraId="57F9D21D">
      <w:pPr>
        <w:snapToGrid w:val="0"/>
        <w:spacing w:beforeLines="50" w:after="50" w:line="360" w:lineRule="auto"/>
        <w:ind w:firstLine="643" w:firstLineChars="200"/>
        <w:jc w:val="center"/>
        <w:rPr>
          <w:rStyle w:val="48"/>
          <w:rFonts w:ascii="宋体" w:hAnsi="宋体" w:cs="宋体"/>
          <w:b/>
          <w:color w:val="auto"/>
          <w:sz w:val="32"/>
          <w:szCs w:val="32"/>
          <w:highlight w:val="none"/>
          <w:u w:val="none"/>
        </w:rPr>
      </w:pPr>
      <w:r>
        <w:rPr>
          <w:rStyle w:val="48"/>
          <w:rFonts w:hint="eastAsia" w:ascii="宋体" w:hAnsi="宋体" w:cs="宋体"/>
          <w:b/>
          <w:color w:val="auto"/>
          <w:sz w:val="32"/>
          <w:szCs w:val="32"/>
          <w:highlight w:val="none"/>
          <w:u w:val="none"/>
        </w:rPr>
        <w:t>磋商声明书</w:t>
      </w:r>
    </w:p>
    <w:p w14:paraId="13FB0FD6">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五洲工程顾问集团有限公司</w:t>
      </w:r>
      <w:r>
        <w:rPr>
          <w:rFonts w:hint="eastAsia" w:ascii="宋体" w:hAnsi="宋体" w:cs="宋体"/>
          <w:color w:val="auto"/>
          <w:kern w:val="0"/>
          <w:sz w:val="24"/>
          <w:highlight w:val="none"/>
        </w:rPr>
        <w:t>（采购代理机构名称）：</w:t>
      </w:r>
    </w:p>
    <w:p w14:paraId="55D7A0D0">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（供应商名称）            </w:t>
      </w:r>
      <w:r>
        <w:rPr>
          <w:rFonts w:hint="eastAsia" w:ascii="宋体" w:hAnsi="宋体" w:cs="宋体"/>
          <w:color w:val="auto"/>
          <w:kern w:val="0"/>
          <w:sz w:val="24"/>
          <w:highlight w:val="none"/>
        </w:rPr>
        <w:t>系中华人民共和国合法企业，经营地址。</w:t>
      </w:r>
    </w:p>
    <w:p w14:paraId="1244B805">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lang w:eastAsia="zh-CN"/>
        </w:rPr>
        <w:t>天台县红旗渡槽槽渠和槽身砌石修缮保护工程（第三次）</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）的磋商，为此，我公司就本次磋商有关事项郑重声明如下：</w:t>
      </w:r>
    </w:p>
    <w:p w14:paraId="0290EEA8">
      <w:pPr>
        <w:numPr>
          <w:ilvl w:val="0"/>
          <w:numId w:val="0"/>
        </w:numPr>
        <w:snapToGrid w:val="0"/>
        <w:spacing w:beforeLines="50" w:after="50" w:line="288"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我公司声明截止磋商时间近三年以来：在参加政府采购活动过程中无在处罚期限内的任何不良行为记录；无重大违法记录（重大违法记录是指供应商因违法经营受到刑事处罚或者责令停产停业、吊销许可证或者执照、较大数额罚款等行政处罚）。</w:t>
      </w:r>
    </w:p>
    <w:p w14:paraId="4E5BFEFC">
      <w:pPr>
        <w:numPr>
          <w:ilvl w:val="0"/>
          <w:numId w:val="0"/>
        </w:num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763117FB">
      <w:pPr>
        <w:snapToGrid w:val="0"/>
        <w:spacing w:beforeLines="50" w:after="50"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不是采购人的附属机构；在获知本项目采购信息后，与采购人聘请的为此项目提供咨询服务的公司及其附属机构没有任何联系。</w:t>
      </w:r>
    </w:p>
    <w:p w14:paraId="534B433B">
      <w:pPr>
        <w:snapToGrid w:val="0"/>
        <w:spacing w:beforeLines="50" w:after="50" w:line="288" w:lineRule="auto"/>
        <w:ind w:firstLine="480" w:firstLineChars="200"/>
        <w:rPr>
          <w:rFonts w:ascii="宋体" w:hAnsi="宋体" w:cs="宋体"/>
          <w:color w:val="auto"/>
          <w:kern w:val="0"/>
          <w:sz w:val="24"/>
          <w:highlight w:val="none"/>
          <w:lang w:val="af-ZA"/>
        </w:rPr>
      </w:pPr>
      <w:r>
        <w:rPr>
          <w:rFonts w:hint="eastAsia" w:ascii="宋体" w:hAnsi="宋体" w:cs="宋体"/>
          <w:color w:val="auto"/>
          <w:sz w:val="24"/>
          <w:highlight w:val="none"/>
        </w:rPr>
        <w:t>4、</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s="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4879144B">
      <w:pPr>
        <w:snapToGrid w:val="0"/>
        <w:spacing w:beforeLines="50" w:after="50" w:line="288"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w:t>
      </w:r>
      <w:r>
        <w:rPr>
          <w:rFonts w:hint="eastAsia" w:ascii="宋体" w:hAnsi="宋体" w:cs="宋体"/>
          <w:color w:val="auto"/>
          <w:kern w:val="0"/>
          <w:sz w:val="24"/>
          <w:highlight w:val="none"/>
        </w:rPr>
        <w:t>除响应文件中明确拒绝外，接受招标文件中的全部条件，</w:t>
      </w:r>
      <w:r>
        <w:rPr>
          <w:rFonts w:hint="eastAsia" w:ascii="宋体" w:hAnsi="宋体" w:cs="宋体"/>
          <w:color w:val="auto"/>
          <w:kern w:val="0"/>
          <w:sz w:val="24"/>
          <w:highlight w:val="none"/>
          <w:lang w:val="af-ZA"/>
        </w:rPr>
        <w:t>不降低合同约定的产品质量和服务，不擅自变更、中止、终止合同，或拒绝履行合同义务；</w:t>
      </w:r>
    </w:p>
    <w:p w14:paraId="3918ADE1">
      <w:pPr>
        <w:snapToGrid w:val="0"/>
        <w:spacing w:beforeLines="50" w:after="50"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愿意承担一切后果，并不再寻求任何旨在减轻或免除法律责任的辩解。</w:t>
      </w:r>
    </w:p>
    <w:p w14:paraId="0536F51A">
      <w:pPr>
        <w:adjustRightInd w:val="0"/>
        <w:snapToGrid w:val="0"/>
        <w:spacing w:line="360" w:lineRule="auto"/>
        <w:rPr>
          <w:rFonts w:ascii="宋体" w:hAnsi="宋体" w:cs="宋体"/>
          <w:color w:val="auto"/>
          <w:kern w:val="0"/>
          <w:sz w:val="24"/>
          <w:highlight w:val="none"/>
        </w:rPr>
      </w:pPr>
    </w:p>
    <w:p w14:paraId="507F56DE">
      <w:pPr>
        <w:ind w:firstLine="424" w:firstLineChars="177"/>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6CFEEA9D">
      <w:pPr>
        <w:ind w:firstLine="424" w:firstLineChars="177"/>
        <w:rPr>
          <w:rFonts w:ascii="宋体" w:hAnsi="宋体" w:cs="宋体"/>
          <w:color w:val="auto"/>
          <w:sz w:val="24"/>
          <w:highlight w:val="none"/>
          <w:u w:val="singl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8E18A04">
      <w:pPr>
        <w:pStyle w:val="86"/>
        <w:shd w:val="clear" w:color="auto" w:fill="FFFFFF"/>
        <w:spacing w:before="0" w:beforeAutospacing="0" w:after="0" w:afterAutospacing="0"/>
        <w:ind w:firstLine="424" w:firstLineChars="177"/>
        <w:rPr>
          <w:rFonts w:ascii="宋体" w:hAnsi="宋体" w:cs="宋体"/>
          <w:color w:val="auto"/>
          <w:kern w:val="0"/>
          <w:sz w:val="24"/>
          <w:highlight w:val="none"/>
          <w:lang w:val="zh-CN"/>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036F5DF0">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14:paraId="4E7F3C00">
      <w:pPr>
        <w:spacing w:line="5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法定代表人（负责人）资格证明书</w:t>
      </w:r>
    </w:p>
    <w:p w14:paraId="614F05DE">
      <w:pPr>
        <w:spacing w:line="520" w:lineRule="exact"/>
        <w:jc w:val="center"/>
        <w:rPr>
          <w:rFonts w:hint="eastAsia" w:ascii="宋体" w:hAnsi="宋体" w:eastAsia="宋体" w:cs="宋体"/>
          <w:bCs/>
          <w:color w:val="auto"/>
          <w:sz w:val="24"/>
          <w:szCs w:val="24"/>
          <w:highlight w:val="none"/>
        </w:rPr>
      </w:pPr>
    </w:p>
    <w:p w14:paraId="1938FDCE">
      <w:pPr>
        <w:spacing w:line="7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4AC6134A">
      <w:pPr>
        <w:spacing w:line="7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6385F60C">
      <w:pPr>
        <w:spacing w:line="7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7DE0B7AF">
      <w:pPr>
        <w:spacing w:line="700" w:lineRule="exac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6D321D3F">
      <w:pPr>
        <w:spacing w:line="7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8FCB3E6">
      <w:pPr>
        <w:spacing w:line="700" w:lineRule="exact"/>
        <w:ind w:left="140"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身份证号码：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63EDC0E">
      <w:pPr>
        <w:spacing w:line="700" w:lineRule="exact"/>
        <w:ind w:left="140"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（供应商名称）的法定代表人（负责人）。</w:t>
      </w:r>
    </w:p>
    <w:p w14:paraId="02831F6B">
      <w:pPr>
        <w:spacing w:line="520" w:lineRule="exact"/>
        <w:rPr>
          <w:rFonts w:hint="eastAsia" w:ascii="宋体" w:hAnsi="宋体" w:eastAsia="宋体" w:cs="宋体"/>
          <w:bCs/>
          <w:color w:val="auto"/>
          <w:sz w:val="24"/>
          <w:szCs w:val="24"/>
          <w:highlight w:val="none"/>
        </w:rPr>
      </w:pPr>
    </w:p>
    <w:p w14:paraId="5EC3EE6E">
      <w:pPr>
        <w:spacing w:line="5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特此证明。</w:t>
      </w:r>
    </w:p>
    <w:p w14:paraId="459E46DA">
      <w:pPr>
        <w:spacing w:line="520" w:lineRule="exact"/>
        <w:jc w:val="right"/>
        <w:rPr>
          <w:rFonts w:hint="eastAsia" w:ascii="宋体" w:hAnsi="宋体" w:eastAsia="宋体" w:cs="宋体"/>
          <w:bCs/>
          <w:color w:val="auto"/>
          <w:sz w:val="24"/>
          <w:szCs w:val="24"/>
          <w:highlight w:val="none"/>
        </w:rPr>
      </w:pPr>
    </w:p>
    <w:p w14:paraId="4187BBED">
      <w:pPr>
        <w:wordWrap w:val="0"/>
        <w:spacing w:line="520" w:lineRule="exact"/>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供应商全称：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（盖公章）</w:t>
      </w:r>
    </w:p>
    <w:p w14:paraId="1BED346D">
      <w:pPr>
        <w:spacing w:line="520" w:lineRule="exact"/>
        <w:ind w:firstLine="4200" w:firstLineChars="1750"/>
        <w:rPr>
          <w:rFonts w:hint="eastAsia" w:ascii="宋体" w:hAnsi="宋体" w:eastAsia="宋体" w:cs="宋体"/>
          <w:bCs/>
          <w:color w:val="auto"/>
          <w:sz w:val="24"/>
          <w:szCs w:val="24"/>
          <w:highlight w:val="none"/>
        </w:rPr>
      </w:pPr>
    </w:p>
    <w:p w14:paraId="49493F69">
      <w:pPr>
        <w:spacing w:line="420" w:lineRule="exact"/>
        <w:ind w:firstLine="170" w:firstLineChars="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5EC4A5A0">
      <w:pPr>
        <w:spacing w:line="420" w:lineRule="exact"/>
        <w:ind w:firstLine="170" w:firstLineChars="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909CFF">
      <w:pPr>
        <w:spacing w:line="42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0B6D350">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14:paraId="28E8391E">
      <w:pPr>
        <w:spacing w:line="460" w:lineRule="exact"/>
        <w:jc w:val="center"/>
        <w:rPr>
          <w:rFonts w:hint="eastAsia" w:ascii="宋体" w:hAnsi="宋体" w:eastAsia="宋体" w:cs="宋体"/>
          <w:bCs/>
          <w:color w:val="auto"/>
          <w:sz w:val="24"/>
          <w:szCs w:val="24"/>
          <w:highlight w:val="none"/>
        </w:rPr>
      </w:pPr>
    </w:p>
    <w:p w14:paraId="5376CF93">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年    月    日</w:t>
      </w:r>
    </w:p>
    <w:p w14:paraId="5932644A">
      <w:pPr>
        <w:spacing w:line="520" w:lineRule="exact"/>
        <w:rPr>
          <w:rFonts w:hint="eastAsia" w:ascii="仿宋" w:hAnsi="仿宋" w:eastAsia="仿宋" w:cs="仿宋"/>
          <w:bCs/>
          <w:color w:val="auto"/>
          <w:sz w:val="28"/>
          <w:szCs w:val="28"/>
          <w:highlight w:val="none"/>
        </w:rPr>
      </w:pPr>
    </w:p>
    <w:p w14:paraId="586D4B25">
      <w:pPr>
        <w:spacing w:line="500" w:lineRule="exact"/>
        <w:jc w:val="center"/>
        <w:rPr>
          <w:rFonts w:hint="eastAsia" w:ascii="仿宋_GB2312" w:hAnsi="Courier New" w:eastAsia="仿宋_GB2312"/>
          <w:color w:val="auto"/>
          <w:sz w:val="44"/>
          <w:szCs w:val="44"/>
          <w:highlight w:val="none"/>
        </w:rPr>
      </w:pPr>
      <w:r>
        <w:rPr>
          <w:rFonts w:hint="eastAsia" w:ascii="仿宋_GB2312" w:hAnsi="宋体" w:eastAsia="仿宋_GB2312"/>
          <w:bCs/>
          <w:color w:val="auto"/>
          <w:sz w:val="28"/>
          <w:szCs w:val="28"/>
          <w:highlight w:val="none"/>
        </w:rPr>
        <w:t>（</w:t>
      </w:r>
      <w:r>
        <w:rPr>
          <w:rFonts w:hint="eastAsia" w:ascii="仿宋_GB2312" w:hAnsi="宋体" w:eastAsia="仿宋_GB2312"/>
          <w:b/>
          <w:color w:val="auto"/>
          <w:sz w:val="28"/>
          <w:szCs w:val="28"/>
          <w:highlight w:val="none"/>
        </w:rPr>
        <w:t>附法定代表人（负责人）有效身份证件复印件</w:t>
      </w:r>
      <w:r>
        <w:rPr>
          <w:rFonts w:hint="eastAsia" w:ascii="仿宋_GB2312" w:hAnsi="宋体" w:eastAsia="仿宋_GB2312"/>
          <w:bCs/>
          <w:color w:val="auto"/>
          <w:sz w:val="28"/>
          <w:szCs w:val="28"/>
          <w:highlight w:val="none"/>
        </w:rPr>
        <w:t>）</w:t>
      </w:r>
    </w:p>
    <w:p w14:paraId="0DDC516F">
      <w:pPr>
        <w:spacing w:line="360" w:lineRule="auto"/>
        <w:ind w:firstLine="321" w:firstLineChars="100"/>
        <w:jc w:val="center"/>
        <w:rPr>
          <w:rFonts w:hint="eastAsia" w:ascii="宋体" w:hAnsi="宋体" w:cs="宋体"/>
          <w:b/>
          <w:color w:val="auto"/>
          <w:sz w:val="32"/>
          <w:szCs w:val="32"/>
          <w:highlight w:val="none"/>
        </w:rPr>
      </w:pPr>
    </w:p>
    <w:p w14:paraId="22BDAD37">
      <w:pPr>
        <w:spacing w:line="360" w:lineRule="auto"/>
        <w:ind w:firstLine="321" w:firstLineChars="100"/>
        <w:jc w:val="center"/>
        <w:rPr>
          <w:rFonts w:hint="eastAsia" w:ascii="宋体" w:hAnsi="宋体" w:cs="宋体"/>
          <w:b/>
          <w:color w:val="auto"/>
          <w:sz w:val="32"/>
          <w:szCs w:val="32"/>
          <w:highlight w:val="none"/>
        </w:rPr>
      </w:pPr>
    </w:p>
    <w:p w14:paraId="74D2DBD6">
      <w:pPr>
        <w:spacing w:line="360" w:lineRule="auto"/>
        <w:ind w:firstLine="321" w:firstLineChars="100"/>
        <w:jc w:val="center"/>
        <w:rPr>
          <w:rFonts w:hint="eastAsia" w:ascii="宋体" w:hAnsi="宋体" w:cs="宋体"/>
          <w:b/>
          <w:color w:val="auto"/>
          <w:sz w:val="32"/>
          <w:szCs w:val="32"/>
          <w:highlight w:val="none"/>
        </w:rPr>
      </w:pPr>
    </w:p>
    <w:p w14:paraId="0DB738EB">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14:paraId="137B8979">
      <w:pPr>
        <w:pStyle w:val="23"/>
        <w:spacing w:line="500" w:lineRule="exact"/>
        <w:rPr>
          <w:rFonts w:ascii="宋体" w:hAnsi="宋体" w:eastAsia="宋体" w:cs="宋体"/>
          <w:b/>
          <w:color w:val="auto"/>
          <w:sz w:val="24"/>
          <w:highlight w:val="none"/>
        </w:rPr>
      </w:pPr>
      <w:r>
        <w:rPr>
          <w:rFonts w:hint="eastAsia" w:ascii="宋体" w:hAnsi="宋体" w:cs="宋体"/>
          <w:color w:val="auto"/>
          <w:kern w:val="0"/>
          <w:sz w:val="24"/>
          <w:highlight w:val="none"/>
          <w:u w:val="single"/>
        </w:rPr>
        <w:t>五洲工程顾问集团有限公司</w:t>
      </w:r>
      <w:r>
        <w:rPr>
          <w:rFonts w:hint="eastAsia" w:ascii="宋体" w:hAnsi="宋体" w:eastAsia="宋体" w:cs="宋体"/>
          <w:color w:val="auto"/>
          <w:kern w:val="0"/>
          <w:sz w:val="24"/>
          <w:highlight w:val="none"/>
          <w:u w:val="single"/>
        </w:rPr>
        <w:t>（采购代理机构名称）</w:t>
      </w:r>
      <w:r>
        <w:rPr>
          <w:rFonts w:hint="eastAsia" w:ascii="宋体" w:hAnsi="宋体" w:eastAsia="宋体" w:cs="宋体"/>
          <w:b/>
          <w:color w:val="auto"/>
          <w:sz w:val="24"/>
          <w:highlight w:val="none"/>
        </w:rPr>
        <w:t>：</w:t>
      </w:r>
    </w:p>
    <w:p w14:paraId="2B7E4FF3">
      <w:pPr>
        <w:pStyle w:val="23"/>
        <w:spacing w:line="440" w:lineRule="atLeast"/>
        <w:ind w:left="240" w:hanging="240" w:hangingChars="1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（法定代表人或营业执照中单位负责人姓名）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（全权代表姓名） </w:t>
      </w:r>
      <w:r>
        <w:rPr>
          <w:rFonts w:hint="eastAsia" w:ascii="宋体" w:hAnsi="宋体" w:eastAsia="宋体" w:cs="宋体"/>
          <w:color w:val="auto"/>
          <w:sz w:val="24"/>
          <w:highlight w:val="none"/>
        </w:rPr>
        <w:t>为全权代表，参加贵单位组织的</w:t>
      </w:r>
      <w:r>
        <w:rPr>
          <w:rFonts w:hint="eastAsia" w:hAnsi="宋体" w:cs="宋体"/>
          <w:color w:val="auto"/>
          <w:sz w:val="24"/>
          <w:highlight w:val="none"/>
          <w:u w:val="single"/>
          <w:lang w:eastAsia="zh-CN"/>
        </w:rPr>
        <w:t>天台县红旗渡槽槽渠和槽身砌石修缮保护工程（第三次）</w:t>
      </w:r>
      <w:r>
        <w:rPr>
          <w:rFonts w:hint="eastAsia" w:ascii="宋体" w:hAnsi="宋体" w:eastAsia="宋体" w:cs="宋体"/>
          <w:color w:val="auto"/>
          <w:sz w:val="24"/>
          <w:highlight w:val="none"/>
        </w:rPr>
        <w:t>的采购活动，并代表我方全权办理针对上述项目的磋商、签约等具体事务和签署相关文件。我方对全权代表的签字事项负全部责任。</w:t>
      </w:r>
    </w:p>
    <w:p w14:paraId="64A70665">
      <w:pPr>
        <w:pStyle w:val="23"/>
        <w:spacing w:line="440" w:lineRule="atLeast"/>
        <w:ind w:left="139" w:leftChars="66"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在撤销授权的书面通知以前，本授权书一直有效。全权代表在授权委托书有效期内签署的所有文件不因授权的撤销而失效。</w:t>
      </w:r>
    </w:p>
    <w:p w14:paraId="73C1C59C">
      <w:pPr>
        <w:pStyle w:val="23"/>
        <w:spacing w:line="440" w:lineRule="atLeast"/>
        <w:ind w:left="139" w:leftChars="66"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全权代表无转委托权，特此委托。</w:t>
      </w:r>
    </w:p>
    <w:p w14:paraId="01222E49">
      <w:pPr>
        <w:spacing w:line="440" w:lineRule="atLeast"/>
        <w:rPr>
          <w:rFonts w:ascii="宋体" w:hAnsi="宋体" w:cs="宋体"/>
          <w:color w:val="auto"/>
          <w:sz w:val="24"/>
          <w:highlight w:val="none"/>
        </w:rPr>
      </w:pPr>
    </w:p>
    <w:p w14:paraId="696A2C8E">
      <w:pPr>
        <w:spacing w:line="440" w:lineRule="atLeast"/>
        <w:rPr>
          <w:rFonts w:ascii="宋体" w:hAnsi="宋体" w:cs="宋体"/>
          <w:color w:val="auto"/>
          <w:sz w:val="24"/>
          <w:highlight w:val="none"/>
          <w:u w:val="single"/>
        </w:rPr>
      </w:pPr>
      <w:r>
        <w:rPr>
          <w:rFonts w:hint="eastAsia" w:ascii="宋体" w:hAnsi="宋体" w:cs="宋体"/>
          <w:color w:val="auto"/>
          <w:sz w:val="24"/>
          <w:highlight w:val="none"/>
        </w:rPr>
        <w:t>法定代表人签字或签章：</w:t>
      </w:r>
      <w:r>
        <w:rPr>
          <w:rFonts w:hint="eastAsia" w:ascii="宋体" w:hAnsi="宋体" w:cs="宋体"/>
          <w:color w:val="auto"/>
          <w:sz w:val="24"/>
          <w:highlight w:val="none"/>
          <w:u w:val="single"/>
        </w:rPr>
        <w:t xml:space="preserve">                    </w:t>
      </w:r>
    </w:p>
    <w:p w14:paraId="5C1721F0">
      <w:pPr>
        <w:spacing w:line="440" w:lineRule="atLeast"/>
        <w:rPr>
          <w:rFonts w:ascii="宋体" w:hAnsi="宋体" w:cs="宋体"/>
          <w:color w:val="auto"/>
          <w:sz w:val="24"/>
          <w:highlight w:val="none"/>
        </w:rPr>
      </w:pPr>
      <w:r>
        <w:rPr>
          <w:rFonts w:hint="eastAsia" w:ascii="宋体" w:hAnsi="宋体" w:cs="宋体"/>
          <w:color w:val="auto"/>
          <w:sz w:val="24"/>
          <w:highlight w:val="none"/>
        </w:rPr>
        <w:t>供应商全称（公章）：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6A3A964">
      <w:pPr>
        <w:spacing w:line="440" w:lineRule="atLeast"/>
        <w:rPr>
          <w:rFonts w:ascii="宋体" w:hAnsi="宋体" w:cs="宋体"/>
          <w:color w:val="auto"/>
          <w:sz w:val="24"/>
          <w:highlight w:val="none"/>
        </w:rPr>
      </w:pPr>
      <w:r>
        <w:rPr>
          <w:rFonts w:hint="eastAsia" w:ascii="宋体" w:hAnsi="宋体" w:cs="宋体"/>
          <w:color w:val="auto"/>
          <w:sz w:val="24"/>
          <w:highlight w:val="none"/>
        </w:rPr>
        <w:t>日期：</w:t>
      </w:r>
    </w:p>
    <w:p w14:paraId="39621873">
      <w:pPr>
        <w:spacing w:line="440" w:lineRule="atLeast"/>
        <w:rPr>
          <w:rFonts w:ascii="宋体" w:hAnsi="宋体" w:cs="宋体"/>
          <w:b/>
          <w:color w:val="auto"/>
          <w:sz w:val="24"/>
          <w:highlight w:val="none"/>
        </w:rPr>
      </w:pPr>
      <w:r>
        <w:rPr>
          <w:rFonts w:hint="eastAsia" w:ascii="宋体" w:hAnsi="宋体" w:cs="宋体"/>
          <w:b/>
          <w:color w:val="auto"/>
          <w:sz w:val="24"/>
          <w:highlight w:val="none"/>
        </w:rPr>
        <w:t>附：</w:t>
      </w:r>
    </w:p>
    <w:tbl>
      <w:tblPr>
        <w:tblStyle w:val="4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400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62C2DFD">
            <w:pPr>
              <w:spacing w:line="440" w:lineRule="atLeast"/>
              <w:rPr>
                <w:rFonts w:ascii="宋体" w:hAnsi="宋体" w:cs="宋体"/>
                <w:b/>
                <w:color w:val="auto"/>
                <w:sz w:val="24"/>
                <w:highlight w:val="none"/>
              </w:rPr>
            </w:pPr>
          </w:p>
          <w:p w14:paraId="55292958">
            <w:pPr>
              <w:spacing w:line="440" w:lineRule="atLeast"/>
              <w:ind w:firstLine="361" w:firstLineChars="150"/>
              <w:rPr>
                <w:rFonts w:ascii="宋体" w:hAnsi="宋体" w:cs="宋体"/>
                <w:b/>
                <w:color w:val="auto"/>
                <w:sz w:val="24"/>
                <w:highlight w:val="none"/>
              </w:rPr>
            </w:pPr>
            <w:r>
              <w:rPr>
                <w:rFonts w:hint="eastAsia" w:ascii="宋体" w:hAnsi="宋体" w:cs="宋体"/>
                <w:b/>
                <w:color w:val="auto"/>
                <w:sz w:val="24"/>
                <w:highlight w:val="none"/>
              </w:rPr>
              <w:t>法定代表身份证扫描件粘贴处</w:t>
            </w:r>
          </w:p>
        </w:tc>
      </w:tr>
    </w:tbl>
    <w:p w14:paraId="340DACC6">
      <w:pPr>
        <w:spacing w:line="440" w:lineRule="atLeast"/>
        <w:rPr>
          <w:rFonts w:ascii="宋体" w:hAnsi="宋体" w:cs="宋体"/>
          <w:color w:val="auto"/>
          <w:sz w:val="24"/>
          <w:highlight w:val="none"/>
        </w:rPr>
      </w:pPr>
      <w:r>
        <w:rPr>
          <w:rFonts w:hint="eastAsia" w:ascii="宋体" w:hAnsi="宋体" w:cs="宋体"/>
          <w:color w:val="auto"/>
          <w:sz w:val="24"/>
          <w:highlight w:val="none"/>
        </w:rPr>
        <w:t xml:space="preserve">法定代表人姓名：                                 </w:t>
      </w:r>
    </w:p>
    <w:p w14:paraId="75A5ED28">
      <w:pPr>
        <w:spacing w:line="440" w:lineRule="atLeast"/>
        <w:rPr>
          <w:rFonts w:ascii="宋体" w:hAnsi="宋体" w:cs="宋体"/>
          <w:color w:val="auto"/>
          <w:sz w:val="24"/>
          <w:highlight w:val="none"/>
        </w:rPr>
      </w:pPr>
      <w:r>
        <w:rPr>
          <w:rFonts w:hint="eastAsia" w:ascii="宋体" w:hAnsi="宋体" w:cs="宋体"/>
          <w:color w:val="auto"/>
          <w:sz w:val="24"/>
          <w:highlight w:val="none"/>
        </w:rPr>
        <w:t>传真：</w:t>
      </w:r>
    </w:p>
    <w:p w14:paraId="18B3B898">
      <w:pPr>
        <w:spacing w:line="440" w:lineRule="atLeast"/>
        <w:rPr>
          <w:rFonts w:ascii="宋体" w:hAnsi="宋体" w:cs="宋体"/>
          <w:color w:val="auto"/>
          <w:sz w:val="24"/>
          <w:highlight w:val="none"/>
        </w:rPr>
      </w:pPr>
      <w:r>
        <w:rPr>
          <w:rFonts w:hint="eastAsia" w:ascii="宋体" w:hAnsi="宋体" w:cs="宋体"/>
          <w:color w:val="auto"/>
          <w:sz w:val="24"/>
          <w:highlight w:val="none"/>
        </w:rPr>
        <w:t>电话：</w:t>
      </w:r>
    </w:p>
    <w:p w14:paraId="02B9AE07">
      <w:pPr>
        <w:spacing w:line="440" w:lineRule="atLeast"/>
        <w:rPr>
          <w:rFonts w:ascii="宋体" w:hAnsi="宋体" w:cs="宋体"/>
          <w:color w:val="auto"/>
          <w:sz w:val="24"/>
          <w:highlight w:val="none"/>
        </w:rPr>
      </w:pPr>
      <w:r>
        <w:rPr>
          <w:rFonts w:hint="eastAsia" w:ascii="宋体" w:hAnsi="宋体" w:cs="宋体"/>
          <w:color w:val="auto"/>
          <w:sz w:val="24"/>
          <w:highlight w:val="none"/>
        </w:rPr>
        <w:t>详细通讯地址：</w:t>
      </w:r>
    </w:p>
    <w:p w14:paraId="466ECEC8">
      <w:pPr>
        <w:spacing w:line="440" w:lineRule="atLeast"/>
        <w:rPr>
          <w:rFonts w:ascii="宋体" w:hAnsi="宋体" w:cs="宋体"/>
          <w:color w:val="auto"/>
          <w:sz w:val="24"/>
          <w:highlight w:val="none"/>
        </w:rPr>
      </w:pPr>
      <w:r>
        <w:rPr>
          <w:rFonts w:hint="eastAsia" w:ascii="宋体" w:hAnsi="宋体" w:cs="宋体"/>
          <w:color w:val="auto"/>
          <w:sz w:val="24"/>
          <w:highlight w:val="none"/>
        </w:rPr>
        <w:t>邮政编码：</w:t>
      </w:r>
    </w:p>
    <w:p w14:paraId="45BB6F49">
      <w:pPr>
        <w:spacing w:line="440" w:lineRule="atLeast"/>
        <w:rPr>
          <w:rFonts w:ascii="宋体" w:hAnsi="宋体" w:cs="宋体"/>
          <w:b/>
          <w:color w:val="auto"/>
          <w:sz w:val="24"/>
          <w:highlight w:val="none"/>
        </w:rPr>
      </w:pPr>
    </w:p>
    <w:tbl>
      <w:tblPr>
        <w:tblStyle w:val="4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FD7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7F2D85">
            <w:pPr>
              <w:spacing w:line="440" w:lineRule="atLeast"/>
              <w:rPr>
                <w:rFonts w:ascii="宋体" w:hAnsi="宋体" w:cs="宋体"/>
                <w:b/>
                <w:color w:val="auto"/>
                <w:sz w:val="24"/>
                <w:highlight w:val="none"/>
              </w:rPr>
            </w:pPr>
          </w:p>
          <w:p w14:paraId="26D61B50">
            <w:pPr>
              <w:spacing w:line="440" w:lineRule="atLeast"/>
              <w:ind w:firstLine="361" w:firstLineChars="150"/>
              <w:rPr>
                <w:rFonts w:ascii="宋体" w:hAnsi="宋体" w:cs="宋体"/>
                <w:b/>
                <w:color w:val="auto"/>
                <w:sz w:val="24"/>
                <w:highlight w:val="none"/>
              </w:rPr>
            </w:pPr>
            <w:r>
              <w:rPr>
                <w:rFonts w:hint="eastAsia" w:ascii="宋体" w:hAnsi="宋体" w:cs="宋体"/>
                <w:b/>
                <w:color w:val="auto"/>
                <w:sz w:val="24"/>
                <w:highlight w:val="none"/>
              </w:rPr>
              <w:t>全权代表身份证扫描件粘贴处</w:t>
            </w:r>
          </w:p>
        </w:tc>
      </w:tr>
    </w:tbl>
    <w:p w14:paraId="42D59225">
      <w:pPr>
        <w:spacing w:line="440" w:lineRule="atLeast"/>
        <w:rPr>
          <w:rFonts w:ascii="宋体" w:hAnsi="宋体" w:cs="宋体"/>
          <w:color w:val="auto"/>
          <w:sz w:val="24"/>
          <w:highlight w:val="none"/>
        </w:rPr>
      </w:pPr>
      <w:r>
        <w:rPr>
          <w:rFonts w:hint="eastAsia" w:ascii="宋体" w:hAnsi="宋体" w:cs="宋体"/>
          <w:color w:val="auto"/>
          <w:sz w:val="24"/>
          <w:highlight w:val="none"/>
        </w:rPr>
        <w:t xml:space="preserve">全权代表姓名：       </w:t>
      </w:r>
    </w:p>
    <w:p w14:paraId="4900C813">
      <w:pPr>
        <w:spacing w:line="440" w:lineRule="atLeast"/>
        <w:rPr>
          <w:rFonts w:ascii="宋体" w:hAnsi="宋体" w:cs="宋体"/>
          <w:color w:val="auto"/>
          <w:sz w:val="24"/>
          <w:highlight w:val="none"/>
        </w:rPr>
      </w:pPr>
      <w:r>
        <w:rPr>
          <w:rFonts w:hint="eastAsia" w:ascii="宋体" w:hAnsi="宋体" w:cs="宋体"/>
          <w:color w:val="auto"/>
          <w:sz w:val="24"/>
          <w:highlight w:val="none"/>
        </w:rPr>
        <w:t xml:space="preserve">职务：                           </w:t>
      </w:r>
    </w:p>
    <w:p w14:paraId="18EBDF21">
      <w:pPr>
        <w:spacing w:line="440" w:lineRule="atLeast"/>
        <w:rPr>
          <w:rFonts w:ascii="宋体" w:hAnsi="宋体" w:cs="宋体"/>
          <w:color w:val="auto"/>
          <w:sz w:val="24"/>
          <w:highlight w:val="none"/>
        </w:rPr>
      </w:pPr>
      <w:r>
        <w:rPr>
          <w:rFonts w:hint="eastAsia" w:ascii="宋体" w:hAnsi="宋体" w:cs="宋体"/>
          <w:color w:val="auto"/>
          <w:sz w:val="24"/>
          <w:highlight w:val="none"/>
        </w:rPr>
        <w:t>邮箱：</w:t>
      </w:r>
    </w:p>
    <w:p w14:paraId="24BF0E3A">
      <w:pPr>
        <w:spacing w:line="440" w:lineRule="atLeast"/>
        <w:rPr>
          <w:rFonts w:ascii="宋体" w:hAnsi="宋体" w:cs="宋体"/>
          <w:color w:val="auto"/>
          <w:sz w:val="24"/>
          <w:highlight w:val="none"/>
        </w:rPr>
      </w:pPr>
      <w:r>
        <w:rPr>
          <w:rFonts w:hint="eastAsia" w:ascii="宋体" w:hAnsi="宋体" w:cs="宋体"/>
          <w:color w:val="auto"/>
          <w:sz w:val="24"/>
          <w:highlight w:val="none"/>
        </w:rPr>
        <w:t>电话：</w:t>
      </w:r>
    </w:p>
    <w:p w14:paraId="6AFC6871">
      <w:pPr>
        <w:spacing w:line="440" w:lineRule="atLeast"/>
        <w:rPr>
          <w:rFonts w:ascii="宋体" w:hAnsi="宋体" w:cs="宋体"/>
          <w:color w:val="auto"/>
          <w:sz w:val="24"/>
          <w:highlight w:val="none"/>
        </w:rPr>
      </w:pPr>
      <w:r>
        <w:rPr>
          <w:rFonts w:hint="eastAsia" w:ascii="宋体" w:hAnsi="宋体" w:cs="宋体"/>
          <w:color w:val="auto"/>
          <w:sz w:val="24"/>
          <w:highlight w:val="none"/>
        </w:rPr>
        <w:t>详细通讯地址：</w:t>
      </w:r>
    </w:p>
    <w:p w14:paraId="3DB2883B">
      <w:pPr>
        <w:spacing w:line="440" w:lineRule="atLeast"/>
        <w:rPr>
          <w:rFonts w:ascii="宋体" w:hAnsi="宋体" w:cs="宋体"/>
          <w:color w:val="auto"/>
          <w:sz w:val="24"/>
          <w:highlight w:val="none"/>
        </w:rPr>
      </w:pPr>
      <w:r>
        <w:rPr>
          <w:rFonts w:hint="eastAsia" w:ascii="宋体" w:hAnsi="宋体" w:cs="宋体"/>
          <w:color w:val="auto"/>
          <w:sz w:val="24"/>
          <w:highlight w:val="none"/>
        </w:rPr>
        <w:t>邮政编码：</w:t>
      </w:r>
    </w:p>
    <w:p w14:paraId="19126331">
      <w:pPr>
        <w:pStyle w:val="23"/>
        <w:spacing w:line="500" w:lineRule="exact"/>
        <w:ind w:left="2"/>
        <w:rPr>
          <w:rFonts w:ascii="宋体" w:hAnsi="宋体" w:eastAsia="宋体" w:cs="宋体"/>
          <w:b/>
          <w:color w:val="auto"/>
          <w:sz w:val="28"/>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color w:val="auto"/>
          <w:sz w:val="24"/>
          <w:highlight w:val="none"/>
        </w:rPr>
        <w:t>备注：手机号码和电子邮箱必须准确填写，开评标过程中须保持手机号码和电子邮箱畅通，随时进行项目开标情况通报及回执。</w:t>
      </w:r>
    </w:p>
    <w:p w14:paraId="79CE237D">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4</w:t>
      </w:r>
      <w:r>
        <w:rPr>
          <w:rFonts w:hint="eastAsia" w:ascii="宋体" w:hAnsi="宋体" w:cs="宋体"/>
          <w:b/>
          <w:color w:val="auto"/>
          <w:sz w:val="28"/>
          <w:highlight w:val="none"/>
        </w:rPr>
        <w:t>：</w:t>
      </w:r>
    </w:p>
    <w:p w14:paraId="2F17321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Cs/>
          <w:sz w:val="40"/>
          <w:szCs w:val="40"/>
          <w:highlight w:val="none"/>
        </w:rPr>
      </w:pPr>
    </w:p>
    <w:p w14:paraId="76CE9E8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color w:val="000000"/>
          <w:sz w:val="20"/>
          <w:szCs w:val="22"/>
          <w:highlight w:val="none"/>
        </w:rPr>
      </w:pPr>
      <w:r>
        <w:rPr>
          <w:rFonts w:hint="eastAsia" w:ascii="仿宋" w:hAnsi="仿宋" w:eastAsia="仿宋" w:cs="仿宋"/>
          <w:bCs/>
          <w:sz w:val="40"/>
          <w:szCs w:val="40"/>
          <w:highlight w:val="none"/>
        </w:rPr>
        <w:t>联合体协议书（如有）</w:t>
      </w:r>
    </w:p>
    <w:p w14:paraId="4EBD685A">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ascii="仿宋" w:hAnsi="仿宋" w:eastAsia="仿宋" w:cs="Arial"/>
          <w:color w:val="000000"/>
          <w:kern w:val="0"/>
          <w:sz w:val="22"/>
          <w:szCs w:val="22"/>
          <w:highlight w:val="none"/>
        </w:rPr>
        <w:t>______________</w:t>
      </w:r>
      <w:r>
        <w:rPr>
          <w:rFonts w:hint="eastAsia" w:ascii="仿宋" w:hAnsi="仿宋" w:eastAsia="仿宋" w:cs="宋体"/>
          <w:color w:val="000000"/>
          <w:kern w:val="0"/>
          <w:sz w:val="22"/>
          <w:szCs w:val="22"/>
          <w:highlight w:val="none"/>
          <w:u w:val="single"/>
        </w:rPr>
        <w:t>（联合体所有成员名称）</w:t>
      </w:r>
      <w:r>
        <w:rPr>
          <w:rFonts w:hint="eastAsia" w:ascii="仿宋" w:hAnsi="仿宋" w:eastAsia="仿宋" w:cs="宋体"/>
          <w:color w:val="000000"/>
          <w:kern w:val="0"/>
          <w:sz w:val="22"/>
          <w:szCs w:val="22"/>
          <w:highlight w:val="none"/>
        </w:rPr>
        <w:t>自愿</w:t>
      </w:r>
      <w:r>
        <w:rPr>
          <w:rFonts w:hint="eastAsia" w:ascii="仿宋" w:hAnsi="仿宋" w:eastAsia="仿宋" w:cs="宋体"/>
          <w:color w:val="000000"/>
          <w:kern w:val="0"/>
          <w:sz w:val="22"/>
          <w:szCs w:val="22"/>
          <w:highlight w:val="none"/>
          <w:lang w:val="zh-CN"/>
        </w:rPr>
        <w:t>组成一个联合体，以一个</w:t>
      </w:r>
      <w:r>
        <w:rPr>
          <w:rFonts w:hint="eastAsia" w:ascii="仿宋" w:hAnsi="仿宋" w:eastAsia="仿宋" w:cs="宋体"/>
          <w:color w:val="000000"/>
          <w:kern w:val="0"/>
          <w:sz w:val="22"/>
          <w:szCs w:val="22"/>
          <w:highlight w:val="none"/>
          <w:lang w:val="en-US" w:eastAsia="zh-CN"/>
        </w:rPr>
        <w:t>供应商</w:t>
      </w:r>
      <w:r>
        <w:rPr>
          <w:rFonts w:hint="eastAsia" w:ascii="仿宋" w:hAnsi="仿宋" w:eastAsia="仿宋" w:cs="宋体"/>
          <w:color w:val="000000"/>
          <w:kern w:val="0"/>
          <w:sz w:val="22"/>
          <w:szCs w:val="22"/>
          <w:highlight w:val="none"/>
          <w:lang w:val="zh-CN"/>
        </w:rPr>
        <w:t>的身份</w:t>
      </w:r>
      <w:r>
        <w:rPr>
          <w:rFonts w:hint="eastAsia" w:ascii="仿宋" w:hAnsi="仿宋" w:eastAsia="仿宋" w:cs="宋体"/>
          <w:color w:val="000000"/>
          <w:kern w:val="0"/>
          <w:sz w:val="22"/>
          <w:szCs w:val="22"/>
          <w:highlight w:val="none"/>
        </w:rPr>
        <w:t>参加</w:t>
      </w:r>
      <w:r>
        <w:rPr>
          <w:rFonts w:hint="eastAsia" w:ascii="仿宋" w:hAnsi="仿宋" w:eastAsia="仿宋" w:cs="宋体"/>
          <w:b/>
          <w:bCs/>
          <w:color w:val="000000"/>
          <w:kern w:val="0"/>
          <w:sz w:val="22"/>
          <w:szCs w:val="22"/>
          <w:highlight w:val="none"/>
          <w:u w:val="single"/>
          <w:lang w:val="en-US" w:eastAsia="zh-CN"/>
        </w:rPr>
        <w:t xml:space="preserve">                                  </w:t>
      </w:r>
      <w:r>
        <w:rPr>
          <w:rFonts w:ascii="仿宋" w:hAnsi="仿宋" w:eastAsia="仿宋" w:cs="Arial"/>
          <w:b/>
          <w:i w:val="0"/>
          <w:iCs w:val="0"/>
          <w:color w:val="000000"/>
          <w:kern w:val="0"/>
          <w:sz w:val="22"/>
          <w:szCs w:val="22"/>
          <w:highlight w:val="none"/>
          <w:u w:val="single"/>
        </w:rPr>
        <w:t>（项目编号：</w:t>
      </w:r>
      <w:r>
        <w:rPr>
          <w:rFonts w:hint="eastAsia" w:ascii="仿宋" w:hAnsi="仿宋" w:eastAsia="仿宋" w:cs="Arial"/>
          <w:b/>
          <w:i w:val="0"/>
          <w:iCs w:val="0"/>
          <w:color w:val="000000"/>
          <w:kern w:val="0"/>
          <w:sz w:val="22"/>
          <w:szCs w:val="22"/>
          <w:highlight w:val="none"/>
          <w:u w:val="single"/>
          <w:lang w:val="en-US" w:eastAsia="zh-CN"/>
        </w:rPr>
        <w:t xml:space="preserve">             </w:t>
      </w:r>
      <w:r>
        <w:rPr>
          <w:rFonts w:ascii="仿宋" w:hAnsi="仿宋" w:eastAsia="仿宋" w:cs="Arial"/>
          <w:b/>
          <w:i w:val="0"/>
          <w:iCs w:val="0"/>
          <w:color w:val="000000"/>
          <w:kern w:val="0"/>
          <w:sz w:val="22"/>
          <w:szCs w:val="22"/>
          <w:highlight w:val="none"/>
          <w:u w:val="single"/>
        </w:rPr>
        <w:t>）</w:t>
      </w:r>
      <w:r>
        <w:rPr>
          <w:rFonts w:hint="eastAsia" w:ascii="仿宋" w:hAnsi="仿宋" w:eastAsia="仿宋" w:cs="宋体"/>
          <w:color w:val="000000"/>
          <w:kern w:val="0"/>
          <w:sz w:val="22"/>
          <w:szCs w:val="22"/>
          <w:highlight w:val="none"/>
          <w:lang w:val="en-US" w:eastAsia="zh-CN"/>
        </w:rPr>
        <w:t>响应</w:t>
      </w:r>
      <w:r>
        <w:rPr>
          <w:rFonts w:hint="eastAsia" w:ascii="仿宋" w:hAnsi="仿宋" w:eastAsia="仿宋" w:cs="宋体"/>
          <w:color w:val="000000"/>
          <w:kern w:val="0"/>
          <w:sz w:val="22"/>
          <w:szCs w:val="22"/>
          <w:highlight w:val="none"/>
          <w:lang w:val="zh-CN"/>
        </w:rPr>
        <w:t>。</w:t>
      </w:r>
    </w:p>
    <w:p w14:paraId="7352E52D">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一、各方一致决定，</w:t>
      </w:r>
      <w:r>
        <w:rPr>
          <w:rFonts w:ascii="仿宋" w:hAnsi="仿宋" w:eastAsia="仿宋" w:cs="Arial"/>
          <w:color w:val="000000"/>
          <w:kern w:val="0"/>
          <w:sz w:val="22"/>
          <w:szCs w:val="22"/>
          <w:highlight w:val="none"/>
        </w:rPr>
        <w:t>____________</w:t>
      </w:r>
      <w:r>
        <w:rPr>
          <w:rFonts w:hint="eastAsia" w:ascii="仿宋" w:hAnsi="仿宋" w:eastAsia="仿宋" w:cs="宋体"/>
          <w:color w:val="000000"/>
          <w:kern w:val="0"/>
          <w:sz w:val="22"/>
          <w:szCs w:val="22"/>
          <w:highlight w:val="none"/>
          <w:u w:val="single"/>
        </w:rPr>
        <w:t>（某联合体成员名称）</w:t>
      </w:r>
      <w:r>
        <w:rPr>
          <w:rFonts w:hint="eastAsia" w:ascii="仿宋" w:hAnsi="仿宋" w:eastAsia="仿宋" w:cs="宋体"/>
          <w:color w:val="000000"/>
          <w:kern w:val="0"/>
          <w:sz w:val="22"/>
          <w:szCs w:val="22"/>
          <w:highlight w:val="none"/>
        </w:rPr>
        <w:t>为联合体</w:t>
      </w:r>
      <w:r>
        <w:rPr>
          <w:rFonts w:hint="eastAsia" w:ascii="仿宋" w:hAnsi="仿宋" w:eastAsia="仿宋" w:cs="宋体"/>
          <w:color w:val="000000"/>
          <w:kern w:val="0"/>
          <w:sz w:val="22"/>
          <w:szCs w:val="22"/>
          <w:highlight w:val="none"/>
          <w:lang w:val="zh-CN"/>
        </w:rPr>
        <w:t>牵头人</w:t>
      </w:r>
      <w:r>
        <w:rPr>
          <w:rFonts w:hint="eastAsia" w:ascii="仿宋" w:hAnsi="仿宋" w:eastAsia="仿宋" w:cs="宋体"/>
          <w:color w:val="000000"/>
          <w:sz w:val="22"/>
          <w:szCs w:val="22"/>
          <w:highlight w:val="none"/>
        </w:rPr>
        <w:t>，代表所有联合体成员负责</w:t>
      </w:r>
      <w:r>
        <w:rPr>
          <w:rFonts w:hint="eastAsia" w:ascii="仿宋" w:hAnsi="仿宋" w:eastAsia="仿宋" w:cs="宋体"/>
          <w:color w:val="000000"/>
          <w:sz w:val="22"/>
          <w:szCs w:val="22"/>
          <w:highlight w:val="none"/>
          <w:lang w:val="en-US" w:eastAsia="zh-CN"/>
        </w:rPr>
        <w:t>响应</w:t>
      </w:r>
      <w:r>
        <w:rPr>
          <w:rFonts w:hint="eastAsia" w:ascii="仿宋" w:hAnsi="仿宋" w:eastAsia="仿宋" w:cs="宋体"/>
          <w:color w:val="000000"/>
          <w:sz w:val="22"/>
          <w:szCs w:val="22"/>
          <w:highlight w:val="none"/>
        </w:rPr>
        <w:t>和合同实施阶段的主办、协调工作</w:t>
      </w:r>
      <w:r>
        <w:rPr>
          <w:rFonts w:hint="eastAsia" w:ascii="仿宋" w:hAnsi="仿宋" w:eastAsia="仿宋" w:cs="宋体"/>
          <w:color w:val="000000"/>
          <w:kern w:val="0"/>
          <w:sz w:val="22"/>
          <w:szCs w:val="22"/>
          <w:highlight w:val="none"/>
          <w:lang w:val="zh-CN"/>
        </w:rPr>
        <w:t>。</w:t>
      </w:r>
    </w:p>
    <w:p w14:paraId="753F9BFD">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二、</w:t>
      </w:r>
      <w:r>
        <w:rPr>
          <w:rFonts w:hint="eastAsia" w:ascii="仿宋" w:hAnsi="仿宋" w:eastAsia="仿宋" w:cs="宋体"/>
          <w:color w:val="000000"/>
          <w:sz w:val="22"/>
          <w:szCs w:val="22"/>
          <w:highlight w:val="none"/>
        </w:rPr>
        <w:t>所有联合体成员各方签署授权书，授权书载明的</w:t>
      </w:r>
      <w:r>
        <w:rPr>
          <w:rFonts w:hint="eastAsia" w:ascii="仿宋" w:hAnsi="仿宋" w:eastAsia="仿宋" w:cs="宋体"/>
          <w:color w:val="000000"/>
          <w:kern w:val="0"/>
          <w:sz w:val="22"/>
          <w:szCs w:val="22"/>
          <w:highlight w:val="none"/>
          <w:lang w:val="zh-CN"/>
        </w:rPr>
        <w:t>授权代表根据</w:t>
      </w:r>
      <w:r>
        <w:rPr>
          <w:rFonts w:hint="eastAsia" w:ascii="仿宋" w:hAnsi="仿宋" w:eastAsia="仿宋" w:cs="宋体"/>
          <w:color w:val="000000"/>
          <w:kern w:val="0"/>
          <w:sz w:val="22"/>
          <w:szCs w:val="22"/>
          <w:highlight w:val="none"/>
          <w:lang w:val="en-US" w:eastAsia="zh-CN"/>
        </w:rPr>
        <w:t>磋商</w:t>
      </w:r>
      <w:r>
        <w:rPr>
          <w:rFonts w:hint="eastAsia" w:ascii="仿宋" w:hAnsi="仿宋" w:eastAsia="仿宋" w:cs="宋体"/>
          <w:color w:val="000000"/>
          <w:kern w:val="0"/>
          <w:sz w:val="22"/>
          <w:szCs w:val="22"/>
          <w:highlight w:val="none"/>
          <w:lang w:val="zh-CN"/>
        </w:rPr>
        <w:t>文件规定及</w:t>
      </w:r>
      <w:r>
        <w:rPr>
          <w:rFonts w:hint="eastAsia" w:ascii="仿宋" w:hAnsi="仿宋" w:eastAsia="仿宋" w:cs="宋体"/>
          <w:color w:val="000000"/>
          <w:kern w:val="0"/>
          <w:sz w:val="22"/>
          <w:szCs w:val="22"/>
          <w:highlight w:val="none"/>
          <w:lang w:val="en-US" w:eastAsia="zh-CN"/>
        </w:rPr>
        <w:t>响应</w:t>
      </w:r>
      <w:r>
        <w:rPr>
          <w:rFonts w:hint="eastAsia" w:ascii="仿宋" w:hAnsi="仿宋" w:eastAsia="仿宋" w:cs="宋体"/>
          <w:color w:val="000000"/>
          <w:kern w:val="0"/>
          <w:sz w:val="22"/>
          <w:szCs w:val="22"/>
          <w:highlight w:val="none"/>
          <w:lang w:val="zh-CN"/>
        </w:rPr>
        <w:t>内容而对采购人、采购代理机构所作的任何合法承诺，包括书面澄清及</w:t>
      </w:r>
      <w:r>
        <w:rPr>
          <w:rFonts w:hint="eastAsia" w:ascii="仿宋" w:hAnsi="仿宋" w:eastAsia="仿宋" w:cs="宋体"/>
          <w:color w:val="000000"/>
          <w:kern w:val="0"/>
          <w:sz w:val="22"/>
          <w:szCs w:val="22"/>
          <w:highlight w:val="none"/>
          <w:lang w:val="en-US" w:eastAsia="zh-CN"/>
        </w:rPr>
        <w:t>响应</w:t>
      </w:r>
      <w:r>
        <w:rPr>
          <w:rFonts w:hint="eastAsia" w:ascii="仿宋" w:hAnsi="仿宋" w:eastAsia="仿宋" w:cs="宋体"/>
          <w:color w:val="000000"/>
          <w:kern w:val="0"/>
          <w:sz w:val="22"/>
          <w:szCs w:val="22"/>
          <w:highlight w:val="none"/>
          <w:lang w:val="zh-CN"/>
        </w:rPr>
        <w:t>等均对联合</w:t>
      </w:r>
      <w:r>
        <w:rPr>
          <w:rFonts w:hint="eastAsia" w:ascii="仿宋" w:hAnsi="仿宋" w:eastAsia="仿宋" w:cs="宋体"/>
          <w:color w:val="000000"/>
          <w:kern w:val="0"/>
          <w:sz w:val="22"/>
          <w:szCs w:val="22"/>
          <w:highlight w:val="none"/>
          <w:lang w:val="en-US" w:eastAsia="zh-CN"/>
        </w:rPr>
        <w:t>响应</w:t>
      </w:r>
      <w:r>
        <w:rPr>
          <w:rFonts w:hint="eastAsia" w:ascii="仿宋" w:hAnsi="仿宋" w:eastAsia="仿宋" w:cs="宋体"/>
          <w:color w:val="000000"/>
          <w:kern w:val="0"/>
          <w:sz w:val="22"/>
          <w:szCs w:val="22"/>
          <w:highlight w:val="none"/>
          <w:lang w:val="zh-CN"/>
        </w:rPr>
        <w:t>各方产生约束力。</w:t>
      </w:r>
    </w:p>
    <w:p w14:paraId="05DEEF42">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三、本次联合</w:t>
      </w:r>
      <w:r>
        <w:rPr>
          <w:rFonts w:hint="eastAsia" w:ascii="仿宋" w:hAnsi="仿宋" w:eastAsia="仿宋" w:cs="宋体"/>
          <w:color w:val="000000"/>
          <w:kern w:val="0"/>
          <w:sz w:val="22"/>
          <w:szCs w:val="22"/>
          <w:highlight w:val="none"/>
          <w:lang w:val="en-US" w:eastAsia="zh-CN"/>
        </w:rPr>
        <w:t>响应</w:t>
      </w:r>
      <w:r>
        <w:rPr>
          <w:rFonts w:hint="eastAsia" w:ascii="仿宋" w:hAnsi="仿宋" w:eastAsia="仿宋" w:cs="宋体"/>
          <w:color w:val="000000"/>
          <w:kern w:val="0"/>
          <w:sz w:val="22"/>
          <w:szCs w:val="22"/>
          <w:highlight w:val="none"/>
          <w:lang w:val="zh-CN"/>
        </w:rPr>
        <w:t>中，分工如下：</w:t>
      </w:r>
    </w:p>
    <w:p w14:paraId="085447FD">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bookmarkStart w:id="46" w:name="_Hlk101134295"/>
      <w:r>
        <w:rPr>
          <w:rFonts w:ascii="仿宋" w:hAnsi="仿宋" w:eastAsia="仿宋" w:cs="Arial"/>
          <w:color w:val="000000"/>
          <w:kern w:val="0"/>
          <w:sz w:val="22"/>
          <w:szCs w:val="22"/>
          <w:highlight w:val="none"/>
        </w:rPr>
        <w:t>_________</w:t>
      </w:r>
      <w:r>
        <w:rPr>
          <w:rFonts w:hint="eastAsia" w:ascii="仿宋" w:hAnsi="仿宋" w:eastAsia="仿宋" w:cs="宋体"/>
          <w:color w:val="000000"/>
          <w:kern w:val="0"/>
          <w:sz w:val="22"/>
          <w:szCs w:val="22"/>
          <w:highlight w:val="none"/>
          <w:u w:val="single"/>
        </w:rPr>
        <w:t>（联合体成员1）</w:t>
      </w:r>
      <w:r>
        <w:rPr>
          <w:rFonts w:hint="eastAsia" w:ascii="仿宋" w:hAnsi="仿宋" w:eastAsia="仿宋" w:cs="宋体"/>
          <w:color w:val="000000"/>
          <w:kern w:val="0"/>
          <w:sz w:val="22"/>
          <w:szCs w:val="22"/>
          <w:highlight w:val="none"/>
          <w:lang w:val="zh-CN"/>
        </w:rPr>
        <w:t>承担的工作和义务为：</w:t>
      </w:r>
      <w:r>
        <w:rPr>
          <w:rFonts w:ascii="仿宋" w:hAnsi="仿宋" w:eastAsia="仿宋" w:cs="Arial"/>
          <w:color w:val="000000"/>
          <w:kern w:val="0"/>
          <w:sz w:val="22"/>
          <w:szCs w:val="22"/>
          <w:highlight w:val="none"/>
        </w:rPr>
        <w:t>_______________</w:t>
      </w:r>
      <w:r>
        <w:rPr>
          <w:rFonts w:hint="eastAsia" w:ascii="仿宋" w:hAnsi="仿宋" w:eastAsia="仿宋" w:cs="宋体"/>
          <w:color w:val="000000"/>
          <w:kern w:val="0"/>
          <w:sz w:val="22"/>
          <w:szCs w:val="22"/>
          <w:highlight w:val="none"/>
          <w:lang w:val="zh-CN"/>
        </w:rPr>
        <w:t>；</w:t>
      </w:r>
    </w:p>
    <w:p w14:paraId="06AEB4BA">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ascii="仿宋" w:hAnsi="仿宋" w:eastAsia="仿宋" w:cs="Arial"/>
          <w:color w:val="000000"/>
          <w:kern w:val="0"/>
          <w:sz w:val="22"/>
          <w:szCs w:val="22"/>
          <w:highlight w:val="none"/>
        </w:rPr>
        <w:t>_________</w:t>
      </w:r>
      <w:r>
        <w:rPr>
          <w:rFonts w:hint="eastAsia" w:ascii="仿宋" w:hAnsi="仿宋" w:eastAsia="仿宋" w:cs="宋体"/>
          <w:color w:val="000000"/>
          <w:kern w:val="0"/>
          <w:sz w:val="22"/>
          <w:szCs w:val="22"/>
          <w:highlight w:val="none"/>
          <w:u w:val="single"/>
        </w:rPr>
        <w:t>（联合体成员</w:t>
      </w:r>
      <w:r>
        <w:rPr>
          <w:rFonts w:ascii="仿宋" w:hAnsi="仿宋" w:eastAsia="仿宋" w:cs="宋体"/>
          <w:color w:val="000000"/>
          <w:kern w:val="0"/>
          <w:sz w:val="22"/>
          <w:szCs w:val="22"/>
          <w:highlight w:val="none"/>
          <w:u w:val="single"/>
        </w:rPr>
        <w:t>2</w:t>
      </w:r>
      <w:r>
        <w:rPr>
          <w:rFonts w:hint="eastAsia" w:ascii="仿宋" w:hAnsi="仿宋" w:eastAsia="仿宋" w:cs="宋体"/>
          <w:color w:val="000000"/>
          <w:kern w:val="0"/>
          <w:sz w:val="22"/>
          <w:szCs w:val="22"/>
          <w:highlight w:val="none"/>
          <w:u w:val="single"/>
        </w:rPr>
        <w:t>）</w:t>
      </w:r>
      <w:r>
        <w:rPr>
          <w:rFonts w:hint="eastAsia" w:ascii="仿宋" w:hAnsi="仿宋" w:eastAsia="仿宋" w:cs="宋体"/>
          <w:color w:val="000000"/>
          <w:kern w:val="0"/>
          <w:sz w:val="22"/>
          <w:szCs w:val="22"/>
          <w:highlight w:val="none"/>
          <w:lang w:val="zh-CN"/>
        </w:rPr>
        <w:t>承担的工作和义务为：</w:t>
      </w:r>
      <w:r>
        <w:rPr>
          <w:rFonts w:ascii="仿宋" w:hAnsi="仿宋" w:eastAsia="仿宋" w:cs="Arial"/>
          <w:color w:val="000000"/>
          <w:kern w:val="0"/>
          <w:sz w:val="22"/>
          <w:szCs w:val="22"/>
          <w:highlight w:val="none"/>
        </w:rPr>
        <w:t>_______________</w:t>
      </w:r>
      <w:r>
        <w:rPr>
          <w:rFonts w:hint="eastAsia" w:ascii="仿宋" w:hAnsi="仿宋" w:eastAsia="仿宋" w:cs="宋体"/>
          <w:color w:val="000000"/>
          <w:kern w:val="0"/>
          <w:sz w:val="22"/>
          <w:szCs w:val="22"/>
          <w:highlight w:val="none"/>
          <w:lang w:val="zh-CN"/>
        </w:rPr>
        <w:t>；</w:t>
      </w:r>
    </w:p>
    <w:p w14:paraId="09921038">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w:t>
      </w:r>
    </w:p>
    <w:bookmarkEnd w:id="46"/>
    <w:p w14:paraId="2E8B3029">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四、联合体成员中小企业合同份额。</w:t>
      </w:r>
    </w:p>
    <w:p w14:paraId="45D68209">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ascii="仿宋" w:hAnsi="仿宋" w:eastAsia="仿宋" w:cs="Arial"/>
          <w:color w:val="000000"/>
          <w:kern w:val="0"/>
          <w:sz w:val="22"/>
          <w:szCs w:val="22"/>
          <w:highlight w:val="none"/>
        </w:rPr>
        <w:t>____________</w:t>
      </w:r>
      <w:r>
        <w:rPr>
          <w:rFonts w:hint="eastAsia" w:ascii="仿宋" w:hAnsi="仿宋" w:eastAsia="仿宋" w:cs="宋体"/>
          <w:color w:val="000000"/>
          <w:kern w:val="0"/>
          <w:sz w:val="22"/>
          <w:szCs w:val="22"/>
          <w:highlight w:val="none"/>
          <w:u w:val="single"/>
        </w:rPr>
        <w:t>（联合体成员</w:t>
      </w:r>
      <w:r>
        <w:rPr>
          <w:rFonts w:ascii="仿宋" w:hAnsi="仿宋" w:eastAsia="仿宋" w:cs="宋体"/>
          <w:color w:val="000000"/>
          <w:kern w:val="0"/>
          <w:sz w:val="22"/>
          <w:szCs w:val="22"/>
          <w:highlight w:val="none"/>
          <w:u w:val="single"/>
        </w:rPr>
        <w:t>X,</w:t>
      </w:r>
      <w:r>
        <w:rPr>
          <w:rFonts w:hint="eastAsia" w:ascii="仿宋" w:hAnsi="仿宋" w:eastAsia="仿宋" w:cs="宋体"/>
          <w:color w:val="000000"/>
          <w:kern w:val="0"/>
          <w:sz w:val="22"/>
          <w:szCs w:val="22"/>
          <w:highlight w:val="none"/>
          <w:u w:val="single"/>
        </w:rPr>
        <w:t>……）</w:t>
      </w:r>
      <w:r>
        <w:rPr>
          <w:rFonts w:hint="eastAsia" w:ascii="仿宋" w:hAnsi="仿宋" w:eastAsia="仿宋" w:cs="宋体"/>
          <w:color w:val="000000"/>
          <w:kern w:val="0"/>
          <w:sz w:val="22"/>
          <w:szCs w:val="22"/>
          <w:highlight w:val="none"/>
        </w:rPr>
        <w:t>提供的全部货物/服务由小微企业制造/承接，其合同份额占到合同总金额</w:t>
      </w:r>
      <w:r>
        <w:rPr>
          <w:rFonts w:ascii="仿宋" w:hAnsi="仿宋" w:eastAsia="仿宋" w:cs="Arial"/>
          <w:color w:val="000000"/>
          <w:kern w:val="0"/>
          <w:sz w:val="22"/>
          <w:szCs w:val="22"/>
          <w:highlight w:val="none"/>
        </w:rPr>
        <w:t>___</w:t>
      </w:r>
      <w:r>
        <w:rPr>
          <w:rFonts w:hint="eastAsia" w:ascii="仿宋" w:hAnsi="仿宋" w:eastAsia="仿宋" w:cs="宋体"/>
          <w:color w:val="000000"/>
          <w:kern w:val="0"/>
          <w:sz w:val="22"/>
          <w:szCs w:val="22"/>
          <w:highlight w:val="none"/>
        </w:rPr>
        <w:t>％以上；</w:t>
      </w:r>
      <w:r>
        <w:rPr>
          <w:rFonts w:hint="eastAsia" w:ascii="仿宋" w:hAnsi="仿宋" w:eastAsia="仿宋" w:cs="宋体"/>
          <w:color w:val="000000"/>
          <w:kern w:val="0"/>
          <w:sz w:val="22"/>
          <w:szCs w:val="22"/>
          <w:highlight w:val="none"/>
          <w:lang w:val="zh-CN"/>
        </w:rPr>
        <w:t>……。</w:t>
      </w:r>
      <w:r>
        <w:rPr>
          <w:rFonts w:hint="eastAsia" w:ascii="仿宋" w:hAnsi="仿宋" w:eastAsia="仿宋" w:cs="宋体"/>
          <w:b/>
          <w:color w:val="000000"/>
          <w:kern w:val="0"/>
          <w:sz w:val="22"/>
          <w:szCs w:val="22"/>
          <w:highlight w:val="none"/>
          <w:lang w:val="zh-CN"/>
        </w:rPr>
        <w:t>（未预留份额专门面向中小企业采购的采购项目，以及预留份额中的非预留部分采购包，接受联合体</w:t>
      </w:r>
      <w:r>
        <w:rPr>
          <w:rFonts w:hint="eastAsia" w:ascii="仿宋" w:hAnsi="仿宋" w:eastAsia="仿宋" w:cs="宋体"/>
          <w:b/>
          <w:color w:val="000000"/>
          <w:kern w:val="0"/>
          <w:sz w:val="22"/>
          <w:szCs w:val="22"/>
          <w:highlight w:val="none"/>
          <w:lang w:val="en-US" w:eastAsia="zh-CN"/>
        </w:rPr>
        <w:t>响应</w:t>
      </w:r>
      <w:r>
        <w:rPr>
          <w:rFonts w:hint="eastAsia" w:ascii="仿宋" w:hAnsi="仿宋" w:eastAsia="仿宋" w:cs="宋体"/>
          <w:b/>
          <w:color w:val="000000"/>
          <w:kern w:val="0"/>
          <w:sz w:val="22"/>
          <w:szCs w:val="22"/>
          <w:highlight w:val="none"/>
          <w:lang w:val="zh-CN"/>
        </w:rPr>
        <w:t>的，联合协议约定小微企业的合同份额占到合同总金额30％以上的，对联合体报价给予</w:t>
      </w:r>
      <w:r>
        <w:rPr>
          <w:rFonts w:hint="eastAsia" w:ascii="仿宋" w:hAnsi="仿宋" w:eastAsia="仿宋" w:cs="宋体"/>
          <w:b/>
          <w:color w:val="000000"/>
          <w:kern w:val="0"/>
          <w:sz w:val="22"/>
          <w:szCs w:val="22"/>
          <w:highlight w:val="none"/>
          <w:lang w:val="en-US" w:eastAsia="zh-CN"/>
        </w:rPr>
        <w:t>4</w:t>
      </w:r>
      <w:r>
        <w:rPr>
          <w:rFonts w:hint="eastAsia" w:ascii="仿宋" w:hAnsi="仿宋" w:eastAsia="仿宋" w:cs="宋体"/>
          <w:b/>
          <w:color w:val="000000"/>
          <w:kern w:val="0"/>
          <w:sz w:val="22"/>
          <w:szCs w:val="22"/>
          <w:highlight w:val="none"/>
          <w:lang w:val="zh-CN"/>
        </w:rPr>
        <w:t>％的扣除。供应商</w:t>
      </w:r>
      <w:r>
        <w:rPr>
          <w:rFonts w:hint="eastAsia" w:ascii="仿宋" w:hAnsi="仿宋" w:eastAsia="仿宋" w:cs="宋体"/>
          <w:b/>
          <w:color w:val="000000"/>
          <w:sz w:val="22"/>
          <w:szCs w:val="22"/>
          <w:highlight w:val="none"/>
        </w:rPr>
        <w:t>拟享受以上价格扣除政策的，填写有关内容。</w:t>
      </w:r>
      <w:r>
        <w:rPr>
          <w:rFonts w:hint="eastAsia" w:ascii="仿宋" w:hAnsi="仿宋" w:eastAsia="仿宋" w:cs="宋体"/>
          <w:b/>
          <w:color w:val="000000"/>
          <w:kern w:val="0"/>
          <w:sz w:val="22"/>
          <w:szCs w:val="22"/>
          <w:highlight w:val="none"/>
          <w:lang w:val="zh-CN"/>
        </w:rPr>
        <w:t>）</w:t>
      </w:r>
    </w:p>
    <w:p w14:paraId="1D55886A">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五、如果</w:t>
      </w:r>
      <w:r>
        <w:rPr>
          <w:rFonts w:hint="eastAsia" w:ascii="仿宋" w:hAnsi="仿宋" w:eastAsia="仿宋" w:cs="宋体"/>
          <w:color w:val="000000"/>
          <w:kern w:val="0"/>
          <w:sz w:val="22"/>
          <w:szCs w:val="22"/>
          <w:highlight w:val="none"/>
          <w:lang w:val="en-US" w:eastAsia="zh-CN"/>
        </w:rPr>
        <w:t>成交</w:t>
      </w:r>
      <w:r>
        <w:rPr>
          <w:rFonts w:hint="eastAsia" w:ascii="仿宋" w:hAnsi="仿宋" w:eastAsia="仿宋" w:cs="宋体"/>
          <w:color w:val="000000"/>
          <w:kern w:val="0"/>
          <w:sz w:val="22"/>
          <w:szCs w:val="22"/>
          <w:highlight w:val="none"/>
          <w:lang w:val="zh-CN"/>
        </w:rPr>
        <w:t>，</w:t>
      </w:r>
      <w:r>
        <w:rPr>
          <w:rFonts w:hint="eastAsia" w:ascii="仿宋" w:hAnsi="仿宋" w:eastAsia="仿宋" w:cs="宋体"/>
          <w:color w:val="000000"/>
          <w:sz w:val="22"/>
          <w:szCs w:val="22"/>
          <w:highlight w:val="none"/>
        </w:rPr>
        <w:t>联合体各成员方共同与采购人签订合同，并就采购合同约定的事项对采购人承担连带责任。</w:t>
      </w:r>
    </w:p>
    <w:p w14:paraId="3E54BB4F">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六、有关本次联合</w:t>
      </w:r>
      <w:r>
        <w:rPr>
          <w:rFonts w:hint="eastAsia" w:ascii="仿宋" w:hAnsi="仿宋" w:eastAsia="仿宋" w:cs="宋体"/>
          <w:color w:val="000000"/>
          <w:kern w:val="0"/>
          <w:sz w:val="22"/>
          <w:szCs w:val="22"/>
          <w:highlight w:val="none"/>
          <w:lang w:val="en-US" w:eastAsia="zh-CN"/>
        </w:rPr>
        <w:t>响应</w:t>
      </w:r>
      <w:r>
        <w:rPr>
          <w:rFonts w:hint="eastAsia" w:ascii="仿宋" w:hAnsi="仿宋" w:eastAsia="仿宋" w:cs="宋体"/>
          <w:color w:val="000000"/>
          <w:kern w:val="0"/>
          <w:sz w:val="22"/>
          <w:szCs w:val="22"/>
          <w:highlight w:val="none"/>
          <w:lang w:val="zh-CN"/>
        </w:rPr>
        <w:t>的其他事宜：</w:t>
      </w:r>
    </w:p>
    <w:p w14:paraId="0239462F">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1.联合体各方不再单独参加或者与其他供应商另外组成联合体参加同一合同项下的政府采购活动。</w:t>
      </w:r>
    </w:p>
    <w:p w14:paraId="09A3CF75">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2.联合体中有同类资质的各方按照联合体分工承担相同工作的，按照资质等级较低的供应商确定资质等级。</w:t>
      </w:r>
    </w:p>
    <w:p w14:paraId="33203D82">
      <w:pPr>
        <w:keepNext w:val="0"/>
        <w:keepLines w:val="0"/>
        <w:pageBreakBefore w:val="0"/>
        <w:widowControl w:val="0"/>
        <w:kinsoku/>
        <w:wordWrap/>
        <w:overflowPunct/>
        <w:topLinePunct w:val="0"/>
        <w:autoSpaceDE/>
        <w:autoSpaceDN/>
        <w:bidi w:val="0"/>
        <w:adjustRightInd/>
        <w:snapToGrid w:val="0"/>
        <w:spacing w:line="360" w:lineRule="auto"/>
        <w:ind w:firstLine="567"/>
        <w:textAlignment w:val="auto"/>
        <w:rPr>
          <w:rFonts w:hint="eastAsia" w:ascii="仿宋" w:hAnsi="仿宋" w:eastAsia="仿宋" w:cs="宋体"/>
          <w:color w:val="000000"/>
          <w:kern w:val="0"/>
          <w:sz w:val="22"/>
          <w:szCs w:val="22"/>
          <w:highlight w:val="none"/>
          <w:lang w:val="zh-CN"/>
        </w:rPr>
      </w:pPr>
      <w:r>
        <w:rPr>
          <w:rFonts w:hint="eastAsia" w:ascii="仿宋" w:hAnsi="仿宋" w:eastAsia="仿宋" w:cs="宋体"/>
          <w:color w:val="000000"/>
          <w:kern w:val="0"/>
          <w:sz w:val="22"/>
          <w:szCs w:val="22"/>
          <w:highlight w:val="none"/>
          <w:lang w:val="zh-CN"/>
        </w:rPr>
        <w:t>3.本协议提交采购人、采购代理机构后，联合体各方不得以任何形式对上述内容进行修改或撤销。</w:t>
      </w:r>
    </w:p>
    <w:p w14:paraId="246888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宋体"/>
          <w:color w:val="000000"/>
          <w:kern w:val="0"/>
          <w:sz w:val="22"/>
          <w:szCs w:val="22"/>
          <w:highlight w:val="none"/>
          <w:lang w:val="zh-CN"/>
        </w:rPr>
        <w:t>联合体成员名称(电子签名</w:t>
      </w:r>
      <w:r>
        <w:rPr>
          <w:rFonts w:hint="eastAsia" w:ascii="仿宋" w:hAnsi="仿宋" w:eastAsia="仿宋" w:cs="宋体"/>
          <w:color w:val="000000"/>
          <w:kern w:val="0"/>
          <w:sz w:val="22"/>
          <w:szCs w:val="22"/>
          <w:highlight w:val="none"/>
          <w:lang w:val="en-US" w:eastAsia="zh-CN"/>
        </w:rPr>
        <w:t>/</w:t>
      </w:r>
      <w:bookmarkStart w:id="54" w:name="_GoBack"/>
      <w:bookmarkEnd w:id="54"/>
      <w:r>
        <w:rPr>
          <w:rFonts w:hint="eastAsia" w:ascii="仿宋" w:hAnsi="仿宋" w:eastAsia="仿宋" w:cs="宋体"/>
          <w:color w:val="000000"/>
          <w:kern w:val="0"/>
          <w:sz w:val="22"/>
          <w:szCs w:val="22"/>
          <w:highlight w:val="none"/>
          <w:lang w:val="zh-CN"/>
        </w:rPr>
        <w:t>公章)：</w:t>
      </w:r>
      <w:r>
        <w:rPr>
          <w:rFonts w:ascii="仿宋" w:hAnsi="仿宋" w:eastAsia="仿宋" w:cs="Arial"/>
          <w:color w:val="000000"/>
          <w:kern w:val="0"/>
          <w:sz w:val="22"/>
          <w:szCs w:val="22"/>
          <w:highlight w:val="none"/>
        </w:rPr>
        <w:t>_________</w:t>
      </w:r>
      <w:r>
        <w:rPr>
          <w:rFonts w:hint="eastAsia" w:ascii="仿宋" w:hAnsi="仿宋" w:eastAsia="仿宋" w:cs="Arial"/>
          <w:color w:val="000000"/>
          <w:kern w:val="0"/>
          <w:sz w:val="22"/>
          <w:szCs w:val="22"/>
          <w:highlight w:val="none"/>
          <w:lang w:val="en-US" w:eastAsia="zh-CN"/>
        </w:rPr>
        <w:t xml:space="preserve">     </w:t>
      </w:r>
      <w:r>
        <w:rPr>
          <w:rFonts w:hint="eastAsia" w:ascii="仿宋" w:hAnsi="仿宋" w:eastAsia="仿宋" w:cs="宋体"/>
          <w:color w:val="000000"/>
          <w:kern w:val="0"/>
          <w:sz w:val="22"/>
          <w:szCs w:val="22"/>
          <w:highlight w:val="none"/>
          <w:lang w:val="zh-CN"/>
        </w:rPr>
        <w:t>日期：</w:t>
      </w:r>
      <w:r>
        <w:rPr>
          <w:rFonts w:ascii="仿宋" w:hAnsi="仿宋" w:eastAsia="仿宋" w:cs="Arial"/>
          <w:color w:val="000000"/>
          <w:kern w:val="0"/>
          <w:sz w:val="22"/>
          <w:szCs w:val="22"/>
          <w:highlight w:val="none"/>
        </w:rPr>
        <w:t>______</w:t>
      </w:r>
      <w:r>
        <w:rPr>
          <w:rFonts w:hint="eastAsia" w:ascii="仿宋" w:hAnsi="仿宋" w:eastAsia="仿宋" w:cs="宋体"/>
          <w:color w:val="000000"/>
          <w:kern w:val="0"/>
          <w:sz w:val="22"/>
          <w:szCs w:val="22"/>
          <w:highlight w:val="none"/>
          <w:lang w:val="zh-CN"/>
        </w:rPr>
        <w:t>年</w:t>
      </w:r>
      <w:r>
        <w:rPr>
          <w:rFonts w:ascii="仿宋" w:hAnsi="仿宋" w:eastAsia="仿宋" w:cs="Arial"/>
          <w:color w:val="000000"/>
          <w:kern w:val="0"/>
          <w:sz w:val="22"/>
          <w:szCs w:val="22"/>
          <w:highlight w:val="none"/>
        </w:rPr>
        <w:t>______</w:t>
      </w:r>
      <w:r>
        <w:rPr>
          <w:rFonts w:hint="eastAsia" w:ascii="仿宋" w:hAnsi="仿宋" w:eastAsia="仿宋" w:cs="宋体"/>
          <w:color w:val="000000"/>
          <w:kern w:val="0"/>
          <w:sz w:val="22"/>
          <w:szCs w:val="22"/>
          <w:highlight w:val="none"/>
          <w:lang w:val="zh-CN"/>
        </w:rPr>
        <w:t>月</w:t>
      </w:r>
      <w:r>
        <w:rPr>
          <w:rFonts w:ascii="仿宋" w:hAnsi="仿宋" w:eastAsia="仿宋" w:cs="Arial"/>
          <w:color w:val="000000"/>
          <w:kern w:val="0"/>
          <w:sz w:val="22"/>
          <w:szCs w:val="22"/>
          <w:highlight w:val="none"/>
        </w:rPr>
        <w:t>______</w:t>
      </w:r>
      <w:r>
        <w:rPr>
          <w:rFonts w:hint="eastAsia" w:ascii="仿宋" w:hAnsi="仿宋" w:eastAsia="仿宋" w:cs="宋体"/>
          <w:color w:val="000000"/>
          <w:kern w:val="0"/>
          <w:sz w:val="22"/>
          <w:szCs w:val="22"/>
          <w:highlight w:val="none"/>
          <w:lang w:val="zh-CN"/>
        </w:rPr>
        <w:t>日</w:t>
      </w:r>
    </w:p>
    <w:p w14:paraId="49E55003">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Cs/>
          <w:sz w:val="44"/>
          <w:szCs w:val="44"/>
          <w:highlight w:val="none"/>
        </w:rPr>
      </w:pPr>
    </w:p>
    <w:p w14:paraId="4013C78A">
      <w:pPr>
        <w:keepNext w:val="0"/>
        <w:keepLines w:val="0"/>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Cs/>
          <w:sz w:val="44"/>
          <w:szCs w:val="44"/>
          <w:highlight w:val="none"/>
        </w:rPr>
      </w:pPr>
    </w:p>
    <w:p w14:paraId="1D34846E">
      <w:pPr>
        <w:rPr>
          <w:rFonts w:hint="eastAsia" w:ascii="宋体"/>
          <w:b/>
          <w:color w:val="auto"/>
          <w:sz w:val="28"/>
          <w:highlight w:val="none"/>
        </w:rPr>
      </w:pPr>
      <w:r>
        <w:rPr>
          <w:rFonts w:hint="eastAsia" w:ascii="宋体"/>
          <w:b/>
          <w:color w:val="auto"/>
          <w:sz w:val="28"/>
          <w:highlight w:val="none"/>
        </w:rPr>
        <w:br w:type="page"/>
      </w:r>
    </w:p>
    <w:p w14:paraId="2D7DDF58">
      <w:pPr>
        <w:adjustRightInd w:val="0"/>
        <w:snapToGrid w:val="0"/>
        <w:spacing w:line="360" w:lineRule="auto"/>
        <w:ind w:right="480"/>
        <w:rPr>
          <w:rFonts w:ascii="宋体"/>
          <w:b/>
          <w:color w:val="auto"/>
          <w:sz w:val="28"/>
          <w:highlight w:val="none"/>
        </w:rPr>
      </w:pPr>
      <w:r>
        <w:rPr>
          <w:rFonts w:hint="eastAsia" w:ascii="宋体"/>
          <w:b/>
          <w:color w:val="auto"/>
          <w:sz w:val="28"/>
          <w:highlight w:val="none"/>
        </w:rPr>
        <w:t>附件</w:t>
      </w:r>
      <w:r>
        <w:rPr>
          <w:rFonts w:hint="eastAsia" w:ascii="宋体"/>
          <w:b/>
          <w:color w:val="auto"/>
          <w:sz w:val="28"/>
          <w:highlight w:val="none"/>
          <w:lang w:val="en-US" w:eastAsia="zh-CN"/>
        </w:rPr>
        <w:t>5</w:t>
      </w:r>
      <w:r>
        <w:rPr>
          <w:rFonts w:hint="eastAsia" w:ascii="宋体"/>
          <w:b/>
          <w:color w:val="auto"/>
          <w:sz w:val="28"/>
          <w:highlight w:val="none"/>
        </w:rPr>
        <w:t>：</w:t>
      </w:r>
    </w:p>
    <w:p w14:paraId="6F1259F0">
      <w:pPr>
        <w:jc w:val="center"/>
        <w:rPr>
          <w:rFonts w:ascii="宋体" w:hAnsi="宋体"/>
          <w:b/>
          <w:color w:val="auto"/>
          <w:kern w:val="0"/>
          <w:sz w:val="32"/>
          <w:szCs w:val="32"/>
          <w:highlight w:val="none"/>
        </w:rPr>
      </w:pPr>
      <w:r>
        <w:rPr>
          <w:rFonts w:ascii="宋体" w:hAnsi="宋体"/>
          <w:b/>
          <w:color w:val="auto"/>
          <w:kern w:val="0"/>
          <w:sz w:val="30"/>
          <w:szCs w:val="30"/>
          <w:highlight w:val="none"/>
        </w:rPr>
        <w:t>具有良好的商业信誉和健全的财务会计制度的承诺函</w:t>
      </w:r>
    </w:p>
    <w:p w14:paraId="7FCE0FE1">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6D4225D7">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25814856">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3C1E0DC4">
      <w:pPr>
        <w:widowControl/>
        <w:snapToGrid w:val="0"/>
        <w:spacing w:line="360" w:lineRule="auto"/>
        <w:ind w:firstLine="480" w:firstLineChars="200"/>
        <w:jc w:val="left"/>
        <w:rPr>
          <w:rFonts w:ascii="宋体" w:hAnsi="宋体" w:cs="宋体"/>
          <w:color w:val="auto"/>
          <w:kern w:val="0"/>
          <w:sz w:val="24"/>
          <w:highlight w:val="none"/>
        </w:rPr>
      </w:pPr>
    </w:p>
    <w:p w14:paraId="44F83A9F">
      <w:pPr>
        <w:pStyle w:val="39"/>
        <w:rPr>
          <w:color w:val="auto"/>
          <w:highlight w:val="none"/>
        </w:rPr>
      </w:pPr>
    </w:p>
    <w:p w14:paraId="1E0F4411">
      <w:pPr>
        <w:adjustRightInd w:val="0"/>
        <w:snapToGrid w:val="0"/>
        <w:spacing w:line="360" w:lineRule="auto"/>
        <w:ind w:right="480"/>
        <w:rPr>
          <w:rFonts w:ascii="宋体" w:hAnsi="宋体" w:cs="宋体"/>
          <w:b/>
          <w:color w:val="auto"/>
          <w:sz w:val="28"/>
          <w:highlight w:val="none"/>
        </w:rPr>
      </w:pPr>
    </w:p>
    <w:p w14:paraId="324DC39B">
      <w:pPr>
        <w:spacing w:line="360" w:lineRule="auto"/>
        <w:ind w:left="420"/>
        <w:rPr>
          <w:rFonts w:ascii="宋体" w:hAnsi="宋体"/>
          <w:color w:val="auto"/>
          <w:sz w:val="24"/>
          <w:highlight w:val="none"/>
          <w:u w:val="single"/>
        </w:rPr>
      </w:pPr>
      <w:r>
        <w:rPr>
          <w:rFonts w:ascii="宋体" w:hAnsi="宋体"/>
          <w:color w:val="auto"/>
          <w:sz w:val="24"/>
          <w:highlight w:val="none"/>
        </w:rPr>
        <w:t>磋商供应商名称（公章）：</w:t>
      </w:r>
      <w:r>
        <w:rPr>
          <w:rFonts w:ascii="宋体" w:hAnsi="宋体"/>
          <w:color w:val="auto"/>
          <w:sz w:val="24"/>
          <w:highlight w:val="none"/>
          <w:u w:val="single"/>
        </w:rPr>
        <w:t xml:space="preserve">                      </w:t>
      </w:r>
    </w:p>
    <w:p w14:paraId="2B4F3EC3">
      <w:pPr>
        <w:spacing w:line="360" w:lineRule="auto"/>
        <w:ind w:left="420"/>
        <w:rPr>
          <w:rFonts w:ascii="宋体" w:hAnsi="宋体"/>
          <w:color w:val="auto"/>
          <w:sz w:val="24"/>
          <w:highlight w:val="none"/>
        </w:rPr>
      </w:pPr>
      <w:r>
        <w:rPr>
          <w:rFonts w:hint="eastAsia" w:ascii="宋体" w:hAnsi="宋体"/>
          <w:color w:val="auto"/>
          <w:sz w:val="24"/>
          <w:highlight w:val="none"/>
          <w:lang w:eastAsia="zh-CN"/>
        </w:rPr>
        <w:t>法定代表人或磋商供应商代表（</w:t>
      </w:r>
      <w:r>
        <w:rPr>
          <w:rFonts w:hint="eastAsia" w:ascii="宋体" w:hAnsi="宋体" w:cs="宋体"/>
          <w:color w:val="auto"/>
          <w:sz w:val="24"/>
          <w:highlight w:val="none"/>
          <w:lang w:eastAsia="zh-CN"/>
        </w:rPr>
        <w:t>签字或盖章</w:t>
      </w:r>
      <w:r>
        <w:rPr>
          <w:rFonts w:hint="eastAsia" w:ascii="宋体" w:hAnsi="宋体"/>
          <w:color w:val="auto"/>
          <w:sz w:val="24"/>
          <w:highlight w:val="none"/>
          <w:lang w:eastAsia="zh-CN"/>
        </w:rPr>
        <w:t>）</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w:t>
      </w:r>
    </w:p>
    <w:p w14:paraId="0DDBFAF2">
      <w:pPr>
        <w:spacing w:line="360" w:lineRule="auto"/>
        <w:ind w:left="420"/>
        <w:rPr>
          <w:rFonts w:ascii="宋体" w:hAnsi="宋体"/>
          <w:color w:val="auto"/>
          <w:sz w:val="24"/>
          <w:highlight w:val="none"/>
          <w:u w:val="single"/>
        </w:rPr>
      </w:pPr>
      <w:r>
        <w:rPr>
          <w:rFonts w:ascii="宋体" w:hAnsi="宋体"/>
          <w:color w:val="auto"/>
          <w:sz w:val="24"/>
          <w:highlight w:val="none"/>
        </w:rPr>
        <w:t>职        务：</w:t>
      </w:r>
      <w:r>
        <w:rPr>
          <w:rFonts w:ascii="宋体" w:hAnsi="宋体"/>
          <w:color w:val="auto"/>
          <w:sz w:val="24"/>
          <w:highlight w:val="none"/>
          <w:u w:val="single"/>
        </w:rPr>
        <w:t xml:space="preserve">                            </w:t>
      </w:r>
    </w:p>
    <w:p w14:paraId="15D4F302">
      <w:pPr>
        <w:spacing w:line="360" w:lineRule="auto"/>
        <w:ind w:firstLine="420"/>
        <w:rPr>
          <w:color w:val="auto"/>
          <w:highlight w:val="none"/>
        </w:rPr>
        <w:sectPr>
          <w:pgSz w:w="11906" w:h="16838"/>
          <w:pgMar w:top="1440" w:right="1800" w:bottom="1440" w:left="1800" w:header="851" w:footer="992" w:gutter="0"/>
          <w:pgNumType w:fmt="decimal"/>
          <w:cols w:space="720" w:num="1"/>
          <w:docGrid w:type="lines" w:linePitch="312" w:charSpace="0"/>
        </w:sectPr>
      </w:pPr>
      <w:r>
        <w:rPr>
          <w:rFonts w:ascii="宋体" w:hAnsi="宋体"/>
          <w:color w:val="auto"/>
          <w:sz w:val="24"/>
          <w:highlight w:val="none"/>
        </w:rPr>
        <w:t>日        期：</w:t>
      </w:r>
      <w:r>
        <w:rPr>
          <w:rFonts w:ascii="宋体" w:hAnsi="宋体"/>
          <w:color w:val="auto"/>
          <w:sz w:val="24"/>
          <w:highlight w:val="none"/>
          <w:u w:val="single"/>
        </w:rPr>
        <w:t xml:space="preserve">                            </w:t>
      </w:r>
    </w:p>
    <w:p w14:paraId="2DC1EC62">
      <w:pPr>
        <w:pStyle w:val="33"/>
        <w:spacing w:before="0" w:after="0" w:line="360" w:lineRule="auto"/>
        <w:jc w:val="both"/>
        <w:rPr>
          <w:color w:val="auto"/>
          <w:highlight w:val="none"/>
        </w:rPr>
      </w:pPr>
      <w:r>
        <w:rPr>
          <w:rFonts w:hint="eastAsia" w:ascii="宋体" w:hAnsi="Times New Roman" w:cs="Times New Roman"/>
          <w:bCs w:val="0"/>
          <w:color w:val="auto"/>
          <w:kern w:val="2"/>
          <w:sz w:val="28"/>
          <w:highlight w:val="none"/>
        </w:rPr>
        <w:t>附件</w:t>
      </w:r>
      <w:r>
        <w:rPr>
          <w:rFonts w:hint="eastAsia" w:ascii="宋体" w:hAnsi="Times New Roman" w:cs="Times New Roman"/>
          <w:bCs w:val="0"/>
          <w:color w:val="auto"/>
          <w:kern w:val="2"/>
          <w:sz w:val="28"/>
          <w:highlight w:val="none"/>
          <w:lang w:val="en-US" w:eastAsia="zh-CN"/>
        </w:rPr>
        <w:t>6</w:t>
      </w:r>
      <w:r>
        <w:rPr>
          <w:rFonts w:hint="eastAsia" w:ascii="宋体" w:hAnsi="Times New Roman" w:cs="Times New Roman"/>
          <w:bCs w:val="0"/>
          <w:color w:val="auto"/>
          <w:kern w:val="2"/>
          <w:sz w:val="28"/>
          <w:highlight w:val="none"/>
        </w:rPr>
        <w:t>：</w:t>
      </w:r>
    </w:p>
    <w:p w14:paraId="2954A7D9">
      <w:pPr>
        <w:rPr>
          <w:color w:val="auto"/>
          <w:highlight w:val="none"/>
        </w:rPr>
      </w:pPr>
    </w:p>
    <w:p w14:paraId="0E2C3A83">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0"/>
          <w:szCs w:val="30"/>
          <w:highlight w:val="none"/>
        </w:rPr>
        <w:t>具有</w:t>
      </w:r>
      <w:r>
        <w:rPr>
          <w:rFonts w:ascii="宋体" w:hAnsi="宋体"/>
          <w:b/>
          <w:color w:val="auto"/>
          <w:kern w:val="0"/>
          <w:sz w:val="30"/>
          <w:szCs w:val="30"/>
          <w:highlight w:val="none"/>
        </w:rPr>
        <w:t>依法缴纳税收和</w:t>
      </w:r>
      <w:r>
        <w:rPr>
          <w:rFonts w:hint="eastAsia" w:ascii="宋体" w:hAnsi="宋体"/>
          <w:b/>
          <w:color w:val="auto"/>
          <w:kern w:val="0"/>
          <w:sz w:val="30"/>
          <w:szCs w:val="30"/>
          <w:highlight w:val="none"/>
        </w:rPr>
        <w:t>社会保障资金证明</w:t>
      </w:r>
      <w:r>
        <w:rPr>
          <w:rFonts w:ascii="宋体" w:hAnsi="宋体"/>
          <w:b/>
          <w:color w:val="auto"/>
          <w:kern w:val="0"/>
          <w:sz w:val="30"/>
          <w:szCs w:val="30"/>
          <w:highlight w:val="none"/>
        </w:rPr>
        <w:t>的承诺函</w:t>
      </w:r>
    </w:p>
    <w:p w14:paraId="55323849">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386D3858">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212677DA">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415C780">
      <w:pPr>
        <w:adjustRightInd w:val="0"/>
        <w:snapToGrid w:val="0"/>
        <w:spacing w:line="360" w:lineRule="auto"/>
        <w:rPr>
          <w:rFonts w:ascii="宋体" w:cs="仿宋_GB2312"/>
          <w:color w:val="auto"/>
          <w:kern w:val="0"/>
          <w:sz w:val="24"/>
          <w:highlight w:val="none"/>
          <w:lang w:val="zh-CN"/>
        </w:rPr>
      </w:pPr>
    </w:p>
    <w:p w14:paraId="5D72554D">
      <w:pPr>
        <w:adjustRightInd w:val="0"/>
        <w:snapToGrid w:val="0"/>
        <w:spacing w:line="360" w:lineRule="auto"/>
        <w:rPr>
          <w:rFonts w:ascii="宋体" w:cs="仿宋_GB2312"/>
          <w:color w:val="auto"/>
          <w:kern w:val="0"/>
          <w:sz w:val="24"/>
          <w:highlight w:val="none"/>
          <w:lang w:val="zh-CN"/>
        </w:rPr>
      </w:pPr>
    </w:p>
    <w:p w14:paraId="75C8443E">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01F48FDF">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0150594">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A81CDCA">
      <w:pPr>
        <w:spacing w:line="360" w:lineRule="auto"/>
        <w:ind w:left="420"/>
        <w:rPr>
          <w:rFonts w:ascii="宋体" w:hAnsi="宋体" w:cs="宋体"/>
          <w:color w:val="auto"/>
          <w:sz w:val="24"/>
          <w:highlight w:val="none"/>
          <w:u w:val="singl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6A4BC6D">
      <w:pPr>
        <w:pStyle w:val="39"/>
        <w:rPr>
          <w:color w:val="auto"/>
          <w:highlight w:val="none"/>
          <w:lang w:val="zh-CN"/>
        </w:rPr>
      </w:pPr>
    </w:p>
    <w:p w14:paraId="7822F7D3">
      <w:pPr>
        <w:rPr>
          <w:color w:val="auto"/>
          <w:highlight w:val="none"/>
          <w:lang w:val="zh-CN"/>
        </w:rPr>
      </w:pPr>
    </w:p>
    <w:p w14:paraId="2F21F33F">
      <w:pPr>
        <w:pStyle w:val="41"/>
        <w:tabs>
          <w:tab w:val="left" w:pos="720"/>
          <w:tab w:val="left" w:pos="1260"/>
          <w:tab w:val="left" w:pos="2160"/>
          <w:tab w:val="left" w:pos="2880"/>
          <w:tab w:val="left" w:pos="3600"/>
          <w:tab w:val="left" w:pos="4320"/>
          <w:tab w:val="left" w:pos="5040"/>
          <w:tab w:val="left" w:pos="5760"/>
        </w:tabs>
        <w:spacing w:line="360" w:lineRule="auto"/>
        <w:ind w:left="0" w:leftChars="0" w:firstLine="0" w:firstLineChars="0"/>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b/>
          <w:bCs/>
          <w:color w:val="auto"/>
          <w:kern w:val="0"/>
          <w:sz w:val="24"/>
          <w:highlight w:val="none"/>
        </w:rPr>
        <w:t>注：如依法免税的，应提供相应文件证明其依法免税；如依法不需要缴纳社会保障资金的，应提供相应文件证明其依法不需要缴纳社会保障资金</w:t>
      </w:r>
    </w:p>
    <w:p w14:paraId="271682B6">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7</w:t>
      </w:r>
      <w:r>
        <w:rPr>
          <w:rFonts w:hint="eastAsia" w:ascii="宋体" w:hAnsi="宋体" w:cs="宋体"/>
          <w:b/>
          <w:color w:val="auto"/>
          <w:sz w:val="28"/>
          <w:highlight w:val="none"/>
        </w:rPr>
        <w:t>：</w:t>
      </w:r>
    </w:p>
    <w:p w14:paraId="1F75393D">
      <w:pPr>
        <w:spacing w:line="360" w:lineRule="auto"/>
        <w:ind w:firstLine="301" w:firstLineChars="100"/>
        <w:jc w:val="center"/>
        <w:rPr>
          <w:rFonts w:ascii="宋体" w:hAnsi="宋体" w:cs="宋体"/>
          <w:b/>
          <w:color w:val="auto"/>
          <w:sz w:val="30"/>
          <w:szCs w:val="30"/>
          <w:highlight w:val="none"/>
        </w:rPr>
      </w:pPr>
      <w:r>
        <w:rPr>
          <w:rFonts w:hint="eastAsia" w:ascii="宋体" w:hAnsi="宋体" w:cs="宋体"/>
          <w:b/>
          <w:color w:val="auto"/>
          <w:sz w:val="30"/>
          <w:szCs w:val="30"/>
          <w:highlight w:val="none"/>
        </w:rPr>
        <w:t>具有履行合同所必需的场地、设备和专业技术能力的承诺函</w:t>
      </w:r>
    </w:p>
    <w:p w14:paraId="135636B1">
      <w:pPr>
        <w:snapToGrid w:val="0"/>
        <w:spacing w:beforeLines="50" w:after="50" w:line="42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（代理机构/采购代理机构名称）：</w:t>
      </w:r>
    </w:p>
    <w:p w14:paraId="47709923">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w:t>
      </w:r>
      <w:r>
        <w:rPr>
          <w:rFonts w:hint="eastAsia" w:ascii="宋体" w:hAnsi="宋体" w:cs="宋体"/>
          <w:color w:val="auto"/>
          <w:kern w:val="0"/>
          <w:sz w:val="24"/>
          <w:highlight w:val="none"/>
        </w:rPr>
        <w:t>承诺具有履行合同所必需的场地、设备和专业技术能力。如有虚假，采购人可取消我方任何资格（投标/中标/签订合同），我方对此无任何异议。</w:t>
      </w:r>
    </w:p>
    <w:p w14:paraId="2C82238A">
      <w:pPr>
        <w:widowControl/>
        <w:snapToGrid w:val="0"/>
        <w:spacing w:line="360" w:lineRule="auto"/>
        <w:ind w:firstLine="480" w:firstLineChars="200"/>
        <w:jc w:val="left"/>
        <w:rPr>
          <w:rFonts w:ascii="宋体" w:hAnsi="宋体" w:cs="宋体"/>
          <w:color w:val="auto"/>
          <w:kern w:val="0"/>
          <w:sz w:val="24"/>
          <w:highlight w:val="none"/>
        </w:rPr>
      </w:pPr>
    </w:p>
    <w:p w14:paraId="4A4EC48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7A6107F6">
      <w:pPr>
        <w:widowControl/>
        <w:snapToGrid w:val="0"/>
        <w:spacing w:line="360" w:lineRule="auto"/>
        <w:ind w:firstLine="480" w:firstLineChars="200"/>
        <w:jc w:val="left"/>
        <w:rPr>
          <w:rFonts w:ascii="宋体" w:hAnsi="宋体" w:cs="宋体"/>
          <w:color w:val="auto"/>
          <w:kern w:val="0"/>
          <w:sz w:val="24"/>
          <w:highlight w:val="none"/>
        </w:rPr>
      </w:pPr>
    </w:p>
    <w:p w14:paraId="4864AF40">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51F309FC">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70CFB39">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524AF03">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CF4E8ED">
      <w:pPr>
        <w:pStyle w:val="86"/>
        <w:shd w:val="clear" w:color="auto" w:fill="FFFFFF"/>
        <w:spacing w:before="0" w:beforeAutospacing="0" w:after="0" w:afterAutospacing="0" w:line="360" w:lineRule="auto"/>
        <w:rPr>
          <w:rFonts w:ascii="宋体" w:hAnsi="宋体" w:cs="宋体"/>
          <w:b/>
          <w:color w:val="auto"/>
          <w:sz w:val="28"/>
          <w:highlight w:val="none"/>
        </w:rPr>
      </w:pPr>
    </w:p>
    <w:p w14:paraId="7FDA855B">
      <w:pPr>
        <w:pStyle w:val="86"/>
        <w:shd w:val="clear" w:color="auto" w:fill="FFFFFF"/>
        <w:spacing w:before="0" w:beforeAutospacing="0" w:after="0" w:afterAutospacing="0" w:line="360" w:lineRule="auto"/>
        <w:rPr>
          <w:rFonts w:ascii="宋体" w:hAnsi="宋体" w:cs="宋体"/>
          <w:b/>
          <w:color w:val="auto"/>
          <w:sz w:val="28"/>
          <w:highlight w:val="none"/>
        </w:rPr>
      </w:pPr>
    </w:p>
    <w:p w14:paraId="5D003D00">
      <w:pPr>
        <w:pStyle w:val="86"/>
        <w:shd w:val="clear" w:color="auto" w:fill="FFFFFF"/>
        <w:spacing w:before="0" w:beforeAutospacing="0" w:after="0" w:afterAutospacing="0" w:line="360" w:lineRule="auto"/>
        <w:rPr>
          <w:rFonts w:ascii="宋体" w:hAnsi="宋体" w:cs="宋体"/>
          <w:b/>
          <w:color w:val="auto"/>
          <w:sz w:val="28"/>
          <w:highlight w:val="none"/>
        </w:rPr>
      </w:pPr>
    </w:p>
    <w:p w14:paraId="797DC981">
      <w:pPr>
        <w:pStyle w:val="86"/>
        <w:shd w:val="clear" w:color="auto" w:fill="FFFFFF"/>
        <w:spacing w:before="0" w:beforeAutospacing="0" w:after="0" w:afterAutospacing="0" w:line="360" w:lineRule="auto"/>
        <w:rPr>
          <w:rFonts w:ascii="宋体" w:hAnsi="宋体" w:cs="宋体"/>
          <w:b/>
          <w:color w:val="auto"/>
          <w:sz w:val="28"/>
          <w:highlight w:val="none"/>
        </w:rPr>
      </w:pPr>
    </w:p>
    <w:p w14:paraId="0189E221">
      <w:pPr>
        <w:pStyle w:val="86"/>
        <w:shd w:val="clear" w:color="auto" w:fill="FFFFFF"/>
        <w:spacing w:before="0" w:beforeAutospacing="0" w:after="0" w:afterAutospacing="0" w:line="360" w:lineRule="auto"/>
        <w:rPr>
          <w:rFonts w:ascii="宋体" w:hAnsi="宋体" w:cs="宋体"/>
          <w:b/>
          <w:color w:val="auto"/>
          <w:sz w:val="28"/>
          <w:highlight w:val="none"/>
        </w:rPr>
      </w:pPr>
    </w:p>
    <w:p w14:paraId="2DFA2317">
      <w:pPr>
        <w:pStyle w:val="86"/>
        <w:shd w:val="clear" w:color="auto" w:fill="FFFFFF"/>
        <w:spacing w:before="0" w:beforeAutospacing="0" w:after="0" w:afterAutospacing="0" w:line="360" w:lineRule="auto"/>
        <w:rPr>
          <w:rFonts w:ascii="宋体" w:hAnsi="宋体" w:cs="宋体"/>
          <w:b/>
          <w:color w:val="auto"/>
          <w:sz w:val="28"/>
          <w:highlight w:val="none"/>
        </w:rPr>
      </w:pPr>
    </w:p>
    <w:p w14:paraId="5BADF349">
      <w:pPr>
        <w:pStyle w:val="86"/>
        <w:shd w:val="clear" w:color="auto" w:fill="FFFFFF"/>
        <w:spacing w:before="0" w:beforeAutospacing="0" w:after="0" w:afterAutospacing="0" w:line="360" w:lineRule="auto"/>
        <w:rPr>
          <w:rFonts w:ascii="宋体" w:hAnsi="宋体" w:cs="宋体"/>
          <w:b/>
          <w:color w:val="auto"/>
          <w:sz w:val="28"/>
          <w:highlight w:val="none"/>
        </w:rPr>
      </w:pPr>
    </w:p>
    <w:p w14:paraId="51B7CD6F">
      <w:pPr>
        <w:pStyle w:val="86"/>
        <w:shd w:val="clear" w:color="auto" w:fill="FFFFFF"/>
        <w:spacing w:before="0" w:beforeAutospacing="0" w:after="0" w:afterAutospacing="0" w:line="360" w:lineRule="auto"/>
        <w:rPr>
          <w:rFonts w:ascii="宋体" w:hAnsi="宋体" w:cs="宋体"/>
          <w:b/>
          <w:color w:val="auto"/>
          <w:sz w:val="28"/>
          <w:highlight w:val="none"/>
        </w:rPr>
      </w:pPr>
    </w:p>
    <w:p w14:paraId="7948FE1C">
      <w:pPr>
        <w:pStyle w:val="86"/>
        <w:shd w:val="clear" w:color="auto" w:fill="FFFFFF"/>
        <w:spacing w:before="0" w:beforeAutospacing="0" w:after="0" w:afterAutospacing="0" w:line="360" w:lineRule="auto"/>
        <w:rPr>
          <w:rFonts w:ascii="宋体" w:hAnsi="宋体" w:cs="宋体"/>
          <w:b/>
          <w:color w:val="auto"/>
          <w:sz w:val="28"/>
          <w:highlight w:val="none"/>
        </w:rPr>
      </w:pPr>
    </w:p>
    <w:p w14:paraId="18738AE9">
      <w:pPr>
        <w:pStyle w:val="86"/>
        <w:shd w:val="clear" w:color="auto" w:fill="FFFFFF"/>
        <w:spacing w:before="0" w:beforeAutospacing="0" w:after="0" w:afterAutospacing="0" w:line="360" w:lineRule="auto"/>
        <w:rPr>
          <w:rFonts w:ascii="宋体" w:hAnsi="宋体" w:cs="宋体"/>
          <w:b/>
          <w:color w:val="auto"/>
          <w:sz w:val="28"/>
          <w:highlight w:val="none"/>
        </w:rPr>
      </w:pPr>
    </w:p>
    <w:p w14:paraId="744BA0F0">
      <w:pPr>
        <w:pStyle w:val="86"/>
        <w:shd w:val="clear" w:color="auto" w:fill="FFFFFF"/>
        <w:spacing w:before="0" w:beforeAutospacing="0" w:after="0" w:afterAutospacing="0" w:line="360" w:lineRule="auto"/>
        <w:rPr>
          <w:rFonts w:ascii="宋体" w:hAnsi="宋体" w:cs="宋体"/>
          <w:b/>
          <w:color w:val="auto"/>
          <w:sz w:val="28"/>
          <w:highlight w:val="none"/>
        </w:rPr>
      </w:pPr>
    </w:p>
    <w:p w14:paraId="38D4C77B">
      <w:pPr>
        <w:pStyle w:val="86"/>
        <w:shd w:val="clear" w:color="auto" w:fill="FFFFFF"/>
        <w:spacing w:before="0" w:beforeAutospacing="0" w:after="0" w:afterAutospacing="0" w:line="360" w:lineRule="auto"/>
        <w:rPr>
          <w:rFonts w:ascii="宋体" w:hAnsi="宋体" w:cs="宋体"/>
          <w:b/>
          <w:color w:val="auto"/>
          <w:sz w:val="28"/>
          <w:highlight w:val="none"/>
        </w:rPr>
      </w:pPr>
    </w:p>
    <w:p w14:paraId="1D1216D6">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r>
        <w:rPr>
          <w:rFonts w:hint="eastAsia" w:ascii="宋体" w:hAnsi="宋体" w:cs="宋体"/>
          <w:b/>
          <w:color w:val="auto"/>
          <w:sz w:val="28"/>
          <w:highlight w:val="none"/>
        </w:rPr>
        <w:t>：</w:t>
      </w:r>
    </w:p>
    <w:p w14:paraId="478E2570">
      <w:pPr>
        <w:spacing w:line="360" w:lineRule="auto"/>
        <w:ind w:firstLine="301" w:firstLineChars="100"/>
        <w:jc w:val="center"/>
        <w:rPr>
          <w:rFonts w:ascii="宋体" w:hAnsi="宋体" w:cs="宋体"/>
          <w:b/>
          <w:color w:val="auto"/>
          <w:kern w:val="36"/>
          <w:sz w:val="32"/>
          <w:szCs w:val="28"/>
          <w:highlight w:val="none"/>
        </w:rPr>
      </w:pPr>
      <w:r>
        <w:rPr>
          <w:rFonts w:hint="eastAsia" w:ascii="宋体" w:hAnsi="宋体" w:cs="宋体"/>
          <w:b/>
          <w:color w:val="auto"/>
          <w:sz w:val="30"/>
          <w:szCs w:val="30"/>
          <w:highlight w:val="none"/>
        </w:rPr>
        <w:t>磋商供应商没有失信记录承诺函</w:t>
      </w:r>
    </w:p>
    <w:p w14:paraId="56277194">
      <w:pPr>
        <w:pStyle w:val="20"/>
        <w:tabs>
          <w:tab w:val="left" w:pos="720"/>
          <w:tab w:val="left" w:pos="1260"/>
          <w:tab w:val="left" w:pos="2160"/>
          <w:tab w:val="left" w:pos="2880"/>
          <w:tab w:val="left" w:pos="3600"/>
          <w:tab w:val="left" w:pos="4320"/>
          <w:tab w:val="left" w:pos="5040"/>
          <w:tab w:val="left" w:pos="5760"/>
        </w:tabs>
        <w:rPr>
          <w:rFonts w:ascii="宋体" w:hAnsi="宋体" w:cs="宋体"/>
          <w:color w:val="auto"/>
          <w:highlight w:val="none"/>
        </w:rPr>
      </w:pPr>
    </w:p>
    <w:p w14:paraId="4B5684B0">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 xml:space="preserve">（代理机构/采购代理机构名称）： </w:t>
      </w:r>
    </w:p>
    <w:p w14:paraId="269AC055">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7ACADC77">
      <w:pPr>
        <w:shd w:val="clear" w:color="auto" w:fill="FFFFFF"/>
        <w:snapToGrid w:val="0"/>
        <w:spacing w:line="360" w:lineRule="auto"/>
        <w:rPr>
          <w:rFonts w:ascii="宋体" w:hAnsi="宋体" w:cs="宋体"/>
          <w:color w:val="auto"/>
          <w:sz w:val="24"/>
          <w:highlight w:val="none"/>
        </w:rPr>
      </w:pPr>
    </w:p>
    <w:p w14:paraId="79D218B5">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51AAB25F">
      <w:pPr>
        <w:pStyle w:val="86"/>
        <w:shd w:val="clear" w:color="auto" w:fill="FFFFFF"/>
        <w:spacing w:before="0" w:beforeAutospacing="0" w:after="0" w:afterAutospacing="0" w:line="360" w:lineRule="auto"/>
        <w:rPr>
          <w:rFonts w:ascii="宋体" w:hAnsi="宋体" w:cs="宋体"/>
          <w:b/>
          <w:color w:val="auto"/>
          <w:sz w:val="28"/>
          <w:highlight w:val="none"/>
        </w:rPr>
      </w:pPr>
    </w:p>
    <w:p w14:paraId="53EB01DA">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4437E509">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C158710">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CFA348C">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4B2925B4">
      <w:pPr>
        <w:pStyle w:val="39"/>
        <w:rPr>
          <w:rFonts w:hint="eastAsia" w:ascii="宋体" w:hAnsi="宋体" w:cs="宋体"/>
          <w:color w:val="auto"/>
          <w:sz w:val="24"/>
          <w:highlight w:val="none"/>
          <w:u w:val="single"/>
        </w:rPr>
      </w:pPr>
    </w:p>
    <w:p w14:paraId="078732A9">
      <w:pPr>
        <w:rPr>
          <w:rFonts w:hint="eastAsia" w:ascii="宋体" w:hAnsi="宋体" w:cs="宋体"/>
          <w:color w:val="auto"/>
          <w:sz w:val="24"/>
          <w:highlight w:val="none"/>
          <w:u w:val="single"/>
        </w:rPr>
      </w:pPr>
    </w:p>
    <w:p w14:paraId="56058CFF">
      <w:pPr>
        <w:pStyle w:val="39"/>
        <w:rPr>
          <w:rFonts w:hint="eastAsia" w:ascii="宋体" w:hAnsi="宋体" w:cs="宋体"/>
          <w:color w:val="auto"/>
          <w:sz w:val="24"/>
          <w:highlight w:val="none"/>
          <w:u w:val="single"/>
        </w:rPr>
      </w:pPr>
    </w:p>
    <w:p w14:paraId="6025A3D6">
      <w:pPr>
        <w:rPr>
          <w:rFonts w:hint="eastAsia" w:ascii="宋体" w:hAnsi="宋体" w:cs="宋体"/>
          <w:color w:val="auto"/>
          <w:sz w:val="24"/>
          <w:highlight w:val="none"/>
          <w:u w:val="single"/>
        </w:rPr>
      </w:pPr>
    </w:p>
    <w:p w14:paraId="4C8107CC">
      <w:pPr>
        <w:rPr>
          <w:rFonts w:hint="eastAsia" w:ascii="宋体" w:hAnsi="宋体" w:cs="宋体"/>
          <w:color w:val="auto"/>
          <w:sz w:val="24"/>
          <w:highlight w:val="none"/>
          <w:u w:val="single"/>
        </w:rPr>
      </w:pPr>
    </w:p>
    <w:p w14:paraId="314479B7">
      <w:pPr>
        <w:rPr>
          <w:rFonts w:hint="eastAsia" w:ascii="宋体" w:hAnsi="宋体" w:cs="宋体"/>
          <w:color w:val="auto"/>
          <w:sz w:val="24"/>
          <w:highlight w:val="none"/>
          <w:u w:val="single"/>
        </w:rPr>
      </w:pPr>
    </w:p>
    <w:p w14:paraId="46DACF41">
      <w:pPr>
        <w:rPr>
          <w:rFonts w:hint="eastAsia" w:ascii="宋体" w:hAnsi="宋体" w:cs="宋体"/>
          <w:color w:val="auto"/>
          <w:sz w:val="24"/>
          <w:highlight w:val="none"/>
          <w:u w:val="single"/>
        </w:rPr>
      </w:pPr>
    </w:p>
    <w:p w14:paraId="13D4068B">
      <w:pPr>
        <w:rPr>
          <w:rFonts w:hint="eastAsia" w:ascii="宋体" w:hAnsi="宋体" w:cs="宋体"/>
          <w:color w:val="auto"/>
          <w:sz w:val="24"/>
          <w:highlight w:val="none"/>
          <w:u w:val="single"/>
        </w:rPr>
      </w:pPr>
    </w:p>
    <w:p w14:paraId="3613D40D">
      <w:pPr>
        <w:rPr>
          <w:rFonts w:hint="eastAsia" w:ascii="宋体" w:hAnsi="宋体" w:cs="宋体"/>
          <w:color w:val="auto"/>
          <w:sz w:val="24"/>
          <w:highlight w:val="none"/>
          <w:u w:val="single"/>
        </w:rPr>
      </w:pPr>
    </w:p>
    <w:p w14:paraId="6307A37C">
      <w:pPr>
        <w:rPr>
          <w:rFonts w:hint="eastAsia" w:ascii="宋体" w:hAnsi="宋体" w:cs="宋体"/>
          <w:color w:val="auto"/>
          <w:sz w:val="24"/>
          <w:highlight w:val="none"/>
          <w:u w:val="single"/>
        </w:rPr>
      </w:pPr>
    </w:p>
    <w:p w14:paraId="1F94F036">
      <w:pPr>
        <w:rPr>
          <w:rFonts w:hint="eastAsia" w:ascii="宋体" w:hAnsi="宋体" w:cs="宋体"/>
          <w:color w:val="auto"/>
          <w:sz w:val="24"/>
          <w:highlight w:val="none"/>
          <w:u w:val="single"/>
        </w:rPr>
      </w:pPr>
    </w:p>
    <w:p w14:paraId="77256D8E">
      <w:pPr>
        <w:rPr>
          <w:rFonts w:hint="eastAsia" w:ascii="宋体" w:hAnsi="宋体" w:cs="宋体"/>
          <w:color w:val="auto"/>
          <w:sz w:val="24"/>
          <w:highlight w:val="none"/>
          <w:u w:val="single"/>
        </w:rPr>
      </w:pPr>
    </w:p>
    <w:p w14:paraId="30B83DF0">
      <w:pPr>
        <w:rPr>
          <w:rFonts w:hint="eastAsia" w:ascii="宋体" w:hAnsi="宋体" w:cs="宋体"/>
          <w:color w:val="auto"/>
          <w:sz w:val="24"/>
          <w:highlight w:val="none"/>
          <w:u w:val="single"/>
        </w:rPr>
      </w:pPr>
    </w:p>
    <w:p w14:paraId="7AE7B550">
      <w:pPr>
        <w:rPr>
          <w:rFonts w:hint="eastAsia" w:ascii="宋体" w:hAnsi="宋体" w:cs="宋体"/>
          <w:color w:val="auto"/>
          <w:sz w:val="24"/>
          <w:highlight w:val="none"/>
          <w:u w:val="single"/>
        </w:rPr>
      </w:pPr>
    </w:p>
    <w:p w14:paraId="26822DB9">
      <w:pPr>
        <w:rPr>
          <w:rFonts w:hint="eastAsia" w:ascii="宋体" w:hAnsi="宋体" w:cs="宋体"/>
          <w:color w:val="auto"/>
          <w:sz w:val="24"/>
          <w:highlight w:val="none"/>
          <w:u w:val="single"/>
        </w:rPr>
      </w:pPr>
    </w:p>
    <w:p w14:paraId="448C4355">
      <w:pPr>
        <w:rPr>
          <w:rFonts w:hint="eastAsia" w:ascii="宋体" w:hAnsi="宋体" w:cs="宋体"/>
          <w:color w:val="auto"/>
          <w:sz w:val="24"/>
          <w:highlight w:val="none"/>
          <w:u w:val="single"/>
        </w:rPr>
      </w:pPr>
    </w:p>
    <w:p w14:paraId="51858084">
      <w:pPr>
        <w:rPr>
          <w:rFonts w:hint="eastAsia" w:ascii="宋体" w:hAnsi="宋体" w:cs="宋体"/>
          <w:color w:val="auto"/>
          <w:sz w:val="24"/>
          <w:highlight w:val="none"/>
          <w:u w:val="single"/>
        </w:rPr>
      </w:pPr>
    </w:p>
    <w:p w14:paraId="504B7E97">
      <w:pPr>
        <w:rPr>
          <w:rFonts w:hint="eastAsia" w:ascii="宋体" w:hAnsi="宋体" w:cs="宋体"/>
          <w:color w:val="auto"/>
          <w:sz w:val="24"/>
          <w:highlight w:val="none"/>
          <w:u w:val="single"/>
        </w:rPr>
      </w:pPr>
    </w:p>
    <w:p w14:paraId="1746FBCC">
      <w:pPr>
        <w:adjustRightInd w:val="0"/>
        <w:snapToGrid w:val="0"/>
        <w:spacing w:line="360" w:lineRule="auto"/>
        <w:ind w:right="480"/>
        <w:rPr>
          <w:rFonts w:ascii="宋体" w:hAnsi="宋体" w:cs="宋体"/>
          <w:b/>
          <w:color w:val="auto"/>
          <w:sz w:val="30"/>
          <w:szCs w:val="30"/>
          <w:highlight w:val="none"/>
        </w:rPr>
      </w:pPr>
      <w:bookmarkStart w:id="47" w:name="_Toc112169148"/>
      <w:bookmarkStart w:id="48" w:name="_Toc112169046"/>
      <w:bookmarkStart w:id="49" w:name="_Toc112169897"/>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9</w:t>
      </w:r>
      <w:r>
        <w:rPr>
          <w:rFonts w:hint="eastAsia" w:ascii="宋体" w:hAnsi="宋体" w:cs="宋体"/>
          <w:b/>
          <w:color w:val="auto"/>
          <w:sz w:val="28"/>
          <w:highlight w:val="none"/>
        </w:rPr>
        <w:t>：</w:t>
      </w:r>
    </w:p>
    <w:p w14:paraId="543FD377">
      <w:pPr>
        <w:spacing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项目负责人无在建工程承诺</w:t>
      </w:r>
      <w:bookmarkEnd w:id="47"/>
      <w:bookmarkEnd w:id="48"/>
      <w:bookmarkEnd w:id="49"/>
      <w:r>
        <w:rPr>
          <w:rFonts w:hint="eastAsia" w:ascii="宋体" w:hAnsi="宋体" w:cs="宋体"/>
          <w:b/>
          <w:color w:val="auto"/>
          <w:sz w:val="30"/>
          <w:szCs w:val="30"/>
          <w:highlight w:val="none"/>
        </w:rPr>
        <w:t>函</w:t>
      </w:r>
    </w:p>
    <w:p w14:paraId="5CB730BE">
      <w:pPr>
        <w:keepNext w:val="0"/>
        <w:keepLines w:val="0"/>
        <w:pageBreakBefore w:val="0"/>
        <w:widowControl w:val="0"/>
        <w:kinsoku/>
        <w:wordWrap/>
        <w:overflowPunct/>
        <w:topLinePunct w:val="0"/>
        <w:autoSpaceDE w:val="0"/>
        <w:autoSpaceDN w:val="0"/>
        <w:bidi w:val="0"/>
        <w:adjustRightInd w:val="0"/>
        <w:snapToGrid w:val="0"/>
        <w:spacing w:line="586" w:lineRule="exact"/>
        <w:textAlignment w:val="baseline"/>
        <w:rPr>
          <w:rFonts w:hint="eastAsia" w:ascii="宋体" w:hAnsi="宋体" w:cs="宋体"/>
          <w:color w:val="auto"/>
          <w:kern w:val="0"/>
          <w:sz w:val="24"/>
          <w:highlight w:val="none"/>
        </w:rPr>
      </w:pPr>
    </w:p>
    <w:p w14:paraId="03889A5A">
      <w:pPr>
        <w:keepNext w:val="0"/>
        <w:keepLines w:val="0"/>
        <w:pageBreakBefore w:val="0"/>
        <w:widowControl w:val="0"/>
        <w:kinsoku/>
        <w:wordWrap/>
        <w:overflowPunct/>
        <w:topLinePunct w:val="0"/>
        <w:autoSpaceDE w:val="0"/>
        <w:autoSpaceDN w:val="0"/>
        <w:bidi w:val="0"/>
        <w:adjustRightInd w:val="0"/>
        <w:snapToGrid w:val="0"/>
        <w:spacing w:line="586" w:lineRule="exact"/>
        <w:textAlignment w:val="baseline"/>
        <w:rPr>
          <w:rFonts w:hint="eastAsia" w:ascii="宋体" w:hAnsi="宋体" w:eastAsia="宋体" w:cs="宋体"/>
          <w:snapToGrid w:val="0"/>
          <w:color w:val="auto"/>
          <w:kern w:val="0"/>
          <w:sz w:val="24"/>
          <w:highlight w:val="none"/>
        </w:rPr>
      </w:pPr>
      <w:r>
        <w:rPr>
          <w:rFonts w:hint="eastAsia" w:ascii="宋体" w:hAnsi="宋体" w:cs="宋体"/>
          <w:snapToGrid w:val="0"/>
          <w:color w:val="auto"/>
          <w:kern w:val="0"/>
          <w:sz w:val="24"/>
          <w:highlight w:val="none"/>
          <w:u w:val="single"/>
        </w:rPr>
        <w:t xml:space="preserve">     </w:t>
      </w:r>
      <w:r>
        <w:rPr>
          <w:rFonts w:hint="eastAsia" w:ascii="宋体" w:hAnsi="宋体" w:cs="宋体"/>
          <w:color w:val="auto"/>
          <w:kern w:val="0"/>
          <w:sz w:val="24"/>
          <w:highlight w:val="none"/>
        </w:rPr>
        <w:t>（代理机构/采购代理机构名称）</w:t>
      </w:r>
      <w:r>
        <w:rPr>
          <w:rFonts w:hint="eastAsia" w:ascii="宋体" w:hAnsi="宋体" w:eastAsia="宋体" w:cs="宋体"/>
          <w:snapToGrid w:val="0"/>
          <w:color w:val="auto"/>
          <w:kern w:val="0"/>
          <w:sz w:val="24"/>
          <w:highlight w:val="none"/>
        </w:rPr>
        <w:t>：</w:t>
      </w:r>
    </w:p>
    <w:p w14:paraId="4E895969">
      <w:pPr>
        <w:keepNext w:val="0"/>
        <w:keepLines w:val="0"/>
        <w:pageBreakBefore w:val="0"/>
        <w:widowControl w:val="0"/>
        <w:kinsoku/>
        <w:wordWrap/>
        <w:overflowPunct/>
        <w:topLinePunct w:val="0"/>
        <w:autoSpaceDE w:val="0"/>
        <w:autoSpaceDN w:val="0"/>
        <w:bidi w:val="0"/>
        <w:adjustRightInd w:val="0"/>
        <w:snapToGrid w:val="0"/>
        <w:spacing w:line="586" w:lineRule="exact"/>
        <w:ind w:left="239" w:leftChars="114" w:firstLine="307" w:firstLineChars="128"/>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snapToGrid w:val="0"/>
          <w:color w:val="auto"/>
          <w:kern w:val="0"/>
          <w:sz w:val="24"/>
          <w:highlight w:val="none"/>
        </w:rPr>
        <w:t>郑重承诺：本项目的项目负责人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身份证号：</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未在其它工程担任项目负责人</w:t>
      </w:r>
      <w:r>
        <w:rPr>
          <w:rFonts w:hint="eastAsia" w:ascii="宋体" w:hAnsi="宋体" w:cs="宋体"/>
          <w:snapToGrid w:val="0"/>
          <w:color w:val="auto"/>
          <w:kern w:val="0"/>
          <w:sz w:val="24"/>
          <w:szCs w:val="24"/>
          <w:highlight w:val="none"/>
          <w:lang w:eastAsia="zh-CN"/>
        </w:rPr>
        <w:t>（</w:t>
      </w:r>
      <w:r>
        <w:rPr>
          <w:rFonts w:hint="eastAsia" w:ascii="宋体" w:hAnsi="宋体" w:cs="宋体"/>
          <w:b/>
          <w:bCs/>
          <w:snapToGrid w:val="0"/>
          <w:color w:val="auto"/>
          <w:kern w:val="0"/>
          <w:sz w:val="24"/>
          <w:szCs w:val="24"/>
          <w:highlight w:val="none"/>
          <w:lang w:eastAsia="zh-CN"/>
        </w:rPr>
        <w:t>如有本招标文件第二章供应商须知</w:t>
      </w:r>
      <w:r>
        <w:rPr>
          <w:rFonts w:hint="eastAsia" w:ascii="宋体" w:hAnsi="宋体" w:cs="宋体"/>
          <w:b/>
          <w:bCs/>
          <w:snapToGrid w:val="0"/>
          <w:color w:val="auto"/>
          <w:kern w:val="0"/>
          <w:sz w:val="24"/>
          <w:szCs w:val="24"/>
          <w:highlight w:val="none"/>
          <w:lang w:val="en-US" w:eastAsia="zh-CN"/>
        </w:rPr>
        <w:t>-</w:t>
      </w:r>
      <w:r>
        <w:rPr>
          <w:rFonts w:hint="eastAsia" w:ascii="宋体" w:hAnsi="宋体" w:cs="宋体"/>
          <w:b/>
          <w:bCs/>
          <w:snapToGrid w:val="0"/>
          <w:color w:val="auto"/>
          <w:kern w:val="0"/>
          <w:sz w:val="24"/>
          <w:szCs w:val="24"/>
          <w:highlight w:val="none"/>
          <w:lang w:eastAsia="zh-CN"/>
        </w:rPr>
        <w:t>总则</w:t>
      </w:r>
      <w:r>
        <w:rPr>
          <w:rFonts w:hint="eastAsia" w:ascii="宋体" w:hAnsi="宋体" w:cs="宋体"/>
          <w:b/>
          <w:bCs/>
          <w:snapToGrid w:val="0"/>
          <w:color w:val="auto"/>
          <w:kern w:val="0"/>
          <w:sz w:val="24"/>
          <w:szCs w:val="24"/>
          <w:highlight w:val="none"/>
          <w:lang w:val="en-US" w:eastAsia="zh-CN"/>
        </w:rPr>
        <w:t>-（4）特别说明的11</w:t>
      </w:r>
      <w:r>
        <w:rPr>
          <w:rFonts w:hint="eastAsia" w:ascii="宋体" w:hAnsi="宋体" w:cs="宋体"/>
          <w:b/>
          <w:bCs/>
          <w:snapToGrid w:val="0"/>
          <w:color w:val="auto"/>
          <w:kern w:val="0"/>
          <w:sz w:val="24"/>
          <w:szCs w:val="24"/>
          <w:highlight w:val="none"/>
          <w:lang w:eastAsia="zh-CN"/>
        </w:rPr>
        <w:t>点情形的，在</w:t>
      </w:r>
      <w:r>
        <w:rPr>
          <w:rFonts w:hint="eastAsia" w:ascii="宋体" w:hAnsi="宋体" w:eastAsia="宋体" w:cs="宋体"/>
          <w:b/>
          <w:bCs/>
          <w:snapToGrid w:val="0"/>
          <w:color w:val="auto"/>
          <w:kern w:val="0"/>
          <w:sz w:val="24"/>
          <w:szCs w:val="24"/>
          <w:highlight w:val="none"/>
          <w:lang w:eastAsia="zh-CN"/>
        </w:rPr>
        <w:t>资格证明</w:t>
      </w:r>
      <w:r>
        <w:rPr>
          <w:rFonts w:hint="eastAsia" w:ascii="宋体" w:hAnsi="宋体" w:eastAsia="宋体" w:cs="宋体"/>
          <w:b/>
          <w:bCs/>
          <w:snapToGrid w:val="0"/>
          <w:color w:val="auto"/>
          <w:kern w:val="0"/>
          <w:sz w:val="24"/>
          <w:szCs w:val="24"/>
          <w:highlight w:val="none"/>
        </w:rPr>
        <w:t>文件</w:t>
      </w:r>
      <w:r>
        <w:rPr>
          <w:rFonts w:hint="eastAsia" w:ascii="宋体" w:hAnsi="宋体" w:cs="宋体"/>
          <w:b/>
          <w:bCs/>
          <w:snapToGrid w:val="0"/>
          <w:color w:val="auto"/>
          <w:kern w:val="0"/>
          <w:sz w:val="24"/>
          <w:szCs w:val="24"/>
          <w:highlight w:val="none"/>
          <w:lang w:eastAsia="zh-CN"/>
        </w:rPr>
        <w:t>中提供相关证明材料）</w:t>
      </w:r>
      <w:r>
        <w:rPr>
          <w:rFonts w:hint="eastAsia" w:ascii="宋体" w:hAnsi="宋体" w:cs="宋体"/>
          <w:snapToGrid w:val="0"/>
          <w:color w:val="auto"/>
          <w:kern w:val="0"/>
          <w:sz w:val="24"/>
          <w:highlight w:val="none"/>
        </w:rPr>
        <w:t>。如有不实</w:t>
      </w:r>
      <w:r>
        <w:rPr>
          <w:rFonts w:hint="eastAsia" w:ascii="宋体" w:hAnsi="宋体" w:cs="宋体"/>
          <w:color w:val="auto"/>
          <w:kern w:val="0"/>
          <w:sz w:val="24"/>
          <w:highlight w:val="none"/>
        </w:rPr>
        <w:t>，愿意被取消中标资格</w:t>
      </w:r>
      <w:r>
        <w:rPr>
          <w:rFonts w:hint="eastAsia" w:ascii="宋体" w:hAnsi="宋体" w:cs="宋体"/>
          <w:bCs/>
          <w:color w:val="auto"/>
          <w:kern w:val="0"/>
          <w:sz w:val="24"/>
          <w:highlight w:val="none"/>
        </w:rPr>
        <w:t>，并</w:t>
      </w:r>
      <w:r>
        <w:rPr>
          <w:rFonts w:hint="eastAsia" w:ascii="宋体" w:hAnsi="宋体" w:cs="宋体"/>
          <w:color w:val="auto"/>
          <w:kern w:val="0"/>
          <w:sz w:val="24"/>
          <w:highlight w:val="none"/>
        </w:rPr>
        <w:t>愿承担一切责任。</w:t>
      </w:r>
    </w:p>
    <w:p w14:paraId="3010493E">
      <w:pPr>
        <w:pStyle w:val="4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bidi w:val="0"/>
        <w:spacing w:after="0" w:line="586" w:lineRule="exact"/>
        <w:ind w:left="0" w:leftChars="0" w:firstLine="48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特此承诺！</w:t>
      </w:r>
    </w:p>
    <w:p w14:paraId="075F0B6C">
      <w:pPr>
        <w:spacing w:line="360" w:lineRule="auto"/>
        <w:rPr>
          <w:rFonts w:hint="eastAsia" w:ascii="宋体" w:hAnsi="宋体"/>
          <w:b/>
          <w:color w:val="auto"/>
          <w:sz w:val="28"/>
          <w:highlight w:val="none"/>
        </w:rPr>
      </w:pPr>
    </w:p>
    <w:p w14:paraId="2855029F">
      <w:pPr>
        <w:spacing w:line="360" w:lineRule="auto"/>
        <w:rPr>
          <w:rFonts w:hint="eastAsia" w:ascii="宋体" w:hAnsi="宋体"/>
          <w:b/>
          <w:color w:val="auto"/>
          <w:sz w:val="28"/>
          <w:highlight w:val="none"/>
        </w:rPr>
      </w:pPr>
    </w:p>
    <w:p w14:paraId="5ACD79BF">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2BA77039">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607521E">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B11738B">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5F70C3D6">
      <w:pPr>
        <w:pStyle w:val="39"/>
        <w:rPr>
          <w:rFonts w:hint="eastAsia" w:ascii="宋体" w:hAnsi="宋体" w:cs="宋体"/>
          <w:color w:val="auto"/>
          <w:sz w:val="24"/>
          <w:highlight w:val="none"/>
          <w:u w:val="single"/>
        </w:rPr>
      </w:pPr>
    </w:p>
    <w:p w14:paraId="79E23208">
      <w:pPr>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49795615">
      <w:pPr>
        <w:spacing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10</w:t>
      </w:r>
      <w:r>
        <w:rPr>
          <w:rFonts w:hint="eastAsia" w:ascii="宋体" w:hAnsi="宋体" w:cs="宋体"/>
          <w:b/>
          <w:color w:val="auto"/>
          <w:sz w:val="28"/>
          <w:highlight w:val="none"/>
        </w:rPr>
        <w:t>：</w:t>
      </w:r>
    </w:p>
    <w:p w14:paraId="007AFAD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r>
        <w:rPr>
          <w:rFonts w:hint="eastAsia" w:ascii="宋体" w:hAnsi="宋体" w:cs="宋体"/>
          <w:b/>
          <w:color w:val="auto"/>
          <w:sz w:val="32"/>
          <w:szCs w:val="32"/>
          <w:highlight w:val="none"/>
          <w:lang w:eastAsia="zh-CN"/>
        </w:rPr>
        <w:t>工程</w:t>
      </w:r>
      <w:r>
        <w:rPr>
          <w:rFonts w:hint="eastAsia" w:ascii="宋体" w:hAnsi="宋体" w:cs="宋体"/>
          <w:b/>
          <w:color w:val="auto"/>
          <w:sz w:val="32"/>
          <w:szCs w:val="32"/>
          <w:highlight w:val="none"/>
        </w:rPr>
        <w:t>）</w:t>
      </w:r>
    </w:p>
    <w:p w14:paraId="57594556">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1B70A6">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50"/>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7CABE904">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7A98312F">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3EC1C957">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28C704E8">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2C0D0985">
      <w:pPr>
        <w:spacing w:line="360" w:lineRule="auto"/>
        <w:jc w:val="left"/>
        <w:rPr>
          <w:rFonts w:ascii="宋体" w:hAnsi="宋体" w:cs="宋体"/>
          <w:bCs/>
          <w:color w:val="auto"/>
          <w:sz w:val="24"/>
          <w:highlight w:val="none"/>
        </w:rPr>
      </w:pPr>
    </w:p>
    <w:p w14:paraId="4B325A38">
      <w:pPr>
        <w:pStyle w:val="39"/>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w:t>
      </w:r>
    </w:p>
    <w:p w14:paraId="2BD5DA93">
      <w:pPr>
        <w:pStyle w:val="39"/>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单位名称（公章）：</w:t>
      </w:r>
    </w:p>
    <w:p w14:paraId="43DDEBC4">
      <w:pPr>
        <w:pStyle w:val="39"/>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val="0"/>
          <w:bCs w:val="0"/>
          <w:color w:val="auto"/>
          <w:sz w:val="24"/>
          <w:szCs w:val="24"/>
          <w:highlight w:val="none"/>
        </w:rPr>
        <w:t xml:space="preserve">                       日 期：</w:t>
      </w:r>
    </w:p>
    <w:p w14:paraId="759A327F">
      <w:pPr>
        <w:spacing w:line="360" w:lineRule="auto"/>
        <w:jc w:val="center"/>
        <w:rPr>
          <w:rFonts w:ascii="宋体" w:cs="宋体"/>
          <w:b/>
          <w:bCs/>
          <w:color w:val="auto"/>
          <w:sz w:val="24"/>
          <w:highlight w:val="none"/>
        </w:rPr>
      </w:pPr>
      <w:r>
        <w:rPr>
          <w:rFonts w:hint="eastAsia" w:ascii="宋体" w:cs="宋体"/>
          <w:b/>
          <w:bCs/>
          <w:color w:val="auto"/>
          <w:sz w:val="24"/>
          <w:highlight w:val="none"/>
        </w:rPr>
        <w:t>残疾人福利性单位声明函（如有）</w:t>
      </w:r>
    </w:p>
    <w:p w14:paraId="078A9C3F">
      <w:pPr>
        <w:spacing w:line="360" w:lineRule="auto"/>
        <w:jc w:val="center"/>
        <w:rPr>
          <w:rFonts w:ascii="宋体" w:cs="宋体"/>
          <w:b/>
          <w:bCs/>
          <w:color w:val="auto"/>
          <w:sz w:val="24"/>
          <w:highlight w:val="none"/>
        </w:rPr>
      </w:pPr>
    </w:p>
    <w:p w14:paraId="749742E2">
      <w:pPr>
        <w:spacing w:line="360" w:lineRule="auto"/>
        <w:ind w:firstLine="480" w:firstLineChars="200"/>
        <w:rPr>
          <w:rFonts w:ascii="宋体" w:cs="宋体"/>
          <w:color w:val="auto"/>
          <w:spacing w:val="6"/>
          <w:sz w:val="24"/>
          <w:highlight w:val="none"/>
        </w:rPr>
      </w:pPr>
      <w:r>
        <w:rPr>
          <w:rFonts w:hint="eastAsia" w:ascii="宋体" w:cs="宋体"/>
          <w:color w:val="auto"/>
          <w:sz w:val="24"/>
          <w:highlight w:val="none"/>
        </w:rPr>
        <w:t>本</w:t>
      </w:r>
      <w:r>
        <w:rPr>
          <w:rFonts w:hint="eastAsia" w:ascii="宋体" w:cs="宋体"/>
          <w:color w:val="auto"/>
          <w:spacing w:val="6"/>
          <w:sz w:val="24"/>
          <w:highlight w:val="none"/>
        </w:rPr>
        <w:t>单位郑重声明，根据《财政部 民政部 中国残疾人联合会关于促进残疾人就业政府采购政策的通知》（财库〔2017〕 141号）的规定，本单位为符合条件的残疾人福利性单位，且本单位参加</w:t>
      </w:r>
      <w:r>
        <w:rPr>
          <w:rFonts w:hint="eastAsia" w:ascii="宋体" w:cs="宋体"/>
          <w:color w:val="auto"/>
          <w:spacing w:val="6"/>
          <w:sz w:val="24"/>
          <w:highlight w:val="none"/>
          <w:u w:val="single"/>
          <w:lang w:val="en-US" w:eastAsia="zh-CN"/>
        </w:rPr>
        <w:t xml:space="preserve"> </w:t>
      </w:r>
      <w:r>
        <w:rPr>
          <w:rFonts w:hint="eastAsia" w:ascii="宋体" w:hAnsi="宋体" w:cs="宋体"/>
          <w:bCs/>
          <w:color w:val="auto"/>
          <w:sz w:val="24"/>
          <w:highlight w:val="none"/>
          <w:u w:val="single"/>
        </w:rPr>
        <w:t>（单位名称）</w:t>
      </w:r>
      <w:r>
        <w:rPr>
          <w:rFonts w:hint="eastAsia" w:ascii="宋体" w:cs="宋体"/>
          <w:color w:val="auto"/>
          <w:spacing w:val="6"/>
          <w:sz w:val="24"/>
          <w:highlight w:val="none"/>
          <w:u w:val="single"/>
          <w:lang w:val="en-US" w:eastAsia="zh-CN"/>
        </w:rPr>
        <w:t xml:space="preserve"> </w:t>
      </w:r>
      <w:r>
        <w:rPr>
          <w:rFonts w:hint="eastAsia" w:ascii="宋体" w:cs="宋体"/>
          <w:color w:val="auto"/>
          <w:spacing w:val="6"/>
          <w:sz w:val="24"/>
          <w:highlight w:val="none"/>
        </w:rPr>
        <w:t>单位的项目采购活动提供本单位制造的货物（由本单位承担工程/提供服务），或者提供其他残疾人福利性单位制造的货物（不包括使用非残疾人福利性单位注册商标的货物）。</w:t>
      </w:r>
    </w:p>
    <w:p w14:paraId="1408ADE6">
      <w:pPr>
        <w:spacing w:line="360" w:lineRule="auto"/>
        <w:ind w:firstLine="378" w:firstLineChars="150"/>
        <w:rPr>
          <w:rFonts w:ascii="宋体" w:cs="宋体"/>
          <w:color w:val="auto"/>
          <w:sz w:val="24"/>
          <w:highlight w:val="none"/>
        </w:rPr>
      </w:pPr>
      <w:r>
        <w:rPr>
          <w:rFonts w:hint="eastAsia" w:ascii="宋体" w:cs="宋体"/>
          <w:color w:val="auto"/>
          <w:spacing w:val="6"/>
          <w:sz w:val="24"/>
          <w:highlight w:val="none"/>
        </w:rPr>
        <w:t>本单位对上述声明的真实性负责。如有虚假，将依法承担相应责任</w:t>
      </w:r>
      <w:r>
        <w:rPr>
          <w:rFonts w:hint="eastAsia" w:ascii="宋体" w:cs="宋体"/>
          <w:color w:val="auto"/>
          <w:sz w:val="24"/>
          <w:highlight w:val="none"/>
        </w:rPr>
        <w:t>。</w:t>
      </w:r>
    </w:p>
    <w:p w14:paraId="10996680">
      <w:pPr>
        <w:spacing w:line="360" w:lineRule="auto"/>
        <w:ind w:firstLine="360" w:firstLineChars="150"/>
        <w:rPr>
          <w:rFonts w:ascii="宋体" w:cs="宋体"/>
          <w:color w:val="auto"/>
          <w:sz w:val="24"/>
          <w:highlight w:val="none"/>
        </w:rPr>
      </w:pPr>
    </w:p>
    <w:p w14:paraId="046254EB">
      <w:pPr>
        <w:spacing w:line="360" w:lineRule="auto"/>
        <w:ind w:right="480" w:firstLine="4284" w:firstLineChars="1700"/>
        <w:rPr>
          <w:rFonts w:ascii="宋体" w:cs="宋体"/>
          <w:color w:val="auto"/>
          <w:sz w:val="24"/>
          <w:highlight w:val="none"/>
        </w:rPr>
      </w:pPr>
      <w:r>
        <w:rPr>
          <w:rFonts w:hint="eastAsia" w:ascii="宋体"/>
          <w:color w:val="auto"/>
          <w:spacing w:val="6"/>
          <w:sz w:val="24"/>
          <w:highlight w:val="none"/>
        </w:rPr>
        <w:t>单位名称</w:t>
      </w:r>
      <w:r>
        <w:rPr>
          <w:rFonts w:hint="eastAsia" w:ascii="宋体" w:hAnsi="宋体" w:cs="宋体"/>
          <w:color w:val="auto"/>
          <w:kern w:val="0"/>
          <w:sz w:val="24"/>
          <w:highlight w:val="none"/>
        </w:rPr>
        <w:t>（盖章）</w:t>
      </w:r>
      <w:r>
        <w:rPr>
          <w:rFonts w:hint="eastAsia" w:ascii="宋体" w:cs="宋体"/>
          <w:color w:val="auto"/>
          <w:sz w:val="24"/>
          <w:highlight w:val="none"/>
        </w:rPr>
        <w:t>：</w:t>
      </w:r>
    </w:p>
    <w:p w14:paraId="0EC5883F">
      <w:pPr>
        <w:spacing w:line="360" w:lineRule="auto"/>
        <w:ind w:right="480" w:firstLine="4320" w:firstLineChars="1800"/>
        <w:rPr>
          <w:rFonts w:ascii="宋体" w:cs="宋体"/>
          <w:color w:val="auto"/>
          <w:sz w:val="24"/>
          <w:highlight w:val="none"/>
        </w:rPr>
      </w:pPr>
      <w:r>
        <w:rPr>
          <w:rFonts w:hint="eastAsia" w:ascii="宋体" w:cs="宋体"/>
          <w:color w:val="auto"/>
          <w:sz w:val="24"/>
          <w:highlight w:val="none"/>
        </w:rPr>
        <w:t>日期∶</w:t>
      </w:r>
    </w:p>
    <w:p w14:paraId="0DCDE087">
      <w:pPr>
        <w:spacing w:line="360" w:lineRule="auto"/>
        <w:ind w:right="360"/>
        <w:rPr>
          <w:rFonts w:hint="eastAsia" w:ascii="宋体" w:eastAsia="宋体" w:cs="宋体"/>
          <w:b w:val="0"/>
          <w:bCs w:val="0"/>
          <w:color w:val="auto"/>
          <w:spacing w:val="6"/>
          <w:kern w:val="2"/>
          <w:sz w:val="24"/>
          <w:szCs w:val="24"/>
          <w:highlight w:val="none"/>
          <w:lang w:val="en-US" w:eastAsia="zh-CN" w:bidi="ar-SA"/>
        </w:rPr>
      </w:pPr>
    </w:p>
    <w:p w14:paraId="3ADD42E1">
      <w:pPr>
        <w:spacing w:line="360" w:lineRule="auto"/>
        <w:ind w:right="360"/>
        <w:rPr>
          <w:rFonts w:hint="eastAsia" w:ascii="宋体" w:hAnsi="Calibri" w:eastAsia="宋体" w:cs="宋体"/>
          <w:b w:val="0"/>
          <w:bCs w:val="0"/>
          <w:color w:val="auto"/>
          <w:spacing w:val="6"/>
          <w:kern w:val="2"/>
          <w:sz w:val="24"/>
          <w:szCs w:val="24"/>
          <w:highlight w:val="none"/>
          <w:lang w:val="en-US" w:eastAsia="zh-CN" w:bidi="ar-SA"/>
        </w:rPr>
      </w:pPr>
    </w:p>
    <w:p w14:paraId="4B03E6E6">
      <w:pPr>
        <w:pStyle w:val="86"/>
        <w:shd w:val="clear" w:color="auto" w:fill="FFFFFF"/>
        <w:spacing w:before="0" w:beforeAutospacing="0" w:after="0" w:afterAutospacing="0" w:line="360" w:lineRule="auto"/>
        <w:rPr>
          <w:rFonts w:hint="eastAsia" w:ascii="宋体" w:hAnsi="宋体" w:cs="宋体"/>
          <w:b/>
          <w:color w:val="auto"/>
          <w:sz w:val="28"/>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Calibri" w:eastAsia="宋体" w:cs="宋体"/>
          <w:b w:val="0"/>
          <w:bCs w:val="0"/>
          <w:color w:val="auto"/>
          <w:spacing w:val="6"/>
          <w:kern w:val="2"/>
          <w:sz w:val="24"/>
          <w:szCs w:val="24"/>
          <w:highlight w:val="none"/>
          <w:lang w:val="en-US" w:eastAsia="zh-CN" w:bidi="ar-SA"/>
        </w:rPr>
        <w:t>注：残疾人福利性单位视同中小型企业。</w:t>
      </w:r>
    </w:p>
    <w:p w14:paraId="051B8FA7">
      <w:pPr>
        <w:pStyle w:val="86"/>
        <w:shd w:val="clear" w:color="auto" w:fill="FFFFFF"/>
        <w:spacing w:before="0" w:beforeAutospacing="0" w:after="0" w:afterAutospacing="0"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w:t>
      </w:r>
      <w:r>
        <w:rPr>
          <w:rFonts w:hint="eastAsia" w:cs="宋体"/>
          <w:b/>
          <w:color w:val="auto"/>
          <w:sz w:val="28"/>
          <w:highlight w:val="none"/>
          <w:lang w:val="en-US" w:eastAsia="zh-CN"/>
        </w:rPr>
        <w:t>1</w:t>
      </w:r>
      <w:r>
        <w:rPr>
          <w:rFonts w:hint="eastAsia" w:ascii="宋体" w:hAnsi="宋体" w:cs="宋体"/>
          <w:b/>
          <w:color w:val="auto"/>
          <w:sz w:val="28"/>
          <w:highlight w:val="none"/>
        </w:rPr>
        <w:t xml:space="preserve">：       </w:t>
      </w:r>
    </w:p>
    <w:p w14:paraId="1C368023">
      <w:pPr>
        <w:pStyle w:val="86"/>
        <w:shd w:val="clear" w:color="auto" w:fill="FFFFFF"/>
        <w:spacing w:before="0" w:beforeAutospacing="0" w:after="0" w:afterAutospacing="0" w:line="360" w:lineRule="auto"/>
        <w:jc w:val="center"/>
        <w:rPr>
          <w:rFonts w:ascii="宋体" w:hAnsi="宋体" w:cs="宋体"/>
          <w:b/>
          <w:bCs/>
          <w:color w:val="auto"/>
          <w:spacing w:val="21"/>
          <w:sz w:val="32"/>
          <w:szCs w:val="32"/>
          <w:highlight w:val="none"/>
        </w:rPr>
      </w:pPr>
      <w:r>
        <w:rPr>
          <w:rFonts w:hint="eastAsia" w:ascii="宋体" w:hAnsi="宋体" w:cs="宋体"/>
          <w:b/>
          <w:color w:val="auto"/>
          <w:sz w:val="32"/>
          <w:szCs w:val="32"/>
          <w:highlight w:val="none"/>
        </w:rPr>
        <w:t xml:space="preserve">  供应商</w:t>
      </w:r>
      <w:r>
        <w:rPr>
          <w:rFonts w:hint="eastAsia" w:ascii="宋体" w:hAnsi="宋体" w:cs="宋体"/>
          <w:b/>
          <w:bCs/>
          <w:color w:val="auto"/>
          <w:spacing w:val="21"/>
          <w:sz w:val="32"/>
          <w:szCs w:val="32"/>
          <w:highlight w:val="none"/>
        </w:rPr>
        <w:t>基本情况表</w:t>
      </w:r>
    </w:p>
    <w:tbl>
      <w:tblPr>
        <w:tblStyle w:val="4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334E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4EB1BE34">
            <w:pPr>
              <w:pStyle w:val="86"/>
              <w:shd w:val="clear" w:color="auto" w:fill="FFFFFF"/>
              <w:spacing w:line="360" w:lineRule="auto"/>
              <w:rPr>
                <w:rFonts w:ascii="宋体" w:hAnsi="宋体" w:cs="宋体"/>
                <w:bCs/>
                <w:color w:val="auto"/>
                <w:highlight w:val="none"/>
              </w:rPr>
            </w:pPr>
            <w:r>
              <w:rPr>
                <w:rFonts w:hint="eastAsia" w:ascii="宋体" w:hAnsi="宋体" w:cs="宋体"/>
                <w:bCs/>
                <w:color w:val="auto"/>
                <w:spacing w:val="27"/>
                <w:highlight w:val="none"/>
              </w:rPr>
              <w:t>企业名称</w:t>
            </w:r>
          </w:p>
        </w:tc>
        <w:tc>
          <w:tcPr>
            <w:tcW w:w="3979" w:type="dxa"/>
            <w:gridSpan w:val="6"/>
          </w:tcPr>
          <w:p w14:paraId="65E7C58A">
            <w:pPr>
              <w:pStyle w:val="86"/>
              <w:shd w:val="clear" w:color="auto" w:fill="FFFFFF"/>
              <w:spacing w:line="360" w:lineRule="auto"/>
              <w:rPr>
                <w:rFonts w:ascii="宋体" w:hAnsi="宋体" w:cs="宋体"/>
                <w:bCs/>
                <w:color w:val="auto"/>
                <w:highlight w:val="none"/>
              </w:rPr>
            </w:pPr>
          </w:p>
        </w:tc>
        <w:tc>
          <w:tcPr>
            <w:tcW w:w="2001" w:type="dxa"/>
            <w:gridSpan w:val="3"/>
          </w:tcPr>
          <w:p w14:paraId="345CCDCA">
            <w:pPr>
              <w:pStyle w:val="86"/>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法人代表</w:t>
            </w:r>
          </w:p>
        </w:tc>
        <w:tc>
          <w:tcPr>
            <w:tcW w:w="2151" w:type="dxa"/>
            <w:gridSpan w:val="2"/>
          </w:tcPr>
          <w:p w14:paraId="151C5EB1">
            <w:pPr>
              <w:pStyle w:val="86"/>
              <w:shd w:val="clear" w:color="auto" w:fill="FFFFFF"/>
              <w:spacing w:line="360" w:lineRule="auto"/>
              <w:rPr>
                <w:rFonts w:ascii="宋体" w:hAnsi="宋体" w:cs="宋体"/>
                <w:bCs/>
                <w:color w:val="auto"/>
                <w:highlight w:val="none"/>
              </w:rPr>
            </w:pPr>
          </w:p>
        </w:tc>
      </w:tr>
      <w:tr w14:paraId="1ADD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14022C41">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27"/>
                <w:highlight w:val="none"/>
              </w:rPr>
              <w:t>地址</w:t>
            </w:r>
          </w:p>
        </w:tc>
        <w:tc>
          <w:tcPr>
            <w:tcW w:w="3979" w:type="dxa"/>
            <w:gridSpan w:val="6"/>
            <w:tcBorders>
              <w:bottom w:val="single" w:color="auto" w:sz="4" w:space="0"/>
            </w:tcBorders>
          </w:tcPr>
          <w:p w14:paraId="2E740D32">
            <w:pPr>
              <w:pStyle w:val="86"/>
              <w:shd w:val="clear" w:color="auto" w:fill="FFFFFF"/>
              <w:spacing w:line="360" w:lineRule="auto"/>
              <w:rPr>
                <w:rFonts w:ascii="宋体" w:hAnsi="宋体" w:cs="宋体"/>
                <w:bCs/>
                <w:color w:val="auto"/>
                <w:spacing w:val="16"/>
                <w:highlight w:val="none"/>
              </w:rPr>
            </w:pPr>
          </w:p>
        </w:tc>
        <w:tc>
          <w:tcPr>
            <w:tcW w:w="2001" w:type="dxa"/>
            <w:gridSpan w:val="3"/>
          </w:tcPr>
          <w:p w14:paraId="28B9D6B8">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6"/>
                <w:highlight w:val="none"/>
              </w:rPr>
              <w:t>企业性质</w:t>
            </w:r>
          </w:p>
        </w:tc>
        <w:tc>
          <w:tcPr>
            <w:tcW w:w="2151" w:type="dxa"/>
            <w:gridSpan w:val="2"/>
          </w:tcPr>
          <w:p w14:paraId="00F9233D">
            <w:pPr>
              <w:pStyle w:val="86"/>
              <w:shd w:val="clear" w:color="auto" w:fill="FFFFFF"/>
              <w:spacing w:line="360" w:lineRule="auto"/>
              <w:rPr>
                <w:rFonts w:ascii="宋体" w:hAnsi="宋体" w:cs="宋体"/>
                <w:bCs/>
                <w:color w:val="auto"/>
                <w:spacing w:val="16"/>
                <w:highlight w:val="none"/>
              </w:rPr>
            </w:pPr>
          </w:p>
        </w:tc>
      </w:tr>
      <w:tr w14:paraId="589E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3BD0D7BF">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27"/>
                <w:highlight w:val="none"/>
              </w:rPr>
              <w:t>股东姓名</w:t>
            </w:r>
          </w:p>
        </w:tc>
        <w:tc>
          <w:tcPr>
            <w:tcW w:w="701" w:type="dxa"/>
            <w:tcBorders>
              <w:bottom w:val="single" w:color="auto" w:sz="4" w:space="0"/>
            </w:tcBorders>
          </w:tcPr>
          <w:p w14:paraId="61775126">
            <w:pPr>
              <w:pStyle w:val="86"/>
              <w:shd w:val="clear" w:color="auto" w:fill="FFFFFF"/>
              <w:spacing w:before="0" w:beforeAutospacing="0" w:after="0" w:afterAutospacing="0" w:line="360" w:lineRule="auto"/>
              <w:rPr>
                <w:rFonts w:ascii="宋体" w:hAnsi="宋体" w:cs="宋体"/>
                <w:bCs/>
                <w:color w:val="auto"/>
                <w:spacing w:val="16"/>
                <w:highlight w:val="none"/>
              </w:rPr>
            </w:pPr>
          </w:p>
        </w:tc>
        <w:tc>
          <w:tcPr>
            <w:tcW w:w="910" w:type="dxa"/>
            <w:gridSpan w:val="2"/>
            <w:tcBorders>
              <w:bottom w:val="single" w:color="auto" w:sz="4" w:space="0"/>
            </w:tcBorders>
          </w:tcPr>
          <w:p w14:paraId="2BAE3F13">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6"/>
                <w:highlight w:val="none"/>
              </w:rPr>
              <w:t>股权结构（%）</w:t>
            </w:r>
          </w:p>
        </w:tc>
        <w:tc>
          <w:tcPr>
            <w:tcW w:w="2368" w:type="dxa"/>
            <w:gridSpan w:val="3"/>
            <w:tcBorders>
              <w:bottom w:val="single" w:color="auto" w:sz="4" w:space="0"/>
            </w:tcBorders>
          </w:tcPr>
          <w:p w14:paraId="4CA659D9">
            <w:pPr>
              <w:widowControl/>
              <w:spacing w:line="360" w:lineRule="auto"/>
              <w:jc w:val="left"/>
              <w:rPr>
                <w:rFonts w:ascii="宋体" w:hAnsi="宋体" w:cs="宋体"/>
                <w:bCs/>
                <w:color w:val="auto"/>
                <w:spacing w:val="16"/>
                <w:kern w:val="0"/>
                <w:sz w:val="24"/>
                <w:highlight w:val="none"/>
              </w:rPr>
            </w:pPr>
          </w:p>
          <w:p w14:paraId="7E0061D6">
            <w:pPr>
              <w:pStyle w:val="86"/>
              <w:shd w:val="clear" w:color="auto" w:fill="FFFFFF"/>
              <w:spacing w:line="360" w:lineRule="auto"/>
              <w:rPr>
                <w:rFonts w:ascii="宋体" w:hAnsi="宋体" w:cs="宋体"/>
                <w:bCs/>
                <w:color w:val="auto"/>
                <w:spacing w:val="16"/>
                <w:highlight w:val="none"/>
              </w:rPr>
            </w:pPr>
          </w:p>
        </w:tc>
        <w:tc>
          <w:tcPr>
            <w:tcW w:w="2001" w:type="dxa"/>
            <w:gridSpan w:val="3"/>
          </w:tcPr>
          <w:p w14:paraId="6A056879">
            <w:pPr>
              <w:pStyle w:val="86"/>
              <w:shd w:val="clear" w:color="auto" w:fill="FFFFFF"/>
              <w:spacing w:line="360" w:lineRule="auto"/>
              <w:ind w:left="107"/>
              <w:rPr>
                <w:rFonts w:ascii="宋体" w:hAnsi="宋体" w:cs="宋体"/>
                <w:bCs/>
                <w:color w:val="auto"/>
                <w:spacing w:val="16"/>
                <w:highlight w:val="none"/>
              </w:rPr>
            </w:pPr>
            <w:r>
              <w:rPr>
                <w:rFonts w:hint="eastAsia" w:ascii="宋体" w:hAnsi="宋体" w:cs="宋体"/>
                <w:bCs/>
                <w:color w:val="auto"/>
                <w:spacing w:val="16"/>
                <w:highlight w:val="none"/>
              </w:rPr>
              <w:t>股东关系</w:t>
            </w:r>
          </w:p>
        </w:tc>
        <w:tc>
          <w:tcPr>
            <w:tcW w:w="2151" w:type="dxa"/>
            <w:gridSpan w:val="2"/>
          </w:tcPr>
          <w:p w14:paraId="7A754BF7">
            <w:pPr>
              <w:pStyle w:val="86"/>
              <w:shd w:val="clear" w:color="auto" w:fill="FFFFFF"/>
              <w:spacing w:line="360" w:lineRule="auto"/>
              <w:ind w:left="107"/>
              <w:rPr>
                <w:rFonts w:ascii="宋体" w:hAnsi="宋体" w:cs="宋体"/>
                <w:bCs/>
                <w:color w:val="auto"/>
                <w:spacing w:val="16"/>
                <w:highlight w:val="none"/>
              </w:rPr>
            </w:pPr>
          </w:p>
        </w:tc>
      </w:tr>
      <w:tr w14:paraId="5C66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042876B9">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2"/>
                <w:highlight w:val="none"/>
              </w:rPr>
              <w:t>联系人</w:t>
            </w:r>
            <w:r>
              <w:rPr>
                <w:rFonts w:hint="eastAsia" w:ascii="宋体" w:hAnsi="宋体" w:cs="宋体"/>
                <w:bCs/>
                <w:color w:val="auto"/>
                <w:spacing w:val="27"/>
                <w:highlight w:val="none"/>
              </w:rPr>
              <w:t>姓名</w:t>
            </w:r>
          </w:p>
        </w:tc>
        <w:tc>
          <w:tcPr>
            <w:tcW w:w="701" w:type="dxa"/>
            <w:vMerge w:val="restart"/>
            <w:tcBorders>
              <w:top w:val="nil"/>
            </w:tcBorders>
          </w:tcPr>
          <w:p w14:paraId="3BB85DC8">
            <w:pPr>
              <w:pStyle w:val="86"/>
              <w:shd w:val="clear" w:color="auto" w:fill="FFFFFF"/>
              <w:spacing w:line="360" w:lineRule="auto"/>
              <w:rPr>
                <w:rFonts w:ascii="宋体" w:hAnsi="宋体" w:cs="宋体"/>
                <w:bCs/>
                <w:color w:val="auto"/>
                <w:spacing w:val="16"/>
                <w:highlight w:val="none"/>
              </w:rPr>
            </w:pPr>
          </w:p>
        </w:tc>
        <w:tc>
          <w:tcPr>
            <w:tcW w:w="910" w:type="dxa"/>
            <w:gridSpan w:val="2"/>
            <w:tcBorders>
              <w:top w:val="nil"/>
              <w:bottom w:val="single" w:color="auto" w:sz="4" w:space="0"/>
            </w:tcBorders>
          </w:tcPr>
          <w:p w14:paraId="771F658F">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6"/>
                <w:highlight w:val="none"/>
              </w:rPr>
              <w:t>固定电话</w:t>
            </w:r>
          </w:p>
        </w:tc>
        <w:tc>
          <w:tcPr>
            <w:tcW w:w="2368" w:type="dxa"/>
            <w:gridSpan w:val="3"/>
            <w:tcBorders>
              <w:top w:val="nil"/>
              <w:bottom w:val="single" w:color="auto" w:sz="4" w:space="0"/>
            </w:tcBorders>
          </w:tcPr>
          <w:p w14:paraId="00D20F75">
            <w:pPr>
              <w:widowControl/>
              <w:spacing w:line="360" w:lineRule="auto"/>
              <w:jc w:val="left"/>
              <w:rPr>
                <w:rFonts w:ascii="宋体" w:hAnsi="宋体" w:cs="宋体"/>
                <w:bCs/>
                <w:color w:val="auto"/>
                <w:spacing w:val="16"/>
                <w:kern w:val="0"/>
                <w:sz w:val="24"/>
                <w:highlight w:val="none"/>
              </w:rPr>
            </w:pPr>
          </w:p>
          <w:p w14:paraId="07B3E145">
            <w:pPr>
              <w:pStyle w:val="86"/>
              <w:shd w:val="clear" w:color="auto" w:fill="FFFFFF"/>
              <w:spacing w:line="360" w:lineRule="auto"/>
              <w:rPr>
                <w:rFonts w:ascii="宋体" w:hAnsi="宋体" w:cs="宋体"/>
                <w:bCs/>
                <w:color w:val="auto"/>
                <w:spacing w:val="16"/>
                <w:highlight w:val="none"/>
              </w:rPr>
            </w:pPr>
          </w:p>
        </w:tc>
        <w:tc>
          <w:tcPr>
            <w:tcW w:w="2001" w:type="dxa"/>
            <w:gridSpan w:val="3"/>
            <w:vMerge w:val="restart"/>
          </w:tcPr>
          <w:p w14:paraId="05BE1BF0">
            <w:pPr>
              <w:pStyle w:val="86"/>
              <w:shd w:val="clear" w:color="auto" w:fill="FFFFFF"/>
              <w:spacing w:before="0" w:beforeAutospacing="0" w:after="0" w:afterAutospacing="0" w:line="360" w:lineRule="auto"/>
              <w:rPr>
                <w:rFonts w:ascii="宋体" w:hAnsi="宋体" w:cs="宋体"/>
                <w:bCs/>
                <w:color w:val="auto"/>
                <w:spacing w:val="16"/>
                <w:highlight w:val="none"/>
              </w:rPr>
            </w:pPr>
            <w:r>
              <w:rPr>
                <w:rFonts w:hint="eastAsia" w:ascii="宋体" w:hAnsi="宋体" w:cs="宋体"/>
                <w:bCs/>
                <w:color w:val="auto"/>
                <w:spacing w:val="16"/>
                <w:highlight w:val="none"/>
              </w:rPr>
              <w:t>传真</w:t>
            </w:r>
          </w:p>
        </w:tc>
        <w:tc>
          <w:tcPr>
            <w:tcW w:w="2151" w:type="dxa"/>
            <w:gridSpan w:val="2"/>
            <w:vMerge w:val="restart"/>
          </w:tcPr>
          <w:p w14:paraId="358FE3B9">
            <w:pPr>
              <w:pStyle w:val="86"/>
              <w:shd w:val="clear" w:color="auto" w:fill="FFFFFF"/>
              <w:spacing w:line="360" w:lineRule="auto"/>
              <w:rPr>
                <w:rFonts w:ascii="宋体" w:hAnsi="宋体" w:cs="宋体"/>
                <w:bCs/>
                <w:color w:val="auto"/>
                <w:spacing w:val="16"/>
                <w:highlight w:val="none"/>
              </w:rPr>
            </w:pPr>
          </w:p>
        </w:tc>
      </w:tr>
      <w:tr w14:paraId="029D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93CA5CA">
            <w:pPr>
              <w:pStyle w:val="86"/>
              <w:shd w:val="clear" w:color="auto" w:fill="FFFFFF"/>
              <w:spacing w:line="360" w:lineRule="auto"/>
              <w:ind w:left="107"/>
              <w:rPr>
                <w:rFonts w:ascii="宋体" w:hAnsi="宋体" w:cs="宋体"/>
                <w:bCs/>
                <w:color w:val="auto"/>
                <w:highlight w:val="none"/>
              </w:rPr>
            </w:pPr>
          </w:p>
        </w:tc>
        <w:tc>
          <w:tcPr>
            <w:tcW w:w="701" w:type="dxa"/>
            <w:vMerge w:val="continue"/>
            <w:tcBorders>
              <w:bottom w:val="single" w:color="auto" w:sz="4" w:space="0"/>
            </w:tcBorders>
          </w:tcPr>
          <w:p w14:paraId="5C5A2986">
            <w:pPr>
              <w:pStyle w:val="86"/>
              <w:shd w:val="clear" w:color="auto" w:fill="FFFFFF"/>
              <w:spacing w:line="360" w:lineRule="auto"/>
              <w:rPr>
                <w:rFonts w:ascii="宋体" w:hAnsi="宋体" w:cs="宋体"/>
                <w:bCs/>
                <w:color w:val="auto"/>
                <w:spacing w:val="16"/>
                <w:highlight w:val="none"/>
              </w:rPr>
            </w:pPr>
          </w:p>
        </w:tc>
        <w:tc>
          <w:tcPr>
            <w:tcW w:w="910" w:type="dxa"/>
            <w:gridSpan w:val="2"/>
            <w:tcBorders>
              <w:bottom w:val="single" w:color="auto" w:sz="4" w:space="0"/>
            </w:tcBorders>
          </w:tcPr>
          <w:p w14:paraId="2F84828E">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27"/>
                <w:highlight w:val="none"/>
              </w:rPr>
              <w:t>手机</w:t>
            </w:r>
          </w:p>
        </w:tc>
        <w:tc>
          <w:tcPr>
            <w:tcW w:w="2368" w:type="dxa"/>
            <w:gridSpan w:val="3"/>
            <w:tcBorders>
              <w:bottom w:val="single" w:color="auto" w:sz="4" w:space="0"/>
            </w:tcBorders>
          </w:tcPr>
          <w:p w14:paraId="46361891">
            <w:pPr>
              <w:pStyle w:val="86"/>
              <w:shd w:val="clear" w:color="auto" w:fill="FFFFFF"/>
              <w:spacing w:line="360" w:lineRule="auto"/>
              <w:rPr>
                <w:rFonts w:ascii="宋体" w:hAnsi="宋体" w:cs="宋体"/>
                <w:bCs/>
                <w:color w:val="auto"/>
                <w:spacing w:val="16"/>
                <w:highlight w:val="none"/>
              </w:rPr>
            </w:pPr>
          </w:p>
        </w:tc>
        <w:tc>
          <w:tcPr>
            <w:tcW w:w="2001" w:type="dxa"/>
            <w:gridSpan w:val="3"/>
            <w:vMerge w:val="continue"/>
            <w:tcBorders>
              <w:bottom w:val="single" w:color="auto" w:sz="4" w:space="0"/>
            </w:tcBorders>
          </w:tcPr>
          <w:p w14:paraId="4B4F4CD0">
            <w:pPr>
              <w:pStyle w:val="86"/>
              <w:shd w:val="clear" w:color="auto" w:fill="FFFFFF"/>
              <w:spacing w:line="360" w:lineRule="auto"/>
              <w:rPr>
                <w:rFonts w:ascii="宋体" w:hAnsi="宋体" w:cs="宋体"/>
                <w:bCs/>
                <w:color w:val="auto"/>
                <w:spacing w:val="16"/>
                <w:highlight w:val="none"/>
              </w:rPr>
            </w:pPr>
          </w:p>
        </w:tc>
        <w:tc>
          <w:tcPr>
            <w:tcW w:w="2151" w:type="dxa"/>
            <w:gridSpan w:val="2"/>
            <w:vMerge w:val="continue"/>
            <w:tcBorders>
              <w:bottom w:val="single" w:color="auto" w:sz="4" w:space="0"/>
            </w:tcBorders>
          </w:tcPr>
          <w:p w14:paraId="07F31E83">
            <w:pPr>
              <w:pStyle w:val="86"/>
              <w:shd w:val="clear" w:color="auto" w:fill="FFFFFF"/>
              <w:spacing w:line="360" w:lineRule="auto"/>
              <w:rPr>
                <w:rFonts w:ascii="宋体" w:hAnsi="宋体" w:cs="宋体"/>
                <w:bCs/>
                <w:color w:val="auto"/>
                <w:spacing w:val="16"/>
                <w:highlight w:val="none"/>
              </w:rPr>
            </w:pPr>
          </w:p>
        </w:tc>
      </w:tr>
      <w:tr w14:paraId="298A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14:paraId="3E3824EB">
            <w:pPr>
              <w:pStyle w:val="86"/>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1.</w:t>
            </w:r>
          </w:p>
          <w:p w14:paraId="267C9F13">
            <w:pPr>
              <w:pStyle w:val="86"/>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企</w:t>
            </w:r>
          </w:p>
          <w:p w14:paraId="73DF649C">
            <w:pPr>
              <w:pStyle w:val="86"/>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业</w:t>
            </w:r>
          </w:p>
          <w:p w14:paraId="3CA98AA7">
            <w:pPr>
              <w:pStyle w:val="86"/>
              <w:shd w:val="clear" w:color="auto" w:fill="FFFFFF"/>
              <w:spacing w:line="360" w:lineRule="auto"/>
              <w:ind w:left="107"/>
              <w:rPr>
                <w:rFonts w:ascii="宋体" w:hAnsi="宋体" w:cs="宋体"/>
                <w:bCs/>
                <w:color w:val="auto"/>
                <w:spacing w:val="27"/>
                <w:highlight w:val="none"/>
              </w:rPr>
            </w:pPr>
            <w:r>
              <w:rPr>
                <w:rFonts w:hint="eastAsia" w:ascii="宋体" w:hAnsi="宋体" w:cs="宋体"/>
                <w:bCs/>
                <w:color w:val="auto"/>
                <w:spacing w:val="27"/>
                <w:highlight w:val="none"/>
              </w:rPr>
              <w:t>概</w:t>
            </w:r>
          </w:p>
          <w:p w14:paraId="5357B6FF">
            <w:pPr>
              <w:pStyle w:val="86"/>
              <w:shd w:val="clear" w:color="auto" w:fill="FFFFFF"/>
              <w:spacing w:line="360" w:lineRule="auto"/>
              <w:ind w:left="107"/>
              <w:rPr>
                <w:rFonts w:ascii="宋体" w:hAnsi="宋体" w:cs="宋体"/>
                <w:bCs/>
                <w:color w:val="auto"/>
                <w:highlight w:val="none"/>
              </w:rPr>
            </w:pPr>
            <w:r>
              <w:rPr>
                <w:rFonts w:hint="eastAsia" w:ascii="宋体" w:hAnsi="宋体" w:cs="宋体"/>
                <w:bCs/>
                <w:color w:val="auto"/>
                <w:spacing w:val="27"/>
                <w:highlight w:val="none"/>
              </w:rPr>
              <w:t>况</w:t>
            </w:r>
          </w:p>
        </w:tc>
        <w:tc>
          <w:tcPr>
            <w:tcW w:w="701" w:type="dxa"/>
            <w:tcBorders>
              <w:top w:val="single" w:color="auto" w:sz="4" w:space="0"/>
            </w:tcBorders>
          </w:tcPr>
          <w:p w14:paraId="25706995">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6"/>
                <w:highlight w:val="none"/>
              </w:rPr>
              <w:t>职工人数</w:t>
            </w:r>
          </w:p>
        </w:tc>
        <w:tc>
          <w:tcPr>
            <w:tcW w:w="910" w:type="dxa"/>
            <w:gridSpan w:val="2"/>
            <w:tcBorders>
              <w:top w:val="single" w:color="auto" w:sz="4" w:space="0"/>
            </w:tcBorders>
          </w:tcPr>
          <w:p w14:paraId="032883A3">
            <w:pPr>
              <w:pStyle w:val="86"/>
              <w:shd w:val="clear" w:color="auto" w:fill="FFFFFF"/>
              <w:spacing w:line="360" w:lineRule="auto"/>
              <w:rPr>
                <w:rFonts w:ascii="宋体" w:hAnsi="宋体" w:cs="宋体"/>
                <w:bCs/>
                <w:color w:val="auto"/>
                <w:spacing w:val="16"/>
                <w:highlight w:val="none"/>
              </w:rPr>
            </w:pPr>
          </w:p>
        </w:tc>
        <w:tc>
          <w:tcPr>
            <w:tcW w:w="1163" w:type="dxa"/>
            <w:tcBorders>
              <w:top w:val="single" w:color="auto" w:sz="4" w:space="0"/>
            </w:tcBorders>
          </w:tcPr>
          <w:p w14:paraId="67147216">
            <w:pPr>
              <w:pStyle w:val="86"/>
              <w:shd w:val="clear" w:color="auto" w:fill="FFFFFF"/>
              <w:spacing w:before="0" w:beforeAutospacing="0" w:after="0" w:afterAutospacing="0" w:line="360" w:lineRule="auto"/>
              <w:rPr>
                <w:rFonts w:ascii="宋体" w:hAnsi="宋体" w:cs="宋体"/>
                <w:bCs/>
                <w:color w:val="auto"/>
                <w:highlight w:val="none"/>
              </w:rPr>
            </w:pPr>
            <w:r>
              <w:rPr>
                <w:rFonts w:hint="eastAsia" w:ascii="宋体" w:hAnsi="宋体" w:cs="宋体"/>
                <w:bCs/>
                <w:color w:val="auto"/>
                <w:spacing w:val="18"/>
                <w:highlight w:val="none"/>
              </w:rPr>
              <w:t>具备大专以</w:t>
            </w:r>
            <w:r>
              <w:rPr>
                <w:rFonts w:hint="eastAsia" w:ascii="宋体" w:hAnsi="宋体" w:cs="宋体"/>
                <w:bCs/>
                <w:color w:val="auto"/>
                <w:spacing w:val="12"/>
                <w:highlight w:val="none"/>
              </w:rPr>
              <w:t>上学历人数</w:t>
            </w:r>
          </w:p>
        </w:tc>
        <w:tc>
          <w:tcPr>
            <w:tcW w:w="1205" w:type="dxa"/>
            <w:gridSpan w:val="2"/>
            <w:tcBorders>
              <w:top w:val="single" w:color="auto" w:sz="4" w:space="0"/>
            </w:tcBorders>
          </w:tcPr>
          <w:p w14:paraId="2719094E">
            <w:pPr>
              <w:widowControl/>
              <w:spacing w:line="360" w:lineRule="auto"/>
              <w:jc w:val="left"/>
              <w:rPr>
                <w:rFonts w:ascii="宋体" w:hAnsi="宋体" w:cs="宋体"/>
                <w:bCs/>
                <w:color w:val="auto"/>
                <w:spacing w:val="16"/>
                <w:kern w:val="0"/>
                <w:sz w:val="24"/>
                <w:highlight w:val="none"/>
              </w:rPr>
            </w:pPr>
          </w:p>
          <w:p w14:paraId="464DA743">
            <w:pPr>
              <w:widowControl/>
              <w:spacing w:line="360" w:lineRule="auto"/>
              <w:jc w:val="left"/>
              <w:rPr>
                <w:rFonts w:ascii="宋体" w:hAnsi="宋体" w:cs="宋体"/>
                <w:bCs/>
                <w:color w:val="auto"/>
                <w:spacing w:val="16"/>
                <w:kern w:val="0"/>
                <w:sz w:val="24"/>
                <w:highlight w:val="none"/>
              </w:rPr>
            </w:pPr>
          </w:p>
          <w:p w14:paraId="11AADDF5">
            <w:pPr>
              <w:pStyle w:val="86"/>
              <w:shd w:val="clear" w:color="auto" w:fill="FFFFFF"/>
              <w:spacing w:line="360" w:lineRule="auto"/>
              <w:rPr>
                <w:rFonts w:ascii="宋体" w:hAnsi="宋体" w:cs="宋体"/>
                <w:bCs/>
                <w:color w:val="auto"/>
                <w:spacing w:val="16"/>
                <w:highlight w:val="none"/>
              </w:rPr>
            </w:pPr>
          </w:p>
        </w:tc>
        <w:tc>
          <w:tcPr>
            <w:tcW w:w="2001" w:type="dxa"/>
            <w:gridSpan w:val="3"/>
            <w:tcBorders>
              <w:top w:val="single" w:color="auto" w:sz="4" w:space="0"/>
            </w:tcBorders>
          </w:tcPr>
          <w:p w14:paraId="6DB73D69">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65"/>
                <w:highlight w:val="none"/>
              </w:rPr>
              <w:t>国家授予技</w:t>
            </w:r>
            <w:r>
              <w:rPr>
                <w:rFonts w:hint="eastAsia" w:ascii="宋体" w:hAnsi="宋体" w:cs="宋体"/>
                <w:bCs/>
                <w:color w:val="auto"/>
                <w:spacing w:val="12"/>
                <w:highlight w:val="none"/>
              </w:rPr>
              <w:t>术职称人数</w:t>
            </w:r>
          </w:p>
        </w:tc>
        <w:tc>
          <w:tcPr>
            <w:tcW w:w="2151" w:type="dxa"/>
            <w:gridSpan w:val="2"/>
            <w:tcBorders>
              <w:top w:val="single" w:color="auto" w:sz="4" w:space="0"/>
            </w:tcBorders>
          </w:tcPr>
          <w:p w14:paraId="1251C657">
            <w:pPr>
              <w:widowControl/>
              <w:spacing w:line="360" w:lineRule="auto"/>
              <w:jc w:val="left"/>
              <w:rPr>
                <w:rFonts w:ascii="宋体" w:hAnsi="宋体" w:cs="宋体"/>
                <w:bCs/>
                <w:color w:val="auto"/>
                <w:spacing w:val="16"/>
                <w:kern w:val="0"/>
                <w:sz w:val="24"/>
                <w:highlight w:val="none"/>
              </w:rPr>
            </w:pPr>
          </w:p>
          <w:p w14:paraId="6C9B86FA">
            <w:pPr>
              <w:pStyle w:val="86"/>
              <w:shd w:val="clear" w:color="auto" w:fill="FFFFFF"/>
              <w:spacing w:line="360" w:lineRule="auto"/>
              <w:rPr>
                <w:rFonts w:ascii="宋体" w:hAnsi="宋体" w:cs="宋体"/>
                <w:bCs/>
                <w:color w:val="auto"/>
                <w:spacing w:val="16"/>
                <w:highlight w:val="none"/>
              </w:rPr>
            </w:pPr>
          </w:p>
        </w:tc>
      </w:tr>
      <w:tr w14:paraId="3EDD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5CCFEC4F">
            <w:pPr>
              <w:pStyle w:val="86"/>
              <w:shd w:val="clear" w:color="auto" w:fill="FFFFFF"/>
              <w:spacing w:line="360" w:lineRule="auto"/>
              <w:ind w:left="107"/>
              <w:rPr>
                <w:rFonts w:ascii="宋体" w:hAnsi="宋体" w:cs="宋体"/>
                <w:bCs/>
                <w:color w:val="auto"/>
                <w:highlight w:val="none"/>
              </w:rPr>
            </w:pPr>
          </w:p>
        </w:tc>
        <w:tc>
          <w:tcPr>
            <w:tcW w:w="701" w:type="dxa"/>
          </w:tcPr>
          <w:p w14:paraId="10AD3FC8">
            <w:pPr>
              <w:pStyle w:val="86"/>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占地面积</w:t>
            </w:r>
          </w:p>
        </w:tc>
        <w:tc>
          <w:tcPr>
            <w:tcW w:w="910" w:type="dxa"/>
            <w:gridSpan w:val="2"/>
          </w:tcPr>
          <w:p w14:paraId="1B849DE6">
            <w:pPr>
              <w:pStyle w:val="86"/>
              <w:shd w:val="clear" w:color="auto" w:fill="FFFFFF"/>
              <w:spacing w:line="360" w:lineRule="auto"/>
              <w:rPr>
                <w:rFonts w:ascii="宋体" w:hAnsi="宋体" w:cs="宋体"/>
                <w:bCs/>
                <w:color w:val="auto"/>
                <w:highlight w:val="none"/>
              </w:rPr>
            </w:pPr>
          </w:p>
        </w:tc>
        <w:tc>
          <w:tcPr>
            <w:tcW w:w="1163" w:type="dxa"/>
          </w:tcPr>
          <w:p w14:paraId="5E2E4723">
            <w:pPr>
              <w:pStyle w:val="86"/>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建筑面积</w:t>
            </w:r>
          </w:p>
        </w:tc>
        <w:tc>
          <w:tcPr>
            <w:tcW w:w="1205" w:type="dxa"/>
            <w:gridSpan w:val="2"/>
          </w:tcPr>
          <w:p w14:paraId="07CBBA69">
            <w:pPr>
              <w:pStyle w:val="86"/>
              <w:shd w:val="clear" w:color="auto" w:fill="FFFFFF"/>
              <w:spacing w:line="360" w:lineRule="auto"/>
              <w:ind w:firstLine="480" w:firstLineChars="200"/>
              <w:rPr>
                <w:rFonts w:ascii="宋体" w:hAnsi="宋体" w:cs="宋体"/>
                <w:bCs/>
                <w:color w:val="auto"/>
                <w:highlight w:val="none"/>
              </w:rPr>
            </w:pPr>
            <w:r>
              <w:rPr>
                <w:rFonts w:hint="eastAsia" w:ascii="宋体" w:hAnsi="宋体" w:cs="宋体"/>
                <w:bCs/>
                <w:color w:val="auto"/>
                <w:highlight w:val="none"/>
              </w:rPr>
              <w:t xml:space="preserve">平方米 </w:t>
            </w:r>
          </w:p>
          <w:p w14:paraId="45AFCD5E">
            <w:pPr>
              <w:pStyle w:val="86"/>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□自有□租賃</w:t>
            </w:r>
          </w:p>
        </w:tc>
        <w:tc>
          <w:tcPr>
            <w:tcW w:w="2001" w:type="dxa"/>
            <w:gridSpan w:val="3"/>
          </w:tcPr>
          <w:p w14:paraId="17031875">
            <w:pPr>
              <w:pStyle w:val="86"/>
              <w:shd w:val="clear" w:color="auto" w:fill="FFFFFF"/>
              <w:spacing w:line="360" w:lineRule="auto"/>
              <w:rPr>
                <w:rFonts w:ascii="宋体" w:hAnsi="宋体" w:cs="宋体"/>
                <w:bCs/>
                <w:color w:val="auto"/>
                <w:highlight w:val="none"/>
              </w:rPr>
            </w:pPr>
            <w:r>
              <w:rPr>
                <w:rFonts w:hint="eastAsia" w:ascii="宋体" w:hAnsi="宋体" w:cs="宋体"/>
                <w:bCs/>
                <w:color w:val="auto"/>
                <w:spacing w:val="16"/>
                <w:highlight w:val="none"/>
              </w:rPr>
              <w:t>生产经营场所及场所的设施与设备</w:t>
            </w:r>
          </w:p>
        </w:tc>
        <w:tc>
          <w:tcPr>
            <w:tcW w:w="2151" w:type="dxa"/>
            <w:gridSpan w:val="2"/>
          </w:tcPr>
          <w:p w14:paraId="5D5CF4EB">
            <w:pPr>
              <w:pStyle w:val="86"/>
              <w:shd w:val="clear" w:color="auto" w:fill="FFFFFF"/>
              <w:spacing w:before="0" w:beforeAutospacing="0" w:after="0" w:afterAutospacing="0" w:line="360" w:lineRule="auto"/>
              <w:rPr>
                <w:rFonts w:ascii="宋体" w:hAnsi="宋体" w:cs="宋体"/>
                <w:bCs/>
                <w:color w:val="auto"/>
                <w:spacing w:val="16"/>
                <w:highlight w:val="none"/>
              </w:rPr>
            </w:pPr>
          </w:p>
        </w:tc>
      </w:tr>
      <w:tr w14:paraId="3ABD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1632BCD1">
            <w:pPr>
              <w:pStyle w:val="86"/>
              <w:shd w:val="clear" w:color="auto" w:fill="FFFFFF"/>
              <w:spacing w:line="360" w:lineRule="auto"/>
              <w:ind w:left="107"/>
              <w:rPr>
                <w:rFonts w:ascii="宋体" w:hAnsi="宋体" w:cs="宋体"/>
                <w:bCs/>
                <w:color w:val="auto"/>
                <w:highlight w:val="none"/>
              </w:rPr>
            </w:pPr>
          </w:p>
        </w:tc>
        <w:tc>
          <w:tcPr>
            <w:tcW w:w="701" w:type="dxa"/>
          </w:tcPr>
          <w:p w14:paraId="56B61115">
            <w:pPr>
              <w:pStyle w:val="86"/>
              <w:shd w:val="clear" w:color="auto" w:fill="FFFFFF"/>
              <w:spacing w:line="360" w:lineRule="auto"/>
              <w:ind w:left="2"/>
              <w:rPr>
                <w:rFonts w:ascii="宋体" w:hAnsi="宋体" w:cs="宋体"/>
                <w:bCs/>
                <w:color w:val="auto"/>
                <w:spacing w:val="16"/>
                <w:highlight w:val="none"/>
              </w:rPr>
            </w:pPr>
            <w:r>
              <w:rPr>
                <w:rFonts w:hint="eastAsia" w:ascii="宋体" w:hAnsi="宋体" w:cs="宋体"/>
                <w:bCs/>
                <w:color w:val="auto"/>
                <w:spacing w:val="16"/>
                <w:highlight w:val="none"/>
              </w:rPr>
              <w:t>注册资金</w:t>
            </w:r>
          </w:p>
        </w:tc>
        <w:tc>
          <w:tcPr>
            <w:tcW w:w="910" w:type="dxa"/>
            <w:gridSpan w:val="2"/>
          </w:tcPr>
          <w:p w14:paraId="02A395A8">
            <w:pPr>
              <w:pStyle w:val="86"/>
              <w:shd w:val="clear" w:color="auto" w:fill="FFFFFF"/>
              <w:spacing w:line="360" w:lineRule="auto"/>
              <w:ind w:left="2"/>
              <w:rPr>
                <w:rFonts w:ascii="宋体" w:hAnsi="宋体" w:cs="宋体"/>
                <w:bCs/>
                <w:color w:val="auto"/>
                <w:highlight w:val="none"/>
              </w:rPr>
            </w:pPr>
          </w:p>
        </w:tc>
        <w:tc>
          <w:tcPr>
            <w:tcW w:w="1163" w:type="dxa"/>
          </w:tcPr>
          <w:p w14:paraId="0ED092C3">
            <w:pPr>
              <w:pStyle w:val="86"/>
              <w:shd w:val="clear" w:color="auto" w:fill="FFFFFF"/>
              <w:spacing w:line="360" w:lineRule="auto"/>
              <w:ind w:left="107"/>
              <w:rPr>
                <w:rFonts w:ascii="宋体" w:hAnsi="宋体" w:cs="宋体"/>
                <w:bCs/>
                <w:color w:val="auto"/>
                <w:highlight w:val="none"/>
              </w:rPr>
            </w:pPr>
            <w:r>
              <w:rPr>
                <w:rFonts w:hint="eastAsia" w:ascii="宋体" w:hAnsi="宋体" w:cs="宋体"/>
                <w:bCs/>
                <w:color w:val="auto"/>
                <w:spacing w:val="16"/>
                <w:highlight w:val="none"/>
              </w:rPr>
              <w:t>注册发证</w:t>
            </w:r>
            <w:r>
              <w:rPr>
                <w:rFonts w:hint="eastAsia" w:ascii="宋体" w:hAnsi="宋体" w:cs="宋体"/>
                <w:bCs/>
                <w:color w:val="auto"/>
                <w:spacing w:val="27"/>
                <w:highlight w:val="none"/>
              </w:rPr>
              <w:t>机关</w:t>
            </w:r>
          </w:p>
        </w:tc>
        <w:tc>
          <w:tcPr>
            <w:tcW w:w="3206" w:type="dxa"/>
            <w:gridSpan w:val="5"/>
          </w:tcPr>
          <w:p w14:paraId="58F7C570">
            <w:pPr>
              <w:widowControl/>
              <w:spacing w:line="360" w:lineRule="auto"/>
              <w:jc w:val="left"/>
              <w:rPr>
                <w:rFonts w:ascii="宋体" w:hAnsi="宋体" w:cs="宋体"/>
                <w:bCs/>
                <w:color w:val="auto"/>
                <w:kern w:val="0"/>
                <w:sz w:val="24"/>
                <w:highlight w:val="none"/>
              </w:rPr>
            </w:pPr>
          </w:p>
          <w:p w14:paraId="7F9C9E74">
            <w:pPr>
              <w:pStyle w:val="86"/>
              <w:shd w:val="clear" w:color="auto" w:fill="FFFFFF"/>
              <w:spacing w:line="360" w:lineRule="auto"/>
              <w:ind w:left="107"/>
              <w:rPr>
                <w:rFonts w:ascii="宋体" w:hAnsi="宋体" w:cs="宋体"/>
                <w:bCs/>
                <w:color w:val="auto"/>
                <w:highlight w:val="none"/>
              </w:rPr>
            </w:pPr>
          </w:p>
        </w:tc>
        <w:tc>
          <w:tcPr>
            <w:tcW w:w="1218" w:type="dxa"/>
          </w:tcPr>
          <w:p w14:paraId="2B935035">
            <w:pPr>
              <w:pStyle w:val="86"/>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公司成</w:t>
            </w:r>
            <w:r>
              <w:rPr>
                <w:rFonts w:hint="eastAsia" w:ascii="宋体" w:hAnsi="宋体" w:cs="宋体"/>
                <w:bCs/>
                <w:color w:val="auto"/>
                <w:spacing w:val="12"/>
                <w:highlight w:val="none"/>
              </w:rPr>
              <w:t>立时间</w:t>
            </w:r>
          </w:p>
        </w:tc>
        <w:tc>
          <w:tcPr>
            <w:tcW w:w="933" w:type="dxa"/>
          </w:tcPr>
          <w:p w14:paraId="2B4B379D">
            <w:pPr>
              <w:pStyle w:val="86"/>
              <w:shd w:val="clear" w:color="auto" w:fill="FFFFFF"/>
              <w:spacing w:line="360" w:lineRule="auto"/>
              <w:ind w:left="107"/>
              <w:rPr>
                <w:rFonts w:ascii="宋体" w:hAnsi="宋体" w:cs="宋体"/>
                <w:bCs/>
                <w:color w:val="auto"/>
                <w:highlight w:val="none"/>
              </w:rPr>
            </w:pPr>
          </w:p>
        </w:tc>
      </w:tr>
      <w:tr w14:paraId="640C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7358E5F2">
            <w:pPr>
              <w:pStyle w:val="86"/>
              <w:shd w:val="clear" w:color="auto" w:fill="FFFFFF"/>
              <w:spacing w:line="360" w:lineRule="auto"/>
              <w:ind w:left="107"/>
              <w:rPr>
                <w:rFonts w:ascii="宋体" w:hAnsi="宋体" w:cs="宋体"/>
                <w:bCs/>
                <w:color w:val="auto"/>
                <w:highlight w:val="none"/>
              </w:rPr>
            </w:pPr>
          </w:p>
        </w:tc>
        <w:tc>
          <w:tcPr>
            <w:tcW w:w="701" w:type="dxa"/>
          </w:tcPr>
          <w:p w14:paraId="0516A655">
            <w:pPr>
              <w:pStyle w:val="86"/>
              <w:shd w:val="clear" w:color="auto" w:fill="FFFFFF"/>
              <w:spacing w:line="360" w:lineRule="auto"/>
              <w:ind w:left="2"/>
              <w:rPr>
                <w:rFonts w:ascii="宋体" w:hAnsi="宋体" w:cs="宋体"/>
                <w:bCs/>
                <w:color w:val="auto"/>
                <w:highlight w:val="none"/>
              </w:rPr>
            </w:pPr>
            <w:r>
              <w:rPr>
                <w:rFonts w:hint="eastAsia" w:ascii="宋体" w:hAnsi="宋体" w:cs="宋体"/>
                <w:bCs/>
                <w:color w:val="auto"/>
                <w:highlight w:val="none"/>
              </w:rPr>
              <w:t>核准经营范围</w:t>
            </w:r>
          </w:p>
        </w:tc>
        <w:tc>
          <w:tcPr>
            <w:tcW w:w="7430" w:type="dxa"/>
            <w:gridSpan w:val="10"/>
          </w:tcPr>
          <w:p w14:paraId="14398B18">
            <w:pPr>
              <w:pStyle w:val="86"/>
              <w:shd w:val="clear" w:color="auto" w:fill="FFFFFF"/>
              <w:spacing w:line="360" w:lineRule="auto"/>
              <w:ind w:left="107"/>
              <w:rPr>
                <w:rFonts w:ascii="宋体" w:hAnsi="宋体" w:cs="宋体"/>
                <w:bCs/>
                <w:color w:val="auto"/>
                <w:highlight w:val="none"/>
              </w:rPr>
            </w:pPr>
          </w:p>
        </w:tc>
      </w:tr>
      <w:tr w14:paraId="4B07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7AC52B3F">
            <w:pPr>
              <w:pStyle w:val="86"/>
              <w:shd w:val="clear" w:color="auto" w:fill="FFFFFF"/>
              <w:spacing w:line="360" w:lineRule="auto"/>
              <w:ind w:left="107"/>
              <w:rPr>
                <w:rFonts w:ascii="宋体" w:hAnsi="宋体" w:cs="宋体"/>
                <w:bCs/>
                <w:color w:val="auto"/>
                <w:highlight w:val="none"/>
              </w:rPr>
            </w:pPr>
          </w:p>
        </w:tc>
        <w:tc>
          <w:tcPr>
            <w:tcW w:w="8131" w:type="dxa"/>
            <w:gridSpan w:val="11"/>
          </w:tcPr>
          <w:p w14:paraId="06DAD3F9">
            <w:pPr>
              <w:pStyle w:val="86"/>
              <w:shd w:val="clear" w:color="auto" w:fill="FFFFFF"/>
              <w:spacing w:line="360" w:lineRule="auto"/>
              <w:rPr>
                <w:rFonts w:ascii="宋体" w:hAnsi="宋体" w:cs="宋体"/>
                <w:bCs/>
                <w:color w:val="auto"/>
                <w:spacing w:val="13"/>
                <w:highlight w:val="none"/>
              </w:rPr>
            </w:pPr>
            <w:r>
              <w:rPr>
                <w:rFonts w:hint="eastAsia" w:ascii="宋体" w:hAnsi="宋体" w:cs="宋体"/>
                <w:bCs/>
                <w:color w:val="auto"/>
                <w:spacing w:val="13"/>
                <w:highlight w:val="none"/>
              </w:rPr>
              <w:t>发展历程及主要荣誉：</w:t>
            </w:r>
          </w:p>
        </w:tc>
      </w:tr>
      <w:tr w14:paraId="3C39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1E99B6FC">
            <w:pPr>
              <w:pStyle w:val="86"/>
              <w:shd w:val="clear" w:color="auto" w:fill="FFFFFF"/>
              <w:spacing w:line="360" w:lineRule="auto"/>
              <w:ind w:left="107"/>
              <w:rPr>
                <w:rFonts w:ascii="宋体" w:hAnsi="宋体" w:cs="宋体"/>
                <w:bCs/>
                <w:color w:val="auto"/>
                <w:highlight w:val="none"/>
              </w:rPr>
            </w:pPr>
            <w:r>
              <w:rPr>
                <w:rFonts w:hint="eastAsia" w:ascii="宋体" w:hAnsi="宋体" w:cs="宋体"/>
                <w:bCs/>
                <w:color w:val="auto"/>
                <w:highlight w:val="none"/>
              </w:rPr>
              <w:t>2．</w:t>
            </w:r>
          </w:p>
          <w:p w14:paraId="2B1A95EC">
            <w:pPr>
              <w:pStyle w:val="86"/>
              <w:shd w:val="clear" w:color="auto" w:fill="FFFFFF"/>
              <w:spacing w:line="360" w:lineRule="auto"/>
              <w:ind w:left="107"/>
              <w:rPr>
                <w:rFonts w:ascii="宋体" w:hAnsi="宋体" w:cs="宋体"/>
                <w:bCs/>
                <w:color w:val="auto"/>
                <w:spacing w:val="16"/>
                <w:highlight w:val="none"/>
              </w:rPr>
            </w:pPr>
            <w:r>
              <w:rPr>
                <w:rFonts w:hint="eastAsia" w:ascii="宋体" w:hAnsi="宋体" w:cs="宋体"/>
                <w:bCs/>
                <w:color w:val="auto"/>
                <w:highlight w:val="none"/>
              </w:rPr>
              <w:t>企</w:t>
            </w:r>
            <w:r>
              <w:rPr>
                <w:rFonts w:hint="eastAsia" w:ascii="宋体" w:hAnsi="宋体" w:cs="宋体"/>
                <w:bCs/>
                <w:color w:val="auto"/>
                <w:spacing w:val="12"/>
                <w:highlight w:val="none"/>
              </w:rPr>
              <w:t>业有关资质获证情况</w:t>
            </w:r>
          </w:p>
        </w:tc>
        <w:tc>
          <w:tcPr>
            <w:tcW w:w="1553" w:type="dxa"/>
            <w:gridSpan w:val="2"/>
            <w:vMerge w:val="restart"/>
          </w:tcPr>
          <w:p w14:paraId="00417326">
            <w:pPr>
              <w:pStyle w:val="86"/>
              <w:shd w:val="clear" w:color="auto" w:fill="FFFFFF"/>
              <w:spacing w:before="0" w:beforeAutospacing="0" w:after="0" w:afterAutospacing="0" w:line="360" w:lineRule="auto"/>
              <w:rPr>
                <w:rFonts w:ascii="宋体" w:hAnsi="宋体" w:cs="宋体"/>
                <w:bCs/>
                <w:color w:val="auto"/>
                <w:spacing w:val="16"/>
                <w:highlight w:val="none"/>
              </w:rPr>
            </w:pPr>
            <w:r>
              <w:rPr>
                <w:rFonts w:hint="eastAsia" w:ascii="宋体" w:hAnsi="宋体" w:cs="宋体"/>
                <w:bCs/>
                <w:color w:val="auto"/>
                <w:spacing w:val="12"/>
                <w:highlight w:val="none"/>
              </w:rPr>
              <w:t>产品生产许可证情况</w:t>
            </w:r>
            <w:r>
              <w:rPr>
                <w:rFonts w:hint="eastAsia" w:ascii="宋体" w:hAnsi="宋体" w:cs="宋体"/>
                <w:bCs/>
                <w:color w:val="auto"/>
                <w:spacing w:val="41"/>
                <w:highlight w:val="none"/>
              </w:rPr>
              <w:t>（对需获得生产许可证的</w:t>
            </w:r>
            <w:r>
              <w:rPr>
                <w:rFonts w:hint="eastAsia" w:ascii="宋体" w:hAnsi="宋体" w:cs="宋体"/>
                <w:bCs/>
                <w:color w:val="auto"/>
                <w:spacing w:val="11"/>
                <w:highlight w:val="none"/>
              </w:rPr>
              <w:t>产品要填写此栏）</w:t>
            </w:r>
          </w:p>
        </w:tc>
        <w:tc>
          <w:tcPr>
            <w:tcW w:w="1333" w:type="dxa"/>
            <w:gridSpan w:val="3"/>
          </w:tcPr>
          <w:p w14:paraId="493CBF85">
            <w:pPr>
              <w:pStyle w:val="86"/>
              <w:shd w:val="clear" w:color="auto" w:fill="FFFFFF"/>
              <w:spacing w:line="360" w:lineRule="auto"/>
              <w:ind w:right="-78" w:rightChars="-37"/>
              <w:rPr>
                <w:rFonts w:ascii="宋体" w:hAnsi="宋体" w:cs="宋体"/>
                <w:bCs/>
                <w:color w:val="auto"/>
                <w:spacing w:val="16"/>
                <w:highlight w:val="none"/>
              </w:rPr>
            </w:pPr>
            <w:r>
              <w:rPr>
                <w:rFonts w:hint="eastAsia" w:ascii="宋体" w:hAnsi="宋体" w:cs="宋体"/>
                <w:bCs/>
                <w:color w:val="auto"/>
                <w:spacing w:val="16"/>
                <w:highlight w:val="none"/>
              </w:rPr>
              <w:t>产品名称</w:t>
            </w:r>
          </w:p>
        </w:tc>
        <w:tc>
          <w:tcPr>
            <w:tcW w:w="1418" w:type="dxa"/>
            <w:gridSpan w:val="2"/>
          </w:tcPr>
          <w:p w14:paraId="480AF236">
            <w:pPr>
              <w:pStyle w:val="86"/>
              <w:shd w:val="clear" w:color="auto" w:fill="FFFFFF"/>
              <w:spacing w:before="0" w:beforeAutospacing="0" w:after="0" w:afterAutospacing="0" w:line="360" w:lineRule="auto"/>
              <w:rPr>
                <w:rFonts w:ascii="宋体" w:hAnsi="宋体" w:cs="宋体"/>
                <w:bCs/>
                <w:color w:val="auto"/>
                <w:highlight w:val="none"/>
              </w:rPr>
            </w:pPr>
            <w:r>
              <w:rPr>
                <w:rFonts w:hint="eastAsia" w:ascii="宋体" w:hAnsi="宋体" w:cs="宋体"/>
                <w:bCs/>
                <w:color w:val="auto"/>
                <w:spacing w:val="16"/>
                <w:highlight w:val="none"/>
              </w:rPr>
              <w:t>发证机关</w:t>
            </w:r>
          </w:p>
        </w:tc>
        <w:tc>
          <w:tcPr>
            <w:tcW w:w="1276" w:type="dxa"/>
          </w:tcPr>
          <w:p w14:paraId="189A6301">
            <w:pPr>
              <w:pStyle w:val="86"/>
              <w:shd w:val="clear" w:color="auto" w:fill="FFFFFF"/>
              <w:spacing w:line="360" w:lineRule="auto"/>
              <w:jc w:val="center"/>
              <w:rPr>
                <w:rFonts w:ascii="宋体" w:hAnsi="宋体" w:cs="宋体"/>
                <w:bCs/>
                <w:color w:val="auto"/>
                <w:highlight w:val="none"/>
              </w:rPr>
            </w:pPr>
            <w:r>
              <w:rPr>
                <w:rFonts w:hint="eastAsia" w:ascii="宋体" w:hAnsi="宋体" w:cs="宋体"/>
                <w:bCs/>
                <w:color w:val="auto"/>
                <w:spacing w:val="27"/>
                <w:highlight w:val="none"/>
              </w:rPr>
              <w:t>编号</w:t>
            </w:r>
          </w:p>
        </w:tc>
        <w:tc>
          <w:tcPr>
            <w:tcW w:w="1618" w:type="dxa"/>
            <w:gridSpan w:val="2"/>
          </w:tcPr>
          <w:p w14:paraId="7A392AE6">
            <w:pPr>
              <w:pStyle w:val="86"/>
              <w:shd w:val="clear" w:color="auto" w:fill="FFFFFF"/>
              <w:spacing w:line="360" w:lineRule="auto"/>
              <w:jc w:val="center"/>
              <w:rPr>
                <w:rFonts w:ascii="宋体" w:hAnsi="宋体" w:cs="宋体"/>
                <w:bCs/>
                <w:color w:val="auto"/>
                <w:highlight w:val="none"/>
              </w:rPr>
            </w:pPr>
            <w:r>
              <w:rPr>
                <w:rFonts w:hint="eastAsia" w:ascii="宋体" w:hAnsi="宋体" w:cs="宋体"/>
                <w:bCs/>
                <w:color w:val="auto"/>
                <w:spacing w:val="16"/>
                <w:highlight w:val="none"/>
              </w:rPr>
              <w:t>发证时间</w:t>
            </w:r>
          </w:p>
        </w:tc>
        <w:tc>
          <w:tcPr>
            <w:tcW w:w="933" w:type="dxa"/>
          </w:tcPr>
          <w:p w14:paraId="0FFD9F0E">
            <w:pPr>
              <w:pStyle w:val="86"/>
              <w:shd w:val="clear" w:color="auto" w:fill="FFFFFF"/>
              <w:spacing w:before="0" w:beforeAutospacing="0" w:after="0" w:afterAutospacing="0" w:line="360" w:lineRule="auto"/>
              <w:jc w:val="center"/>
              <w:rPr>
                <w:rFonts w:ascii="宋体" w:hAnsi="宋体" w:cs="宋体"/>
                <w:bCs/>
                <w:color w:val="auto"/>
                <w:highlight w:val="none"/>
              </w:rPr>
            </w:pPr>
            <w:r>
              <w:rPr>
                <w:rFonts w:hint="eastAsia" w:ascii="宋体" w:hAnsi="宋体" w:cs="宋体"/>
                <w:bCs/>
                <w:color w:val="auto"/>
                <w:spacing w:val="27"/>
                <w:highlight w:val="none"/>
              </w:rPr>
              <w:t>期限</w:t>
            </w:r>
          </w:p>
        </w:tc>
      </w:tr>
      <w:tr w14:paraId="590C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59701BD2">
            <w:pPr>
              <w:pStyle w:val="86"/>
              <w:shd w:val="clear" w:color="auto" w:fill="FFFFFF"/>
              <w:spacing w:line="360" w:lineRule="auto"/>
              <w:ind w:left="107"/>
              <w:rPr>
                <w:rFonts w:ascii="宋体" w:hAnsi="宋体" w:cs="宋体"/>
                <w:bCs/>
                <w:color w:val="auto"/>
                <w:highlight w:val="none"/>
              </w:rPr>
            </w:pPr>
          </w:p>
        </w:tc>
        <w:tc>
          <w:tcPr>
            <w:tcW w:w="1553" w:type="dxa"/>
            <w:gridSpan w:val="2"/>
            <w:vMerge w:val="continue"/>
          </w:tcPr>
          <w:p w14:paraId="4BD23B3C">
            <w:pPr>
              <w:pStyle w:val="86"/>
              <w:shd w:val="clear" w:color="auto" w:fill="FFFFFF"/>
              <w:spacing w:line="360" w:lineRule="auto"/>
              <w:rPr>
                <w:rFonts w:ascii="宋体" w:hAnsi="宋体" w:cs="宋体"/>
                <w:bCs/>
                <w:color w:val="auto"/>
                <w:highlight w:val="none"/>
              </w:rPr>
            </w:pPr>
          </w:p>
        </w:tc>
        <w:tc>
          <w:tcPr>
            <w:tcW w:w="1333" w:type="dxa"/>
            <w:gridSpan w:val="3"/>
          </w:tcPr>
          <w:p w14:paraId="21920B49">
            <w:pPr>
              <w:pStyle w:val="86"/>
              <w:shd w:val="clear" w:color="auto" w:fill="FFFFFF"/>
              <w:spacing w:line="360" w:lineRule="auto"/>
              <w:rPr>
                <w:rFonts w:ascii="宋体" w:hAnsi="宋体" w:cs="宋体"/>
                <w:bCs/>
                <w:color w:val="auto"/>
                <w:highlight w:val="none"/>
              </w:rPr>
            </w:pPr>
          </w:p>
        </w:tc>
        <w:tc>
          <w:tcPr>
            <w:tcW w:w="1418" w:type="dxa"/>
            <w:gridSpan w:val="2"/>
          </w:tcPr>
          <w:p w14:paraId="58CF069F">
            <w:pPr>
              <w:pStyle w:val="86"/>
              <w:shd w:val="clear" w:color="auto" w:fill="FFFFFF"/>
              <w:spacing w:line="360" w:lineRule="auto"/>
              <w:rPr>
                <w:rFonts w:ascii="宋体" w:hAnsi="宋体" w:cs="宋体"/>
                <w:bCs/>
                <w:color w:val="auto"/>
                <w:highlight w:val="none"/>
              </w:rPr>
            </w:pPr>
          </w:p>
        </w:tc>
        <w:tc>
          <w:tcPr>
            <w:tcW w:w="1276" w:type="dxa"/>
          </w:tcPr>
          <w:p w14:paraId="49BD203E">
            <w:pPr>
              <w:pStyle w:val="86"/>
              <w:shd w:val="clear" w:color="auto" w:fill="FFFFFF"/>
              <w:spacing w:line="360" w:lineRule="auto"/>
              <w:rPr>
                <w:rFonts w:ascii="宋体" w:hAnsi="宋体" w:cs="宋体"/>
                <w:bCs/>
                <w:color w:val="auto"/>
                <w:highlight w:val="none"/>
              </w:rPr>
            </w:pPr>
          </w:p>
        </w:tc>
        <w:tc>
          <w:tcPr>
            <w:tcW w:w="2551" w:type="dxa"/>
            <w:gridSpan w:val="3"/>
          </w:tcPr>
          <w:p w14:paraId="54ED50FD">
            <w:pPr>
              <w:pStyle w:val="86"/>
              <w:shd w:val="clear" w:color="auto" w:fill="FFFFFF"/>
              <w:spacing w:line="360" w:lineRule="auto"/>
              <w:rPr>
                <w:rFonts w:ascii="宋体" w:hAnsi="宋体" w:cs="宋体"/>
                <w:bCs/>
                <w:color w:val="auto"/>
                <w:highlight w:val="none"/>
              </w:rPr>
            </w:pPr>
          </w:p>
        </w:tc>
      </w:tr>
      <w:tr w14:paraId="4C55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0F0A2AE6">
            <w:pPr>
              <w:pStyle w:val="86"/>
              <w:shd w:val="clear" w:color="auto" w:fill="FFFFFF"/>
              <w:spacing w:line="360" w:lineRule="auto"/>
              <w:ind w:left="107"/>
              <w:rPr>
                <w:rFonts w:ascii="宋体" w:hAnsi="宋体" w:cs="宋体"/>
                <w:bCs/>
                <w:color w:val="auto"/>
                <w:spacing w:val="16"/>
                <w:highlight w:val="none"/>
              </w:rPr>
            </w:pPr>
          </w:p>
        </w:tc>
        <w:tc>
          <w:tcPr>
            <w:tcW w:w="1553" w:type="dxa"/>
            <w:gridSpan w:val="2"/>
          </w:tcPr>
          <w:p w14:paraId="0772B2B9">
            <w:pPr>
              <w:pStyle w:val="86"/>
              <w:shd w:val="clear" w:color="auto" w:fill="FFFFFF"/>
              <w:spacing w:before="0" w:beforeAutospacing="0" w:after="0" w:afterAutospacing="0" w:line="360" w:lineRule="auto"/>
              <w:ind w:right="-107" w:rightChars="-51"/>
              <w:rPr>
                <w:rFonts w:ascii="宋体" w:hAnsi="宋体" w:cs="宋体"/>
                <w:bCs/>
                <w:color w:val="auto"/>
                <w:spacing w:val="41"/>
                <w:highlight w:val="none"/>
              </w:rPr>
            </w:pPr>
            <w:r>
              <w:rPr>
                <w:rFonts w:hint="eastAsia" w:ascii="宋体" w:hAnsi="宋体" w:cs="宋体"/>
                <w:bCs/>
                <w:color w:val="auto"/>
                <w:spacing w:val="41"/>
                <w:highlight w:val="none"/>
              </w:rPr>
              <w:t>企业通过质量体系、环保</w:t>
            </w:r>
            <w:r>
              <w:rPr>
                <w:rFonts w:hint="eastAsia" w:ascii="宋体" w:hAnsi="宋体" w:cs="宋体"/>
                <w:bCs/>
                <w:color w:val="auto"/>
                <w:spacing w:val="11"/>
                <w:highlight w:val="none"/>
              </w:rPr>
              <w:t>体系、计量等认证情况</w:t>
            </w:r>
          </w:p>
        </w:tc>
        <w:tc>
          <w:tcPr>
            <w:tcW w:w="6578" w:type="dxa"/>
            <w:gridSpan w:val="9"/>
          </w:tcPr>
          <w:p w14:paraId="425880A7">
            <w:pPr>
              <w:pStyle w:val="86"/>
              <w:shd w:val="clear" w:color="auto" w:fill="FFFFFF"/>
              <w:spacing w:line="360" w:lineRule="auto"/>
              <w:rPr>
                <w:rFonts w:ascii="宋体" w:hAnsi="宋体" w:cs="宋体"/>
                <w:bCs/>
                <w:color w:val="auto"/>
                <w:spacing w:val="16"/>
                <w:highlight w:val="none"/>
              </w:rPr>
            </w:pPr>
          </w:p>
        </w:tc>
      </w:tr>
      <w:tr w14:paraId="02B5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D241BD6">
            <w:pPr>
              <w:pStyle w:val="86"/>
              <w:shd w:val="clear" w:color="auto" w:fill="FFFFFF"/>
              <w:spacing w:line="360" w:lineRule="auto"/>
              <w:ind w:left="107"/>
              <w:rPr>
                <w:rFonts w:ascii="宋体" w:hAnsi="宋体" w:cs="宋体"/>
                <w:bCs/>
                <w:color w:val="auto"/>
                <w:spacing w:val="27"/>
                <w:highlight w:val="none"/>
              </w:rPr>
            </w:pPr>
          </w:p>
        </w:tc>
        <w:tc>
          <w:tcPr>
            <w:tcW w:w="1553" w:type="dxa"/>
            <w:gridSpan w:val="2"/>
          </w:tcPr>
          <w:p w14:paraId="7306B9FC">
            <w:pPr>
              <w:pStyle w:val="86"/>
              <w:shd w:val="clear" w:color="auto" w:fill="FFFFFF"/>
              <w:spacing w:line="360" w:lineRule="auto"/>
              <w:rPr>
                <w:rFonts w:ascii="宋体" w:hAnsi="宋体" w:cs="宋体"/>
                <w:bCs/>
                <w:color w:val="auto"/>
                <w:spacing w:val="16"/>
                <w:highlight w:val="none"/>
              </w:rPr>
            </w:pPr>
            <w:r>
              <w:rPr>
                <w:rFonts w:hint="eastAsia" w:ascii="宋体" w:hAnsi="宋体" w:cs="宋体"/>
                <w:bCs/>
                <w:color w:val="auto"/>
                <w:spacing w:val="10"/>
                <w:highlight w:val="none"/>
              </w:rPr>
              <w:t>企业获得专利情况</w:t>
            </w:r>
          </w:p>
        </w:tc>
        <w:tc>
          <w:tcPr>
            <w:tcW w:w="6578" w:type="dxa"/>
            <w:gridSpan w:val="9"/>
          </w:tcPr>
          <w:p w14:paraId="5EE0EDC0">
            <w:pPr>
              <w:pStyle w:val="86"/>
              <w:shd w:val="clear" w:color="auto" w:fill="FFFFFF"/>
              <w:spacing w:line="360" w:lineRule="auto"/>
              <w:rPr>
                <w:rFonts w:ascii="宋体" w:hAnsi="宋体" w:cs="宋体"/>
                <w:bCs/>
                <w:color w:val="auto"/>
                <w:spacing w:val="16"/>
                <w:highlight w:val="none"/>
              </w:rPr>
            </w:pPr>
          </w:p>
        </w:tc>
      </w:tr>
    </w:tbl>
    <w:p w14:paraId="46014E3F">
      <w:pPr>
        <w:pStyle w:val="86"/>
        <w:shd w:val="clear" w:color="auto" w:fill="FFFFFF"/>
        <w:spacing w:before="0" w:beforeAutospacing="0" w:after="0" w:afterAutospacing="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要求：</w:t>
      </w:r>
    </w:p>
    <w:p w14:paraId="1F55DCC7">
      <w:pPr>
        <w:pStyle w:val="86"/>
        <w:shd w:val="clear" w:color="auto" w:fill="FFFFFF"/>
        <w:spacing w:before="0" w:beforeAutospacing="0" w:after="0" w:afterAutospacing="0" w:line="360" w:lineRule="auto"/>
        <w:ind w:firstLine="424" w:firstLineChars="202"/>
        <w:rPr>
          <w:rFonts w:ascii="宋体" w:hAnsi="宋体" w:cs="宋体"/>
          <w:color w:val="auto"/>
          <w:highlight w:val="none"/>
        </w:rPr>
      </w:pPr>
      <w:r>
        <w:rPr>
          <w:rFonts w:hint="eastAsia" w:ascii="宋体" w:hAnsi="宋体" w:cs="宋体"/>
          <w:color w:val="auto"/>
          <w:sz w:val="21"/>
          <w:szCs w:val="21"/>
          <w:highlight w:val="none"/>
        </w:rPr>
        <w:t>1.姓名栏必须将所有股东都统计在内，若非股份公司此行（第三行）无需填写；</w:t>
      </w:r>
    </w:p>
    <w:p w14:paraId="3AA00948">
      <w:pPr>
        <w:ind w:firstLine="424" w:firstLineChars="177"/>
        <w:rPr>
          <w:rFonts w:ascii="宋体" w:hAnsi="宋体" w:cs="宋体"/>
          <w:color w:val="auto"/>
          <w:sz w:val="24"/>
          <w:highlight w:val="none"/>
        </w:rPr>
      </w:pPr>
    </w:p>
    <w:p w14:paraId="1B821CB6">
      <w:pPr>
        <w:ind w:firstLine="424" w:firstLineChars="177"/>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1FC96588">
      <w:pPr>
        <w:ind w:left="420"/>
        <w:rPr>
          <w:rFonts w:ascii="宋体" w:hAnsi="宋体" w:cs="宋体"/>
          <w:color w:val="auto"/>
          <w:sz w:val="24"/>
          <w:highlight w:val="none"/>
        </w:rPr>
      </w:pPr>
    </w:p>
    <w:p w14:paraId="4DE28CD2">
      <w:pPr>
        <w:ind w:firstLine="424" w:firstLineChars="177"/>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019A455">
      <w:pPr>
        <w:ind w:firstLine="435"/>
        <w:rPr>
          <w:rFonts w:ascii="宋体" w:hAnsi="宋体" w:cs="宋体"/>
          <w:color w:val="auto"/>
          <w:sz w:val="24"/>
          <w:highlight w:val="none"/>
        </w:rPr>
      </w:pPr>
    </w:p>
    <w:p w14:paraId="4EA5923F">
      <w:pPr>
        <w:ind w:firstLine="424" w:firstLineChars="177"/>
        <w:rPr>
          <w:rFonts w:ascii="宋体" w:hAnsi="宋体" w:cs="宋体"/>
          <w:color w:val="auto"/>
          <w:sz w:val="24"/>
          <w:highlight w:val="none"/>
          <w:u w:val="singl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EDC53EC">
      <w:pPr>
        <w:rPr>
          <w:rFonts w:ascii="宋体" w:hAnsi="宋体" w:cs="宋体"/>
          <w:color w:val="auto"/>
          <w:sz w:val="24"/>
          <w:highlight w:val="none"/>
        </w:rPr>
      </w:pPr>
    </w:p>
    <w:p w14:paraId="0A4C8000">
      <w:pPr>
        <w:pStyle w:val="86"/>
        <w:shd w:val="clear" w:color="auto" w:fill="FFFFFF"/>
        <w:spacing w:before="0" w:beforeAutospacing="0" w:after="0" w:afterAutospacing="0"/>
        <w:ind w:firstLine="424" w:firstLineChars="177"/>
        <w:rPr>
          <w:rFonts w:ascii="宋体" w:hAnsi="宋体" w:cs="宋体"/>
          <w:b/>
          <w:color w:val="auto"/>
          <w:sz w:val="28"/>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4D53BE2D">
      <w:pPr>
        <w:snapToGrid w:val="0"/>
        <w:spacing w:before="50" w:after="50" w:line="360" w:lineRule="auto"/>
        <w:rPr>
          <w:rFonts w:hint="eastAsia" w:ascii="宋体" w:hAnsi="宋体" w:cs="宋体"/>
          <w:b/>
          <w:color w:val="auto"/>
          <w:sz w:val="28"/>
          <w:highlight w:val="none"/>
        </w:rPr>
      </w:pPr>
    </w:p>
    <w:p w14:paraId="5A29DC89">
      <w:pPr>
        <w:snapToGrid w:val="0"/>
        <w:spacing w:before="50" w:after="50" w:line="360" w:lineRule="auto"/>
        <w:rPr>
          <w:rFonts w:hint="eastAsia" w:ascii="宋体" w:hAnsi="宋体" w:cs="宋体"/>
          <w:b/>
          <w:color w:val="auto"/>
          <w:sz w:val="28"/>
          <w:highlight w:val="none"/>
        </w:rPr>
      </w:pPr>
    </w:p>
    <w:p w14:paraId="0E760D15">
      <w:pPr>
        <w:snapToGrid w:val="0"/>
        <w:spacing w:before="50" w:after="50" w:line="360" w:lineRule="auto"/>
        <w:rPr>
          <w:rFonts w:ascii="宋体" w:hAnsi="宋体" w:cs="宋体"/>
          <w:b/>
          <w:color w:val="auto"/>
          <w:sz w:val="32"/>
          <w:szCs w:val="32"/>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12</w:t>
      </w:r>
      <w:r>
        <w:rPr>
          <w:rFonts w:hint="eastAsia" w:ascii="宋体" w:hAnsi="宋体" w:cs="宋体"/>
          <w:b/>
          <w:color w:val="auto"/>
          <w:sz w:val="28"/>
          <w:highlight w:val="none"/>
        </w:rPr>
        <w:t>：</w:t>
      </w:r>
    </w:p>
    <w:p w14:paraId="77174A52">
      <w:pPr>
        <w:snapToGrid w:val="0"/>
        <w:spacing w:beforeLines="50" w:after="50"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项目实施人员一览表</w:t>
      </w:r>
    </w:p>
    <w:p w14:paraId="5933C92E">
      <w:pPr>
        <w:snapToGrid w:val="0"/>
        <w:spacing w:beforeLines="50" w:after="50"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（主要从业人员及其技术资格）</w:t>
      </w:r>
    </w:p>
    <w:p w14:paraId="5D4A05C3">
      <w:pPr>
        <w:pStyle w:val="23"/>
        <w:adjustRightInd w:val="0"/>
        <w:snapToGrid w:val="0"/>
        <w:spacing w:line="360" w:lineRule="auto"/>
        <w:jc w:val="left"/>
        <w:rPr>
          <w:rFonts w:ascii="宋体" w:hAnsi="宋体" w:eastAsia="宋体" w:cs="宋体"/>
          <w:b/>
          <w:color w:val="auto"/>
          <w:sz w:val="24"/>
          <w:highlight w:val="none"/>
        </w:rPr>
      </w:pPr>
      <w:r>
        <w:rPr>
          <w:rFonts w:hint="eastAsia" w:ascii="宋体" w:hAnsi="宋体" w:eastAsia="宋体" w:cs="宋体"/>
          <w:b/>
          <w:bCs/>
          <w:color w:val="auto"/>
          <w:sz w:val="24"/>
          <w:highlight w:val="none"/>
        </w:rPr>
        <w:t>项目名称及编号：</w:t>
      </w:r>
    </w:p>
    <w:tbl>
      <w:tblPr>
        <w:tblStyle w:val="4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5BFC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3D0D1581">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4672EB86">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F86A5B9">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01E508CB">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EE8469B">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FDE4519">
            <w:pPr>
              <w:snapToGrid w:val="0"/>
              <w:spacing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6109932">
            <w:pP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1E71ACA">
            <w:pPr>
              <w:snapToGrid w:val="0"/>
              <w:spacing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45A7F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2200EC1">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D25F997">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6E8E873">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AEC7871">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E435D8B">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5629793">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632A586">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38462E4">
            <w:pPr>
              <w:snapToGrid w:val="0"/>
              <w:spacing w:beforeLines="50" w:after="50" w:line="360" w:lineRule="auto"/>
              <w:rPr>
                <w:rFonts w:ascii="宋体" w:hAnsi="宋体" w:cs="宋体"/>
                <w:b/>
                <w:color w:val="auto"/>
                <w:kern w:val="44"/>
                <w:sz w:val="24"/>
                <w:szCs w:val="20"/>
                <w:highlight w:val="none"/>
              </w:rPr>
            </w:pPr>
          </w:p>
        </w:tc>
      </w:tr>
      <w:tr w14:paraId="56C55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37C0BC4">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42D062B">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2EB721">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C1182E6">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02E8B1D">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D5AAE48">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D7DAF4B">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D647542">
            <w:pPr>
              <w:snapToGrid w:val="0"/>
              <w:spacing w:beforeLines="50" w:after="50" w:line="360" w:lineRule="auto"/>
              <w:rPr>
                <w:rFonts w:ascii="宋体" w:hAnsi="宋体" w:cs="宋体"/>
                <w:b/>
                <w:color w:val="auto"/>
                <w:kern w:val="44"/>
                <w:sz w:val="24"/>
                <w:szCs w:val="20"/>
                <w:highlight w:val="none"/>
              </w:rPr>
            </w:pPr>
          </w:p>
        </w:tc>
      </w:tr>
      <w:tr w14:paraId="76E4C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00E09C9">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91E2A08">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AA8F407">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31B3BCC">
            <w:pPr>
              <w:pStyle w:val="26"/>
              <w:snapToGrid w:val="0"/>
              <w:spacing w:beforeLines="50" w:after="50" w:line="360" w:lineRule="auto"/>
              <w:ind w:left="5250"/>
              <w:rPr>
                <w:rFonts w:ascii="宋体" w:hAnsi="宋体" w:eastAsia="宋体" w:cs="宋体"/>
                <w:b/>
                <w:color w:val="auto"/>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14:paraId="65E370F3">
            <w:pPr>
              <w:pStyle w:val="26"/>
              <w:snapToGrid w:val="0"/>
              <w:spacing w:beforeLines="50" w:after="50" w:line="360" w:lineRule="auto"/>
              <w:ind w:left="5250"/>
              <w:rPr>
                <w:rFonts w:ascii="宋体" w:hAnsi="宋体" w:eastAsia="宋体" w:cs="宋体"/>
                <w:b/>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14:paraId="7A964E50">
            <w:pPr>
              <w:pStyle w:val="26"/>
              <w:spacing w:line="360" w:lineRule="auto"/>
              <w:ind w:left="5250"/>
              <w:rPr>
                <w:rFonts w:ascii="宋体" w:hAnsi="宋体" w:eastAsia="宋体" w:cs="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7AC38867">
            <w:pPr>
              <w:snapToGrid w:val="0"/>
              <w:spacing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E245F4E">
            <w:pPr>
              <w:snapToGrid w:val="0"/>
              <w:spacing w:beforeLines="50" w:after="50" w:line="360" w:lineRule="auto"/>
              <w:rPr>
                <w:rFonts w:ascii="宋体" w:hAnsi="宋体" w:cs="宋体"/>
                <w:b/>
                <w:color w:val="auto"/>
                <w:kern w:val="44"/>
                <w:sz w:val="24"/>
                <w:szCs w:val="20"/>
                <w:highlight w:val="none"/>
              </w:rPr>
            </w:pPr>
          </w:p>
        </w:tc>
      </w:tr>
      <w:tr w14:paraId="37281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47CCDBE8">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DAC79F0">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4C9A92C">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E2A1E58">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A073156">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037BFFB">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928E6DB">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ED4B799">
            <w:pPr>
              <w:snapToGrid w:val="0"/>
              <w:spacing w:beforeLines="50" w:after="50" w:line="360" w:lineRule="auto"/>
              <w:rPr>
                <w:rFonts w:ascii="宋体" w:hAnsi="宋体" w:cs="宋体"/>
                <w:b/>
                <w:color w:val="auto"/>
                <w:kern w:val="44"/>
                <w:sz w:val="24"/>
                <w:szCs w:val="20"/>
                <w:highlight w:val="none"/>
              </w:rPr>
            </w:pPr>
          </w:p>
        </w:tc>
      </w:tr>
      <w:tr w14:paraId="5676F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449E6B8">
            <w:pPr>
              <w:snapToGrid w:val="0"/>
              <w:spacing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ECCA9B8">
            <w:pPr>
              <w:snapToGrid w:val="0"/>
              <w:spacing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A29F823">
            <w:pPr>
              <w:snapToGrid w:val="0"/>
              <w:spacing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4450837">
            <w:pPr>
              <w:snapToGrid w:val="0"/>
              <w:spacing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43A317E">
            <w:pPr>
              <w:snapToGrid w:val="0"/>
              <w:spacing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4682115">
            <w:pPr>
              <w:snapToGrid w:val="0"/>
              <w:spacing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796B4C7">
            <w:pPr>
              <w:snapToGrid w:val="0"/>
              <w:spacing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399DDD8">
            <w:pPr>
              <w:snapToGrid w:val="0"/>
              <w:spacing w:beforeLines="50" w:after="50" w:line="360" w:lineRule="auto"/>
              <w:rPr>
                <w:rFonts w:ascii="宋体" w:hAnsi="宋体" w:cs="宋体"/>
                <w:b/>
                <w:color w:val="auto"/>
                <w:kern w:val="44"/>
                <w:sz w:val="24"/>
                <w:szCs w:val="20"/>
                <w:highlight w:val="none"/>
              </w:rPr>
            </w:pPr>
          </w:p>
        </w:tc>
      </w:tr>
    </w:tbl>
    <w:p w14:paraId="111D57C6">
      <w:pPr>
        <w:spacing w:line="360" w:lineRule="auto"/>
        <w:rPr>
          <w:rFonts w:ascii="宋体" w:hAnsi="宋体" w:cs="宋体"/>
          <w:b/>
          <w:color w:val="auto"/>
          <w:szCs w:val="21"/>
          <w:highlight w:val="none"/>
        </w:rPr>
      </w:pPr>
      <w:r>
        <w:rPr>
          <w:rFonts w:hint="eastAsia" w:ascii="宋体" w:hAnsi="宋体" w:cs="宋体"/>
          <w:b/>
          <w:color w:val="auto"/>
          <w:szCs w:val="21"/>
          <w:highlight w:val="none"/>
        </w:rPr>
        <w:t>要求：</w:t>
      </w:r>
    </w:p>
    <w:p w14:paraId="16C10328">
      <w:pPr>
        <w:spacing w:line="360" w:lineRule="auto"/>
        <w:ind w:left="437"/>
        <w:rPr>
          <w:rFonts w:ascii="宋体" w:hAnsi="宋体" w:cs="宋体"/>
          <w:b w:val="0"/>
          <w:bCs/>
          <w:color w:val="auto"/>
          <w:szCs w:val="21"/>
          <w:highlight w:val="none"/>
        </w:rPr>
      </w:pPr>
      <w:r>
        <w:rPr>
          <w:rFonts w:hint="eastAsia" w:ascii="宋体" w:hAnsi="宋体" w:cs="宋体"/>
          <w:b w:val="0"/>
          <w:bCs/>
          <w:color w:val="auto"/>
          <w:szCs w:val="21"/>
          <w:highlight w:val="none"/>
        </w:rPr>
        <w:t>1.在填写时，如本表格不适合供应商的实际情况，可根据本表格式自行划表填写。</w:t>
      </w:r>
    </w:p>
    <w:p w14:paraId="05A4CD3B">
      <w:pPr>
        <w:pStyle w:val="87"/>
        <w:spacing w:line="360" w:lineRule="auto"/>
        <w:ind w:left="424" w:leftChars="202"/>
        <w:rPr>
          <w:rFonts w:ascii="宋体" w:hAnsi="宋体" w:cs="宋体"/>
          <w:b w:val="0"/>
          <w:bCs/>
          <w:color w:val="auto"/>
          <w:szCs w:val="21"/>
          <w:highlight w:val="none"/>
        </w:rPr>
      </w:pPr>
      <w:bookmarkStart w:id="50" w:name="_Hlk77860659"/>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.按评标办法提供。</w:t>
      </w:r>
    </w:p>
    <w:p w14:paraId="337CB491">
      <w:pPr>
        <w:snapToGrid w:val="0"/>
        <w:spacing w:before="50" w:afterLines="50" w:line="360" w:lineRule="auto"/>
        <w:jc w:val="left"/>
        <w:rPr>
          <w:rFonts w:ascii="宋体" w:hAnsi="宋体" w:cs="宋体"/>
          <w:color w:val="auto"/>
          <w:sz w:val="24"/>
          <w:szCs w:val="20"/>
          <w:highlight w:val="none"/>
        </w:rPr>
      </w:pPr>
    </w:p>
    <w:p w14:paraId="06CE9A56">
      <w:pPr>
        <w:pStyle w:val="17"/>
        <w:rPr>
          <w:color w:val="auto"/>
          <w:highlight w:val="none"/>
        </w:rPr>
      </w:pPr>
    </w:p>
    <w:p w14:paraId="3516E160">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EE1CC71">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B44BAE9">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5671FF7">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bookmarkEnd w:id="50"/>
    <w:p w14:paraId="371DDAE5">
      <w:pPr>
        <w:snapToGrid w:val="0"/>
        <w:spacing w:before="50" w:after="50" w:line="360" w:lineRule="auto"/>
        <w:rPr>
          <w:rFonts w:ascii="宋体" w:hAnsi="宋体" w:cs="宋体"/>
          <w:b/>
          <w:color w:val="auto"/>
          <w:sz w:val="28"/>
          <w:highlight w:val="none"/>
        </w:rPr>
        <w:sectPr>
          <w:pgSz w:w="11906" w:h="16838"/>
          <w:pgMar w:top="1440" w:right="1800" w:bottom="1440" w:left="1800" w:header="851" w:footer="992" w:gutter="0"/>
          <w:pgNumType w:fmt="decimal"/>
          <w:cols w:space="720" w:num="1"/>
          <w:docGrid w:type="lines" w:linePitch="312" w:charSpace="0"/>
        </w:sectPr>
      </w:pPr>
    </w:p>
    <w:p w14:paraId="3CCD67F3">
      <w:pPr>
        <w:spacing w:line="360" w:lineRule="auto"/>
        <w:rPr>
          <w:rFonts w:ascii="宋体" w:hAnsi="宋体" w:cs="宋体"/>
          <w:b/>
          <w:color w:val="auto"/>
          <w:sz w:val="28"/>
          <w:highlight w:val="none"/>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cs="宋体"/>
          <w:b/>
          <w:color w:val="auto"/>
          <w:sz w:val="28"/>
          <w:highlight w:val="none"/>
        </w:rPr>
        <w:t>：</w:t>
      </w:r>
    </w:p>
    <w:p w14:paraId="06F7424C">
      <w:pPr>
        <w:pStyle w:val="23"/>
        <w:adjustRightInd w:val="0"/>
        <w:snapToGrid w:val="0"/>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4BE24B8D">
      <w:pPr>
        <w:pStyle w:val="23"/>
        <w:adjustRightInd w:val="0"/>
        <w:snapToGrid w:val="0"/>
        <w:spacing w:line="360" w:lineRule="auto"/>
        <w:jc w:val="left"/>
        <w:rPr>
          <w:rFonts w:ascii="宋体" w:hAnsi="宋体" w:eastAsia="宋体" w:cs="宋体"/>
          <w:b/>
          <w:color w:val="auto"/>
          <w:sz w:val="24"/>
          <w:highlight w:val="none"/>
        </w:rPr>
      </w:pPr>
      <w:r>
        <w:rPr>
          <w:rFonts w:hint="eastAsia" w:ascii="宋体" w:hAnsi="宋体" w:eastAsia="宋体" w:cs="宋体"/>
          <w:b/>
          <w:bCs/>
          <w:color w:val="auto"/>
          <w:sz w:val="24"/>
          <w:highlight w:val="none"/>
        </w:rPr>
        <w:t>项目名称及编号：</w:t>
      </w:r>
    </w:p>
    <w:tbl>
      <w:tblPr>
        <w:tblStyle w:val="4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167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4F7F0EF9">
            <w:pPr>
              <w:rPr>
                <w:rFonts w:ascii="宋体"/>
                <w:b/>
                <w:color w:val="auto"/>
                <w:sz w:val="24"/>
                <w:highlight w:val="none"/>
              </w:rPr>
            </w:pPr>
            <w:r>
              <w:rPr>
                <w:rFonts w:hint="eastAsia" w:ascii="宋体"/>
                <w:b/>
                <w:color w:val="auto"/>
                <w:sz w:val="24"/>
                <w:highlight w:val="none"/>
              </w:rPr>
              <w:t>序号</w:t>
            </w:r>
          </w:p>
        </w:tc>
        <w:tc>
          <w:tcPr>
            <w:tcW w:w="1785" w:type="dxa"/>
            <w:vAlign w:val="center"/>
          </w:tcPr>
          <w:p w14:paraId="3AB73D92">
            <w:pPr>
              <w:rPr>
                <w:rFonts w:ascii="宋体"/>
                <w:b/>
                <w:color w:val="auto"/>
                <w:sz w:val="24"/>
                <w:highlight w:val="none"/>
              </w:rPr>
            </w:pPr>
            <w:r>
              <w:rPr>
                <w:rFonts w:hint="eastAsia" w:ascii="宋体"/>
                <w:b/>
                <w:color w:val="auto"/>
                <w:sz w:val="24"/>
                <w:highlight w:val="none"/>
              </w:rPr>
              <w:t xml:space="preserve">   内容</w:t>
            </w:r>
          </w:p>
        </w:tc>
        <w:tc>
          <w:tcPr>
            <w:tcW w:w="1785" w:type="dxa"/>
            <w:vAlign w:val="center"/>
          </w:tcPr>
          <w:p w14:paraId="3C95F9A2">
            <w:pPr>
              <w:ind w:left="53" w:leftChars="25" w:firstLine="241" w:firstLineChars="100"/>
              <w:rPr>
                <w:rFonts w:ascii="宋体"/>
                <w:b/>
                <w:color w:val="auto"/>
                <w:sz w:val="24"/>
                <w:highlight w:val="none"/>
              </w:rPr>
            </w:pPr>
            <w:r>
              <w:rPr>
                <w:rFonts w:hint="eastAsia" w:ascii="宋体"/>
                <w:b/>
                <w:color w:val="auto"/>
                <w:sz w:val="24"/>
                <w:highlight w:val="none"/>
              </w:rPr>
              <w:t>招标需求</w:t>
            </w:r>
          </w:p>
        </w:tc>
        <w:tc>
          <w:tcPr>
            <w:tcW w:w="1365" w:type="dxa"/>
            <w:vAlign w:val="center"/>
          </w:tcPr>
          <w:p w14:paraId="121AF363">
            <w:pPr>
              <w:ind w:left="152"/>
              <w:rPr>
                <w:rFonts w:ascii="宋体"/>
                <w:b/>
                <w:color w:val="auto"/>
                <w:sz w:val="24"/>
                <w:highlight w:val="none"/>
              </w:rPr>
            </w:pPr>
            <w:r>
              <w:rPr>
                <w:rFonts w:hint="eastAsia" w:ascii="宋体"/>
                <w:b/>
                <w:color w:val="auto"/>
                <w:sz w:val="24"/>
                <w:highlight w:val="none"/>
              </w:rPr>
              <w:t>是否响应</w:t>
            </w:r>
          </w:p>
        </w:tc>
        <w:tc>
          <w:tcPr>
            <w:tcW w:w="2625" w:type="dxa"/>
            <w:vAlign w:val="center"/>
          </w:tcPr>
          <w:p w14:paraId="07251A36">
            <w:pPr>
              <w:jc w:val="center"/>
              <w:rPr>
                <w:rFonts w:ascii="宋体"/>
                <w:b/>
                <w:color w:val="auto"/>
                <w:sz w:val="24"/>
                <w:highlight w:val="none"/>
              </w:rPr>
            </w:pPr>
            <w:r>
              <w:rPr>
                <w:rFonts w:hint="eastAsia" w:ascii="宋体"/>
                <w:b/>
                <w:color w:val="auto"/>
                <w:sz w:val="24"/>
                <w:highlight w:val="none"/>
              </w:rPr>
              <w:t>投标人的承诺或说明</w:t>
            </w:r>
          </w:p>
        </w:tc>
      </w:tr>
      <w:tr w14:paraId="17C5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804B6AE">
            <w:pPr>
              <w:jc w:val="center"/>
              <w:rPr>
                <w:rFonts w:ascii="宋体"/>
                <w:color w:val="auto"/>
                <w:sz w:val="24"/>
                <w:highlight w:val="none"/>
              </w:rPr>
            </w:pPr>
          </w:p>
        </w:tc>
        <w:tc>
          <w:tcPr>
            <w:tcW w:w="1785" w:type="dxa"/>
            <w:vAlign w:val="center"/>
          </w:tcPr>
          <w:p w14:paraId="71105178">
            <w:pPr>
              <w:snapToGrid w:val="0"/>
              <w:jc w:val="center"/>
              <w:rPr>
                <w:rFonts w:ascii="宋体"/>
                <w:color w:val="auto"/>
                <w:sz w:val="24"/>
                <w:highlight w:val="none"/>
              </w:rPr>
            </w:pPr>
          </w:p>
        </w:tc>
        <w:tc>
          <w:tcPr>
            <w:tcW w:w="1785" w:type="dxa"/>
            <w:vAlign w:val="center"/>
          </w:tcPr>
          <w:p w14:paraId="22C36349">
            <w:pPr>
              <w:spacing w:line="400" w:lineRule="exact"/>
              <w:rPr>
                <w:rFonts w:ascii="宋体"/>
                <w:color w:val="auto"/>
                <w:sz w:val="24"/>
                <w:highlight w:val="none"/>
              </w:rPr>
            </w:pPr>
          </w:p>
        </w:tc>
        <w:tc>
          <w:tcPr>
            <w:tcW w:w="1365" w:type="dxa"/>
            <w:vAlign w:val="center"/>
          </w:tcPr>
          <w:p w14:paraId="0FABB1FF">
            <w:pPr>
              <w:rPr>
                <w:rFonts w:ascii="宋体"/>
                <w:color w:val="auto"/>
                <w:sz w:val="24"/>
                <w:highlight w:val="none"/>
              </w:rPr>
            </w:pPr>
          </w:p>
        </w:tc>
        <w:tc>
          <w:tcPr>
            <w:tcW w:w="2625" w:type="dxa"/>
            <w:vAlign w:val="center"/>
          </w:tcPr>
          <w:p w14:paraId="35E97788">
            <w:pPr>
              <w:rPr>
                <w:rFonts w:ascii="宋体"/>
                <w:color w:val="auto"/>
                <w:sz w:val="24"/>
                <w:highlight w:val="none"/>
              </w:rPr>
            </w:pPr>
          </w:p>
        </w:tc>
      </w:tr>
      <w:tr w14:paraId="2859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0C78484">
            <w:pPr>
              <w:jc w:val="center"/>
              <w:rPr>
                <w:rFonts w:ascii="宋体"/>
                <w:color w:val="auto"/>
                <w:sz w:val="24"/>
                <w:highlight w:val="none"/>
              </w:rPr>
            </w:pPr>
          </w:p>
        </w:tc>
        <w:tc>
          <w:tcPr>
            <w:tcW w:w="1785" w:type="dxa"/>
            <w:vAlign w:val="center"/>
          </w:tcPr>
          <w:p w14:paraId="4218658C">
            <w:pPr>
              <w:snapToGrid w:val="0"/>
              <w:jc w:val="center"/>
              <w:rPr>
                <w:rFonts w:ascii="宋体"/>
                <w:color w:val="auto"/>
                <w:sz w:val="24"/>
                <w:highlight w:val="none"/>
              </w:rPr>
            </w:pPr>
          </w:p>
        </w:tc>
        <w:tc>
          <w:tcPr>
            <w:tcW w:w="1785" w:type="dxa"/>
            <w:vAlign w:val="center"/>
          </w:tcPr>
          <w:p w14:paraId="19F13F45">
            <w:pPr>
              <w:rPr>
                <w:rFonts w:ascii="宋体"/>
                <w:color w:val="auto"/>
                <w:sz w:val="24"/>
                <w:highlight w:val="none"/>
              </w:rPr>
            </w:pPr>
          </w:p>
        </w:tc>
        <w:tc>
          <w:tcPr>
            <w:tcW w:w="1365" w:type="dxa"/>
            <w:vAlign w:val="center"/>
          </w:tcPr>
          <w:p w14:paraId="3F241CE7">
            <w:pPr>
              <w:rPr>
                <w:rFonts w:ascii="宋体"/>
                <w:color w:val="auto"/>
                <w:sz w:val="24"/>
                <w:highlight w:val="none"/>
              </w:rPr>
            </w:pPr>
          </w:p>
        </w:tc>
        <w:tc>
          <w:tcPr>
            <w:tcW w:w="2625" w:type="dxa"/>
            <w:vAlign w:val="center"/>
          </w:tcPr>
          <w:p w14:paraId="7B3F1027">
            <w:pPr>
              <w:rPr>
                <w:rFonts w:ascii="宋体"/>
                <w:color w:val="auto"/>
                <w:sz w:val="24"/>
                <w:highlight w:val="none"/>
              </w:rPr>
            </w:pPr>
          </w:p>
        </w:tc>
      </w:tr>
      <w:tr w14:paraId="0C0C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606EC28">
            <w:pPr>
              <w:jc w:val="center"/>
              <w:rPr>
                <w:rFonts w:ascii="宋体"/>
                <w:color w:val="auto"/>
                <w:sz w:val="24"/>
                <w:highlight w:val="none"/>
              </w:rPr>
            </w:pPr>
          </w:p>
        </w:tc>
        <w:tc>
          <w:tcPr>
            <w:tcW w:w="1785" w:type="dxa"/>
            <w:vAlign w:val="center"/>
          </w:tcPr>
          <w:p w14:paraId="27EB0897">
            <w:pPr>
              <w:snapToGrid w:val="0"/>
              <w:jc w:val="center"/>
              <w:rPr>
                <w:rFonts w:ascii="宋体"/>
                <w:color w:val="auto"/>
                <w:sz w:val="24"/>
                <w:highlight w:val="none"/>
              </w:rPr>
            </w:pPr>
          </w:p>
        </w:tc>
        <w:tc>
          <w:tcPr>
            <w:tcW w:w="1785" w:type="dxa"/>
            <w:vAlign w:val="center"/>
          </w:tcPr>
          <w:p w14:paraId="69DBDEFC">
            <w:pPr>
              <w:rPr>
                <w:rFonts w:ascii="宋体"/>
                <w:color w:val="auto"/>
                <w:sz w:val="24"/>
                <w:highlight w:val="none"/>
              </w:rPr>
            </w:pPr>
          </w:p>
        </w:tc>
        <w:tc>
          <w:tcPr>
            <w:tcW w:w="1365" w:type="dxa"/>
            <w:vAlign w:val="center"/>
          </w:tcPr>
          <w:p w14:paraId="6F6FD6F1">
            <w:pPr>
              <w:rPr>
                <w:rFonts w:ascii="宋体"/>
                <w:color w:val="auto"/>
                <w:sz w:val="24"/>
                <w:highlight w:val="none"/>
              </w:rPr>
            </w:pPr>
          </w:p>
        </w:tc>
        <w:tc>
          <w:tcPr>
            <w:tcW w:w="2625" w:type="dxa"/>
            <w:vAlign w:val="center"/>
          </w:tcPr>
          <w:p w14:paraId="251019A1">
            <w:pPr>
              <w:rPr>
                <w:rFonts w:ascii="宋体"/>
                <w:color w:val="auto"/>
                <w:sz w:val="24"/>
                <w:highlight w:val="none"/>
              </w:rPr>
            </w:pPr>
          </w:p>
        </w:tc>
      </w:tr>
      <w:tr w14:paraId="7A43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4BE94FB">
            <w:pPr>
              <w:rPr>
                <w:rFonts w:ascii="宋体"/>
                <w:color w:val="auto"/>
                <w:sz w:val="24"/>
                <w:highlight w:val="none"/>
              </w:rPr>
            </w:pPr>
          </w:p>
        </w:tc>
        <w:tc>
          <w:tcPr>
            <w:tcW w:w="1785" w:type="dxa"/>
            <w:vAlign w:val="center"/>
          </w:tcPr>
          <w:p w14:paraId="6C230242">
            <w:pPr>
              <w:snapToGrid w:val="0"/>
              <w:jc w:val="center"/>
              <w:rPr>
                <w:rFonts w:ascii="宋体"/>
                <w:color w:val="auto"/>
                <w:sz w:val="24"/>
                <w:highlight w:val="none"/>
              </w:rPr>
            </w:pPr>
          </w:p>
        </w:tc>
        <w:tc>
          <w:tcPr>
            <w:tcW w:w="1785" w:type="dxa"/>
            <w:vAlign w:val="center"/>
          </w:tcPr>
          <w:p w14:paraId="0D0AD245">
            <w:pPr>
              <w:rPr>
                <w:rFonts w:ascii="宋体"/>
                <w:color w:val="auto"/>
                <w:sz w:val="24"/>
                <w:highlight w:val="none"/>
              </w:rPr>
            </w:pPr>
          </w:p>
        </w:tc>
        <w:tc>
          <w:tcPr>
            <w:tcW w:w="1365" w:type="dxa"/>
            <w:vAlign w:val="center"/>
          </w:tcPr>
          <w:p w14:paraId="3C9D1B8A">
            <w:pPr>
              <w:rPr>
                <w:rFonts w:ascii="宋体"/>
                <w:color w:val="auto"/>
                <w:sz w:val="24"/>
                <w:highlight w:val="none"/>
              </w:rPr>
            </w:pPr>
          </w:p>
        </w:tc>
        <w:tc>
          <w:tcPr>
            <w:tcW w:w="2625" w:type="dxa"/>
            <w:vAlign w:val="center"/>
          </w:tcPr>
          <w:p w14:paraId="2296F71D">
            <w:pPr>
              <w:rPr>
                <w:rFonts w:ascii="宋体"/>
                <w:color w:val="auto"/>
                <w:sz w:val="24"/>
                <w:highlight w:val="none"/>
              </w:rPr>
            </w:pPr>
          </w:p>
        </w:tc>
      </w:tr>
      <w:tr w14:paraId="7C36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AA1F5CA">
            <w:pPr>
              <w:rPr>
                <w:rFonts w:ascii="宋体"/>
                <w:color w:val="auto"/>
                <w:sz w:val="24"/>
                <w:highlight w:val="none"/>
              </w:rPr>
            </w:pPr>
          </w:p>
        </w:tc>
        <w:tc>
          <w:tcPr>
            <w:tcW w:w="1785" w:type="dxa"/>
          </w:tcPr>
          <w:p w14:paraId="54A7B90B">
            <w:pPr>
              <w:snapToGrid w:val="0"/>
              <w:rPr>
                <w:rFonts w:ascii="宋体"/>
                <w:color w:val="auto"/>
                <w:sz w:val="24"/>
                <w:highlight w:val="none"/>
              </w:rPr>
            </w:pPr>
          </w:p>
        </w:tc>
        <w:tc>
          <w:tcPr>
            <w:tcW w:w="1785" w:type="dxa"/>
            <w:vAlign w:val="center"/>
          </w:tcPr>
          <w:p w14:paraId="5A6B4356">
            <w:pPr>
              <w:rPr>
                <w:rFonts w:ascii="宋体"/>
                <w:color w:val="auto"/>
                <w:sz w:val="24"/>
                <w:highlight w:val="none"/>
              </w:rPr>
            </w:pPr>
          </w:p>
        </w:tc>
        <w:tc>
          <w:tcPr>
            <w:tcW w:w="1365" w:type="dxa"/>
            <w:vAlign w:val="center"/>
          </w:tcPr>
          <w:p w14:paraId="72DBF91B">
            <w:pPr>
              <w:rPr>
                <w:rFonts w:ascii="宋体"/>
                <w:color w:val="auto"/>
                <w:sz w:val="24"/>
                <w:highlight w:val="none"/>
              </w:rPr>
            </w:pPr>
          </w:p>
        </w:tc>
        <w:tc>
          <w:tcPr>
            <w:tcW w:w="2625" w:type="dxa"/>
            <w:vAlign w:val="center"/>
          </w:tcPr>
          <w:p w14:paraId="1E001689">
            <w:pPr>
              <w:rPr>
                <w:rFonts w:ascii="宋体"/>
                <w:color w:val="auto"/>
                <w:sz w:val="24"/>
                <w:highlight w:val="none"/>
              </w:rPr>
            </w:pPr>
          </w:p>
        </w:tc>
      </w:tr>
      <w:tr w14:paraId="5A0B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ED31614">
            <w:pPr>
              <w:rPr>
                <w:rFonts w:ascii="宋体"/>
                <w:color w:val="auto"/>
                <w:sz w:val="24"/>
                <w:highlight w:val="none"/>
              </w:rPr>
            </w:pPr>
          </w:p>
        </w:tc>
        <w:tc>
          <w:tcPr>
            <w:tcW w:w="1785" w:type="dxa"/>
          </w:tcPr>
          <w:p w14:paraId="2CDCFC55">
            <w:pPr>
              <w:snapToGrid w:val="0"/>
              <w:rPr>
                <w:rFonts w:ascii="宋体"/>
                <w:color w:val="auto"/>
                <w:sz w:val="24"/>
                <w:highlight w:val="none"/>
              </w:rPr>
            </w:pPr>
          </w:p>
        </w:tc>
        <w:tc>
          <w:tcPr>
            <w:tcW w:w="1785" w:type="dxa"/>
            <w:vAlign w:val="center"/>
          </w:tcPr>
          <w:p w14:paraId="39D9566A">
            <w:pPr>
              <w:rPr>
                <w:rFonts w:ascii="宋体"/>
                <w:color w:val="auto"/>
                <w:sz w:val="24"/>
                <w:highlight w:val="none"/>
              </w:rPr>
            </w:pPr>
          </w:p>
        </w:tc>
        <w:tc>
          <w:tcPr>
            <w:tcW w:w="1365" w:type="dxa"/>
            <w:vAlign w:val="center"/>
          </w:tcPr>
          <w:p w14:paraId="4262A870">
            <w:pPr>
              <w:rPr>
                <w:rFonts w:ascii="宋体"/>
                <w:color w:val="auto"/>
                <w:sz w:val="24"/>
                <w:highlight w:val="none"/>
              </w:rPr>
            </w:pPr>
          </w:p>
        </w:tc>
        <w:tc>
          <w:tcPr>
            <w:tcW w:w="2625" w:type="dxa"/>
            <w:vAlign w:val="center"/>
          </w:tcPr>
          <w:p w14:paraId="54F9C7AD">
            <w:pPr>
              <w:rPr>
                <w:rFonts w:ascii="宋体"/>
                <w:color w:val="auto"/>
                <w:sz w:val="24"/>
                <w:highlight w:val="none"/>
              </w:rPr>
            </w:pPr>
          </w:p>
        </w:tc>
      </w:tr>
    </w:tbl>
    <w:p w14:paraId="4133F077">
      <w:pPr>
        <w:pStyle w:val="23"/>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备注：1、如未提供或未填写均视为完全响应项目需求内容。</w:t>
      </w:r>
    </w:p>
    <w:p w14:paraId="3F8FC16B">
      <w:pPr>
        <w:snapToGrid w:val="0"/>
        <w:spacing w:before="50" w:afterLines="50" w:line="360" w:lineRule="auto"/>
        <w:jc w:val="left"/>
        <w:rPr>
          <w:rFonts w:ascii="宋体" w:hAnsi="宋体" w:cs="宋体"/>
          <w:color w:val="auto"/>
          <w:sz w:val="24"/>
          <w:szCs w:val="20"/>
          <w:highlight w:val="none"/>
        </w:rPr>
      </w:pPr>
    </w:p>
    <w:p w14:paraId="71ECF168">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F2B69C5">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0E1F3B2">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5DE9E8F">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43DAC9FA">
      <w:pPr>
        <w:snapToGrid w:val="0"/>
        <w:spacing w:beforeLines="50" w:after="50" w:line="360" w:lineRule="auto"/>
        <w:rPr>
          <w:rFonts w:ascii="宋体" w:hAnsi="宋体" w:cs="宋体"/>
          <w:b/>
          <w:color w:val="auto"/>
          <w:sz w:val="28"/>
          <w:highlight w:val="none"/>
        </w:rPr>
      </w:pPr>
    </w:p>
    <w:p w14:paraId="26B89289">
      <w:pPr>
        <w:snapToGrid w:val="0"/>
        <w:spacing w:beforeLines="50" w:after="50" w:line="360" w:lineRule="auto"/>
        <w:rPr>
          <w:rFonts w:ascii="宋体" w:hAnsi="宋体" w:cs="宋体"/>
          <w:b/>
          <w:color w:val="auto"/>
          <w:sz w:val="28"/>
          <w:highlight w:val="none"/>
        </w:rPr>
      </w:pPr>
    </w:p>
    <w:p w14:paraId="757696AC">
      <w:pPr>
        <w:pStyle w:val="39"/>
        <w:rPr>
          <w:rFonts w:ascii="宋体" w:hAnsi="宋体" w:cs="宋体"/>
          <w:color w:val="auto"/>
          <w:highlight w:val="none"/>
        </w:rPr>
      </w:pPr>
    </w:p>
    <w:p w14:paraId="14BEE78E">
      <w:pPr>
        <w:rPr>
          <w:rFonts w:ascii="宋体" w:hAnsi="宋体" w:cs="宋体"/>
          <w:color w:val="auto"/>
          <w:highlight w:val="none"/>
        </w:rPr>
      </w:pPr>
    </w:p>
    <w:p w14:paraId="67246D68">
      <w:pPr>
        <w:pStyle w:val="18"/>
        <w:ind w:firstLine="210"/>
        <w:rPr>
          <w:rFonts w:ascii="宋体" w:hAnsi="宋体" w:cs="宋体"/>
          <w:color w:val="auto"/>
          <w:highlight w:val="none"/>
        </w:rPr>
      </w:pPr>
    </w:p>
    <w:p w14:paraId="634D1A65">
      <w:pPr>
        <w:pStyle w:val="18"/>
        <w:ind w:firstLine="210"/>
        <w:rPr>
          <w:rFonts w:ascii="宋体" w:hAnsi="宋体" w:cs="宋体"/>
          <w:color w:val="auto"/>
          <w:highlight w:val="none"/>
        </w:rPr>
      </w:pPr>
    </w:p>
    <w:p w14:paraId="2CDE3EA7">
      <w:pPr>
        <w:pStyle w:val="18"/>
        <w:ind w:firstLine="210"/>
        <w:rPr>
          <w:rFonts w:ascii="宋体" w:hAnsi="宋体" w:cs="宋体"/>
          <w:color w:val="auto"/>
          <w:highlight w:val="none"/>
        </w:rPr>
      </w:pPr>
    </w:p>
    <w:p w14:paraId="0370CE09">
      <w:pPr>
        <w:pStyle w:val="18"/>
        <w:ind w:firstLine="210"/>
        <w:rPr>
          <w:rFonts w:ascii="宋体" w:hAnsi="宋体" w:cs="宋体"/>
          <w:color w:val="auto"/>
          <w:highlight w:val="none"/>
        </w:rPr>
      </w:pPr>
    </w:p>
    <w:p w14:paraId="002C69A4">
      <w:pPr>
        <w:pStyle w:val="18"/>
        <w:ind w:firstLine="210"/>
        <w:rPr>
          <w:rFonts w:ascii="宋体" w:hAnsi="宋体" w:cs="宋体"/>
          <w:color w:val="auto"/>
          <w:highlight w:val="none"/>
        </w:rPr>
      </w:pPr>
    </w:p>
    <w:p w14:paraId="1BC8AB14">
      <w:pPr>
        <w:pStyle w:val="19"/>
        <w:rPr>
          <w:highlight w:val="none"/>
        </w:rPr>
      </w:pPr>
    </w:p>
    <w:p w14:paraId="2DF0273B">
      <w:pPr>
        <w:spacing w:line="360" w:lineRule="auto"/>
        <w:rPr>
          <w:rFonts w:ascii="宋体" w:hAnsi="宋体" w:cs="宋体"/>
          <w:b/>
          <w:color w:val="auto"/>
          <w:sz w:val="28"/>
          <w:highlight w:val="none"/>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cs="宋体"/>
          <w:b/>
          <w:color w:val="auto"/>
          <w:sz w:val="28"/>
          <w:highlight w:val="none"/>
        </w:rPr>
        <w:t>：</w:t>
      </w:r>
    </w:p>
    <w:p w14:paraId="466E6C4B">
      <w:pPr>
        <w:pStyle w:val="39"/>
        <w:rPr>
          <w:rFonts w:ascii="宋体" w:hAnsi="宋体" w:cs="宋体"/>
          <w:color w:val="auto"/>
          <w:highlight w:val="none"/>
        </w:rPr>
      </w:pPr>
      <w:r>
        <w:rPr>
          <w:rFonts w:hint="eastAsia" w:ascii="宋体" w:hAnsi="宋体" w:cs="宋体"/>
          <w:color w:val="auto"/>
          <w:highlight w:val="none"/>
        </w:rPr>
        <w:t>客观分自评表</w:t>
      </w:r>
    </w:p>
    <w:tbl>
      <w:tblPr>
        <w:tblStyle w:val="42"/>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301"/>
        <w:gridCol w:w="1024"/>
      </w:tblGrid>
      <w:tr w14:paraId="015CB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1A7AE761">
            <w:pPr>
              <w:pStyle w:val="89"/>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312" w:type="dxa"/>
            <w:gridSpan w:val="2"/>
            <w:tcBorders>
              <w:top w:val="single" w:color="auto" w:sz="6" w:space="0"/>
              <w:left w:val="single" w:color="auto" w:sz="6" w:space="0"/>
              <w:bottom w:val="single" w:color="auto" w:sz="6" w:space="0"/>
              <w:right w:val="single" w:color="auto" w:sz="4" w:space="0"/>
            </w:tcBorders>
            <w:vAlign w:val="center"/>
          </w:tcPr>
          <w:p w14:paraId="14D47F88">
            <w:pPr>
              <w:pStyle w:val="89"/>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自评内容</w:t>
            </w:r>
          </w:p>
        </w:tc>
        <w:tc>
          <w:tcPr>
            <w:tcW w:w="1024" w:type="dxa"/>
            <w:tcBorders>
              <w:top w:val="single" w:color="auto" w:sz="6" w:space="0"/>
              <w:left w:val="single" w:color="auto" w:sz="4" w:space="0"/>
              <w:bottom w:val="single" w:color="auto" w:sz="6" w:space="0"/>
              <w:right w:val="single" w:color="auto" w:sz="6" w:space="0"/>
            </w:tcBorders>
            <w:vAlign w:val="center"/>
          </w:tcPr>
          <w:p w14:paraId="5796BBAB">
            <w:pPr>
              <w:pStyle w:val="89"/>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r>
      <w:tr w14:paraId="56655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05E1659E">
            <w:pPr>
              <w:pStyle w:val="89"/>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11" w:type="dxa"/>
            <w:tcBorders>
              <w:top w:val="single" w:color="auto" w:sz="6" w:space="0"/>
              <w:left w:val="single" w:color="auto" w:sz="6" w:space="0"/>
              <w:bottom w:val="single" w:color="auto" w:sz="6" w:space="0"/>
              <w:right w:val="single" w:color="auto" w:sz="6" w:space="0"/>
            </w:tcBorders>
            <w:vAlign w:val="center"/>
          </w:tcPr>
          <w:p w14:paraId="3B5C918E">
            <w:pPr>
              <w:spacing w:line="360" w:lineRule="exact"/>
              <w:rPr>
                <w:rFonts w:ascii="宋体" w:hAnsi="宋体" w:cs="宋体"/>
                <w:color w:val="auto"/>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48C0D57C">
            <w:pPr>
              <w:spacing w:line="360" w:lineRule="exact"/>
              <w:jc w:val="left"/>
              <w:rPr>
                <w:rFonts w:ascii="宋体" w:hAnsi="宋体" w:cs="宋体"/>
                <w:color w:val="auto"/>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79026D77">
            <w:pPr>
              <w:pStyle w:val="186"/>
              <w:rPr>
                <w:rFonts w:ascii="宋体" w:hAnsi="宋体" w:eastAsia="宋体" w:cs="宋体"/>
                <w:color w:val="auto"/>
                <w:kern w:val="2"/>
                <w:sz w:val="24"/>
                <w:szCs w:val="24"/>
                <w:highlight w:val="none"/>
              </w:rPr>
            </w:pPr>
          </w:p>
        </w:tc>
      </w:tr>
      <w:tr w14:paraId="627AE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5FD60E29">
            <w:pPr>
              <w:pStyle w:val="89"/>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11" w:type="dxa"/>
            <w:tcBorders>
              <w:top w:val="single" w:color="auto" w:sz="6" w:space="0"/>
              <w:left w:val="single" w:color="auto" w:sz="6" w:space="0"/>
              <w:bottom w:val="single" w:color="auto" w:sz="6" w:space="0"/>
              <w:right w:val="single" w:color="auto" w:sz="6" w:space="0"/>
            </w:tcBorders>
            <w:vAlign w:val="center"/>
          </w:tcPr>
          <w:p w14:paraId="30EC86C9">
            <w:pPr>
              <w:pStyle w:val="187"/>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tcPr>
          <w:p w14:paraId="6CB2FBA3">
            <w:pPr>
              <w:pStyle w:val="187"/>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74DB8F82">
            <w:pPr>
              <w:pStyle w:val="186"/>
              <w:rPr>
                <w:rFonts w:ascii="宋体" w:hAnsi="宋体" w:eastAsia="宋体" w:cs="宋体"/>
                <w:color w:val="auto"/>
                <w:kern w:val="2"/>
                <w:sz w:val="24"/>
                <w:szCs w:val="24"/>
                <w:highlight w:val="none"/>
              </w:rPr>
            </w:pPr>
          </w:p>
        </w:tc>
      </w:tr>
      <w:tr w14:paraId="523A7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284F22BC">
            <w:pPr>
              <w:pStyle w:val="89"/>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11" w:type="dxa"/>
            <w:tcBorders>
              <w:top w:val="single" w:color="auto" w:sz="6" w:space="0"/>
              <w:left w:val="single" w:color="auto" w:sz="6" w:space="0"/>
              <w:bottom w:val="single" w:color="auto" w:sz="6" w:space="0"/>
              <w:right w:val="single" w:color="auto" w:sz="6" w:space="0"/>
            </w:tcBorders>
            <w:vAlign w:val="center"/>
          </w:tcPr>
          <w:p w14:paraId="569BE353">
            <w:pPr>
              <w:pStyle w:val="187"/>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546639CA">
            <w:pPr>
              <w:pStyle w:val="187"/>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7E2809CD">
            <w:pPr>
              <w:pStyle w:val="186"/>
              <w:rPr>
                <w:rFonts w:ascii="宋体" w:hAnsi="宋体" w:eastAsia="宋体" w:cs="宋体"/>
                <w:color w:val="auto"/>
                <w:kern w:val="2"/>
                <w:sz w:val="24"/>
                <w:szCs w:val="24"/>
                <w:highlight w:val="none"/>
              </w:rPr>
            </w:pPr>
          </w:p>
        </w:tc>
      </w:tr>
      <w:tr w14:paraId="4D1D5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61558212">
            <w:pPr>
              <w:pStyle w:val="89"/>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11" w:type="dxa"/>
            <w:tcBorders>
              <w:top w:val="single" w:color="auto" w:sz="6" w:space="0"/>
              <w:left w:val="single" w:color="auto" w:sz="6" w:space="0"/>
              <w:bottom w:val="single" w:color="auto" w:sz="6" w:space="0"/>
              <w:right w:val="single" w:color="auto" w:sz="6" w:space="0"/>
            </w:tcBorders>
            <w:vAlign w:val="center"/>
          </w:tcPr>
          <w:p w14:paraId="5471E6C1">
            <w:pPr>
              <w:pStyle w:val="187"/>
              <w:ind w:right="-172" w:rightChars="-82"/>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71A3923B">
            <w:pPr>
              <w:pStyle w:val="187"/>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7A62F81D">
            <w:pPr>
              <w:pStyle w:val="186"/>
              <w:rPr>
                <w:rFonts w:ascii="宋体" w:hAnsi="宋体" w:eastAsia="宋体" w:cs="宋体"/>
                <w:color w:val="auto"/>
                <w:kern w:val="2"/>
                <w:sz w:val="24"/>
                <w:szCs w:val="24"/>
                <w:highlight w:val="none"/>
              </w:rPr>
            </w:pPr>
          </w:p>
        </w:tc>
      </w:tr>
      <w:tr w14:paraId="39474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4E59DF4B">
            <w:pPr>
              <w:pStyle w:val="89"/>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011" w:type="dxa"/>
            <w:tcBorders>
              <w:top w:val="single" w:color="auto" w:sz="6" w:space="0"/>
              <w:left w:val="single" w:color="auto" w:sz="6" w:space="0"/>
              <w:bottom w:val="single" w:color="auto" w:sz="6" w:space="0"/>
              <w:right w:val="single" w:color="auto" w:sz="6" w:space="0"/>
            </w:tcBorders>
            <w:vAlign w:val="center"/>
          </w:tcPr>
          <w:p w14:paraId="38920795">
            <w:pPr>
              <w:pStyle w:val="187"/>
              <w:ind w:right="-172" w:rightChars="-82"/>
              <w:rPr>
                <w:rFonts w:ascii="宋体" w:hAnsi="宋体" w:eastAsia="宋体" w:cs="宋体"/>
                <w:color w:val="auto"/>
                <w:kern w:val="2"/>
                <w:sz w:val="21"/>
                <w:szCs w:val="21"/>
                <w:highlight w:val="none"/>
              </w:rPr>
            </w:pPr>
          </w:p>
        </w:tc>
        <w:tc>
          <w:tcPr>
            <w:tcW w:w="6301" w:type="dxa"/>
            <w:tcBorders>
              <w:top w:val="single" w:color="auto" w:sz="6" w:space="0"/>
              <w:left w:val="single" w:color="auto" w:sz="6" w:space="0"/>
              <w:bottom w:val="single" w:color="auto" w:sz="6" w:space="0"/>
              <w:right w:val="single" w:color="auto" w:sz="4" w:space="0"/>
            </w:tcBorders>
            <w:vAlign w:val="center"/>
          </w:tcPr>
          <w:p w14:paraId="72ED67E4">
            <w:pPr>
              <w:pStyle w:val="187"/>
              <w:rPr>
                <w:rFonts w:ascii="宋体" w:hAnsi="宋体" w:eastAsia="宋体" w:cs="宋体"/>
                <w:color w:val="auto"/>
                <w:kern w:val="2"/>
                <w:sz w:val="21"/>
                <w:szCs w:val="21"/>
                <w:highlight w:val="none"/>
              </w:rPr>
            </w:pPr>
          </w:p>
        </w:tc>
        <w:tc>
          <w:tcPr>
            <w:tcW w:w="1024" w:type="dxa"/>
            <w:tcBorders>
              <w:top w:val="single" w:color="auto" w:sz="6" w:space="0"/>
              <w:left w:val="single" w:color="auto" w:sz="4" w:space="0"/>
              <w:bottom w:val="single" w:color="auto" w:sz="6" w:space="0"/>
              <w:right w:val="single" w:color="auto" w:sz="6" w:space="0"/>
            </w:tcBorders>
          </w:tcPr>
          <w:p w14:paraId="1E7D5650">
            <w:pPr>
              <w:pStyle w:val="186"/>
              <w:rPr>
                <w:rFonts w:ascii="宋体" w:hAnsi="宋体" w:eastAsia="宋体" w:cs="宋体"/>
                <w:color w:val="auto"/>
                <w:kern w:val="2"/>
                <w:sz w:val="24"/>
                <w:szCs w:val="24"/>
                <w:highlight w:val="none"/>
              </w:rPr>
            </w:pPr>
          </w:p>
        </w:tc>
      </w:tr>
    </w:tbl>
    <w:p w14:paraId="2C0A0DB6">
      <w:pPr>
        <w:spacing w:line="360" w:lineRule="auto"/>
        <w:ind w:left="420"/>
        <w:rPr>
          <w:rFonts w:ascii="宋体" w:hAnsi="宋体" w:cs="宋体"/>
          <w:color w:val="auto"/>
          <w:sz w:val="24"/>
          <w:highlight w:val="none"/>
        </w:rPr>
      </w:pPr>
      <w:r>
        <w:rPr>
          <w:rFonts w:hint="eastAsia" w:ascii="宋体" w:hAnsi="宋体" w:cs="宋体"/>
          <w:color w:val="auto"/>
          <w:sz w:val="24"/>
          <w:highlight w:val="none"/>
        </w:rPr>
        <w:t>注：以上自评因诚实填写，最终得分以评标专家评定为准。</w:t>
      </w:r>
    </w:p>
    <w:p w14:paraId="1BCF24FD">
      <w:pPr>
        <w:spacing w:line="360" w:lineRule="auto"/>
        <w:ind w:left="420"/>
        <w:rPr>
          <w:rFonts w:ascii="宋体" w:hAnsi="宋体" w:cs="宋体"/>
          <w:color w:val="auto"/>
          <w:sz w:val="24"/>
          <w:highlight w:val="none"/>
        </w:rPr>
      </w:pPr>
    </w:p>
    <w:p w14:paraId="5E2CF574">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770BA7C9">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0F1C8F5">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4E6042D8">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33F29AE0">
      <w:pPr>
        <w:snapToGrid w:val="0"/>
        <w:spacing w:beforeLines="50" w:after="50" w:line="360" w:lineRule="auto"/>
        <w:rPr>
          <w:rFonts w:ascii="宋体" w:hAnsi="宋体" w:cs="宋体"/>
          <w:b/>
          <w:color w:val="auto"/>
          <w:sz w:val="28"/>
          <w:highlight w:val="none"/>
        </w:rPr>
      </w:pPr>
    </w:p>
    <w:p w14:paraId="648FD84B">
      <w:pPr>
        <w:pStyle w:val="39"/>
        <w:jc w:val="both"/>
        <w:rPr>
          <w:rFonts w:ascii="宋体" w:hAnsi="宋体" w:cs="宋体"/>
          <w:color w:val="auto"/>
          <w:highlight w:val="none"/>
        </w:rPr>
      </w:pPr>
    </w:p>
    <w:p w14:paraId="6AD47BEE">
      <w:pPr>
        <w:snapToGrid w:val="0"/>
        <w:spacing w:beforeLines="50" w:after="50" w:line="360" w:lineRule="auto"/>
        <w:rPr>
          <w:rFonts w:ascii="宋体" w:hAnsi="宋体" w:cs="宋体"/>
          <w:b/>
          <w:color w:val="auto"/>
          <w:sz w:val="28"/>
          <w:highlight w:val="none"/>
        </w:rPr>
      </w:pPr>
    </w:p>
    <w:p w14:paraId="5D363A4C">
      <w:pPr>
        <w:snapToGrid w:val="0"/>
        <w:spacing w:beforeLines="50" w:after="50" w:line="360" w:lineRule="auto"/>
        <w:rPr>
          <w:rFonts w:ascii="宋体" w:hAnsi="宋体" w:cs="宋体"/>
          <w:b/>
          <w:color w:val="auto"/>
          <w:sz w:val="28"/>
          <w:highlight w:val="none"/>
        </w:rPr>
      </w:pPr>
    </w:p>
    <w:p w14:paraId="3557DDB2">
      <w:pPr>
        <w:snapToGrid w:val="0"/>
        <w:spacing w:beforeLines="50" w:after="50" w:line="360" w:lineRule="auto"/>
        <w:rPr>
          <w:rFonts w:ascii="宋体" w:hAnsi="宋体" w:cs="宋体"/>
          <w:b/>
          <w:color w:val="auto"/>
          <w:sz w:val="28"/>
          <w:highlight w:val="none"/>
        </w:rPr>
      </w:pPr>
    </w:p>
    <w:p w14:paraId="675B20FF">
      <w:pPr>
        <w:snapToGrid w:val="0"/>
        <w:spacing w:beforeLines="50" w:after="50" w:line="360" w:lineRule="auto"/>
        <w:rPr>
          <w:rFonts w:ascii="宋体" w:hAnsi="宋体" w:cs="宋体"/>
          <w:b/>
          <w:color w:val="auto"/>
          <w:sz w:val="28"/>
          <w:highlight w:val="none"/>
        </w:rPr>
      </w:pPr>
    </w:p>
    <w:p w14:paraId="2BCB85DB">
      <w:pPr>
        <w:snapToGrid w:val="0"/>
        <w:spacing w:beforeLines="50" w:after="50" w:line="360" w:lineRule="auto"/>
        <w:rPr>
          <w:rFonts w:ascii="宋体" w:hAnsi="宋体" w:cs="宋体"/>
          <w:b/>
          <w:color w:val="auto"/>
          <w:sz w:val="28"/>
          <w:highlight w:val="none"/>
        </w:rPr>
      </w:pPr>
    </w:p>
    <w:p w14:paraId="08AA7425">
      <w:pPr>
        <w:snapToGrid w:val="0"/>
        <w:spacing w:beforeLines="50" w:after="50" w:line="360" w:lineRule="auto"/>
        <w:rPr>
          <w:rFonts w:ascii="宋体" w:hAnsi="宋体" w:cs="宋体"/>
          <w:b/>
          <w:color w:val="auto"/>
          <w:sz w:val="28"/>
          <w:highlight w:val="none"/>
        </w:rPr>
      </w:pPr>
    </w:p>
    <w:p w14:paraId="3E341925">
      <w:pPr>
        <w:snapToGrid w:val="0"/>
        <w:spacing w:beforeLines="50" w:after="50" w:line="360" w:lineRule="auto"/>
        <w:rPr>
          <w:rFonts w:ascii="宋体" w:hAnsi="宋体" w:cs="宋体"/>
          <w:b/>
          <w:color w:val="auto"/>
          <w:sz w:val="28"/>
          <w:highlight w:val="none"/>
        </w:rPr>
      </w:pPr>
    </w:p>
    <w:p w14:paraId="7817D541">
      <w:pPr>
        <w:pStyle w:val="18"/>
        <w:rPr>
          <w:rFonts w:ascii="宋体" w:hAnsi="宋体" w:cs="宋体"/>
          <w:b/>
          <w:color w:val="auto"/>
          <w:sz w:val="28"/>
          <w:highlight w:val="none"/>
        </w:rPr>
      </w:pPr>
    </w:p>
    <w:p w14:paraId="7A401556">
      <w:pPr>
        <w:pStyle w:val="19"/>
        <w:rPr>
          <w:highlight w:val="none"/>
        </w:rPr>
      </w:pPr>
    </w:p>
    <w:p w14:paraId="499B5D43">
      <w:pPr>
        <w:snapToGrid w:val="0"/>
        <w:spacing w:beforeLines="50" w:after="50" w:line="360" w:lineRule="auto"/>
        <w:rPr>
          <w:rFonts w:ascii="宋体" w:hAnsi="宋体" w:cs="宋体"/>
          <w:b/>
          <w:color w:val="auto"/>
          <w:sz w:val="28"/>
          <w:highlight w:val="none"/>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cs="宋体"/>
          <w:b/>
          <w:color w:val="auto"/>
          <w:sz w:val="28"/>
          <w:highlight w:val="none"/>
        </w:rPr>
        <w:t>：</w:t>
      </w:r>
    </w:p>
    <w:p w14:paraId="18F4C752">
      <w:pPr>
        <w:pStyle w:val="9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证书一览表</w:t>
      </w:r>
    </w:p>
    <w:p w14:paraId="6ED1C9AE">
      <w:pPr>
        <w:pStyle w:val="23"/>
        <w:adjustRightInd w:val="0"/>
        <w:snapToGrid w:val="0"/>
        <w:spacing w:line="360" w:lineRule="auto"/>
        <w:jc w:val="left"/>
        <w:rPr>
          <w:rFonts w:ascii="宋体" w:hAnsi="宋体" w:eastAsia="宋体" w:cs="宋体"/>
          <w:b/>
          <w:color w:val="auto"/>
          <w:sz w:val="24"/>
          <w:highlight w:val="none"/>
        </w:rPr>
      </w:pPr>
      <w:r>
        <w:rPr>
          <w:rFonts w:hint="eastAsia" w:ascii="宋体" w:hAnsi="宋体" w:eastAsia="宋体" w:cs="宋体"/>
          <w:b/>
          <w:bCs/>
          <w:color w:val="auto"/>
          <w:sz w:val="24"/>
          <w:highlight w:val="none"/>
        </w:rPr>
        <w:t>项目名称及编号：</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838E0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3F96947B">
            <w:pPr>
              <w:pStyle w:val="9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single" w:color="auto" w:sz="4" w:space="0"/>
              <w:bottom w:val="single" w:color="auto" w:sz="4" w:space="0"/>
            </w:tcBorders>
          </w:tcPr>
          <w:p w14:paraId="3D951915">
            <w:pPr>
              <w:pStyle w:val="9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single" w:color="auto" w:sz="4" w:space="0"/>
              <w:bottom w:val="single" w:color="auto" w:sz="4" w:space="0"/>
            </w:tcBorders>
          </w:tcPr>
          <w:p w14:paraId="197F44DD">
            <w:pPr>
              <w:pStyle w:val="9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30FF0E8F">
            <w:pPr>
              <w:pStyle w:val="9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4DE1BF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55411623">
            <w:pPr>
              <w:pStyle w:val="90"/>
              <w:spacing w:line="360" w:lineRule="auto"/>
              <w:jc w:val="center"/>
              <w:rPr>
                <w:rFonts w:ascii="宋体" w:hAnsi="宋体" w:cs="宋体"/>
                <w:color w:val="auto"/>
                <w:szCs w:val="21"/>
                <w:highlight w:val="none"/>
              </w:rPr>
            </w:pPr>
          </w:p>
        </w:tc>
        <w:tc>
          <w:tcPr>
            <w:tcW w:w="2258" w:type="dxa"/>
            <w:tcBorders>
              <w:top w:val="single" w:color="auto" w:sz="4" w:space="0"/>
            </w:tcBorders>
          </w:tcPr>
          <w:p w14:paraId="1DCA1B45">
            <w:pPr>
              <w:pStyle w:val="90"/>
              <w:spacing w:line="360" w:lineRule="auto"/>
              <w:jc w:val="center"/>
              <w:rPr>
                <w:rFonts w:ascii="宋体" w:hAnsi="宋体" w:cs="宋体"/>
                <w:color w:val="auto"/>
                <w:szCs w:val="21"/>
                <w:highlight w:val="none"/>
              </w:rPr>
            </w:pPr>
          </w:p>
        </w:tc>
        <w:tc>
          <w:tcPr>
            <w:tcW w:w="2260" w:type="dxa"/>
            <w:tcBorders>
              <w:top w:val="single" w:color="auto" w:sz="4" w:space="0"/>
            </w:tcBorders>
          </w:tcPr>
          <w:p w14:paraId="46A46C1C">
            <w:pPr>
              <w:pStyle w:val="90"/>
              <w:spacing w:line="360" w:lineRule="auto"/>
              <w:jc w:val="center"/>
              <w:rPr>
                <w:rFonts w:ascii="宋体" w:hAnsi="宋体" w:cs="宋体"/>
                <w:color w:val="auto"/>
                <w:szCs w:val="21"/>
                <w:highlight w:val="none"/>
              </w:rPr>
            </w:pPr>
          </w:p>
        </w:tc>
        <w:tc>
          <w:tcPr>
            <w:tcW w:w="2047" w:type="dxa"/>
            <w:tcBorders>
              <w:top w:val="single" w:color="auto" w:sz="4" w:space="0"/>
              <w:right w:val="single" w:color="auto" w:sz="4" w:space="0"/>
            </w:tcBorders>
          </w:tcPr>
          <w:p w14:paraId="0292ADAA">
            <w:pPr>
              <w:pStyle w:val="90"/>
              <w:spacing w:line="360" w:lineRule="auto"/>
              <w:jc w:val="center"/>
              <w:rPr>
                <w:rFonts w:ascii="宋体" w:hAnsi="宋体" w:cs="宋体"/>
                <w:color w:val="auto"/>
                <w:szCs w:val="21"/>
                <w:highlight w:val="none"/>
              </w:rPr>
            </w:pPr>
          </w:p>
        </w:tc>
      </w:tr>
      <w:tr w14:paraId="0AAF83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CC28ED1">
            <w:pPr>
              <w:pStyle w:val="90"/>
              <w:spacing w:line="360" w:lineRule="auto"/>
              <w:jc w:val="center"/>
              <w:rPr>
                <w:rFonts w:ascii="宋体" w:hAnsi="宋体" w:cs="宋体"/>
                <w:color w:val="auto"/>
                <w:szCs w:val="21"/>
                <w:highlight w:val="none"/>
              </w:rPr>
            </w:pPr>
          </w:p>
        </w:tc>
        <w:tc>
          <w:tcPr>
            <w:tcW w:w="2258" w:type="dxa"/>
          </w:tcPr>
          <w:p w14:paraId="6F857E82">
            <w:pPr>
              <w:pStyle w:val="90"/>
              <w:spacing w:line="360" w:lineRule="auto"/>
              <w:jc w:val="center"/>
              <w:rPr>
                <w:rFonts w:ascii="宋体" w:hAnsi="宋体" w:cs="宋体"/>
                <w:color w:val="auto"/>
                <w:szCs w:val="21"/>
                <w:highlight w:val="none"/>
              </w:rPr>
            </w:pPr>
          </w:p>
        </w:tc>
        <w:tc>
          <w:tcPr>
            <w:tcW w:w="2260" w:type="dxa"/>
          </w:tcPr>
          <w:p w14:paraId="0289B047">
            <w:pPr>
              <w:pStyle w:val="90"/>
              <w:spacing w:line="360" w:lineRule="auto"/>
              <w:jc w:val="center"/>
              <w:rPr>
                <w:rFonts w:ascii="宋体" w:hAnsi="宋体" w:cs="宋体"/>
                <w:color w:val="auto"/>
                <w:szCs w:val="21"/>
                <w:highlight w:val="none"/>
              </w:rPr>
            </w:pPr>
          </w:p>
        </w:tc>
        <w:tc>
          <w:tcPr>
            <w:tcW w:w="2047" w:type="dxa"/>
            <w:tcBorders>
              <w:right w:val="single" w:color="auto" w:sz="4" w:space="0"/>
            </w:tcBorders>
          </w:tcPr>
          <w:p w14:paraId="5975A08E">
            <w:pPr>
              <w:pStyle w:val="90"/>
              <w:spacing w:line="360" w:lineRule="auto"/>
              <w:jc w:val="center"/>
              <w:rPr>
                <w:rFonts w:ascii="宋体" w:hAnsi="宋体" w:cs="宋体"/>
                <w:color w:val="auto"/>
                <w:szCs w:val="21"/>
                <w:highlight w:val="none"/>
              </w:rPr>
            </w:pPr>
          </w:p>
        </w:tc>
      </w:tr>
      <w:tr w14:paraId="2BA5E1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0716AB7">
            <w:pPr>
              <w:pStyle w:val="90"/>
              <w:spacing w:line="360" w:lineRule="auto"/>
              <w:jc w:val="center"/>
              <w:rPr>
                <w:rFonts w:ascii="宋体" w:hAnsi="宋体" w:cs="宋体"/>
                <w:color w:val="auto"/>
                <w:szCs w:val="21"/>
                <w:highlight w:val="none"/>
              </w:rPr>
            </w:pPr>
          </w:p>
        </w:tc>
        <w:tc>
          <w:tcPr>
            <w:tcW w:w="2258" w:type="dxa"/>
          </w:tcPr>
          <w:p w14:paraId="7E66D0A9">
            <w:pPr>
              <w:pStyle w:val="90"/>
              <w:spacing w:line="360" w:lineRule="auto"/>
              <w:jc w:val="center"/>
              <w:rPr>
                <w:rFonts w:ascii="宋体" w:hAnsi="宋体" w:cs="宋体"/>
                <w:color w:val="auto"/>
                <w:szCs w:val="21"/>
                <w:highlight w:val="none"/>
              </w:rPr>
            </w:pPr>
          </w:p>
        </w:tc>
        <w:tc>
          <w:tcPr>
            <w:tcW w:w="2260" w:type="dxa"/>
          </w:tcPr>
          <w:p w14:paraId="1A048CAB">
            <w:pPr>
              <w:pStyle w:val="90"/>
              <w:spacing w:line="360" w:lineRule="auto"/>
              <w:jc w:val="center"/>
              <w:rPr>
                <w:rFonts w:ascii="宋体" w:hAnsi="宋体" w:cs="宋体"/>
                <w:color w:val="auto"/>
                <w:szCs w:val="21"/>
                <w:highlight w:val="none"/>
              </w:rPr>
            </w:pPr>
          </w:p>
        </w:tc>
        <w:tc>
          <w:tcPr>
            <w:tcW w:w="2047" w:type="dxa"/>
            <w:tcBorders>
              <w:right w:val="single" w:color="auto" w:sz="4" w:space="0"/>
            </w:tcBorders>
          </w:tcPr>
          <w:p w14:paraId="18044EF9">
            <w:pPr>
              <w:pStyle w:val="90"/>
              <w:spacing w:line="360" w:lineRule="auto"/>
              <w:jc w:val="center"/>
              <w:rPr>
                <w:rFonts w:ascii="宋体" w:hAnsi="宋体" w:cs="宋体"/>
                <w:color w:val="auto"/>
                <w:szCs w:val="21"/>
                <w:highlight w:val="none"/>
              </w:rPr>
            </w:pPr>
          </w:p>
        </w:tc>
      </w:tr>
      <w:tr w14:paraId="40B89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4CDF523">
            <w:pPr>
              <w:pStyle w:val="90"/>
              <w:spacing w:line="360" w:lineRule="auto"/>
              <w:jc w:val="center"/>
              <w:rPr>
                <w:rFonts w:ascii="宋体" w:hAnsi="宋体" w:cs="宋体"/>
                <w:color w:val="auto"/>
                <w:szCs w:val="21"/>
                <w:highlight w:val="none"/>
              </w:rPr>
            </w:pPr>
          </w:p>
        </w:tc>
        <w:tc>
          <w:tcPr>
            <w:tcW w:w="2258" w:type="dxa"/>
          </w:tcPr>
          <w:p w14:paraId="0B103388">
            <w:pPr>
              <w:pStyle w:val="90"/>
              <w:spacing w:line="360" w:lineRule="auto"/>
              <w:jc w:val="center"/>
              <w:rPr>
                <w:rFonts w:ascii="宋体" w:hAnsi="宋体" w:cs="宋体"/>
                <w:color w:val="auto"/>
                <w:szCs w:val="21"/>
                <w:highlight w:val="none"/>
              </w:rPr>
            </w:pPr>
          </w:p>
        </w:tc>
        <w:tc>
          <w:tcPr>
            <w:tcW w:w="2260" w:type="dxa"/>
          </w:tcPr>
          <w:p w14:paraId="5FF418E7">
            <w:pPr>
              <w:pStyle w:val="90"/>
              <w:spacing w:line="360" w:lineRule="auto"/>
              <w:jc w:val="center"/>
              <w:rPr>
                <w:rFonts w:ascii="宋体" w:hAnsi="宋体" w:cs="宋体"/>
                <w:color w:val="auto"/>
                <w:szCs w:val="21"/>
                <w:highlight w:val="none"/>
              </w:rPr>
            </w:pPr>
          </w:p>
        </w:tc>
        <w:tc>
          <w:tcPr>
            <w:tcW w:w="2047" w:type="dxa"/>
            <w:tcBorders>
              <w:right w:val="single" w:color="auto" w:sz="4" w:space="0"/>
            </w:tcBorders>
          </w:tcPr>
          <w:p w14:paraId="4F63F7A0">
            <w:pPr>
              <w:pStyle w:val="90"/>
              <w:spacing w:line="360" w:lineRule="auto"/>
              <w:jc w:val="center"/>
              <w:rPr>
                <w:rFonts w:ascii="宋体" w:hAnsi="宋体" w:cs="宋体"/>
                <w:color w:val="auto"/>
                <w:szCs w:val="21"/>
                <w:highlight w:val="none"/>
              </w:rPr>
            </w:pPr>
          </w:p>
        </w:tc>
      </w:tr>
      <w:tr w14:paraId="32F75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40E2961">
            <w:pPr>
              <w:pStyle w:val="90"/>
              <w:spacing w:line="360" w:lineRule="auto"/>
              <w:jc w:val="center"/>
              <w:rPr>
                <w:rFonts w:ascii="宋体" w:hAnsi="宋体" w:cs="宋体"/>
                <w:color w:val="auto"/>
                <w:szCs w:val="21"/>
                <w:highlight w:val="none"/>
              </w:rPr>
            </w:pPr>
          </w:p>
        </w:tc>
        <w:tc>
          <w:tcPr>
            <w:tcW w:w="2258" w:type="dxa"/>
          </w:tcPr>
          <w:p w14:paraId="084C327F">
            <w:pPr>
              <w:pStyle w:val="90"/>
              <w:spacing w:line="360" w:lineRule="auto"/>
              <w:jc w:val="center"/>
              <w:rPr>
                <w:rFonts w:ascii="宋体" w:hAnsi="宋体" w:cs="宋体"/>
                <w:color w:val="auto"/>
                <w:szCs w:val="21"/>
                <w:highlight w:val="none"/>
              </w:rPr>
            </w:pPr>
          </w:p>
        </w:tc>
        <w:tc>
          <w:tcPr>
            <w:tcW w:w="2260" w:type="dxa"/>
          </w:tcPr>
          <w:p w14:paraId="7628EB07">
            <w:pPr>
              <w:pStyle w:val="90"/>
              <w:spacing w:line="360" w:lineRule="auto"/>
              <w:jc w:val="center"/>
              <w:rPr>
                <w:rFonts w:ascii="宋体" w:hAnsi="宋体" w:cs="宋体"/>
                <w:color w:val="auto"/>
                <w:szCs w:val="21"/>
                <w:highlight w:val="none"/>
              </w:rPr>
            </w:pPr>
          </w:p>
        </w:tc>
        <w:tc>
          <w:tcPr>
            <w:tcW w:w="2047" w:type="dxa"/>
            <w:tcBorders>
              <w:right w:val="single" w:color="auto" w:sz="4" w:space="0"/>
            </w:tcBorders>
          </w:tcPr>
          <w:p w14:paraId="1049A1B7">
            <w:pPr>
              <w:pStyle w:val="90"/>
              <w:spacing w:line="360" w:lineRule="auto"/>
              <w:jc w:val="center"/>
              <w:rPr>
                <w:rFonts w:ascii="宋体" w:hAnsi="宋体" w:cs="宋体"/>
                <w:color w:val="auto"/>
                <w:szCs w:val="21"/>
                <w:highlight w:val="none"/>
              </w:rPr>
            </w:pPr>
          </w:p>
        </w:tc>
      </w:tr>
      <w:tr w14:paraId="71CA2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4186924">
            <w:pPr>
              <w:pStyle w:val="90"/>
              <w:spacing w:line="360" w:lineRule="auto"/>
              <w:jc w:val="center"/>
              <w:rPr>
                <w:rFonts w:ascii="宋体" w:hAnsi="宋体" w:cs="宋体"/>
                <w:color w:val="auto"/>
                <w:szCs w:val="21"/>
                <w:highlight w:val="none"/>
              </w:rPr>
            </w:pPr>
          </w:p>
        </w:tc>
        <w:tc>
          <w:tcPr>
            <w:tcW w:w="2258" w:type="dxa"/>
          </w:tcPr>
          <w:p w14:paraId="40501054">
            <w:pPr>
              <w:pStyle w:val="90"/>
              <w:spacing w:line="360" w:lineRule="auto"/>
              <w:jc w:val="center"/>
              <w:rPr>
                <w:rFonts w:ascii="宋体" w:hAnsi="宋体" w:cs="宋体"/>
                <w:color w:val="auto"/>
                <w:szCs w:val="21"/>
                <w:highlight w:val="none"/>
              </w:rPr>
            </w:pPr>
          </w:p>
        </w:tc>
        <w:tc>
          <w:tcPr>
            <w:tcW w:w="2260" w:type="dxa"/>
          </w:tcPr>
          <w:p w14:paraId="54AEB3D6">
            <w:pPr>
              <w:pStyle w:val="90"/>
              <w:spacing w:line="360" w:lineRule="auto"/>
              <w:jc w:val="center"/>
              <w:rPr>
                <w:rFonts w:ascii="宋体" w:hAnsi="宋体" w:cs="宋体"/>
                <w:color w:val="auto"/>
                <w:szCs w:val="21"/>
                <w:highlight w:val="none"/>
              </w:rPr>
            </w:pPr>
          </w:p>
        </w:tc>
        <w:tc>
          <w:tcPr>
            <w:tcW w:w="2047" w:type="dxa"/>
            <w:tcBorders>
              <w:right w:val="single" w:color="auto" w:sz="4" w:space="0"/>
            </w:tcBorders>
          </w:tcPr>
          <w:p w14:paraId="32F0496D">
            <w:pPr>
              <w:pStyle w:val="90"/>
              <w:spacing w:line="360" w:lineRule="auto"/>
              <w:jc w:val="center"/>
              <w:rPr>
                <w:rFonts w:ascii="宋体" w:hAnsi="宋体" w:cs="宋体"/>
                <w:color w:val="auto"/>
                <w:szCs w:val="21"/>
                <w:highlight w:val="none"/>
              </w:rPr>
            </w:pPr>
          </w:p>
        </w:tc>
      </w:tr>
      <w:tr w14:paraId="331DE9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2E7DD66">
            <w:pPr>
              <w:pStyle w:val="90"/>
              <w:spacing w:line="360" w:lineRule="auto"/>
              <w:jc w:val="center"/>
              <w:rPr>
                <w:rFonts w:ascii="宋体" w:hAnsi="宋体" w:cs="宋体"/>
                <w:color w:val="auto"/>
                <w:szCs w:val="21"/>
                <w:highlight w:val="none"/>
              </w:rPr>
            </w:pPr>
          </w:p>
        </w:tc>
        <w:tc>
          <w:tcPr>
            <w:tcW w:w="2258" w:type="dxa"/>
            <w:tcBorders>
              <w:bottom w:val="single" w:color="auto" w:sz="4" w:space="0"/>
            </w:tcBorders>
          </w:tcPr>
          <w:p w14:paraId="20B79A18">
            <w:pPr>
              <w:pStyle w:val="90"/>
              <w:spacing w:line="360" w:lineRule="auto"/>
              <w:jc w:val="center"/>
              <w:rPr>
                <w:rFonts w:ascii="宋体" w:hAnsi="宋体" w:cs="宋体"/>
                <w:color w:val="auto"/>
                <w:szCs w:val="21"/>
                <w:highlight w:val="none"/>
              </w:rPr>
            </w:pPr>
          </w:p>
        </w:tc>
        <w:tc>
          <w:tcPr>
            <w:tcW w:w="2260" w:type="dxa"/>
            <w:tcBorders>
              <w:bottom w:val="single" w:color="auto" w:sz="4" w:space="0"/>
            </w:tcBorders>
          </w:tcPr>
          <w:p w14:paraId="6D5C8DD4">
            <w:pPr>
              <w:pStyle w:val="90"/>
              <w:spacing w:line="360" w:lineRule="auto"/>
              <w:jc w:val="center"/>
              <w:rPr>
                <w:rFonts w:ascii="宋体" w:hAnsi="宋体" w:cs="宋体"/>
                <w:color w:val="auto"/>
                <w:szCs w:val="21"/>
                <w:highlight w:val="none"/>
              </w:rPr>
            </w:pPr>
          </w:p>
        </w:tc>
        <w:tc>
          <w:tcPr>
            <w:tcW w:w="2047" w:type="dxa"/>
            <w:tcBorders>
              <w:bottom w:val="single" w:color="auto" w:sz="4" w:space="0"/>
              <w:right w:val="single" w:color="auto" w:sz="4" w:space="0"/>
            </w:tcBorders>
          </w:tcPr>
          <w:p w14:paraId="38FB005C">
            <w:pPr>
              <w:pStyle w:val="90"/>
              <w:spacing w:line="360" w:lineRule="auto"/>
              <w:jc w:val="center"/>
              <w:rPr>
                <w:rFonts w:ascii="宋体" w:hAnsi="宋体" w:cs="宋体"/>
                <w:color w:val="auto"/>
                <w:szCs w:val="21"/>
                <w:highlight w:val="none"/>
              </w:rPr>
            </w:pPr>
          </w:p>
        </w:tc>
      </w:tr>
    </w:tbl>
    <w:p w14:paraId="2A151E0D">
      <w:pPr>
        <w:pStyle w:val="90"/>
        <w:tabs>
          <w:tab w:val="left" w:pos="1050"/>
        </w:tabs>
        <w:spacing w:line="360" w:lineRule="auto"/>
        <w:rPr>
          <w:rFonts w:ascii="宋体" w:hAnsi="宋体" w:cs="宋体"/>
          <w:color w:val="auto"/>
          <w:sz w:val="24"/>
          <w:highlight w:val="none"/>
        </w:rPr>
      </w:pPr>
    </w:p>
    <w:p w14:paraId="7E38D25D">
      <w:pPr>
        <w:pStyle w:val="90"/>
        <w:tabs>
          <w:tab w:val="left" w:pos="1050"/>
        </w:tabs>
        <w:spacing w:line="360" w:lineRule="auto"/>
        <w:rPr>
          <w:rFonts w:ascii="宋体" w:hAnsi="宋体" w:cs="宋体"/>
          <w:color w:val="auto"/>
          <w:szCs w:val="21"/>
          <w:highlight w:val="none"/>
        </w:rPr>
      </w:pPr>
      <w:r>
        <w:rPr>
          <w:rFonts w:hint="eastAsia" w:ascii="宋体" w:hAnsi="宋体" w:cs="宋体"/>
          <w:b/>
          <w:color w:val="auto"/>
          <w:szCs w:val="21"/>
          <w:highlight w:val="none"/>
        </w:rPr>
        <w:t>要求：</w:t>
      </w:r>
    </w:p>
    <w:p w14:paraId="00572FFA">
      <w:pPr>
        <w:pStyle w:val="90"/>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1.填写磋商供应商获得的资质、认证证书等（根据评标办法提供）。</w:t>
      </w:r>
    </w:p>
    <w:p w14:paraId="144E43D0">
      <w:pPr>
        <w:pStyle w:val="90"/>
        <w:tabs>
          <w:tab w:val="left" w:pos="1050"/>
        </w:tabs>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2.附所列证书的扫描件或其他证明材料。</w:t>
      </w:r>
    </w:p>
    <w:p w14:paraId="609D8FE3">
      <w:pPr>
        <w:pStyle w:val="90"/>
        <w:tabs>
          <w:tab w:val="left" w:pos="1050"/>
        </w:tabs>
        <w:spacing w:line="360" w:lineRule="auto"/>
        <w:ind w:firstLine="720" w:firstLineChars="300"/>
        <w:rPr>
          <w:rFonts w:ascii="宋体" w:hAnsi="宋体" w:cs="宋体"/>
          <w:color w:val="auto"/>
          <w:sz w:val="24"/>
          <w:highlight w:val="none"/>
        </w:rPr>
      </w:pPr>
    </w:p>
    <w:p w14:paraId="326817AE">
      <w:pPr>
        <w:snapToGrid w:val="0"/>
        <w:spacing w:before="50" w:afterLines="50" w:line="360" w:lineRule="auto"/>
        <w:jc w:val="left"/>
        <w:rPr>
          <w:rFonts w:ascii="宋体" w:hAnsi="宋体" w:cs="宋体"/>
          <w:color w:val="auto"/>
          <w:sz w:val="24"/>
          <w:szCs w:val="20"/>
          <w:highlight w:val="none"/>
        </w:rPr>
      </w:pPr>
    </w:p>
    <w:p w14:paraId="709F6FE4">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B4575E3">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BE524EC">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52D262C">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4F7CBB71">
      <w:pPr>
        <w:spacing w:line="360" w:lineRule="auto"/>
        <w:rPr>
          <w:rFonts w:ascii="宋体" w:hAnsi="宋体" w:cs="宋体"/>
          <w:b/>
          <w:color w:val="auto"/>
          <w:sz w:val="28"/>
          <w:highlight w:val="none"/>
        </w:rPr>
      </w:pPr>
    </w:p>
    <w:p w14:paraId="3BAD9652">
      <w:pPr>
        <w:spacing w:line="360" w:lineRule="auto"/>
        <w:rPr>
          <w:rFonts w:ascii="宋体" w:hAnsi="宋体" w:cs="宋体"/>
          <w:b/>
          <w:color w:val="auto"/>
          <w:sz w:val="28"/>
          <w:highlight w:val="none"/>
        </w:rPr>
      </w:pPr>
    </w:p>
    <w:p w14:paraId="1B38BE1F">
      <w:pPr>
        <w:spacing w:line="360" w:lineRule="auto"/>
        <w:rPr>
          <w:rFonts w:ascii="宋体" w:hAnsi="宋体" w:cs="宋体"/>
          <w:b/>
          <w:color w:val="auto"/>
          <w:sz w:val="28"/>
          <w:highlight w:val="none"/>
        </w:rPr>
      </w:pPr>
    </w:p>
    <w:p w14:paraId="4A09D6A6">
      <w:pPr>
        <w:spacing w:line="360" w:lineRule="auto"/>
        <w:rPr>
          <w:rFonts w:ascii="宋体" w:hAnsi="宋体" w:cs="宋体"/>
          <w:b/>
          <w:color w:val="auto"/>
          <w:sz w:val="28"/>
          <w:highlight w:val="none"/>
        </w:rPr>
      </w:pPr>
    </w:p>
    <w:p w14:paraId="29CC090A">
      <w:pPr>
        <w:tabs>
          <w:tab w:val="left" w:pos="2460"/>
        </w:tabs>
        <w:spacing w:line="360" w:lineRule="auto"/>
        <w:rPr>
          <w:rFonts w:hint="eastAsia" w:ascii="宋体" w:hAnsi="宋体" w:cs="宋体"/>
          <w:b/>
          <w:color w:val="auto"/>
          <w:sz w:val="28"/>
          <w:highlight w:val="none"/>
        </w:rPr>
        <w:sectPr>
          <w:pgSz w:w="11906" w:h="16838"/>
          <w:pgMar w:top="1440" w:right="1800" w:bottom="1440" w:left="1800" w:header="851" w:footer="992" w:gutter="0"/>
          <w:pgNumType w:fmt="decimal"/>
          <w:cols w:space="720" w:num="1"/>
          <w:docGrid w:type="lines" w:linePitch="312" w:charSpace="0"/>
        </w:sectPr>
      </w:pPr>
    </w:p>
    <w:p w14:paraId="53EF0F64">
      <w:pPr>
        <w:spacing w:line="360" w:lineRule="auto"/>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r>
        <w:rPr>
          <w:rFonts w:hint="eastAsia" w:ascii="宋体" w:hAnsi="宋体"/>
          <w:b/>
          <w:color w:val="auto"/>
          <w:sz w:val="28"/>
          <w:highlight w:val="none"/>
        </w:rPr>
        <w:t>:</w:t>
      </w:r>
    </w:p>
    <w:p w14:paraId="5CCD7E3E">
      <w:pPr>
        <w:pStyle w:val="89"/>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14:paraId="07312664">
      <w:pPr>
        <w:pStyle w:val="89"/>
        <w:spacing w:line="360" w:lineRule="auto"/>
        <w:ind w:left="-1" w:leftChars="-270" w:hanging="566" w:hangingChars="235"/>
        <w:rPr>
          <w:rFonts w:ascii="宋体" w:hAnsi="宋体"/>
          <w:b/>
          <w:color w:val="auto"/>
          <w:sz w:val="32"/>
          <w:szCs w:val="32"/>
          <w:highlight w:val="none"/>
        </w:rPr>
      </w:pPr>
      <w:r>
        <w:rPr>
          <w:rFonts w:hint="eastAsia" w:ascii="宋体" w:hAnsi="宋体"/>
          <w:b/>
          <w:bCs/>
          <w:color w:val="auto"/>
          <w:sz w:val="24"/>
          <w:highlight w:val="none"/>
        </w:rPr>
        <w:t>项目名称及编号：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E92B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37546E5">
            <w:pPr>
              <w:pStyle w:val="89"/>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4599DE61">
            <w:pPr>
              <w:pStyle w:val="89"/>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822FA99">
            <w:pPr>
              <w:pStyle w:val="89"/>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F6BC7E3">
            <w:pPr>
              <w:pStyle w:val="89"/>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8E89974">
            <w:pPr>
              <w:pStyle w:val="89"/>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lang w:val="en-US" w:eastAsia="zh-CN"/>
              </w:rPr>
              <w:t>合同签订</w:t>
            </w:r>
            <w:r>
              <w:rPr>
                <w:rFonts w:hint="eastAsia" w:ascii="宋体" w:hAnsi="宋体" w:cs="Tahoma"/>
                <w:b/>
                <w:bCs/>
                <w:color w:val="auto"/>
                <w:sz w:val="24"/>
                <w:highlight w:val="none"/>
              </w:rPr>
              <w:t>时间</w:t>
            </w:r>
          </w:p>
        </w:tc>
        <w:tc>
          <w:tcPr>
            <w:tcW w:w="1383" w:type="dxa"/>
            <w:tcBorders>
              <w:top w:val="single" w:color="auto" w:sz="6" w:space="0"/>
              <w:left w:val="single" w:color="auto" w:sz="6" w:space="0"/>
              <w:bottom w:val="single" w:color="auto" w:sz="6" w:space="0"/>
              <w:right w:val="single" w:color="auto" w:sz="6" w:space="0"/>
            </w:tcBorders>
            <w:vAlign w:val="center"/>
          </w:tcPr>
          <w:p w14:paraId="5D74F285">
            <w:pPr>
              <w:pStyle w:val="89"/>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5F35C79">
            <w:pPr>
              <w:pStyle w:val="89"/>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项目单位名称及其联系人电话</w:t>
            </w:r>
          </w:p>
        </w:tc>
      </w:tr>
      <w:tr w14:paraId="3F73B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16824E25">
            <w:pPr>
              <w:pStyle w:val="89"/>
              <w:spacing w:line="360" w:lineRule="auto"/>
              <w:jc w:val="center"/>
              <w:rPr>
                <w:rFonts w:ascii="宋体" w:hAnsi="宋体" w:cs="Tahoma"/>
                <w:color w:val="auto"/>
                <w:sz w:val="24"/>
                <w:highlight w:val="none"/>
              </w:rPr>
            </w:pPr>
            <w:r>
              <w:rPr>
                <w:rFonts w:hint="eastAsia" w:ascii="宋体" w:hAnsi="宋体" w:cs="Tahoma"/>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top"/>
          </w:tcPr>
          <w:p w14:paraId="2A6B0E5F">
            <w:pPr>
              <w:pStyle w:val="89"/>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6D15A457">
            <w:pPr>
              <w:pStyle w:val="89"/>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F8963BE">
            <w:pPr>
              <w:pStyle w:val="89"/>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756A2919">
            <w:pPr>
              <w:pStyle w:val="89"/>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1E90509C">
            <w:pPr>
              <w:pStyle w:val="89"/>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10BAA4A2">
            <w:pPr>
              <w:pStyle w:val="89"/>
              <w:spacing w:line="360" w:lineRule="auto"/>
              <w:rPr>
                <w:rFonts w:ascii="宋体" w:hAnsi="宋体" w:cs="Tahoma"/>
                <w:color w:val="auto"/>
                <w:sz w:val="24"/>
                <w:highlight w:val="none"/>
              </w:rPr>
            </w:pPr>
          </w:p>
        </w:tc>
      </w:tr>
      <w:tr w14:paraId="519FA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3EFFF2ED">
            <w:pPr>
              <w:pStyle w:val="89"/>
              <w:spacing w:line="360" w:lineRule="auto"/>
              <w:jc w:val="center"/>
              <w:rPr>
                <w:rFonts w:ascii="宋体" w:hAnsi="宋体" w:cs="Tahoma"/>
                <w:color w:val="auto"/>
                <w:sz w:val="24"/>
                <w:highlight w:val="none"/>
              </w:rPr>
            </w:pPr>
            <w:r>
              <w:rPr>
                <w:rFonts w:hint="eastAsia" w:ascii="宋体" w:hAnsi="宋体" w:cs="Tahoma"/>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top"/>
          </w:tcPr>
          <w:p w14:paraId="76D131FC">
            <w:pPr>
              <w:pStyle w:val="89"/>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244B0470">
            <w:pPr>
              <w:pStyle w:val="89"/>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E1F7210">
            <w:pPr>
              <w:pStyle w:val="89"/>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683F297E">
            <w:pPr>
              <w:pStyle w:val="89"/>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7D8C5B28">
            <w:pPr>
              <w:pStyle w:val="89"/>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74685A5A">
            <w:pPr>
              <w:pStyle w:val="89"/>
              <w:spacing w:line="360" w:lineRule="auto"/>
              <w:rPr>
                <w:rFonts w:ascii="宋体" w:hAnsi="宋体" w:cs="Tahoma"/>
                <w:color w:val="auto"/>
                <w:sz w:val="24"/>
                <w:highlight w:val="none"/>
              </w:rPr>
            </w:pPr>
          </w:p>
        </w:tc>
      </w:tr>
      <w:tr w14:paraId="200E2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117FD459">
            <w:pPr>
              <w:pStyle w:val="89"/>
              <w:spacing w:line="360" w:lineRule="auto"/>
              <w:jc w:val="center"/>
              <w:rPr>
                <w:rFonts w:ascii="宋体" w:hAnsi="宋体" w:cs="Tahoma"/>
                <w:color w:val="auto"/>
                <w:sz w:val="24"/>
                <w:highlight w:val="none"/>
              </w:rPr>
            </w:pPr>
            <w:r>
              <w:rPr>
                <w:rFonts w:hint="eastAsia" w:ascii="宋体" w:hAnsi="宋体" w:cs="Tahoma"/>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top"/>
          </w:tcPr>
          <w:p w14:paraId="7A784561">
            <w:pPr>
              <w:pStyle w:val="89"/>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7B7F9DB7">
            <w:pPr>
              <w:pStyle w:val="89"/>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0E1A42F1">
            <w:pPr>
              <w:pStyle w:val="89"/>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4135D180">
            <w:pPr>
              <w:pStyle w:val="89"/>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79F31BB7">
            <w:pPr>
              <w:pStyle w:val="89"/>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14323233">
            <w:pPr>
              <w:pStyle w:val="89"/>
              <w:spacing w:line="360" w:lineRule="auto"/>
              <w:rPr>
                <w:rFonts w:ascii="宋体" w:hAnsi="宋体" w:cs="Tahoma"/>
                <w:color w:val="auto"/>
                <w:sz w:val="24"/>
                <w:highlight w:val="none"/>
              </w:rPr>
            </w:pPr>
          </w:p>
        </w:tc>
      </w:tr>
      <w:tr w14:paraId="1FB80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32472EBB">
            <w:pPr>
              <w:pStyle w:val="89"/>
              <w:spacing w:line="360" w:lineRule="auto"/>
              <w:rPr>
                <w:rFonts w:ascii="宋体" w:hAnsi="宋体" w:cs="Tahoma"/>
                <w:color w:val="auto"/>
                <w:sz w:val="24"/>
                <w:highlight w:val="none"/>
              </w:rPr>
            </w:pPr>
            <w:r>
              <w:rPr>
                <w:rFonts w:hint="eastAsia" w:ascii="宋体" w:hAnsi="宋体" w:cs="Tahoma"/>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vAlign w:val="top"/>
          </w:tcPr>
          <w:p w14:paraId="1EE21DA2">
            <w:pPr>
              <w:pStyle w:val="89"/>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1F0AE4BA">
            <w:pPr>
              <w:pStyle w:val="89"/>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74ACD2CF">
            <w:pPr>
              <w:pStyle w:val="89"/>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6DC369F1">
            <w:pPr>
              <w:pStyle w:val="89"/>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54A8C6E8">
            <w:pPr>
              <w:pStyle w:val="89"/>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326B029C">
            <w:pPr>
              <w:pStyle w:val="89"/>
              <w:spacing w:line="360" w:lineRule="auto"/>
              <w:rPr>
                <w:rFonts w:ascii="宋体" w:hAnsi="宋体" w:cs="Tahoma"/>
                <w:color w:val="auto"/>
                <w:sz w:val="24"/>
                <w:highlight w:val="none"/>
              </w:rPr>
            </w:pPr>
          </w:p>
        </w:tc>
      </w:tr>
      <w:tr w14:paraId="6601B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1D0639AD">
            <w:pPr>
              <w:pStyle w:val="89"/>
              <w:spacing w:line="360" w:lineRule="auto"/>
              <w:rPr>
                <w:rFonts w:ascii="宋体" w:hAnsi="宋体" w:cs="Tahoma"/>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53704B5F">
            <w:pPr>
              <w:pStyle w:val="89"/>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12DEDF66">
            <w:pPr>
              <w:pStyle w:val="89"/>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56BD3122">
            <w:pPr>
              <w:pStyle w:val="89"/>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40F2E693">
            <w:pPr>
              <w:pStyle w:val="89"/>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5773965D">
            <w:pPr>
              <w:pStyle w:val="89"/>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19B967A1">
            <w:pPr>
              <w:pStyle w:val="89"/>
              <w:spacing w:line="360" w:lineRule="auto"/>
              <w:rPr>
                <w:rFonts w:ascii="宋体" w:hAnsi="宋体" w:cs="Tahoma"/>
                <w:color w:val="auto"/>
                <w:sz w:val="24"/>
                <w:highlight w:val="none"/>
              </w:rPr>
            </w:pPr>
          </w:p>
        </w:tc>
      </w:tr>
      <w:tr w14:paraId="176F4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5A142DA4">
            <w:pPr>
              <w:pStyle w:val="89"/>
              <w:spacing w:line="360" w:lineRule="auto"/>
              <w:rPr>
                <w:rFonts w:ascii="宋体" w:hAnsi="宋体" w:cs="Tahoma"/>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05ACF436">
            <w:pPr>
              <w:pStyle w:val="89"/>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532BD078">
            <w:pPr>
              <w:pStyle w:val="89"/>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23CB2D96">
            <w:pPr>
              <w:pStyle w:val="89"/>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622309EE">
            <w:pPr>
              <w:pStyle w:val="89"/>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5A21C9B2">
            <w:pPr>
              <w:pStyle w:val="89"/>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58B90031">
            <w:pPr>
              <w:pStyle w:val="89"/>
              <w:spacing w:line="360" w:lineRule="auto"/>
              <w:rPr>
                <w:rFonts w:ascii="宋体" w:hAnsi="宋体" w:cs="Tahoma"/>
                <w:color w:val="auto"/>
                <w:sz w:val="24"/>
                <w:highlight w:val="none"/>
              </w:rPr>
            </w:pPr>
          </w:p>
        </w:tc>
      </w:tr>
      <w:tr w14:paraId="7C26D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14:paraId="4B300EB2">
            <w:pPr>
              <w:pStyle w:val="89"/>
              <w:spacing w:line="360" w:lineRule="auto"/>
              <w:rPr>
                <w:rFonts w:ascii="宋体" w:hAnsi="宋体" w:cs="Tahoma"/>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14:paraId="48237CA1">
            <w:pPr>
              <w:pStyle w:val="89"/>
              <w:spacing w:line="360" w:lineRule="auto"/>
              <w:rPr>
                <w:rFonts w:ascii="宋体" w:hAnsi="宋体" w:cs="Tahoma"/>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14:paraId="012474AB">
            <w:pPr>
              <w:pStyle w:val="89"/>
              <w:spacing w:line="360" w:lineRule="auto"/>
              <w:rPr>
                <w:rFonts w:ascii="宋体" w:hAnsi="宋体" w:cs="Tahom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1B8A5576">
            <w:pPr>
              <w:pStyle w:val="89"/>
              <w:spacing w:line="360" w:lineRule="auto"/>
              <w:rPr>
                <w:rFonts w:ascii="宋体" w:hAnsi="宋体" w:cs="Tahoma"/>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14:paraId="7F03444F">
            <w:pPr>
              <w:pStyle w:val="89"/>
              <w:spacing w:line="360" w:lineRule="auto"/>
              <w:rPr>
                <w:rFonts w:ascii="宋体" w:hAnsi="宋体" w:cs="Tahoma"/>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14:paraId="1AAE4046">
            <w:pPr>
              <w:pStyle w:val="89"/>
              <w:spacing w:line="360" w:lineRule="auto"/>
              <w:rPr>
                <w:rFonts w:ascii="宋体" w:hAnsi="宋体" w:cs="Tahoma"/>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14:paraId="68688746">
            <w:pPr>
              <w:pStyle w:val="89"/>
              <w:spacing w:line="360" w:lineRule="auto"/>
              <w:rPr>
                <w:rFonts w:ascii="宋体" w:hAnsi="宋体" w:cs="Tahoma"/>
                <w:color w:val="auto"/>
                <w:sz w:val="24"/>
                <w:highlight w:val="none"/>
              </w:rPr>
            </w:pPr>
          </w:p>
        </w:tc>
      </w:tr>
    </w:tbl>
    <w:p w14:paraId="0775E01C">
      <w:pPr>
        <w:autoSpaceDE w:val="0"/>
        <w:autoSpaceDN w:val="0"/>
        <w:adjustRightInd w:val="0"/>
        <w:spacing w:before="156" w:beforeLines="50" w:line="360" w:lineRule="auto"/>
        <w:rPr>
          <w:rFonts w:ascii="宋体" w:hAnsi="宋体" w:cs="Tahoma"/>
          <w:b/>
          <w:color w:val="auto"/>
          <w:szCs w:val="21"/>
          <w:highlight w:val="none"/>
        </w:rPr>
      </w:pPr>
      <w:r>
        <w:rPr>
          <w:rFonts w:hint="eastAsia" w:ascii="宋体" w:hAnsi="宋体" w:cs="Tahoma"/>
          <w:b/>
          <w:color w:val="auto"/>
          <w:szCs w:val="21"/>
          <w:highlight w:val="none"/>
        </w:rPr>
        <w:t>要求</w:t>
      </w:r>
      <w:r>
        <w:rPr>
          <w:rFonts w:ascii="宋体" w:hAnsi="宋体" w:cs="Tahoma"/>
          <w:b/>
          <w:color w:val="auto"/>
          <w:szCs w:val="21"/>
          <w:highlight w:val="none"/>
        </w:rPr>
        <w:t>：</w:t>
      </w:r>
    </w:p>
    <w:p w14:paraId="2B57C71C">
      <w:pPr>
        <w:spacing w:line="360" w:lineRule="auto"/>
        <w:ind w:firstLine="420" w:firstLineChars="200"/>
        <w:rPr>
          <w:rFonts w:ascii="宋体" w:cs="Arial"/>
          <w:color w:val="auto"/>
          <w:szCs w:val="21"/>
          <w:highlight w:val="none"/>
        </w:rPr>
      </w:pPr>
      <w:r>
        <w:rPr>
          <w:rFonts w:ascii="宋体" w:hAnsi="宋体" w:cs="Tahoma"/>
          <w:color w:val="auto"/>
          <w:szCs w:val="21"/>
          <w:highlight w:val="none"/>
        </w:rPr>
        <w:t>1</w:t>
      </w:r>
      <w:r>
        <w:rPr>
          <w:rFonts w:hint="eastAsia" w:ascii="宋体" w:hAnsi="宋体" w:cs="Tahoma"/>
          <w:color w:val="auto"/>
          <w:szCs w:val="21"/>
          <w:highlight w:val="none"/>
        </w:rPr>
        <w:t>.</w:t>
      </w:r>
      <w:r>
        <w:rPr>
          <w:rFonts w:ascii="宋体" w:hAnsi="宋体" w:cs="Tahoma"/>
          <w:color w:val="auto"/>
          <w:szCs w:val="21"/>
          <w:highlight w:val="none"/>
        </w:rPr>
        <w:t>业绩证明应提供证明材料</w:t>
      </w:r>
      <w:r>
        <w:rPr>
          <w:rFonts w:hint="eastAsia" w:ascii="宋体" w:hAnsi="宋体" w:cs="Tahoma"/>
          <w:color w:val="auto"/>
          <w:szCs w:val="21"/>
          <w:highlight w:val="none"/>
        </w:rPr>
        <w:t>的扫描件，</w:t>
      </w:r>
      <w:r>
        <w:rPr>
          <w:rFonts w:hint="eastAsia" w:ascii="宋体" w:hAnsi="宋体" w:cs="Tahoma"/>
          <w:color w:val="auto"/>
          <w:szCs w:val="21"/>
          <w:highlight w:val="none"/>
          <w:lang w:val="en-US" w:eastAsia="zh-CN"/>
        </w:rPr>
        <w:t>具体证明材料根据评标办法。</w:t>
      </w:r>
      <w:r>
        <w:rPr>
          <w:rFonts w:hint="eastAsia" w:ascii="宋体" w:hAnsi="宋体" w:cs="Tahoma"/>
          <w:color w:val="auto"/>
          <w:szCs w:val="21"/>
          <w:highlight w:val="none"/>
          <w:lang w:eastAsia="zh-CN"/>
        </w:rPr>
        <w:t>（</w:t>
      </w:r>
      <w:r>
        <w:rPr>
          <w:rFonts w:hint="eastAsia" w:ascii="宋体" w:cs="Arial"/>
          <w:color w:val="auto"/>
          <w:szCs w:val="21"/>
          <w:highlight w:val="none"/>
        </w:rPr>
        <w:t>其中</w:t>
      </w:r>
      <w:r>
        <w:rPr>
          <w:rFonts w:ascii="宋体" w:cs="Arial"/>
          <w:color w:val="auto"/>
          <w:szCs w:val="21"/>
          <w:highlight w:val="none"/>
        </w:rPr>
        <w:t>合同</w:t>
      </w:r>
      <w:r>
        <w:rPr>
          <w:rFonts w:hint="eastAsia" w:ascii="宋体" w:cs="Arial"/>
          <w:color w:val="auto"/>
          <w:szCs w:val="21"/>
          <w:highlight w:val="none"/>
        </w:rPr>
        <w:t>扫描件可只提供首页、含金额页、内容</w:t>
      </w:r>
      <w:r>
        <w:rPr>
          <w:rFonts w:ascii="宋体" w:cs="Arial"/>
          <w:color w:val="auto"/>
          <w:szCs w:val="21"/>
          <w:highlight w:val="none"/>
        </w:rPr>
        <w:t>页、</w:t>
      </w:r>
      <w:r>
        <w:rPr>
          <w:rFonts w:hint="eastAsia" w:ascii="宋体" w:cs="Arial"/>
          <w:color w:val="auto"/>
          <w:szCs w:val="21"/>
          <w:highlight w:val="none"/>
        </w:rPr>
        <w:t>盖章页并加盖投标供应商公章</w:t>
      </w:r>
      <w:r>
        <w:rPr>
          <w:rFonts w:hint="eastAsia" w:ascii="宋体" w:cs="Arial"/>
          <w:color w:val="auto"/>
          <w:szCs w:val="21"/>
          <w:highlight w:val="none"/>
          <w:lang w:eastAsia="zh-CN"/>
        </w:rPr>
        <w:t>）</w:t>
      </w:r>
      <w:r>
        <w:rPr>
          <w:rFonts w:ascii="宋体" w:cs="Arial"/>
          <w:color w:val="auto"/>
          <w:szCs w:val="21"/>
          <w:highlight w:val="none"/>
        </w:rPr>
        <w:t>；</w:t>
      </w:r>
    </w:p>
    <w:p w14:paraId="2F5A6688">
      <w:pPr>
        <w:spacing w:line="360" w:lineRule="auto"/>
        <w:ind w:firstLine="424" w:firstLineChars="202"/>
        <w:jc w:val="left"/>
        <w:rPr>
          <w:rFonts w:ascii="宋体" w:hAnsi="宋体" w:cs="Tahoma"/>
          <w:color w:val="auto"/>
          <w:szCs w:val="21"/>
          <w:highlight w:val="none"/>
        </w:rPr>
      </w:pPr>
      <w:r>
        <w:rPr>
          <w:rFonts w:ascii="宋体" w:hAnsi="宋体" w:cs="Tahoma"/>
          <w:color w:val="auto"/>
          <w:szCs w:val="21"/>
          <w:highlight w:val="none"/>
        </w:rPr>
        <w:t>2</w:t>
      </w:r>
      <w:r>
        <w:rPr>
          <w:rFonts w:hint="eastAsia" w:ascii="宋体" w:hAnsi="宋体" w:cs="Tahoma"/>
          <w:color w:val="auto"/>
          <w:szCs w:val="21"/>
          <w:highlight w:val="none"/>
        </w:rPr>
        <w:t>.磋商供应商</w:t>
      </w:r>
      <w:r>
        <w:rPr>
          <w:rFonts w:ascii="宋体" w:hAnsi="宋体" w:cs="Tahoma"/>
          <w:color w:val="auto"/>
          <w:szCs w:val="21"/>
          <w:highlight w:val="none"/>
        </w:rPr>
        <w:t>可按此表格式复制</w:t>
      </w:r>
      <w:r>
        <w:rPr>
          <w:rFonts w:hint="eastAsia" w:ascii="宋体" w:hAnsi="宋体" w:cs="Tahoma"/>
          <w:color w:val="auto"/>
          <w:szCs w:val="21"/>
          <w:highlight w:val="none"/>
        </w:rPr>
        <w:t>。</w:t>
      </w:r>
    </w:p>
    <w:p w14:paraId="76441B21">
      <w:pPr>
        <w:snapToGrid w:val="0"/>
        <w:spacing w:before="50" w:after="156" w:afterLines="50" w:line="360" w:lineRule="auto"/>
        <w:jc w:val="left"/>
        <w:rPr>
          <w:rFonts w:ascii="宋体" w:hAnsi="宋体"/>
          <w:color w:val="auto"/>
          <w:sz w:val="24"/>
          <w:szCs w:val="20"/>
          <w:highlight w:val="none"/>
        </w:rPr>
      </w:pPr>
    </w:p>
    <w:p w14:paraId="35BDA909">
      <w:pPr>
        <w:pStyle w:val="39"/>
        <w:rPr>
          <w:rFonts w:hint="eastAsia"/>
          <w:color w:val="auto"/>
          <w:highlight w:val="none"/>
        </w:rPr>
      </w:pPr>
    </w:p>
    <w:p w14:paraId="34B9E2A3">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2B57EEB">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w:t>
      </w:r>
      <w:r>
        <w:rPr>
          <w:rFonts w:hint="eastAsia" w:ascii="宋体" w:hAnsi="宋体"/>
          <w:color w:val="auto"/>
          <w:sz w:val="24"/>
          <w:highlight w:val="none"/>
          <w:lang w:val="en-US" w:eastAsia="zh-CN"/>
        </w:rPr>
        <w:t>或法定代表人（</w:t>
      </w:r>
      <w:r>
        <w:rPr>
          <w:rFonts w:hint="eastAsia" w:ascii="宋体" w:hAnsi="宋体" w:cs="宋体"/>
          <w:color w:val="auto"/>
          <w:sz w:val="24"/>
          <w:highlight w:val="none"/>
          <w:lang w:eastAsia="zh-CN"/>
        </w:rPr>
        <w:t>签字或盖章</w:t>
      </w:r>
      <w:r>
        <w:rPr>
          <w:rFonts w:hint="eastAsia" w:ascii="宋体" w:hAnsi="宋体"/>
          <w:color w:val="auto"/>
          <w:sz w:val="24"/>
          <w:highlight w:val="none"/>
        </w:rPr>
        <w:t>：</w:t>
      </w:r>
      <w:r>
        <w:rPr>
          <w:rFonts w:hint="eastAsia" w:ascii="宋体" w:hAnsi="宋体"/>
          <w:color w:val="auto"/>
          <w:sz w:val="24"/>
          <w:highlight w:val="none"/>
          <w:lang w:val="en-US" w:eastAsia="zh-CN"/>
        </w:rPr>
        <w:t>）</w:t>
      </w:r>
      <w:r>
        <w:rPr>
          <w:rFonts w:hint="eastAsia" w:ascii="宋体" w:hAnsi="宋体"/>
          <w:color w:val="auto"/>
          <w:sz w:val="24"/>
          <w:highlight w:val="none"/>
          <w:u w:val="single"/>
        </w:rPr>
        <w:t xml:space="preserve">                      </w:t>
      </w:r>
    </w:p>
    <w:p w14:paraId="16B9EE76">
      <w:pPr>
        <w:spacing w:line="360" w:lineRule="auto"/>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5D61230D">
      <w:pPr>
        <w:keepNext w:val="0"/>
        <w:keepLines w:val="0"/>
        <w:pageBreakBefore w:val="0"/>
        <w:widowControl w:val="0"/>
        <w:tabs>
          <w:tab w:val="left" w:pos="2460"/>
        </w:tabs>
        <w:kinsoku/>
        <w:wordWrap/>
        <w:overflowPunct/>
        <w:topLinePunct w:val="0"/>
        <w:autoSpaceDE/>
        <w:autoSpaceDN/>
        <w:bidi w:val="0"/>
        <w:adjustRightInd/>
        <w:snapToGrid/>
        <w:spacing w:line="360" w:lineRule="auto"/>
        <w:ind w:firstLine="420" w:firstLineChars="175"/>
        <w:textAlignment w:val="auto"/>
        <w:rPr>
          <w:rFonts w:hint="eastAsia" w:ascii="宋体" w:hAnsi="宋体" w:cs="宋体"/>
          <w:b/>
          <w:color w:val="auto"/>
          <w:sz w:val="28"/>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6DC1E559">
      <w:pPr>
        <w:tabs>
          <w:tab w:val="left" w:pos="2460"/>
        </w:tabs>
        <w:spacing w:line="360" w:lineRule="auto"/>
        <w:rPr>
          <w:rFonts w:ascii="宋体" w:hAnsi="宋体" w:cs="宋体"/>
          <w:b/>
          <w:color w:val="auto"/>
          <w:sz w:val="30"/>
          <w:szCs w:val="30"/>
          <w:highlight w:val="none"/>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7</w:t>
      </w:r>
      <w:r>
        <w:rPr>
          <w:rFonts w:hint="eastAsia" w:ascii="宋体" w:hAnsi="宋体" w:cs="宋体"/>
          <w:b/>
          <w:color w:val="auto"/>
          <w:sz w:val="28"/>
          <w:highlight w:val="none"/>
        </w:rPr>
        <w:t xml:space="preserve">:  </w:t>
      </w:r>
      <w:r>
        <w:rPr>
          <w:rFonts w:hint="eastAsia" w:ascii="宋体" w:hAnsi="宋体" w:cs="宋体"/>
          <w:b/>
          <w:color w:val="auto"/>
          <w:sz w:val="28"/>
          <w:highlight w:val="none"/>
        </w:rPr>
        <w:tab/>
      </w:r>
      <w:r>
        <w:rPr>
          <w:rFonts w:hint="eastAsia" w:ascii="宋体" w:hAnsi="宋体" w:cs="宋体"/>
          <w:b/>
          <w:color w:val="auto"/>
          <w:sz w:val="30"/>
          <w:szCs w:val="30"/>
          <w:highlight w:val="none"/>
        </w:rPr>
        <w:t xml:space="preserve">                              </w:t>
      </w:r>
    </w:p>
    <w:p w14:paraId="2DA119D3">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首次报价一览表</w:t>
      </w:r>
    </w:p>
    <w:p w14:paraId="6BAB63E6">
      <w:pPr>
        <w:spacing w:line="360" w:lineRule="auto"/>
        <w:ind w:left="-2" w:hanging="2"/>
        <w:jc w:val="center"/>
        <w:rPr>
          <w:rFonts w:ascii="宋体" w:hAnsi="宋体" w:cs="宋体"/>
          <w:b/>
          <w:color w:val="auto"/>
          <w:sz w:val="32"/>
          <w:szCs w:val="32"/>
          <w:highlight w:val="none"/>
        </w:rPr>
      </w:pPr>
    </w:p>
    <w:p w14:paraId="6488D565">
      <w:pPr>
        <w:pStyle w:val="23"/>
        <w:spacing w:line="320" w:lineRule="exact"/>
        <w:rPr>
          <w:rFonts w:ascii="宋体" w:hAnsi="宋体" w:eastAsia="宋体" w:cs="宋体"/>
          <w:b/>
          <w:color w:val="auto"/>
          <w:sz w:val="24"/>
          <w:highlight w:val="none"/>
        </w:rPr>
      </w:pPr>
    </w:p>
    <w:p w14:paraId="22101614">
      <w:pPr>
        <w:pStyle w:val="23"/>
        <w:spacing w:line="320" w:lineRule="exact"/>
        <w:rPr>
          <w:rFonts w:ascii="宋体" w:hAnsi="宋体" w:eastAsia="宋体" w:cs="宋体"/>
          <w:b/>
          <w:color w:val="auto"/>
          <w:sz w:val="24"/>
          <w:highlight w:val="none"/>
          <w:u w:val="single"/>
        </w:rPr>
      </w:pPr>
      <w:r>
        <w:rPr>
          <w:rFonts w:hint="eastAsia" w:ascii="宋体" w:hAnsi="宋体" w:eastAsia="宋体" w:cs="宋体"/>
          <w:b/>
          <w:color w:val="auto"/>
          <w:sz w:val="24"/>
          <w:highlight w:val="none"/>
        </w:rPr>
        <w:t>项目编号：</w:t>
      </w:r>
      <w:r>
        <w:rPr>
          <w:rFonts w:hint="eastAsia" w:ascii="宋体" w:hAnsi="宋体" w:eastAsia="宋体" w:cs="宋体"/>
          <w:b/>
          <w:color w:val="auto"/>
          <w:sz w:val="24"/>
          <w:highlight w:val="none"/>
          <w:u w:val="single"/>
        </w:rPr>
        <w:t xml:space="preserve">               </w:t>
      </w:r>
    </w:p>
    <w:p w14:paraId="0B1BE5FE">
      <w:pPr>
        <w:pStyle w:val="95"/>
        <w:spacing w:line="360" w:lineRule="auto"/>
        <w:ind w:right="-58"/>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 xml:space="preserve">               [货币单位：人民币（元）]</w:t>
      </w:r>
    </w:p>
    <w:tbl>
      <w:tblPr>
        <w:tblStyle w:val="42"/>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929"/>
      </w:tblGrid>
      <w:tr w14:paraId="2AFE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2694" w:type="dxa"/>
            <w:vMerge w:val="restart"/>
            <w:vAlign w:val="center"/>
          </w:tcPr>
          <w:p w14:paraId="507AA3F3">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总报价（元）</w:t>
            </w:r>
          </w:p>
        </w:tc>
        <w:tc>
          <w:tcPr>
            <w:tcW w:w="1349" w:type="dxa"/>
            <w:vAlign w:val="center"/>
          </w:tcPr>
          <w:p w14:paraId="77CB9025">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929" w:type="dxa"/>
            <w:vAlign w:val="center"/>
          </w:tcPr>
          <w:p w14:paraId="4FC673F1">
            <w:pPr>
              <w:autoSpaceDE w:val="0"/>
              <w:autoSpaceDN w:val="0"/>
              <w:spacing w:line="450" w:lineRule="exact"/>
              <w:jc w:val="center"/>
              <w:textAlignment w:val="bottom"/>
              <w:rPr>
                <w:rFonts w:ascii="宋体" w:hAnsi="宋体" w:cs="宋体"/>
                <w:color w:val="auto"/>
                <w:sz w:val="24"/>
                <w:highlight w:val="none"/>
              </w:rPr>
            </w:pPr>
          </w:p>
        </w:tc>
      </w:tr>
      <w:tr w14:paraId="3FA0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2" w:hRule="atLeast"/>
          <w:jc w:val="center"/>
        </w:trPr>
        <w:tc>
          <w:tcPr>
            <w:tcW w:w="2694" w:type="dxa"/>
            <w:vMerge w:val="continue"/>
            <w:vAlign w:val="center"/>
          </w:tcPr>
          <w:p w14:paraId="792C8C3A">
            <w:pPr>
              <w:rPr>
                <w:rFonts w:ascii="宋体" w:hAnsi="宋体" w:cs="宋体"/>
                <w:color w:val="auto"/>
                <w:sz w:val="24"/>
                <w:highlight w:val="none"/>
              </w:rPr>
            </w:pPr>
          </w:p>
        </w:tc>
        <w:tc>
          <w:tcPr>
            <w:tcW w:w="1349" w:type="dxa"/>
            <w:vAlign w:val="center"/>
          </w:tcPr>
          <w:p w14:paraId="0001BA40">
            <w:pPr>
              <w:autoSpaceDE w:val="0"/>
              <w:autoSpaceDN w:val="0"/>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929" w:type="dxa"/>
            <w:vAlign w:val="center"/>
          </w:tcPr>
          <w:p w14:paraId="1141E993">
            <w:pPr>
              <w:autoSpaceDE w:val="0"/>
              <w:autoSpaceDN w:val="0"/>
              <w:spacing w:line="450" w:lineRule="exact"/>
              <w:jc w:val="center"/>
              <w:textAlignment w:val="bottom"/>
              <w:rPr>
                <w:rFonts w:ascii="宋体" w:hAnsi="宋体" w:cs="宋体"/>
                <w:color w:val="auto"/>
                <w:sz w:val="24"/>
                <w:highlight w:val="none"/>
              </w:rPr>
            </w:pPr>
          </w:p>
        </w:tc>
      </w:tr>
      <w:tr w14:paraId="67BE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3" w:hRule="atLeast"/>
          <w:jc w:val="center"/>
        </w:trPr>
        <w:tc>
          <w:tcPr>
            <w:tcW w:w="4043" w:type="dxa"/>
            <w:gridSpan w:val="2"/>
            <w:vAlign w:val="center"/>
          </w:tcPr>
          <w:p w14:paraId="601B7632">
            <w:pPr>
              <w:autoSpaceDE w:val="0"/>
              <w:autoSpaceDN w:val="0"/>
              <w:spacing w:line="450" w:lineRule="exact"/>
              <w:jc w:val="center"/>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工期</w:t>
            </w:r>
          </w:p>
        </w:tc>
        <w:tc>
          <w:tcPr>
            <w:tcW w:w="4929" w:type="dxa"/>
            <w:tcMar>
              <w:top w:w="108" w:type="dxa"/>
              <w:left w:w="108" w:type="dxa"/>
              <w:bottom w:w="108" w:type="dxa"/>
              <w:right w:w="108" w:type="dxa"/>
            </w:tcMar>
            <w:vAlign w:val="center"/>
          </w:tcPr>
          <w:p w14:paraId="15D200AD">
            <w:pPr>
              <w:autoSpaceDE w:val="0"/>
              <w:autoSpaceDN w:val="0"/>
              <w:spacing w:line="450" w:lineRule="exact"/>
              <w:jc w:val="center"/>
              <w:textAlignment w:val="bottom"/>
              <w:rPr>
                <w:rFonts w:hint="eastAsia" w:ascii="宋体" w:hAnsi="宋体" w:eastAsia="宋体" w:cs="宋体"/>
                <w:color w:val="auto"/>
                <w:sz w:val="24"/>
                <w:highlight w:val="none"/>
                <w:lang w:val="en-US" w:eastAsia="zh-CN"/>
              </w:rPr>
            </w:pPr>
            <w:r>
              <w:rPr>
                <w:rFonts w:hint="eastAsia" w:ascii="宋体" w:cs="宋体"/>
                <w:color w:val="auto"/>
                <w:sz w:val="24"/>
                <w:szCs w:val="24"/>
                <w:highlight w:val="none"/>
              </w:rPr>
              <w:t>不超过</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日历天</w:t>
            </w:r>
            <w:r>
              <w:rPr>
                <w:rFonts w:hint="eastAsia" w:ascii="宋体" w:cs="宋体"/>
                <w:color w:val="auto"/>
                <w:sz w:val="24"/>
                <w:szCs w:val="24"/>
                <w:highlight w:val="none"/>
                <w:lang w:eastAsia="zh-CN"/>
              </w:rPr>
              <w:t>（以开工令载明的日期起算）</w:t>
            </w:r>
          </w:p>
        </w:tc>
      </w:tr>
    </w:tbl>
    <w:p w14:paraId="19F13ECE">
      <w:pP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14:paraId="2C62AA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1.总报价应当包含本项目采购范围内全部工作内容的价格表现。其应包括</w:t>
      </w:r>
      <w:r>
        <w:rPr>
          <w:rFonts w:hint="eastAsia" w:ascii="宋体" w:hAnsi="宋体" w:cs="宋体"/>
          <w:color w:val="auto"/>
          <w:kern w:val="0"/>
          <w:szCs w:val="21"/>
          <w:highlight w:val="none"/>
          <w:lang w:val="zh-CN"/>
        </w:rPr>
        <w:t>工程直接费、施工设备、机械进退场费、运输、劳务、管理、材料、安装、安全文明、维护、技术措施费、施工组织措施费、风险费、保险、利润、规费、税金、政策性文件、采购代理费等</w:t>
      </w:r>
      <w:r>
        <w:rPr>
          <w:rFonts w:hint="eastAsia" w:ascii="宋体" w:hAnsi="宋体" w:cs="宋体"/>
          <w:color w:val="auto"/>
          <w:kern w:val="0"/>
          <w:szCs w:val="21"/>
          <w:highlight w:val="none"/>
        </w:rPr>
        <w:t>完成合同所需的一切本身和不可或缺的所有工作开支、政策性文件规定及合同包含的所有风险、责任等各项全部费用并承担一切风险责任。</w:t>
      </w:r>
    </w:p>
    <w:p w14:paraId="0F584D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ascii="宋体" w:hAnsi="宋体" w:cs="宋体"/>
          <w:color w:val="auto"/>
          <w:highlight w:val="none"/>
        </w:rPr>
        <w:t>▲</w:t>
      </w:r>
      <w:r>
        <w:rPr>
          <w:rFonts w:hint="eastAsia" w:ascii="宋体" w:hAnsi="宋体" w:cs="宋体"/>
          <w:color w:val="auto"/>
          <w:kern w:val="0"/>
          <w:szCs w:val="21"/>
          <w:highlight w:val="none"/>
        </w:rPr>
        <w:t>2.报价一经涂改，应在涂改处加盖单位公章，或者由法定代表人或全权代表签字或盖章，否则作无效标处理。</w:t>
      </w:r>
    </w:p>
    <w:p w14:paraId="63C69A93">
      <w:pPr>
        <w:snapToGrid w:val="0"/>
        <w:spacing w:before="50" w:afterLines="50" w:line="360" w:lineRule="auto"/>
        <w:jc w:val="left"/>
        <w:rPr>
          <w:rFonts w:ascii="宋体" w:hAnsi="宋体" w:cs="宋体"/>
          <w:color w:val="auto"/>
          <w:sz w:val="24"/>
          <w:szCs w:val="20"/>
          <w:highlight w:val="none"/>
        </w:rPr>
      </w:pPr>
    </w:p>
    <w:p w14:paraId="749B7B07">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FA00B5A">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8B87DF9">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53F9256">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E240E54">
      <w:pPr>
        <w:pStyle w:val="18"/>
        <w:ind w:left="0" w:leftChars="0" w:firstLine="0" w:firstLineChars="0"/>
        <w:rPr>
          <w:rFonts w:ascii="宋体" w:hAnsi="宋体" w:cs="宋体"/>
          <w:b/>
          <w:color w:val="auto"/>
          <w:sz w:val="28"/>
          <w:highlight w:val="none"/>
        </w:rPr>
      </w:pPr>
    </w:p>
    <w:p w14:paraId="080D2BE9">
      <w:pPr>
        <w:pStyle w:val="39"/>
        <w:jc w:val="both"/>
        <w:rPr>
          <w:rFonts w:hint="eastAsia" w:ascii="宋体" w:hAnsi="宋体" w:cs="宋体"/>
          <w:b/>
          <w:color w:val="auto"/>
          <w:sz w:val="28"/>
          <w:highlight w:val="none"/>
          <w:lang w:val="en-US"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8：</w:t>
      </w:r>
    </w:p>
    <w:p w14:paraId="4F0DA58C">
      <w:pPr>
        <w:pStyle w:val="39"/>
        <w:jc w:val="center"/>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工程量清单报价明细表</w:t>
      </w:r>
    </w:p>
    <w:tbl>
      <w:tblPr>
        <w:tblStyle w:val="42"/>
        <w:tblW w:w="87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96"/>
        <w:gridCol w:w="1320"/>
        <w:gridCol w:w="1749"/>
        <w:gridCol w:w="454"/>
        <w:gridCol w:w="737"/>
        <w:gridCol w:w="1072"/>
        <w:gridCol w:w="1519"/>
      </w:tblGrid>
      <w:tr w14:paraId="2AA6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6D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B4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795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3C5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主要特征</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9AD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84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数量</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12F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2F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r>
      <w:tr w14:paraId="7A51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72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7F64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一、红旗渡槽</w:t>
            </w:r>
          </w:p>
        </w:tc>
      </w:tr>
      <w:tr w14:paraId="0A85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FC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104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500105018001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A86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26F4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渡槽表面处理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1、渡槽表面清理、冲洗及基层缺陷填充、修补</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DD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6D2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5120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53F8">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ED1EC">
            <w:pPr>
              <w:jc w:val="right"/>
              <w:rPr>
                <w:rFonts w:hint="eastAsia" w:ascii="宋体" w:hAnsi="宋体" w:eastAsia="宋体" w:cs="宋体"/>
                <w:i w:val="0"/>
                <w:iCs w:val="0"/>
                <w:color w:val="000000"/>
                <w:sz w:val="18"/>
                <w:szCs w:val="18"/>
                <w:highlight w:val="none"/>
                <w:u w:val="none"/>
              </w:rPr>
            </w:pPr>
          </w:p>
        </w:tc>
      </w:tr>
      <w:tr w14:paraId="5CF4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AB0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D55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500105018002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988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7D2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渡槽表面处理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1、胶水</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D3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C7A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10240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C1DC7">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7D5D4">
            <w:pPr>
              <w:jc w:val="right"/>
              <w:rPr>
                <w:rFonts w:hint="eastAsia" w:ascii="宋体" w:hAnsi="宋体" w:eastAsia="宋体" w:cs="宋体"/>
                <w:i w:val="0"/>
                <w:iCs w:val="0"/>
                <w:color w:val="000000"/>
                <w:sz w:val="18"/>
                <w:szCs w:val="18"/>
                <w:highlight w:val="none"/>
                <w:u w:val="none"/>
              </w:rPr>
            </w:pPr>
          </w:p>
        </w:tc>
      </w:tr>
      <w:tr w14:paraId="0399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57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1B1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500109012001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41E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防水层</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A1E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渡槽面层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1、聚乙烯丙纶复合防水卷材水泥胶粘结400g/㎡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2、防水卷材工艺流程详见施工图。</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26C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28DC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5120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EA561">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05661">
            <w:pPr>
              <w:jc w:val="right"/>
              <w:rPr>
                <w:rFonts w:hint="eastAsia" w:ascii="宋体" w:hAnsi="宋体" w:eastAsia="宋体" w:cs="宋体"/>
                <w:i w:val="0"/>
                <w:iCs w:val="0"/>
                <w:color w:val="000000"/>
                <w:sz w:val="18"/>
                <w:szCs w:val="18"/>
                <w:highlight w:val="none"/>
                <w:u w:val="none"/>
              </w:rPr>
            </w:pPr>
          </w:p>
        </w:tc>
      </w:tr>
      <w:tr w14:paraId="7412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4F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4D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500105018003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B27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C93E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渡槽表面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1.1:2水泥砂浆(河砂)厚1.5cm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2.水泥胶厚0.1cm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79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B16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5120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534F9">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BFB19">
            <w:pPr>
              <w:jc w:val="right"/>
              <w:rPr>
                <w:rFonts w:hint="eastAsia" w:ascii="宋体" w:hAnsi="宋体" w:eastAsia="宋体" w:cs="宋体"/>
                <w:i w:val="0"/>
                <w:iCs w:val="0"/>
                <w:color w:val="000000"/>
                <w:sz w:val="18"/>
                <w:szCs w:val="18"/>
                <w:highlight w:val="none"/>
                <w:u w:val="none"/>
              </w:rPr>
            </w:pPr>
          </w:p>
        </w:tc>
      </w:tr>
      <w:tr w14:paraId="11E1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0C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04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500109012002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2F5F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防水层</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B5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渡槽表面涂刷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1、ECC防水材料厚1cm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2、ECC抗渗材料施工工艺流程详见施工图。</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7B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1AD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5120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59CFD">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DA8C0">
            <w:pPr>
              <w:jc w:val="right"/>
              <w:rPr>
                <w:rFonts w:hint="eastAsia" w:ascii="宋体" w:hAnsi="宋体" w:eastAsia="宋体" w:cs="宋体"/>
                <w:i w:val="0"/>
                <w:iCs w:val="0"/>
                <w:color w:val="000000"/>
                <w:sz w:val="18"/>
                <w:szCs w:val="18"/>
                <w:highlight w:val="none"/>
                <w:u w:val="none"/>
              </w:rPr>
            </w:pPr>
          </w:p>
        </w:tc>
      </w:tr>
      <w:tr w14:paraId="06DF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2C3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BC5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500105018004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C6CF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D77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ECC抗渗材料配合比与工艺优化（暂估）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1、ECC抗渗材料配合比与工艺优化</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8B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CBC0">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D1658">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5656A">
            <w:pPr>
              <w:jc w:val="right"/>
              <w:rPr>
                <w:rFonts w:hint="eastAsia" w:ascii="宋体" w:hAnsi="宋体" w:eastAsia="宋体" w:cs="宋体"/>
                <w:i w:val="0"/>
                <w:iCs w:val="0"/>
                <w:color w:val="000000"/>
                <w:sz w:val="18"/>
                <w:szCs w:val="18"/>
                <w:highlight w:val="none"/>
                <w:u w:val="none"/>
              </w:rPr>
            </w:pPr>
          </w:p>
        </w:tc>
      </w:tr>
      <w:tr w14:paraId="0499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EC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7D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500105018005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20E1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C95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防潮实验区清洗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1、保护材料实验之前对防潮实验区清洗</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96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3CB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57FD9">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005F1">
            <w:pPr>
              <w:jc w:val="right"/>
              <w:rPr>
                <w:rFonts w:hint="eastAsia" w:ascii="宋体" w:hAnsi="宋体" w:eastAsia="宋体" w:cs="宋体"/>
                <w:i w:val="0"/>
                <w:iCs w:val="0"/>
                <w:color w:val="000000"/>
                <w:sz w:val="18"/>
                <w:szCs w:val="18"/>
                <w:highlight w:val="none"/>
                <w:u w:val="none"/>
              </w:rPr>
            </w:pPr>
          </w:p>
        </w:tc>
      </w:tr>
      <w:tr w14:paraId="5AF9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82F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0FBA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500105018006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03C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9091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外鼓区域灌浆加固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1、外鼓区域灌浆加固，每处约3m2；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2、灌浆加固工艺流程详见施工设计说明；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3、包含施工用机械设备及吊蓝等施工措施费用。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0A3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处</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82C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39337">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C1B41">
            <w:pPr>
              <w:jc w:val="right"/>
              <w:rPr>
                <w:rFonts w:hint="eastAsia" w:ascii="宋体" w:hAnsi="宋体" w:eastAsia="宋体" w:cs="宋体"/>
                <w:i w:val="0"/>
                <w:iCs w:val="0"/>
                <w:color w:val="000000"/>
                <w:sz w:val="18"/>
                <w:szCs w:val="18"/>
                <w:highlight w:val="none"/>
                <w:u w:val="none"/>
              </w:rPr>
            </w:pPr>
          </w:p>
        </w:tc>
      </w:tr>
      <w:tr w14:paraId="2BB4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C7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F6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500105018007</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4C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C54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机械清除根系植物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1、具体要求和工作内容详见施工设计说明；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2、包含施工用机械设备及吊蓝等施工措施费用。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55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DBF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56938">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0A361">
            <w:pPr>
              <w:jc w:val="right"/>
              <w:rPr>
                <w:rFonts w:hint="eastAsia" w:ascii="宋体" w:hAnsi="宋体" w:eastAsia="宋体" w:cs="宋体"/>
                <w:i w:val="0"/>
                <w:iCs w:val="0"/>
                <w:color w:val="000000"/>
                <w:sz w:val="18"/>
                <w:szCs w:val="18"/>
                <w:highlight w:val="none"/>
                <w:u w:val="none"/>
              </w:rPr>
            </w:pPr>
          </w:p>
        </w:tc>
      </w:tr>
      <w:tr w14:paraId="1C2B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19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r>
              <w:rPr>
                <w:rFonts w:hint="eastAsia" w:ascii="宋体" w:hAnsi="宋体" w:cs="宋体"/>
                <w:i w:val="0"/>
                <w:iCs w:val="0"/>
                <w:color w:val="000000"/>
                <w:kern w:val="0"/>
                <w:sz w:val="18"/>
                <w:szCs w:val="18"/>
                <w:highlight w:val="none"/>
                <w:u w:val="none"/>
                <w:lang w:val="en-US" w:eastAsia="zh-CN" w:bidi="ar"/>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D2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500105018009</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0230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2E2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砌筑砂浆修补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1、砌筑砂浆修补工艺流程详见施工设计说明。</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F0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B4103">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E0A19">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17D08">
            <w:pPr>
              <w:jc w:val="right"/>
              <w:rPr>
                <w:rFonts w:hint="eastAsia" w:ascii="宋体" w:hAnsi="宋体" w:eastAsia="宋体" w:cs="宋体"/>
                <w:i w:val="0"/>
                <w:iCs w:val="0"/>
                <w:color w:val="000000"/>
                <w:sz w:val="18"/>
                <w:szCs w:val="18"/>
                <w:highlight w:val="none"/>
                <w:u w:val="none"/>
              </w:rPr>
            </w:pPr>
          </w:p>
        </w:tc>
      </w:tr>
      <w:tr w14:paraId="0570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7B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r>
              <w:rPr>
                <w:rFonts w:hint="eastAsia" w:ascii="宋体" w:hAnsi="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9E9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500105018010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5B93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69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表面防水试验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1、试验区域、试验方法、试验指标详见施工图。</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D24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6B4E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BA08D">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30A0C">
            <w:pPr>
              <w:jc w:val="right"/>
              <w:rPr>
                <w:rFonts w:hint="eastAsia" w:ascii="宋体" w:hAnsi="宋体" w:eastAsia="宋体" w:cs="宋体"/>
                <w:i w:val="0"/>
                <w:iCs w:val="0"/>
                <w:color w:val="000000"/>
                <w:sz w:val="18"/>
                <w:szCs w:val="18"/>
                <w:highlight w:val="none"/>
                <w:u w:val="none"/>
              </w:rPr>
            </w:pPr>
          </w:p>
        </w:tc>
      </w:tr>
      <w:tr w14:paraId="5352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D6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r>
              <w:rPr>
                <w:rFonts w:hint="eastAsia" w:ascii="宋体" w:hAnsi="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6B5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500105018011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917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5EA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表面加固试验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1、试验区域、试验方法、试验指标详见施工图。</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23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E8C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BD78D">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2DAD8">
            <w:pPr>
              <w:jc w:val="right"/>
              <w:rPr>
                <w:rFonts w:hint="eastAsia" w:ascii="宋体" w:hAnsi="宋体" w:eastAsia="宋体" w:cs="宋体"/>
                <w:i w:val="0"/>
                <w:iCs w:val="0"/>
                <w:color w:val="000000"/>
                <w:sz w:val="18"/>
                <w:szCs w:val="18"/>
                <w:highlight w:val="none"/>
                <w:u w:val="none"/>
              </w:rPr>
            </w:pPr>
          </w:p>
        </w:tc>
      </w:tr>
      <w:tr w14:paraId="3E6E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8B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r>
              <w:rPr>
                <w:rFonts w:hint="eastAsia" w:ascii="宋体" w:hAnsi="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073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500105018012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E6C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其它砌筑工程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511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表面防潮试验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1、试验区域、试验方法、试验指标详见施工图。</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27A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A793E">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F6D8">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FBA52">
            <w:pPr>
              <w:jc w:val="right"/>
              <w:rPr>
                <w:rFonts w:hint="eastAsia" w:ascii="宋体" w:hAnsi="宋体" w:eastAsia="宋体" w:cs="宋体"/>
                <w:i w:val="0"/>
                <w:iCs w:val="0"/>
                <w:color w:val="000000"/>
                <w:sz w:val="18"/>
                <w:szCs w:val="18"/>
                <w:highlight w:val="none"/>
                <w:u w:val="none"/>
              </w:rPr>
            </w:pPr>
          </w:p>
        </w:tc>
      </w:tr>
      <w:tr w14:paraId="0700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3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5D861C">
            <w:pPr>
              <w:keepNext w:val="0"/>
              <w:keepLines w:val="0"/>
              <w:widowControl/>
              <w:suppressLineNumbers w:val="0"/>
              <w:jc w:val="center"/>
              <w:textAlignment w:val="center"/>
              <w:rPr>
                <w:rFonts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 xml:space="preserve"> </w:t>
            </w:r>
            <w:r>
              <w:rPr>
                <w:rStyle w:val="190"/>
                <w:highlight w:val="none"/>
                <w:lang w:val="en-US" w:eastAsia="zh-CN" w:bidi="ar"/>
              </w:rPr>
              <w:t>一</w:t>
            </w:r>
            <w:r>
              <w:rPr>
                <w:rFonts w:hint="default" w:ascii="Arial" w:hAnsi="Arial" w:eastAsia="宋体" w:cs="Arial"/>
                <w:i w:val="0"/>
                <w:iCs w:val="0"/>
                <w:color w:val="000000"/>
                <w:kern w:val="0"/>
                <w:sz w:val="18"/>
                <w:szCs w:val="18"/>
                <w:highlight w:val="none"/>
                <w:u w:val="none"/>
                <w:lang w:val="en-US" w:eastAsia="zh-CN" w:bidi="ar"/>
              </w:rPr>
              <w:t xml:space="preserve"> </w:t>
            </w:r>
            <w:r>
              <w:rPr>
                <w:rStyle w:val="190"/>
                <w:highlight w:val="none"/>
                <w:lang w:val="en-US" w:eastAsia="zh-CN" w:bidi="ar"/>
              </w:rPr>
              <w:t>红旗渡槽小计</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14D1">
            <w:pPr>
              <w:keepNext w:val="0"/>
              <w:keepLines w:val="0"/>
              <w:widowControl/>
              <w:suppressLineNumbers w:val="0"/>
              <w:ind w:left="3800" w:hanging="3800" w:hangingChars="1900"/>
              <w:jc w:val="center"/>
              <w:textAlignment w:val="bottom"/>
              <w:rPr>
                <w:rFonts w:hint="default" w:ascii="Arial" w:hAnsi="Arial" w:cs="Arial"/>
                <w:i w:val="0"/>
                <w:iCs w:val="0"/>
                <w:color w:val="000000"/>
                <w:sz w:val="20"/>
                <w:szCs w:val="20"/>
                <w:highlight w:val="none"/>
                <w:u w:val="none"/>
              </w:rPr>
            </w:pPr>
            <w:r>
              <w:rPr>
                <w:rStyle w:val="191"/>
                <w:rFonts w:hint="eastAsia"/>
                <w:highlight w:val="none"/>
                <w:lang w:val="en-US" w:eastAsia="zh-CN" w:bidi="ar"/>
              </w:rPr>
              <w:t xml:space="preserve">                           </w:t>
            </w:r>
            <w:r>
              <w:rPr>
                <w:rStyle w:val="191"/>
                <w:highlight w:val="none"/>
                <w:lang w:val="en-US" w:eastAsia="zh-CN" w:bidi="ar"/>
              </w:rPr>
              <w:t>元</w:t>
            </w:r>
          </w:p>
        </w:tc>
      </w:tr>
      <w:tr w14:paraId="0466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72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85C7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二、施工临时工程</w:t>
            </w:r>
          </w:p>
        </w:tc>
      </w:tr>
      <w:tr w14:paraId="462F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9C9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32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清单编号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90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D8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主要特征</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770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EF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数量</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6E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40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(元)</w:t>
            </w:r>
          </w:p>
        </w:tc>
      </w:tr>
      <w:tr w14:paraId="4FB4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FB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30A3">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F01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施工导流工程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8516">
            <w:pPr>
              <w:jc w:val="left"/>
              <w:rPr>
                <w:rFonts w:hint="eastAsia" w:ascii="宋体" w:hAnsi="宋体" w:eastAsia="宋体" w:cs="宋体"/>
                <w:i w:val="0"/>
                <w:iCs w:val="0"/>
                <w:color w:val="000000"/>
                <w:sz w:val="18"/>
                <w:szCs w:val="18"/>
                <w:highlight w:val="none"/>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DB1C">
            <w:pPr>
              <w:jc w:val="center"/>
              <w:rPr>
                <w:rFonts w:hint="eastAsia" w:ascii="宋体" w:hAnsi="宋体" w:eastAsia="宋体" w:cs="宋体"/>
                <w:i w:val="0"/>
                <w:iCs w:val="0"/>
                <w:color w:val="000000"/>
                <w:sz w:val="18"/>
                <w:szCs w:val="18"/>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0E33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F0993">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8C2C5">
            <w:pPr>
              <w:jc w:val="right"/>
              <w:rPr>
                <w:rFonts w:hint="eastAsia" w:ascii="宋体" w:hAnsi="宋体" w:eastAsia="宋体" w:cs="宋体"/>
                <w:i w:val="0"/>
                <w:iCs w:val="0"/>
                <w:color w:val="000000"/>
                <w:sz w:val="18"/>
                <w:szCs w:val="18"/>
                <w:highlight w:val="none"/>
                <w:u w:val="none"/>
              </w:rPr>
            </w:pPr>
          </w:p>
        </w:tc>
      </w:tr>
      <w:tr w14:paraId="3BCA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8C0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C70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AB001001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80A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施工导流工程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345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施工导流工程</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B5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8226">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47EA2">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8876D">
            <w:pPr>
              <w:jc w:val="right"/>
              <w:rPr>
                <w:rFonts w:hint="eastAsia" w:ascii="宋体" w:hAnsi="宋体" w:eastAsia="宋体" w:cs="宋体"/>
                <w:i w:val="0"/>
                <w:iCs w:val="0"/>
                <w:color w:val="000000"/>
                <w:sz w:val="18"/>
                <w:szCs w:val="18"/>
                <w:highlight w:val="none"/>
                <w:u w:val="none"/>
              </w:rPr>
            </w:pPr>
          </w:p>
        </w:tc>
      </w:tr>
      <w:tr w14:paraId="222E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9B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DADF9">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8BE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施工交通工程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FCF5">
            <w:pPr>
              <w:jc w:val="left"/>
              <w:rPr>
                <w:rFonts w:hint="eastAsia" w:ascii="宋体" w:hAnsi="宋体" w:eastAsia="宋体" w:cs="宋体"/>
                <w:i w:val="0"/>
                <w:iCs w:val="0"/>
                <w:color w:val="000000"/>
                <w:sz w:val="18"/>
                <w:szCs w:val="18"/>
                <w:highlight w:val="none"/>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9DEA9">
            <w:pPr>
              <w:jc w:val="center"/>
              <w:rPr>
                <w:rFonts w:hint="eastAsia" w:ascii="宋体" w:hAnsi="宋体" w:eastAsia="宋体" w:cs="宋体"/>
                <w:i w:val="0"/>
                <w:iCs w:val="0"/>
                <w:color w:val="000000"/>
                <w:sz w:val="18"/>
                <w:szCs w:val="18"/>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4A0C">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2C8C3">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4AD9">
            <w:pPr>
              <w:jc w:val="right"/>
              <w:rPr>
                <w:rFonts w:hint="eastAsia" w:ascii="宋体" w:hAnsi="宋体" w:eastAsia="宋体" w:cs="宋体"/>
                <w:i w:val="0"/>
                <w:iCs w:val="0"/>
                <w:color w:val="000000"/>
                <w:sz w:val="18"/>
                <w:szCs w:val="18"/>
                <w:highlight w:val="none"/>
                <w:u w:val="none"/>
              </w:rPr>
            </w:pPr>
          </w:p>
        </w:tc>
      </w:tr>
      <w:tr w14:paraId="38E1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A0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C4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AB002001001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451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施工交通工程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9F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施工交通工程</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3E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B6C7">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F3587">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9A63E">
            <w:pPr>
              <w:jc w:val="right"/>
              <w:rPr>
                <w:rFonts w:hint="eastAsia" w:ascii="宋体" w:hAnsi="宋体" w:eastAsia="宋体" w:cs="宋体"/>
                <w:i w:val="0"/>
                <w:iCs w:val="0"/>
                <w:color w:val="000000"/>
                <w:sz w:val="18"/>
                <w:szCs w:val="18"/>
                <w:highlight w:val="none"/>
                <w:u w:val="none"/>
              </w:rPr>
            </w:pPr>
          </w:p>
        </w:tc>
      </w:tr>
      <w:tr w14:paraId="05B3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46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23A6">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93F5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施工场外供电工程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DDD3">
            <w:pPr>
              <w:jc w:val="left"/>
              <w:rPr>
                <w:rFonts w:hint="eastAsia" w:ascii="宋体" w:hAnsi="宋体" w:eastAsia="宋体" w:cs="宋体"/>
                <w:i w:val="0"/>
                <w:iCs w:val="0"/>
                <w:color w:val="000000"/>
                <w:sz w:val="18"/>
                <w:szCs w:val="18"/>
                <w:highlight w:val="none"/>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F798A">
            <w:pPr>
              <w:jc w:val="center"/>
              <w:rPr>
                <w:rFonts w:hint="eastAsia" w:ascii="宋体" w:hAnsi="宋体" w:eastAsia="宋体" w:cs="宋体"/>
                <w:i w:val="0"/>
                <w:iCs w:val="0"/>
                <w:color w:val="000000"/>
                <w:sz w:val="18"/>
                <w:szCs w:val="18"/>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65E3C">
            <w:pPr>
              <w:jc w:val="right"/>
              <w:rPr>
                <w:rFonts w:hint="eastAsia" w:ascii="宋体" w:hAnsi="宋体" w:eastAsia="宋体" w:cs="宋体"/>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E4C8C">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EBA83">
            <w:pPr>
              <w:jc w:val="right"/>
              <w:rPr>
                <w:rFonts w:hint="eastAsia" w:ascii="宋体" w:hAnsi="宋体" w:eastAsia="宋体" w:cs="宋体"/>
                <w:i w:val="0"/>
                <w:iCs w:val="0"/>
                <w:color w:val="000000"/>
                <w:sz w:val="18"/>
                <w:szCs w:val="18"/>
                <w:highlight w:val="none"/>
                <w:u w:val="none"/>
              </w:rPr>
            </w:pPr>
          </w:p>
        </w:tc>
      </w:tr>
      <w:tr w14:paraId="14A8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43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C9AF">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BC8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施工房屋建筑工程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F648">
            <w:pPr>
              <w:jc w:val="left"/>
              <w:rPr>
                <w:rFonts w:hint="eastAsia" w:ascii="宋体" w:hAnsi="宋体" w:eastAsia="宋体" w:cs="宋体"/>
                <w:i w:val="0"/>
                <w:iCs w:val="0"/>
                <w:color w:val="000000"/>
                <w:sz w:val="18"/>
                <w:szCs w:val="18"/>
                <w:highlight w:val="none"/>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C6C70">
            <w:pPr>
              <w:jc w:val="center"/>
              <w:rPr>
                <w:rFonts w:hint="eastAsia" w:ascii="宋体" w:hAnsi="宋体" w:eastAsia="宋体" w:cs="宋体"/>
                <w:i w:val="0"/>
                <w:iCs w:val="0"/>
                <w:color w:val="000000"/>
                <w:sz w:val="18"/>
                <w:szCs w:val="18"/>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33B6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14AA8">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9FDEB">
            <w:pPr>
              <w:jc w:val="right"/>
              <w:rPr>
                <w:rFonts w:hint="eastAsia" w:ascii="宋体" w:hAnsi="宋体" w:eastAsia="宋体" w:cs="宋体"/>
                <w:i w:val="0"/>
                <w:iCs w:val="0"/>
                <w:color w:val="000000"/>
                <w:sz w:val="18"/>
                <w:szCs w:val="18"/>
                <w:highlight w:val="none"/>
                <w:u w:val="none"/>
              </w:rPr>
            </w:pPr>
          </w:p>
        </w:tc>
      </w:tr>
      <w:tr w14:paraId="21AC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F0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68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AB004001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858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施工房屋建筑工程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17A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施工房屋建筑工程</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84C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2A13D">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A4E60">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F302">
            <w:pPr>
              <w:jc w:val="right"/>
              <w:rPr>
                <w:rFonts w:hint="eastAsia" w:ascii="宋体" w:hAnsi="宋体" w:eastAsia="宋体" w:cs="宋体"/>
                <w:i w:val="0"/>
                <w:iCs w:val="0"/>
                <w:color w:val="000000"/>
                <w:sz w:val="18"/>
                <w:szCs w:val="18"/>
                <w:highlight w:val="none"/>
                <w:u w:val="none"/>
              </w:rPr>
            </w:pPr>
          </w:p>
        </w:tc>
      </w:tr>
      <w:tr w14:paraId="519E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28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7326">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DF2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安全文明施工费</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19C0">
            <w:pPr>
              <w:jc w:val="left"/>
              <w:rPr>
                <w:rFonts w:hint="eastAsia" w:ascii="宋体" w:hAnsi="宋体" w:eastAsia="宋体" w:cs="宋体"/>
                <w:i w:val="0"/>
                <w:iCs w:val="0"/>
                <w:color w:val="000000"/>
                <w:sz w:val="18"/>
                <w:szCs w:val="18"/>
                <w:highlight w:val="none"/>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91BE">
            <w:pPr>
              <w:jc w:val="center"/>
              <w:rPr>
                <w:rFonts w:hint="eastAsia" w:ascii="宋体" w:hAnsi="宋体" w:eastAsia="宋体" w:cs="宋体"/>
                <w:i w:val="0"/>
                <w:iCs w:val="0"/>
                <w:color w:val="000000"/>
                <w:sz w:val="18"/>
                <w:szCs w:val="18"/>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5BCE">
            <w:pPr>
              <w:jc w:val="right"/>
              <w:rPr>
                <w:rFonts w:hint="eastAsia" w:ascii="宋体" w:hAnsi="宋体" w:eastAsia="宋体" w:cs="宋体"/>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E432">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A5476">
            <w:pPr>
              <w:jc w:val="right"/>
              <w:rPr>
                <w:rFonts w:hint="eastAsia" w:ascii="宋体" w:hAnsi="宋体" w:eastAsia="宋体" w:cs="宋体"/>
                <w:i w:val="0"/>
                <w:iCs w:val="0"/>
                <w:color w:val="000000"/>
                <w:sz w:val="18"/>
                <w:szCs w:val="18"/>
                <w:highlight w:val="none"/>
                <w:u w:val="none"/>
              </w:rPr>
            </w:pPr>
          </w:p>
        </w:tc>
      </w:tr>
      <w:tr w14:paraId="15D3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749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4E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AB005001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B20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安全施工费</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D0CC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安全施工费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739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42E9">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40339">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3EF2A">
            <w:pPr>
              <w:jc w:val="right"/>
              <w:rPr>
                <w:rFonts w:hint="eastAsia" w:ascii="宋体" w:hAnsi="宋体" w:eastAsia="宋体" w:cs="宋体"/>
                <w:i w:val="0"/>
                <w:iCs w:val="0"/>
                <w:color w:val="000000"/>
                <w:sz w:val="18"/>
                <w:szCs w:val="18"/>
                <w:highlight w:val="none"/>
                <w:u w:val="none"/>
              </w:rPr>
            </w:pPr>
          </w:p>
        </w:tc>
      </w:tr>
      <w:tr w14:paraId="4A32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931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B9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AB006001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99E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文明标化工地建设费</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A38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文明标化工地建设费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47E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EEFA">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C0DCB">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7B9BC">
            <w:pPr>
              <w:jc w:val="right"/>
              <w:rPr>
                <w:rFonts w:hint="eastAsia" w:ascii="宋体" w:hAnsi="宋体" w:eastAsia="宋体" w:cs="宋体"/>
                <w:i w:val="0"/>
                <w:iCs w:val="0"/>
                <w:color w:val="000000"/>
                <w:sz w:val="18"/>
                <w:szCs w:val="18"/>
                <w:highlight w:val="none"/>
                <w:u w:val="none"/>
              </w:rPr>
            </w:pPr>
          </w:p>
        </w:tc>
      </w:tr>
      <w:tr w14:paraId="6CC9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5B9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6D951">
            <w:pPr>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9E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F9EB">
            <w:pPr>
              <w:jc w:val="left"/>
              <w:rPr>
                <w:rFonts w:hint="eastAsia" w:ascii="宋体" w:hAnsi="宋体" w:eastAsia="宋体" w:cs="宋体"/>
                <w:i w:val="0"/>
                <w:iCs w:val="0"/>
                <w:color w:val="000000"/>
                <w:sz w:val="18"/>
                <w:szCs w:val="18"/>
                <w:highlight w:val="none"/>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0917">
            <w:pPr>
              <w:jc w:val="center"/>
              <w:rPr>
                <w:rFonts w:hint="eastAsia" w:ascii="宋体" w:hAnsi="宋体" w:eastAsia="宋体" w:cs="宋体"/>
                <w:i w:val="0"/>
                <w:iCs w:val="0"/>
                <w:color w:val="000000"/>
                <w:sz w:val="18"/>
                <w:szCs w:val="18"/>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4C34">
            <w:pPr>
              <w:jc w:val="right"/>
              <w:rPr>
                <w:rFonts w:hint="eastAsia" w:ascii="宋体" w:hAnsi="宋体" w:eastAsia="宋体" w:cs="宋体"/>
                <w:i w:val="0"/>
                <w:iCs w:val="0"/>
                <w:color w:val="000000"/>
                <w:sz w:val="18"/>
                <w:szCs w:val="18"/>
                <w:highlight w:val="none"/>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14CA9">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4D3CF">
            <w:pPr>
              <w:jc w:val="right"/>
              <w:rPr>
                <w:rFonts w:hint="eastAsia" w:ascii="宋体" w:hAnsi="宋体" w:eastAsia="宋体" w:cs="宋体"/>
                <w:i w:val="0"/>
                <w:iCs w:val="0"/>
                <w:color w:val="000000"/>
                <w:sz w:val="18"/>
                <w:szCs w:val="18"/>
                <w:highlight w:val="none"/>
                <w:u w:val="none"/>
              </w:rPr>
            </w:pPr>
          </w:p>
        </w:tc>
      </w:tr>
      <w:tr w14:paraId="74A4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AF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47F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AB007001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06E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AAE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其他临时工程</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C3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D13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D72EB">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020C7">
            <w:pPr>
              <w:jc w:val="right"/>
              <w:rPr>
                <w:rFonts w:hint="eastAsia" w:ascii="宋体" w:hAnsi="宋体" w:eastAsia="宋体" w:cs="宋体"/>
                <w:i w:val="0"/>
                <w:iCs w:val="0"/>
                <w:color w:val="000000"/>
                <w:sz w:val="18"/>
                <w:szCs w:val="18"/>
                <w:highlight w:val="none"/>
                <w:u w:val="none"/>
              </w:rPr>
            </w:pPr>
          </w:p>
        </w:tc>
      </w:tr>
      <w:tr w14:paraId="23BD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A5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04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AB007002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2A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外立面及底部施工措施费用</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B9F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外立面及底部施工措施费用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0C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FB55">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B66E">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106CE">
            <w:pPr>
              <w:jc w:val="right"/>
              <w:rPr>
                <w:rFonts w:hint="eastAsia" w:ascii="宋体" w:hAnsi="宋体" w:eastAsia="宋体" w:cs="宋体"/>
                <w:i w:val="0"/>
                <w:iCs w:val="0"/>
                <w:color w:val="000000"/>
                <w:sz w:val="18"/>
                <w:szCs w:val="18"/>
                <w:highlight w:val="none"/>
                <w:u w:val="none"/>
              </w:rPr>
            </w:pPr>
          </w:p>
        </w:tc>
      </w:tr>
      <w:tr w14:paraId="7FA8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34A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53B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AB007003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0C6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二次勘测费</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A45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二次勘测费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24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A2CF">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A7E74">
            <w:pPr>
              <w:jc w:val="right"/>
              <w:rPr>
                <w:rFonts w:hint="eastAsia" w:ascii="宋体" w:hAnsi="宋体" w:eastAsia="宋体" w:cs="宋体"/>
                <w:i w:val="0"/>
                <w:iCs w:val="0"/>
                <w:color w:val="000000"/>
                <w:sz w:val="18"/>
                <w:szCs w:val="18"/>
                <w:highlight w:val="none"/>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AFD7">
            <w:pPr>
              <w:jc w:val="right"/>
              <w:rPr>
                <w:rFonts w:hint="eastAsia" w:ascii="宋体" w:hAnsi="宋体" w:eastAsia="宋体" w:cs="宋体"/>
                <w:i w:val="0"/>
                <w:iCs w:val="0"/>
                <w:color w:val="000000"/>
                <w:sz w:val="18"/>
                <w:szCs w:val="18"/>
                <w:highlight w:val="none"/>
                <w:u w:val="none"/>
              </w:rPr>
            </w:pPr>
          </w:p>
        </w:tc>
      </w:tr>
      <w:tr w14:paraId="03B3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3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DCD6BD">
            <w:pPr>
              <w:keepNext w:val="0"/>
              <w:keepLines w:val="0"/>
              <w:widowControl/>
              <w:suppressLineNumbers w:val="0"/>
              <w:jc w:val="center"/>
              <w:textAlignment w:val="center"/>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 xml:space="preserve"> </w:t>
            </w:r>
            <w:r>
              <w:rPr>
                <w:rStyle w:val="190"/>
                <w:highlight w:val="none"/>
                <w:lang w:val="en-US" w:eastAsia="zh-CN" w:bidi="ar"/>
              </w:rPr>
              <w:t>二临时工程小计</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0DF7">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Style w:val="191"/>
                <w:rFonts w:hint="eastAsia"/>
                <w:highlight w:val="none"/>
                <w:lang w:val="en-US" w:eastAsia="zh-CN" w:bidi="ar"/>
              </w:rPr>
              <w:t xml:space="preserve">                      </w:t>
            </w:r>
            <w:r>
              <w:rPr>
                <w:rStyle w:val="191"/>
                <w:highlight w:val="none"/>
                <w:lang w:val="en-US" w:eastAsia="zh-CN" w:bidi="ar"/>
              </w:rPr>
              <w:t>元</w:t>
            </w:r>
          </w:p>
        </w:tc>
      </w:tr>
      <w:tr w14:paraId="3B15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72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3D38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三、其他项目</w:t>
            </w:r>
          </w:p>
        </w:tc>
      </w:tr>
      <w:tr w14:paraId="28423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B1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994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F8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5893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金额(元)</w:t>
            </w:r>
          </w:p>
        </w:tc>
      </w:tr>
      <w:tr w14:paraId="2CCA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208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FE7C6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工程保险费</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EC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3F792">
            <w:pPr>
              <w:jc w:val="center"/>
              <w:rPr>
                <w:rFonts w:hint="eastAsia" w:ascii="宋体" w:hAnsi="宋体" w:eastAsia="宋体" w:cs="宋体"/>
                <w:i w:val="0"/>
                <w:iCs w:val="0"/>
                <w:color w:val="000000"/>
                <w:sz w:val="18"/>
                <w:szCs w:val="18"/>
                <w:highlight w:val="none"/>
                <w:u w:val="none"/>
              </w:rPr>
            </w:pPr>
          </w:p>
        </w:tc>
      </w:tr>
      <w:tr w14:paraId="105C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D2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4F093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第三者责任险</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6C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1FEFD">
            <w:pPr>
              <w:jc w:val="center"/>
              <w:rPr>
                <w:rFonts w:hint="eastAsia" w:ascii="宋体" w:hAnsi="宋体" w:eastAsia="宋体" w:cs="宋体"/>
                <w:i w:val="0"/>
                <w:iCs w:val="0"/>
                <w:color w:val="000000"/>
                <w:sz w:val="18"/>
                <w:szCs w:val="18"/>
                <w:highlight w:val="none"/>
                <w:u w:val="none"/>
              </w:rPr>
            </w:pPr>
          </w:p>
        </w:tc>
      </w:tr>
      <w:tr w14:paraId="3AF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4D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1D148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预留金</w:t>
            </w:r>
          </w:p>
        </w:tc>
        <w:tc>
          <w:tcPr>
            <w:tcW w:w="1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6C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元</w:t>
            </w:r>
          </w:p>
        </w:tc>
        <w:tc>
          <w:tcPr>
            <w:tcW w:w="378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C69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100000</w:t>
            </w:r>
          </w:p>
        </w:tc>
      </w:tr>
      <w:tr w14:paraId="034F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3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F45AF3">
            <w:pPr>
              <w:keepNext w:val="0"/>
              <w:keepLines w:val="0"/>
              <w:widowControl/>
              <w:suppressLineNumbers w:val="0"/>
              <w:jc w:val="center"/>
              <w:textAlignment w:val="center"/>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 xml:space="preserve"> </w:t>
            </w:r>
            <w:r>
              <w:rPr>
                <w:rStyle w:val="190"/>
                <w:highlight w:val="none"/>
                <w:lang w:val="en-US" w:eastAsia="zh-CN" w:bidi="ar"/>
              </w:rPr>
              <w:t>三其他项目小计</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B978">
            <w:pPr>
              <w:keepNext w:val="0"/>
              <w:keepLines w:val="0"/>
              <w:widowControl/>
              <w:suppressLineNumbers w:val="0"/>
              <w:jc w:val="center"/>
              <w:textAlignment w:val="bottom"/>
              <w:rPr>
                <w:rFonts w:hint="default" w:ascii="Arial" w:hAnsi="Arial" w:cs="Arial"/>
                <w:i w:val="0"/>
                <w:iCs w:val="0"/>
                <w:color w:val="000000"/>
                <w:sz w:val="20"/>
                <w:szCs w:val="20"/>
                <w:highlight w:val="none"/>
                <w:u w:val="none"/>
              </w:rPr>
            </w:pPr>
            <w:r>
              <w:rPr>
                <w:rStyle w:val="191"/>
                <w:rFonts w:hint="eastAsia"/>
                <w:highlight w:val="none"/>
                <w:lang w:val="en-US" w:eastAsia="zh-CN" w:bidi="ar"/>
              </w:rPr>
              <w:t xml:space="preserve">                       </w:t>
            </w:r>
            <w:r>
              <w:rPr>
                <w:rStyle w:val="191"/>
                <w:highlight w:val="none"/>
                <w:lang w:val="en-US" w:eastAsia="zh-CN" w:bidi="ar"/>
              </w:rPr>
              <w:t>元</w:t>
            </w:r>
          </w:p>
        </w:tc>
      </w:tr>
      <w:tr w14:paraId="7294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3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61C644">
            <w:pPr>
              <w:keepNext w:val="0"/>
              <w:keepLines w:val="0"/>
              <w:widowControl/>
              <w:suppressLineNumbers w:val="0"/>
              <w:jc w:val="center"/>
              <w:textAlignment w:val="center"/>
              <w:rPr>
                <w:rFonts w:hint="default" w:ascii="Arial" w:hAnsi="Arial" w:cs="Arial"/>
                <w:i w:val="0"/>
                <w:iCs w:val="0"/>
                <w:color w:val="000000"/>
                <w:sz w:val="18"/>
                <w:szCs w:val="18"/>
                <w:highlight w:val="none"/>
                <w:u w:val="none"/>
              </w:rPr>
            </w:pPr>
            <w:r>
              <w:rPr>
                <w:rFonts w:hint="default" w:ascii="Arial" w:hAnsi="Arial" w:eastAsia="宋体" w:cs="Arial"/>
                <w:i w:val="0"/>
                <w:iCs w:val="0"/>
                <w:color w:val="000000"/>
                <w:kern w:val="0"/>
                <w:sz w:val="18"/>
                <w:szCs w:val="18"/>
                <w:highlight w:val="none"/>
                <w:u w:val="none"/>
                <w:lang w:val="en-US" w:eastAsia="zh-CN" w:bidi="ar"/>
              </w:rPr>
              <w:t xml:space="preserve"> </w:t>
            </w:r>
            <w:r>
              <w:rPr>
                <w:rStyle w:val="190"/>
                <w:highlight w:val="none"/>
                <w:lang w:val="en-US" w:eastAsia="zh-CN" w:bidi="ar"/>
              </w:rPr>
              <w:t>总计（一 红旗渡槽小计</w:t>
            </w:r>
            <w:r>
              <w:rPr>
                <w:rFonts w:hint="default" w:ascii="Arial" w:hAnsi="Arial" w:eastAsia="宋体" w:cs="Arial"/>
                <w:i w:val="0"/>
                <w:iCs w:val="0"/>
                <w:color w:val="000000"/>
                <w:kern w:val="0"/>
                <w:sz w:val="18"/>
                <w:szCs w:val="18"/>
                <w:highlight w:val="none"/>
                <w:u w:val="none"/>
                <w:lang w:val="en-US" w:eastAsia="zh-CN" w:bidi="ar"/>
              </w:rPr>
              <w:t>+</w:t>
            </w:r>
            <w:r>
              <w:rPr>
                <w:rStyle w:val="190"/>
                <w:highlight w:val="none"/>
                <w:lang w:val="en-US" w:eastAsia="zh-CN" w:bidi="ar"/>
              </w:rPr>
              <w:t>二临时工程小计</w:t>
            </w:r>
            <w:r>
              <w:rPr>
                <w:rFonts w:hint="default" w:ascii="Arial" w:hAnsi="Arial" w:eastAsia="宋体" w:cs="Arial"/>
                <w:i w:val="0"/>
                <w:iCs w:val="0"/>
                <w:color w:val="000000"/>
                <w:kern w:val="0"/>
                <w:sz w:val="18"/>
                <w:szCs w:val="18"/>
                <w:highlight w:val="none"/>
                <w:u w:val="none"/>
                <w:lang w:val="en-US" w:eastAsia="zh-CN" w:bidi="ar"/>
              </w:rPr>
              <w:t>+</w:t>
            </w:r>
            <w:r>
              <w:rPr>
                <w:rStyle w:val="190"/>
                <w:highlight w:val="none"/>
                <w:lang w:val="en-US" w:eastAsia="zh-CN" w:bidi="ar"/>
              </w:rPr>
              <w:t>三其他项目小计）</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1662">
            <w:pPr>
              <w:keepNext w:val="0"/>
              <w:keepLines w:val="0"/>
              <w:widowControl/>
              <w:suppressLineNumbers w:val="0"/>
              <w:ind w:left="200" w:hanging="200" w:hangingChars="100"/>
              <w:jc w:val="center"/>
              <w:textAlignment w:val="bottom"/>
              <w:rPr>
                <w:rFonts w:hint="default" w:ascii="Arial" w:hAnsi="Arial" w:cs="Arial"/>
                <w:i w:val="0"/>
                <w:iCs w:val="0"/>
                <w:color w:val="000000"/>
                <w:sz w:val="20"/>
                <w:szCs w:val="20"/>
                <w:highlight w:val="none"/>
                <w:u w:val="none"/>
              </w:rPr>
            </w:pPr>
            <w:r>
              <w:rPr>
                <w:rStyle w:val="191"/>
                <w:rFonts w:hint="eastAsia"/>
                <w:highlight w:val="none"/>
                <w:lang w:val="en-US" w:eastAsia="zh-CN" w:bidi="ar"/>
              </w:rPr>
              <w:t xml:space="preserve">                       </w:t>
            </w:r>
            <w:r>
              <w:rPr>
                <w:rStyle w:val="191"/>
                <w:highlight w:val="none"/>
                <w:lang w:val="en-US" w:eastAsia="zh-CN" w:bidi="ar"/>
              </w:rPr>
              <w:t>元</w:t>
            </w:r>
          </w:p>
        </w:tc>
      </w:tr>
    </w:tbl>
    <w:p w14:paraId="0C7F5326">
      <w:pPr>
        <w:spacing w:line="360" w:lineRule="auto"/>
        <w:rPr>
          <w:rFonts w:ascii="Arial" w:hAnsi="Ar" w:cs="Arial"/>
          <w:b/>
          <w:bCs/>
          <w:color w:val="auto"/>
          <w:sz w:val="32"/>
          <w:szCs w:val="32"/>
          <w:highlight w:val="none"/>
        </w:rPr>
      </w:pPr>
      <w:r>
        <w:rPr>
          <w:rFonts w:hint="eastAsia" w:ascii="宋体" w:hAnsi="宋体" w:cs="宋体"/>
          <w:color w:val="auto"/>
          <w:szCs w:val="21"/>
          <w:highlight w:val="none"/>
        </w:rPr>
        <w:t>注：</w:t>
      </w:r>
    </w:p>
    <w:p w14:paraId="23DE7E34">
      <w:pPr>
        <w:spacing w:line="360" w:lineRule="auto"/>
        <w:ind w:firstLine="420" w:firstLineChars="200"/>
        <w:rPr>
          <w:rFonts w:ascii="宋体" w:hAnsi="Arial"/>
          <w:color w:val="auto"/>
          <w:szCs w:val="21"/>
          <w:highlight w:val="none"/>
        </w:rPr>
      </w:pPr>
      <w:r>
        <w:rPr>
          <w:rFonts w:hint="eastAsia" w:ascii="宋体" w:hAnsi="宋体" w:cs="宋体"/>
          <w:color w:val="auto"/>
          <w:szCs w:val="21"/>
          <w:highlight w:val="none"/>
        </w:rPr>
        <w:t>1、报价明细表填写说明：</w:t>
      </w:r>
    </w:p>
    <w:p w14:paraId="231879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（1）投标人必须以招标人提供的报价明细表进行报价，以其他表格形式的无效。</w:t>
      </w:r>
    </w:p>
    <w:p w14:paraId="3E8F2A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（2）投标人必须根据招标人报价明细表项目所提供的规格、数量进行报价。</w:t>
      </w:r>
    </w:p>
    <w:p w14:paraId="21925984">
      <w:pPr>
        <w:spacing w:line="360" w:lineRule="auto"/>
        <w:ind w:firstLine="371" w:firstLineChars="177"/>
        <w:jc w:val="left"/>
        <w:rPr>
          <w:rFonts w:hint="eastAsia" w:ascii="宋体" w:hAnsi="宋体" w:eastAsia="宋体" w:cs="宋体"/>
          <w:b/>
          <w:color w:val="auto"/>
          <w:kern w:val="2"/>
          <w:sz w:val="21"/>
          <w:highlight w:val="none"/>
        </w:rPr>
      </w:pPr>
      <w:r>
        <w:rPr>
          <w:rFonts w:hint="eastAsia" w:ascii="宋体" w:hAnsi="宋体" w:cs="宋体"/>
          <w:color w:val="auto"/>
          <w:szCs w:val="21"/>
          <w:highlight w:val="none"/>
          <w:lang w:val="en-US" w:eastAsia="zh-CN"/>
        </w:rPr>
        <w:t>（</w:t>
      </w:r>
      <w:r>
        <w:rPr>
          <w:rFonts w:hint="eastAsia" w:ascii="宋体" w:hAnsi="宋体" w:eastAsia="宋体" w:cs="宋体"/>
          <w:b/>
          <w:color w:val="auto"/>
          <w:kern w:val="2"/>
          <w:sz w:val="21"/>
          <w:szCs w:val="24"/>
          <w:highlight w:val="none"/>
          <w:lang w:val="en-US" w:eastAsia="zh-CN" w:bidi="ar-SA"/>
        </w:rPr>
        <w:t>3）温馨提示：最后报价的工程量清单报价明细表不用提供，但各项综合单价</w:t>
      </w:r>
      <w:r>
        <w:rPr>
          <w:rFonts w:hint="eastAsia" w:ascii="宋体" w:hAnsi="宋体" w:cs="宋体"/>
          <w:b/>
          <w:color w:val="auto"/>
          <w:kern w:val="2"/>
          <w:sz w:val="21"/>
          <w:szCs w:val="24"/>
          <w:highlight w:val="none"/>
          <w:lang w:val="en-US" w:eastAsia="zh-CN" w:bidi="ar-SA"/>
        </w:rPr>
        <w:t>（含单价计算表）</w:t>
      </w:r>
      <w:r>
        <w:rPr>
          <w:rFonts w:hint="eastAsia" w:ascii="宋体" w:hAnsi="宋体" w:eastAsia="宋体" w:cs="宋体"/>
          <w:b/>
          <w:color w:val="auto"/>
          <w:kern w:val="2"/>
          <w:sz w:val="21"/>
          <w:szCs w:val="24"/>
          <w:highlight w:val="none"/>
          <w:lang w:val="en-US" w:eastAsia="zh-CN" w:bidi="ar-SA"/>
        </w:rPr>
        <w:t>的最终结算均按【（最后报价-预留金）/（首次报价-预留金）*100%】比例进行换算，</w:t>
      </w:r>
      <w:r>
        <w:rPr>
          <w:rFonts w:hint="eastAsia" w:ascii="宋体" w:hAnsi="宋体" w:eastAsia="宋体" w:cs="宋体"/>
          <w:b/>
          <w:color w:val="auto"/>
          <w:kern w:val="2"/>
          <w:sz w:val="21"/>
          <w:highlight w:val="none"/>
        </w:rPr>
        <w:t>最后报价是供应商响应文件的有效组成部分。若实质性采购需求技术、服务未作改变的，最后报价不得高于首次报价，否则做无效标处理。</w:t>
      </w:r>
    </w:p>
    <w:p w14:paraId="41111869">
      <w:pPr>
        <w:pStyle w:val="7"/>
        <w:tabs>
          <w:tab w:val="left" w:pos="0"/>
          <w:tab w:val="clear" w:pos="1008"/>
        </w:tabs>
        <w:suppressAutoHyphens/>
        <w:snapToGrid w:val="0"/>
        <w:spacing w:before="0" w:after="0" w:line="420" w:lineRule="exact"/>
        <w:ind w:firstLine="211" w:firstLineChars="100"/>
        <w:rPr>
          <w:rFonts w:hint="default" w:ascii="宋体" w:hAnsi="宋体" w:eastAsia="宋体" w:cs="宋体"/>
          <w:b/>
          <w:color w:val="auto"/>
          <w:kern w:val="2"/>
          <w:sz w:val="21"/>
          <w:szCs w:val="24"/>
          <w:highlight w:val="none"/>
          <w:lang w:val="en-US" w:eastAsia="zh-CN" w:bidi="ar-SA"/>
        </w:rPr>
      </w:pPr>
    </w:p>
    <w:p w14:paraId="09DBA39F">
      <w:pPr>
        <w:pStyle w:val="41"/>
        <w:tabs>
          <w:tab w:val="left" w:pos="720"/>
          <w:tab w:val="left" w:pos="1260"/>
          <w:tab w:val="left" w:pos="2160"/>
          <w:tab w:val="left" w:pos="2880"/>
          <w:tab w:val="left" w:pos="3600"/>
          <w:tab w:val="left" w:pos="4320"/>
          <w:tab w:val="left" w:pos="5040"/>
          <w:tab w:val="left" w:pos="5760"/>
        </w:tabs>
        <w:rPr>
          <w:rFonts w:hint="eastAsia" w:ascii="宋体" w:hAnsi="宋体" w:cs="宋体"/>
          <w:szCs w:val="21"/>
          <w:highlight w:val="none"/>
        </w:rPr>
      </w:pPr>
    </w:p>
    <w:p w14:paraId="7A59F320">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B412FC4">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3E1FF96">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A2C6946">
      <w:pPr>
        <w:spacing w:line="360" w:lineRule="auto"/>
        <w:ind w:firstLine="435"/>
        <w:rPr>
          <w:rFonts w:hint="default" w:eastAsia="宋体"/>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b/>
          <w:color w:val="auto"/>
          <w:sz w:val="28"/>
          <w:highlight w:val="none"/>
          <w:lang w:val="en-US" w:eastAsia="zh-CN"/>
        </w:rPr>
        <w:t xml:space="preserve">      </w:t>
      </w:r>
    </w:p>
    <w:p w14:paraId="3E3393D7">
      <w:pPr>
        <w:pStyle w:val="100"/>
        <w:snapToGrid w:val="0"/>
        <w:spacing w:line="500" w:lineRule="exact"/>
        <w:jc w:val="both"/>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19</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lang w:eastAsia="zh-CN"/>
        </w:rPr>
        <w:t>单价计算表</w:t>
      </w:r>
    </w:p>
    <w:tbl>
      <w:tblPr>
        <w:tblStyle w:val="42"/>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2632"/>
        <w:gridCol w:w="1082"/>
        <w:gridCol w:w="1792"/>
        <w:gridCol w:w="1428"/>
        <w:gridCol w:w="1182"/>
      </w:tblGrid>
      <w:tr w14:paraId="0320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940" w:type="dxa"/>
            <w:gridSpan w:val="6"/>
            <w:tcBorders>
              <w:top w:val="nil"/>
              <w:left w:val="nil"/>
              <w:bottom w:val="nil"/>
              <w:right w:val="nil"/>
            </w:tcBorders>
            <w:shd w:val="clear" w:color="FFFFFF" w:fill="FFFFFF"/>
            <w:vAlign w:val="center"/>
          </w:tcPr>
          <w:p w14:paraId="17EFD794">
            <w:pPr>
              <w:keepNext w:val="0"/>
              <w:keepLines w:val="0"/>
              <w:widowControl/>
              <w:suppressLineNumbers w:val="0"/>
              <w:jc w:val="center"/>
              <w:textAlignment w:val="center"/>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44"/>
                <w:szCs w:val="44"/>
                <w:highlight w:val="none"/>
                <w:u w:val="none"/>
                <w:lang w:val="en-US" w:eastAsia="zh-CN" w:bidi="ar"/>
              </w:rPr>
              <w:t>单 价 计 算 表</w:t>
            </w:r>
          </w:p>
        </w:tc>
      </w:tr>
      <w:tr w14:paraId="60FD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53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E9D1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单价序号</w:t>
            </w:r>
          </w:p>
        </w:tc>
        <w:tc>
          <w:tcPr>
            <w:tcW w:w="44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0367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60D8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3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6F63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4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37C7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0649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3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B99B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定额编号</w:t>
            </w:r>
          </w:p>
        </w:tc>
        <w:tc>
          <w:tcPr>
            <w:tcW w:w="44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7DE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691C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3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601F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施工措施</w:t>
            </w:r>
          </w:p>
        </w:tc>
        <w:tc>
          <w:tcPr>
            <w:tcW w:w="44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4928E6">
            <w:pPr>
              <w:jc w:val="center"/>
              <w:rPr>
                <w:rFonts w:hint="eastAsia" w:ascii="宋体" w:hAnsi="宋体" w:eastAsia="宋体" w:cs="宋体"/>
                <w:i w:val="0"/>
                <w:iCs w:val="0"/>
                <w:color w:val="auto"/>
                <w:sz w:val="20"/>
                <w:szCs w:val="20"/>
                <w:highlight w:val="none"/>
                <w:u w:val="none"/>
              </w:rPr>
            </w:pPr>
          </w:p>
        </w:tc>
      </w:tr>
      <w:tr w14:paraId="2259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53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CCC7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定额单位</w:t>
            </w:r>
          </w:p>
        </w:tc>
        <w:tc>
          <w:tcPr>
            <w:tcW w:w="44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D71C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15E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8D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编号</w:t>
            </w: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492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工料名称</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1C2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3E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单价(元)</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523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工料定额</w:t>
            </w: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901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合价（元）</w:t>
            </w:r>
          </w:p>
        </w:tc>
      </w:tr>
      <w:tr w14:paraId="6205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B79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0DD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A95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EA1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0F8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D79B2">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2F2E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F812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624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DB5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0A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93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F4B1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0363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17FC1">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AE7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E69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7B5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6F0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1E424">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5D5D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9E0ED">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08C71">
            <w:pPr>
              <w:jc w:val="left"/>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B065B">
            <w:pPr>
              <w:jc w:val="left"/>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1D30C">
            <w:pPr>
              <w:jc w:val="left"/>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05DD8">
            <w:pPr>
              <w:jc w:val="left"/>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00D2C">
            <w:pPr>
              <w:jc w:val="left"/>
              <w:rPr>
                <w:rFonts w:hint="eastAsia" w:ascii="宋体" w:hAnsi="宋体" w:eastAsia="宋体" w:cs="宋体"/>
                <w:i w:val="0"/>
                <w:iCs w:val="0"/>
                <w:color w:val="auto"/>
                <w:sz w:val="20"/>
                <w:szCs w:val="20"/>
                <w:highlight w:val="none"/>
                <w:u w:val="none"/>
              </w:rPr>
            </w:pPr>
          </w:p>
        </w:tc>
      </w:tr>
      <w:tr w14:paraId="1DDA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2FEFC">
            <w:pPr>
              <w:jc w:val="center"/>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C67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直接工程费小计</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216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B99AE">
            <w:pPr>
              <w:jc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B4408">
            <w:pPr>
              <w:jc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B6DFC">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123B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212FC">
            <w:pPr>
              <w:jc w:val="center"/>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05B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措施费</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89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73A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B6F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1977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2CC8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19108">
            <w:pPr>
              <w:jc w:val="center"/>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CF0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间接费</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93E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678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E6F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3457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7A20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D1A4C">
            <w:pPr>
              <w:jc w:val="center"/>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354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利润</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494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C0B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D0B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B51E1">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6791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4294B">
            <w:pPr>
              <w:jc w:val="center"/>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4D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材料补差</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8E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3839D">
            <w:pPr>
              <w:jc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01CE2">
            <w:pPr>
              <w:jc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FB919">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27D7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73171">
            <w:pPr>
              <w:jc w:val="center"/>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0E4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装置性材料费</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400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217A6">
            <w:pPr>
              <w:jc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ABE4C">
            <w:pPr>
              <w:jc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698D3">
            <w:pPr>
              <w:jc w:val="right"/>
              <w:rPr>
                <w:rFonts w:hint="eastAsia" w:ascii="宋体" w:hAnsi="宋体" w:eastAsia="宋体" w:cs="宋体"/>
                <w:i w:val="0"/>
                <w:iCs w:val="0"/>
                <w:color w:val="auto"/>
                <w:sz w:val="20"/>
                <w:szCs w:val="20"/>
                <w:highlight w:val="none"/>
                <w:u w:val="none"/>
              </w:rPr>
            </w:pPr>
          </w:p>
        </w:tc>
      </w:tr>
      <w:tr w14:paraId="171F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7FEF7">
            <w:pPr>
              <w:jc w:val="center"/>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EFA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税金</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9A0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592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78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6E5E5">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3C97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95745">
            <w:pPr>
              <w:jc w:val="center"/>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03F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AA8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6F16B">
            <w:pPr>
              <w:jc w:val="center"/>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2BEA0">
            <w:pPr>
              <w:jc w:val="center"/>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3C42E">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r w14:paraId="62B8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5655C">
            <w:pPr>
              <w:jc w:val="left"/>
              <w:rPr>
                <w:rFonts w:hint="eastAsia" w:ascii="宋体" w:hAnsi="宋体" w:eastAsia="宋体" w:cs="宋体"/>
                <w:i w:val="0"/>
                <w:iCs w:val="0"/>
                <w:color w:val="auto"/>
                <w:sz w:val="20"/>
                <w:szCs w:val="20"/>
                <w:highlight w:val="none"/>
                <w:u w:val="none"/>
              </w:rPr>
            </w:pPr>
          </w:p>
        </w:tc>
        <w:tc>
          <w:tcPr>
            <w:tcW w:w="26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A17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7137C">
            <w:pPr>
              <w:jc w:val="left"/>
              <w:rPr>
                <w:rFonts w:hint="eastAsia" w:ascii="宋体" w:hAnsi="宋体" w:eastAsia="宋体" w:cs="宋体"/>
                <w:i w:val="0"/>
                <w:iCs w:val="0"/>
                <w:color w:val="auto"/>
                <w:sz w:val="20"/>
                <w:szCs w:val="20"/>
                <w:highlight w:val="none"/>
                <w:u w:val="none"/>
              </w:rPr>
            </w:pPr>
          </w:p>
        </w:tc>
        <w:tc>
          <w:tcPr>
            <w:tcW w:w="1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A0CC7">
            <w:pPr>
              <w:jc w:val="left"/>
              <w:rPr>
                <w:rFonts w:hint="eastAsia" w:ascii="宋体" w:hAnsi="宋体" w:eastAsia="宋体" w:cs="宋体"/>
                <w:i w:val="0"/>
                <w:iCs w:val="0"/>
                <w:color w:val="auto"/>
                <w:sz w:val="20"/>
                <w:szCs w:val="20"/>
                <w:highlight w:val="none"/>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A99BF">
            <w:pPr>
              <w:jc w:val="left"/>
              <w:rPr>
                <w:rFonts w:hint="eastAsia" w:ascii="宋体" w:hAnsi="宋体" w:eastAsia="宋体" w:cs="宋体"/>
                <w:i w:val="0"/>
                <w:iCs w:val="0"/>
                <w:color w:val="auto"/>
                <w:sz w:val="20"/>
                <w:szCs w:val="20"/>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2DE3A">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r>
    </w:tbl>
    <w:p w14:paraId="3502E4D9">
      <w:pPr>
        <w:spacing w:line="360" w:lineRule="auto"/>
        <w:ind w:firstLine="422" w:firstLineChars="200"/>
        <w:rPr>
          <w:rFonts w:hint="eastAsia" w:ascii="宋体" w:hAnsi="宋体" w:cs="宋体"/>
          <w:b/>
          <w:color w:val="auto"/>
          <w:kern w:val="2"/>
          <w:sz w:val="21"/>
          <w:szCs w:val="24"/>
          <w:highlight w:val="none"/>
          <w:lang w:val="en-US" w:eastAsia="zh-CN" w:bidi="ar-SA"/>
        </w:rPr>
      </w:pPr>
      <w:r>
        <w:rPr>
          <w:rFonts w:hint="eastAsia" w:ascii="宋体" w:hAnsi="宋体" w:cs="宋体"/>
          <w:b/>
          <w:color w:val="auto"/>
          <w:kern w:val="2"/>
          <w:sz w:val="21"/>
          <w:szCs w:val="24"/>
          <w:highlight w:val="none"/>
          <w:lang w:val="en-US" w:eastAsia="zh-CN" w:bidi="ar-SA"/>
        </w:rPr>
        <w:t>备注：</w:t>
      </w:r>
    </w:p>
    <w:p w14:paraId="1E0E8295">
      <w:pPr>
        <w:numPr>
          <w:ilvl w:val="0"/>
          <w:numId w:val="12"/>
        </w:num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本表格仅做参考，格式可自拟；</w:t>
      </w:r>
    </w:p>
    <w:p w14:paraId="4C39556A">
      <w:pPr>
        <w:numPr>
          <w:ilvl w:val="0"/>
          <w:numId w:val="12"/>
        </w:num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本表是对附件18（工程量清单报价明细表）中综合单价进行的单价分析表，如未完全提供综合单价的单价计算表的，结算时如发生问题或争议，所造成的相关责任或损失由供应商承担。</w:t>
      </w:r>
    </w:p>
    <w:p w14:paraId="21A9921E">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（3）温馨提示：最后报价的单价计算表不用提供。</w:t>
      </w:r>
    </w:p>
    <w:p w14:paraId="6493C9FD">
      <w:pPr>
        <w:pStyle w:val="100"/>
        <w:snapToGrid w:val="0"/>
        <w:spacing w:line="500" w:lineRule="exact"/>
        <w:jc w:val="both"/>
        <w:rPr>
          <w:rFonts w:hint="eastAsia" w:ascii="宋体" w:hAnsi="宋体" w:eastAsia="宋体" w:cs="宋体"/>
          <w:b/>
          <w:color w:val="auto"/>
          <w:sz w:val="28"/>
          <w:highlight w:val="none"/>
          <w:lang w:eastAsia="zh-CN"/>
        </w:rPr>
      </w:pPr>
    </w:p>
    <w:p w14:paraId="174FD07F">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C92F9A2">
      <w:pPr>
        <w:spacing w:line="360" w:lineRule="auto"/>
        <w:ind w:firstLine="435"/>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C4CD967">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646FD70">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06DC65C">
      <w:pPr>
        <w:pStyle w:val="100"/>
        <w:snapToGrid w:val="0"/>
        <w:spacing w:line="500" w:lineRule="exact"/>
        <w:jc w:val="both"/>
        <w:rPr>
          <w:rFonts w:hint="eastAsia" w:ascii="宋体" w:hAnsi="宋体" w:eastAsia="宋体" w:cs="宋体"/>
          <w:b/>
          <w:color w:val="auto"/>
          <w:sz w:val="28"/>
          <w:highlight w:val="none"/>
        </w:rPr>
      </w:pPr>
    </w:p>
    <w:p w14:paraId="6CD07107">
      <w:pPr>
        <w:pStyle w:val="100"/>
        <w:snapToGrid w:val="0"/>
        <w:spacing w:line="500" w:lineRule="exact"/>
        <w:jc w:val="both"/>
        <w:rPr>
          <w:rFonts w:hint="eastAsia" w:ascii="宋体" w:hAnsi="宋体" w:eastAsia="宋体" w:cs="宋体"/>
          <w:b/>
          <w:color w:val="auto"/>
          <w:sz w:val="28"/>
          <w:highlight w:val="none"/>
        </w:rPr>
      </w:pPr>
    </w:p>
    <w:p w14:paraId="674AA3BE">
      <w:pPr>
        <w:pStyle w:val="100"/>
        <w:snapToGrid w:val="0"/>
        <w:spacing w:line="500" w:lineRule="exact"/>
        <w:jc w:val="both"/>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20</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 xml:space="preserve">        </w:t>
      </w:r>
    </w:p>
    <w:p w14:paraId="66207B6E">
      <w:pPr>
        <w:pStyle w:val="100"/>
        <w:snapToGrid w:val="0"/>
        <w:spacing w:line="500" w:lineRule="exact"/>
        <w:ind w:firstLine="1928" w:firstLineChars="600"/>
        <w:jc w:val="both"/>
        <w:rPr>
          <w:rFonts w:hint="eastAsia" w:ascii="宋体" w:hAnsi="宋体" w:eastAsia="宋体" w:cs="宋体"/>
          <w:color w:val="auto"/>
          <w:kern w:val="0"/>
          <w:sz w:val="24"/>
          <w:szCs w:val="24"/>
          <w:highlight w:val="none"/>
        </w:rPr>
      </w:pPr>
      <w:r>
        <w:rPr>
          <w:rFonts w:hint="eastAsia" w:ascii="宋体" w:hAnsi="宋体" w:eastAsia="宋体" w:cs="宋体"/>
          <w:b/>
          <w:bCs/>
          <w:color w:val="auto"/>
          <w:sz w:val="32"/>
          <w:szCs w:val="32"/>
          <w:highlight w:val="none"/>
        </w:rPr>
        <w:t>政府采购活动现场确认声明书</w:t>
      </w:r>
    </w:p>
    <w:p w14:paraId="3FCAD9DC">
      <w:pPr>
        <w:pStyle w:val="100"/>
        <w:snapToGrid w:val="0"/>
        <w:spacing w:line="400" w:lineRule="exact"/>
        <w:rPr>
          <w:rFonts w:hint="eastAsia" w:ascii="宋体" w:hAnsi="宋体" w:eastAsia="宋体" w:cs="宋体"/>
          <w:color w:val="auto"/>
          <w:kern w:val="0"/>
          <w:sz w:val="24"/>
          <w:highlight w:val="none"/>
          <w:u w:val="single"/>
          <w:lang w:eastAsia="zh-CN"/>
        </w:rPr>
      </w:pPr>
    </w:p>
    <w:p w14:paraId="66D0AF90">
      <w:pPr>
        <w:pStyle w:val="100"/>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lang w:val="en-US" w:eastAsia="zh-CN"/>
        </w:rPr>
        <w:t xml:space="preserve">        代理公司                   </w:t>
      </w:r>
      <w:r>
        <w:rPr>
          <w:rFonts w:hint="eastAsia" w:ascii="宋体" w:hAnsi="宋体" w:eastAsia="宋体" w:cs="宋体"/>
          <w:color w:val="auto"/>
          <w:kern w:val="0"/>
          <w:sz w:val="21"/>
          <w:szCs w:val="21"/>
          <w:highlight w:val="none"/>
        </w:rPr>
        <w:t>：</w:t>
      </w:r>
    </w:p>
    <w:p w14:paraId="5926EB72">
      <w:pPr>
        <w:pStyle w:val="100"/>
        <w:keepNext w:val="0"/>
        <w:keepLines w:val="0"/>
        <w:pageBreakBefore w:val="0"/>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none"/>
          <w:lang w:val="en-US" w:eastAsia="zh-CN"/>
        </w:rPr>
        <w:t>（授权代表姓名），</w:t>
      </w:r>
      <w:r>
        <w:rPr>
          <w:rFonts w:hint="eastAsia" w:ascii="宋体" w:hAnsi="宋体" w:eastAsia="宋体" w:cs="宋体"/>
          <w:color w:val="auto"/>
          <w:spacing w:val="6"/>
          <w:sz w:val="21"/>
          <w:szCs w:val="21"/>
          <w:highlight w:val="none"/>
        </w:rPr>
        <w:t>经由</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none"/>
        </w:rPr>
        <w:t>（单位）</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法</w:t>
      </w:r>
      <w:r>
        <w:rPr>
          <w:rFonts w:hint="eastAsia" w:ascii="宋体" w:hAnsi="宋体" w:eastAsia="宋体" w:cs="宋体"/>
          <w:color w:val="auto"/>
          <w:spacing w:val="6"/>
          <w:sz w:val="21"/>
          <w:szCs w:val="21"/>
          <w:highlight w:val="none"/>
          <w:lang w:eastAsia="zh-CN"/>
        </w:rPr>
        <w:t>定代表</w:t>
      </w:r>
      <w:r>
        <w:rPr>
          <w:rFonts w:hint="eastAsia" w:ascii="宋体" w:hAnsi="宋体" w:eastAsia="宋体" w:cs="宋体"/>
          <w:color w:val="auto"/>
          <w:spacing w:val="6"/>
          <w:sz w:val="21"/>
          <w:szCs w:val="21"/>
          <w:highlight w:val="none"/>
        </w:rPr>
        <w:t>人</w:t>
      </w:r>
      <w:r>
        <w:rPr>
          <w:rFonts w:hint="eastAsia" w:ascii="宋体" w:hAnsi="宋体" w:eastAsia="宋体" w:cs="宋体"/>
          <w:color w:val="auto"/>
          <w:spacing w:val="6"/>
          <w:sz w:val="21"/>
          <w:szCs w:val="21"/>
          <w:highlight w:val="none"/>
          <w:lang w:eastAsia="zh-CN"/>
        </w:rPr>
        <w:t>姓名）</w:t>
      </w:r>
      <w:r>
        <w:rPr>
          <w:rFonts w:hint="eastAsia" w:ascii="宋体" w:hAnsi="宋体" w:eastAsia="宋体" w:cs="宋体"/>
          <w:color w:val="auto"/>
          <w:spacing w:val="6"/>
          <w:sz w:val="21"/>
          <w:szCs w:val="21"/>
          <w:highlight w:val="none"/>
        </w:rPr>
        <w:t>合法授权参加</w:t>
      </w:r>
      <w:r>
        <w:rPr>
          <w:rFonts w:hint="eastAsia" w:hAnsi="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）政府采购活动，经与本单位法人代表（负责人）联系确认，现就有关公平竞争事项郑重声明如下：</w:t>
      </w:r>
    </w:p>
    <w:p w14:paraId="70EEC723">
      <w:pPr>
        <w:pStyle w:val="53"/>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本单位与采购人之间</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不存在利害关系</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存在下列利害关系：</w:t>
      </w:r>
    </w:p>
    <w:p w14:paraId="0879C4B8">
      <w:pPr>
        <w:pStyle w:val="53"/>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14:paraId="7941DCE3">
      <w:pPr>
        <w:pStyle w:val="53"/>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（如有，请如实说明）</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78F1B4A2">
      <w:pPr>
        <w:pStyle w:val="53"/>
        <w:keepNext w:val="0"/>
        <w:keepLines w:val="0"/>
        <w:pageBreakBefore w:val="0"/>
        <w:widowControl/>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与其他所有供应商之间均不存在利害关系</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（供应商名称）</w:t>
      </w:r>
      <w:r>
        <w:rPr>
          <w:rFonts w:hint="eastAsia" w:ascii="宋体" w:hAnsi="宋体" w:eastAsia="宋体" w:cs="宋体"/>
          <w:color w:val="auto"/>
          <w:kern w:val="0"/>
          <w:sz w:val="21"/>
          <w:szCs w:val="21"/>
          <w:highlight w:val="none"/>
        </w:rPr>
        <w:t>之间存在下列利害关系：</w:t>
      </w:r>
    </w:p>
    <w:p w14:paraId="5514FA83">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7FEB0223">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2EE6EE81">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08569AF5">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252006AD">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1B504E6E">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041AD710">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0"/>
        <w:rPr>
          <w:rFonts w:hint="eastAsia" w:ascii="宋体" w:hAnsi="宋体" w:eastAsia="宋体" w:cs="宋体"/>
          <w:color w:val="auto"/>
          <w:kern w:val="0"/>
          <w:sz w:val="21"/>
          <w:szCs w:val="21"/>
          <w:highlight w:val="none"/>
        </w:rPr>
      </w:pPr>
      <w:bookmarkStart w:id="51" w:name="_Toc6796"/>
      <w:bookmarkStart w:id="52" w:name="_Toc24414"/>
      <w:bookmarkStart w:id="53" w:name="_Toc17443"/>
      <w:r>
        <w:rPr>
          <w:rFonts w:hint="eastAsia" w:ascii="宋体" w:hAnsi="宋体" w:eastAsia="宋体" w:cs="宋体"/>
          <w:color w:val="auto"/>
          <w:kern w:val="0"/>
          <w:sz w:val="21"/>
          <w:szCs w:val="21"/>
          <w:highlight w:val="none"/>
        </w:rPr>
        <w:t>G.存在共同直接或间接投资设立子公司、联营企业和合营企业情况；</w:t>
      </w:r>
      <w:bookmarkEnd w:id="51"/>
      <w:bookmarkEnd w:id="52"/>
      <w:bookmarkEnd w:id="53"/>
    </w:p>
    <w:p w14:paraId="2EA602D0">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D248DDB">
      <w:pPr>
        <w:pStyle w:val="100"/>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326EEEAE">
      <w:pPr>
        <w:pStyle w:val="53"/>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5742D2F1">
      <w:pPr>
        <w:pStyle w:val="53"/>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项利害关系。</w:t>
      </w:r>
    </w:p>
    <w:p w14:paraId="2C6B19AB">
      <w:pPr>
        <w:pStyle w:val="100"/>
        <w:snapToGrid w:val="0"/>
        <w:rPr>
          <w:rFonts w:hint="eastAsia" w:ascii="宋体" w:hAnsi="宋体" w:eastAsia="宋体" w:cs="宋体"/>
          <w:color w:val="auto"/>
          <w:sz w:val="21"/>
          <w:szCs w:val="21"/>
          <w:highlight w:val="none"/>
        </w:rPr>
      </w:pPr>
    </w:p>
    <w:p w14:paraId="0AF361CC">
      <w:pPr>
        <w:pStyle w:val="100"/>
        <w:snapToGrid w:val="0"/>
        <w:ind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3DA8F0C1">
      <w:pPr>
        <w:pStyle w:val="100"/>
        <w:snapToGrid w:val="0"/>
        <w:ind w:firstLine="420" w:firstLineChars="200"/>
        <w:jc w:val="center"/>
        <w:rPr>
          <w:rFonts w:hint="eastAsia" w:ascii="宋体" w:hAnsi="宋体" w:eastAsia="宋体" w:cs="宋体"/>
          <w:color w:val="auto"/>
          <w:sz w:val="21"/>
          <w:szCs w:val="21"/>
          <w:highlight w:val="none"/>
          <w:lang w:val="en-US" w:eastAsia="zh-CN"/>
        </w:rPr>
      </w:pPr>
    </w:p>
    <w:p w14:paraId="1C8BE824">
      <w:pPr>
        <w:pStyle w:val="100"/>
        <w:snapToGrid w:val="0"/>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064FFD19">
      <w:pPr>
        <w:rPr>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年   月    </w:t>
      </w:r>
    </w:p>
    <w:sectPr>
      <w:headerReference r:id="rId6" w:type="default"/>
      <w:footerReference r:id="rId7" w:type="default"/>
      <w:pgSz w:w="11906" w:h="16838"/>
      <w:pgMar w:top="1440" w:right="1416" w:bottom="1440" w:left="15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7A"/>
    <w:family w:val="script"/>
    <w:pitch w:val="default"/>
    <w:sig w:usb0="00000000" w:usb1="00000000" w:usb2="00000010" w:usb3="00000000" w:csb0="00040000" w:csb1="00000000"/>
  </w:font>
  <w:font w:name="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200852"/>
    </w:sdtPr>
    <w:sdtContent>
      <w:p w14:paraId="6A4980CB">
        <w:pPr>
          <w:pStyle w:val="29"/>
          <w:jc w:val="center"/>
        </w:pPr>
        <w:r>
          <w:fldChar w:fldCharType="begin"/>
        </w:r>
        <w:r>
          <w:instrText xml:space="preserve">PAGE   \* MERGEFORMAT</w:instrText>
        </w:r>
        <w:r>
          <w:fldChar w:fldCharType="separate"/>
        </w:r>
        <w:r>
          <w:rPr>
            <w:lang w:val="zh-CN"/>
          </w:rPr>
          <w:t>25</w:t>
        </w:r>
        <w:r>
          <w:fldChar w:fldCharType="end"/>
        </w:r>
      </w:p>
    </w:sdtContent>
  </w:sdt>
  <w:p w14:paraId="632A1D9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FDC4">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0DA1AF">
                          <w:pPr>
                            <w:pStyle w:val="2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20DA1AF">
                    <w:pPr>
                      <w:pStyle w:val="2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11877EE">
      <w:pPr>
        <w:pStyle w:val="34"/>
      </w:pPr>
      <w:r>
        <w:rPr>
          <w:rStyle w:val="50"/>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9BEF">
    <w:pPr>
      <w:pStyle w:val="30"/>
      <w:pBdr>
        <w:bottom w:val="none" w:color="auto" w:sz="0" w:space="0"/>
      </w:pBdr>
      <w:jc w:val="left"/>
      <w:rPr>
        <w:rFonts w:eastAsia="黑体"/>
        <w:sz w:val="21"/>
        <w:szCs w:val="21"/>
      </w:rPr>
    </w:pPr>
  </w:p>
  <w:p w14:paraId="68646CEE">
    <w:pPr>
      <w:pStyle w:val="30"/>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D5AF">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B5676"/>
    <w:multiLevelType w:val="singleLevel"/>
    <w:tmpl w:val="956B5676"/>
    <w:lvl w:ilvl="0" w:tentative="0">
      <w:start w:val="4"/>
      <w:numFmt w:val="decimal"/>
      <w:suff w:val="nothing"/>
      <w:lvlText w:val="%1、"/>
      <w:lvlJc w:val="left"/>
    </w:lvl>
  </w:abstractNum>
  <w:abstractNum w:abstractNumId="1">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A6ABD20D"/>
    <w:multiLevelType w:val="singleLevel"/>
    <w:tmpl w:val="A6ABD20D"/>
    <w:lvl w:ilvl="0" w:tentative="0">
      <w:start w:val="1"/>
      <w:numFmt w:val="chineseCounting"/>
      <w:suff w:val="nothing"/>
      <w:lvlText w:val="（%1）"/>
      <w:lvlJc w:val="left"/>
      <w:rPr>
        <w:rFonts w:hint="eastAsia"/>
      </w:rPr>
    </w:lvl>
  </w:abstractNum>
  <w:abstractNum w:abstractNumId="3">
    <w:nsid w:val="C5972B2C"/>
    <w:multiLevelType w:val="singleLevel"/>
    <w:tmpl w:val="C5972B2C"/>
    <w:lvl w:ilvl="0" w:tentative="0">
      <w:start w:val="1"/>
      <w:numFmt w:val="decimal"/>
      <w:suff w:val="nothing"/>
      <w:lvlText w:val="%1、"/>
      <w:lvlJc w:val="left"/>
    </w:lvl>
  </w:abstractNum>
  <w:abstractNum w:abstractNumId="4">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5">
    <w:nsid w:val="425889D3"/>
    <w:multiLevelType w:val="singleLevel"/>
    <w:tmpl w:val="425889D3"/>
    <w:lvl w:ilvl="0" w:tentative="0">
      <w:start w:val="15"/>
      <w:numFmt w:val="decimal"/>
      <w:suff w:val="nothing"/>
      <w:lvlText w:val="%1．"/>
      <w:lvlJc w:val="left"/>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C5AB4FD"/>
    <w:multiLevelType w:val="singleLevel"/>
    <w:tmpl w:val="4C5AB4FD"/>
    <w:lvl w:ilvl="0" w:tentative="0">
      <w:start w:val="1"/>
      <w:numFmt w:val="decimal"/>
      <w:lvlText w:val="%1."/>
      <w:lvlJc w:val="left"/>
      <w:pPr>
        <w:tabs>
          <w:tab w:val="left" w:pos="312"/>
        </w:tabs>
      </w:pPr>
    </w:lvl>
  </w:abstractNum>
  <w:abstractNum w:abstractNumId="8">
    <w:nsid w:val="58371F32"/>
    <w:multiLevelType w:val="singleLevel"/>
    <w:tmpl w:val="58371F32"/>
    <w:lvl w:ilvl="0" w:tentative="0">
      <w:start w:val="1"/>
      <w:numFmt w:val="decimal"/>
      <w:suff w:val="nothing"/>
      <w:lvlText w:val="（%1）"/>
      <w:lvlJc w:val="left"/>
    </w:lvl>
  </w:abstractNum>
  <w:abstractNum w:abstractNumId="9">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tentative="0">
      <w:start w:val="1"/>
      <w:numFmt w:val="chineseCounting"/>
      <w:suff w:val="space"/>
      <w:lvlText w:val="第%1章"/>
      <w:lvlJc w:val="left"/>
      <w:rPr>
        <w:rFonts w:hint="eastAsia"/>
      </w:rPr>
    </w:lvl>
  </w:abstractNum>
  <w:abstractNum w:abstractNumId="11">
    <w:nsid w:val="756C10A3"/>
    <w:multiLevelType w:val="multilevel"/>
    <w:tmpl w:val="756C10A3"/>
    <w:lvl w:ilvl="0" w:tentative="0">
      <w:start w:val="1"/>
      <w:numFmt w:val="decimal"/>
      <w:lvlText w:val="%1."/>
      <w:lvlJc w:val="left"/>
      <w:pPr>
        <w:ind w:left="104"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26" w:hanging="317"/>
      </w:pPr>
      <w:rPr>
        <w:rFonts w:hint="default"/>
        <w:lang w:val="zh-CN" w:eastAsia="zh-CN" w:bidi="zh-CN"/>
      </w:rPr>
    </w:lvl>
    <w:lvl w:ilvl="2" w:tentative="0">
      <w:start w:val="0"/>
      <w:numFmt w:val="bullet"/>
      <w:lvlText w:val="•"/>
      <w:lvlJc w:val="left"/>
      <w:pPr>
        <w:ind w:left="1352" w:hanging="317"/>
      </w:pPr>
      <w:rPr>
        <w:rFonts w:hint="default"/>
        <w:lang w:val="zh-CN" w:eastAsia="zh-CN" w:bidi="zh-CN"/>
      </w:rPr>
    </w:lvl>
    <w:lvl w:ilvl="3" w:tentative="0">
      <w:start w:val="0"/>
      <w:numFmt w:val="bullet"/>
      <w:lvlText w:val="•"/>
      <w:lvlJc w:val="left"/>
      <w:pPr>
        <w:ind w:left="1978" w:hanging="317"/>
      </w:pPr>
      <w:rPr>
        <w:rFonts w:hint="default"/>
        <w:lang w:val="zh-CN" w:eastAsia="zh-CN" w:bidi="zh-CN"/>
      </w:rPr>
    </w:lvl>
    <w:lvl w:ilvl="4" w:tentative="0">
      <w:start w:val="0"/>
      <w:numFmt w:val="bullet"/>
      <w:lvlText w:val="•"/>
      <w:lvlJc w:val="left"/>
      <w:pPr>
        <w:ind w:left="2604" w:hanging="317"/>
      </w:pPr>
      <w:rPr>
        <w:rFonts w:hint="default"/>
        <w:lang w:val="zh-CN" w:eastAsia="zh-CN" w:bidi="zh-CN"/>
      </w:rPr>
    </w:lvl>
    <w:lvl w:ilvl="5" w:tentative="0">
      <w:start w:val="0"/>
      <w:numFmt w:val="bullet"/>
      <w:lvlText w:val="•"/>
      <w:lvlJc w:val="left"/>
      <w:pPr>
        <w:ind w:left="3230" w:hanging="317"/>
      </w:pPr>
      <w:rPr>
        <w:rFonts w:hint="default"/>
        <w:lang w:val="zh-CN" w:eastAsia="zh-CN" w:bidi="zh-CN"/>
      </w:rPr>
    </w:lvl>
    <w:lvl w:ilvl="6" w:tentative="0">
      <w:start w:val="0"/>
      <w:numFmt w:val="bullet"/>
      <w:lvlText w:val="•"/>
      <w:lvlJc w:val="left"/>
      <w:pPr>
        <w:ind w:left="3856" w:hanging="317"/>
      </w:pPr>
      <w:rPr>
        <w:rFonts w:hint="default"/>
        <w:lang w:val="zh-CN" w:eastAsia="zh-CN" w:bidi="zh-CN"/>
      </w:rPr>
    </w:lvl>
    <w:lvl w:ilvl="7" w:tentative="0">
      <w:start w:val="0"/>
      <w:numFmt w:val="bullet"/>
      <w:lvlText w:val="•"/>
      <w:lvlJc w:val="left"/>
      <w:pPr>
        <w:ind w:left="4482" w:hanging="317"/>
      </w:pPr>
      <w:rPr>
        <w:rFonts w:hint="default"/>
        <w:lang w:val="zh-CN" w:eastAsia="zh-CN" w:bidi="zh-CN"/>
      </w:rPr>
    </w:lvl>
    <w:lvl w:ilvl="8" w:tentative="0">
      <w:start w:val="0"/>
      <w:numFmt w:val="bullet"/>
      <w:lvlText w:val="•"/>
      <w:lvlJc w:val="left"/>
      <w:pPr>
        <w:ind w:left="5108" w:hanging="317"/>
      </w:pPr>
      <w:rPr>
        <w:rFonts w:hint="default"/>
        <w:lang w:val="zh-CN" w:eastAsia="zh-CN" w:bidi="zh-CN"/>
      </w:rPr>
    </w:lvl>
  </w:abstractNum>
  <w:num w:numId="1">
    <w:abstractNumId w:val="9"/>
  </w:num>
  <w:num w:numId="2">
    <w:abstractNumId w:val="1"/>
  </w:num>
  <w:num w:numId="3">
    <w:abstractNumId w:val="4"/>
  </w:num>
  <w:num w:numId="4">
    <w:abstractNumId w:val="10"/>
  </w:num>
  <w:num w:numId="5">
    <w:abstractNumId w:val="0"/>
  </w:num>
  <w:num w:numId="6">
    <w:abstractNumId w:val="6"/>
  </w:num>
  <w:num w:numId="7">
    <w:abstractNumId w:val="11"/>
  </w:num>
  <w:num w:numId="8">
    <w:abstractNumId w:val="5"/>
  </w:num>
  <w:num w:numId="9">
    <w:abstractNumId w:val="2"/>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2"/>
    <w:footnote w:id="3"/>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Y2VhODgxM2QxZTY2YTQzNDc4M2NkYjI3NWE1Y2QifQ=="/>
    <w:docVar w:name="KSO_WPS_MARK_KEY" w:val="eca458ee-a2e6-428a-b4af-99e2ae204b19"/>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40DBF"/>
    <w:rsid w:val="00041393"/>
    <w:rsid w:val="00044852"/>
    <w:rsid w:val="000478A1"/>
    <w:rsid w:val="0005754D"/>
    <w:rsid w:val="00064ADF"/>
    <w:rsid w:val="00065274"/>
    <w:rsid w:val="0006666C"/>
    <w:rsid w:val="00067BD5"/>
    <w:rsid w:val="00072E3C"/>
    <w:rsid w:val="000743EC"/>
    <w:rsid w:val="000763DC"/>
    <w:rsid w:val="00082F2E"/>
    <w:rsid w:val="0009262D"/>
    <w:rsid w:val="00092AD8"/>
    <w:rsid w:val="00092CBE"/>
    <w:rsid w:val="000936CC"/>
    <w:rsid w:val="000A002F"/>
    <w:rsid w:val="000A0B65"/>
    <w:rsid w:val="000A603E"/>
    <w:rsid w:val="000B71D2"/>
    <w:rsid w:val="000C2963"/>
    <w:rsid w:val="000D7511"/>
    <w:rsid w:val="000E5C92"/>
    <w:rsid w:val="000F1747"/>
    <w:rsid w:val="000F1AE0"/>
    <w:rsid w:val="0010471D"/>
    <w:rsid w:val="00106B91"/>
    <w:rsid w:val="001201C6"/>
    <w:rsid w:val="00130366"/>
    <w:rsid w:val="00132A4F"/>
    <w:rsid w:val="00135696"/>
    <w:rsid w:val="00144193"/>
    <w:rsid w:val="0015315B"/>
    <w:rsid w:val="00156EFF"/>
    <w:rsid w:val="001574D2"/>
    <w:rsid w:val="00166AF5"/>
    <w:rsid w:val="00181B14"/>
    <w:rsid w:val="00182B60"/>
    <w:rsid w:val="00183BA2"/>
    <w:rsid w:val="001852A2"/>
    <w:rsid w:val="00192977"/>
    <w:rsid w:val="001955AD"/>
    <w:rsid w:val="001A1EE4"/>
    <w:rsid w:val="001A3628"/>
    <w:rsid w:val="001A3721"/>
    <w:rsid w:val="001A42C7"/>
    <w:rsid w:val="001A68BA"/>
    <w:rsid w:val="001B437A"/>
    <w:rsid w:val="001C05E9"/>
    <w:rsid w:val="001D4982"/>
    <w:rsid w:val="001D4CE1"/>
    <w:rsid w:val="001D5270"/>
    <w:rsid w:val="001D77FC"/>
    <w:rsid w:val="001F6A2C"/>
    <w:rsid w:val="00202658"/>
    <w:rsid w:val="002031CE"/>
    <w:rsid w:val="002069EB"/>
    <w:rsid w:val="002074FA"/>
    <w:rsid w:val="00215F47"/>
    <w:rsid w:val="00217300"/>
    <w:rsid w:val="002326E7"/>
    <w:rsid w:val="0023296E"/>
    <w:rsid w:val="00237561"/>
    <w:rsid w:val="00237A6E"/>
    <w:rsid w:val="00241A01"/>
    <w:rsid w:val="00246C0C"/>
    <w:rsid w:val="002473F7"/>
    <w:rsid w:val="00257D13"/>
    <w:rsid w:val="002612A0"/>
    <w:rsid w:val="00262C1D"/>
    <w:rsid w:val="00263544"/>
    <w:rsid w:val="00274D2A"/>
    <w:rsid w:val="002751D7"/>
    <w:rsid w:val="0027702F"/>
    <w:rsid w:val="00285818"/>
    <w:rsid w:val="002916B8"/>
    <w:rsid w:val="00295B33"/>
    <w:rsid w:val="002A0387"/>
    <w:rsid w:val="002A2A49"/>
    <w:rsid w:val="002A4F7F"/>
    <w:rsid w:val="002A742B"/>
    <w:rsid w:val="002B7D9D"/>
    <w:rsid w:val="002C0861"/>
    <w:rsid w:val="002C50EC"/>
    <w:rsid w:val="002C7391"/>
    <w:rsid w:val="002D14E6"/>
    <w:rsid w:val="002D672D"/>
    <w:rsid w:val="002E283F"/>
    <w:rsid w:val="002F0D5D"/>
    <w:rsid w:val="002F2ED1"/>
    <w:rsid w:val="002F5D25"/>
    <w:rsid w:val="003011C1"/>
    <w:rsid w:val="003070F5"/>
    <w:rsid w:val="0031065F"/>
    <w:rsid w:val="00313E39"/>
    <w:rsid w:val="00315916"/>
    <w:rsid w:val="003226F2"/>
    <w:rsid w:val="003439E2"/>
    <w:rsid w:val="00347964"/>
    <w:rsid w:val="00351603"/>
    <w:rsid w:val="003531DF"/>
    <w:rsid w:val="003550F9"/>
    <w:rsid w:val="0036114A"/>
    <w:rsid w:val="00367F67"/>
    <w:rsid w:val="00372568"/>
    <w:rsid w:val="00372FC6"/>
    <w:rsid w:val="003757A8"/>
    <w:rsid w:val="00381D88"/>
    <w:rsid w:val="00382414"/>
    <w:rsid w:val="00383205"/>
    <w:rsid w:val="003905A9"/>
    <w:rsid w:val="00396E5C"/>
    <w:rsid w:val="003A2949"/>
    <w:rsid w:val="003A3141"/>
    <w:rsid w:val="003A4DB8"/>
    <w:rsid w:val="003B6CF0"/>
    <w:rsid w:val="003D00F5"/>
    <w:rsid w:val="003D2492"/>
    <w:rsid w:val="003D40AB"/>
    <w:rsid w:val="003D5EC6"/>
    <w:rsid w:val="003E0489"/>
    <w:rsid w:val="003E5402"/>
    <w:rsid w:val="003F362B"/>
    <w:rsid w:val="003F6388"/>
    <w:rsid w:val="003F7DC8"/>
    <w:rsid w:val="00400660"/>
    <w:rsid w:val="00404F76"/>
    <w:rsid w:val="00410484"/>
    <w:rsid w:val="004171EA"/>
    <w:rsid w:val="004231E0"/>
    <w:rsid w:val="00423AD6"/>
    <w:rsid w:val="004271FF"/>
    <w:rsid w:val="00435F95"/>
    <w:rsid w:val="00437E26"/>
    <w:rsid w:val="00440593"/>
    <w:rsid w:val="00440C02"/>
    <w:rsid w:val="004436FC"/>
    <w:rsid w:val="004440D4"/>
    <w:rsid w:val="00450852"/>
    <w:rsid w:val="004554A0"/>
    <w:rsid w:val="0046092C"/>
    <w:rsid w:val="00466526"/>
    <w:rsid w:val="00467423"/>
    <w:rsid w:val="00474CB6"/>
    <w:rsid w:val="004929F6"/>
    <w:rsid w:val="00492F8C"/>
    <w:rsid w:val="00495307"/>
    <w:rsid w:val="004A17A1"/>
    <w:rsid w:val="004A2BF4"/>
    <w:rsid w:val="004A45CB"/>
    <w:rsid w:val="004B79A9"/>
    <w:rsid w:val="004C3602"/>
    <w:rsid w:val="004C71B2"/>
    <w:rsid w:val="004C75A3"/>
    <w:rsid w:val="004E347F"/>
    <w:rsid w:val="004F105D"/>
    <w:rsid w:val="004F30B1"/>
    <w:rsid w:val="004F7F1C"/>
    <w:rsid w:val="00515CC5"/>
    <w:rsid w:val="00521802"/>
    <w:rsid w:val="00521CDC"/>
    <w:rsid w:val="00522102"/>
    <w:rsid w:val="0053580E"/>
    <w:rsid w:val="00535BD9"/>
    <w:rsid w:val="00541101"/>
    <w:rsid w:val="0054301F"/>
    <w:rsid w:val="005444D6"/>
    <w:rsid w:val="00554497"/>
    <w:rsid w:val="00560528"/>
    <w:rsid w:val="00561693"/>
    <w:rsid w:val="00565CBE"/>
    <w:rsid w:val="005678F3"/>
    <w:rsid w:val="00575871"/>
    <w:rsid w:val="005763A2"/>
    <w:rsid w:val="00585464"/>
    <w:rsid w:val="00587641"/>
    <w:rsid w:val="00597C62"/>
    <w:rsid w:val="005A3E8A"/>
    <w:rsid w:val="005B038A"/>
    <w:rsid w:val="005B0FAF"/>
    <w:rsid w:val="005B29DA"/>
    <w:rsid w:val="005B6D0A"/>
    <w:rsid w:val="005B6D72"/>
    <w:rsid w:val="005B7A33"/>
    <w:rsid w:val="005B7D62"/>
    <w:rsid w:val="005C2BF8"/>
    <w:rsid w:val="005C70C3"/>
    <w:rsid w:val="005D64D9"/>
    <w:rsid w:val="005E0B3C"/>
    <w:rsid w:val="005E2705"/>
    <w:rsid w:val="005E2803"/>
    <w:rsid w:val="005F2EC6"/>
    <w:rsid w:val="005F3AAE"/>
    <w:rsid w:val="005F6A81"/>
    <w:rsid w:val="00600F26"/>
    <w:rsid w:val="00602276"/>
    <w:rsid w:val="00610FF0"/>
    <w:rsid w:val="00615060"/>
    <w:rsid w:val="00624746"/>
    <w:rsid w:val="00627AFB"/>
    <w:rsid w:val="0063071E"/>
    <w:rsid w:val="00640021"/>
    <w:rsid w:val="006406C7"/>
    <w:rsid w:val="00645114"/>
    <w:rsid w:val="00650D2B"/>
    <w:rsid w:val="00653F9F"/>
    <w:rsid w:val="0065593E"/>
    <w:rsid w:val="00662BAD"/>
    <w:rsid w:val="006714B4"/>
    <w:rsid w:val="00674568"/>
    <w:rsid w:val="00675F04"/>
    <w:rsid w:val="0067788B"/>
    <w:rsid w:val="00677AE1"/>
    <w:rsid w:val="00682E28"/>
    <w:rsid w:val="00683A77"/>
    <w:rsid w:val="0069085E"/>
    <w:rsid w:val="00692FA7"/>
    <w:rsid w:val="00696A52"/>
    <w:rsid w:val="006A27BF"/>
    <w:rsid w:val="006B236F"/>
    <w:rsid w:val="006B2AE8"/>
    <w:rsid w:val="006B39FE"/>
    <w:rsid w:val="006B4CDC"/>
    <w:rsid w:val="006B50A5"/>
    <w:rsid w:val="006B7769"/>
    <w:rsid w:val="006C0125"/>
    <w:rsid w:val="006C39A2"/>
    <w:rsid w:val="006C4D83"/>
    <w:rsid w:val="006D1BBC"/>
    <w:rsid w:val="006D1CF0"/>
    <w:rsid w:val="006D3C93"/>
    <w:rsid w:val="006D68E1"/>
    <w:rsid w:val="006D6DBE"/>
    <w:rsid w:val="006E1501"/>
    <w:rsid w:val="006E4395"/>
    <w:rsid w:val="006E5203"/>
    <w:rsid w:val="007062C1"/>
    <w:rsid w:val="007063DF"/>
    <w:rsid w:val="00710C06"/>
    <w:rsid w:val="00716683"/>
    <w:rsid w:val="0071796A"/>
    <w:rsid w:val="00717EAF"/>
    <w:rsid w:val="00720B96"/>
    <w:rsid w:val="00723AA9"/>
    <w:rsid w:val="00725FF1"/>
    <w:rsid w:val="00730D67"/>
    <w:rsid w:val="00732826"/>
    <w:rsid w:val="00733E26"/>
    <w:rsid w:val="0074322A"/>
    <w:rsid w:val="007449D4"/>
    <w:rsid w:val="00746868"/>
    <w:rsid w:val="00747C77"/>
    <w:rsid w:val="0075534B"/>
    <w:rsid w:val="0075760E"/>
    <w:rsid w:val="00763064"/>
    <w:rsid w:val="007701F8"/>
    <w:rsid w:val="00770C5E"/>
    <w:rsid w:val="00773FAC"/>
    <w:rsid w:val="0078143C"/>
    <w:rsid w:val="007868E2"/>
    <w:rsid w:val="0079248B"/>
    <w:rsid w:val="0079250B"/>
    <w:rsid w:val="00797EDF"/>
    <w:rsid w:val="007A1F8D"/>
    <w:rsid w:val="007A3975"/>
    <w:rsid w:val="007C002A"/>
    <w:rsid w:val="007C1AB6"/>
    <w:rsid w:val="007C1D51"/>
    <w:rsid w:val="007C23EE"/>
    <w:rsid w:val="007D427F"/>
    <w:rsid w:val="007D4F6B"/>
    <w:rsid w:val="007D79C6"/>
    <w:rsid w:val="007E3AE4"/>
    <w:rsid w:val="007E5BDB"/>
    <w:rsid w:val="007E709E"/>
    <w:rsid w:val="007F146F"/>
    <w:rsid w:val="007F6B71"/>
    <w:rsid w:val="007F73FB"/>
    <w:rsid w:val="00811D3B"/>
    <w:rsid w:val="00814DAE"/>
    <w:rsid w:val="0081510A"/>
    <w:rsid w:val="00815D3D"/>
    <w:rsid w:val="008163C8"/>
    <w:rsid w:val="008206C6"/>
    <w:rsid w:val="00827B31"/>
    <w:rsid w:val="00834AAD"/>
    <w:rsid w:val="00834D55"/>
    <w:rsid w:val="008448BF"/>
    <w:rsid w:val="00851CF6"/>
    <w:rsid w:val="008571C1"/>
    <w:rsid w:val="008655E8"/>
    <w:rsid w:val="008727D4"/>
    <w:rsid w:val="0088343A"/>
    <w:rsid w:val="00885971"/>
    <w:rsid w:val="0089301A"/>
    <w:rsid w:val="008A6ACB"/>
    <w:rsid w:val="008B4866"/>
    <w:rsid w:val="008B4917"/>
    <w:rsid w:val="008B60E5"/>
    <w:rsid w:val="008B744A"/>
    <w:rsid w:val="008C29A4"/>
    <w:rsid w:val="008C40A4"/>
    <w:rsid w:val="008D31DD"/>
    <w:rsid w:val="008E0C60"/>
    <w:rsid w:val="008E5ED1"/>
    <w:rsid w:val="008E700A"/>
    <w:rsid w:val="008F1667"/>
    <w:rsid w:val="008F1CFB"/>
    <w:rsid w:val="00907729"/>
    <w:rsid w:val="009127F0"/>
    <w:rsid w:val="00912B81"/>
    <w:rsid w:val="0091575C"/>
    <w:rsid w:val="00922120"/>
    <w:rsid w:val="009221E6"/>
    <w:rsid w:val="00922B8C"/>
    <w:rsid w:val="009309E3"/>
    <w:rsid w:val="00935AFC"/>
    <w:rsid w:val="0094334D"/>
    <w:rsid w:val="009505C3"/>
    <w:rsid w:val="0095457C"/>
    <w:rsid w:val="009547D7"/>
    <w:rsid w:val="00956DC7"/>
    <w:rsid w:val="009577BD"/>
    <w:rsid w:val="0096677B"/>
    <w:rsid w:val="00971028"/>
    <w:rsid w:val="00971C6A"/>
    <w:rsid w:val="00973A23"/>
    <w:rsid w:val="00975C79"/>
    <w:rsid w:val="0097750D"/>
    <w:rsid w:val="00977F4E"/>
    <w:rsid w:val="009853D2"/>
    <w:rsid w:val="009866F6"/>
    <w:rsid w:val="00987EDA"/>
    <w:rsid w:val="00993B9D"/>
    <w:rsid w:val="00994B05"/>
    <w:rsid w:val="009B4A3A"/>
    <w:rsid w:val="009C1552"/>
    <w:rsid w:val="009C7CE4"/>
    <w:rsid w:val="009D14A5"/>
    <w:rsid w:val="009D4B02"/>
    <w:rsid w:val="009E0404"/>
    <w:rsid w:val="009E40DA"/>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58A6"/>
    <w:rsid w:val="00AC7193"/>
    <w:rsid w:val="00AC7FEA"/>
    <w:rsid w:val="00AD4E1A"/>
    <w:rsid w:val="00AE0B4C"/>
    <w:rsid w:val="00AE4CA0"/>
    <w:rsid w:val="00AF01C5"/>
    <w:rsid w:val="00AF09A4"/>
    <w:rsid w:val="00AF301B"/>
    <w:rsid w:val="00AF3A74"/>
    <w:rsid w:val="00AF5348"/>
    <w:rsid w:val="00B0648C"/>
    <w:rsid w:val="00B13945"/>
    <w:rsid w:val="00B23BEC"/>
    <w:rsid w:val="00B2542E"/>
    <w:rsid w:val="00B25F56"/>
    <w:rsid w:val="00B30588"/>
    <w:rsid w:val="00B374C6"/>
    <w:rsid w:val="00B40398"/>
    <w:rsid w:val="00B446F6"/>
    <w:rsid w:val="00B44FF3"/>
    <w:rsid w:val="00B576AF"/>
    <w:rsid w:val="00B67F14"/>
    <w:rsid w:val="00B76D15"/>
    <w:rsid w:val="00B83059"/>
    <w:rsid w:val="00B85517"/>
    <w:rsid w:val="00B8609A"/>
    <w:rsid w:val="00B9427F"/>
    <w:rsid w:val="00BA0731"/>
    <w:rsid w:val="00BA327F"/>
    <w:rsid w:val="00BA437F"/>
    <w:rsid w:val="00BA4CA5"/>
    <w:rsid w:val="00BA6969"/>
    <w:rsid w:val="00BB04DC"/>
    <w:rsid w:val="00BB2254"/>
    <w:rsid w:val="00BB4AC7"/>
    <w:rsid w:val="00BC10CE"/>
    <w:rsid w:val="00BC3629"/>
    <w:rsid w:val="00BD1BBF"/>
    <w:rsid w:val="00BD51C1"/>
    <w:rsid w:val="00C02EE3"/>
    <w:rsid w:val="00C17091"/>
    <w:rsid w:val="00C211BB"/>
    <w:rsid w:val="00C223F2"/>
    <w:rsid w:val="00C33C09"/>
    <w:rsid w:val="00C42F35"/>
    <w:rsid w:val="00C449E7"/>
    <w:rsid w:val="00C476D4"/>
    <w:rsid w:val="00C5344F"/>
    <w:rsid w:val="00C56A9F"/>
    <w:rsid w:val="00C60009"/>
    <w:rsid w:val="00C65DC7"/>
    <w:rsid w:val="00C74BEF"/>
    <w:rsid w:val="00C763FE"/>
    <w:rsid w:val="00C8122D"/>
    <w:rsid w:val="00C81331"/>
    <w:rsid w:val="00C87525"/>
    <w:rsid w:val="00C96C42"/>
    <w:rsid w:val="00CA02E7"/>
    <w:rsid w:val="00CA5955"/>
    <w:rsid w:val="00CA6671"/>
    <w:rsid w:val="00CB6B6A"/>
    <w:rsid w:val="00CC5376"/>
    <w:rsid w:val="00CC7E46"/>
    <w:rsid w:val="00CC7E87"/>
    <w:rsid w:val="00CD4A29"/>
    <w:rsid w:val="00CE152A"/>
    <w:rsid w:val="00CE50D9"/>
    <w:rsid w:val="00CE6D91"/>
    <w:rsid w:val="00CF0CC1"/>
    <w:rsid w:val="00CF3BA1"/>
    <w:rsid w:val="00D0566A"/>
    <w:rsid w:val="00D05FFD"/>
    <w:rsid w:val="00D06BE3"/>
    <w:rsid w:val="00D10449"/>
    <w:rsid w:val="00D12E05"/>
    <w:rsid w:val="00D1467B"/>
    <w:rsid w:val="00D1784E"/>
    <w:rsid w:val="00D2360D"/>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07B7"/>
    <w:rsid w:val="00E314EE"/>
    <w:rsid w:val="00E31A0B"/>
    <w:rsid w:val="00E343BC"/>
    <w:rsid w:val="00E37639"/>
    <w:rsid w:val="00E41001"/>
    <w:rsid w:val="00E453B0"/>
    <w:rsid w:val="00E46D24"/>
    <w:rsid w:val="00E5292B"/>
    <w:rsid w:val="00E52F0D"/>
    <w:rsid w:val="00E6163D"/>
    <w:rsid w:val="00E61971"/>
    <w:rsid w:val="00E64D03"/>
    <w:rsid w:val="00E70F8E"/>
    <w:rsid w:val="00E72592"/>
    <w:rsid w:val="00E87536"/>
    <w:rsid w:val="00E87606"/>
    <w:rsid w:val="00E924EB"/>
    <w:rsid w:val="00E94DFA"/>
    <w:rsid w:val="00EA1251"/>
    <w:rsid w:val="00EA2C1D"/>
    <w:rsid w:val="00EA5F69"/>
    <w:rsid w:val="00EB4798"/>
    <w:rsid w:val="00EB553F"/>
    <w:rsid w:val="00EB717D"/>
    <w:rsid w:val="00ED489C"/>
    <w:rsid w:val="00ED4A25"/>
    <w:rsid w:val="00ED5CF6"/>
    <w:rsid w:val="00ED5F7D"/>
    <w:rsid w:val="00ED7E9B"/>
    <w:rsid w:val="00EE1111"/>
    <w:rsid w:val="00EE37BE"/>
    <w:rsid w:val="00F1177E"/>
    <w:rsid w:val="00F12929"/>
    <w:rsid w:val="00F2022E"/>
    <w:rsid w:val="00F26C47"/>
    <w:rsid w:val="00F30069"/>
    <w:rsid w:val="00F3345B"/>
    <w:rsid w:val="00F374B4"/>
    <w:rsid w:val="00F37F21"/>
    <w:rsid w:val="00F41B5C"/>
    <w:rsid w:val="00F424F5"/>
    <w:rsid w:val="00F47A12"/>
    <w:rsid w:val="00F50FC1"/>
    <w:rsid w:val="00F61FAB"/>
    <w:rsid w:val="00F7395B"/>
    <w:rsid w:val="00F76185"/>
    <w:rsid w:val="00F777D7"/>
    <w:rsid w:val="00F97B43"/>
    <w:rsid w:val="00FC12EB"/>
    <w:rsid w:val="00FC3E1B"/>
    <w:rsid w:val="00FC4CEE"/>
    <w:rsid w:val="00FC5560"/>
    <w:rsid w:val="00FD1190"/>
    <w:rsid w:val="00FD1510"/>
    <w:rsid w:val="00FF0F7A"/>
    <w:rsid w:val="00FF1B43"/>
    <w:rsid w:val="00FF4B97"/>
    <w:rsid w:val="00FF5D22"/>
    <w:rsid w:val="00FF7F2D"/>
    <w:rsid w:val="010742D5"/>
    <w:rsid w:val="010A79E4"/>
    <w:rsid w:val="012955B3"/>
    <w:rsid w:val="013B4944"/>
    <w:rsid w:val="01657C13"/>
    <w:rsid w:val="016928C8"/>
    <w:rsid w:val="01695955"/>
    <w:rsid w:val="016A786D"/>
    <w:rsid w:val="01714809"/>
    <w:rsid w:val="01851778"/>
    <w:rsid w:val="019422A6"/>
    <w:rsid w:val="01A56261"/>
    <w:rsid w:val="01A73D87"/>
    <w:rsid w:val="01AE11E6"/>
    <w:rsid w:val="01B03770"/>
    <w:rsid w:val="01B03FD2"/>
    <w:rsid w:val="01B46F2A"/>
    <w:rsid w:val="01BA1EF8"/>
    <w:rsid w:val="01C6135E"/>
    <w:rsid w:val="01C77A3A"/>
    <w:rsid w:val="01CA2161"/>
    <w:rsid w:val="01D92E11"/>
    <w:rsid w:val="01DF432A"/>
    <w:rsid w:val="01F53A09"/>
    <w:rsid w:val="020119BD"/>
    <w:rsid w:val="02181129"/>
    <w:rsid w:val="021B6523"/>
    <w:rsid w:val="021E4A65"/>
    <w:rsid w:val="02201D8C"/>
    <w:rsid w:val="022106EC"/>
    <w:rsid w:val="022950E4"/>
    <w:rsid w:val="023E1AA3"/>
    <w:rsid w:val="024F24E2"/>
    <w:rsid w:val="02532161"/>
    <w:rsid w:val="025C7F22"/>
    <w:rsid w:val="02675C4E"/>
    <w:rsid w:val="02702D13"/>
    <w:rsid w:val="027A0985"/>
    <w:rsid w:val="02866093"/>
    <w:rsid w:val="028B18FB"/>
    <w:rsid w:val="028C11CF"/>
    <w:rsid w:val="028E1E68"/>
    <w:rsid w:val="02913121"/>
    <w:rsid w:val="02971F60"/>
    <w:rsid w:val="02972BA7"/>
    <w:rsid w:val="029B22F6"/>
    <w:rsid w:val="02A76140"/>
    <w:rsid w:val="02BE582C"/>
    <w:rsid w:val="02D037B2"/>
    <w:rsid w:val="02ED5A3D"/>
    <w:rsid w:val="02F0175E"/>
    <w:rsid w:val="02F90193"/>
    <w:rsid w:val="030D088E"/>
    <w:rsid w:val="030D7204"/>
    <w:rsid w:val="031342A8"/>
    <w:rsid w:val="032659DC"/>
    <w:rsid w:val="032B0D28"/>
    <w:rsid w:val="034237C8"/>
    <w:rsid w:val="034877EC"/>
    <w:rsid w:val="034E5452"/>
    <w:rsid w:val="03526414"/>
    <w:rsid w:val="03541CED"/>
    <w:rsid w:val="036356DF"/>
    <w:rsid w:val="037E4720"/>
    <w:rsid w:val="03846C84"/>
    <w:rsid w:val="03901F7D"/>
    <w:rsid w:val="03A003C3"/>
    <w:rsid w:val="03C77C47"/>
    <w:rsid w:val="03D412C5"/>
    <w:rsid w:val="03E56DE9"/>
    <w:rsid w:val="03E71508"/>
    <w:rsid w:val="03EF3637"/>
    <w:rsid w:val="04073203"/>
    <w:rsid w:val="040C7525"/>
    <w:rsid w:val="040F1246"/>
    <w:rsid w:val="041B44D3"/>
    <w:rsid w:val="041C0406"/>
    <w:rsid w:val="042F2ABC"/>
    <w:rsid w:val="043019CD"/>
    <w:rsid w:val="0432520D"/>
    <w:rsid w:val="043835C5"/>
    <w:rsid w:val="043D09D3"/>
    <w:rsid w:val="044959B6"/>
    <w:rsid w:val="044C0C16"/>
    <w:rsid w:val="044C50BA"/>
    <w:rsid w:val="04506958"/>
    <w:rsid w:val="04604D98"/>
    <w:rsid w:val="04651CD8"/>
    <w:rsid w:val="04687075"/>
    <w:rsid w:val="046E4B26"/>
    <w:rsid w:val="04702172"/>
    <w:rsid w:val="049E5004"/>
    <w:rsid w:val="04A24CDA"/>
    <w:rsid w:val="04BC223F"/>
    <w:rsid w:val="04C113AF"/>
    <w:rsid w:val="04C15202"/>
    <w:rsid w:val="04C920A3"/>
    <w:rsid w:val="04D74983"/>
    <w:rsid w:val="04D84084"/>
    <w:rsid w:val="04E24466"/>
    <w:rsid w:val="04EF3793"/>
    <w:rsid w:val="04FC263C"/>
    <w:rsid w:val="05014BB9"/>
    <w:rsid w:val="05022C69"/>
    <w:rsid w:val="052B4CCF"/>
    <w:rsid w:val="05325C88"/>
    <w:rsid w:val="05345C3C"/>
    <w:rsid w:val="054C2893"/>
    <w:rsid w:val="054F6C10"/>
    <w:rsid w:val="05533FD9"/>
    <w:rsid w:val="05545FD4"/>
    <w:rsid w:val="05663875"/>
    <w:rsid w:val="05735865"/>
    <w:rsid w:val="0585150C"/>
    <w:rsid w:val="058663AA"/>
    <w:rsid w:val="05883ED0"/>
    <w:rsid w:val="05884774"/>
    <w:rsid w:val="058D7738"/>
    <w:rsid w:val="059C769C"/>
    <w:rsid w:val="059E028D"/>
    <w:rsid w:val="05AC6B8E"/>
    <w:rsid w:val="05B01B1D"/>
    <w:rsid w:val="05C551D6"/>
    <w:rsid w:val="05CB200E"/>
    <w:rsid w:val="05D830A9"/>
    <w:rsid w:val="05E7663F"/>
    <w:rsid w:val="05ED1BAF"/>
    <w:rsid w:val="05ED6429"/>
    <w:rsid w:val="06057AD7"/>
    <w:rsid w:val="060A0D89"/>
    <w:rsid w:val="061B2F96"/>
    <w:rsid w:val="06224324"/>
    <w:rsid w:val="063E7909"/>
    <w:rsid w:val="06427F03"/>
    <w:rsid w:val="064613E7"/>
    <w:rsid w:val="06522B8B"/>
    <w:rsid w:val="065B3392"/>
    <w:rsid w:val="065F7B88"/>
    <w:rsid w:val="06653EC4"/>
    <w:rsid w:val="06654211"/>
    <w:rsid w:val="067526A6"/>
    <w:rsid w:val="068C5F0F"/>
    <w:rsid w:val="068E5516"/>
    <w:rsid w:val="0699402C"/>
    <w:rsid w:val="069C64C8"/>
    <w:rsid w:val="069E1194"/>
    <w:rsid w:val="06A0112C"/>
    <w:rsid w:val="06A42FEB"/>
    <w:rsid w:val="06AA54D1"/>
    <w:rsid w:val="06B874B6"/>
    <w:rsid w:val="06C54CB0"/>
    <w:rsid w:val="06CE625A"/>
    <w:rsid w:val="06D3561E"/>
    <w:rsid w:val="06DA367D"/>
    <w:rsid w:val="06DB3C8E"/>
    <w:rsid w:val="06DF5D71"/>
    <w:rsid w:val="06E35B58"/>
    <w:rsid w:val="06E82C73"/>
    <w:rsid w:val="06E845D2"/>
    <w:rsid w:val="06EB3041"/>
    <w:rsid w:val="06F15AA5"/>
    <w:rsid w:val="06F6018B"/>
    <w:rsid w:val="06FB7EA8"/>
    <w:rsid w:val="07013F3A"/>
    <w:rsid w:val="070677A2"/>
    <w:rsid w:val="07101CBA"/>
    <w:rsid w:val="07106873"/>
    <w:rsid w:val="071F6AB6"/>
    <w:rsid w:val="07210BEB"/>
    <w:rsid w:val="07261BF2"/>
    <w:rsid w:val="073A2587"/>
    <w:rsid w:val="073E40E0"/>
    <w:rsid w:val="074273EB"/>
    <w:rsid w:val="07504E5D"/>
    <w:rsid w:val="075F6D7C"/>
    <w:rsid w:val="0768045D"/>
    <w:rsid w:val="076F5347"/>
    <w:rsid w:val="078D5769"/>
    <w:rsid w:val="079F3EE7"/>
    <w:rsid w:val="07A275BB"/>
    <w:rsid w:val="07AD0AA4"/>
    <w:rsid w:val="07B436A2"/>
    <w:rsid w:val="07BE62CF"/>
    <w:rsid w:val="07CA4C73"/>
    <w:rsid w:val="07DB1801"/>
    <w:rsid w:val="07DB7626"/>
    <w:rsid w:val="07DF5164"/>
    <w:rsid w:val="07E50580"/>
    <w:rsid w:val="07E775D3"/>
    <w:rsid w:val="07E9545C"/>
    <w:rsid w:val="07F41CF0"/>
    <w:rsid w:val="07F77FC2"/>
    <w:rsid w:val="07F97A25"/>
    <w:rsid w:val="08006472"/>
    <w:rsid w:val="08016EA5"/>
    <w:rsid w:val="081403BB"/>
    <w:rsid w:val="081717A6"/>
    <w:rsid w:val="08264AE8"/>
    <w:rsid w:val="08336016"/>
    <w:rsid w:val="083E1621"/>
    <w:rsid w:val="08601134"/>
    <w:rsid w:val="08614777"/>
    <w:rsid w:val="08621939"/>
    <w:rsid w:val="08663338"/>
    <w:rsid w:val="08696EDC"/>
    <w:rsid w:val="08752CA2"/>
    <w:rsid w:val="087C30FA"/>
    <w:rsid w:val="0882554E"/>
    <w:rsid w:val="0884501D"/>
    <w:rsid w:val="08856DEC"/>
    <w:rsid w:val="08856E5D"/>
    <w:rsid w:val="0889068B"/>
    <w:rsid w:val="088A61B1"/>
    <w:rsid w:val="088B40B8"/>
    <w:rsid w:val="08904AFE"/>
    <w:rsid w:val="08924613"/>
    <w:rsid w:val="08CB0CA3"/>
    <w:rsid w:val="08CD1851"/>
    <w:rsid w:val="08D11B99"/>
    <w:rsid w:val="08D86F1C"/>
    <w:rsid w:val="08DC3175"/>
    <w:rsid w:val="08E51639"/>
    <w:rsid w:val="08EE6740"/>
    <w:rsid w:val="09093579"/>
    <w:rsid w:val="091D7025"/>
    <w:rsid w:val="093004CF"/>
    <w:rsid w:val="093F58A1"/>
    <w:rsid w:val="094A4ABC"/>
    <w:rsid w:val="09502F56"/>
    <w:rsid w:val="09576477"/>
    <w:rsid w:val="09594501"/>
    <w:rsid w:val="095D75E6"/>
    <w:rsid w:val="0972361B"/>
    <w:rsid w:val="0975564E"/>
    <w:rsid w:val="09772BD9"/>
    <w:rsid w:val="099457E5"/>
    <w:rsid w:val="09A60DC8"/>
    <w:rsid w:val="09B74CFE"/>
    <w:rsid w:val="09C33728"/>
    <w:rsid w:val="09C474A0"/>
    <w:rsid w:val="09C94AB7"/>
    <w:rsid w:val="09CE2CBD"/>
    <w:rsid w:val="09E70122"/>
    <w:rsid w:val="09E70A54"/>
    <w:rsid w:val="09ED69F7"/>
    <w:rsid w:val="0A0B7A36"/>
    <w:rsid w:val="0A0E360D"/>
    <w:rsid w:val="0A1C2653"/>
    <w:rsid w:val="0A436BAB"/>
    <w:rsid w:val="0A437E58"/>
    <w:rsid w:val="0A4D7496"/>
    <w:rsid w:val="0A560A40"/>
    <w:rsid w:val="0A5A7522"/>
    <w:rsid w:val="0A71587A"/>
    <w:rsid w:val="0A7270B0"/>
    <w:rsid w:val="0A8528D5"/>
    <w:rsid w:val="0A862A0A"/>
    <w:rsid w:val="0A892BC4"/>
    <w:rsid w:val="0A8A5B9F"/>
    <w:rsid w:val="0A951569"/>
    <w:rsid w:val="0AB01ABA"/>
    <w:rsid w:val="0AB15109"/>
    <w:rsid w:val="0ACC485F"/>
    <w:rsid w:val="0ACC7DC1"/>
    <w:rsid w:val="0ACD3F95"/>
    <w:rsid w:val="0ACF0E24"/>
    <w:rsid w:val="0AD06002"/>
    <w:rsid w:val="0AD41965"/>
    <w:rsid w:val="0AD56F1F"/>
    <w:rsid w:val="0ADA51CD"/>
    <w:rsid w:val="0AEA3C8C"/>
    <w:rsid w:val="0AEC5851"/>
    <w:rsid w:val="0AEC6CAF"/>
    <w:rsid w:val="0AFF4BD9"/>
    <w:rsid w:val="0B106766"/>
    <w:rsid w:val="0B15565C"/>
    <w:rsid w:val="0B1E0CF0"/>
    <w:rsid w:val="0B336D25"/>
    <w:rsid w:val="0B4C5010"/>
    <w:rsid w:val="0B506729"/>
    <w:rsid w:val="0B554854"/>
    <w:rsid w:val="0B5D195B"/>
    <w:rsid w:val="0B617F61"/>
    <w:rsid w:val="0B754EF6"/>
    <w:rsid w:val="0B7B0A12"/>
    <w:rsid w:val="0B7C73B6"/>
    <w:rsid w:val="0B7E02C3"/>
    <w:rsid w:val="0B844427"/>
    <w:rsid w:val="0B9D52CE"/>
    <w:rsid w:val="0BA73A3A"/>
    <w:rsid w:val="0BC86665"/>
    <w:rsid w:val="0BE83010"/>
    <w:rsid w:val="0BF202F5"/>
    <w:rsid w:val="0C054CDF"/>
    <w:rsid w:val="0C0B13B7"/>
    <w:rsid w:val="0C1B3CF0"/>
    <w:rsid w:val="0C1B7D09"/>
    <w:rsid w:val="0C287618"/>
    <w:rsid w:val="0C2C773C"/>
    <w:rsid w:val="0C2C7CAB"/>
    <w:rsid w:val="0C30706F"/>
    <w:rsid w:val="0C3F55CB"/>
    <w:rsid w:val="0C4369A5"/>
    <w:rsid w:val="0C46431D"/>
    <w:rsid w:val="0C4A597A"/>
    <w:rsid w:val="0C4C24DA"/>
    <w:rsid w:val="0C4E558D"/>
    <w:rsid w:val="0C506914"/>
    <w:rsid w:val="0C540FAF"/>
    <w:rsid w:val="0C54313F"/>
    <w:rsid w:val="0C5965C6"/>
    <w:rsid w:val="0C682B47"/>
    <w:rsid w:val="0C6D3E1F"/>
    <w:rsid w:val="0C7A59AB"/>
    <w:rsid w:val="0C7E2237"/>
    <w:rsid w:val="0C8A3153"/>
    <w:rsid w:val="0C94382A"/>
    <w:rsid w:val="0C9C64B3"/>
    <w:rsid w:val="0CB90E13"/>
    <w:rsid w:val="0CC457FD"/>
    <w:rsid w:val="0CD24D60"/>
    <w:rsid w:val="0CD520F0"/>
    <w:rsid w:val="0CE265BB"/>
    <w:rsid w:val="0CFF0F1B"/>
    <w:rsid w:val="0D125533"/>
    <w:rsid w:val="0D2A4B38"/>
    <w:rsid w:val="0D2C7465"/>
    <w:rsid w:val="0D3B19BF"/>
    <w:rsid w:val="0D3D5EE8"/>
    <w:rsid w:val="0D3F7F2E"/>
    <w:rsid w:val="0D411534"/>
    <w:rsid w:val="0D472A42"/>
    <w:rsid w:val="0D547A86"/>
    <w:rsid w:val="0D576AF6"/>
    <w:rsid w:val="0D616980"/>
    <w:rsid w:val="0D670027"/>
    <w:rsid w:val="0D682962"/>
    <w:rsid w:val="0D682BA3"/>
    <w:rsid w:val="0D6F0790"/>
    <w:rsid w:val="0D705EC6"/>
    <w:rsid w:val="0D737ED4"/>
    <w:rsid w:val="0D86163D"/>
    <w:rsid w:val="0D8B6C53"/>
    <w:rsid w:val="0D8E70B7"/>
    <w:rsid w:val="0D933D59"/>
    <w:rsid w:val="0D9448C5"/>
    <w:rsid w:val="0D9773A6"/>
    <w:rsid w:val="0DA230FC"/>
    <w:rsid w:val="0DB757B9"/>
    <w:rsid w:val="0DBE2A42"/>
    <w:rsid w:val="0DE7555E"/>
    <w:rsid w:val="0DEB2459"/>
    <w:rsid w:val="0DF87813"/>
    <w:rsid w:val="0E001CDF"/>
    <w:rsid w:val="0E06277D"/>
    <w:rsid w:val="0E1F739B"/>
    <w:rsid w:val="0E27335E"/>
    <w:rsid w:val="0E280AF7"/>
    <w:rsid w:val="0E2A20ED"/>
    <w:rsid w:val="0E3948C5"/>
    <w:rsid w:val="0E3F0DAA"/>
    <w:rsid w:val="0E4A08BC"/>
    <w:rsid w:val="0E4F5ED2"/>
    <w:rsid w:val="0E552DBD"/>
    <w:rsid w:val="0E580534"/>
    <w:rsid w:val="0E634E64"/>
    <w:rsid w:val="0E694DA4"/>
    <w:rsid w:val="0E807E3A"/>
    <w:rsid w:val="0E8327C4"/>
    <w:rsid w:val="0E85133E"/>
    <w:rsid w:val="0E886814"/>
    <w:rsid w:val="0E994BEF"/>
    <w:rsid w:val="0E9B2EC6"/>
    <w:rsid w:val="0EA55AF2"/>
    <w:rsid w:val="0EAF6971"/>
    <w:rsid w:val="0EB61AAE"/>
    <w:rsid w:val="0EB74E09"/>
    <w:rsid w:val="0EED198A"/>
    <w:rsid w:val="0EF12AE6"/>
    <w:rsid w:val="0EF21A59"/>
    <w:rsid w:val="0F0D5310"/>
    <w:rsid w:val="0F0D7125"/>
    <w:rsid w:val="0F1B4006"/>
    <w:rsid w:val="0F2122AB"/>
    <w:rsid w:val="0F274759"/>
    <w:rsid w:val="0F317A87"/>
    <w:rsid w:val="0F4470B9"/>
    <w:rsid w:val="0F613CE7"/>
    <w:rsid w:val="0F667602"/>
    <w:rsid w:val="0F68054A"/>
    <w:rsid w:val="0F827279"/>
    <w:rsid w:val="0F8E47D8"/>
    <w:rsid w:val="0FA14E3A"/>
    <w:rsid w:val="0FA77648"/>
    <w:rsid w:val="0FB30B89"/>
    <w:rsid w:val="0FB56209"/>
    <w:rsid w:val="0FBA737B"/>
    <w:rsid w:val="0FBB3628"/>
    <w:rsid w:val="0FC27645"/>
    <w:rsid w:val="0FC43949"/>
    <w:rsid w:val="0FDE5312"/>
    <w:rsid w:val="0FE565AD"/>
    <w:rsid w:val="0FE801DA"/>
    <w:rsid w:val="0FEE346A"/>
    <w:rsid w:val="0FF62C9E"/>
    <w:rsid w:val="0FF91FA6"/>
    <w:rsid w:val="0FFC7994"/>
    <w:rsid w:val="0FFD4F57"/>
    <w:rsid w:val="0FFE370C"/>
    <w:rsid w:val="10053ABA"/>
    <w:rsid w:val="1010343F"/>
    <w:rsid w:val="101C4755"/>
    <w:rsid w:val="10246EEB"/>
    <w:rsid w:val="102D36E4"/>
    <w:rsid w:val="103926DF"/>
    <w:rsid w:val="103F6BC1"/>
    <w:rsid w:val="10436662"/>
    <w:rsid w:val="10487EDC"/>
    <w:rsid w:val="106B4B1A"/>
    <w:rsid w:val="10710382"/>
    <w:rsid w:val="10787C99"/>
    <w:rsid w:val="107B27F5"/>
    <w:rsid w:val="107D3134"/>
    <w:rsid w:val="107E2A9F"/>
    <w:rsid w:val="107E65FB"/>
    <w:rsid w:val="10881B75"/>
    <w:rsid w:val="10914580"/>
    <w:rsid w:val="109738D6"/>
    <w:rsid w:val="109E6C9D"/>
    <w:rsid w:val="10BD4744"/>
    <w:rsid w:val="10BE1B05"/>
    <w:rsid w:val="10C06570"/>
    <w:rsid w:val="10F32882"/>
    <w:rsid w:val="11217EB7"/>
    <w:rsid w:val="112278CE"/>
    <w:rsid w:val="112600A1"/>
    <w:rsid w:val="11276C93"/>
    <w:rsid w:val="11292B4D"/>
    <w:rsid w:val="113118BF"/>
    <w:rsid w:val="113B44EC"/>
    <w:rsid w:val="114152BE"/>
    <w:rsid w:val="1161651C"/>
    <w:rsid w:val="11634D9B"/>
    <w:rsid w:val="117D68B3"/>
    <w:rsid w:val="118656C5"/>
    <w:rsid w:val="118A244C"/>
    <w:rsid w:val="118E546D"/>
    <w:rsid w:val="119935EA"/>
    <w:rsid w:val="11A2124C"/>
    <w:rsid w:val="11AE1162"/>
    <w:rsid w:val="11B031DE"/>
    <w:rsid w:val="11B113CA"/>
    <w:rsid w:val="11B35783"/>
    <w:rsid w:val="11B751CA"/>
    <w:rsid w:val="11C049F1"/>
    <w:rsid w:val="11C15CE1"/>
    <w:rsid w:val="11C20C82"/>
    <w:rsid w:val="11C22BCD"/>
    <w:rsid w:val="11CB0E79"/>
    <w:rsid w:val="11D67AF3"/>
    <w:rsid w:val="11E40CFD"/>
    <w:rsid w:val="11E53FE3"/>
    <w:rsid w:val="11E65F26"/>
    <w:rsid w:val="11E67F98"/>
    <w:rsid w:val="11E7249D"/>
    <w:rsid w:val="11EB2B56"/>
    <w:rsid w:val="11EB7CC0"/>
    <w:rsid w:val="11EC10FD"/>
    <w:rsid w:val="11F80FFD"/>
    <w:rsid w:val="12101447"/>
    <w:rsid w:val="12280F14"/>
    <w:rsid w:val="122812B3"/>
    <w:rsid w:val="122B27B2"/>
    <w:rsid w:val="12301B77"/>
    <w:rsid w:val="123A47A4"/>
    <w:rsid w:val="123C676E"/>
    <w:rsid w:val="124A072F"/>
    <w:rsid w:val="125165F8"/>
    <w:rsid w:val="125A2E52"/>
    <w:rsid w:val="125D4B05"/>
    <w:rsid w:val="125F1817"/>
    <w:rsid w:val="126264E7"/>
    <w:rsid w:val="12642E8C"/>
    <w:rsid w:val="12681311"/>
    <w:rsid w:val="12841AD1"/>
    <w:rsid w:val="12855B9F"/>
    <w:rsid w:val="128F4AEF"/>
    <w:rsid w:val="1290537E"/>
    <w:rsid w:val="12992AFA"/>
    <w:rsid w:val="129B7938"/>
    <w:rsid w:val="129D6FDD"/>
    <w:rsid w:val="12A16193"/>
    <w:rsid w:val="12A52565"/>
    <w:rsid w:val="12CC1A08"/>
    <w:rsid w:val="12CF5653"/>
    <w:rsid w:val="12D11F11"/>
    <w:rsid w:val="12D35FAA"/>
    <w:rsid w:val="12D6271E"/>
    <w:rsid w:val="12DA0C7B"/>
    <w:rsid w:val="12E75EE8"/>
    <w:rsid w:val="12EA441C"/>
    <w:rsid w:val="13043918"/>
    <w:rsid w:val="133F57E3"/>
    <w:rsid w:val="13447E10"/>
    <w:rsid w:val="134C77A5"/>
    <w:rsid w:val="1350173C"/>
    <w:rsid w:val="13540544"/>
    <w:rsid w:val="135D2E40"/>
    <w:rsid w:val="13694D8F"/>
    <w:rsid w:val="13731B39"/>
    <w:rsid w:val="13893C35"/>
    <w:rsid w:val="13904FC3"/>
    <w:rsid w:val="139573F9"/>
    <w:rsid w:val="1398179A"/>
    <w:rsid w:val="13A0020C"/>
    <w:rsid w:val="13A65B2F"/>
    <w:rsid w:val="13B9781D"/>
    <w:rsid w:val="13BF645B"/>
    <w:rsid w:val="13C30E6E"/>
    <w:rsid w:val="13C62D3E"/>
    <w:rsid w:val="13D21E1A"/>
    <w:rsid w:val="13DC1FB6"/>
    <w:rsid w:val="13DF4882"/>
    <w:rsid w:val="13E730A4"/>
    <w:rsid w:val="13E92EF0"/>
    <w:rsid w:val="13ED42AC"/>
    <w:rsid w:val="13F731BE"/>
    <w:rsid w:val="140F0880"/>
    <w:rsid w:val="142A1D25"/>
    <w:rsid w:val="14353475"/>
    <w:rsid w:val="143E4A1F"/>
    <w:rsid w:val="144E27C8"/>
    <w:rsid w:val="14506DD2"/>
    <w:rsid w:val="14543F72"/>
    <w:rsid w:val="14587163"/>
    <w:rsid w:val="145A606D"/>
    <w:rsid w:val="145E2C77"/>
    <w:rsid w:val="1461070D"/>
    <w:rsid w:val="1472260B"/>
    <w:rsid w:val="14747B8F"/>
    <w:rsid w:val="14926B19"/>
    <w:rsid w:val="14983F42"/>
    <w:rsid w:val="149E54BE"/>
    <w:rsid w:val="14AD3953"/>
    <w:rsid w:val="14B545B5"/>
    <w:rsid w:val="14C91E0F"/>
    <w:rsid w:val="14CB5B87"/>
    <w:rsid w:val="14CF5677"/>
    <w:rsid w:val="14D21D25"/>
    <w:rsid w:val="14D7551A"/>
    <w:rsid w:val="14EA3450"/>
    <w:rsid w:val="14ED46B4"/>
    <w:rsid w:val="14F735E4"/>
    <w:rsid w:val="14F767B6"/>
    <w:rsid w:val="15057FD2"/>
    <w:rsid w:val="150F1F18"/>
    <w:rsid w:val="15145780"/>
    <w:rsid w:val="1514752E"/>
    <w:rsid w:val="152A231E"/>
    <w:rsid w:val="153068F2"/>
    <w:rsid w:val="154058E7"/>
    <w:rsid w:val="15427C11"/>
    <w:rsid w:val="154D0C92"/>
    <w:rsid w:val="155A2E45"/>
    <w:rsid w:val="156B7B3E"/>
    <w:rsid w:val="15743F4C"/>
    <w:rsid w:val="157502EE"/>
    <w:rsid w:val="15802E15"/>
    <w:rsid w:val="15A47AE1"/>
    <w:rsid w:val="15AF0A7E"/>
    <w:rsid w:val="15B34F99"/>
    <w:rsid w:val="15B4151E"/>
    <w:rsid w:val="15BD461E"/>
    <w:rsid w:val="15CA5E3E"/>
    <w:rsid w:val="15CC7E09"/>
    <w:rsid w:val="15D50D05"/>
    <w:rsid w:val="15E52C78"/>
    <w:rsid w:val="15EF08C1"/>
    <w:rsid w:val="15F37026"/>
    <w:rsid w:val="16031113"/>
    <w:rsid w:val="160550C9"/>
    <w:rsid w:val="161B48EC"/>
    <w:rsid w:val="1628786A"/>
    <w:rsid w:val="16331C36"/>
    <w:rsid w:val="1635641B"/>
    <w:rsid w:val="163B0AEA"/>
    <w:rsid w:val="163B1F35"/>
    <w:rsid w:val="1642771E"/>
    <w:rsid w:val="165249F2"/>
    <w:rsid w:val="166B7621"/>
    <w:rsid w:val="167209B0"/>
    <w:rsid w:val="1672275E"/>
    <w:rsid w:val="16725D01"/>
    <w:rsid w:val="1676357B"/>
    <w:rsid w:val="16781D3E"/>
    <w:rsid w:val="16810BF3"/>
    <w:rsid w:val="1686012F"/>
    <w:rsid w:val="168F227C"/>
    <w:rsid w:val="169E5EAE"/>
    <w:rsid w:val="169F1079"/>
    <w:rsid w:val="16A82624"/>
    <w:rsid w:val="16B02545"/>
    <w:rsid w:val="16BE3BF5"/>
    <w:rsid w:val="16C242B2"/>
    <w:rsid w:val="16C532A1"/>
    <w:rsid w:val="16C56270"/>
    <w:rsid w:val="16D36F75"/>
    <w:rsid w:val="16DA033A"/>
    <w:rsid w:val="16DE6045"/>
    <w:rsid w:val="16E71981"/>
    <w:rsid w:val="16ED1BBB"/>
    <w:rsid w:val="16F615E1"/>
    <w:rsid w:val="16FC14B4"/>
    <w:rsid w:val="17010EAC"/>
    <w:rsid w:val="17017300"/>
    <w:rsid w:val="17054A4B"/>
    <w:rsid w:val="171F0861"/>
    <w:rsid w:val="17262088"/>
    <w:rsid w:val="17311B27"/>
    <w:rsid w:val="173914CE"/>
    <w:rsid w:val="173D243C"/>
    <w:rsid w:val="174E04CF"/>
    <w:rsid w:val="174F0CF1"/>
    <w:rsid w:val="174F2A9F"/>
    <w:rsid w:val="17534ECF"/>
    <w:rsid w:val="17570993"/>
    <w:rsid w:val="17680D39"/>
    <w:rsid w:val="176C18A3"/>
    <w:rsid w:val="17705D8E"/>
    <w:rsid w:val="1781047F"/>
    <w:rsid w:val="178A2793"/>
    <w:rsid w:val="178C3EA8"/>
    <w:rsid w:val="178D5376"/>
    <w:rsid w:val="178F4476"/>
    <w:rsid w:val="1799395D"/>
    <w:rsid w:val="17A07677"/>
    <w:rsid w:val="17B374D2"/>
    <w:rsid w:val="17B37D5D"/>
    <w:rsid w:val="17B44C4E"/>
    <w:rsid w:val="17B53F42"/>
    <w:rsid w:val="17B80644"/>
    <w:rsid w:val="17BC1726"/>
    <w:rsid w:val="17C65C49"/>
    <w:rsid w:val="17D3547E"/>
    <w:rsid w:val="17F56258"/>
    <w:rsid w:val="180C0990"/>
    <w:rsid w:val="181011F1"/>
    <w:rsid w:val="1820517A"/>
    <w:rsid w:val="1827115F"/>
    <w:rsid w:val="18320FFA"/>
    <w:rsid w:val="183D3240"/>
    <w:rsid w:val="184A37A9"/>
    <w:rsid w:val="185B5474"/>
    <w:rsid w:val="186500A0"/>
    <w:rsid w:val="18664544"/>
    <w:rsid w:val="186A4851"/>
    <w:rsid w:val="18722BDE"/>
    <w:rsid w:val="18816834"/>
    <w:rsid w:val="1888450B"/>
    <w:rsid w:val="188C3C33"/>
    <w:rsid w:val="18954E2A"/>
    <w:rsid w:val="189A4826"/>
    <w:rsid w:val="18C0454B"/>
    <w:rsid w:val="18D76D3B"/>
    <w:rsid w:val="18E11E1D"/>
    <w:rsid w:val="18EA4B9C"/>
    <w:rsid w:val="18F02060"/>
    <w:rsid w:val="18F41B50"/>
    <w:rsid w:val="19004EC8"/>
    <w:rsid w:val="191535AC"/>
    <w:rsid w:val="19191CB5"/>
    <w:rsid w:val="192835CD"/>
    <w:rsid w:val="192A06DB"/>
    <w:rsid w:val="192B3C50"/>
    <w:rsid w:val="1934466C"/>
    <w:rsid w:val="193818C9"/>
    <w:rsid w:val="194303E2"/>
    <w:rsid w:val="19461603"/>
    <w:rsid w:val="19522A1B"/>
    <w:rsid w:val="19533CC4"/>
    <w:rsid w:val="19766A09"/>
    <w:rsid w:val="198218DD"/>
    <w:rsid w:val="19877512"/>
    <w:rsid w:val="199A1C66"/>
    <w:rsid w:val="199A3E11"/>
    <w:rsid w:val="199E41EB"/>
    <w:rsid w:val="19AE3F93"/>
    <w:rsid w:val="19AF7825"/>
    <w:rsid w:val="19B528A5"/>
    <w:rsid w:val="19C06E4D"/>
    <w:rsid w:val="19D13C3F"/>
    <w:rsid w:val="19E73463"/>
    <w:rsid w:val="19EA58B8"/>
    <w:rsid w:val="19EE41FA"/>
    <w:rsid w:val="19F8741E"/>
    <w:rsid w:val="19FD2CFA"/>
    <w:rsid w:val="1A035928"/>
    <w:rsid w:val="1A18186E"/>
    <w:rsid w:val="1A26732D"/>
    <w:rsid w:val="1A353C7B"/>
    <w:rsid w:val="1A361CF4"/>
    <w:rsid w:val="1A3F329F"/>
    <w:rsid w:val="1A485CA7"/>
    <w:rsid w:val="1A4C1518"/>
    <w:rsid w:val="1A4E34E2"/>
    <w:rsid w:val="1A516943"/>
    <w:rsid w:val="1A5522C3"/>
    <w:rsid w:val="1A5A6066"/>
    <w:rsid w:val="1A5D54D3"/>
    <w:rsid w:val="1A6357C1"/>
    <w:rsid w:val="1A6544D0"/>
    <w:rsid w:val="1A6F2E5D"/>
    <w:rsid w:val="1A73020D"/>
    <w:rsid w:val="1A740E01"/>
    <w:rsid w:val="1A777345"/>
    <w:rsid w:val="1A7F5449"/>
    <w:rsid w:val="1A82717A"/>
    <w:rsid w:val="1A8418E0"/>
    <w:rsid w:val="1A9048AD"/>
    <w:rsid w:val="1A98010F"/>
    <w:rsid w:val="1A9B49BA"/>
    <w:rsid w:val="1AA557C5"/>
    <w:rsid w:val="1AAE4346"/>
    <w:rsid w:val="1AB33C07"/>
    <w:rsid w:val="1ACE4623"/>
    <w:rsid w:val="1AD1379B"/>
    <w:rsid w:val="1AE856E5"/>
    <w:rsid w:val="1AF64600"/>
    <w:rsid w:val="1AFF3C05"/>
    <w:rsid w:val="1B020838"/>
    <w:rsid w:val="1B0E4A1F"/>
    <w:rsid w:val="1B12147B"/>
    <w:rsid w:val="1B1A1616"/>
    <w:rsid w:val="1B1D5567"/>
    <w:rsid w:val="1B484158"/>
    <w:rsid w:val="1B5C2D1F"/>
    <w:rsid w:val="1B64395B"/>
    <w:rsid w:val="1B6F1727"/>
    <w:rsid w:val="1B762CF0"/>
    <w:rsid w:val="1B8374EB"/>
    <w:rsid w:val="1B8C6B7B"/>
    <w:rsid w:val="1B9E36ED"/>
    <w:rsid w:val="1BB235FD"/>
    <w:rsid w:val="1BB66C98"/>
    <w:rsid w:val="1BB91038"/>
    <w:rsid w:val="1BB9498B"/>
    <w:rsid w:val="1BBA0D00"/>
    <w:rsid w:val="1BBF65FB"/>
    <w:rsid w:val="1BCD6688"/>
    <w:rsid w:val="1BD57EC4"/>
    <w:rsid w:val="1BD71290"/>
    <w:rsid w:val="1BDA3D4E"/>
    <w:rsid w:val="1BF657FB"/>
    <w:rsid w:val="1BF66D43"/>
    <w:rsid w:val="1BF73705"/>
    <w:rsid w:val="1BF956CF"/>
    <w:rsid w:val="1C183DA8"/>
    <w:rsid w:val="1C1A4633"/>
    <w:rsid w:val="1C230AC0"/>
    <w:rsid w:val="1C2838BF"/>
    <w:rsid w:val="1C3A1F70"/>
    <w:rsid w:val="1C3B283E"/>
    <w:rsid w:val="1C46619C"/>
    <w:rsid w:val="1C4817D3"/>
    <w:rsid w:val="1C550B58"/>
    <w:rsid w:val="1C5A43C0"/>
    <w:rsid w:val="1C5B7206"/>
    <w:rsid w:val="1C672639"/>
    <w:rsid w:val="1C6B7569"/>
    <w:rsid w:val="1C7B4488"/>
    <w:rsid w:val="1C8409C0"/>
    <w:rsid w:val="1C8D2F4F"/>
    <w:rsid w:val="1C8F1E0A"/>
    <w:rsid w:val="1C9121E5"/>
    <w:rsid w:val="1C915908"/>
    <w:rsid w:val="1C926E9A"/>
    <w:rsid w:val="1CA246C5"/>
    <w:rsid w:val="1CA51B98"/>
    <w:rsid w:val="1CB200C5"/>
    <w:rsid w:val="1CB515F6"/>
    <w:rsid w:val="1CC16E7D"/>
    <w:rsid w:val="1CC730D8"/>
    <w:rsid w:val="1CD001DE"/>
    <w:rsid w:val="1CD05249"/>
    <w:rsid w:val="1CF36791"/>
    <w:rsid w:val="1CFA7EEF"/>
    <w:rsid w:val="1CFB1146"/>
    <w:rsid w:val="1CFB7432"/>
    <w:rsid w:val="1CFC7225"/>
    <w:rsid w:val="1CFD19E5"/>
    <w:rsid w:val="1CFE6504"/>
    <w:rsid w:val="1D04432C"/>
    <w:rsid w:val="1D085BCA"/>
    <w:rsid w:val="1D1207F7"/>
    <w:rsid w:val="1D2812E8"/>
    <w:rsid w:val="1D320071"/>
    <w:rsid w:val="1D350989"/>
    <w:rsid w:val="1D37062D"/>
    <w:rsid w:val="1D385D84"/>
    <w:rsid w:val="1D3D753B"/>
    <w:rsid w:val="1D41685C"/>
    <w:rsid w:val="1D5F77B4"/>
    <w:rsid w:val="1D6628F1"/>
    <w:rsid w:val="1D7B485D"/>
    <w:rsid w:val="1D9B0B7A"/>
    <w:rsid w:val="1DA1344E"/>
    <w:rsid w:val="1DBD46D0"/>
    <w:rsid w:val="1DC73FD4"/>
    <w:rsid w:val="1DD515F9"/>
    <w:rsid w:val="1DF636BD"/>
    <w:rsid w:val="1DFB128B"/>
    <w:rsid w:val="1E2E78B2"/>
    <w:rsid w:val="1E3173A3"/>
    <w:rsid w:val="1E331E3B"/>
    <w:rsid w:val="1E3C0E38"/>
    <w:rsid w:val="1E3D3A9D"/>
    <w:rsid w:val="1E561B49"/>
    <w:rsid w:val="1E585711"/>
    <w:rsid w:val="1E5B5B74"/>
    <w:rsid w:val="1E8667CE"/>
    <w:rsid w:val="1E9459A8"/>
    <w:rsid w:val="1E984D2C"/>
    <w:rsid w:val="1EA47B74"/>
    <w:rsid w:val="1EA57449"/>
    <w:rsid w:val="1EA8742A"/>
    <w:rsid w:val="1EB63404"/>
    <w:rsid w:val="1EC21DA9"/>
    <w:rsid w:val="1EC77F94"/>
    <w:rsid w:val="1ED36885"/>
    <w:rsid w:val="1EDB21B2"/>
    <w:rsid w:val="1EE21D29"/>
    <w:rsid w:val="1EE44AB3"/>
    <w:rsid w:val="1EEA6F41"/>
    <w:rsid w:val="1EF02DBA"/>
    <w:rsid w:val="1EF1171F"/>
    <w:rsid w:val="1EF1268E"/>
    <w:rsid w:val="1EF16F7F"/>
    <w:rsid w:val="1EF47719"/>
    <w:rsid w:val="1F1D0128"/>
    <w:rsid w:val="1F35157A"/>
    <w:rsid w:val="1F3553CF"/>
    <w:rsid w:val="1F3E1D5D"/>
    <w:rsid w:val="1F446C62"/>
    <w:rsid w:val="1F4E188E"/>
    <w:rsid w:val="1F634978"/>
    <w:rsid w:val="1F642722"/>
    <w:rsid w:val="1F680BA2"/>
    <w:rsid w:val="1F6C007A"/>
    <w:rsid w:val="1F6E3177"/>
    <w:rsid w:val="1F6F04BA"/>
    <w:rsid w:val="1F72557D"/>
    <w:rsid w:val="1F745192"/>
    <w:rsid w:val="1F745799"/>
    <w:rsid w:val="1F777037"/>
    <w:rsid w:val="1F79333D"/>
    <w:rsid w:val="1F7C289F"/>
    <w:rsid w:val="1F7F17CC"/>
    <w:rsid w:val="1F870ADE"/>
    <w:rsid w:val="1F8E296D"/>
    <w:rsid w:val="1FAC74E3"/>
    <w:rsid w:val="1FD159E4"/>
    <w:rsid w:val="1FF85926"/>
    <w:rsid w:val="1FFA426C"/>
    <w:rsid w:val="20027E74"/>
    <w:rsid w:val="2018775E"/>
    <w:rsid w:val="201F60D2"/>
    <w:rsid w:val="20223693"/>
    <w:rsid w:val="20231134"/>
    <w:rsid w:val="2024650C"/>
    <w:rsid w:val="203F0AC0"/>
    <w:rsid w:val="204C1D29"/>
    <w:rsid w:val="204F2120"/>
    <w:rsid w:val="20522D74"/>
    <w:rsid w:val="20796DDF"/>
    <w:rsid w:val="207D067D"/>
    <w:rsid w:val="207F26F9"/>
    <w:rsid w:val="20835E3C"/>
    <w:rsid w:val="209239FD"/>
    <w:rsid w:val="209B0B03"/>
    <w:rsid w:val="20A83220"/>
    <w:rsid w:val="20AA343C"/>
    <w:rsid w:val="20B025DD"/>
    <w:rsid w:val="20BA4033"/>
    <w:rsid w:val="20BD5154"/>
    <w:rsid w:val="20CE3369"/>
    <w:rsid w:val="20CE52D5"/>
    <w:rsid w:val="20D02EA3"/>
    <w:rsid w:val="20DF4E94"/>
    <w:rsid w:val="20E8137D"/>
    <w:rsid w:val="20E830A5"/>
    <w:rsid w:val="20FA52C9"/>
    <w:rsid w:val="21043213"/>
    <w:rsid w:val="210551FC"/>
    <w:rsid w:val="210E494D"/>
    <w:rsid w:val="21115269"/>
    <w:rsid w:val="21131F70"/>
    <w:rsid w:val="211638F3"/>
    <w:rsid w:val="212E01F5"/>
    <w:rsid w:val="21415B4F"/>
    <w:rsid w:val="2149596C"/>
    <w:rsid w:val="215A100A"/>
    <w:rsid w:val="215C6880"/>
    <w:rsid w:val="216655B5"/>
    <w:rsid w:val="216929AF"/>
    <w:rsid w:val="216E4B1C"/>
    <w:rsid w:val="217750CC"/>
    <w:rsid w:val="21784B5B"/>
    <w:rsid w:val="218E7C39"/>
    <w:rsid w:val="218F0080"/>
    <w:rsid w:val="219958B3"/>
    <w:rsid w:val="21AD5185"/>
    <w:rsid w:val="21C30DDB"/>
    <w:rsid w:val="21C40E7A"/>
    <w:rsid w:val="21C55BE1"/>
    <w:rsid w:val="21C978F2"/>
    <w:rsid w:val="21CB11F3"/>
    <w:rsid w:val="21E17B80"/>
    <w:rsid w:val="21F0699C"/>
    <w:rsid w:val="21FC7CC7"/>
    <w:rsid w:val="220426D8"/>
    <w:rsid w:val="22105521"/>
    <w:rsid w:val="22266AF2"/>
    <w:rsid w:val="222767A8"/>
    <w:rsid w:val="222A213F"/>
    <w:rsid w:val="223B07F0"/>
    <w:rsid w:val="22401962"/>
    <w:rsid w:val="22701A6E"/>
    <w:rsid w:val="22734646"/>
    <w:rsid w:val="228E25F9"/>
    <w:rsid w:val="22994ECF"/>
    <w:rsid w:val="22995516"/>
    <w:rsid w:val="22A51021"/>
    <w:rsid w:val="22B91715"/>
    <w:rsid w:val="22C23296"/>
    <w:rsid w:val="22CC64E6"/>
    <w:rsid w:val="22D4475E"/>
    <w:rsid w:val="22FE2A3D"/>
    <w:rsid w:val="230A4603"/>
    <w:rsid w:val="23146719"/>
    <w:rsid w:val="231A0405"/>
    <w:rsid w:val="232C1EE7"/>
    <w:rsid w:val="233D40F4"/>
    <w:rsid w:val="234C07DB"/>
    <w:rsid w:val="23666663"/>
    <w:rsid w:val="23693289"/>
    <w:rsid w:val="23767606"/>
    <w:rsid w:val="237F295E"/>
    <w:rsid w:val="2386043E"/>
    <w:rsid w:val="238A7118"/>
    <w:rsid w:val="239147E1"/>
    <w:rsid w:val="23B00D6A"/>
    <w:rsid w:val="23BB34F7"/>
    <w:rsid w:val="23CF4F44"/>
    <w:rsid w:val="23D04F68"/>
    <w:rsid w:val="23D762F6"/>
    <w:rsid w:val="23F724F4"/>
    <w:rsid w:val="23FC20D8"/>
    <w:rsid w:val="23FF13A9"/>
    <w:rsid w:val="23FF2392"/>
    <w:rsid w:val="24044428"/>
    <w:rsid w:val="24050D58"/>
    <w:rsid w:val="240864B0"/>
    <w:rsid w:val="24142BD5"/>
    <w:rsid w:val="242343DD"/>
    <w:rsid w:val="24294C71"/>
    <w:rsid w:val="24440BF7"/>
    <w:rsid w:val="24466FD8"/>
    <w:rsid w:val="244F1B68"/>
    <w:rsid w:val="246B4C91"/>
    <w:rsid w:val="246E7F9D"/>
    <w:rsid w:val="24737EDF"/>
    <w:rsid w:val="24867DDC"/>
    <w:rsid w:val="24967F5F"/>
    <w:rsid w:val="249A7C51"/>
    <w:rsid w:val="249B5576"/>
    <w:rsid w:val="249E0C13"/>
    <w:rsid w:val="24AC1531"/>
    <w:rsid w:val="24B228BF"/>
    <w:rsid w:val="24BF506E"/>
    <w:rsid w:val="24C80E83"/>
    <w:rsid w:val="24D80578"/>
    <w:rsid w:val="24D83FE6"/>
    <w:rsid w:val="24D942F0"/>
    <w:rsid w:val="24D97FEB"/>
    <w:rsid w:val="24DC2B3B"/>
    <w:rsid w:val="24F84776"/>
    <w:rsid w:val="24FE0E05"/>
    <w:rsid w:val="24FF1810"/>
    <w:rsid w:val="25056E93"/>
    <w:rsid w:val="251F1528"/>
    <w:rsid w:val="2521054A"/>
    <w:rsid w:val="25342B59"/>
    <w:rsid w:val="25351FBB"/>
    <w:rsid w:val="255B08F3"/>
    <w:rsid w:val="2566591A"/>
    <w:rsid w:val="256815C2"/>
    <w:rsid w:val="256A55C2"/>
    <w:rsid w:val="256C0CC0"/>
    <w:rsid w:val="257A518B"/>
    <w:rsid w:val="258343C6"/>
    <w:rsid w:val="2584425C"/>
    <w:rsid w:val="258464A3"/>
    <w:rsid w:val="259A75DB"/>
    <w:rsid w:val="259D0E7A"/>
    <w:rsid w:val="25A13DCB"/>
    <w:rsid w:val="25A963F4"/>
    <w:rsid w:val="25AC6401"/>
    <w:rsid w:val="25AF3989"/>
    <w:rsid w:val="25BA5ED0"/>
    <w:rsid w:val="25C428AA"/>
    <w:rsid w:val="25C64CB0"/>
    <w:rsid w:val="25C73339"/>
    <w:rsid w:val="25CE2646"/>
    <w:rsid w:val="25D62822"/>
    <w:rsid w:val="25E06FA5"/>
    <w:rsid w:val="25F248AC"/>
    <w:rsid w:val="25F46702"/>
    <w:rsid w:val="25FF38E2"/>
    <w:rsid w:val="2601289E"/>
    <w:rsid w:val="2606034A"/>
    <w:rsid w:val="260A74AD"/>
    <w:rsid w:val="260B71AE"/>
    <w:rsid w:val="260E5843"/>
    <w:rsid w:val="261D0218"/>
    <w:rsid w:val="26264322"/>
    <w:rsid w:val="26284BE7"/>
    <w:rsid w:val="263317DE"/>
    <w:rsid w:val="26345C82"/>
    <w:rsid w:val="263B02A5"/>
    <w:rsid w:val="263D73ED"/>
    <w:rsid w:val="264677DC"/>
    <w:rsid w:val="264842A9"/>
    <w:rsid w:val="264B4659"/>
    <w:rsid w:val="26655E3B"/>
    <w:rsid w:val="267047E0"/>
    <w:rsid w:val="268838D8"/>
    <w:rsid w:val="26981F71"/>
    <w:rsid w:val="26A54C67"/>
    <w:rsid w:val="26AE7CA4"/>
    <w:rsid w:val="26B424FB"/>
    <w:rsid w:val="26C15CF0"/>
    <w:rsid w:val="26C24A7A"/>
    <w:rsid w:val="26C62652"/>
    <w:rsid w:val="26C82F53"/>
    <w:rsid w:val="26CC5EBA"/>
    <w:rsid w:val="26CF6DC9"/>
    <w:rsid w:val="26E17975"/>
    <w:rsid w:val="26F34F82"/>
    <w:rsid w:val="26F40F6D"/>
    <w:rsid w:val="27022C82"/>
    <w:rsid w:val="27027B2E"/>
    <w:rsid w:val="270A0791"/>
    <w:rsid w:val="27111B1F"/>
    <w:rsid w:val="271C2272"/>
    <w:rsid w:val="271F532A"/>
    <w:rsid w:val="2725740A"/>
    <w:rsid w:val="273121C1"/>
    <w:rsid w:val="27324713"/>
    <w:rsid w:val="27395BE5"/>
    <w:rsid w:val="274852F5"/>
    <w:rsid w:val="275E0690"/>
    <w:rsid w:val="275F0ADD"/>
    <w:rsid w:val="276E6F72"/>
    <w:rsid w:val="27773377"/>
    <w:rsid w:val="2785182E"/>
    <w:rsid w:val="278B7B24"/>
    <w:rsid w:val="27910957"/>
    <w:rsid w:val="279F6BEE"/>
    <w:rsid w:val="27A9782B"/>
    <w:rsid w:val="27AF2577"/>
    <w:rsid w:val="27B70919"/>
    <w:rsid w:val="27BB2906"/>
    <w:rsid w:val="27C9306E"/>
    <w:rsid w:val="27CE7A10"/>
    <w:rsid w:val="27E72086"/>
    <w:rsid w:val="280900FA"/>
    <w:rsid w:val="28100029"/>
    <w:rsid w:val="281B5EEB"/>
    <w:rsid w:val="281C77CB"/>
    <w:rsid w:val="283E15E5"/>
    <w:rsid w:val="28405796"/>
    <w:rsid w:val="28482C7C"/>
    <w:rsid w:val="28520F35"/>
    <w:rsid w:val="285A0C1F"/>
    <w:rsid w:val="286D7229"/>
    <w:rsid w:val="288405A8"/>
    <w:rsid w:val="28891152"/>
    <w:rsid w:val="289A255F"/>
    <w:rsid w:val="289C18BC"/>
    <w:rsid w:val="289D7603"/>
    <w:rsid w:val="28B7539F"/>
    <w:rsid w:val="28C11323"/>
    <w:rsid w:val="28D86187"/>
    <w:rsid w:val="28D9203E"/>
    <w:rsid w:val="28F65471"/>
    <w:rsid w:val="28F85861"/>
    <w:rsid w:val="28FC05AD"/>
    <w:rsid w:val="28FD459B"/>
    <w:rsid w:val="29086F52"/>
    <w:rsid w:val="290C6A42"/>
    <w:rsid w:val="290E7CCD"/>
    <w:rsid w:val="293B2E83"/>
    <w:rsid w:val="29435188"/>
    <w:rsid w:val="295126A7"/>
    <w:rsid w:val="29534671"/>
    <w:rsid w:val="295669E1"/>
    <w:rsid w:val="29606A91"/>
    <w:rsid w:val="29633B05"/>
    <w:rsid w:val="29665177"/>
    <w:rsid w:val="296946FD"/>
    <w:rsid w:val="296B27A3"/>
    <w:rsid w:val="296C128F"/>
    <w:rsid w:val="29790D4B"/>
    <w:rsid w:val="297A0EBD"/>
    <w:rsid w:val="29830E13"/>
    <w:rsid w:val="298A2ADF"/>
    <w:rsid w:val="299E2B05"/>
    <w:rsid w:val="29A410E7"/>
    <w:rsid w:val="29A547A1"/>
    <w:rsid w:val="29B661A7"/>
    <w:rsid w:val="29C31217"/>
    <w:rsid w:val="29C77D7E"/>
    <w:rsid w:val="29E4351B"/>
    <w:rsid w:val="29F62B91"/>
    <w:rsid w:val="29FA460F"/>
    <w:rsid w:val="29FB2613"/>
    <w:rsid w:val="29FC5650"/>
    <w:rsid w:val="2A0C393A"/>
    <w:rsid w:val="2A117D6D"/>
    <w:rsid w:val="2A1B4A63"/>
    <w:rsid w:val="2A2C46F3"/>
    <w:rsid w:val="2A3578B6"/>
    <w:rsid w:val="2A3646FC"/>
    <w:rsid w:val="2A3C5105"/>
    <w:rsid w:val="2A477A60"/>
    <w:rsid w:val="2A510485"/>
    <w:rsid w:val="2A5C57A7"/>
    <w:rsid w:val="2A5F2BA2"/>
    <w:rsid w:val="2A7259E0"/>
    <w:rsid w:val="2A7A2CF2"/>
    <w:rsid w:val="2A9F4496"/>
    <w:rsid w:val="2AC017A8"/>
    <w:rsid w:val="2AC1385C"/>
    <w:rsid w:val="2AC338A7"/>
    <w:rsid w:val="2AC823F5"/>
    <w:rsid w:val="2AD03CF4"/>
    <w:rsid w:val="2AD27817"/>
    <w:rsid w:val="2AD57308"/>
    <w:rsid w:val="2AE54859"/>
    <w:rsid w:val="2B084FE7"/>
    <w:rsid w:val="2B0A0D5F"/>
    <w:rsid w:val="2B120FC6"/>
    <w:rsid w:val="2B195396"/>
    <w:rsid w:val="2B2A2EEC"/>
    <w:rsid w:val="2B2C33CC"/>
    <w:rsid w:val="2B373B1E"/>
    <w:rsid w:val="2B504321"/>
    <w:rsid w:val="2B5C5333"/>
    <w:rsid w:val="2B726F92"/>
    <w:rsid w:val="2B7333BA"/>
    <w:rsid w:val="2B880C7D"/>
    <w:rsid w:val="2B8B2184"/>
    <w:rsid w:val="2B8D6D40"/>
    <w:rsid w:val="2BAA0794"/>
    <w:rsid w:val="2BB13721"/>
    <w:rsid w:val="2BB738F0"/>
    <w:rsid w:val="2BC71AAA"/>
    <w:rsid w:val="2BD47FA7"/>
    <w:rsid w:val="2BE401F3"/>
    <w:rsid w:val="2C155C30"/>
    <w:rsid w:val="2C1D4255"/>
    <w:rsid w:val="2C232160"/>
    <w:rsid w:val="2C26606D"/>
    <w:rsid w:val="2C291829"/>
    <w:rsid w:val="2C2E0A7D"/>
    <w:rsid w:val="2C3D065B"/>
    <w:rsid w:val="2C4604BD"/>
    <w:rsid w:val="2C7101C8"/>
    <w:rsid w:val="2C8128F2"/>
    <w:rsid w:val="2C8139FE"/>
    <w:rsid w:val="2C9077B1"/>
    <w:rsid w:val="2C9B7506"/>
    <w:rsid w:val="2CA70AD9"/>
    <w:rsid w:val="2CD258AD"/>
    <w:rsid w:val="2CD94E8D"/>
    <w:rsid w:val="2CDB1B96"/>
    <w:rsid w:val="2CDE585C"/>
    <w:rsid w:val="2CE01EE6"/>
    <w:rsid w:val="2CE11F94"/>
    <w:rsid w:val="2CF56803"/>
    <w:rsid w:val="2CF577ED"/>
    <w:rsid w:val="2D096521"/>
    <w:rsid w:val="2D161225"/>
    <w:rsid w:val="2D2423BC"/>
    <w:rsid w:val="2D2B2D5E"/>
    <w:rsid w:val="2D431C65"/>
    <w:rsid w:val="2D476A76"/>
    <w:rsid w:val="2D4B565F"/>
    <w:rsid w:val="2D5A3F6F"/>
    <w:rsid w:val="2D5A7C68"/>
    <w:rsid w:val="2D6343DA"/>
    <w:rsid w:val="2D7B7B0E"/>
    <w:rsid w:val="2D804BC8"/>
    <w:rsid w:val="2D8843AE"/>
    <w:rsid w:val="2DA439FE"/>
    <w:rsid w:val="2DA52DF2"/>
    <w:rsid w:val="2DAA1EEE"/>
    <w:rsid w:val="2DAB174B"/>
    <w:rsid w:val="2DAC3053"/>
    <w:rsid w:val="2DB256DE"/>
    <w:rsid w:val="2DBB0A37"/>
    <w:rsid w:val="2DCE1D05"/>
    <w:rsid w:val="2DDE0C83"/>
    <w:rsid w:val="2DE47F8D"/>
    <w:rsid w:val="2E01097F"/>
    <w:rsid w:val="2E112405"/>
    <w:rsid w:val="2E19750B"/>
    <w:rsid w:val="2E3305CD"/>
    <w:rsid w:val="2E372235"/>
    <w:rsid w:val="2E3938D1"/>
    <w:rsid w:val="2E3A195C"/>
    <w:rsid w:val="2E4775A3"/>
    <w:rsid w:val="2E4B4261"/>
    <w:rsid w:val="2E6A04C0"/>
    <w:rsid w:val="2E750BE6"/>
    <w:rsid w:val="2E826544"/>
    <w:rsid w:val="2E870919"/>
    <w:rsid w:val="2E894691"/>
    <w:rsid w:val="2E9F2106"/>
    <w:rsid w:val="2EA37A73"/>
    <w:rsid w:val="2EA61C1D"/>
    <w:rsid w:val="2EAC037F"/>
    <w:rsid w:val="2EAE5EA6"/>
    <w:rsid w:val="2EB362F4"/>
    <w:rsid w:val="2EB45084"/>
    <w:rsid w:val="2EBC3759"/>
    <w:rsid w:val="2EBD038A"/>
    <w:rsid w:val="2EF02945"/>
    <w:rsid w:val="2EFC5188"/>
    <w:rsid w:val="2F011E82"/>
    <w:rsid w:val="2F172C53"/>
    <w:rsid w:val="2F37233F"/>
    <w:rsid w:val="2F3B10E1"/>
    <w:rsid w:val="2F3F159C"/>
    <w:rsid w:val="2F4F58DB"/>
    <w:rsid w:val="2F517D99"/>
    <w:rsid w:val="2F5527C5"/>
    <w:rsid w:val="2F5D384C"/>
    <w:rsid w:val="2F650314"/>
    <w:rsid w:val="2F6858EF"/>
    <w:rsid w:val="2F735395"/>
    <w:rsid w:val="2F8F3D61"/>
    <w:rsid w:val="2F953172"/>
    <w:rsid w:val="2F9652B7"/>
    <w:rsid w:val="2F9B0B20"/>
    <w:rsid w:val="2FA572A9"/>
    <w:rsid w:val="2FB21A55"/>
    <w:rsid w:val="2FD47B8E"/>
    <w:rsid w:val="2FDE6C5E"/>
    <w:rsid w:val="2FE569B3"/>
    <w:rsid w:val="2FE63F0E"/>
    <w:rsid w:val="2FE9188B"/>
    <w:rsid w:val="3002428B"/>
    <w:rsid w:val="300A39BC"/>
    <w:rsid w:val="300E61C7"/>
    <w:rsid w:val="300E6D10"/>
    <w:rsid w:val="30206BD5"/>
    <w:rsid w:val="30446AC1"/>
    <w:rsid w:val="3046030C"/>
    <w:rsid w:val="30621346"/>
    <w:rsid w:val="307B120F"/>
    <w:rsid w:val="3086532C"/>
    <w:rsid w:val="30AC4667"/>
    <w:rsid w:val="30AE4883"/>
    <w:rsid w:val="30B26121"/>
    <w:rsid w:val="30B67293"/>
    <w:rsid w:val="30BA6D84"/>
    <w:rsid w:val="30C03492"/>
    <w:rsid w:val="30D50061"/>
    <w:rsid w:val="30E049F8"/>
    <w:rsid w:val="30E11701"/>
    <w:rsid w:val="30EB2FD6"/>
    <w:rsid w:val="30F85AFE"/>
    <w:rsid w:val="31002769"/>
    <w:rsid w:val="31132938"/>
    <w:rsid w:val="311A5440"/>
    <w:rsid w:val="3127674E"/>
    <w:rsid w:val="312A0296"/>
    <w:rsid w:val="312F7772"/>
    <w:rsid w:val="31365A5E"/>
    <w:rsid w:val="314018F9"/>
    <w:rsid w:val="31442AF1"/>
    <w:rsid w:val="314D734D"/>
    <w:rsid w:val="31535D75"/>
    <w:rsid w:val="315C42DF"/>
    <w:rsid w:val="31682861"/>
    <w:rsid w:val="317167A5"/>
    <w:rsid w:val="31723B02"/>
    <w:rsid w:val="31743681"/>
    <w:rsid w:val="3179279B"/>
    <w:rsid w:val="31A11A89"/>
    <w:rsid w:val="31AE1F4C"/>
    <w:rsid w:val="31B9528D"/>
    <w:rsid w:val="31BF4CA8"/>
    <w:rsid w:val="31C205E6"/>
    <w:rsid w:val="31C559E0"/>
    <w:rsid w:val="31C727CD"/>
    <w:rsid w:val="31C83722"/>
    <w:rsid w:val="31D307B5"/>
    <w:rsid w:val="31DC221E"/>
    <w:rsid w:val="31EE13DB"/>
    <w:rsid w:val="31EF0CAF"/>
    <w:rsid w:val="31F6215E"/>
    <w:rsid w:val="31FB3AF8"/>
    <w:rsid w:val="32172251"/>
    <w:rsid w:val="321C4841"/>
    <w:rsid w:val="32416A09"/>
    <w:rsid w:val="324234D5"/>
    <w:rsid w:val="324C0B81"/>
    <w:rsid w:val="32674CE9"/>
    <w:rsid w:val="326D32D7"/>
    <w:rsid w:val="32735533"/>
    <w:rsid w:val="32786EF6"/>
    <w:rsid w:val="328860F7"/>
    <w:rsid w:val="328A09D8"/>
    <w:rsid w:val="329830F5"/>
    <w:rsid w:val="32B31CDC"/>
    <w:rsid w:val="32BA34CE"/>
    <w:rsid w:val="32C63C6B"/>
    <w:rsid w:val="32D3237F"/>
    <w:rsid w:val="32FD6CBB"/>
    <w:rsid w:val="33030EB6"/>
    <w:rsid w:val="33091096"/>
    <w:rsid w:val="330C4261"/>
    <w:rsid w:val="331D35FA"/>
    <w:rsid w:val="33232830"/>
    <w:rsid w:val="33294694"/>
    <w:rsid w:val="33354DE7"/>
    <w:rsid w:val="33400C7A"/>
    <w:rsid w:val="334943EF"/>
    <w:rsid w:val="33602BE2"/>
    <w:rsid w:val="33622144"/>
    <w:rsid w:val="33635874"/>
    <w:rsid w:val="33680D19"/>
    <w:rsid w:val="33691A74"/>
    <w:rsid w:val="33792F26"/>
    <w:rsid w:val="33843CA1"/>
    <w:rsid w:val="33A04957"/>
    <w:rsid w:val="33A34374"/>
    <w:rsid w:val="33A80D81"/>
    <w:rsid w:val="33AA7583"/>
    <w:rsid w:val="33AB3AE4"/>
    <w:rsid w:val="33B10912"/>
    <w:rsid w:val="33BD008E"/>
    <w:rsid w:val="33CD3272"/>
    <w:rsid w:val="33DA700D"/>
    <w:rsid w:val="33E95370"/>
    <w:rsid w:val="33FA723C"/>
    <w:rsid w:val="34036C94"/>
    <w:rsid w:val="34060532"/>
    <w:rsid w:val="34080F71"/>
    <w:rsid w:val="341D240D"/>
    <w:rsid w:val="34336359"/>
    <w:rsid w:val="34362BC5"/>
    <w:rsid w:val="34504E4E"/>
    <w:rsid w:val="3453371A"/>
    <w:rsid w:val="34607C42"/>
    <w:rsid w:val="346B3F86"/>
    <w:rsid w:val="347038AC"/>
    <w:rsid w:val="34791640"/>
    <w:rsid w:val="347C3FD8"/>
    <w:rsid w:val="347C4240"/>
    <w:rsid w:val="348770E3"/>
    <w:rsid w:val="34897199"/>
    <w:rsid w:val="349A43F0"/>
    <w:rsid w:val="349C6F30"/>
    <w:rsid w:val="34A044E2"/>
    <w:rsid w:val="34D01852"/>
    <w:rsid w:val="34D5363D"/>
    <w:rsid w:val="34E645EB"/>
    <w:rsid w:val="34E86274"/>
    <w:rsid w:val="34EB1C02"/>
    <w:rsid w:val="34FA62E8"/>
    <w:rsid w:val="34FD3CCE"/>
    <w:rsid w:val="35013181"/>
    <w:rsid w:val="351078BA"/>
    <w:rsid w:val="351732AD"/>
    <w:rsid w:val="351F2AC8"/>
    <w:rsid w:val="35202B10"/>
    <w:rsid w:val="352F4B34"/>
    <w:rsid w:val="353924AC"/>
    <w:rsid w:val="35452ACB"/>
    <w:rsid w:val="35460DED"/>
    <w:rsid w:val="354632DC"/>
    <w:rsid w:val="354D74BF"/>
    <w:rsid w:val="35522B9A"/>
    <w:rsid w:val="3554770D"/>
    <w:rsid w:val="355A28E3"/>
    <w:rsid w:val="3562042D"/>
    <w:rsid w:val="35633E8E"/>
    <w:rsid w:val="35683252"/>
    <w:rsid w:val="356C55C7"/>
    <w:rsid w:val="35795E1D"/>
    <w:rsid w:val="35806225"/>
    <w:rsid w:val="35850AE6"/>
    <w:rsid w:val="358F6A4F"/>
    <w:rsid w:val="35956011"/>
    <w:rsid w:val="359A3628"/>
    <w:rsid w:val="35AD6EB7"/>
    <w:rsid w:val="35AF0E81"/>
    <w:rsid w:val="35B244CD"/>
    <w:rsid w:val="35BC70FA"/>
    <w:rsid w:val="35CB4DBD"/>
    <w:rsid w:val="35DB26B5"/>
    <w:rsid w:val="35DE1818"/>
    <w:rsid w:val="35DE6131"/>
    <w:rsid w:val="35EB3E83"/>
    <w:rsid w:val="35F25212"/>
    <w:rsid w:val="3601230C"/>
    <w:rsid w:val="36034D29"/>
    <w:rsid w:val="36070CBD"/>
    <w:rsid w:val="360A4401"/>
    <w:rsid w:val="363475D8"/>
    <w:rsid w:val="36347BB7"/>
    <w:rsid w:val="364517E5"/>
    <w:rsid w:val="36472039"/>
    <w:rsid w:val="366E2AEA"/>
    <w:rsid w:val="36787E34"/>
    <w:rsid w:val="36894D46"/>
    <w:rsid w:val="36AC3612"/>
    <w:rsid w:val="36AD3FE8"/>
    <w:rsid w:val="36B94A6F"/>
    <w:rsid w:val="36BE6549"/>
    <w:rsid w:val="36C63E5E"/>
    <w:rsid w:val="36D36DF1"/>
    <w:rsid w:val="36E23F6C"/>
    <w:rsid w:val="36E701A9"/>
    <w:rsid w:val="36E711B0"/>
    <w:rsid w:val="36EB02F8"/>
    <w:rsid w:val="36F216B8"/>
    <w:rsid w:val="36F7526A"/>
    <w:rsid w:val="36FC06E4"/>
    <w:rsid w:val="370B04AA"/>
    <w:rsid w:val="370C5E5F"/>
    <w:rsid w:val="37133B39"/>
    <w:rsid w:val="372B05B1"/>
    <w:rsid w:val="372D27B8"/>
    <w:rsid w:val="3739373D"/>
    <w:rsid w:val="373F7FE3"/>
    <w:rsid w:val="374401F9"/>
    <w:rsid w:val="37460D95"/>
    <w:rsid w:val="37533A9C"/>
    <w:rsid w:val="375E1904"/>
    <w:rsid w:val="375F68D9"/>
    <w:rsid w:val="3768368A"/>
    <w:rsid w:val="376C1C6B"/>
    <w:rsid w:val="377F2241"/>
    <w:rsid w:val="378758AF"/>
    <w:rsid w:val="378B7C0C"/>
    <w:rsid w:val="378D79D9"/>
    <w:rsid w:val="378E3EFF"/>
    <w:rsid w:val="37BA58BB"/>
    <w:rsid w:val="37E2277D"/>
    <w:rsid w:val="37EA6823"/>
    <w:rsid w:val="37FE1C4C"/>
    <w:rsid w:val="37FF5FE1"/>
    <w:rsid w:val="38053C44"/>
    <w:rsid w:val="38105B60"/>
    <w:rsid w:val="38134A30"/>
    <w:rsid w:val="3816607D"/>
    <w:rsid w:val="381B27FE"/>
    <w:rsid w:val="381B5E1E"/>
    <w:rsid w:val="38207AF4"/>
    <w:rsid w:val="382D2531"/>
    <w:rsid w:val="383A7490"/>
    <w:rsid w:val="3842669F"/>
    <w:rsid w:val="386D77BF"/>
    <w:rsid w:val="386F2B4A"/>
    <w:rsid w:val="38795B0F"/>
    <w:rsid w:val="387B035B"/>
    <w:rsid w:val="387C17C3"/>
    <w:rsid w:val="3881462B"/>
    <w:rsid w:val="388365F5"/>
    <w:rsid w:val="38941765"/>
    <w:rsid w:val="38A465A6"/>
    <w:rsid w:val="38AA3B82"/>
    <w:rsid w:val="38B451B6"/>
    <w:rsid w:val="38BE65D0"/>
    <w:rsid w:val="38E057F5"/>
    <w:rsid w:val="390F1C37"/>
    <w:rsid w:val="391060DB"/>
    <w:rsid w:val="39150581"/>
    <w:rsid w:val="39202096"/>
    <w:rsid w:val="392C4597"/>
    <w:rsid w:val="392F5095"/>
    <w:rsid w:val="39331DC9"/>
    <w:rsid w:val="3934169D"/>
    <w:rsid w:val="393671C3"/>
    <w:rsid w:val="394362A6"/>
    <w:rsid w:val="394418E0"/>
    <w:rsid w:val="39452EAF"/>
    <w:rsid w:val="39465433"/>
    <w:rsid w:val="394C3930"/>
    <w:rsid w:val="39537D75"/>
    <w:rsid w:val="395B6912"/>
    <w:rsid w:val="39691347"/>
    <w:rsid w:val="397C168C"/>
    <w:rsid w:val="39941F91"/>
    <w:rsid w:val="39B84349"/>
    <w:rsid w:val="39BC3B6C"/>
    <w:rsid w:val="39CC0C76"/>
    <w:rsid w:val="39D215E2"/>
    <w:rsid w:val="39E96965"/>
    <w:rsid w:val="39F173ED"/>
    <w:rsid w:val="3A0102E5"/>
    <w:rsid w:val="3A053765"/>
    <w:rsid w:val="3A06385F"/>
    <w:rsid w:val="3A082D3C"/>
    <w:rsid w:val="3A0A0D7C"/>
    <w:rsid w:val="3A0E1594"/>
    <w:rsid w:val="3A107610"/>
    <w:rsid w:val="3A270325"/>
    <w:rsid w:val="3A3556CD"/>
    <w:rsid w:val="3A3F6B21"/>
    <w:rsid w:val="3A3F6C87"/>
    <w:rsid w:val="3A5749F1"/>
    <w:rsid w:val="3A637C08"/>
    <w:rsid w:val="3A6A3F34"/>
    <w:rsid w:val="3A731D7E"/>
    <w:rsid w:val="3A7B77C8"/>
    <w:rsid w:val="3A80103E"/>
    <w:rsid w:val="3A90595D"/>
    <w:rsid w:val="3A916DA7"/>
    <w:rsid w:val="3A963BC1"/>
    <w:rsid w:val="3AA60270"/>
    <w:rsid w:val="3AA815F4"/>
    <w:rsid w:val="3AAD6534"/>
    <w:rsid w:val="3AC81E50"/>
    <w:rsid w:val="3AC97DA6"/>
    <w:rsid w:val="3ACD2694"/>
    <w:rsid w:val="3AD44EE6"/>
    <w:rsid w:val="3ADA6F0F"/>
    <w:rsid w:val="3AE157E3"/>
    <w:rsid w:val="3AE3337B"/>
    <w:rsid w:val="3AE83D6C"/>
    <w:rsid w:val="3AEA4709"/>
    <w:rsid w:val="3AF00157"/>
    <w:rsid w:val="3AFB06C4"/>
    <w:rsid w:val="3AFE1C05"/>
    <w:rsid w:val="3B0A0908"/>
    <w:rsid w:val="3B150CDB"/>
    <w:rsid w:val="3B2A3D28"/>
    <w:rsid w:val="3B2F2AA8"/>
    <w:rsid w:val="3B35792A"/>
    <w:rsid w:val="3B367620"/>
    <w:rsid w:val="3B3B6468"/>
    <w:rsid w:val="3BA1601A"/>
    <w:rsid w:val="3BA255ED"/>
    <w:rsid w:val="3BAA5C47"/>
    <w:rsid w:val="3BB50822"/>
    <w:rsid w:val="3BC12DA5"/>
    <w:rsid w:val="3BCB453B"/>
    <w:rsid w:val="3BD5544C"/>
    <w:rsid w:val="3BDA29D0"/>
    <w:rsid w:val="3BE90506"/>
    <w:rsid w:val="3BEB6832"/>
    <w:rsid w:val="3C0812EB"/>
    <w:rsid w:val="3C236125"/>
    <w:rsid w:val="3C333E8E"/>
    <w:rsid w:val="3C382EB9"/>
    <w:rsid w:val="3C40766B"/>
    <w:rsid w:val="3C6718E5"/>
    <w:rsid w:val="3C692C22"/>
    <w:rsid w:val="3C7351B6"/>
    <w:rsid w:val="3C883520"/>
    <w:rsid w:val="3C8E5615"/>
    <w:rsid w:val="3C9117C1"/>
    <w:rsid w:val="3C96112F"/>
    <w:rsid w:val="3C9E57AB"/>
    <w:rsid w:val="3CA555DA"/>
    <w:rsid w:val="3CB2101F"/>
    <w:rsid w:val="3CBD35C8"/>
    <w:rsid w:val="3CC1149A"/>
    <w:rsid w:val="3CC95A26"/>
    <w:rsid w:val="3CE27DA1"/>
    <w:rsid w:val="3CEF6007"/>
    <w:rsid w:val="3CFA5A1F"/>
    <w:rsid w:val="3D167888"/>
    <w:rsid w:val="3D17453A"/>
    <w:rsid w:val="3D2E2FD3"/>
    <w:rsid w:val="3D2F6909"/>
    <w:rsid w:val="3D404AB5"/>
    <w:rsid w:val="3D6427E8"/>
    <w:rsid w:val="3D670480"/>
    <w:rsid w:val="3D6D0419"/>
    <w:rsid w:val="3D7D10B9"/>
    <w:rsid w:val="3D7F28B3"/>
    <w:rsid w:val="3D932E36"/>
    <w:rsid w:val="3D98669F"/>
    <w:rsid w:val="3DA52B6A"/>
    <w:rsid w:val="3DB66B25"/>
    <w:rsid w:val="3DBD00E4"/>
    <w:rsid w:val="3DC10CF3"/>
    <w:rsid w:val="3DCD690D"/>
    <w:rsid w:val="3DE03BA2"/>
    <w:rsid w:val="3DE113F3"/>
    <w:rsid w:val="3DF02037"/>
    <w:rsid w:val="3DF756F5"/>
    <w:rsid w:val="3DF96D6D"/>
    <w:rsid w:val="3DFE097E"/>
    <w:rsid w:val="3E043841"/>
    <w:rsid w:val="3E157EAC"/>
    <w:rsid w:val="3E1876AA"/>
    <w:rsid w:val="3E2A5B04"/>
    <w:rsid w:val="3E3B4B04"/>
    <w:rsid w:val="3E4405D4"/>
    <w:rsid w:val="3E536039"/>
    <w:rsid w:val="3E5D7981"/>
    <w:rsid w:val="3E68304D"/>
    <w:rsid w:val="3E762FF7"/>
    <w:rsid w:val="3E7770BE"/>
    <w:rsid w:val="3EA352FB"/>
    <w:rsid w:val="3EA53B63"/>
    <w:rsid w:val="3EAD1CD6"/>
    <w:rsid w:val="3EB61F57"/>
    <w:rsid w:val="3EB80D19"/>
    <w:rsid w:val="3EBD28B3"/>
    <w:rsid w:val="3ED26A13"/>
    <w:rsid w:val="3ED73FEB"/>
    <w:rsid w:val="3EDC6A5F"/>
    <w:rsid w:val="3EE8697C"/>
    <w:rsid w:val="3EF01895"/>
    <w:rsid w:val="3EF340CC"/>
    <w:rsid w:val="3F081602"/>
    <w:rsid w:val="3F13001A"/>
    <w:rsid w:val="3F25749A"/>
    <w:rsid w:val="3F261A88"/>
    <w:rsid w:val="3F340649"/>
    <w:rsid w:val="3F3561B4"/>
    <w:rsid w:val="3F3F2E49"/>
    <w:rsid w:val="3F4237A1"/>
    <w:rsid w:val="3F495220"/>
    <w:rsid w:val="3F506818"/>
    <w:rsid w:val="3F651C20"/>
    <w:rsid w:val="3F755CC5"/>
    <w:rsid w:val="3F760C61"/>
    <w:rsid w:val="3F7B4C89"/>
    <w:rsid w:val="3F8424FD"/>
    <w:rsid w:val="3F855ED9"/>
    <w:rsid w:val="3F9417C7"/>
    <w:rsid w:val="3F942E96"/>
    <w:rsid w:val="3FB53BB4"/>
    <w:rsid w:val="3FBD1D06"/>
    <w:rsid w:val="3FC512A1"/>
    <w:rsid w:val="3FC75019"/>
    <w:rsid w:val="3FCB5E99"/>
    <w:rsid w:val="3FD634AE"/>
    <w:rsid w:val="3FE02937"/>
    <w:rsid w:val="3FE22743"/>
    <w:rsid w:val="3FE36C1C"/>
    <w:rsid w:val="3FE87C14"/>
    <w:rsid w:val="3FEB19D5"/>
    <w:rsid w:val="3FFA6E09"/>
    <w:rsid w:val="3FFE126A"/>
    <w:rsid w:val="4002756A"/>
    <w:rsid w:val="400C4E7A"/>
    <w:rsid w:val="40145621"/>
    <w:rsid w:val="40291830"/>
    <w:rsid w:val="402B1A4C"/>
    <w:rsid w:val="40377B4A"/>
    <w:rsid w:val="404612BA"/>
    <w:rsid w:val="4053273B"/>
    <w:rsid w:val="40572841"/>
    <w:rsid w:val="40593466"/>
    <w:rsid w:val="406278B2"/>
    <w:rsid w:val="406E0687"/>
    <w:rsid w:val="407377B2"/>
    <w:rsid w:val="40750F19"/>
    <w:rsid w:val="4077259B"/>
    <w:rsid w:val="40772EDD"/>
    <w:rsid w:val="40844BD0"/>
    <w:rsid w:val="4086376B"/>
    <w:rsid w:val="40905D53"/>
    <w:rsid w:val="409F5F96"/>
    <w:rsid w:val="40A13ABC"/>
    <w:rsid w:val="40B7403B"/>
    <w:rsid w:val="40C83A3B"/>
    <w:rsid w:val="40D00301"/>
    <w:rsid w:val="40E1278D"/>
    <w:rsid w:val="40E701AA"/>
    <w:rsid w:val="40F043A1"/>
    <w:rsid w:val="410222CF"/>
    <w:rsid w:val="41054365"/>
    <w:rsid w:val="410E5148"/>
    <w:rsid w:val="41265D6F"/>
    <w:rsid w:val="41285F8B"/>
    <w:rsid w:val="41287D39"/>
    <w:rsid w:val="41344930"/>
    <w:rsid w:val="413761CE"/>
    <w:rsid w:val="41391F47"/>
    <w:rsid w:val="413B114F"/>
    <w:rsid w:val="414C1EFF"/>
    <w:rsid w:val="414C5289"/>
    <w:rsid w:val="41552CCE"/>
    <w:rsid w:val="41574128"/>
    <w:rsid w:val="41581D4D"/>
    <w:rsid w:val="415E19AD"/>
    <w:rsid w:val="417650A8"/>
    <w:rsid w:val="418D4040"/>
    <w:rsid w:val="418E2292"/>
    <w:rsid w:val="419E3E89"/>
    <w:rsid w:val="41A27AEC"/>
    <w:rsid w:val="41B40DA6"/>
    <w:rsid w:val="41BF1AE6"/>
    <w:rsid w:val="41CB21EA"/>
    <w:rsid w:val="41D23F76"/>
    <w:rsid w:val="41D916D8"/>
    <w:rsid w:val="41EA1493"/>
    <w:rsid w:val="41ED3AA2"/>
    <w:rsid w:val="41F10D50"/>
    <w:rsid w:val="42010CB6"/>
    <w:rsid w:val="42093B6B"/>
    <w:rsid w:val="420F1D94"/>
    <w:rsid w:val="42170836"/>
    <w:rsid w:val="421B0D49"/>
    <w:rsid w:val="421E43D8"/>
    <w:rsid w:val="42240501"/>
    <w:rsid w:val="423A1733"/>
    <w:rsid w:val="423B41CE"/>
    <w:rsid w:val="423F533B"/>
    <w:rsid w:val="424663B4"/>
    <w:rsid w:val="42642FF3"/>
    <w:rsid w:val="42664FBD"/>
    <w:rsid w:val="42901A54"/>
    <w:rsid w:val="42C13FA2"/>
    <w:rsid w:val="42C27D1A"/>
    <w:rsid w:val="42C45840"/>
    <w:rsid w:val="42C817D4"/>
    <w:rsid w:val="42C910A8"/>
    <w:rsid w:val="42CA5391"/>
    <w:rsid w:val="42D865DE"/>
    <w:rsid w:val="42DD3A38"/>
    <w:rsid w:val="42DE76B9"/>
    <w:rsid w:val="42E3660E"/>
    <w:rsid w:val="42FC322C"/>
    <w:rsid w:val="42FF2D1C"/>
    <w:rsid w:val="430975A7"/>
    <w:rsid w:val="430D4AC0"/>
    <w:rsid w:val="43147B68"/>
    <w:rsid w:val="431E047F"/>
    <w:rsid w:val="431E65EF"/>
    <w:rsid w:val="43284021"/>
    <w:rsid w:val="43372319"/>
    <w:rsid w:val="434314E3"/>
    <w:rsid w:val="43533B0E"/>
    <w:rsid w:val="439C056B"/>
    <w:rsid w:val="439E1366"/>
    <w:rsid w:val="43AC4C52"/>
    <w:rsid w:val="43B971E3"/>
    <w:rsid w:val="43D1290A"/>
    <w:rsid w:val="43EF0FE2"/>
    <w:rsid w:val="4400649E"/>
    <w:rsid w:val="44071E88"/>
    <w:rsid w:val="440920A4"/>
    <w:rsid w:val="44113AFA"/>
    <w:rsid w:val="44393CD7"/>
    <w:rsid w:val="44471A64"/>
    <w:rsid w:val="44583765"/>
    <w:rsid w:val="44607206"/>
    <w:rsid w:val="446C2633"/>
    <w:rsid w:val="44775260"/>
    <w:rsid w:val="4478624B"/>
    <w:rsid w:val="448A4F92"/>
    <w:rsid w:val="4493367B"/>
    <w:rsid w:val="449D574F"/>
    <w:rsid w:val="44A1052F"/>
    <w:rsid w:val="44A1360D"/>
    <w:rsid w:val="44A47158"/>
    <w:rsid w:val="44AB74B4"/>
    <w:rsid w:val="44BA6D1D"/>
    <w:rsid w:val="44BD7110"/>
    <w:rsid w:val="44BE6F00"/>
    <w:rsid w:val="44BF1BB1"/>
    <w:rsid w:val="44BF4F23"/>
    <w:rsid w:val="44D426B2"/>
    <w:rsid w:val="44E623E5"/>
    <w:rsid w:val="44E953D6"/>
    <w:rsid w:val="44F06DC0"/>
    <w:rsid w:val="450A0068"/>
    <w:rsid w:val="45107462"/>
    <w:rsid w:val="451505D5"/>
    <w:rsid w:val="452905F3"/>
    <w:rsid w:val="45324925"/>
    <w:rsid w:val="453F27B7"/>
    <w:rsid w:val="454151A5"/>
    <w:rsid w:val="45492371"/>
    <w:rsid w:val="45521829"/>
    <w:rsid w:val="45544611"/>
    <w:rsid w:val="455921F1"/>
    <w:rsid w:val="45596713"/>
    <w:rsid w:val="456C79F9"/>
    <w:rsid w:val="456D21BF"/>
    <w:rsid w:val="45784D87"/>
    <w:rsid w:val="4579070F"/>
    <w:rsid w:val="45792890"/>
    <w:rsid w:val="45796510"/>
    <w:rsid w:val="457A796F"/>
    <w:rsid w:val="45A906C7"/>
    <w:rsid w:val="45B93656"/>
    <w:rsid w:val="45D40490"/>
    <w:rsid w:val="45DE30BD"/>
    <w:rsid w:val="45F20C1B"/>
    <w:rsid w:val="46067FA6"/>
    <w:rsid w:val="460E0337"/>
    <w:rsid w:val="4631143E"/>
    <w:rsid w:val="46333DFA"/>
    <w:rsid w:val="46367B3A"/>
    <w:rsid w:val="463D28A8"/>
    <w:rsid w:val="463E3B5B"/>
    <w:rsid w:val="4654512D"/>
    <w:rsid w:val="465C1D5B"/>
    <w:rsid w:val="46713303"/>
    <w:rsid w:val="46835F2A"/>
    <w:rsid w:val="4685016C"/>
    <w:rsid w:val="46977D08"/>
    <w:rsid w:val="46A5795B"/>
    <w:rsid w:val="46AA2A55"/>
    <w:rsid w:val="46B710FE"/>
    <w:rsid w:val="46BC0687"/>
    <w:rsid w:val="46BF6A4A"/>
    <w:rsid w:val="46C74F03"/>
    <w:rsid w:val="46C86F17"/>
    <w:rsid w:val="46C95B1B"/>
    <w:rsid w:val="46CC73B9"/>
    <w:rsid w:val="46D00F81"/>
    <w:rsid w:val="46E841F3"/>
    <w:rsid w:val="46F40267"/>
    <w:rsid w:val="46FE0310"/>
    <w:rsid w:val="47096ADC"/>
    <w:rsid w:val="47167953"/>
    <w:rsid w:val="471A292F"/>
    <w:rsid w:val="471A5224"/>
    <w:rsid w:val="471F1BDF"/>
    <w:rsid w:val="47223B98"/>
    <w:rsid w:val="47247F0E"/>
    <w:rsid w:val="47267C1B"/>
    <w:rsid w:val="473C009B"/>
    <w:rsid w:val="473E459A"/>
    <w:rsid w:val="4755124D"/>
    <w:rsid w:val="476A005D"/>
    <w:rsid w:val="476F12F3"/>
    <w:rsid w:val="477041E8"/>
    <w:rsid w:val="47895154"/>
    <w:rsid w:val="478B77DC"/>
    <w:rsid w:val="47967E90"/>
    <w:rsid w:val="4797154C"/>
    <w:rsid w:val="47A619B8"/>
    <w:rsid w:val="47A9424D"/>
    <w:rsid w:val="47AE39B0"/>
    <w:rsid w:val="47BB799F"/>
    <w:rsid w:val="47D02D84"/>
    <w:rsid w:val="47DE0285"/>
    <w:rsid w:val="47E55C6C"/>
    <w:rsid w:val="47E72A39"/>
    <w:rsid w:val="47F40975"/>
    <w:rsid w:val="47F46BC7"/>
    <w:rsid w:val="47F77566"/>
    <w:rsid w:val="480346BD"/>
    <w:rsid w:val="48054931"/>
    <w:rsid w:val="480C5CBF"/>
    <w:rsid w:val="48147269"/>
    <w:rsid w:val="481B23A6"/>
    <w:rsid w:val="481C1F20"/>
    <w:rsid w:val="48480992"/>
    <w:rsid w:val="484963FE"/>
    <w:rsid w:val="48537D92"/>
    <w:rsid w:val="48541414"/>
    <w:rsid w:val="485B547D"/>
    <w:rsid w:val="48671147"/>
    <w:rsid w:val="486C0E54"/>
    <w:rsid w:val="486C49B0"/>
    <w:rsid w:val="486D6458"/>
    <w:rsid w:val="486F6225"/>
    <w:rsid w:val="48801F0A"/>
    <w:rsid w:val="488C6978"/>
    <w:rsid w:val="488D48CD"/>
    <w:rsid w:val="48944922"/>
    <w:rsid w:val="489C7EA5"/>
    <w:rsid w:val="48A028AB"/>
    <w:rsid w:val="48AB1F1A"/>
    <w:rsid w:val="48B15A3D"/>
    <w:rsid w:val="48B3438D"/>
    <w:rsid w:val="48BA1F20"/>
    <w:rsid w:val="48C26CC5"/>
    <w:rsid w:val="48C32662"/>
    <w:rsid w:val="48DC6DB3"/>
    <w:rsid w:val="48DF5182"/>
    <w:rsid w:val="48E4548A"/>
    <w:rsid w:val="48E54445"/>
    <w:rsid w:val="48EF5297"/>
    <w:rsid w:val="48EF5944"/>
    <w:rsid w:val="48FD678A"/>
    <w:rsid w:val="490902EF"/>
    <w:rsid w:val="490B241B"/>
    <w:rsid w:val="491312CF"/>
    <w:rsid w:val="491F6F58"/>
    <w:rsid w:val="4924342C"/>
    <w:rsid w:val="4928049D"/>
    <w:rsid w:val="49283B2E"/>
    <w:rsid w:val="493111B0"/>
    <w:rsid w:val="493E7B9D"/>
    <w:rsid w:val="49401FE0"/>
    <w:rsid w:val="49404531"/>
    <w:rsid w:val="495C67D2"/>
    <w:rsid w:val="495E0001"/>
    <w:rsid w:val="496E656E"/>
    <w:rsid w:val="497C5511"/>
    <w:rsid w:val="497E7236"/>
    <w:rsid w:val="498378F5"/>
    <w:rsid w:val="49941F07"/>
    <w:rsid w:val="49AA39E1"/>
    <w:rsid w:val="49B4701F"/>
    <w:rsid w:val="49B65DC9"/>
    <w:rsid w:val="49BE56DF"/>
    <w:rsid w:val="49C443DF"/>
    <w:rsid w:val="49C70E69"/>
    <w:rsid w:val="49CA4084"/>
    <w:rsid w:val="49CF770B"/>
    <w:rsid w:val="49D946BF"/>
    <w:rsid w:val="49DC090A"/>
    <w:rsid w:val="49E82B6B"/>
    <w:rsid w:val="49EE01CE"/>
    <w:rsid w:val="49FB4DA8"/>
    <w:rsid w:val="4A023127"/>
    <w:rsid w:val="4A081E8B"/>
    <w:rsid w:val="4A190B67"/>
    <w:rsid w:val="4A225C6E"/>
    <w:rsid w:val="4A2A4B22"/>
    <w:rsid w:val="4A305D79"/>
    <w:rsid w:val="4A3459A1"/>
    <w:rsid w:val="4A452632"/>
    <w:rsid w:val="4A4756D4"/>
    <w:rsid w:val="4A4E7233"/>
    <w:rsid w:val="4A511DB0"/>
    <w:rsid w:val="4A536B5A"/>
    <w:rsid w:val="4A5D5BF7"/>
    <w:rsid w:val="4A66784F"/>
    <w:rsid w:val="4A736C2C"/>
    <w:rsid w:val="4A741A5F"/>
    <w:rsid w:val="4A767D68"/>
    <w:rsid w:val="4A7B35D0"/>
    <w:rsid w:val="4A935E8C"/>
    <w:rsid w:val="4A9B5A20"/>
    <w:rsid w:val="4A9D52F4"/>
    <w:rsid w:val="4AA26708"/>
    <w:rsid w:val="4AA30E3B"/>
    <w:rsid w:val="4AA537C5"/>
    <w:rsid w:val="4AA71BE2"/>
    <w:rsid w:val="4AAE5753"/>
    <w:rsid w:val="4AB054CD"/>
    <w:rsid w:val="4AC72371"/>
    <w:rsid w:val="4AD72D09"/>
    <w:rsid w:val="4AD827D0"/>
    <w:rsid w:val="4AEB42B2"/>
    <w:rsid w:val="4AEF5446"/>
    <w:rsid w:val="4B085991"/>
    <w:rsid w:val="4B0A5933"/>
    <w:rsid w:val="4B0A602D"/>
    <w:rsid w:val="4B1B446B"/>
    <w:rsid w:val="4B1E14FF"/>
    <w:rsid w:val="4B1E57B9"/>
    <w:rsid w:val="4B245A16"/>
    <w:rsid w:val="4B2C6CED"/>
    <w:rsid w:val="4B363221"/>
    <w:rsid w:val="4B412124"/>
    <w:rsid w:val="4B462466"/>
    <w:rsid w:val="4B490FD8"/>
    <w:rsid w:val="4B4D091B"/>
    <w:rsid w:val="4B4E2A92"/>
    <w:rsid w:val="4B58746D"/>
    <w:rsid w:val="4B5A31E5"/>
    <w:rsid w:val="4B5F395F"/>
    <w:rsid w:val="4B6E6C91"/>
    <w:rsid w:val="4B7C13AE"/>
    <w:rsid w:val="4B7D6ED4"/>
    <w:rsid w:val="4B885FA4"/>
    <w:rsid w:val="4B8B5936"/>
    <w:rsid w:val="4B8E12D6"/>
    <w:rsid w:val="4B9752AA"/>
    <w:rsid w:val="4B986978"/>
    <w:rsid w:val="4B9E62C7"/>
    <w:rsid w:val="4BA30044"/>
    <w:rsid w:val="4BD175BE"/>
    <w:rsid w:val="4BD5286C"/>
    <w:rsid w:val="4BE5045F"/>
    <w:rsid w:val="4BEB02E1"/>
    <w:rsid w:val="4BF076A6"/>
    <w:rsid w:val="4BF41951"/>
    <w:rsid w:val="4C00497F"/>
    <w:rsid w:val="4C082C41"/>
    <w:rsid w:val="4C0D0258"/>
    <w:rsid w:val="4C0D62ED"/>
    <w:rsid w:val="4C0D64AA"/>
    <w:rsid w:val="4C245534"/>
    <w:rsid w:val="4C251A45"/>
    <w:rsid w:val="4C2779CF"/>
    <w:rsid w:val="4C2C2930"/>
    <w:rsid w:val="4C3103EA"/>
    <w:rsid w:val="4C39104D"/>
    <w:rsid w:val="4C3E48B5"/>
    <w:rsid w:val="4C485734"/>
    <w:rsid w:val="4C632703"/>
    <w:rsid w:val="4C672128"/>
    <w:rsid w:val="4C734F10"/>
    <w:rsid w:val="4C7621BE"/>
    <w:rsid w:val="4C7B3217"/>
    <w:rsid w:val="4C852AB6"/>
    <w:rsid w:val="4C9646F1"/>
    <w:rsid w:val="4C9743B6"/>
    <w:rsid w:val="4CB30DFF"/>
    <w:rsid w:val="4CC81079"/>
    <w:rsid w:val="4CCA7EF7"/>
    <w:rsid w:val="4CDB30E2"/>
    <w:rsid w:val="4CE23492"/>
    <w:rsid w:val="4CE93781"/>
    <w:rsid w:val="4CEE4218"/>
    <w:rsid w:val="4D16121E"/>
    <w:rsid w:val="4D2B328B"/>
    <w:rsid w:val="4D303277"/>
    <w:rsid w:val="4D665E71"/>
    <w:rsid w:val="4D670A85"/>
    <w:rsid w:val="4D6C0ACB"/>
    <w:rsid w:val="4D806473"/>
    <w:rsid w:val="4D8B278B"/>
    <w:rsid w:val="4D910EA9"/>
    <w:rsid w:val="4DA30E74"/>
    <w:rsid w:val="4DAD774C"/>
    <w:rsid w:val="4DB87F6B"/>
    <w:rsid w:val="4DC332C4"/>
    <w:rsid w:val="4DDD3C5A"/>
    <w:rsid w:val="4DEE0130"/>
    <w:rsid w:val="4DF520F7"/>
    <w:rsid w:val="4DF85FC0"/>
    <w:rsid w:val="4DFC5A16"/>
    <w:rsid w:val="4E025656"/>
    <w:rsid w:val="4E04568A"/>
    <w:rsid w:val="4E476702"/>
    <w:rsid w:val="4E4A0B69"/>
    <w:rsid w:val="4E600A4F"/>
    <w:rsid w:val="4E6B1103"/>
    <w:rsid w:val="4E7B029B"/>
    <w:rsid w:val="4E8011B5"/>
    <w:rsid w:val="4E8171D2"/>
    <w:rsid w:val="4E932A67"/>
    <w:rsid w:val="4E93713A"/>
    <w:rsid w:val="4EA92ABB"/>
    <w:rsid w:val="4EAA4484"/>
    <w:rsid w:val="4EAA7FE0"/>
    <w:rsid w:val="4EB031D0"/>
    <w:rsid w:val="4EB329FB"/>
    <w:rsid w:val="4EB7239C"/>
    <w:rsid w:val="4ECE0172"/>
    <w:rsid w:val="4ECF5C98"/>
    <w:rsid w:val="4ED61833"/>
    <w:rsid w:val="4EDA18B9"/>
    <w:rsid w:val="4EE23C1E"/>
    <w:rsid w:val="4EF43951"/>
    <w:rsid w:val="4EF925E5"/>
    <w:rsid w:val="4EFD45B3"/>
    <w:rsid w:val="4F02606E"/>
    <w:rsid w:val="4F073684"/>
    <w:rsid w:val="4F0B4347"/>
    <w:rsid w:val="4F112FA7"/>
    <w:rsid w:val="4F247D92"/>
    <w:rsid w:val="4F2E29BF"/>
    <w:rsid w:val="4F3B50DC"/>
    <w:rsid w:val="4F4B17C3"/>
    <w:rsid w:val="4F4F0B87"/>
    <w:rsid w:val="4F513583"/>
    <w:rsid w:val="4F55619D"/>
    <w:rsid w:val="4F573543"/>
    <w:rsid w:val="4F580F26"/>
    <w:rsid w:val="4F602D94"/>
    <w:rsid w:val="4F6C7F51"/>
    <w:rsid w:val="4F6F3053"/>
    <w:rsid w:val="4F732AC8"/>
    <w:rsid w:val="4F9864B2"/>
    <w:rsid w:val="4F9D752D"/>
    <w:rsid w:val="4FAE4C09"/>
    <w:rsid w:val="4FC05E61"/>
    <w:rsid w:val="4FC337C0"/>
    <w:rsid w:val="4FE3492E"/>
    <w:rsid w:val="50050C1F"/>
    <w:rsid w:val="500C1275"/>
    <w:rsid w:val="500F156B"/>
    <w:rsid w:val="5019541D"/>
    <w:rsid w:val="501C4E89"/>
    <w:rsid w:val="50265D8C"/>
    <w:rsid w:val="5027745B"/>
    <w:rsid w:val="5030599B"/>
    <w:rsid w:val="503330E7"/>
    <w:rsid w:val="50381FFE"/>
    <w:rsid w:val="504273C9"/>
    <w:rsid w:val="504A7CCC"/>
    <w:rsid w:val="50591CBD"/>
    <w:rsid w:val="505D1D00"/>
    <w:rsid w:val="505F4CF1"/>
    <w:rsid w:val="506E075B"/>
    <w:rsid w:val="507408A5"/>
    <w:rsid w:val="508571FB"/>
    <w:rsid w:val="50871B46"/>
    <w:rsid w:val="50A55E19"/>
    <w:rsid w:val="50AA2519"/>
    <w:rsid w:val="50BF4DB1"/>
    <w:rsid w:val="50C51101"/>
    <w:rsid w:val="50CA01DA"/>
    <w:rsid w:val="50CF1F9A"/>
    <w:rsid w:val="50D41344"/>
    <w:rsid w:val="50DD3BA3"/>
    <w:rsid w:val="50DD3E3A"/>
    <w:rsid w:val="50E61CAB"/>
    <w:rsid w:val="50EF7B97"/>
    <w:rsid w:val="510830D9"/>
    <w:rsid w:val="512F6EC2"/>
    <w:rsid w:val="51361FFF"/>
    <w:rsid w:val="5139564B"/>
    <w:rsid w:val="514C6EEA"/>
    <w:rsid w:val="51656440"/>
    <w:rsid w:val="516C5A20"/>
    <w:rsid w:val="516C61A5"/>
    <w:rsid w:val="516F6379"/>
    <w:rsid w:val="517C316A"/>
    <w:rsid w:val="51803658"/>
    <w:rsid w:val="5181771E"/>
    <w:rsid w:val="5182074A"/>
    <w:rsid w:val="51884ED6"/>
    <w:rsid w:val="518C7E71"/>
    <w:rsid w:val="51A131B2"/>
    <w:rsid w:val="51BD627C"/>
    <w:rsid w:val="51BF1AEA"/>
    <w:rsid w:val="51D953E5"/>
    <w:rsid w:val="51E952C3"/>
    <w:rsid w:val="51EE279E"/>
    <w:rsid w:val="51F31C9E"/>
    <w:rsid w:val="51F55A16"/>
    <w:rsid w:val="51FD0B46"/>
    <w:rsid w:val="52081147"/>
    <w:rsid w:val="520A6EA9"/>
    <w:rsid w:val="52232583"/>
    <w:rsid w:val="52564E15"/>
    <w:rsid w:val="525E0416"/>
    <w:rsid w:val="52720E14"/>
    <w:rsid w:val="527821A3"/>
    <w:rsid w:val="52880638"/>
    <w:rsid w:val="5288688A"/>
    <w:rsid w:val="52923D75"/>
    <w:rsid w:val="52982371"/>
    <w:rsid w:val="529945F3"/>
    <w:rsid w:val="52A01E26"/>
    <w:rsid w:val="52AA4937"/>
    <w:rsid w:val="52AC1BCA"/>
    <w:rsid w:val="52AC6C64"/>
    <w:rsid w:val="52B07B8F"/>
    <w:rsid w:val="52B23DC4"/>
    <w:rsid w:val="52B4142D"/>
    <w:rsid w:val="52B416A7"/>
    <w:rsid w:val="52BA27BB"/>
    <w:rsid w:val="52CF1602"/>
    <w:rsid w:val="52D675F5"/>
    <w:rsid w:val="52E411DB"/>
    <w:rsid w:val="52E83A51"/>
    <w:rsid w:val="52EE3667"/>
    <w:rsid w:val="52F1442F"/>
    <w:rsid w:val="5300340B"/>
    <w:rsid w:val="53083527"/>
    <w:rsid w:val="531113A0"/>
    <w:rsid w:val="53234805"/>
    <w:rsid w:val="53325FAA"/>
    <w:rsid w:val="533D68E5"/>
    <w:rsid w:val="5349426B"/>
    <w:rsid w:val="534B6AD2"/>
    <w:rsid w:val="53546749"/>
    <w:rsid w:val="53597329"/>
    <w:rsid w:val="535A424D"/>
    <w:rsid w:val="5369291D"/>
    <w:rsid w:val="53882361"/>
    <w:rsid w:val="53937294"/>
    <w:rsid w:val="53970983"/>
    <w:rsid w:val="539A30E1"/>
    <w:rsid w:val="53A771E4"/>
    <w:rsid w:val="53A914DA"/>
    <w:rsid w:val="53BC34C4"/>
    <w:rsid w:val="53CC27A6"/>
    <w:rsid w:val="53CE29B7"/>
    <w:rsid w:val="53CF54F2"/>
    <w:rsid w:val="53DE6783"/>
    <w:rsid w:val="53E310D7"/>
    <w:rsid w:val="53FF3532"/>
    <w:rsid w:val="54005B2A"/>
    <w:rsid w:val="540C2117"/>
    <w:rsid w:val="54173839"/>
    <w:rsid w:val="542B4BB8"/>
    <w:rsid w:val="543464DF"/>
    <w:rsid w:val="543D2033"/>
    <w:rsid w:val="543F0BFD"/>
    <w:rsid w:val="54433DE2"/>
    <w:rsid w:val="54451376"/>
    <w:rsid w:val="544669FD"/>
    <w:rsid w:val="544861F2"/>
    <w:rsid w:val="54505185"/>
    <w:rsid w:val="546503F1"/>
    <w:rsid w:val="546F3E8D"/>
    <w:rsid w:val="547E7F44"/>
    <w:rsid w:val="5480370F"/>
    <w:rsid w:val="548A4B3B"/>
    <w:rsid w:val="54902752"/>
    <w:rsid w:val="549239F0"/>
    <w:rsid w:val="54931516"/>
    <w:rsid w:val="549E05E7"/>
    <w:rsid w:val="54A51975"/>
    <w:rsid w:val="54AA3C33"/>
    <w:rsid w:val="54AF5F7E"/>
    <w:rsid w:val="54B0031A"/>
    <w:rsid w:val="54B03E76"/>
    <w:rsid w:val="54B12D9C"/>
    <w:rsid w:val="54B5148C"/>
    <w:rsid w:val="54BB1851"/>
    <w:rsid w:val="54BE2A37"/>
    <w:rsid w:val="54C808F4"/>
    <w:rsid w:val="54C80FF6"/>
    <w:rsid w:val="54CF254E"/>
    <w:rsid w:val="54DE257B"/>
    <w:rsid w:val="54FE1085"/>
    <w:rsid w:val="55044953"/>
    <w:rsid w:val="550E3200"/>
    <w:rsid w:val="55110DB9"/>
    <w:rsid w:val="551268DF"/>
    <w:rsid w:val="551D4B85"/>
    <w:rsid w:val="55266506"/>
    <w:rsid w:val="55284354"/>
    <w:rsid w:val="552A3C28"/>
    <w:rsid w:val="552D7DBE"/>
    <w:rsid w:val="553805B0"/>
    <w:rsid w:val="553B4087"/>
    <w:rsid w:val="553D5A1E"/>
    <w:rsid w:val="5543118E"/>
    <w:rsid w:val="55582FF0"/>
    <w:rsid w:val="5559393E"/>
    <w:rsid w:val="556303E7"/>
    <w:rsid w:val="55670917"/>
    <w:rsid w:val="55776D00"/>
    <w:rsid w:val="558142F3"/>
    <w:rsid w:val="558629D1"/>
    <w:rsid w:val="55896F47"/>
    <w:rsid w:val="558A2919"/>
    <w:rsid w:val="559D5F05"/>
    <w:rsid w:val="559F208A"/>
    <w:rsid w:val="55A0704C"/>
    <w:rsid w:val="55AF0CE4"/>
    <w:rsid w:val="55C47D86"/>
    <w:rsid w:val="55D51D4E"/>
    <w:rsid w:val="55DD38ED"/>
    <w:rsid w:val="55EB160A"/>
    <w:rsid w:val="55F935FB"/>
    <w:rsid w:val="5609115F"/>
    <w:rsid w:val="561502F5"/>
    <w:rsid w:val="56156687"/>
    <w:rsid w:val="56186177"/>
    <w:rsid w:val="561A1EEF"/>
    <w:rsid w:val="561E08B1"/>
    <w:rsid w:val="562D3205"/>
    <w:rsid w:val="5632389E"/>
    <w:rsid w:val="5640122A"/>
    <w:rsid w:val="56585A6C"/>
    <w:rsid w:val="5664227F"/>
    <w:rsid w:val="56674A08"/>
    <w:rsid w:val="566762A9"/>
    <w:rsid w:val="56704578"/>
    <w:rsid w:val="569538CD"/>
    <w:rsid w:val="569C0B56"/>
    <w:rsid w:val="56B82CD0"/>
    <w:rsid w:val="56BB7F10"/>
    <w:rsid w:val="56C360E3"/>
    <w:rsid w:val="56EA1F97"/>
    <w:rsid w:val="56FD139A"/>
    <w:rsid w:val="56FE5EA0"/>
    <w:rsid w:val="570E6111"/>
    <w:rsid w:val="57185255"/>
    <w:rsid w:val="571F7091"/>
    <w:rsid w:val="573F5E3C"/>
    <w:rsid w:val="57403161"/>
    <w:rsid w:val="57407B94"/>
    <w:rsid w:val="57486385"/>
    <w:rsid w:val="574C399E"/>
    <w:rsid w:val="575136EE"/>
    <w:rsid w:val="575E2CCB"/>
    <w:rsid w:val="575F02DD"/>
    <w:rsid w:val="576171EA"/>
    <w:rsid w:val="57732429"/>
    <w:rsid w:val="577B69BD"/>
    <w:rsid w:val="578202D2"/>
    <w:rsid w:val="578515EA"/>
    <w:rsid w:val="57A1459F"/>
    <w:rsid w:val="57A45FA7"/>
    <w:rsid w:val="57A9177C"/>
    <w:rsid w:val="57AA5D1A"/>
    <w:rsid w:val="57AB074C"/>
    <w:rsid w:val="57B37537"/>
    <w:rsid w:val="57BF0914"/>
    <w:rsid w:val="57F66044"/>
    <w:rsid w:val="57FD3876"/>
    <w:rsid w:val="580B626B"/>
    <w:rsid w:val="580C1D0B"/>
    <w:rsid w:val="58254B7B"/>
    <w:rsid w:val="58262DCD"/>
    <w:rsid w:val="58354DBE"/>
    <w:rsid w:val="58363268"/>
    <w:rsid w:val="58372026"/>
    <w:rsid w:val="583E0664"/>
    <w:rsid w:val="58474AF1"/>
    <w:rsid w:val="586274F7"/>
    <w:rsid w:val="587316C8"/>
    <w:rsid w:val="587A1256"/>
    <w:rsid w:val="588B2420"/>
    <w:rsid w:val="5895337D"/>
    <w:rsid w:val="589A6E8D"/>
    <w:rsid w:val="58AD704A"/>
    <w:rsid w:val="58B55EFF"/>
    <w:rsid w:val="58B705E4"/>
    <w:rsid w:val="58D740C7"/>
    <w:rsid w:val="58E97F2A"/>
    <w:rsid w:val="58EC5B5B"/>
    <w:rsid w:val="58ED12F5"/>
    <w:rsid w:val="58F5082B"/>
    <w:rsid w:val="58F935D2"/>
    <w:rsid w:val="59065EE0"/>
    <w:rsid w:val="590F3861"/>
    <w:rsid w:val="5915699E"/>
    <w:rsid w:val="592233B5"/>
    <w:rsid w:val="59276335"/>
    <w:rsid w:val="592A2449"/>
    <w:rsid w:val="592C7E8A"/>
    <w:rsid w:val="59300FC8"/>
    <w:rsid w:val="59372DB8"/>
    <w:rsid w:val="5938377F"/>
    <w:rsid w:val="59413C36"/>
    <w:rsid w:val="595C281E"/>
    <w:rsid w:val="59716306"/>
    <w:rsid w:val="59780FE4"/>
    <w:rsid w:val="597B6BDE"/>
    <w:rsid w:val="597E3F8E"/>
    <w:rsid w:val="599831C4"/>
    <w:rsid w:val="59A321FB"/>
    <w:rsid w:val="59A71618"/>
    <w:rsid w:val="59BE6A7E"/>
    <w:rsid w:val="59C65504"/>
    <w:rsid w:val="59C80E72"/>
    <w:rsid w:val="59C90ECD"/>
    <w:rsid w:val="59FA683F"/>
    <w:rsid w:val="59FB2037"/>
    <w:rsid w:val="59FE08FA"/>
    <w:rsid w:val="5A07294F"/>
    <w:rsid w:val="5A117165"/>
    <w:rsid w:val="5A1804F3"/>
    <w:rsid w:val="5A1D4F8C"/>
    <w:rsid w:val="5A221332"/>
    <w:rsid w:val="5A276988"/>
    <w:rsid w:val="5A2C21F1"/>
    <w:rsid w:val="5A3952E3"/>
    <w:rsid w:val="5A44578C"/>
    <w:rsid w:val="5A44753A"/>
    <w:rsid w:val="5A4C2893"/>
    <w:rsid w:val="5A5B2AD6"/>
    <w:rsid w:val="5A5D05FC"/>
    <w:rsid w:val="5A5F4374"/>
    <w:rsid w:val="5A6A0612"/>
    <w:rsid w:val="5A6B0F6B"/>
    <w:rsid w:val="5A6F77E0"/>
    <w:rsid w:val="5A755946"/>
    <w:rsid w:val="5A7631EB"/>
    <w:rsid w:val="5A963B0E"/>
    <w:rsid w:val="5A976CE0"/>
    <w:rsid w:val="5A9F200A"/>
    <w:rsid w:val="5AA5630F"/>
    <w:rsid w:val="5AA63D51"/>
    <w:rsid w:val="5AAC6D46"/>
    <w:rsid w:val="5AC83FB2"/>
    <w:rsid w:val="5ACD78C8"/>
    <w:rsid w:val="5ACF7403"/>
    <w:rsid w:val="5AD167AE"/>
    <w:rsid w:val="5AFC21D1"/>
    <w:rsid w:val="5AFF16B3"/>
    <w:rsid w:val="5B2555BE"/>
    <w:rsid w:val="5B321A89"/>
    <w:rsid w:val="5B322B69"/>
    <w:rsid w:val="5B46719F"/>
    <w:rsid w:val="5B4929A8"/>
    <w:rsid w:val="5B5B0FE0"/>
    <w:rsid w:val="5B646ADA"/>
    <w:rsid w:val="5B667984"/>
    <w:rsid w:val="5B8A3673"/>
    <w:rsid w:val="5B8F6FF6"/>
    <w:rsid w:val="5B993931"/>
    <w:rsid w:val="5B9B636C"/>
    <w:rsid w:val="5BA42A14"/>
    <w:rsid w:val="5BA774FC"/>
    <w:rsid w:val="5BA81D4B"/>
    <w:rsid w:val="5BBA3C83"/>
    <w:rsid w:val="5BC56800"/>
    <w:rsid w:val="5BDD7C46"/>
    <w:rsid w:val="5BEB4D28"/>
    <w:rsid w:val="5BF0439B"/>
    <w:rsid w:val="5C1269B5"/>
    <w:rsid w:val="5C237623"/>
    <w:rsid w:val="5C284D38"/>
    <w:rsid w:val="5C321615"/>
    <w:rsid w:val="5C3C7A53"/>
    <w:rsid w:val="5C4B6C61"/>
    <w:rsid w:val="5C527C59"/>
    <w:rsid w:val="5C5A1A53"/>
    <w:rsid w:val="5C5D3101"/>
    <w:rsid w:val="5C633253"/>
    <w:rsid w:val="5C86080F"/>
    <w:rsid w:val="5C8C6F77"/>
    <w:rsid w:val="5C9B4505"/>
    <w:rsid w:val="5CA261CF"/>
    <w:rsid w:val="5CA94DF5"/>
    <w:rsid w:val="5CAC70BE"/>
    <w:rsid w:val="5CCB328D"/>
    <w:rsid w:val="5CCF4100"/>
    <w:rsid w:val="5CD1247D"/>
    <w:rsid w:val="5CD41A66"/>
    <w:rsid w:val="5CE242A5"/>
    <w:rsid w:val="5CF17ECA"/>
    <w:rsid w:val="5D0B0214"/>
    <w:rsid w:val="5D0E3E30"/>
    <w:rsid w:val="5D1A0A42"/>
    <w:rsid w:val="5D237B17"/>
    <w:rsid w:val="5D284EF1"/>
    <w:rsid w:val="5D2E002E"/>
    <w:rsid w:val="5D403E92"/>
    <w:rsid w:val="5D485594"/>
    <w:rsid w:val="5D4F1710"/>
    <w:rsid w:val="5D573A29"/>
    <w:rsid w:val="5D6E7DA0"/>
    <w:rsid w:val="5D6F3737"/>
    <w:rsid w:val="5D71045F"/>
    <w:rsid w:val="5D9500AD"/>
    <w:rsid w:val="5D975BEB"/>
    <w:rsid w:val="5DAB3FDE"/>
    <w:rsid w:val="5DB744C7"/>
    <w:rsid w:val="5DBC54F7"/>
    <w:rsid w:val="5DBE13B2"/>
    <w:rsid w:val="5DBE7842"/>
    <w:rsid w:val="5DC40EDA"/>
    <w:rsid w:val="5DCA792E"/>
    <w:rsid w:val="5DD50170"/>
    <w:rsid w:val="5DD52A0F"/>
    <w:rsid w:val="5DEB26B3"/>
    <w:rsid w:val="5E017C06"/>
    <w:rsid w:val="5E0D2339"/>
    <w:rsid w:val="5E0F6CAD"/>
    <w:rsid w:val="5E177A6A"/>
    <w:rsid w:val="5E25510D"/>
    <w:rsid w:val="5E44324A"/>
    <w:rsid w:val="5E486B18"/>
    <w:rsid w:val="5E4A015A"/>
    <w:rsid w:val="5E5379A8"/>
    <w:rsid w:val="5E593981"/>
    <w:rsid w:val="5E6E0D39"/>
    <w:rsid w:val="5E7A5C21"/>
    <w:rsid w:val="5E7F7EDD"/>
    <w:rsid w:val="5E820631"/>
    <w:rsid w:val="5E993BCD"/>
    <w:rsid w:val="5EA41B31"/>
    <w:rsid w:val="5EA908DF"/>
    <w:rsid w:val="5EAA7B88"/>
    <w:rsid w:val="5EC0115A"/>
    <w:rsid w:val="5ECC09BB"/>
    <w:rsid w:val="5ED14076"/>
    <w:rsid w:val="5F060893"/>
    <w:rsid w:val="5F0E6369"/>
    <w:rsid w:val="5F196F65"/>
    <w:rsid w:val="5F1F205F"/>
    <w:rsid w:val="5F2D2E3D"/>
    <w:rsid w:val="5F313E05"/>
    <w:rsid w:val="5F315EF2"/>
    <w:rsid w:val="5F323E12"/>
    <w:rsid w:val="5F3F15BD"/>
    <w:rsid w:val="5F4C0C3F"/>
    <w:rsid w:val="5F4C22AE"/>
    <w:rsid w:val="5F4E6765"/>
    <w:rsid w:val="5F4F39A9"/>
    <w:rsid w:val="5F7614D6"/>
    <w:rsid w:val="5F9B1E37"/>
    <w:rsid w:val="5FA865A9"/>
    <w:rsid w:val="5FB707AE"/>
    <w:rsid w:val="5FB92779"/>
    <w:rsid w:val="5FBD7FF4"/>
    <w:rsid w:val="5FDA399F"/>
    <w:rsid w:val="5FDB3684"/>
    <w:rsid w:val="5FDF1D2A"/>
    <w:rsid w:val="5FE14BC4"/>
    <w:rsid w:val="5FEB6673"/>
    <w:rsid w:val="5FFA79ED"/>
    <w:rsid w:val="6008725C"/>
    <w:rsid w:val="600F05EB"/>
    <w:rsid w:val="602C2F4B"/>
    <w:rsid w:val="6032371E"/>
    <w:rsid w:val="603C3A3D"/>
    <w:rsid w:val="60464640"/>
    <w:rsid w:val="604D4C6F"/>
    <w:rsid w:val="604D6358"/>
    <w:rsid w:val="604E1695"/>
    <w:rsid w:val="605814EE"/>
    <w:rsid w:val="605D58D7"/>
    <w:rsid w:val="606D0EF6"/>
    <w:rsid w:val="607A7859"/>
    <w:rsid w:val="60AC5E39"/>
    <w:rsid w:val="60B20EB9"/>
    <w:rsid w:val="60D85CFF"/>
    <w:rsid w:val="60DB671F"/>
    <w:rsid w:val="60E07891"/>
    <w:rsid w:val="60E47941"/>
    <w:rsid w:val="61013040"/>
    <w:rsid w:val="61187ED8"/>
    <w:rsid w:val="611C35B8"/>
    <w:rsid w:val="612754C0"/>
    <w:rsid w:val="612956DC"/>
    <w:rsid w:val="61675C98"/>
    <w:rsid w:val="616D55C9"/>
    <w:rsid w:val="616E7593"/>
    <w:rsid w:val="616F0A87"/>
    <w:rsid w:val="617230BA"/>
    <w:rsid w:val="61740511"/>
    <w:rsid w:val="61903065"/>
    <w:rsid w:val="6191206F"/>
    <w:rsid w:val="619C78FD"/>
    <w:rsid w:val="619C7C5C"/>
    <w:rsid w:val="61AE7556"/>
    <w:rsid w:val="61BE5E24"/>
    <w:rsid w:val="61CD250B"/>
    <w:rsid w:val="61D41854"/>
    <w:rsid w:val="61E70D16"/>
    <w:rsid w:val="61F41846"/>
    <w:rsid w:val="62051EB9"/>
    <w:rsid w:val="6206793E"/>
    <w:rsid w:val="621517BC"/>
    <w:rsid w:val="621868E4"/>
    <w:rsid w:val="621F60BA"/>
    <w:rsid w:val="62282B27"/>
    <w:rsid w:val="622C1504"/>
    <w:rsid w:val="62361E5F"/>
    <w:rsid w:val="624A76B8"/>
    <w:rsid w:val="624F63B5"/>
    <w:rsid w:val="625457B2"/>
    <w:rsid w:val="625614D2"/>
    <w:rsid w:val="625A6442"/>
    <w:rsid w:val="625B3673"/>
    <w:rsid w:val="62685D90"/>
    <w:rsid w:val="628D245F"/>
    <w:rsid w:val="62AA4201"/>
    <w:rsid w:val="62BA360B"/>
    <w:rsid w:val="62C173F4"/>
    <w:rsid w:val="62E973CB"/>
    <w:rsid w:val="62F03D3C"/>
    <w:rsid w:val="630E067E"/>
    <w:rsid w:val="630F26B0"/>
    <w:rsid w:val="630F7A4D"/>
    <w:rsid w:val="631D6B7A"/>
    <w:rsid w:val="63262B54"/>
    <w:rsid w:val="63275C4B"/>
    <w:rsid w:val="63276C41"/>
    <w:rsid w:val="6330114D"/>
    <w:rsid w:val="63377DED"/>
    <w:rsid w:val="633A4695"/>
    <w:rsid w:val="634D3E1A"/>
    <w:rsid w:val="634F2A9F"/>
    <w:rsid w:val="635A1B7D"/>
    <w:rsid w:val="63600859"/>
    <w:rsid w:val="63877FFA"/>
    <w:rsid w:val="638B4892"/>
    <w:rsid w:val="638D1F52"/>
    <w:rsid w:val="639279AF"/>
    <w:rsid w:val="639A57B7"/>
    <w:rsid w:val="639C24A4"/>
    <w:rsid w:val="63AE1EC8"/>
    <w:rsid w:val="63C4349A"/>
    <w:rsid w:val="63CD374D"/>
    <w:rsid w:val="63EE02A4"/>
    <w:rsid w:val="63F2462E"/>
    <w:rsid w:val="641222ED"/>
    <w:rsid w:val="64281C7B"/>
    <w:rsid w:val="642B5582"/>
    <w:rsid w:val="6463417F"/>
    <w:rsid w:val="64643953"/>
    <w:rsid w:val="64654D54"/>
    <w:rsid w:val="649B069F"/>
    <w:rsid w:val="64AE720F"/>
    <w:rsid w:val="64B96D77"/>
    <w:rsid w:val="64CA0F84"/>
    <w:rsid w:val="64CC0858"/>
    <w:rsid w:val="64D63485"/>
    <w:rsid w:val="64DC03ED"/>
    <w:rsid w:val="64E060B2"/>
    <w:rsid w:val="64EF4635"/>
    <w:rsid w:val="64FB2F8F"/>
    <w:rsid w:val="65136487"/>
    <w:rsid w:val="65144DE5"/>
    <w:rsid w:val="651924C2"/>
    <w:rsid w:val="651E2759"/>
    <w:rsid w:val="652749D9"/>
    <w:rsid w:val="652A37D1"/>
    <w:rsid w:val="652C12F7"/>
    <w:rsid w:val="653603C7"/>
    <w:rsid w:val="653C7DC4"/>
    <w:rsid w:val="653D52B2"/>
    <w:rsid w:val="656F2E78"/>
    <w:rsid w:val="656F759F"/>
    <w:rsid w:val="65786BF9"/>
    <w:rsid w:val="658A320A"/>
    <w:rsid w:val="658A426F"/>
    <w:rsid w:val="658C66C4"/>
    <w:rsid w:val="659A3F39"/>
    <w:rsid w:val="65B8738C"/>
    <w:rsid w:val="65C664D3"/>
    <w:rsid w:val="65D114CC"/>
    <w:rsid w:val="65D21CDF"/>
    <w:rsid w:val="65DA2217"/>
    <w:rsid w:val="65DC3EFC"/>
    <w:rsid w:val="65F20792"/>
    <w:rsid w:val="66081D64"/>
    <w:rsid w:val="66097698"/>
    <w:rsid w:val="660B53B0"/>
    <w:rsid w:val="66193D2E"/>
    <w:rsid w:val="6635067F"/>
    <w:rsid w:val="6635764A"/>
    <w:rsid w:val="663A2862"/>
    <w:rsid w:val="66486604"/>
    <w:rsid w:val="665314E1"/>
    <w:rsid w:val="66536C43"/>
    <w:rsid w:val="66634171"/>
    <w:rsid w:val="66681907"/>
    <w:rsid w:val="667746FC"/>
    <w:rsid w:val="66795682"/>
    <w:rsid w:val="66813874"/>
    <w:rsid w:val="6685004E"/>
    <w:rsid w:val="668D5944"/>
    <w:rsid w:val="668F5FE1"/>
    <w:rsid w:val="66947B1D"/>
    <w:rsid w:val="669929BC"/>
    <w:rsid w:val="66A51973"/>
    <w:rsid w:val="66CE06E9"/>
    <w:rsid w:val="66D1730C"/>
    <w:rsid w:val="66D263D3"/>
    <w:rsid w:val="66D47E98"/>
    <w:rsid w:val="66E71979"/>
    <w:rsid w:val="66EC51E2"/>
    <w:rsid w:val="66EF2B5F"/>
    <w:rsid w:val="66EF31C1"/>
    <w:rsid w:val="66F61BBC"/>
    <w:rsid w:val="670A5668"/>
    <w:rsid w:val="670B44B0"/>
    <w:rsid w:val="670F46CB"/>
    <w:rsid w:val="67186538"/>
    <w:rsid w:val="671E4223"/>
    <w:rsid w:val="67277DF4"/>
    <w:rsid w:val="67340A1D"/>
    <w:rsid w:val="67351615"/>
    <w:rsid w:val="673B2AC0"/>
    <w:rsid w:val="673F17B5"/>
    <w:rsid w:val="674D5DCD"/>
    <w:rsid w:val="675E2F62"/>
    <w:rsid w:val="675E64C0"/>
    <w:rsid w:val="677353BA"/>
    <w:rsid w:val="677F7E04"/>
    <w:rsid w:val="678218BC"/>
    <w:rsid w:val="67881D40"/>
    <w:rsid w:val="678F7BAC"/>
    <w:rsid w:val="67950EB3"/>
    <w:rsid w:val="6796514D"/>
    <w:rsid w:val="67994DBC"/>
    <w:rsid w:val="67AE2497"/>
    <w:rsid w:val="67B30FB4"/>
    <w:rsid w:val="67BA52E0"/>
    <w:rsid w:val="67BD4963"/>
    <w:rsid w:val="67C578A2"/>
    <w:rsid w:val="67D101D0"/>
    <w:rsid w:val="67F0485E"/>
    <w:rsid w:val="68000819"/>
    <w:rsid w:val="680377B8"/>
    <w:rsid w:val="681A2DC6"/>
    <w:rsid w:val="6820035E"/>
    <w:rsid w:val="6822692F"/>
    <w:rsid w:val="682D717C"/>
    <w:rsid w:val="683010FE"/>
    <w:rsid w:val="68336E40"/>
    <w:rsid w:val="68353276"/>
    <w:rsid w:val="683F4C70"/>
    <w:rsid w:val="68471D45"/>
    <w:rsid w:val="685E3EBD"/>
    <w:rsid w:val="685F2B0C"/>
    <w:rsid w:val="685F3791"/>
    <w:rsid w:val="68655B3D"/>
    <w:rsid w:val="686E4CA0"/>
    <w:rsid w:val="68716C02"/>
    <w:rsid w:val="6885450B"/>
    <w:rsid w:val="68923B67"/>
    <w:rsid w:val="68A140BF"/>
    <w:rsid w:val="68AA7102"/>
    <w:rsid w:val="68B26F25"/>
    <w:rsid w:val="68B631F6"/>
    <w:rsid w:val="68B73E7B"/>
    <w:rsid w:val="68BA42B2"/>
    <w:rsid w:val="68BC5088"/>
    <w:rsid w:val="68C36416"/>
    <w:rsid w:val="68CF272B"/>
    <w:rsid w:val="68D4417F"/>
    <w:rsid w:val="68D66149"/>
    <w:rsid w:val="68E1064A"/>
    <w:rsid w:val="68EF4B15"/>
    <w:rsid w:val="69000946"/>
    <w:rsid w:val="692702C4"/>
    <w:rsid w:val="69301A27"/>
    <w:rsid w:val="69434E61"/>
    <w:rsid w:val="694766FF"/>
    <w:rsid w:val="695241D9"/>
    <w:rsid w:val="695D5832"/>
    <w:rsid w:val="696077C1"/>
    <w:rsid w:val="69732E6B"/>
    <w:rsid w:val="69823BDB"/>
    <w:rsid w:val="699E014D"/>
    <w:rsid w:val="69B72806"/>
    <w:rsid w:val="69BA15C7"/>
    <w:rsid w:val="69C21FC2"/>
    <w:rsid w:val="69CE797A"/>
    <w:rsid w:val="69D31B5E"/>
    <w:rsid w:val="69D443E3"/>
    <w:rsid w:val="69D72179"/>
    <w:rsid w:val="69DD3507"/>
    <w:rsid w:val="69E817D1"/>
    <w:rsid w:val="69F431E5"/>
    <w:rsid w:val="69F61ED3"/>
    <w:rsid w:val="69FA5867"/>
    <w:rsid w:val="69FE675E"/>
    <w:rsid w:val="6A1A2049"/>
    <w:rsid w:val="6A3C265A"/>
    <w:rsid w:val="6A423BC4"/>
    <w:rsid w:val="6A440E91"/>
    <w:rsid w:val="6A45046C"/>
    <w:rsid w:val="6A5347AB"/>
    <w:rsid w:val="6A5A4FF0"/>
    <w:rsid w:val="6A5C3F5E"/>
    <w:rsid w:val="6A7A5B8E"/>
    <w:rsid w:val="6A855EA5"/>
    <w:rsid w:val="6A890F99"/>
    <w:rsid w:val="6A8C2D4B"/>
    <w:rsid w:val="6AA44F93"/>
    <w:rsid w:val="6AA858C3"/>
    <w:rsid w:val="6AB17E6C"/>
    <w:rsid w:val="6AB71D61"/>
    <w:rsid w:val="6AB92FAF"/>
    <w:rsid w:val="6ACF19E4"/>
    <w:rsid w:val="6AD5470C"/>
    <w:rsid w:val="6AD9782B"/>
    <w:rsid w:val="6ADE1CAF"/>
    <w:rsid w:val="6AE53126"/>
    <w:rsid w:val="6B0B1806"/>
    <w:rsid w:val="6B0C7821"/>
    <w:rsid w:val="6B1217F9"/>
    <w:rsid w:val="6B141672"/>
    <w:rsid w:val="6B1538B3"/>
    <w:rsid w:val="6B3666EE"/>
    <w:rsid w:val="6B3D4671"/>
    <w:rsid w:val="6B4502B7"/>
    <w:rsid w:val="6B4A24D7"/>
    <w:rsid w:val="6B594E10"/>
    <w:rsid w:val="6B6460AC"/>
    <w:rsid w:val="6B6E5845"/>
    <w:rsid w:val="6B766AF2"/>
    <w:rsid w:val="6B8F5215"/>
    <w:rsid w:val="6BAE6F0A"/>
    <w:rsid w:val="6BB43210"/>
    <w:rsid w:val="6BBC2446"/>
    <w:rsid w:val="6BBD4870"/>
    <w:rsid w:val="6BBD539F"/>
    <w:rsid w:val="6BC85C10"/>
    <w:rsid w:val="6BDC0DC0"/>
    <w:rsid w:val="6BE07F64"/>
    <w:rsid w:val="6BFB7E42"/>
    <w:rsid w:val="6C0A7EB8"/>
    <w:rsid w:val="6C0C3140"/>
    <w:rsid w:val="6C140D49"/>
    <w:rsid w:val="6C2343EA"/>
    <w:rsid w:val="6C253A83"/>
    <w:rsid w:val="6C313697"/>
    <w:rsid w:val="6C3A69EF"/>
    <w:rsid w:val="6C411B2C"/>
    <w:rsid w:val="6C4C1DDE"/>
    <w:rsid w:val="6C4D060E"/>
    <w:rsid w:val="6C526267"/>
    <w:rsid w:val="6C5D705E"/>
    <w:rsid w:val="6C613F7C"/>
    <w:rsid w:val="6C6470B5"/>
    <w:rsid w:val="6C6475C8"/>
    <w:rsid w:val="6C661592"/>
    <w:rsid w:val="6C663C13"/>
    <w:rsid w:val="6C7735C7"/>
    <w:rsid w:val="6C8528D2"/>
    <w:rsid w:val="6CB23065"/>
    <w:rsid w:val="6CC0444D"/>
    <w:rsid w:val="6CE10C19"/>
    <w:rsid w:val="6CE36AAC"/>
    <w:rsid w:val="6CE95D1F"/>
    <w:rsid w:val="6D093DD5"/>
    <w:rsid w:val="6D10365D"/>
    <w:rsid w:val="6D205BE5"/>
    <w:rsid w:val="6D266D96"/>
    <w:rsid w:val="6D272E6C"/>
    <w:rsid w:val="6D323B6A"/>
    <w:rsid w:val="6D54588F"/>
    <w:rsid w:val="6D66634B"/>
    <w:rsid w:val="6D673814"/>
    <w:rsid w:val="6D68133A"/>
    <w:rsid w:val="6D7303C2"/>
    <w:rsid w:val="6D886D51"/>
    <w:rsid w:val="6D8C327A"/>
    <w:rsid w:val="6D8F3AA7"/>
    <w:rsid w:val="6D910891"/>
    <w:rsid w:val="6D9C39D1"/>
    <w:rsid w:val="6D9F117C"/>
    <w:rsid w:val="6D9F30F1"/>
    <w:rsid w:val="6DA560EA"/>
    <w:rsid w:val="6DA90B28"/>
    <w:rsid w:val="6DB602F7"/>
    <w:rsid w:val="6DB940F2"/>
    <w:rsid w:val="6DCA5B51"/>
    <w:rsid w:val="6DCC4C0D"/>
    <w:rsid w:val="6DD864C0"/>
    <w:rsid w:val="6DE2414D"/>
    <w:rsid w:val="6DF332FA"/>
    <w:rsid w:val="6DFA089C"/>
    <w:rsid w:val="6E024E4B"/>
    <w:rsid w:val="6E096679"/>
    <w:rsid w:val="6E113B8C"/>
    <w:rsid w:val="6E192634"/>
    <w:rsid w:val="6E1B57B2"/>
    <w:rsid w:val="6E22773B"/>
    <w:rsid w:val="6E24570D"/>
    <w:rsid w:val="6E400400"/>
    <w:rsid w:val="6E4341AC"/>
    <w:rsid w:val="6E4F3A28"/>
    <w:rsid w:val="6E5F273D"/>
    <w:rsid w:val="6E7B0441"/>
    <w:rsid w:val="6E7F227A"/>
    <w:rsid w:val="6E804461"/>
    <w:rsid w:val="6E843785"/>
    <w:rsid w:val="6EB21400"/>
    <w:rsid w:val="6EB316B7"/>
    <w:rsid w:val="6EB5235D"/>
    <w:rsid w:val="6EBA3645"/>
    <w:rsid w:val="6EBE4C9B"/>
    <w:rsid w:val="6EC45C23"/>
    <w:rsid w:val="6ED22568"/>
    <w:rsid w:val="6EDA1DC4"/>
    <w:rsid w:val="6EE07C01"/>
    <w:rsid w:val="6EFA4214"/>
    <w:rsid w:val="6F0005D2"/>
    <w:rsid w:val="6F286FD3"/>
    <w:rsid w:val="6F2A4225"/>
    <w:rsid w:val="6F2F210F"/>
    <w:rsid w:val="6F345CBA"/>
    <w:rsid w:val="6F3531D9"/>
    <w:rsid w:val="6F395F7B"/>
    <w:rsid w:val="6F436F8F"/>
    <w:rsid w:val="6F543924"/>
    <w:rsid w:val="6F564FE8"/>
    <w:rsid w:val="6F614293"/>
    <w:rsid w:val="6F631DB9"/>
    <w:rsid w:val="6F696418"/>
    <w:rsid w:val="6F6A10D8"/>
    <w:rsid w:val="6F6C661A"/>
    <w:rsid w:val="6F6F4C02"/>
    <w:rsid w:val="6FA128E1"/>
    <w:rsid w:val="6FB46777"/>
    <w:rsid w:val="6FB865A9"/>
    <w:rsid w:val="6FBC5B21"/>
    <w:rsid w:val="6FBE7937"/>
    <w:rsid w:val="6FCC795E"/>
    <w:rsid w:val="6FE227AB"/>
    <w:rsid w:val="6FE825BB"/>
    <w:rsid w:val="6FFB6495"/>
    <w:rsid w:val="701D06F2"/>
    <w:rsid w:val="703F2689"/>
    <w:rsid w:val="704020FA"/>
    <w:rsid w:val="70443C2F"/>
    <w:rsid w:val="70495453"/>
    <w:rsid w:val="704D53EB"/>
    <w:rsid w:val="7053007F"/>
    <w:rsid w:val="70820DC4"/>
    <w:rsid w:val="708446DD"/>
    <w:rsid w:val="70913532"/>
    <w:rsid w:val="70976C9B"/>
    <w:rsid w:val="709F5073"/>
    <w:rsid w:val="70AD3C34"/>
    <w:rsid w:val="70B054D2"/>
    <w:rsid w:val="70B623BC"/>
    <w:rsid w:val="70EE591B"/>
    <w:rsid w:val="70F03B20"/>
    <w:rsid w:val="70F05767"/>
    <w:rsid w:val="70F62876"/>
    <w:rsid w:val="7100078F"/>
    <w:rsid w:val="71056E8C"/>
    <w:rsid w:val="711F4406"/>
    <w:rsid w:val="71237A52"/>
    <w:rsid w:val="71312D23"/>
    <w:rsid w:val="71321C7C"/>
    <w:rsid w:val="71394D35"/>
    <w:rsid w:val="71634398"/>
    <w:rsid w:val="716B31A7"/>
    <w:rsid w:val="716E7FA5"/>
    <w:rsid w:val="7170146E"/>
    <w:rsid w:val="717019F1"/>
    <w:rsid w:val="717268C8"/>
    <w:rsid w:val="71732E86"/>
    <w:rsid w:val="71775FF0"/>
    <w:rsid w:val="71802D0E"/>
    <w:rsid w:val="718B5ADE"/>
    <w:rsid w:val="718F5890"/>
    <w:rsid w:val="71B23002"/>
    <w:rsid w:val="71C54D64"/>
    <w:rsid w:val="71C72AD3"/>
    <w:rsid w:val="71DF76A4"/>
    <w:rsid w:val="71E03DD8"/>
    <w:rsid w:val="71F3687B"/>
    <w:rsid w:val="71FC02A3"/>
    <w:rsid w:val="71FE226D"/>
    <w:rsid w:val="71FE401B"/>
    <w:rsid w:val="72070234"/>
    <w:rsid w:val="720E0978"/>
    <w:rsid w:val="72194110"/>
    <w:rsid w:val="721B4BCD"/>
    <w:rsid w:val="7235573F"/>
    <w:rsid w:val="723D63F5"/>
    <w:rsid w:val="724E2CB9"/>
    <w:rsid w:val="72513158"/>
    <w:rsid w:val="725A1BEF"/>
    <w:rsid w:val="725B146D"/>
    <w:rsid w:val="725E4ABA"/>
    <w:rsid w:val="726C56B8"/>
    <w:rsid w:val="7271690A"/>
    <w:rsid w:val="72767CBE"/>
    <w:rsid w:val="727F789D"/>
    <w:rsid w:val="7288771C"/>
    <w:rsid w:val="728A2353"/>
    <w:rsid w:val="7293062E"/>
    <w:rsid w:val="72982D74"/>
    <w:rsid w:val="72996FB8"/>
    <w:rsid w:val="72A458E1"/>
    <w:rsid w:val="72AF050D"/>
    <w:rsid w:val="72B15531"/>
    <w:rsid w:val="72BB2FC8"/>
    <w:rsid w:val="72CB4274"/>
    <w:rsid w:val="72CE592F"/>
    <w:rsid w:val="72FD1AB3"/>
    <w:rsid w:val="72FE1BD1"/>
    <w:rsid w:val="73010267"/>
    <w:rsid w:val="73090EC9"/>
    <w:rsid w:val="73173D68"/>
    <w:rsid w:val="73197AE0"/>
    <w:rsid w:val="731A6C33"/>
    <w:rsid w:val="73221860"/>
    <w:rsid w:val="73232117"/>
    <w:rsid w:val="73263829"/>
    <w:rsid w:val="73275E34"/>
    <w:rsid w:val="73280BCA"/>
    <w:rsid w:val="732B7092"/>
    <w:rsid w:val="732C6F90"/>
    <w:rsid w:val="73306456"/>
    <w:rsid w:val="73313277"/>
    <w:rsid w:val="733A4EF6"/>
    <w:rsid w:val="733D0234"/>
    <w:rsid w:val="733E6DC5"/>
    <w:rsid w:val="734939BC"/>
    <w:rsid w:val="735559D3"/>
    <w:rsid w:val="735675A7"/>
    <w:rsid w:val="735B4F35"/>
    <w:rsid w:val="7374156A"/>
    <w:rsid w:val="73773239"/>
    <w:rsid w:val="7377757F"/>
    <w:rsid w:val="73812DBA"/>
    <w:rsid w:val="73883925"/>
    <w:rsid w:val="738E13CF"/>
    <w:rsid w:val="73966C01"/>
    <w:rsid w:val="73970283"/>
    <w:rsid w:val="73AA445A"/>
    <w:rsid w:val="73B40BD5"/>
    <w:rsid w:val="73CE516D"/>
    <w:rsid w:val="73D03795"/>
    <w:rsid w:val="73D2750D"/>
    <w:rsid w:val="73D6524F"/>
    <w:rsid w:val="73D93EF1"/>
    <w:rsid w:val="73EF7F33"/>
    <w:rsid w:val="73F90F3E"/>
    <w:rsid w:val="73FA14E3"/>
    <w:rsid w:val="740A7F35"/>
    <w:rsid w:val="74106240"/>
    <w:rsid w:val="741C42CE"/>
    <w:rsid w:val="742908B1"/>
    <w:rsid w:val="742B455C"/>
    <w:rsid w:val="743106D8"/>
    <w:rsid w:val="7443040B"/>
    <w:rsid w:val="744F7262"/>
    <w:rsid w:val="74762EF3"/>
    <w:rsid w:val="74795BDB"/>
    <w:rsid w:val="748702F8"/>
    <w:rsid w:val="74973070"/>
    <w:rsid w:val="749A44CF"/>
    <w:rsid w:val="74A4534E"/>
    <w:rsid w:val="74A844D0"/>
    <w:rsid w:val="74AE3AD6"/>
    <w:rsid w:val="74B00A68"/>
    <w:rsid w:val="74BF5CE3"/>
    <w:rsid w:val="74C00161"/>
    <w:rsid w:val="74C3662A"/>
    <w:rsid w:val="74D15A17"/>
    <w:rsid w:val="74DE41DC"/>
    <w:rsid w:val="74F2020E"/>
    <w:rsid w:val="74F45B71"/>
    <w:rsid w:val="74F77605"/>
    <w:rsid w:val="750671EC"/>
    <w:rsid w:val="75153C4A"/>
    <w:rsid w:val="75270466"/>
    <w:rsid w:val="75292F3F"/>
    <w:rsid w:val="753164B5"/>
    <w:rsid w:val="7533222E"/>
    <w:rsid w:val="753456F4"/>
    <w:rsid w:val="753A5D5C"/>
    <w:rsid w:val="754E52B9"/>
    <w:rsid w:val="7557618A"/>
    <w:rsid w:val="75581E25"/>
    <w:rsid w:val="755E6626"/>
    <w:rsid w:val="75841DF5"/>
    <w:rsid w:val="758D233C"/>
    <w:rsid w:val="758D7B90"/>
    <w:rsid w:val="758F304E"/>
    <w:rsid w:val="759206C7"/>
    <w:rsid w:val="759C09A4"/>
    <w:rsid w:val="759F5B15"/>
    <w:rsid w:val="75A40F6D"/>
    <w:rsid w:val="75B14D54"/>
    <w:rsid w:val="75C41F53"/>
    <w:rsid w:val="75C906A6"/>
    <w:rsid w:val="75CA0DE4"/>
    <w:rsid w:val="75EE4E13"/>
    <w:rsid w:val="760B0272"/>
    <w:rsid w:val="76162ABE"/>
    <w:rsid w:val="762027B2"/>
    <w:rsid w:val="762A1882"/>
    <w:rsid w:val="762A7AD4"/>
    <w:rsid w:val="763224E5"/>
    <w:rsid w:val="76326989"/>
    <w:rsid w:val="76330C1E"/>
    <w:rsid w:val="763E014D"/>
    <w:rsid w:val="76456A13"/>
    <w:rsid w:val="764A782F"/>
    <w:rsid w:val="765612DA"/>
    <w:rsid w:val="766E5C13"/>
    <w:rsid w:val="76727B5C"/>
    <w:rsid w:val="7674539F"/>
    <w:rsid w:val="76756DA8"/>
    <w:rsid w:val="76816FC9"/>
    <w:rsid w:val="76887988"/>
    <w:rsid w:val="768F16E6"/>
    <w:rsid w:val="76986891"/>
    <w:rsid w:val="769C7A84"/>
    <w:rsid w:val="769F3D71"/>
    <w:rsid w:val="76A72ED3"/>
    <w:rsid w:val="76AA651F"/>
    <w:rsid w:val="76E94580"/>
    <w:rsid w:val="76EC1ABC"/>
    <w:rsid w:val="76FB601C"/>
    <w:rsid w:val="76FD6F97"/>
    <w:rsid w:val="770B5CD6"/>
    <w:rsid w:val="7710200E"/>
    <w:rsid w:val="7715608F"/>
    <w:rsid w:val="77161E07"/>
    <w:rsid w:val="77212C85"/>
    <w:rsid w:val="776706D6"/>
    <w:rsid w:val="77700134"/>
    <w:rsid w:val="778413DC"/>
    <w:rsid w:val="778D2F8C"/>
    <w:rsid w:val="7798281C"/>
    <w:rsid w:val="779D3EA8"/>
    <w:rsid w:val="77A65EF4"/>
    <w:rsid w:val="77AB57D7"/>
    <w:rsid w:val="77AB69F3"/>
    <w:rsid w:val="77AE3DED"/>
    <w:rsid w:val="77B0751C"/>
    <w:rsid w:val="77CC6EC1"/>
    <w:rsid w:val="77D4061C"/>
    <w:rsid w:val="77E03037"/>
    <w:rsid w:val="77EA751B"/>
    <w:rsid w:val="77ED2B68"/>
    <w:rsid w:val="77F263D0"/>
    <w:rsid w:val="77F35CA4"/>
    <w:rsid w:val="780776F7"/>
    <w:rsid w:val="78175E36"/>
    <w:rsid w:val="782642CC"/>
    <w:rsid w:val="78340B49"/>
    <w:rsid w:val="785250C1"/>
    <w:rsid w:val="7859644F"/>
    <w:rsid w:val="785F6726"/>
    <w:rsid w:val="78852DA0"/>
    <w:rsid w:val="788617F4"/>
    <w:rsid w:val="78867CFB"/>
    <w:rsid w:val="788D7EA7"/>
    <w:rsid w:val="7892370F"/>
    <w:rsid w:val="78976EF9"/>
    <w:rsid w:val="7899684C"/>
    <w:rsid w:val="78AC657F"/>
    <w:rsid w:val="78B6564F"/>
    <w:rsid w:val="78B65F6B"/>
    <w:rsid w:val="78B95E11"/>
    <w:rsid w:val="78E92D88"/>
    <w:rsid w:val="7908577F"/>
    <w:rsid w:val="790F6B0E"/>
    <w:rsid w:val="79125039"/>
    <w:rsid w:val="791F1447"/>
    <w:rsid w:val="79204C41"/>
    <w:rsid w:val="79290342"/>
    <w:rsid w:val="79556C16"/>
    <w:rsid w:val="795F47C4"/>
    <w:rsid w:val="796141A4"/>
    <w:rsid w:val="796A125E"/>
    <w:rsid w:val="796C3F60"/>
    <w:rsid w:val="79941644"/>
    <w:rsid w:val="799447B2"/>
    <w:rsid w:val="79993DEC"/>
    <w:rsid w:val="799D49BF"/>
    <w:rsid w:val="799F7E92"/>
    <w:rsid w:val="79AC5EAD"/>
    <w:rsid w:val="79B7342D"/>
    <w:rsid w:val="79BC4EE7"/>
    <w:rsid w:val="79CE2230"/>
    <w:rsid w:val="79D3543E"/>
    <w:rsid w:val="79D90257"/>
    <w:rsid w:val="79E064A7"/>
    <w:rsid w:val="79E4695D"/>
    <w:rsid w:val="79E543D7"/>
    <w:rsid w:val="79F15FFB"/>
    <w:rsid w:val="79F16C5D"/>
    <w:rsid w:val="79F857F4"/>
    <w:rsid w:val="79F9227E"/>
    <w:rsid w:val="7A03141B"/>
    <w:rsid w:val="7A065A49"/>
    <w:rsid w:val="7A086377"/>
    <w:rsid w:val="7A214D4A"/>
    <w:rsid w:val="7A242978"/>
    <w:rsid w:val="7A2A4823"/>
    <w:rsid w:val="7A2D430B"/>
    <w:rsid w:val="7A2D7B93"/>
    <w:rsid w:val="7A2F6F02"/>
    <w:rsid w:val="7A396538"/>
    <w:rsid w:val="7A5616AF"/>
    <w:rsid w:val="7A593709"/>
    <w:rsid w:val="7A5B08C9"/>
    <w:rsid w:val="7A5C51B6"/>
    <w:rsid w:val="7A634A12"/>
    <w:rsid w:val="7A785221"/>
    <w:rsid w:val="7A7E6870"/>
    <w:rsid w:val="7A8A0C41"/>
    <w:rsid w:val="7A960D53"/>
    <w:rsid w:val="7A995229"/>
    <w:rsid w:val="7A9E603E"/>
    <w:rsid w:val="7AAD2A82"/>
    <w:rsid w:val="7AB17FC0"/>
    <w:rsid w:val="7AB91427"/>
    <w:rsid w:val="7AC4099C"/>
    <w:rsid w:val="7AC8166A"/>
    <w:rsid w:val="7AC908C2"/>
    <w:rsid w:val="7AD142ED"/>
    <w:rsid w:val="7ADC4284"/>
    <w:rsid w:val="7AEC35AA"/>
    <w:rsid w:val="7AEE2E82"/>
    <w:rsid w:val="7AF16E13"/>
    <w:rsid w:val="7AF97A75"/>
    <w:rsid w:val="7AFE6E3A"/>
    <w:rsid w:val="7B0C2233"/>
    <w:rsid w:val="7B1E1599"/>
    <w:rsid w:val="7B330BD4"/>
    <w:rsid w:val="7B4414B7"/>
    <w:rsid w:val="7B4A4326"/>
    <w:rsid w:val="7B51165F"/>
    <w:rsid w:val="7B587DD1"/>
    <w:rsid w:val="7B825CBD"/>
    <w:rsid w:val="7B8732D3"/>
    <w:rsid w:val="7B881ADD"/>
    <w:rsid w:val="7B884A47"/>
    <w:rsid w:val="7B8F75C0"/>
    <w:rsid w:val="7B91553C"/>
    <w:rsid w:val="7BB0282A"/>
    <w:rsid w:val="7BBC0E6E"/>
    <w:rsid w:val="7BEC1E4B"/>
    <w:rsid w:val="7BEC3136"/>
    <w:rsid w:val="7BF240AC"/>
    <w:rsid w:val="7C175044"/>
    <w:rsid w:val="7C2A1D4B"/>
    <w:rsid w:val="7C2F7BF3"/>
    <w:rsid w:val="7C321491"/>
    <w:rsid w:val="7C3F595C"/>
    <w:rsid w:val="7C42078B"/>
    <w:rsid w:val="7C440D7D"/>
    <w:rsid w:val="7C4D57D5"/>
    <w:rsid w:val="7C4E5B9F"/>
    <w:rsid w:val="7C623E0B"/>
    <w:rsid w:val="7C6F0A60"/>
    <w:rsid w:val="7C722082"/>
    <w:rsid w:val="7C7D2601"/>
    <w:rsid w:val="7C7E1515"/>
    <w:rsid w:val="7C9C690A"/>
    <w:rsid w:val="7CA50B86"/>
    <w:rsid w:val="7CB246E4"/>
    <w:rsid w:val="7CC51603"/>
    <w:rsid w:val="7CC7078E"/>
    <w:rsid w:val="7CD40CD3"/>
    <w:rsid w:val="7CDE433C"/>
    <w:rsid w:val="7CF20C20"/>
    <w:rsid w:val="7D0A1541"/>
    <w:rsid w:val="7D176503"/>
    <w:rsid w:val="7D431EFA"/>
    <w:rsid w:val="7D5F4763"/>
    <w:rsid w:val="7D9348E3"/>
    <w:rsid w:val="7D950543"/>
    <w:rsid w:val="7D973B95"/>
    <w:rsid w:val="7D9A2A39"/>
    <w:rsid w:val="7D9C12B8"/>
    <w:rsid w:val="7DA0067C"/>
    <w:rsid w:val="7DAA32A9"/>
    <w:rsid w:val="7DAE4568"/>
    <w:rsid w:val="7DB419E2"/>
    <w:rsid w:val="7DBA34EC"/>
    <w:rsid w:val="7DBD122E"/>
    <w:rsid w:val="7DC75FFF"/>
    <w:rsid w:val="7DC91CBB"/>
    <w:rsid w:val="7DCA74A7"/>
    <w:rsid w:val="7DCE343B"/>
    <w:rsid w:val="7DD86068"/>
    <w:rsid w:val="7DDD542C"/>
    <w:rsid w:val="7DE20C95"/>
    <w:rsid w:val="7DEB5D9B"/>
    <w:rsid w:val="7DEE10DE"/>
    <w:rsid w:val="7DF24F98"/>
    <w:rsid w:val="7DFD5ACF"/>
    <w:rsid w:val="7E046827"/>
    <w:rsid w:val="7E0B1F99"/>
    <w:rsid w:val="7E1075B0"/>
    <w:rsid w:val="7E1564C6"/>
    <w:rsid w:val="7E171AFA"/>
    <w:rsid w:val="7E1A1323"/>
    <w:rsid w:val="7E2123E3"/>
    <w:rsid w:val="7E290672"/>
    <w:rsid w:val="7E292EE4"/>
    <w:rsid w:val="7E295A84"/>
    <w:rsid w:val="7E2D6640"/>
    <w:rsid w:val="7E33329E"/>
    <w:rsid w:val="7E37624C"/>
    <w:rsid w:val="7E3D377F"/>
    <w:rsid w:val="7E6A451A"/>
    <w:rsid w:val="7E6B0C8A"/>
    <w:rsid w:val="7E6B2A38"/>
    <w:rsid w:val="7E6E31E0"/>
    <w:rsid w:val="7E8A75CD"/>
    <w:rsid w:val="7E8B4E88"/>
    <w:rsid w:val="7E8C6D77"/>
    <w:rsid w:val="7E933D3D"/>
    <w:rsid w:val="7E9F0937"/>
    <w:rsid w:val="7E9F0C7C"/>
    <w:rsid w:val="7EAA17B2"/>
    <w:rsid w:val="7EBA5361"/>
    <w:rsid w:val="7EC54DD3"/>
    <w:rsid w:val="7ED8452C"/>
    <w:rsid w:val="7EDF0D1F"/>
    <w:rsid w:val="7EE52A88"/>
    <w:rsid w:val="7EE626A2"/>
    <w:rsid w:val="7EE724FF"/>
    <w:rsid w:val="7EF944E8"/>
    <w:rsid w:val="7EFD3F05"/>
    <w:rsid w:val="7F0D2695"/>
    <w:rsid w:val="7F1629A4"/>
    <w:rsid w:val="7F231565"/>
    <w:rsid w:val="7F2675B1"/>
    <w:rsid w:val="7F370B6C"/>
    <w:rsid w:val="7F55391D"/>
    <w:rsid w:val="7F601E71"/>
    <w:rsid w:val="7F6A2CF0"/>
    <w:rsid w:val="7F7511B7"/>
    <w:rsid w:val="7F8539E9"/>
    <w:rsid w:val="7F954F92"/>
    <w:rsid w:val="7F963AE5"/>
    <w:rsid w:val="7F964C9A"/>
    <w:rsid w:val="7F9D0C84"/>
    <w:rsid w:val="7FAD0277"/>
    <w:rsid w:val="7FBD72C3"/>
    <w:rsid w:val="7FCE327F"/>
    <w:rsid w:val="7FD14011"/>
    <w:rsid w:val="7FD14B1D"/>
    <w:rsid w:val="7FDA319E"/>
    <w:rsid w:val="7FDA60C7"/>
    <w:rsid w:val="7FDB1763"/>
    <w:rsid w:val="7FE92991"/>
    <w:rsid w:val="7FEB3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6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link w:val="62"/>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2"/>
    <w:link w:val="63"/>
    <w:qFormat/>
    <w:uiPriority w:val="0"/>
    <w:pPr>
      <w:keepLines/>
      <w:widowControl/>
      <w:numPr>
        <w:ilvl w:val="3"/>
        <w:numId w:val="2"/>
      </w:numPr>
      <w:jc w:val="left"/>
      <w:outlineLvl w:val="3"/>
    </w:pPr>
    <w:rPr>
      <w:rFonts w:eastAsia="楷体_GB2312"/>
      <w:b/>
      <w:snapToGrid w:val="0"/>
    </w:rPr>
  </w:style>
  <w:style w:type="paragraph" w:styleId="7">
    <w:name w:val="heading 5"/>
    <w:basedOn w:val="1"/>
    <w:next w:val="1"/>
    <w:link w:val="64"/>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6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9"/>
    <w:qFormat/>
    <w:uiPriority w:val="0"/>
    <w:pPr>
      <w:ind w:firstLine="420"/>
    </w:pPr>
    <w:rPr>
      <w:szCs w:val="20"/>
    </w:rPr>
  </w:style>
  <w:style w:type="paragraph" w:styleId="12">
    <w:name w:val="table of authorities"/>
    <w:basedOn w:val="1"/>
    <w:next w:val="1"/>
    <w:semiHidden/>
    <w:qFormat/>
    <w:uiPriority w:val="99"/>
    <w:pPr>
      <w:ind w:left="200" w:leftChars="200"/>
    </w:pPr>
  </w:style>
  <w:style w:type="paragraph" w:styleId="13">
    <w:name w:val="List Number"/>
    <w:basedOn w:val="1"/>
    <w:qFormat/>
    <w:uiPriority w:val="0"/>
    <w:pPr>
      <w:numPr>
        <w:ilvl w:val="0"/>
        <w:numId w:val="3"/>
      </w:numPr>
    </w:pPr>
  </w:style>
  <w:style w:type="paragraph" w:styleId="14">
    <w:name w:val="Document Map"/>
    <w:basedOn w:val="1"/>
    <w:link w:val="126"/>
    <w:qFormat/>
    <w:uiPriority w:val="0"/>
    <w:pPr>
      <w:shd w:val="clear" w:color="auto" w:fill="000080"/>
    </w:pPr>
    <w:rPr>
      <w:kern w:val="0"/>
      <w:sz w:val="20"/>
      <w:shd w:val="clear" w:color="auto" w:fill="000080"/>
      <w:lang w:val="zh-CN"/>
    </w:rPr>
  </w:style>
  <w:style w:type="paragraph" w:styleId="15">
    <w:name w:val="annotation text"/>
    <w:basedOn w:val="1"/>
    <w:link w:val="69"/>
    <w:qFormat/>
    <w:uiPriority w:val="0"/>
    <w:pPr>
      <w:jc w:val="left"/>
    </w:pPr>
  </w:style>
  <w:style w:type="paragraph" w:styleId="16">
    <w:name w:val="Body Text 3"/>
    <w:basedOn w:val="1"/>
    <w:link w:val="128"/>
    <w:qFormat/>
    <w:uiPriority w:val="0"/>
    <w:rPr>
      <w:rFonts w:ascii="宋体"/>
      <w:sz w:val="24"/>
      <w:szCs w:val="20"/>
    </w:rPr>
  </w:style>
  <w:style w:type="paragraph" w:styleId="17">
    <w:name w:val="Body Text"/>
    <w:basedOn w:val="1"/>
    <w:next w:val="18"/>
    <w:link w:val="70"/>
    <w:qFormat/>
    <w:uiPriority w:val="99"/>
    <w:pPr>
      <w:spacing w:line="360" w:lineRule="exact"/>
    </w:pPr>
    <w:rPr>
      <w:sz w:val="24"/>
    </w:rPr>
  </w:style>
  <w:style w:type="paragraph" w:styleId="18">
    <w:name w:val="Body Text First Indent"/>
    <w:basedOn w:val="1"/>
    <w:next w:val="19"/>
    <w:link w:val="78"/>
    <w:qFormat/>
    <w:uiPriority w:val="0"/>
    <w:pPr>
      <w:ind w:firstLine="200" w:firstLineChars="200"/>
    </w:pPr>
  </w:style>
  <w:style w:type="paragraph" w:styleId="19">
    <w:name w:val="toc 6"/>
    <w:basedOn w:val="1"/>
    <w:next w:val="1"/>
    <w:qFormat/>
    <w:uiPriority w:val="0"/>
    <w:pPr>
      <w:ind w:left="1050"/>
      <w:jc w:val="left"/>
    </w:pPr>
    <w:rPr>
      <w:rFonts w:ascii="Calibri" w:hAnsi="Calibri" w:cs="Calibri"/>
      <w:sz w:val="18"/>
      <w:szCs w:val="18"/>
    </w:rPr>
  </w:style>
  <w:style w:type="paragraph" w:styleId="20">
    <w:name w:val="Body Text Indent"/>
    <w:basedOn w:val="1"/>
    <w:next w:val="1"/>
    <w:link w:val="58"/>
    <w:qFormat/>
    <w:uiPriority w:val="99"/>
    <w:pPr>
      <w:spacing w:after="120"/>
      <w:ind w:left="420" w:leftChars="200"/>
    </w:pPr>
  </w:style>
  <w:style w:type="paragraph" w:styleId="21">
    <w:name w:val="toc 5"/>
    <w:basedOn w:val="1"/>
    <w:next w:val="1"/>
    <w:qFormat/>
    <w:uiPriority w:val="39"/>
    <w:pPr>
      <w:ind w:left="630"/>
      <w:jc w:val="left"/>
    </w:pPr>
    <w:rPr>
      <w:sz w:val="20"/>
      <w:szCs w:val="20"/>
    </w:rPr>
  </w:style>
  <w:style w:type="paragraph" w:styleId="22">
    <w:name w:val="toc 3"/>
    <w:basedOn w:val="1"/>
    <w:next w:val="1"/>
    <w:qFormat/>
    <w:uiPriority w:val="39"/>
    <w:pPr>
      <w:ind w:left="210"/>
      <w:jc w:val="left"/>
    </w:pPr>
    <w:rPr>
      <w:sz w:val="20"/>
      <w:szCs w:val="20"/>
    </w:rPr>
  </w:style>
  <w:style w:type="paragraph" w:styleId="23">
    <w:name w:val="Plain Text"/>
    <w:basedOn w:val="1"/>
    <w:next w:val="24"/>
    <w:link w:val="72"/>
    <w:qFormat/>
    <w:uiPriority w:val="99"/>
    <w:rPr>
      <w:rFonts w:ascii="宋体" w:hAnsi="Courier New" w:cstheme="minorBidi"/>
    </w:rPr>
  </w:style>
  <w:style w:type="paragraph" w:styleId="24">
    <w:name w:val="index 7"/>
    <w:basedOn w:val="1"/>
    <w:next w:val="1"/>
    <w:qFormat/>
    <w:uiPriority w:val="0"/>
    <w:pPr>
      <w:autoSpaceDE/>
      <w:autoSpaceDN/>
      <w:adjustRightInd/>
      <w:ind w:left="1200" w:leftChars="1200"/>
    </w:pPr>
    <w:rPr>
      <w:color w:val="auto"/>
      <w:kern w:val="2"/>
      <w:szCs w:val="24"/>
    </w:rPr>
  </w:style>
  <w:style w:type="paragraph" w:styleId="25">
    <w:name w:val="toc 8"/>
    <w:basedOn w:val="1"/>
    <w:next w:val="1"/>
    <w:semiHidden/>
    <w:unhideWhenUsed/>
    <w:qFormat/>
    <w:uiPriority w:val="0"/>
    <w:pPr>
      <w:ind w:left="2940" w:leftChars="1400"/>
    </w:pPr>
  </w:style>
  <w:style w:type="paragraph" w:styleId="26">
    <w:name w:val="Date"/>
    <w:basedOn w:val="1"/>
    <w:next w:val="1"/>
    <w:link w:val="71"/>
    <w:qFormat/>
    <w:uiPriority w:val="0"/>
    <w:pPr>
      <w:ind w:left="2500" w:leftChars="2500"/>
    </w:pPr>
    <w:rPr>
      <w:rFonts w:eastAsia="楷体_GB2312" w:asciiTheme="minorHAnsi" w:hAnsiTheme="minorHAnsi" w:cstheme="minorBidi"/>
      <w:sz w:val="32"/>
      <w:szCs w:val="22"/>
    </w:rPr>
  </w:style>
  <w:style w:type="paragraph" w:styleId="27">
    <w:name w:val="Body Text Indent 2"/>
    <w:basedOn w:val="1"/>
    <w:link w:val="130"/>
    <w:qFormat/>
    <w:uiPriority w:val="0"/>
    <w:pPr>
      <w:spacing w:after="120" w:line="480" w:lineRule="auto"/>
      <w:ind w:left="420" w:leftChars="200"/>
    </w:p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snapToGrid w:val="0"/>
      <w:jc w:val="left"/>
    </w:pPr>
    <w:rPr>
      <w:sz w:val="18"/>
    </w:rPr>
  </w:style>
  <w:style w:type="paragraph" w:styleId="30">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133"/>
    <w:qFormat/>
    <w:uiPriority w:val="0"/>
    <w:pPr>
      <w:spacing w:before="240" w:after="60" w:line="312" w:lineRule="auto"/>
      <w:jc w:val="center"/>
      <w:outlineLvl w:val="1"/>
    </w:pPr>
    <w:rPr>
      <w:rFonts w:ascii="Cambria" w:hAnsi="Cambria"/>
      <w:b/>
      <w:bCs/>
      <w:kern w:val="28"/>
      <w:sz w:val="32"/>
      <w:szCs w:val="32"/>
      <w:lang w:val="zh-CN"/>
    </w:rPr>
  </w:style>
  <w:style w:type="paragraph" w:styleId="34">
    <w:name w:val="footnote text"/>
    <w:basedOn w:val="1"/>
    <w:link w:val="135"/>
    <w:semiHidden/>
    <w:qFormat/>
    <w:uiPriority w:val="0"/>
    <w:pPr>
      <w:snapToGrid w:val="0"/>
      <w:jc w:val="left"/>
    </w:pPr>
    <w:rPr>
      <w:rFonts w:eastAsia="仿宋_GB2312"/>
      <w:sz w:val="18"/>
      <w:szCs w:val="20"/>
    </w:rPr>
  </w:style>
  <w:style w:type="paragraph" w:styleId="35">
    <w:name w:val="Body Text Indent 3"/>
    <w:basedOn w:val="1"/>
    <w:link w:val="76"/>
    <w:qFormat/>
    <w:uiPriority w:val="0"/>
    <w:pPr>
      <w:spacing w:after="120"/>
      <w:ind w:left="420" w:leftChars="200"/>
    </w:pPr>
    <w:rPr>
      <w:rFonts w:eastAsia="Copperplate Gothic Bold"/>
      <w:sz w:val="16"/>
      <w:szCs w:val="16"/>
    </w:rPr>
  </w:style>
  <w:style w:type="paragraph" w:styleId="36">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7">
    <w:name w:val="Body Text 2"/>
    <w:basedOn w:val="1"/>
    <w:link w:val="136"/>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next w:val="1"/>
    <w:link w:val="13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7"/>
    <w:qFormat/>
    <w:uiPriority w:val="0"/>
    <w:rPr>
      <w:b/>
      <w:bCs/>
    </w:rPr>
  </w:style>
  <w:style w:type="paragraph" w:styleId="41">
    <w:name w:val="Body Text First Indent 2"/>
    <w:basedOn w:val="20"/>
    <w:next w:val="1"/>
    <w:link w:val="80"/>
    <w:qFormat/>
    <w:uiPriority w:val="0"/>
    <w:pPr>
      <w:ind w:firstLine="420"/>
    </w:pPr>
  </w:style>
  <w:style w:type="table" w:styleId="43">
    <w:name w:val="Table Grid"/>
    <w:basedOn w:val="4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Hyperlink"/>
    <w:basedOn w:val="44"/>
    <w:qFormat/>
    <w:uiPriority w:val="99"/>
    <w:rPr>
      <w:color w:val="0000FF"/>
      <w:u w:val="single"/>
    </w:rPr>
  </w:style>
  <w:style w:type="character" w:styleId="49">
    <w:name w:val="annotation reference"/>
    <w:basedOn w:val="44"/>
    <w:qFormat/>
    <w:uiPriority w:val="0"/>
    <w:rPr>
      <w:sz w:val="21"/>
      <w:szCs w:val="21"/>
    </w:rPr>
  </w:style>
  <w:style w:type="character" w:styleId="50">
    <w:name w:val="footnote reference"/>
    <w:basedOn w:val="44"/>
    <w:unhideWhenUsed/>
    <w:qFormat/>
    <w:uiPriority w:val="99"/>
    <w:rPr>
      <w:vertAlign w:val="superscript"/>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样式 表格正文 + 两端对齐"/>
    <w:basedOn w:val="1"/>
    <w:next w:val="53"/>
    <w:qFormat/>
    <w:uiPriority w:val="99"/>
    <w:pPr>
      <w:spacing w:line="300" w:lineRule="auto"/>
    </w:pPr>
    <w:rPr>
      <w:sz w:val="24"/>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my正文"/>
    <w:basedOn w:val="1"/>
    <w:qFormat/>
    <w:uiPriority w:val="0"/>
    <w:pPr>
      <w:spacing w:line="360" w:lineRule="auto"/>
      <w:ind w:firstLine="480" w:firstLineChars="200"/>
    </w:pPr>
    <w:rPr>
      <w:sz w:val="24"/>
    </w:rPr>
  </w:style>
  <w:style w:type="character" w:customStyle="1" w:styleId="55">
    <w:name w:val="标题 1 Char Char"/>
    <w:basedOn w:val="44"/>
    <w:qFormat/>
    <w:uiPriority w:val="0"/>
    <w:rPr>
      <w:rFonts w:eastAsia="宋体"/>
      <w:b/>
      <w:spacing w:val="-2"/>
      <w:sz w:val="24"/>
      <w:lang w:val="en-US" w:eastAsia="zh-CN" w:bidi="ar-SA"/>
    </w:rPr>
  </w:style>
  <w:style w:type="paragraph" w:customStyle="1" w:styleId="56">
    <w:name w:val="p0"/>
    <w:basedOn w:val="1"/>
    <w:qFormat/>
    <w:uiPriority w:val="0"/>
    <w:pPr>
      <w:widowControl/>
    </w:pPr>
    <w:rPr>
      <w:kern w:val="0"/>
      <w:szCs w:val="21"/>
    </w:rPr>
  </w:style>
  <w:style w:type="paragraph" w:customStyle="1" w:styleId="57">
    <w:name w:val="无间隔1"/>
    <w:qFormat/>
    <w:uiPriority w:val="99"/>
    <w:pPr>
      <w:adjustRightInd w:val="0"/>
      <w:snapToGrid w:val="0"/>
    </w:pPr>
    <w:rPr>
      <w:rFonts w:ascii="Tahoma" w:hAnsi="Tahoma" w:eastAsia="微软雅黑" w:cstheme="minorBidi"/>
      <w:sz w:val="22"/>
      <w:szCs w:val="22"/>
      <w:lang w:val="en-US" w:eastAsia="zh-CN" w:bidi="ar-SA"/>
    </w:rPr>
  </w:style>
  <w:style w:type="character" w:customStyle="1" w:styleId="58">
    <w:name w:val="正文文本缩进 字符"/>
    <w:basedOn w:val="44"/>
    <w:link w:val="20"/>
    <w:qFormat/>
    <w:uiPriority w:val="99"/>
    <w:rPr>
      <w:kern w:val="2"/>
      <w:sz w:val="21"/>
      <w:szCs w:val="24"/>
    </w:rPr>
  </w:style>
  <w:style w:type="character" w:customStyle="1" w:styleId="59">
    <w:name w:val="正文缩进 字符1"/>
    <w:link w:val="2"/>
    <w:qFormat/>
    <w:uiPriority w:val="0"/>
    <w:rPr>
      <w:kern w:val="2"/>
      <w:sz w:val="21"/>
    </w:rPr>
  </w:style>
  <w:style w:type="character" w:customStyle="1" w:styleId="60">
    <w:name w:val="标题 1 字符"/>
    <w:link w:val="3"/>
    <w:qFormat/>
    <w:uiPriority w:val="0"/>
    <w:rPr>
      <w:b/>
      <w:bCs/>
      <w:kern w:val="44"/>
      <w:sz w:val="44"/>
      <w:szCs w:val="44"/>
    </w:rPr>
  </w:style>
  <w:style w:type="character" w:customStyle="1" w:styleId="61">
    <w:name w:val="标题 2 字符"/>
    <w:basedOn w:val="44"/>
    <w:link w:val="4"/>
    <w:qFormat/>
    <w:uiPriority w:val="0"/>
    <w:rPr>
      <w:rFonts w:ascii="宋体" w:hAnsi="宋体"/>
      <w:b/>
      <w:kern w:val="2"/>
      <w:sz w:val="32"/>
      <w:szCs w:val="28"/>
    </w:rPr>
  </w:style>
  <w:style w:type="character" w:customStyle="1" w:styleId="62">
    <w:name w:val="标题 3 字符"/>
    <w:basedOn w:val="44"/>
    <w:link w:val="5"/>
    <w:qFormat/>
    <w:uiPriority w:val="0"/>
    <w:rPr>
      <w:bCs/>
      <w:kern w:val="2"/>
      <w:sz w:val="21"/>
      <w:szCs w:val="32"/>
    </w:rPr>
  </w:style>
  <w:style w:type="character" w:customStyle="1" w:styleId="63">
    <w:name w:val="标题 4 字符"/>
    <w:basedOn w:val="44"/>
    <w:link w:val="6"/>
    <w:qFormat/>
    <w:uiPriority w:val="0"/>
    <w:rPr>
      <w:rFonts w:eastAsia="楷体_GB2312"/>
      <w:b/>
      <w:snapToGrid w:val="0"/>
      <w:kern w:val="2"/>
      <w:sz w:val="21"/>
      <w:szCs w:val="24"/>
    </w:rPr>
  </w:style>
  <w:style w:type="character" w:customStyle="1" w:styleId="64">
    <w:name w:val="标题 5 字符"/>
    <w:link w:val="7"/>
    <w:qFormat/>
    <w:uiPriority w:val="0"/>
    <w:rPr>
      <w:b/>
      <w:bCs/>
      <w:sz w:val="28"/>
      <w:szCs w:val="28"/>
    </w:rPr>
  </w:style>
  <w:style w:type="character" w:customStyle="1" w:styleId="65">
    <w:name w:val="标题 6 字符"/>
    <w:link w:val="8"/>
    <w:qFormat/>
    <w:uiPriority w:val="0"/>
    <w:rPr>
      <w:rFonts w:ascii="Arial" w:hAnsi="Arial" w:eastAsia="黑体"/>
      <w:b/>
      <w:bCs/>
      <w:sz w:val="24"/>
      <w:szCs w:val="24"/>
    </w:rPr>
  </w:style>
  <w:style w:type="character" w:customStyle="1" w:styleId="66">
    <w:name w:val="标题 7 字符"/>
    <w:link w:val="9"/>
    <w:qFormat/>
    <w:uiPriority w:val="0"/>
    <w:rPr>
      <w:b/>
      <w:bCs/>
      <w:sz w:val="24"/>
      <w:szCs w:val="24"/>
    </w:rPr>
  </w:style>
  <w:style w:type="character" w:customStyle="1" w:styleId="67">
    <w:name w:val="标题 8 字符"/>
    <w:link w:val="10"/>
    <w:qFormat/>
    <w:uiPriority w:val="0"/>
    <w:rPr>
      <w:rFonts w:ascii="Arial" w:hAnsi="Arial" w:eastAsia="黑体"/>
      <w:sz w:val="24"/>
      <w:szCs w:val="24"/>
    </w:rPr>
  </w:style>
  <w:style w:type="character" w:customStyle="1" w:styleId="68">
    <w:name w:val="标题 9 字符"/>
    <w:link w:val="11"/>
    <w:qFormat/>
    <w:uiPriority w:val="0"/>
    <w:rPr>
      <w:rFonts w:ascii="Arial" w:hAnsi="Arial" w:eastAsia="黑体"/>
      <w:sz w:val="21"/>
      <w:szCs w:val="21"/>
    </w:rPr>
  </w:style>
  <w:style w:type="character" w:customStyle="1" w:styleId="69">
    <w:name w:val="批注文字 字符"/>
    <w:basedOn w:val="44"/>
    <w:link w:val="15"/>
    <w:qFormat/>
    <w:uiPriority w:val="0"/>
    <w:rPr>
      <w:kern w:val="2"/>
      <w:sz w:val="21"/>
      <w:szCs w:val="24"/>
    </w:rPr>
  </w:style>
  <w:style w:type="character" w:customStyle="1" w:styleId="70">
    <w:name w:val="正文文本 字符"/>
    <w:link w:val="17"/>
    <w:qFormat/>
    <w:uiPriority w:val="99"/>
    <w:rPr>
      <w:kern w:val="2"/>
      <w:sz w:val="24"/>
      <w:szCs w:val="24"/>
    </w:rPr>
  </w:style>
  <w:style w:type="character" w:customStyle="1" w:styleId="71">
    <w:name w:val="日期 字符"/>
    <w:basedOn w:val="44"/>
    <w:link w:val="26"/>
    <w:qFormat/>
    <w:uiPriority w:val="0"/>
    <w:rPr>
      <w:rFonts w:eastAsia="楷体_GB2312" w:asciiTheme="minorHAnsi" w:hAnsiTheme="minorHAnsi" w:cstheme="minorBidi"/>
      <w:kern w:val="2"/>
      <w:sz w:val="32"/>
      <w:szCs w:val="22"/>
    </w:rPr>
  </w:style>
  <w:style w:type="character" w:customStyle="1" w:styleId="72">
    <w:name w:val="纯文本 字符1"/>
    <w:link w:val="23"/>
    <w:qFormat/>
    <w:uiPriority w:val="99"/>
    <w:rPr>
      <w:rFonts w:ascii="宋体" w:hAnsi="Courier New" w:cstheme="minorBidi"/>
      <w:kern w:val="2"/>
      <w:sz w:val="21"/>
      <w:szCs w:val="24"/>
    </w:rPr>
  </w:style>
  <w:style w:type="character" w:customStyle="1" w:styleId="73">
    <w:name w:val="批注框文本 字符1"/>
    <w:basedOn w:val="44"/>
    <w:link w:val="28"/>
    <w:qFormat/>
    <w:uiPriority w:val="0"/>
    <w:rPr>
      <w:kern w:val="2"/>
      <w:sz w:val="18"/>
      <w:szCs w:val="18"/>
    </w:rPr>
  </w:style>
  <w:style w:type="character" w:customStyle="1" w:styleId="74">
    <w:name w:val="页脚 字符1"/>
    <w:basedOn w:val="44"/>
    <w:link w:val="29"/>
    <w:qFormat/>
    <w:uiPriority w:val="99"/>
    <w:rPr>
      <w:kern w:val="2"/>
      <w:sz w:val="18"/>
      <w:szCs w:val="24"/>
    </w:rPr>
  </w:style>
  <w:style w:type="character" w:customStyle="1" w:styleId="75">
    <w:name w:val="页眉 字符"/>
    <w:basedOn w:val="44"/>
    <w:link w:val="30"/>
    <w:qFormat/>
    <w:uiPriority w:val="0"/>
    <w:rPr>
      <w:kern w:val="2"/>
      <w:sz w:val="18"/>
      <w:szCs w:val="24"/>
    </w:rPr>
  </w:style>
  <w:style w:type="character" w:customStyle="1" w:styleId="76">
    <w:name w:val="正文文本缩进 3 字符"/>
    <w:basedOn w:val="44"/>
    <w:link w:val="35"/>
    <w:qFormat/>
    <w:uiPriority w:val="0"/>
    <w:rPr>
      <w:rFonts w:eastAsia="Copperplate Gothic Bold"/>
      <w:kern w:val="2"/>
      <w:sz w:val="16"/>
      <w:szCs w:val="16"/>
    </w:rPr>
  </w:style>
  <w:style w:type="character" w:customStyle="1" w:styleId="77">
    <w:name w:val="批注主题 字符1"/>
    <w:basedOn w:val="69"/>
    <w:link w:val="40"/>
    <w:qFormat/>
    <w:uiPriority w:val="0"/>
    <w:rPr>
      <w:b/>
      <w:bCs/>
      <w:kern w:val="2"/>
      <w:sz w:val="21"/>
      <w:szCs w:val="24"/>
    </w:rPr>
  </w:style>
  <w:style w:type="character" w:customStyle="1" w:styleId="78">
    <w:name w:val="正文首行缩进 字符"/>
    <w:basedOn w:val="79"/>
    <w:link w:val="18"/>
    <w:qFormat/>
    <w:uiPriority w:val="0"/>
    <w:rPr>
      <w:kern w:val="2"/>
      <w:sz w:val="24"/>
      <w:szCs w:val="24"/>
    </w:rPr>
  </w:style>
  <w:style w:type="character" w:customStyle="1" w:styleId="79">
    <w:name w:val="正文文本 Char"/>
    <w:basedOn w:val="44"/>
    <w:qFormat/>
    <w:uiPriority w:val="0"/>
    <w:rPr>
      <w:kern w:val="2"/>
      <w:sz w:val="21"/>
      <w:szCs w:val="24"/>
    </w:rPr>
  </w:style>
  <w:style w:type="character" w:customStyle="1" w:styleId="80">
    <w:name w:val="正文首行缩进 2 字符"/>
    <w:basedOn w:val="58"/>
    <w:link w:val="41"/>
    <w:qFormat/>
    <w:uiPriority w:val="0"/>
    <w:rPr>
      <w:kern w:val="2"/>
      <w:sz w:val="21"/>
      <w:szCs w:val="24"/>
    </w:rPr>
  </w:style>
  <w:style w:type="paragraph" w:customStyle="1" w:styleId="81">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styleId="82">
    <w:name w:val="List Paragraph"/>
    <w:basedOn w:val="1"/>
    <w:link w:val="83"/>
    <w:qFormat/>
    <w:uiPriority w:val="34"/>
    <w:pPr>
      <w:ind w:firstLine="420" w:firstLineChars="200"/>
    </w:pPr>
    <w:rPr>
      <w:rFonts w:ascii="Calibri" w:hAnsi="Calibri"/>
      <w:szCs w:val="22"/>
    </w:rPr>
  </w:style>
  <w:style w:type="character" w:customStyle="1" w:styleId="83">
    <w:name w:val="列出段落 字符"/>
    <w:link w:val="82"/>
    <w:qFormat/>
    <w:uiPriority w:val="34"/>
    <w:rPr>
      <w:rFonts w:ascii="Calibri" w:hAnsi="Calibri"/>
      <w:kern w:val="2"/>
      <w:sz w:val="21"/>
      <w:szCs w:val="22"/>
    </w:rPr>
  </w:style>
  <w:style w:type="paragraph" w:customStyle="1" w:styleId="8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8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4"/>
    <w:qFormat/>
    <w:uiPriority w:val="0"/>
    <w:rPr>
      <w:rFonts w:ascii="Times New Roman" w:hAnsi="Times New Roman" w:eastAsia="宋体" w:cs="Times New Roman"/>
      <w:sz w:val="21"/>
      <w:szCs w:val="22"/>
      <w:lang w:val="en-US" w:eastAsia="zh-CN" w:bidi="ar-SA"/>
    </w:rPr>
  </w:style>
  <w:style w:type="paragraph" w:customStyle="1" w:styleId="8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纯文本_3"/>
    <w:basedOn w:val="91"/>
    <w:qFormat/>
    <w:uiPriority w:val="0"/>
    <w:pPr>
      <w:widowControl/>
      <w:jc w:val="left"/>
    </w:pPr>
    <w:rPr>
      <w:rFonts w:ascii="宋体" w:hAnsi="Courier New" w:eastAsiaTheme="minorEastAsia" w:cstheme="minorBidi"/>
      <w:szCs w:val="21"/>
    </w:rPr>
  </w:style>
  <w:style w:type="paragraph" w:customStyle="1" w:styleId="93">
    <w:name w:val="纯文本_0_1"/>
    <w:basedOn w:val="1"/>
    <w:qFormat/>
    <w:uiPriority w:val="0"/>
    <w:pPr>
      <w:widowControl/>
      <w:jc w:val="left"/>
    </w:pPr>
    <w:rPr>
      <w:rFonts w:ascii="宋体" w:hAnsi="Courier New" w:eastAsiaTheme="minorEastAsia" w:cstheme="minorBidi"/>
      <w:szCs w:val="21"/>
    </w:rPr>
  </w:style>
  <w:style w:type="paragraph" w:customStyle="1" w:styleId="9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8">
    <w:name w:val="font21"/>
    <w:basedOn w:val="44"/>
    <w:qFormat/>
    <w:uiPriority w:val="0"/>
    <w:rPr>
      <w:rFonts w:hint="default" w:ascii="Arial" w:hAnsi="Arial" w:cs="Arial"/>
      <w:color w:val="000000"/>
      <w:sz w:val="20"/>
      <w:szCs w:val="20"/>
      <w:u w:val="none"/>
    </w:rPr>
  </w:style>
  <w:style w:type="character" w:customStyle="1" w:styleId="99">
    <w:name w:val="font01"/>
    <w:basedOn w:val="44"/>
    <w:qFormat/>
    <w:uiPriority w:val="0"/>
    <w:rPr>
      <w:rFonts w:hint="eastAsia" w:ascii="宋体" w:hAnsi="宋体" w:eastAsia="宋体" w:cs="宋体"/>
      <w:color w:val="000000"/>
      <w:sz w:val="20"/>
      <w:szCs w:val="20"/>
      <w:u w:val="none"/>
    </w:rPr>
  </w:style>
  <w:style w:type="paragraph" w:customStyle="1" w:styleId="100">
    <w:name w:val="纯文本1"/>
    <w:basedOn w:val="53"/>
    <w:qFormat/>
    <w:uiPriority w:val="0"/>
    <w:pPr>
      <w:widowControl/>
      <w:jc w:val="left"/>
    </w:pPr>
    <w:rPr>
      <w:rFonts w:ascii="宋体" w:hAnsi="Courier New"/>
    </w:rPr>
  </w:style>
  <w:style w:type="paragraph" w:customStyle="1" w:styleId="101">
    <w:name w:val="Table Paragraph"/>
    <w:basedOn w:val="1"/>
    <w:qFormat/>
    <w:uiPriority w:val="1"/>
    <w:rPr>
      <w:rFonts w:ascii="宋体" w:hAnsi="宋体" w:cs="宋体"/>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4">
    <w:name w:val="表格文字"/>
    <w:basedOn w:val="1"/>
    <w:next w:val="17"/>
    <w:qFormat/>
    <w:uiPriority w:val="0"/>
    <w:pPr>
      <w:widowControl/>
      <w:jc w:val="center"/>
    </w:pPr>
    <w:rPr>
      <w:rFonts w:ascii="宋体" w:hAnsi="宋体" w:cs="宋体"/>
      <w:snapToGrid w:val="0"/>
      <w:szCs w:val="21"/>
    </w:rPr>
  </w:style>
  <w:style w:type="character" w:customStyle="1" w:styleId="105">
    <w:name w:val="标题 4 Char Char Char Char"/>
    <w:qFormat/>
    <w:uiPriority w:val="0"/>
    <w:rPr>
      <w:rFonts w:eastAsia="楷体_GB2312"/>
      <w:b/>
      <w:snapToGrid w:val="0"/>
      <w:sz w:val="24"/>
      <w:lang w:val="en-US" w:eastAsia="zh-CN" w:bidi="ar-SA"/>
    </w:rPr>
  </w:style>
  <w:style w:type="paragraph" w:customStyle="1" w:styleId="106">
    <w:name w:val="Other|1"/>
    <w:basedOn w:val="1"/>
    <w:qFormat/>
    <w:uiPriority w:val="0"/>
    <w:pPr>
      <w:spacing w:line="336" w:lineRule="auto"/>
    </w:pPr>
    <w:rPr>
      <w:rFonts w:ascii="宋体" w:hAnsi="宋体" w:cs="宋体"/>
      <w:sz w:val="11"/>
      <w:szCs w:val="11"/>
      <w:lang w:val="zh-TW" w:eastAsia="zh-TW" w:bidi="zh-TW"/>
    </w:rPr>
  </w:style>
  <w:style w:type="paragraph" w:customStyle="1" w:styleId="107">
    <w:name w:val="样式 标题 2 + Times New Roman 四号 非加粗 段前: 5 磅 段后: 0 磅 行距: 固定值 20..."/>
    <w:basedOn w:val="4"/>
    <w:qFormat/>
    <w:uiPriority w:val="0"/>
    <w:pPr>
      <w:spacing w:before="100" w:line="400" w:lineRule="exact"/>
    </w:pPr>
    <w:rPr>
      <w:rFonts w:ascii="Times New Roman" w:hAnsi="Times New Roman" w:cs="宋体"/>
      <w:sz w:val="28"/>
      <w:szCs w:val="20"/>
    </w:rPr>
  </w:style>
  <w:style w:type="paragraph" w:customStyle="1" w:styleId="108">
    <w:name w:val="_Style 1"/>
    <w:qFormat/>
    <w:uiPriority w:val="0"/>
    <w:rPr>
      <w:rFonts w:ascii="Calibri" w:hAnsi="Calibri" w:eastAsia="宋体" w:cs="Times New Roman"/>
      <w:kern w:val="2"/>
      <w:sz w:val="28"/>
      <w:szCs w:val="22"/>
      <w:lang w:val="en-US" w:eastAsia="zh-CN" w:bidi="ar-SA"/>
    </w:rPr>
  </w:style>
  <w:style w:type="paragraph" w:customStyle="1" w:styleId="109">
    <w:name w:val="标题 4_0_0"/>
    <w:basedOn w:val="110"/>
    <w:next w:val="111"/>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1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3">
    <w:name w:val="Unresolved Mention"/>
    <w:basedOn w:val="44"/>
    <w:semiHidden/>
    <w:unhideWhenUsed/>
    <w:qFormat/>
    <w:uiPriority w:val="99"/>
    <w:rPr>
      <w:color w:val="605E5C"/>
      <w:shd w:val="clear" w:color="auto" w:fill="E1DFDD"/>
    </w:rPr>
  </w:style>
  <w:style w:type="character" w:customStyle="1" w:styleId="114">
    <w:name w:val="纯文本 Char2"/>
    <w:qFormat/>
    <w:uiPriority w:val="99"/>
    <w:rPr>
      <w:rFonts w:ascii="宋体" w:hAnsi="Courier New"/>
      <w:kern w:val="2"/>
      <w:sz w:val="21"/>
    </w:rPr>
  </w:style>
  <w:style w:type="paragraph" w:customStyle="1" w:styleId="11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6">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character" w:customStyle="1" w:styleId="117">
    <w:name w:val="jbox-icon"/>
    <w:basedOn w:val="44"/>
    <w:qFormat/>
    <w:uiPriority w:val="0"/>
  </w:style>
  <w:style w:type="character" w:customStyle="1" w:styleId="118">
    <w:name w:val="标题 5 Char"/>
    <w:basedOn w:val="44"/>
    <w:semiHidden/>
    <w:qFormat/>
    <w:uiPriority w:val="9"/>
    <w:rPr>
      <w:b/>
      <w:bCs/>
      <w:kern w:val="2"/>
      <w:sz w:val="28"/>
      <w:szCs w:val="28"/>
    </w:rPr>
  </w:style>
  <w:style w:type="character" w:customStyle="1" w:styleId="119">
    <w:name w:val="标题 6 Char"/>
    <w:basedOn w:val="44"/>
    <w:semiHidden/>
    <w:qFormat/>
    <w:uiPriority w:val="9"/>
    <w:rPr>
      <w:rFonts w:asciiTheme="majorHAnsi" w:hAnsiTheme="majorHAnsi" w:eastAsiaTheme="majorEastAsia" w:cstheme="majorBidi"/>
      <w:b/>
      <w:bCs/>
      <w:kern w:val="2"/>
      <w:sz w:val="24"/>
      <w:szCs w:val="24"/>
    </w:rPr>
  </w:style>
  <w:style w:type="character" w:customStyle="1" w:styleId="120">
    <w:name w:val="标题 7 Char"/>
    <w:basedOn w:val="44"/>
    <w:semiHidden/>
    <w:qFormat/>
    <w:uiPriority w:val="9"/>
    <w:rPr>
      <w:b/>
      <w:bCs/>
      <w:kern w:val="2"/>
      <w:sz w:val="24"/>
      <w:szCs w:val="24"/>
    </w:rPr>
  </w:style>
  <w:style w:type="character" w:customStyle="1" w:styleId="121">
    <w:name w:val="标题 8 Char"/>
    <w:basedOn w:val="44"/>
    <w:semiHidden/>
    <w:qFormat/>
    <w:uiPriority w:val="9"/>
    <w:rPr>
      <w:rFonts w:asciiTheme="majorHAnsi" w:hAnsiTheme="majorHAnsi" w:eastAsiaTheme="majorEastAsia" w:cstheme="majorBidi"/>
      <w:kern w:val="2"/>
      <w:sz w:val="24"/>
      <w:szCs w:val="24"/>
    </w:rPr>
  </w:style>
  <w:style w:type="character" w:customStyle="1" w:styleId="122">
    <w:name w:val="标题 9 Char"/>
    <w:basedOn w:val="44"/>
    <w:semiHidden/>
    <w:qFormat/>
    <w:uiPriority w:val="9"/>
    <w:rPr>
      <w:rFonts w:asciiTheme="majorHAnsi" w:hAnsiTheme="majorHAnsi" w:eastAsiaTheme="majorEastAsia" w:cstheme="majorBidi"/>
      <w:kern w:val="2"/>
      <w:sz w:val="21"/>
      <w:szCs w:val="21"/>
    </w:rPr>
  </w:style>
  <w:style w:type="character" w:customStyle="1" w:styleId="123">
    <w:name w:val="标题 1 Char"/>
    <w:basedOn w:val="44"/>
    <w:qFormat/>
    <w:uiPriority w:val="9"/>
    <w:rPr>
      <w:b/>
      <w:bCs/>
      <w:kern w:val="44"/>
      <w:sz w:val="44"/>
      <w:szCs w:val="44"/>
    </w:rPr>
  </w:style>
  <w:style w:type="character" w:customStyle="1" w:styleId="124">
    <w:name w:val="纯文本 Char4"/>
    <w:qFormat/>
    <w:uiPriority w:val="0"/>
    <w:rPr>
      <w:rFonts w:ascii="宋体" w:hAnsi="Courier New"/>
      <w:sz w:val="24"/>
      <w:szCs w:val="24"/>
    </w:rPr>
  </w:style>
  <w:style w:type="character" w:customStyle="1" w:styleId="125">
    <w:name w:val="正文缩进 字符"/>
    <w:qFormat/>
    <w:uiPriority w:val="0"/>
    <w:rPr>
      <w:kern w:val="2"/>
      <w:sz w:val="21"/>
      <w:szCs w:val="24"/>
    </w:rPr>
  </w:style>
  <w:style w:type="character" w:customStyle="1" w:styleId="126">
    <w:name w:val="文档结构图 字符"/>
    <w:link w:val="14"/>
    <w:qFormat/>
    <w:uiPriority w:val="0"/>
    <w:rPr>
      <w:szCs w:val="24"/>
      <w:shd w:val="clear" w:color="auto" w:fill="000080"/>
      <w:lang w:val="zh-CN" w:eastAsia="zh-CN"/>
    </w:rPr>
  </w:style>
  <w:style w:type="character" w:customStyle="1" w:styleId="127">
    <w:name w:val="文档结构图 Char"/>
    <w:basedOn w:val="44"/>
    <w:semiHidden/>
    <w:qFormat/>
    <w:uiPriority w:val="99"/>
    <w:rPr>
      <w:rFonts w:ascii="Microsoft YaHei UI" w:eastAsia="Microsoft YaHei UI"/>
      <w:kern w:val="2"/>
      <w:sz w:val="18"/>
      <w:szCs w:val="18"/>
    </w:rPr>
  </w:style>
  <w:style w:type="character" w:customStyle="1" w:styleId="128">
    <w:name w:val="正文文本 3 字符"/>
    <w:basedOn w:val="44"/>
    <w:link w:val="16"/>
    <w:qFormat/>
    <w:uiPriority w:val="0"/>
    <w:rPr>
      <w:rFonts w:ascii="宋体"/>
      <w:kern w:val="2"/>
      <w:sz w:val="24"/>
    </w:rPr>
  </w:style>
  <w:style w:type="character" w:customStyle="1" w:styleId="129">
    <w:name w:val="纯文本 字符"/>
    <w:qFormat/>
    <w:uiPriority w:val="0"/>
    <w:rPr>
      <w:rFonts w:ascii="宋体" w:hAnsi="Courier New"/>
      <w:kern w:val="2"/>
      <w:sz w:val="21"/>
    </w:rPr>
  </w:style>
  <w:style w:type="character" w:customStyle="1" w:styleId="130">
    <w:name w:val="正文文本缩进 2 字符"/>
    <w:basedOn w:val="44"/>
    <w:link w:val="27"/>
    <w:qFormat/>
    <w:uiPriority w:val="0"/>
    <w:rPr>
      <w:kern w:val="2"/>
      <w:sz w:val="21"/>
      <w:szCs w:val="24"/>
    </w:rPr>
  </w:style>
  <w:style w:type="character" w:customStyle="1" w:styleId="131">
    <w:name w:val="批注框文本 字符"/>
    <w:qFormat/>
    <w:uiPriority w:val="0"/>
    <w:rPr>
      <w:kern w:val="2"/>
      <w:sz w:val="18"/>
      <w:szCs w:val="18"/>
      <w:lang w:val="zh-CN" w:eastAsia="zh-CN"/>
    </w:rPr>
  </w:style>
  <w:style w:type="character" w:customStyle="1" w:styleId="132">
    <w:name w:val="页脚 字符"/>
    <w:qFormat/>
    <w:uiPriority w:val="0"/>
    <w:rPr>
      <w:kern w:val="2"/>
      <w:sz w:val="18"/>
      <w:szCs w:val="18"/>
    </w:rPr>
  </w:style>
  <w:style w:type="character" w:customStyle="1" w:styleId="133">
    <w:name w:val="副标题 字符"/>
    <w:link w:val="33"/>
    <w:qFormat/>
    <w:uiPriority w:val="0"/>
    <w:rPr>
      <w:rFonts w:ascii="Cambria" w:hAnsi="Cambria"/>
      <w:b/>
      <w:bCs/>
      <w:kern w:val="28"/>
      <w:sz w:val="32"/>
      <w:szCs w:val="32"/>
      <w:lang w:val="zh-CN" w:eastAsia="zh-CN"/>
    </w:rPr>
  </w:style>
  <w:style w:type="character" w:customStyle="1" w:styleId="134">
    <w:name w:val="副标题 Char"/>
    <w:basedOn w:val="44"/>
    <w:qFormat/>
    <w:uiPriority w:val="11"/>
    <w:rPr>
      <w:rFonts w:asciiTheme="majorHAnsi" w:hAnsiTheme="majorHAnsi" w:cstheme="majorBidi"/>
      <w:b/>
      <w:bCs/>
      <w:kern w:val="28"/>
      <w:sz w:val="32"/>
      <w:szCs w:val="32"/>
    </w:rPr>
  </w:style>
  <w:style w:type="character" w:customStyle="1" w:styleId="135">
    <w:name w:val="脚注文本 字符"/>
    <w:basedOn w:val="44"/>
    <w:link w:val="34"/>
    <w:semiHidden/>
    <w:qFormat/>
    <w:uiPriority w:val="0"/>
    <w:rPr>
      <w:rFonts w:eastAsia="仿宋_GB2312"/>
      <w:kern w:val="2"/>
      <w:sz w:val="18"/>
    </w:rPr>
  </w:style>
  <w:style w:type="character" w:customStyle="1" w:styleId="136">
    <w:name w:val="正文文本 2 字符"/>
    <w:basedOn w:val="44"/>
    <w:link w:val="37"/>
    <w:qFormat/>
    <w:uiPriority w:val="0"/>
    <w:rPr>
      <w:kern w:val="2"/>
      <w:sz w:val="21"/>
      <w:szCs w:val="24"/>
    </w:rPr>
  </w:style>
  <w:style w:type="character" w:customStyle="1" w:styleId="137">
    <w:name w:val="标题 字符"/>
    <w:link w:val="39"/>
    <w:qFormat/>
    <w:uiPriority w:val="0"/>
    <w:rPr>
      <w:rFonts w:ascii="Arial" w:hAnsi="Arial"/>
      <w:b/>
      <w:sz w:val="32"/>
    </w:rPr>
  </w:style>
  <w:style w:type="character" w:customStyle="1" w:styleId="138">
    <w:name w:val="标题 Char"/>
    <w:basedOn w:val="44"/>
    <w:qFormat/>
    <w:uiPriority w:val="10"/>
    <w:rPr>
      <w:rFonts w:asciiTheme="majorHAnsi" w:hAnsiTheme="majorHAnsi" w:cstheme="majorBidi"/>
      <w:b/>
      <w:bCs/>
      <w:kern w:val="2"/>
      <w:sz w:val="32"/>
      <w:szCs w:val="32"/>
    </w:rPr>
  </w:style>
  <w:style w:type="character" w:customStyle="1" w:styleId="139">
    <w:name w:val="批注主题 字符"/>
    <w:qFormat/>
    <w:uiPriority w:val="0"/>
    <w:rPr>
      <w:rFonts w:ascii="宋体"/>
      <w:b/>
      <w:bCs/>
      <w:sz w:val="28"/>
      <w:lang w:val="zh-CN" w:eastAsia="zh-CN"/>
    </w:rPr>
  </w:style>
  <w:style w:type="character" w:customStyle="1" w:styleId="140">
    <w:name w:val="font161"/>
    <w:qFormat/>
    <w:uiPriority w:val="0"/>
    <w:rPr>
      <w:b/>
      <w:bCs/>
      <w:sz w:val="32"/>
      <w:szCs w:val="32"/>
    </w:rPr>
  </w:style>
  <w:style w:type="character" w:customStyle="1" w:styleId="141">
    <w:name w:val="标题5 Char Char"/>
    <w:link w:val="142"/>
    <w:qFormat/>
    <w:uiPriority w:val="0"/>
    <w:rPr>
      <w:rFonts w:ascii="Arial" w:hAnsi="Arial"/>
      <w:b/>
      <w:bCs/>
      <w:sz w:val="24"/>
      <w:szCs w:val="32"/>
    </w:rPr>
  </w:style>
  <w:style w:type="paragraph" w:customStyle="1" w:styleId="142">
    <w:name w:val="标题5"/>
    <w:basedOn w:val="5"/>
    <w:link w:val="141"/>
    <w:qFormat/>
    <w:uiPriority w:val="0"/>
    <w:pPr>
      <w:tabs>
        <w:tab w:val="clear" w:pos="8280"/>
      </w:tabs>
      <w:spacing w:line="413" w:lineRule="auto"/>
    </w:pPr>
    <w:rPr>
      <w:rFonts w:ascii="Arial" w:hAnsi="Arial"/>
      <w:b/>
      <w:kern w:val="0"/>
      <w:sz w:val="24"/>
    </w:rPr>
  </w:style>
  <w:style w:type="character" w:customStyle="1" w:styleId="143">
    <w:name w:val="正文文字4 Char Char"/>
    <w:qFormat/>
    <w:uiPriority w:val="0"/>
    <w:rPr>
      <w:rFonts w:eastAsia="宋体"/>
      <w:kern w:val="2"/>
      <w:sz w:val="21"/>
      <w:szCs w:val="24"/>
      <w:lang w:val="en-US" w:eastAsia="zh-CN" w:bidi="ar-SA"/>
    </w:rPr>
  </w:style>
  <w:style w:type="character" w:customStyle="1" w:styleId="144">
    <w:name w:val="普通文字 Char Char1"/>
    <w:qFormat/>
    <w:uiPriority w:val="0"/>
    <w:rPr>
      <w:rFonts w:ascii="宋体" w:hAnsi="Courier New" w:eastAsia="宋体"/>
      <w:kern w:val="2"/>
      <w:sz w:val="21"/>
      <w:lang w:val="en-US" w:eastAsia="zh-CN" w:bidi="ar-SA"/>
    </w:rPr>
  </w:style>
  <w:style w:type="character" w:customStyle="1" w:styleId="145">
    <w:name w:val="明显引用 字符"/>
    <w:link w:val="146"/>
    <w:qFormat/>
    <w:uiPriority w:val="0"/>
    <w:rPr>
      <w:b/>
      <w:bCs/>
      <w:i/>
      <w:iCs/>
      <w:color w:val="4F81BD"/>
      <w:kern w:val="2"/>
      <w:sz w:val="21"/>
      <w:szCs w:val="22"/>
    </w:rPr>
  </w:style>
  <w:style w:type="paragraph" w:styleId="146">
    <w:name w:val="Intense Quote"/>
    <w:basedOn w:val="1"/>
    <w:next w:val="1"/>
    <w:link w:val="145"/>
    <w:qFormat/>
    <w:uiPriority w:val="0"/>
    <w:pPr>
      <w:pBdr>
        <w:bottom w:val="single" w:color="4F81BD" w:sz="4" w:space="4"/>
      </w:pBdr>
      <w:spacing w:before="200" w:after="280"/>
      <w:ind w:left="936" w:right="936"/>
    </w:pPr>
    <w:rPr>
      <w:b/>
      <w:bCs/>
      <w:i/>
      <w:iCs/>
      <w:color w:val="4F81BD"/>
      <w:szCs w:val="22"/>
    </w:rPr>
  </w:style>
  <w:style w:type="character" w:customStyle="1" w:styleId="147">
    <w:name w:val="明显引用 Char"/>
    <w:basedOn w:val="44"/>
    <w:qFormat/>
    <w:uiPriority w:val="30"/>
    <w:rPr>
      <w:i/>
      <w:iCs/>
      <w:color w:val="5B9BD5" w:themeColor="accent1"/>
      <w:kern w:val="2"/>
      <w:sz w:val="21"/>
      <w:szCs w:val="24"/>
      <w14:textFill>
        <w14:solidFill>
          <w14:schemeClr w14:val="accent1"/>
        </w14:solidFill>
      </w14:textFill>
    </w:rPr>
  </w:style>
  <w:style w:type="character" w:customStyle="1" w:styleId="148">
    <w:name w:val="普通文字 Char Char"/>
    <w:qFormat/>
    <w:uiPriority w:val="0"/>
    <w:rPr>
      <w:rFonts w:ascii="宋体" w:hAnsi="Courier New" w:eastAsia="宋体"/>
      <w:kern w:val="2"/>
      <w:sz w:val="21"/>
      <w:lang w:val="en-US" w:eastAsia="zh-CN" w:bidi="ar-SA"/>
    </w:rPr>
  </w:style>
  <w:style w:type="character" w:customStyle="1" w:styleId="149">
    <w:name w:val="fx_label"/>
    <w:qFormat/>
    <w:uiPriority w:val="0"/>
  </w:style>
  <w:style w:type="character" w:customStyle="1" w:styleId="150">
    <w:name w:val="标题4 Char Char"/>
    <w:link w:val="151"/>
    <w:qFormat/>
    <w:uiPriority w:val="0"/>
    <w:rPr>
      <w:rFonts w:eastAsia="仿宋_GB2312"/>
      <w:kern w:val="2"/>
      <w:sz w:val="32"/>
    </w:rPr>
  </w:style>
  <w:style w:type="paragraph" w:customStyle="1" w:styleId="151">
    <w:name w:val="标题4"/>
    <w:basedOn w:val="1"/>
    <w:link w:val="150"/>
    <w:qFormat/>
    <w:uiPriority w:val="0"/>
    <w:rPr>
      <w:rFonts w:eastAsia="仿宋_GB2312"/>
      <w:sz w:val="32"/>
      <w:szCs w:val="20"/>
    </w:rPr>
  </w:style>
  <w:style w:type="character" w:customStyle="1" w:styleId="152">
    <w:name w:val="二 Char1"/>
    <w:qFormat/>
    <w:uiPriority w:val="0"/>
    <w:rPr>
      <w:rFonts w:eastAsia="宋体"/>
      <w:kern w:val="2"/>
      <w:sz w:val="21"/>
      <w:szCs w:val="24"/>
      <w:lang w:val="en-US" w:eastAsia="zh-CN" w:bidi="ar-SA"/>
    </w:rPr>
  </w:style>
  <w:style w:type="character" w:customStyle="1" w:styleId="153">
    <w:name w:val="引用 字符"/>
    <w:link w:val="154"/>
    <w:qFormat/>
    <w:uiPriority w:val="0"/>
    <w:rPr>
      <w:i/>
      <w:iCs/>
      <w:color w:val="000000"/>
      <w:kern w:val="2"/>
      <w:sz w:val="21"/>
      <w:szCs w:val="22"/>
    </w:rPr>
  </w:style>
  <w:style w:type="paragraph" w:styleId="154">
    <w:name w:val="Quote"/>
    <w:basedOn w:val="1"/>
    <w:next w:val="1"/>
    <w:link w:val="153"/>
    <w:qFormat/>
    <w:uiPriority w:val="0"/>
    <w:rPr>
      <w:i/>
      <w:iCs/>
      <w:color w:val="000000"/>
      <w:szCs w:val="22"/>
    </w:rPr>
  </w:style>
  <w:style w:type="character" w:customStyle="1" w:styleId="155">
    <w:name w:val="引用 Char"/>
    <w:basedOn w:val="44"/>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6">
    <w:name w:val="htd01"/>
    <w:qFormat/>
    <w:uiPriority w:val="0"/>
  </w:style>
  <w:style w:type="character" w:customStyle="1" w:styleId="157">
    <w:name w:val="Char Char1"/>
    <w:qFormat/>
    <w:uiPriority w:val="0"/>
    <w:rPr>
      <w:rFonts w:ascii="Arial" w:hAnsi="Arial" w:eastAsia="黑体"/>
      <w:b/>
      <w:bCs/>
      <w:kern w:val="2"/>
      <w:sz w:val="32"/>
      <w:szCs w:val="32"/>
      <w:lang w:val="en-US" w:eastAsia="zh-CN" w:bidi="ar-SA"/>
    </w:rPr>
  </w:style>
  <w:style w:type="character" w:customStyle="1" w:styleId="158">
    <w:name w:val="二 Char"/>
    <w:qFormat/>
    <w:uiPriority w:val="0"/>
    <w:rPr>
      <w:rFonts w:eastAsia="仿宋_GB2312"/>
      <w:kern w:val="2"/>
      <w:sz w:val="32"/>
      <w:lang w:val="en-US" w:eastAsia="zh-CN" w:bidi="ar-SA"/>
    </w:rPr>
  </w:style>
  <w:style w:type="character" w:customStyle="1" w:styleId="159">
    <w:name w:val="Char Char10"/>
    <w:qFormat/>
    <w:locked/>
    <w:uiPriority w:val="0"/>
    <w:rPr>
      <w:rFonts w:ascii="宋体" w:hAnsi="宋体" w:eastAsia="宋体"/>
      <w:kern w:val="2"/>
      <w:sz w:val="21"/>
      <w:szCs w:val="24"/>
      <w:lang w:val="en-US" w:eastAsia="zh-CN" w:bidi="ar-SA"/>
    </w:rPr>
  </w:style>
  <w:style w:type="character" w:customStyle="1" w:styleId="160">
    <w:name w:val="apple-converted-space"/>
    <w:qFormat/>
    <w:uiPriority w:val="0"/>
  </w:style>
  <w:style w:type="paragraph" w:customStyle="1" w:styleId="161">
    <w:name w:val="表格"/>
    <w:basedOn w:val="1"/>
    <w:qFormat/>
    <w:uiPriority w:val="0"/>
    <w:pPr>
      <w:jc w:val="center"/>
      <w:textAlignment w:val="center"/>
    </w:pPr>
    <w:rPr>
      <w:rFonts w:ascii="华文细黑" w:hAnsi="华文细黑"/>
      <w:kern w:val="0"/>
      <w:szCs w:val="20"/>
    </w:rPr>
  </w:style>
  <w:style w:type="paragraph" w:customStyle="1" w:styleId="162">
    <w:name w:val="Char1"/>
    <w:basedOn w:val="1"/>
    <w:qFormat/>
    <w:uiPriority w:val="0"/>
    <w:pPr>
      <w:jc w:val="center"/>
    </w:pPr>
    <w:rPr>
      <w:rFonts w:ascii="仿宋_GB2312" w:eastAsia="仿宋_GB2312"/>
      <w:b/>
      <w:kern w:val="0"/>
      <w:sz w:val="32"/>
      <w:szCs w:val="32"/>
      <w:lang w:val="en-GB"/>
    </w:rPr>
  </w:style>
  <w:style w:type="paragraph" w:customStyle="1" w:styleId="163">
    <w:name w:val="Char Char Char"/>
    <w:basedOn w:val="1"/>
    <w:qFormat/>
    <w:uiPriority w:val="0"/>
    <w:rPr>
      <w:szCs w:val="20"/>
    </w:rPr>
  </w:style>
  <w:style w:type="paragraph" w:customStyle="1" w:styleId="164">
    <w:name w:val="Char"/>
    <w:basedOn w:val="1"/>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165">
    <w:name w:val="Char2"/>
    <w:basedOn w:val="1"/>
    <w:qFormat/>
    <w:uiPriority w:val="0"/>
    <w:rPr>
      <w:rFonts w:ascii="仿宋_GB2312" w:eastAsia="仿宋_GB2312"/>
      <w:b/>
      <w:sz w:val="32"/>
      <w:szCs w:val="32"/>
    </w:rPr>
  </w:style>
  <w:style w:type="paragraph" w:customStyle="1" w:styleId="166">
    <w:name w:val="样式 样式 样式1 + 首行缩进:  2 字符 + 左侧:  0.74 厘米"/>
    <w:basedOn w:val="103"/>
    <w:qFormat/>
    <w:uiPriority w:val="0"/>
    <w:pPr>
      <w:ind w:firstLine="200"/>
    </w:pPr>
  </w:style>
  <w:style w:type="paragraph" w:customStyle="1" w:styleId="16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8">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9">
    <w:name w:val="样式 标题 3 + 段前: 7.8 磅"/>
    <w:basedOn w:val="5"/>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2">
    <w:name w:val="样式 标题 3 + Arial"/>
    <w:basedOn w:val="5"/>
    <w:qFormat/>
    <w:uiPriority w:val="0"/>
    <w:pPr>
      <w:tabs>
        <w:tab w:val="clear" w:pos="8280"/>
      </w:tabs>
      <w:spacing w:before="100" w:beforeLines="100" w:after="0" w:line="360" w:lineRule="auto"/>
    </w:pPr>
    <w:rPr>
      <w:rFonts w:ascii="Arial" w:hAnsi="Arial"/>
      <w:b/>
      <w:sz w:val="24"/>
    </w:rPr>
  </w:style>
  <w:style w:type="paragraph" w:customStyle="1" w:styleId="173">
    <w:name w:val="样式 标题 3 + (中文) 黑体 小四 非加粗 段前: 7.8 磅 段后: 0 磅 行距: 固定值 20 磅"/>
    <w:basedOn w:val="5"/>
    <w:qFormat/>
    <w:uiPriority w:val="0"/>
    <w:pPr>
      <w:tabs>
        <w:tab w:val="clear" w:pos="8280"/>
      </w:tabs>
      <w:spacing w:before="0" w:after="0" w:line="400" w:lineRule="exact"/>
    </w:pPr>
    <w:rPr>
      <w:rFonts w:eastAsia="黑体" w:cs="宋体"/>
      <w:bCs w:val="0"/>
      <w:sz w:val="24"/>
      <w:szCs w:val="20"/>
    </w:rPr>
  </w:style>
  <w:style w:type="paragraph" w:customStyle="1" w:styleId="174">
    <w:name w:val="样式 标题 1 + 黑体 三号 非加粗 居中 段前: 6 磅 段后: 6 磅 行距: 固定值 20 磅"/>
    <w:basedOn w:val="3"/>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5">
    <w:name w:val="1"/>
    <w:basedOn w:val="1"/>
    <w:next w:val="1"/>
    <w:qFormat/>
    <w:uiPriority w:val="0"/>
  </w:style>
  <w:style w:type="paragraph" w:customStyle="1" w:styleId="176">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7">
    <w:name w:val="标题 61"/>
    <w:basedOn w:val="1"/>
    <w:qFormat/>
    <w:uiPriority w:val="1"/>
    <w:pPr>
      <w:autoSpaceDE w:val="0"/>
      <w:autoSpaceDN w:val="0"/>
      <w:adjustRightInd w:val="0"/>
      <w:ind w:left="448"/>
      <w:jc w:val="left"/>
      <w:outlineLvl w:val="5"/>
    </w:pPr>
    <w:rPr>
      <w:rFonts w:ascii="宋体" w:cs="宋体"/>
      <w:kern w:val="0"/>
      <w:sz w:val="28"/>
      <w:szCs w:val="28"/>
    </w:rPr>
  </w:style>
  <w:style w:type="paragraph" w:customStyle="1" w:styleId="178">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9">
    <w:name w:val="正文文本 Char1"/>
    <w:qFormat/>
    <w:uiPriority w:val="99"/>
    <w:rPr>
      <w:rFonts w:eastAsia="宋体"/>
      <w:kern w:val="2"/>
      <w:sz w:val="21"/>
      <w:szCs w:val="24"/>
      <w:lang w:val="en-US" w:eastAsia="zh-CN" w:bidi="ar-SA"/>
    </w:rPr>
  </w:style>
  <w:style w:type="character" w:customStyle="1" w:styleId="180">
    <w:name w:val="批注文字 Char2"/>
    <w:basedOn w:val="44"/>
    <w:qFormat/>
    <w:uiPriority w:val="0"/>
    <w:rPr>
      <w:kern w:val="2"/>
      <w:sz w:val="21"/>
      <w:szCs w:val="24"/>
    </w:rPr>
  </w:style>
  <w:style w:type="paragraph" w:customStyle="1" w:styleId="181">
    <w:name w:val="zw"/>
    <w:basedOn w:val="1"/>
    <w:qFormat/>
    <w:uiPriority w:val="0"/>
    <w:pPr>
      <w:widowControl/>
      <w:spacing w:before="30"/>
      <w:ind w:left="100" w:right="100"/>
    </w:pPr>
    <w:rPr>
      <w:rFonts w:ascii="方正书宋简体" w:hAnsi="楷体_GB2312" w:eastAsia="方正书宋简体"/>
      <w:color w:val="000000"/>
      <w:kern w:val="0"/>
      <w:szCs w:val="21"/>
    </w:rPr>
  </w:style>
  <w:style w:type="character" w:customStyle="1" w:styleId="182">
    <w:name w:val="large1"/>
    <w:basedOn w:val="44"/>
    <w:qFormat/>
    <w:uiPriority w:val="0"/>
    <w:rPr>
      <w:rFonts w:hint="eastAsia" w:ascii="宋体" w:hAnsi="宋体" w:eastAsia="宋体"/>
      <w:sz w:val="21"/>
      <w:szCs w:val="21"/>
    </w:rPr>
  </w:style>
  <w:style w:type="paragraph" w:customStyle="1" w:styleId="183">
    <w:name w:val="Default"/>
    <w:next w:val="18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186">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87">
    <w:name w:val="无间隔2"/>
    <w:qFormat/>
    <w:uiPriority w:val="0"/>
    <w:pPr>
      <w:adjustRightInd w:val="0"/>
      <w:snapToGrid w:val="0"/>
    </w:pPr>
    <w:rPr>
      <w:rFonts w:ascii="Tahoma" w:hAnsi="Tahoma" w:eastAsia="微软雅黑" w:cs="Times New Roman"/>
      <w:sz w:val="22"/>
      <w:szCs w:val="22"/>
      <w:lang w:val="en-US" w:eastAsia="zh-CN" w:bidi="ar-SA"/>
    </w:rPr>
  </w:style>
  <w:style w:type="paragraph" w:customStyle="1" w:styleId="188">
    <w:name w:val="WW-正文缩进"/>
    <w:basedOn w:val="1"/>
    <w:qFormat/>
    <w:uiPriority w:val="0"/>
    <w:pPr>
      <w:suppressAutoHyphens/>
      <w:autoSpaceDN/>
      <w:adjustRightInd/>
      <w:ind w:firstLine="488"/>
    </w:pPr>
  </w:style>
  <w:style w:type="paragraph" w:customStyle="1" w:styleId="189">
    <w:name w:val="11111"/>
    <w:basedOn w:val="35"/>
    <w:qFormat/>
    <w:uiPriority w:val="0"/>
    <w:pPr>
      <w:autoSpaceDE/>
      <w:autoSpaceDN/>
      <w:adjustRightInd/>
      <w:spacing w:after="0" w:line="500" w:lineRule="exact"/>
      <w:ind w:left="0"/>
      <w:textAlignment w:val="auto"/>
    </w:pPr>
    <w:rPr>
      <w:rFonts w:ascii="宋体" w:hAnsi="宋体"/>
      <w:kern w:val="2"/>
      <w:sz w:val="24"/>
      <w:szCs w:val="24"/>
    </w:rPr>
  </w:style>
  <w:style w:type="character" w:customStyle="1" w:styleId="190">
    <w:name w:val="font11"/>
    <w:basedOn w:val="44"/>
    <w:qFormat/>
    <w:uiPriority w:val="0"/>
    <w:rPr>
      <w:rFonts w:hint="eastAsia" w:ascii="宋体" w:hAnsi="宋体" w:eastAsia="宋体" w:cs="宋体"/>
      <w:color w:val="000000"/>
      <w:sz w:val="18"/>
      <w:szCs w:val="18"/>
      <w:u w:val="none"/>
    </w:rPr>
  </w:style>
  <w:style w:type="character" w:customStyle="1" w:styleId="191">
    <w:name w:val="font3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3886</Words>
  <Characters>4301</Characters>
  <Lines>415</Lines>
  <Paragraphs>117</Paragraphs>
  <TotalTime>57</TotalTime>
  <ScaleCrop>false</ScaleCrop>
  <LinksUpToDate>false</LinksUpToDate>
  <CharactersWithSpaces>5632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2022-03-24T07:13:00Z</dcterms:created>
  <dc:creator>Thorpe521</dc:creator>
  <cp:lastModifiedBy>懒恋马</cp:lastModifiedBy>
  <cp:lastPrinted>2022-06-30T06:25:00Z</cp:lastPrinted>
  <dcterms:modified xsi:type="dcterms:W3CDTF">2025-01-08T07:20:04Z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78B7C1A7A28648DF9B8F3A47E21032CA_13</vt:lpwstr>
  </property>
  <property fmtid="{D5CDD505-2E9C-101B-9397-08002B2CF9AE}" pid="4" name="KSOTemplateDocerSaveRecord">
    <vt:lpwstr>eyJoZGlkIjoiYTc2ZGZiNzZiNDVlOGViOWVmM2JhOTY0NGJkNjUyYzgiLCJ1c2VySWQiOiI1OTAzNjEwOTIifQ==</vt:lpwstr>
  </property>
</Properties>
</file>