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CC99E">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436DD2D3">
      <w:pPr>
        <w:autoSpaceDN w:val="0"/>
        <w:snapToGrid w:val="0"/>
        <w:spacing w:line="360" w:lineRule="auto"/>
        <w:jc w:val="center"/>
        <w:rPr>
          <w:rFonts w:hint="eastAsia" w:ascii="宋体" w:hAnsi="宋体" w:eastAsia="宋体" w:cs="宋体"/>
          <w:b/>
          <w:color w:val="auto"/>
          <w:sz w:val="32"/>
          <w:szCs w:val="32"/>
          <w:highlight w:val="none"/>
        </w:rPr>
      </w:pPr>
    </w:p>
    <w:p w14:paraId="1DCA996F">
      <w:pPr>
        <w:autoSpaceDN w:val="0"/>
        <w:spacing w:line="200" w:lineRule="exact"/>
        <w:ind w:firstLine="301"/>
        <w:rPr>
          <w:rFonts w:hint="eastAsia" w:ascii="宋体" w:hAnsi="宋体" w:eastAsia="宋体" w:cs="宋体"/>
          <w:color w:val="auto"/>
          <w:spacing w:val="-4"/>
          <w:kern w:val="0"/>
          <w:sz w:val="18"/>
          <w:szCs w:val="20"/>
          <w:highlight w:val="none"/>
        </w:rPr>
      </w:pPr>
    </w:p>
    <w:p w14:paraId="2C3A11A8">
      <w:pPr>
        <w:autoSpaceDN w:val="0"/>
        <w:spacing w:line="200" w:lineRule="exact"/>
        <w:rPr>
          <w:rFonts w:hint="eastAsia" w:ascii="宋体" w:hAnsi="宋体" w:eastAsia="宋体" w:cs="宋体"/>
          <w:color w:val="auto"/>
          <w:spacing w:val="-4"/>
          <w:kern w:val="0"/>
          <w:sz w:val="18"/>
          <w:szCs w:val="20"/>
          <w:highlight w:val="none"/>
        </w:rPr>
      </w:pPr>
    </w:p>
    <w:p w14:paraId="0D0D0141">
      <w:pPr>
        <w:autoSpaceDN w:val="0"/>
        <w:adjustRightInd w:val="0"/>
        <w:snapToGrid w:val="0"/>
        <w:spacing w:line="48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 xml:space="preserve">浙江警察学院滨江校区战训楼屋面修缮项目 </w:t>
      </w:r>
    </w:p>
    <w:bookmarkEnd w:id="1"/>
    <w:p w14:paraId="4A39EE07">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31EF91E0">
      <w:pPr>
        <w:pStyle w:val="61"/>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rPr>
        <w:t>电子交易</w:t>
      </w:r>
      <w:r>
        <w:rPr>
          <w:rFonts w:hint="eastAsia" w:ascii="宋体" w:hAnsi="宋体" w:eastAsia="宋体" w:cs="宋体"/>
          <w:b/>
          <w:color w:val="auto"/>
          <w:sz w:val="44"/>
          <w:szCs w:val="44"/>
          <w:highlight w:val="none"/>
          <w:lang w:eastAsia="zh-CN"/>
        </w:rPr>
        <w:t>）</w:t>
      </w:r>
    </w:p>
    <w:p w14:paraId="5CCBAEB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HSZB-2025-118</w:t>
      </w:r>
    </w:p>
    <w:p w14:paraId="03279F9E">
      <w:pPr>
        <w:autoSpaceDN w:val="0"/>
        <w:spacing w:line="200" w:lineRule="exact"/>
        <w:ind w:firstLine="301"/>
        <w:rPr>
          <w:rFonts w:hint="eastAsia" w:ascii="宋体" w:hAnsi="宋体" w:eastAsia="宋体" w:cs="宋体"/>
          <w:color w:val="auto"/>
          <w:spacing w:val="-4"/>
          <w:kern w:val="0"/>
          <w:sz w:val="18"/>
          <w:szCs w:val="20"/>
          <w:highlight w:val="none"/>
        </w:rPr>
      </w:pPr>
    </w:p>
    <w:p w14:paraId="6C781E75">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5644D270">
      <w:pPr>
        <w:pStyle w:val="2"/>
        <w:rPr>
          <w:rFonts w:hint="eastAsia" w:ascii="宋体" w:hAnsi="宋体" w:eastAsia="宋体" w:cs="宋体"/>
          <w:b/>
          <w:bCs/>
          <w:color w:val="auto"/>
          <w:sz w:val="28"/>
          <w:szCs w:val="28"/>
          <w:highlight w:val="none"/>
        </w:rPr>
      </w:pPr>
    </w:p>
    <w:p w14:paraId="60990437">
      <w:pPr>
        <w:pStyle w:val="2"/>
        <w:rPr>
          <w:rFonts w:hint="eastAsia" w:ascii="宋体" w:hAnsi="宋体" w:eastAsia="宋体" w:cs="宋体"/>
          <w:b/>
          <w:bCs/>
          <w:color w:val="auto"/>
          <w:sz w:val="28"/>
          <w:szCs w:val="28"/>
          <w:highlight w:val="none"/>
        </w:rPr>
      </w:pPr>
    </w:p>
    <w:p w14:paraId="04DCA720">
      <w:pPr>
        <w:pStyle w:val="2"/>
        <w:rPr>
          <w:rFonts w:hint="eastAsia" w:ascii="宋体" w:hAnsi="宋体" w:eastAsia="宋体" w:cs="宋体"/>
          <w:b/>
          <w:bCs/>
          <w:color w:val="auto"/>
          <w:sz w:val="28"/>
          <w:szCs w:val="28"/>
          <w:highlight w:val="none"/>
        </w:rPr>
      </w:pPr>
    </w:p>
    <w:p w14:paraId="64737BFD">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561105C3">
      <w:pPr>
        <w:pStyle w:val="79"/>
        <w:rPr>
          <w:rFonts w:hint="eastAsia" w:ascii="宋体" w:hAnsi="宋体" w:eastAsia="宋体" w:cs="宋体"/>
          <w:b/>
          <w:bCs/>
          <w:color w:val="auto"/>
          <w:sz w:val="28"/>
          <w:szCs w:val="28"/>
          <w:highlight w:val="none"/>
        </w:rPr>
      </w:pPr>
    </w:p>
    <w:p w14:paraId="6274FF03">
      <w:pPr>
        <w:pStyle w:val="79"/>
        <w:rPr>
          <w:rFonts w:hint="eastAsia" w:ascii="宋体" w:hAnsi="宋体" w:eastAsia="宋体" w:cs="宋体"/>
          <w:b/>
          <w:bCs/>
          <w:color w:val="auto"/>
          <w:sz w:val="28"/>
          <w:szCs w:val="28"/>
          <w:highlight w:val="none"/>
        </w:rPr>
      </w:pPr>
    </w:p>
    <w:p w14:paraId="2C575C4B">
      <w:pPr>
        <w:pStyle w:val="79"/>
        <w:rPr>
          <w:rFonts w:hint="eastAsia" w:ascii="宋体" w:hAnsi="宋体" w:eastAsia="宋体" w:cs="宋体"/>
          <w:b/>
          <w:bCs/>
          <w:color w:val="auto"/>
          <w:sz w:val="28"/>
          <w:szCs w:val="28"/>
          <w:highlight w:val="none"/>
        </w:rPr>
      </w:pPr>
    </w:p>
    <w:p w14:paraId="3D2BA487">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采购人：</w:t>
      </w:r>
      <w:r>
        <w:rPr>
          <w:rFonts w:hint="eastAsia" w:ascii="宋体" w:hAnsi="宋体" w:cs="宋体"/>
          <w:b/>
          <w:color w:val="auto"/>
          <w:kern w:val="2"/>
          <w:sz w:val="32"/>
          <w:szCs w:val="32"/>
          <w:highlight w:val="none"/>
          <w:lang w:val="en-US" w:eastAsia="zh-CN" w:bidi="ar-SA"/>
        </w:rPr>
        <w:t>浙江警察学院</w:t>
      </w:r>
    </w:p>
    <w:p w14:paraId="190CBED0">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代理机构：浙江豪圣建设项目管理有限公司</w:t>
      </w:r>
    </w:p>
    <w:p w14:paraId="43E4BDEE">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二〇二五年</w:t>
      </w:r>
      <w:r>
        <w:rPr>
          <w:rFonts w:hint="eastAsia" w:ascii="宋体" w:hAnsi="宋体" w:cs="宋体"/>
          <w:b/>
          <w:color w:val="auto"/>
          <w:kern w:val="2"/>
          <w:sz w:val="32"/>
          <w:szCs w:val="32"/>
          <w:highlight w:val="none"/>
          <w:lang w:val="en-US" w:eastAsia="zh-CN" w:bidi="ar-SA"/>
        </w:rPr>
        <w:t>三</w:t>
      </w:r>
      <w:r>
        <w:rPr>
          <w:rFonts w:hint="eastAsia" w:ascii="宋体" w:hAnsi="宋体" w:eastAsia="宋体" w:cs="宋体"/>
          <w:b/>
          <w:color w:val="auto"/>
          <w:kern w:val="2"/>
          <w:sz w:val="32"/>
          <w:szCs w:val="32"/>
          <w:highlight w:val="none"/>
          <w:lang w:val="en-US" w:eastAsia="zh-CN" w:bidi="ar-SA"/>
        </w:rPr>
        <w:t>月</w:t>
      </w:r>
      <w:r>
        <w:rPr>
          <w:rFonts w:hint="eastAsia" w:ascii="宋体" w:hAnsi="宋体" w:cs="宋体"/>
          <w:b/>
          <w:color w:val="auto"/>
          <w:kern w:val="2"/>
          <w:sz w:val="32"/>
          <w:szCs w:val="32"/>
          <w:highlight w:val="none"/>
          <w:lang w:val="en-US" w:eastAsia="zh-CN" w:bidi="ar-SA"/>
        </w:rPr>
        <w:t>二十七</w:t>
      </w:r>
      <w:r>
        <w:rPr>
          <w:rFonts w:hint="eastAsia" w:ascii="宋体" w:hAnsi="宋体" w:eastAsia="宋体" w:cs="宋体"/>
          <w:b/>
          <w:color w:val="auto"/>
          <w:kern w:val="2"/>
          <w:sz w:val="32"/>
          <w:szCs w:val="32"/>
          <w:highlight w:val="none"/>
          <w:lang w:val="en-US" w:eastAsia="zh-CN" w:bidi="ar-SA"/>
        </w:rPr>
        <w:t>日</w:t>
      </w:r>
    </w:p>
    <w:p w14:paraId="4401C008">
      <w:pPr>
        <w:pStyle w:val="79"/>
        <w:rPr>
          <w:rFonts w:hint="eastAsia" w:ascii="宋体" w:hAnsi="宋体" w:eastAsia="宋体" w:cs="宋体"/>
          <w:b/>
          <w:bCs/>
          <w:color w:val="auto"/>
          <w:sz w:val="28"/>
          <w:szCs w:val="28"/>
          <w:highlight w:val="none"/>
        </w:rPr>
      </w:pPr>
    </w:p>
    <w:p w14:paraId="5B73CF15">
      <w:pPr>
        <w:autoSpaceDN w:val="0"/>
        <w:snapToGrid w:val="0"/>
        <w:spacing w:line="360" w:lineRule="auto"/>
        <w:jc w:val="both"/>
        <w:rPr>
          <w:rFonts w:hint="eastAsia" w:ascii="宋体" w:hAnsi="宋体" w:eastAsia="宋体" w:cs="宋体"/>
          <w:b/>
          <w:color w:val="auto"/>
          <w:sz w:val="28"/>
          <w:szCs w:val="28"/>
          <w:highlight w:val="none"/>
        </w:rPr>
      </w:pPr>
    </w:p>
    <w:p w14:paraId="0A7D672B">
      <w:pPr>
        <w:widowControl/>
        <w:spacing w:line="360" w:lineRule="auto"/>
        <w:jc w:val="left"/>
        <w:rPr>
          <w:rFonts w:hint="eastAsia" w:ascii="宋体" w:hAnsi="宋体" w:eastAsia="宋体" w:cs="宋体"/>
          <w:b/>
          <w:bCs/>
          <w:color w:val="auto"/>
          <w:w w:val="95"/>
          <w:sz w:val="28"/>
          <w:szCs w:val="28"/>
          <w:highlight w:val="none"/>
        </w:rPr>
        <w:sectPr>
          <w:footerReference r:id="rId5" w:type="first"/>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12C83342">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18D6B730">
      <w:pPr>
        <w:pStyle w:val="40"/>
        <w:tabs>
          <w:tab w:val="right" w:leader="dot" w:pos="9071"/>
        </w:tabs>
        <w:spacing w:line="360" w:lineRule="auto"/>
        <w:rPr>
          <w:color w:val="auto"/>
          <w:sz w:val="24"/>
          <w:szCs w:val="24"/>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TOC \o "1-2" \h \z \u </w:instrText>
      </w:r>
      <w:r>
        <w:rPr>
          <w:rFonts w:hint="eastAsia" w:ascii="宋体" w:hAnsi="宋体" w:eastAsia="宋体" w:cs="宋体"/>
          <w:b/>
          <w:bCs/>
          <w:color w:val="auto"/>
          <w:szCs w:val="21"/>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_Toc8821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rPr>
        <w:tab/>
      </w:r>
      <w:r>
        <w:rPr>
          <w:color w:val="auto"/>
          <w:sz w:val="24"/>
          <w:szCs w:val="24"/>
        </w:rPr>
        <w:fldChar w:fldCharType="begin"/>
      </w:r>
      <w:r>
        <w:rPr>
          <w:color w:val="auto"/>
          <w:sz w:val="24"/>
          <w:szCs w:val="24"/>
        </w:rPr>
        <w:instrText xml:space="preserve"> PAGEREF _Toc8821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42BB1F12">
      <w:pPr>
        <w:pStyle w:val="40"/>
        <w:tabs>
          <w:tab w:val="right" w:leader="dot" w:pos="9071"/>
        </w:tabs>
        <w:spacing w:line="360" w:lineRule="auto"/>
        <w:rPr>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_Toc4725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rPr>
        <w:tab/>
      </w:r>
      <w:r>
        <w:rPr>
          <w:color w:val="auto"/>
          <w:sz w:val="24"/>
          <w:szCs w:val="24"/>
        </w:rPr>
        <w:fldChar w:fldCharType="begin"/>
      </w:r>
      <w:r>
        <w:rPr>
          <w:color w:val="auto"/>
          <w:sz w:val="24"/>
          <w:szCs w:val="24"/>
        </w:rPr>
        <w:instrText xml:space="preserve"> PAGEREF _Toc4725 \h </w:instrText>
      </w:r>
      <w:r>
        <w:rPr>
          <w:color w:val="auto"/>
          <w:sz w:val="24"/>
          <w:szCs w:val="24"/>
        </w:rPr>
        <w:fldChar w:fldCharType="separate"/>
      </w:r>
      <w:r>
        <w:rPr>
          <w:color w:val="auto"/>
          <w:sz w:val="24"/>
          <w:szCs w:val="24"/>
        </w:rPr>
        <w:t>8</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7DBFAC20">
      <w:pPr>
        <w:pStyle w:val="40"/>
        <w:tabs>
          <w:tab w:val="right" w:leader="dot" w:pos="9071"/>
        </w:tabs>
        <w:spacing w:line="360" w:lineRule="auto"/>
        <w:rPr>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_Toc18741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rPr>
        <w:tab/>
      </w:r>
      <w:r>
        <w:rPr>
          <w:color w:val="auto"/>
          <w:sz w:val="24"/>
          <w:szCs w:val="24"/>
        </w:rPr>
        <w:fldChar w:fldCharType="begin"/>
      </w:r>
      <w:r>
        <w:rPr>
          <w:color w:val="auto"/>
          <w:sz w:val="24"/>
          <w:szCs w:val="24"/>
        </w:rPr>
        <w:instrText xml:space="preserve"> PAGEREF _Toc18741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487A9C4D">
      <w:pPr>
        <w:pStyle w:val="40"/>
        <w:tabs>
          <w:tab w:val="right" w:leader="dot" w:pos="9071"/>
        </w:tabs>
        <w:spacing w:line="360" w:lineRule="auto"/>
        <w:rPr>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_Toc9639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rPr>
        <w:tab/>
      </w:r>
      <w:r>
        <w:rPr>
          <w:color w:val="auto"/>
          <w:sz w:val="24"/>
          <w:szCs w:val="24"/>
        </w:rPr>
        <w:fldChar w:fldCharType="begin"/>
      </w:r>
      <w:r>
        <w:rPr>
          <w:color w:val="auto"/>
          <w:sz w:val="24"/>
          <w:szCs w:val="24"/>
        </w:rPr>
        <w:instrText xml:space="preserve"> PAGEREF _Toc9639 \h </w:instrText>
      </w:r>
      <w:r>
        <w:rPr>
          <w:color w:val="auto"/>
          <w:sz w:val="24"/>
          <w:szCs w:val="24"/>
        </w:rPr>
        <w:fldChar w:fldCharType="separate"/>
      </w:r>
      <w:r>
        <w:rPr>
          <w:color w:val="auto"/>
          <w:sz w:val="24"/>
          <w:szCs w:val="24"/>
        </w:rPr>
        <w:t>32</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7A8C989E">
      <w:pPr>
        <w:pStyle w:val="40"/>
        <w:tabs>
          <w:tab w:val="right" w:leader="dot" w:pos="9071"/>
        </w:tabs>
        <w:spacing w:line="360" w:lineRule="auto"/>
        <w:rPr>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_Toc7931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rPr>
        <w:tab/>
      </w:r>
      <w:r>
        <w:rPr>
          <w:color w:val="auto"/>
          <w:sz w:val="24"/>
          <w:szCs w:val="24"/>
        </w:rPr>
        <w:fldChar w:fldCharType="begin"/>
      </w:r>
      <w:r>
        <w:rPr>
          <w:color w:val="auto"/>
          <w:sz w:val="24"/>
          <w:szCs w:val="24"/>
        </w:rPr>
        <w:instrText xml:space="preserve"> PAGEREF _Toc7931 \h </w:instrText>
      </w:r>
      <w:r>
        <w:rPr>
          <w:color w:val="auto"/>
          <w:sz w:val="24"/>
          <w:szCs w:val="24"/>
        </w:rPr>
        <w:fldChar w:fldCharType="separate"/>
      </w:r>
      <w:r>
        <w:rPr>
          <w:color w:val="auto"/>
          <w:sz w:val="24"/>
          <w:szCs w:val="24"/>
        </w:rPr>
        <w:t>40</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170ED4DA">
      <w:pPr>
        <w:pStyle w:val="40"/>
        <w:tabs>
          <w:tab w:val="right" w:leader="dot" w:pos="9071"/>
        </w:tabs>
        <w:spacing w:line="360" w:lineRule="auto"/>
        <w:rPr>
          <w:color w:val="auto"/>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_Toc16879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rPr>
        <w:tab/>
      </w:r>
      <w:r>
        <w:rPr>
          <w:color w:val="auto"/>
          <w:sz w:val="24"/>
          <w:szCs w:val="24"/>
        </w:rPr>
        <w:fldChar w:fldCharType="begin"/>
      </w:r>
      <w:r>
        <w:rPr>
          <w:color w:val="auto"/>
          <w:sz w:val="24"/>
          <w:szCs w:val="24"/>
        </w:rPr>
        <w:instrText xml:space="preserve"> PAGEREF _Toc16879 \h </w:instrText>
      </w:r>
      <w:r>
        <w:rPr>
          <w:color w:val="auto"/>
          <w:sz w:val="24"/>
          <w:szCs w:val="24"/>
        </w:rPr>
        <w:fldChar w:fldCharType="separate"/>
      </w:r>
      <w:r>
        <w:rPr>
          <w:color w:val="auto"/>
          <w:sz w:val="24"/>
          <w:szCs w:val="24"/>
        </w:rPr>
        <w:t>77</w:t>
      </w:r>
      <w:r>
        <w:rPr>
          <w:color w:val="auto"/>
          <w:sz w:val="24"/>
          <w:szCs w:val="24"/>
        </w:rPr>
        <w:fldChar w:fldCharType="end"/>
      </w:r>
      <w:r>
        <w:rPr>
          <w:rFonts w:hint="eastAsia" w:ascii="宋体" w:hAnsi="宋体" w:eastAsia="宋体" w:cs="宋体"/>
          <w:bCs/>
          <w:color w:val="auto"/>
          <w:sz w:val="24"/>
          <w:szCs w:val="24"/>
          <w:highlight w:val="none"/>
        </w:rPr>
        <w:fldChar w:fldCharType="end"/>
      </w:r>
    </w:p>
    <w:p w14:paraId="599941AB">
      <w:pPr>
        <w:pStyle w:val="50"/>
        <w:tabs>
          <w:tab w:val="right" w:leader="dot" w:pos="9071"/>
        </w:tabs>
        <w:rPr>
          <w:color w:val="auto"/>
        </w:rPr>
      </w:pPr>
    </w:p>
    <w:p w14:paraId="2311745F">
      <w:pPr>
        <w:autoSpaceDN w:val="0"/>
        <w:adjustRightInd w:val="0"/>
        <w:snapToGrid w:val="0"/>
        <w:spacing w:before="162" w:beforeLines="50" w:after="162" w:afterLines="50"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Cs w:val="21"/>
          <w:highlight w:val="none"/>
        </w:rPr>
        <w:fldChar w:fldCharType="end"/>
      </w:r>
      <w:bookmarkStart w:id="2" w:name="_Toc8821"/>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378E9F33">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61B0143">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浙江警察学院滨江校区战训楼屋面修缮项目采购项目的潜在供应商应在https://www.zcygov.cn获取（下载）采购文件，并于2025年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04</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08</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AD8FD1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79"/>
      <w:bookmarkStart w:id="4" w:name="_Toc35393790"/>
      <w:bookmarkStart w:id="5" w:name="_Toc28359002"/>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DAF36F4">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HSZB-2025-118</w:t>
      </w:r>
    </w:p>
    <w:p w14:paraId="7C5AD7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 xml:space="preserve">浙江警察学院滨江校区战训楼屋面修缮项目 </w:t>
      </w:r>
    </w:p>
    <w:p w14:paraId="1FF7E8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662C1A5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lang w:val="en-US" w:eastAsia="zh-CN"/>
        </w:rPr>
        <w:t>1342500</w:t>
      </w:r>
    </w:p>
    <w:p w14:paraId="160565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最高限价（元）：134250</w:t>
      </w:r>
      <w:r>
        <w:rPr>
          <w:rFonts w:hint="eastAsia" w:ascii="宋体" w:hAnsi="宋体" w:eastAsia="宋体" w:cs="宋体"/>
          <w:color w:val="auto"/>
          <w:spacing w:val="-4"/>
          <w:kern w:val="0"/>
          <w:sz w:val="24"/>
          <w:szCs w:val="24"/>
          <w:highlight w:val="none"/>
          <w:lang w:val="en-US" w:eastAsia="zh-CN"/>
        </w:rPr>
        <w:t>0</w:t>
      </w:r>
    </w:p>
    <w:p w14:paraId="2527D1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3EB9216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7C5F41F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预算金额（元）：134250</w:t>
      </w:r>
      <w:r>
        <w:rPr>
          <w:rFonts w:hint="eastAsia" w:ascii="宋体" w:hAnsi="宋体" w:eastAsia="宋体" w:cs="宋体"/>
          <w:color w:val="auto"/>
          <w:spacing w:val="-4"/>
          <w:kern w:val="0"/>
          <w:sz w:val="24"/>
          <w:szCs w:val="24"/>
          <w:highlight w:val="none"/>
          <w:lang w:val="en-US" w:eastAsia="zh-CN"/>
        </w:rPr>
        <w:t>0</w:t>
      </w:r>
    </w:p>
    <w:p w14:paraId="43FC028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31B703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 xml:space="preserve">浙江警察学院滨江校区战训楼屋面修缮项目 </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667AC33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2C4BBB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60日历天</w:t>
      </w:r>
    </w:p>
    <w:p w14:paraId="46682E6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43465C72">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791"/>
      <w:bookmarkStart w:id="9" w:name="_Toc28359003"/>
      <w:bookmarkStart w:id="10" w:name="_Toc35393622"/>
      <w:bookmarkStart w:id="11" w:name="_Toc28359080"/>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3A45DBC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F868F22">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81"/>
      <w:bookmarkStart w:id="13" w:name="_Toc28359004"/>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 ；</w:t>
      </w:r>
    </w:p>
    <w:p w14:paraId="4A5DA7A8">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3C003B09">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0B22C7D3">
      <w:pPr>
        <w:autoSpaceDN w:val="0"/>
        <w:adjustRightInd w:val="0"/>
        <w:snapToGrid w:val="0"/>
        <w:spacing w:line="360" w:lineRule="auto"/>
        <w:ind w:firstLine="480" w:firstLineChars="200"/>
        <w:rPr>
          <w:rFonts w:hint="eastAsia" w:ascii="宋体" w:hAnsi="宋体" w:eastAsia="宋体" w:cs="宋体"/>
          <w:color w:val="auto"/>
          <w:kern w:val="0"/>
          <w:sz w:val="24"/>
        </w:rPr>
      </w:pPr>
      <w:sdt>
        <w:sdtPr>
          <w:rPr>
            <w:rFonts w:hint="eastAsia" w:ascii="宋体" w:hAnsi="宋体" w:eastAsia="宋体" w:cs="宋体"/>
            <w:color w:val="auto"/>
            <w:kern w:val="0"/>
            <w:sz w:val="24"/>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lang w:val="en-US" w:eastAsia="zh-CN"/>
          </w:rPr>
        </w:sdtEndPr>
        <w:sdtContent>
          <w:r>
            <w:rPr>
              <w:rFonts w:hint="eastAsia" w:ascii="Wingdings" w:hAnsi="Wingdings" w:eastAsia="宋体" w:cs="宋体"/>
              <w:color w:val="auto"/>
              <w:kern w:val="0"/>
              <w:sz w:val="24"/>
              <w:szCs w:val="22"/>
              <w:lang w:val="en-US" w:eastAsia="zh-CN" w:bidi="ar-SA"/>
            </w:rPr>
            <w:t>þ</w:t>
          </w:r>
        </w:sdtContent>
      </w:sdt>
      <w:r>
        <w:rPr>
          <w:rFonts w:hint="eastAsia" w:ascii="宋体" w:hAnsi="宋体" w:eastAsia="宋体" w:cs="宋体"/>
          <w:color w:val="auto"/>
          <w:kern w:val="0"/>
          <w:sz w:val="24"/>
        </w:rPr>
        <w:t>工程全部由符合政策要求的中小企业承建，提供中小企业声明函</w:t>
      </w:r>
    </w:p>
    <w:p w14:paraId="5A1FF5BE">
      <w:pPr>
        <w:autoSpaceDN w:val="0"/>
        <w:adjustRightInd w:val="0"/>
        <w:snapToGrid w:val="0"/>
        <w:spacing w:line="360" w:lineRule="auto"/>
        <w:ind w:firstLine="466" w:firstLineChars="200"/>
        <w:rPr>
          <w:color w:val="auto"/>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.（1）本项目的特定资格要求：具备建筑装修装饰工程专业承包二级及以上资质，且具有有效的《安全生产许可证》</w:t>
      </w:r>
    </w:p>
    <w:p w14:paraId="65DE360C">
      <w:pPr>
        <w:snapToGrid w:val="0"/>
        <w:spacing w:line="360" w:lineRule="auto"/>
        <w:ind w:firstLine="480" w:firstLineChars="200"/>
        <w:rPr>
          <w:rFonts w:hint="eastAsia" w:ascii="宋体" w:hAnsi="宋体" w:eastAsia="宋体" w:cs="宋体"/>
          <w:color w:val="auto"/>
          <w:sz w:val="24"/>
        </w:rPr>
      </w:pPr>
      <w:bookmarkStart w:id="14" w:name="_Toc35393792"/>
      <w:bookmarkStart w:id="15" w:name="_Toc35393623"/>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w:t>
      </w:r>
      <w:r>
        <w:rPr>
          <w:rFonts w:hint="eastAsia" w:ascii="宋体" w:hAnsi="宋体" w:eastAsia="宋体" w:cs="宋体"/>
          <w:color w:val="auto"/>
          <w:sz w:val="24"/>
        </w:rPr>
        <w:t>体设计、规范编制或者项目管理、监理、检测等服务后不得再参加该采购项目的其他采购活动。</w:t>
      </w:r>
    </w:p>
    <w:p w14:paraId="700A197C">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509E21B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04</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08</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23B875D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24729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7953790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0883B5C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6DAF8DF9">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05"/>
      <w:bookmarkStart w:id="17" w:name="_Toc28359082"/>
      <w:bookmarkStart w:id="18" w:name="_Toc35393793"/>
      <w:bookmarkStart w:id="19" w:name="_Toc35393624"/>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5FC7C8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color w:val="auto"/>
          <w:spacing w:val="-4"/>
          <w:kern w:val="0"/>
          <w:sz w:val="24"/>
          <w:szCs w:val="24"/>
          <w:highlight w:val="none"/>
          <w:u w:val="single"/>
          <w:lang w:eastAsia="zh-CN"/>
        </w:rPr>
        <w:t>2025年</w:t>
      </w:r>
      <w:r>
        <w:rPr>
          <w:rFonts w:hint="eastAsia" w:ascii="宋体" w:hAnsi="宋体" w:eastAsia="宋体" w:cs="宋体"/>
          <w:color w:val="auto"/>
          <w:spacing w:val="-4"/>
          <w:kern w:val="0"/>
          <w:sz w:val="24"/>
          <w:szCs w:val="24"/>
          <w:highlight w:val="none"/>
          <w:u w:val="single"/>
          <w:lang w:val="en-US" w:eastAsia="zh-CN"/>
        </w:rPr>
        <w:t>04</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08</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（北京时间）</w:t>
      </w:r>
    </w:p>
    <w:p w14:paraId="7EB39A3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5CEDA7A1">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1FFC1B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color w:val="auto"/>
          <w:spacing w:val="-4"/>
          <w:kern w:val="0"/>
          <w:sz w:val="24"/>
          <w:szCs w:val="24"/>
          <w:highlight w:val="none"/>
          <w:u w:val="single"/>
          <w:lang w:eastAsia="zh-CN"/>
        </w:rPr>
        <w:t>2025年</w:t>
      </w:r>
      <w:r>
        <w:rPr>
          <w:rFonts w:hint="eastAsia" w:ascii="宋体" w:hAnsi="宋体" w:eastAsia="宋体" w:cs="宋体"/>
          <w:color w:val="auto"/>
          <w:spacing w:val="-4"/>
          <w:kern w:val="0"/>
          <w:sz w:val="24"/>
          <w:szCs w:val="24"/>
          <w:highlight w:val="none"/>
          <w:u w:val="single"/>
          <w:lang w:val="en-US" w:eastAsia="zh-CN"/>
        </w:rPr>
        <w:t>04</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08</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（北京时间）</w:t>
      </w:r>
    </w:p>
    <w:p w14:paraId="61B680F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675ABA0B">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84"/>
      <w:bookmarkStart w:id="21" w:name="_Toc35393794"/>
      <w:bookmarkStart w:id="22" w:name="_Toc28359007"/>
      <w:bookmarkStart w:id="23" w:name="_Toc35393625"/>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16F9D13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2C98929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4FFE3E31">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1E594566">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8365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1C87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20A94CA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35393627"/>
      <w:bookmarkStart w:id="27" w:name="_Toc28359008"/>
      <w:bookmarkStart w:id="28" w:name="_Toc28359085"/>
      <w:bookmarkStart w:id="29" w:name="_Toc35393796"/>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13EA4BE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7F0FE7C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浙江警察学院</w:t>
      </w:r>
    </w:p>
    <w:p w14:paraId="79160B2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址：杭州市滨江区滨文路555号</w:t>
      </w:r>
    </w:p>
    <w:p w14:paraId="4FDFED5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俞老师</w:t>
      </w:r>
    </w:p>
    <w:p w14:paraId="0D33CA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rPr>
        <w:t>0571-87787042</w:t>
      </w:r>
    </w:p>
    <w:p w14:paraId="03ED52A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质疑联系人：梁老师</w:t>
      </w:r>
    </w:p>
    <w:p w14:paraId="6A63F8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质疑联系方式：0571-87787163</w:t>
      </w:r>
    </w:p>
    <w:p w14:paraId="6F6DFE3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09"/>
      <w:bookmarkStart w:id="31" w:name="_Toc28359086"/>
      <w:r>
        <w:rPr>
          <w:rFonts w:hint="eastAsia" w:ascii="宋体" w:hAnsi="宋体" w:eastAsia="宋体" w:cs="宋体"/>
          <w:color w:val="auto"/>
          <w:spacing w:val="-4"/>
          <w:kern w:val="0"/>
          <w:sz w:val="24"/>
          <w:szCs w:val="24"/>
          <w:highlight w:val="none"/>
        </w:rPr>
        <w:t>2.采购代理机构信息</w:t>
      </w:r>
      <w:bookmarkEnd w:id="30"/>
      <w:bookmarkEnd w:id="31"/>
    </w:p>
    <w:p w14:paraId="145834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F5AD0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0D863D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项目联系人（询问）：刘敏、徐华卿、曹剑斌、陈敏娇</w:t>
      </w:r>
    </w:p>
    <w:p w14:paraId="273D495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项目联系方式（询问）：0571-87981527</w:t>
      </w:r>
    </w:p>
    <w:p w14:paraId="0B04B6D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665DE28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777A032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11721D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611B2E4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6E1216B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6DCD8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联系人：朱老师、王老师、匡老师</w:t>
      </w:r>
    </w:p>
    <w:p w14:paraId="1CFF3F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监督投诉电话：0571-87800218，0571-87227671</w:t>
      </w:r>
    </w:p>
    <w:p w14:paraId="0E6EED1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696272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344BCEC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6E678BF9">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F1A4256">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5E819F4C">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4725"/>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0A03A8FE">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1159"/>
      <w:bookmarkStart w:id="36" w:name="_Toc10847"/>
      <w:r>
        <w:rPr>
          <w:rFonts w:hint="eastAsia" w:ascii="宋体" w:hAnsi="宋体" w:eastAsia="宋体" w:cs="宋体"/>
          <w:b/>
          <w:bCs/>
          <w:color w:val="auto"/>
          <w:sz w:val="32"/>
          <w:szCs w:val="32"/>
          <w:highlight w:val="none"/>
        </w:rPr>
        <w:t>前附表</w:t>
      </w:r>
      <w:bookmarkEnd w:id="35"/>
      <w:bookmarkEnd w:id="36"/>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CB4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tcPr>
          <w:p w14:paraId="27E61E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93" w:type="dxa"/>
            <w:vAlign w:val="center"/>
          </w:tcPr>
          <w:p w14:paraId="36329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927" w:type="dxa"/>
            <w:vAlign w:val="center"/>
          </w:tcPr>
          <w:p w14:paraId="5B8D5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7C4E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66A5D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93" w:type="dxa"/>
            <w:vAlign w:val="center"/>
          </w:tcPr>
          <w:p w14:paraId="7C7A41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项目属性</w:t>
            </w:r>
          </w:p>
        </w:tc>
        <w:tc>
          <w:tcPr>
            <w:tcW w:w="6927" w:type="dxa"/>
            <w:vAlign w:val="center"/>
          </w:tcPr>
          <w:p w14:paraId="1CB244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工程</w:t>
            </w:r>
            <w:r>
              <w:rPr>
                <w:rFonts w:hint="eastAsia" w:ascii="宋体" w:hAnsi="宋体" w:eastAsia="宋体" w:cs="宋体"/>
                <w:color w:val="auto"/>
                <w:sz w:val="24"/>
                <w:szCs w:val="24"/>
              </w:rPr>
              <w:t>类</w:t>
            </w:r>
          </w:p>
        </w:tc>
      </w:tr>
      <w:tr w14:paraId="2546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2911DF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93" w:type="dxa"/>
            <w:vAlign w:val="center"/>
          </w:tcPr>
          <w:p w14:paraId="57AAD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927" w:type="dxa"/>
            <w:vAlign w:val="center"/>
          </w:tcPr>
          <w:p w14:paraId="77DBA2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（1）标的：</w:t>
            </w:r>
            <w:r>
              <w:rPr>
                <w:rFonts w:hint="eastAsia" w:ascii="宋体" w:hAnsi="宋体" w:eastAsia="宋体" w:cs="宋体"/>
                <w:color w:val="auto"/>
                <w:kern w:val="0"/>
                <w:sz w:val="24"/>
                <w:szCs w:val="24"/>
                <w:u w:val="single"/>
                <w:lang w:eastAsia="zh-CN"/>
              </w:rPr>
              <w:t xml:space="preserve">浙江警察学院滨江校区战训楼屋面修缮项目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建筑业 </w:t>
            </w:r>
            <w:r>
              <w:rPr>
                <w:rFonts w:hint="eastAsia" w:ascii="宋体" w:hAnsi="宋体" w:eastAsia="宋体" w:cs="宋体"/>
                <w:color w:val="auto"/>
                <w:kern w:val="0"/>
                <w:sz w:val="24"/>
                <w:szCs w:val="24"/>
              </w:rPr>
              <w:t>行业；</w:t>
            </w:r>
          </w:p>
          <w:p w14:paraId="4B2DF93C">
            <w:pPr>
              <w:pStyle w:val="4"/>
              <w:pageBreakBefore w:val="0"/>
              <w:widowControl w:val="0"/>
              <w:suppressLineNumbers w:val="0"/>
              <w:tabs>
                <w:tab w:val="left" w:pos="432"/>
              </w:tabs>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lang w:val="en-US"/>
              </w:rPr>
            </w:pPr>
            <w:bookmarkStart w:id="37" w:name="_Toc5198"/>
            <w:r>
              <w:rPr>
                <w:rFonts w:hint="eastAsia" w:ascii="宋体" w:hAnsi="宋体" w:eastAsia="宋体" w:cs="宋体"/>
                <w:b w:val="0"/>
                <w:bCs w:val="0"/>
                <w:color w:val="auto"/>
                <w:sz w:val="24"/>
                <w:szCs w:val="24"/>
                <w:lang w:val="en-US"/>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37"/>
          </w:p>
        </w:tc>
      </w:tr>
      <w:tr w14:paraId="697B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3D671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93" w:type="dxa"/>
            <w:vAlign w:val="center"/>
          </w:tcPr>
          <w:p w14:paraId="70FB4E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927" w:type="dxa"/>
            <w:vAlign w:val="center"/>
          </w:tcPr>
          <w:p w14:paraId="464B0B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本项目不允许采购进口产品。</w:t>
            </w:r>
          </w:p>
          <w:p w14:paraId="177329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5DF4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544328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93" w:type="dxa"/>
            <w:vAlign w:val="center"/>
          </w:tcPr>
          <w:p w14:paraId="490967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927" w:type="dxa"/>
            <w:vAlign w:val="center"/>
          </w:tcPr>
          <w:p w14:paraId="068079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highlight w:val="none"/>
                <w:u w:val="single"/>
                <w:lang w:val="en-US" w:eastAsia="zh-CN"/>
              </w:rPr>
              <w:t>劳务</w:t>
            </w:r>
            <w:r>
              <w:rPr>
                <w:rFonts w:hint="eastAsia" w:ascii="宋体" w:hAnsi="宋体" w:eastAsia="宋体" w:cs="宋体"/>
                <w:color w:val="auto"/>
                <w:sz w:val="24"/>
                <w:szCs w:val="24"/>
              </w:rPr>
              <w:t>分包。</w:t>
            </w:r>
          </w:p>
          <w:p w14:paraId="071EC9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不同意分包，具体理由：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93B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1447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70950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93" w:type="dxa"/>
            <w:vAlign w:val="center"/>
          </w:tcPr>
          <w:p w14:paraId="0F83E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磋商前答疑会或现场考察</w:t>
            </w:r>
          </w:p>
        </w:tc>
        <w:tc>
          <w:tcPr>
            <w:tcW w:w="6927" w:type="dxa"/>
            <w:vAlign w:val="center"/>
          </w:tcPr>
          <w:p w14:paraId="42C2EC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09F0D0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66D0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19774E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93" w:type="dxa"/>
            <w:vAlign w:val="center"/>
          </w:tcPr>
          <w:p w14:paraId="25E298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927" w:type="dxa"/>
            <w:vAlign w:val="center"/>
          </w:tcPr>
          <w:p w14:paraId="71A0BC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p w14:paraId="012AA8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B要求提供，</w:t>
            </w:r>
          </w:p>
          <w:p w14:paraId="06BB34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A6990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59035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评审办法</w:t>
            </w:r>
            <w:r>
              <w:rPr>
                <w:rFonts w:hint="eastAsia" w:ascii="宋体" w:hAnsi="宋体" w:eastAsia="宋体" w:cs="宋体"/>
                <w:color w:val="auto"/>
                <w:kern w:val="0"/>
                <w:sz w:val="24"/>
                <w:szCs w:val="24"/>
              </w:rPr>
              <w:t>；</w:t>
            </w:r>
          </w:p>
          <w:p w14:paraId="5F6E32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sdt>
              <w:sdtPr>
                <w:rPr>
                  <w:rFonts w:hint="eastAsia" w:ascii="宋体" w:hAnsi="宋体" w:eastAsia="宋体" w:cs="宋体"/>
                  <w:color w:val="auto"/>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否；</w:t>
            </w:r>
            <w:sdt>
              <w:sdtPr>
                <w:rPr>
                  <w:rFonts w:hint="eastAsia" w:ascii="宋体" w:hAnsi="宋体" w:eastAsia="宋体" w:cs="宋体"/>
                  <w:color w:val="auto"/>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B4B1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；联系人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28"/>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。请供应商在上述时间内提供样品并按规定位置安装完毕。超过截止时间的，采购人或采购代理机构将不予接收，并将清场并封闭样品现场。</w:t>
            </w:r>
          </w:p>
          <w:p w14:paraId="6E719F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(6)采购活动结束后，对于未成交供应商提供的样品，采购人、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将通知未成交供应商在规定的时间内取回，逾期未取回的，采购人、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不负保管义务；对于成交供应商提供的样品，采购人将进行保管、封存，并作为履约验收的参考。</w:t>
            </w:r>
          </w:p>
          <w:p w14:paraId="0F0A6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（7）制作、运输、安装和保管样品所发生的一切费用由供应商自理。</w:t>
            </w:r>
          </w:p>
        </w:tc>
      </w:tr>
      <w:tr w14:paraId="4D01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7991A5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93" w:type="dxa"/>
            <w:vAlign w:val="center"/>
          </w:tcPr>
          <w:p w14:paraId="1BBBC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927" w:type="dxa"/>
            <w:vAlign w:val="center"/>
          </w:tcPr>
          <w:p w14:paraId="3BE019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61A35A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p>
          <w:p w14:paraId="3F0A6D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（1）在评审时安排每个供应商进行方案讲解演示。每个供应商时间不超过</w:t>
            </w:r>
            <w:r>
              <w:rPr>
                <w:rFonts w:hint="eastAsia" w:ascii="宋体" w:hAnsi="宋体" w:eastAsia="宋体" w:cs="宋体"/>
                <w:color w:val="auto"/>
                <w:kern w:val="0"/>
                <w:sz w:val="24"/>
                <w:szCs w:val="24"/>
                <w:u w:val="single"/>
              </w:rPr>
              <w:t>20</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分钟，讲解次序以响应文件解密时间先后次序为准，讲解演示人员不超过</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人。讲解演示结束后按要求解答磋商小组提问。</w:t>
            </w:r>
          </w:p>
          <w:p w14:paraId="5467A4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38102F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方式一：政采云平台在线讲解演示。政采云平台在线讲解需供应商根据政采云平台操作要求做好准备工作，提前完善软硬件配置环境。</w:t>
            </w:r>
          </w:p>
          <w:p w14:paraId="70311A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方式二：现场讲解演示。现场讲解地点为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，讲解演示所用电脑等设备由供应商自备。现场讲解演示人员进场时提供讲解人员名单（加盖公章或授权代表签名）及身份证明，否则不得讲解演示。</w:t>
            </w:r>
          </w:p>
          <w:p w14:paraId="08E1C8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5A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0BE2CA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2093" w:type="dxa"/>
            <w:vAlign w:val="center"/>
          </w:tcPr>
          <w:p w14:paraId="01BA5F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927" w:type="dxa"/>
            <w:vAlign w:val="center"/>
          </w:tcPr>
          <w:p w14:paraId="72D9D7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C0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020727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2093" w:type="dxa"/>
            <w:vAlign w:val="center"/>
          </w:tcPr>
          <w:p w14:paraId="07E621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927" w:type="dxa"/>
            <w:vAlign w:val="center"/>
          </w:tcPr>
          <w:p w14:paraId="6D0CEF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color w:val="auto"/>
                <w:sz w:val="24"/>
                <w:szCs w:val="24"/>
              </w:rPr>
              <w:t>报价单是报价的唯一载体</w:t>
            </w:r>
            <w:r>
              <w:rPr>
                <w:rFonts w:hint="eastAsia" w:ascii="宋体" w:hAnsi="宋体" w:eastAsia="宋体" w:cs="宋体"/>
                <w:color w:val="auto"/>
                <w:kern w:val="0"/>
                <w:sz w:val="24"/>
                <w:szCs w:val="24"/>
                <w:lang w:val="zh-CN"/>
              </w:rPr>
              <w:t>。响应文件中价格全部采用人民币报价。采购文件未列明，而供应商认为必需的费用也需列入报价。</w:t>
            </w:r>
            <w:r>
              <w:rPr>
                <w:rFonts w:hint="eastAsia" w:ascii="宋体" w:hAnsi="宋体" w:eastAsia="宋体" w:cs="宋体"/>
                <w:b/>
                <w:color w:val="auto"/>
                <w:kern w:val="0"/>
                <w:sz w:val="24"/>
                <w:szCs w:val="24"/>
                <w:lang w:val="zh-CN"/>
              </w:rPr>
              <w:t>提醒：验收时检测费用由采购人承担，不包含在总价中。</w:t>
            </w:r>
          </w:p>
          <w:p w14:paraId="527E2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最后报价出现下列情形的，响应文件无效：</w:t>
            </w:r>
          </w:p>
          <w:p w14:paraId="57AD6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响应文件出现不是唯一的、有选择性最后报价的；</w:t>
            </w:r>
          </w:p>
          <w:p w14:paraId="2593C4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jc w:val="left"/>
              <w:textAlignment w:val="auto"/>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最后报价超过采购文件中规定的预算金额或者最高限价的;</w:t>
            </w:r>
          </w:p>
          <w:p w14:paraId="291196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539B8F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供应商对根据修正原则修正后的报价不确认的</w:t>
            </w:r>
            <w:r>
              <w:rPr>
                <w:rFonts w:hint="eastAsia" w:ascii="宋体" w:hAnsi="宋体" w:eastAsia="宋体" w:cs="宋体"/>
                <w:b/>
                <w:color w:val="auto"/>
                <w:sz w:val="24"/>
                <w:szCs w:val="24"/>
              </w:rPr>
              <w:t>。</w:t>
            </w:r>
          </w:p>
        </w:tc>
      </w:tr>
      <w:tr w14:paraId="40A9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A51F6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93" w:type="dxa"/>
            <w:vAlign w:val="center"/>
          </w:tcPr>
          <w:p w14:paraId="740545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927" w:type="dxa"/>
            <w:vAlign w:val="center"/>
          </w:tcPr>
          <w:p w14:paraId="532666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0B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53A1DC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2093" w:type="dxa"/>
            <w:vAlign w:val="center"/>
          </w:tcPr>
          <w:p w14:paraId="5CB84B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备份响应文件送达地点和签收人员</w:t>
            </w:r>
          </w:p>
        </w:tc>
        <w:tc>
          <w:tcPr>
            <w:tcW w:w="6927" w:type="dxa"/>
            <w:vAlign w:val="center"/>
          </w:tcPr>
          <w:p w14:paraId="05AEB921">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28"/>
                <w:sz w:val="24"/>
                <w:szCs w:val="24"/>
              </w:rPr>
              <w:t>；</w:t>
            </w:r>
          </w:p>
          <w:p w14:paraId="66EEB1B2">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kern w:val="28"/>
                <w:sz w:val="24"/>
                <w:szCs w:val="24"/>
              </w:rPr>
              <w:t>备份响应文件签收人员联系电话：</w:t>
            </w:r>
            <w:r>
              <w:rPr>
                <w:rFonts w:hint="eastAsia" w:ascii="宋体" w:hAnsi="宋体" w:eastAsia="宋体" w:cs="宋体"/>
                <w:b w:val="0"/>
                <w:bCs w:val="0"/>
                <w:color w:val="auto"/>
                <w:kern w:val="28"/>
                <w:sz w:val="24"/>
                <w:szCs w:val="24"/>
                <w:highlight w:val="none"/>
                <w:u w:val="single"/>
              </w:rPr>
              <w:t>刘敏、徐华卿</w:t>
            </w:r>
            <w:r>
              <w:rPr>
                <w:rFonts w:hint="eastAsia" w:ascii="宋体" w:hAnsi="宋体" w:eastAsia="宋体" w:cs="宋体"/>
                <w:b w:val="0"/>
                <w:bCs w:val="0"/>
                <w:color w:val="auto"/>
                <w:kern w:val="28"/>
                <w:sz w:val="24"/>
                <w:szCs w:val="24"/>
                <w:highlight w:val="none"/>
                <w:u w:val="single"/>
                <w:lang w:eastAsia="zh-CN"/>
              </w:rPr>
              <w:t>，</w:t>
            </w:r>
            <w:r>
              <w:rPr>
                <w:rFonts w:hint="eastAsia" w:ascii="宋体" w:hAnsi="宋体" w:eastAsia="宋体" w:cs="宋体"/>
                <w:b/>
                <w:bCs/>
                <w:color w:val="auto"/>
                <w:kern w:val="28"/>
                <w:sz w:val="24"/>
                <w:szCs w:val="24"/>
                <w:u w:val="single"/>
              </w:rPr>
              <w:t>0571-87981527</w:t>
            </w:r>
            <w:r>
              <w:rPr>
                <w:rFonts w:hint="eastAsia" w:ascii="宋体" w:hAnsi="宋体" w:eastAsia="宋体" w:cs="宋体"/>
                <w:color w:val="auto"/>
                <w:sz w:val="24"/>
                <w:szCs w:val="24"/>
              </w:rPr>
              <w:t>。</w:t>
            </w:r>
          </w:p>
          <w:p w14:paraId="2E82F8C0">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8"/>
                <w:sz w:val="24"/>
                <w:szCs w:val="24"/>
              </w:rPr>
            </w:pP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tc>
      </w:tr>
      <w:tr w14:paraId="19ED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Merge w:val="restart"/>
            <w:vAlign w:val="center"/>
          </w:tcPr>
          <w:p w14:paraId="37EBE4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093" w:type="dxa"/>
            <w:vMerge w:val="restart"/>
            <w:vAlign w:val="center"/>
          </w:tcPr>
          <w:p w14:paraId="1D9F87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其它说明</w:t>
            </w:r>
          </w:p>
        </w:tc>
        <w:tc>
          <w:tcPr>
            <w:tcW w:w="6927" w:type="dxa"/>
            <w:vAlign w:val="center"/>
          </w:tcPr>
          <w:p w14:paraId="60844E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szCs w:val="24"/>
                <w:highlight w:val="none"/>
              </w:rPr>
              <w:t>业绩数量以提供材料较少的一方为准</w:t>
            </w:r>
            <w:r>
              <w:rPr>
                <w:rFonts w:hint="eastAsia" w:ascii="宋体" w:hAnsi="宋体" w:eastAsia="宋体" w:cs="宋体"/>
                <w:b/>
                <w:color w:val="auto"/>
                <w:kern w:val="0"/>
                <w:sz w:val="24"/>
                <w:szCs w:val="24"/>
                <w:highlight w:val="none"/>
              </w:rPr>
              <w:t>。</w:t>
            </w:r>
          </w:p>
        </w:tc>
      </w:tr>
      <w:tr w14:paraId="59DA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Merge w:val="continue"/>
            <w:vAlign w:val="center"/>
          </w:tcPr>
          <w:p w14:paraId="6F2839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lang w:val="en-US" w:eastAsia="zh-CN"/>
              </w:rPr>
            </w:pPr>
          </w:p>
        </w:tc>
        <w:tc>
          <w:tcPr>
            <w:tcW w:w="2093" w:type="dxa"/>
            <w:vMerge w:val="continue"/>
            <w:vAlign w:val="center"/>
          </w:tcPr>
          <w:p w14:paraId="102023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p>
        </w:tc>
        <w:tc>
          <w:tcPr>
            <w:tcW w:w="6927" w:type="dxa"/>
            <w:vAlign w:val="center"/>
          </w:tcPr>
          <w:p w14:paraId="58B41311">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snapToGrid w:val="0"/>
                <w:color w:val="auto"/>
                <w:kern w:val="28"/>
                <w:sz w:val="24"/>
                <w:szCs w:val="24"/>
              </w:rPr>
              <w:t>联合体投标的，联合体各方均需按招标</w:t>
            </w:r>
            <w:r>
              <w:rPr>
                <w:rFonts w:hint="eastAsia" w:ascii="宋体" w:hAnsi="宋体" w:eastAsia="宋体" w:cs="宋体"/>
                <w:snapToGrid w:val="0"/>
                <w:color w:val="auto"/>
                <w:kern w:val="28"/>
                <w:sz w:val="24"/>
                <w:szCs w:val="24"/>
                <w:highlight w:val="none"/>
              </w:rPr>
              <w:t>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302C66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7B87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4F1593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2093" w:type="dxa"/>
            <w:vAlign w:val="center"/>
          </w:tcPr>
          <w:p w14:paraId="3E6D7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采购代理服务费</w:t>
            </w:r>
          </w:p>
        </w:tc>
        <w:tc>
          <w:tcPr>
            <w:tcW w:w="6927" w:type="dxa"/>
            <w:vAlign w:val="center"/>
          </w:tcPr>
          <w:p w14:paraId="61047E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本次采购代理服务费按国家计委计价格［2002］1980号文《招标代理服务收费管理暂行办法》文件规定的60%（不足3000元时按3000元），造价咨询费根据《浙江省物价局关于进一步完善工程造价咨询服务收费的通知》(浙价服(2009)84号)收费标准的60%</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lang w:val="en-US" w:eastAsia="zh-CN"/>
              </w:rPr>
              <w:t>不足2000元按2000元计算</w:t>
            </w:r>
            <w:r>
              <w:rPr>
                <w:rFonts w:hint="eastAsia" w:ascii="宋体" w:hAnsi="宋体" w:eastAsia="宋体" w:cs="宋体"/>
                <w:snapToGrid w:val="0"/>
                <w:color w:val="auto"/>
                <w:kern w:val="28"/>
                <w:sz w:val="24"/>
                <w:szCs w:val="24"/>
                <w:lang w:eastAsia="zh-CN"/>
              </w:rPr>
              <w:t>），</w:t>
            </w:r>
            <w:r>
              <w:rPr>
                <w:rFonts w:hint="eastAsia" w:ascii="宋体" w:hAnsi="宋体" w:eastAsia="宋体" w:cs="宋体"/>
                <w:snapToGrid w:val="0"/>
                <w:color w:val="auto"/>
                <w:kern w:val="28"/>
                <w:sz w:val="24"/>
                <w:szCs w:val="24"/>
                <w:lang w:val="en-US" w:eastAsia="zh-CN"/>
              </w:rPr>
              <w:t>以上费用</w:t>
            </w:r>
            <w:r>
              <w:rPr>
                <w:rFonts w:hint="eastAsia" w:ascii="宋体" w:hAnsi="宋体" w:eastAsia="宋体" w:cs="宋体"/>
                <w:snapToGrid w:val="0"/>
                <w:color w:val="auto"/>
                <w:kern w:val="28"/>
                <w:sz w:val="24"/>
                <w:szCs w:val="24"/>
              </w:rPr>
              <w:t>由成交人在接到成交通知书时支付给代理机构。</w:t>
            </w:r>
          </w:p>
        </w:tc>
      </w:tr>
      <w:tr w14:paraId="2AC4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0" w:hRule="atLeast"/>
        </w:trPr>
        <w:tc>
          <w:tcPr>
            <w:tcW w:w="714" w:type="dxa"/>
            <w:vAlign w:val="center"/>
          </w:tcPr>
          <w:p w14:paraId="395F35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93" w:type="dxa"/>
            <w:vAlign w:val="center"/>
          </w:tcPr>
          <w:p w14:paraId="7012EE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p w14:paraId="1EC28C96">
            <w:pPr>
              <w:keepNext w:val="0"/>
              <w:keepLines w:val="0"/>
              <w:suppressLineNumbers w:val="0"/>
              <w:spacing w:before="0" w:beforeAutospacing="0" w:after="0" w:afterAutospacing="0"/>
              <w:ind w:left="0" w:right="0"/>
              <w:rPr>
                <w:rFonts w:hint="default"/>
                <w:color w:val="auto"/>
                <w:highlight w:val="none"/>
              </w:rPr>
            </w:pPr>
          </w:p>
        </w:tc>
        <w:tc>
          <w:tcPr>
            <w:tcW w:w="6927" w:type="dxa"/>
            <w:vAlign w:val="center"/>
          </w:tcPr>
          <w:p w14:paraId="2ECAA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不要求提供</w:t>
            </w:r>
          </w:p>
          <w:p w14:paraId="0862C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要求提供：</w:t>
            </w:r>
          </w:p>
          <w:p w14:paraId="67B25E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金额为合同金额的</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%，接受接受转账/保函等形式。</w:t>
            </w:r>
          </w:p>
          <w:p w14:paraId="5F61C4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1、合同签订后7个工作日内缴纳，经采购人验收合格确认中标人无违约行为无息返还给中标人。</w:t>
            </w:r>
          </w:p>
        </w:tc>
      </w:tr>
    </w:tbl>
    <w:p w14:paraId="47001029">
      <w:pPr>
        <w:autoSpaceDN w:val="0"/>
        <w:snapToGrid w:val="0"/>
        <w:spacing w:line="360" w:lineRule="auto"/>
        <w:rPr>
          <w:rFonts w:hint="eastAsia" w:ascii="宋体" w:hAnsi="宋体" w:eastAsia="宋体" w:cs="宋体"/>
          <w:color w:val="auto"/>
          <w:sz w:val="24"/>
          <w:szCs w:val="24"/>
          <w:highlight w:val="none"/>
        </w:rPr>
      </w:pPr>
    </w:p>
    <w:p w14:paraId="691E9C36">
      <w:pPr>
        <w:rPr>
          <w:rFonts w:hint="eastAsia" w:ascii="宋体" w:hAnsi="宋体" w:eastAsia="宋体" w:cs="宋体"/>
          <w:b/>
          <w:bCs/>
          <w:color w:val="auto"/>
          <w:sz w:val="28"/>
          <w:szCs w:val="28"/>
          <w:highlight w:val="none"/>
        </w:rPr>
      </w:pPr>
      <w:bookmarkStart w:id="38" w:name="_Toc82338239"/>
      <w:bookmarkStart w:id="39" w:name="_Toc82873322"/>
      <w:bookmarkStart w:id="40" w:name="_Toc96947060"/>
      <w:r>
        <w:rPr>
          <w:rFonts w:hint="eastAsia" w:ascii="宋体" w:hAnsi="宋体" w:eastAsia="宋体" w:cs="宋体"/>
          <w:b/>
          <w:bCs/>
          <w:color w:val="auto"/>
          <w:sz w:val="28"/>
          <w:szCs w:val="28"/>
          <w:highlight w:val="none"/>
        </w:rPr>
        <w:br w:type="page"/>
      </w:r>
    </w:p>
    <w:p w14:paraId="375AB0BC">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1" w:name="_Toc17707"/>
      <w:bookmarkStart w:id="42" w:name="_Toc1514"/>
      <w:r>
        <w:rPr>
          <w:rFonts w:hint="eastAsia" w:ascii="宋体" w:hAnsi="宋体" w:eastAsia="宋体" w:cs="宋体"/>
          <w:b/>
          <w:bCs/>
          <w:color w:val="auto"/>
          <w:sz w:val="28"/>
          <w:szCs w:val="28"/>
          <w:highlight w:val="none"/>
        </w:rPr>
        <w:t>一、</w:t>
      </w:r>
      <w:bookmarkEnd w:id="38"/>
      <w:bookmarkEnd w:id="39"/>
      <w:r>
        <w:rPr>
          <w:rFonts w:hint="eastAsia" w:ascii="宋体" w:hAnsi="宋体" w:eastAsia="宋体" w:cs="宋体"/>
          <w:b/>
          <w:bCs/>
          <w:color w:val="auto"/>
          <w:sz w:val="28"/>
          <w:szCs w:val="28"/>
          <w:highlight w:val="none"/>
        </w:rPr>
        <w:t>总则</w:t>
      </w:r>
      <w:bookmarkEnd w:id="40"/>
      <w:bookmarkEnd w:id="41"/>
      <w:bookmarkEnd w:id="42"/>
    </w:p>
    <w:p w14:paraId="19571AB9">
      <w:pPr>
        <w:pageBreakBefore w:val="0"/>
        <w:kinsoku/>
        <w:wordWrap/>
        <w:overflowPunct/>
        <w:topLinePunct w:val="0"/>
        <w:bidi w:val="0"/>
        <w:adjustRightInd w:val="0"/>
        <w:snapToGrid w:val="0"/>
        <w:spacing w:line="360" w:lineRule="auto"/>
        <w:jc w:val="left"/>
        <w:textAlignment w:val="auto"/>
        <w:outlineLvl w:val="1"/>
        <w:rPr>
          <w:rFonts w:hint="eastAsia" w:ascii="宋体" w:hAnsi="宋体" w:eastAsia="宋体" w:cs="宋体"/>
          <w:b/>
          <w:color w:val="auto"/>
          <w:sz w:val="24"/>
          <w:szCs w:val="24"/>
        </w:rPr>
      </w:pPr>
      <w:bookmarkStart w:id="43" w:name="_Toc7048"/>
      <w:bookmarkStart w:id="44" w:name="_Toc18551"/>
      <w:bookmarkStart w:id="45" w:name="_Toc29661"/>
      <w:bookmarkStart w:id="46" w:name="_Toc96947061"/>
      <w:bookmarkStart w:id="47" w:name="_Toc10168"/>
      <w:r>
        <w:rPr>
          <w:rFonts w:hint="eastAsia" w:ascii="宋体" w:hAnsi="宋体" w:eastAsia="宋体" w:cs="宋体"/>
          <w:b/>
          <w:color w:val="auto"/>
          <w:sz w:val="24"/>
          <w:szCs w:val="24"/>
        </w:rPr>
        <w:t>1. 适用范围</w:t>
      </w:r>
      <w:bookmarkEnd w:id="43"/>
      <w:bookmarkEnd w:id="44"/>
    </w:p>
    <w:p w14:paraId="002255AF">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本采购文件适用于该项目的采购邀请、响应文件提交、响应文件开启、资格审查及信用信息查询、磋商、评审、成交供应商确定、合同、验收等行为（法律、法规另有规定的，从其规定）。</w:t>
      </w:r>
    </w:p>
    <w:p w14:paraId="3E25F0D8">
      <w:pPr>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szCs w:val="24"/>
        </w:rPr>
      </w:pPr>
      <w:bookmarkStart w:id="48" w:name="_Toc3073"/>
      <w:bookmarkStart w:id="49" w:name="_Toc32446"/>
      <w:r>
        <w:rPr>
          <w:rFonts w:hint="eastAsia" w:ascii="宋体" w:hAnsi="宋体" w:eastAsia="宋体" w:cs="宋体"/>
          <w:b/>
          <w:color w:val="auto"/>
          <w:sz w:val="24"/>
          <w:szCs w:val="24"/>
        </w:rPr>
        <w:t>2.定义</w:t>
      </w:r>
      <w:bookmarkEnd w:id="48"/>
      <w:bookmarkEnd w:id="49"/>
    </w:p>
    <w:p w14:paraId="3174B98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“采购人”系指竞争性磋商公告中载明的本项目的采购人。</w:t>
      </w:r>
    </w:p>
    <w:p w14:paraId="7A8F714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”系指竞争性磋商公告中载明的本项目的</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p>
    <w:p w14:paraId="64EEC16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“供应商”系指是指提交响应文件和报价、参与竞争性磋商采购活动的法人、其他组织或者自然人。</w:t>
      </w:r>
    </w:p>
    <w:p w14:paraId="183A0A0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“负责人”系指法人企业的法定负责人，或其他组织为法律、行政法规规定代表单位行使职权的主要负责人，或自然人本人。</w:t>
      </w:r>
    </w:p>
    <w:p w14:paraId="76979ED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1C9A36E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2.6“电子交易平台”</w:t>
      </w:r>
      <w:r>
        <w:rPr>
          <w:rFonts w:hint="eastAsia" w:ascii="宋体" w:hAnsi="宋体" w:eastAsia="宋体" w:cs="宋体"/>
          <w:color w:val="auto"/>
          <w:sz w:val="24"/>
          <w:szCs w:val="24"/>
          <w:lang w:val="en-US" w:eastAsia="zh-CN"/>
        </w:rPr>
        <w:t>系</w:t>
      </w:r>
      <w:r>
        <w:rPr>
          <w:rFonts w:hint="eastAsia" w:ascii="宋体" w:hAnsi="宋体" w:eastAsia="宋体" w:cs="宋体"/>
          <w:color w:val="auto"/>
          <w:sz w:val="24"/>
          <w:szCs w:val="24"/>
        </w:rPr>
        <w:t>指本项目政府采购活动所依托的政府采购云平台（https://www.zcygov.cn/）。</w:t>
      </w:r>
    </w:p>
    <w:p w14:paraId="4F9A95E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 系指实质性要求条款，“</w:t>
      </w:r>
      <w:sdt>
        <w:sdtPr>
          <w:rPr>
            <w:rFonts w:hint="eastAsia" w:ascii="宋体" w:hAnsi="宋体" w:eastAsia="宋体" w:cs="宋体"/>
            <w:color w:val="auto"/>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szCs w:val="24"/>
        </w:rPr>
        <w:t>” 系指适用本项目的要求，“</w:t>
      </w:r>
      <w:sdt>
        <w:sdtPr>
          <w:rPr>
            <w:rFonts w:hint="eastAsia" w:ascii="宋体" w:hAnsi="宋体" w:eastAsia="宋体" w:cs="宋体"/>
            <w:color w:val="auto"/>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sz w:val="24"/>
          <w:szCs w:val="24"/>
        </w:rPr>
        <w:t>” 系指不适用本项目的要求。</w:t>
      </w:r>
    </w:p>
    <w:p w14:paraId="7403A464">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特别说明：</w:t>
      </w:r>
    </w:p>
    <w:p w14:paraId="634191EF">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并由单位负责人签署的相关投标资料与本采购文件规定由法定代表人签署的的文件材料具有同等效力。</w:t>
      </w:r>
    </w:p>
    <w:p w14:paraId="28F5319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2.8.2</w:t>
      </w:r>
      <w:r>
        <w:rPr>
          <w:rFonts w:hint="eastAsia" w:ascii="宋体" w:hAnsi="宋体" w:eastAsia="宋体" w:cs="宋体"/>
          <w:color w:val="auto"/>
          <w:sz w:val="24"/>
          <w:szCs w:val="24"/>
        </w:rPr>
        <w:t>采购文件中所涉及的产品品牌或型号均为建议性要求或为代替部分技术指标描述，除采购文件明确的品牌外,欢迎其他能满足本项目技术需求且性能与所明确品牌相当的产品参加。</w:t>
      </w:r>
    </w:p>
    <w:p w14:paraId="6251E73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2.8.3</w:t>
      </w:r>
      <w:r>
        <w:rPr>
          <w:rFonts w:hint="eastAsia" w:ascii="宋体" w:hAnsi="宋体" w:eastAsia="宋体" w:cs="宋体"/>
          <w:color w:val="auto"/>
          <w:sz w:val="24"/>
          <w:szCs w:val="24"/>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8704918">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采购项目需要落实的政府采购政策</w:t>
      </w:r>
    </w:p>
    <w:p w14:paraId="407A6B4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不会对其加以限制，仍将按照公平竞争原则实施采购）；</w:t>
      </w:r>
      <w:r>
        <w:rPr>
          <w:rFonts w:hint="eastAsia" w:ascii="宋体" w:hAnsi="宋体" w:eastAsia="宋体" w:cs="宋体"/>
          <w:color w:val="auto"/>
          <w:kern w:val="0"/>
          <w:sz w:val="24"/>
          <w:szCs w:val="24"/>
        </w:rPr>
        <w:t>优先采购向我国企业转让技术、与我国企业签订消化吸收再创新方案的供应商的进口产品</w:t>
      </w:r>
      <w:r>
        <w:rPr>
          <w:rFonts w:hint="eastAsia" w:ascii="宋体" w:hAnsi="宋体" w:eastAsia="宋体" w:cs="宋体"/>
          <w:color w:val="auto"/>
          <w:sz w:val="24"/>
          <w:szCs w:val="24"/>
        </w:rPr>
        <w:t>。</w:t>
      </w:r>
    </w:p>
    <w:p w14:paraId="2F8D611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支持绿色发展</w:t>
      </w:r>
    </w:p>
    <w:p w14:paraId="1C8EBF8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rPr>
        <w:t>▲采购人拟采购的产品属于政府强制采购的节能产品品目清单范围的，</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相应的</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rPr>
        <w:t>产品未获得国家确定的认证机构出具的、处于有效期之内的节能产品认证证书的</w:t>
      </w:r>
      <w:r>
        <w:rPr>
          <w:rFonts w:hint="eastAsia" w:ascii="宋体" w:hAnsi="宋体" w:eastAsia="宋体" w:cs="宋体"/>
          <w:b/>
          <w:bCs/>
          <w:color w:val="auto"/>
          <w:sz w:val="24"/>
          <w:szCs w:val="24"/>
          <w:lang w:val="en-US" w:eastAsia="zh-CN"/>
        </w:rPr>
        <w:t>或未提供响应产品认证证明材料的</w:t>
      </w:r>
      <w:r>
        <w:rPr>
          <w:rFonts w:hint="eastAsia" w:ascii="宋体" w:hAnsi="宋体" w:eastAsia="宋体" w:cs="宋体"/>
          <w:b/>
          <w:bCs/>
          <w:color w:val="auto"/>
          <w:sz w:val="24"/>
          <w:szCs w:val="24"/>
        </w:rPr>
        <w:t>，投标无效。</w:t>
      </w:r>
    </w:p>
    <w:p w14:paraId="3E5A4644">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《节能产品政府采购品目清单》详见《关于印发节能产品政府采购品目清单的通知(财库[2019]19号)》(如遇调整，按最新清单执行)。</w:t>
      </w:r>
    </w:p>
    <w:tbl>
      <w:tblPr>
        <w:tblStyle w:val="6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41AB3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7A92A18">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rPr>
            </w:pPr>
            <w:r>
              <w:rPr>
                <w:rFonts w:hint="eastAsia" w:ascii="宋体" w:hAnsi="宋体" w:eastAsia="宋体" w:cs="宋体"/>
                <w:b/>
                <w:color w:val="auto"/>
                <w:w w:val="90"/>
                <w:szCs w:val="21"/>
              </w:rPr>
              <w:t>品目序号</w:t>
            </w:r>
          </w:p>
        </w:tc>
        <w:tc>
          <w:tcPr>
            <w:tcW w:w="5949" w:type="dxa"/>
            <w:gridSpan w:val="3"/>
            <w:shd w:val="clear" w:color="auto" w:fill="DAEEF3"/>
            <w:vAlign w:val="center"/>
          </w:tcPr>
          <w:p w14:paraId="377D74CC">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rPr>
            </w:pPr>
            <w:r>
              <w:rPr>
                <w:rFonts w:hint="eastAsia" w:ascii="宋体" w:hAnsi="宋体" w:eastAsia="宋体" w:cs="宋体"/>
                <w:b/>
                <w:color w:val="auto"/>
                <w:w w:val="90"/>
                <w:szCs w:val="21"/>
              </w:rPr>
              <w:t>名称（</w:t>
            </w:r>
            <w:r>
              <w:rPr>
                <w:rFonts w:hint="eastAsia" w:ascii="宋体" w:hAnsi="宋体" w:eastAsia="宋体" w:cs="宋体"/>
                <w:b/>
                <w:color w:val="auto"/>
                <w:w w:val="90"/>
                <w:szCs w:val="22"/>
              </w:rPr>
              <w:t>以“★”标注的为政府强制采购产品）</w:t>
            </w:r>
          </w:p>
        </w:tc>
        <w:tc>
          <w:tcPr>
            <w:tcW w:w="3301" w:type="dxa"/>
            <w:shd w:val="clear" w:color="auto" w:fill="DAEEF3"/>
            <w:vAlign w:val="center"/>
          </w:tcPr>
          <w:p w14:paraId="3A4F651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rPr>
            </w:pPr>
            <w:r>
              <w:rPr>
                <w:rFonts w:hint="eastAsia" w:ascii="宋体" w:hAnsi="宋体" w:eastAsia="宋体" w:cs="宋体"/>
                <w:b/>
                <w:color w:val="auto"/>
                <w:w w:val="90"/>
                <w:szCs w:val="21"/>
              </w:rPr>
              <w:t>依据的标准</w:t>
            </w:r>
          </w:p>
        </w:tc>
      </w:tr>
      <w:tr w14:paraId="2A9307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CC08B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w:t>
            </w:r>
          </w:p>
        </w:tc>
        <w:tc>
          <w:tcPr>
            <w:tcW w:w="1933" w:type="dxa"/>
            <w:vMerge w:val="restart"/>
            <w:vAlign w:val="center"/>
          </w:tcPr>
          <w:p w14:paraId="130CDB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A020101计算机设备</w:t>
            </w:r>
          </w:p>
        </w:tc>
        <w:tc>
          <w:tcPr>
            <w:tcW w:w="2334" w:type="dxa"/>
            <w:vAlign w:val="center"/>
          </w:tcPr>
          <w:p w14:paraId="5E65DD6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A02010104台式计算机</w:t>
            </w:r>
          </w:p>
        </w:tc>
        <w:tc>
          <w:tcPr>
            <w:tcW w:w="1682" w:type="dxa"/>
            <w:vAlign w:val="center"/>
          </w:tcPr>
          <w:p w14:paraId="2C64FE9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230FD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《微型计算机能效限定值及能效等级》（GB 28380）</w:t>
            </w:r>
          </w:p>
        </w:tc>
      </w:tr>
      <w:tr w14:paraId="2ECEB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E3E3B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DEDDB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7545758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A02010105便携式计算</w:t>
            </w:r>
          </w:p>
        </w:tc>
        <w:tc>
          <w:tcPr>
            <w:tcW w:w="1682" w:type="dxa"/>
            <w:vAlign w:val="center"/>
          </w:tcPr>
          <w:p w14:paraId="5A9C035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5E976E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《微型计算机能效限定值及能效等级》（GB 28380）</w:t>
            </w:r>
          </w:p>
        </w:tc>
      </w:tr>
      <w:tr w14:paraId="5D3F50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B03A6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24F91C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2ECCAE1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A02010107平板式微型计算机</w:t>
            </w:r>
          </w:p>
        </w:tc>
        <w:tc>
          <w:tcPr>
            <w:tcW w:w="1682" w:type="dxa"/>
            <w:vAlign w:val="center"/>
          </w:tcPr>
          <w:p w14:paraId="484A5B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186C2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《微型计算机能效限定值及能效等级》（GB 28380）</w:t>
            </w:r>
          </w:p>
        </w:tc>
      </w:tr>
      <w:tr w14:paraId="3FFE2F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20F053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2</w:t>
            </w:r>
          </w:p>
        </w:tc>
        <w:tc>
          <w:tcPr>
            <w:tcW w:w="1933" w:type="dxa"/>
            <w:vMerge w:val="restart"/>
            <w:vAlign w:val="center"/>
          </w:tcPr>
          <w:p w14:paraId="3F456C6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A020106输入输出设备</w:t>
            </w:r>
          </w:p>
        </w:tc>
        <w:tc>
          <w:tcPr>
            <w:tcW w:w="2334" w:type="dxa"/>
            <w:vMerge w:val="restart"/>
            <w:vAlign w:val="center"/>
          </w:tcPr>
          <w:p w14:paraId="7FAB698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A02010601打印设备</w:t>
            </w:r>
          </w:p>
        </w:tc>
        <w:tc>
          <w:tcPr>
            <w:tcW w:w="1682" w:type="dxa"/>
            <w:vAlign w:val="center"/>
          </w:tcPr>
          <w:p w14:paraId="5EABC5F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b/>
                <w:bCs/>
                <w:color w:val="auto"/>
                <w:w w:val="90"/>
                <w:szCs w:val="21"/>
              </w:rPr>
              <w:t>A0201060101喷墨打印机</w:t>
            </w:r>
          </w:p>
        </w:tc>
        <w:tc>
          <w:tcPr>
            <w:tcW w:w="3301" w:type="dxa"/>
            <w:vAlign w:val="center"/>
          </w:tcPr>
          <w:p w14:paraId="26D336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《复印机、打印机和传真机能效限定值及能效等级》（GB 21521）</w:t>
            </w:r>
          </w:p>
        </w:tc>
      </w:tr>
      <w:tr w14:paraId="10CAA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391C4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F844BD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0E2FA7D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220513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A0201060102激光打印机</w:t>
            </w:r>
          </w:p>
        </w:tc>
        <w:tc>
          <w:tcPr>
            <w:tcW w:w="3301" w:type="dxa"/>
            <w:vAlign w:val="center"/>
          </w:tcPr>
          <w:p w14:paraId="033A10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《复印机、打印机和传真机能效限定值及能效等级》（GB 21521）</w:t>
            </w:r>
          </w:p>
        </w:tc>
      </w:tr>
      <w:tr w14:paraId="7E83E9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14B2E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46495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73D734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0812E70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A0201060104针式打印机</w:t>
            </w:r>
          </w:p>
        </w:tc>
        <w:tc>
          <w:tcPr>
            <w:tcW w:w="3301" w:type="dxa"/>
            <w:vAlign w:val="center"/>
          </w:tcPr>
          <w:p w14:paraId="1A78FEC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《复印机、打印机和传真机能效限定值及能效等级》（GB 21521）</w:t>
            </w:r>
          </w:p>
        </w:tc>
      </w:tr>
      <w:tr w14:paraId="7DFE45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183E9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7477EF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14C09D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A02010604显示设备</w:t>
            </w:r>
          </w:p>
        </w:tc>
        <w:tc>
          <w:tcPr>
            <w:tcW w:w="1682" w:type="dxa"/>
            <w:vAlign w:val="center"/>
          </w:tcPr>
          <w:p w14:paraId="267E6AC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A0201060401液晶显示器</w:t>
            </w:r>
          </w:p>
        </w:tc>
        <w:tc>
          <w:tcPr>
            <w:tcW w:w="3301" w:type="dxa"/>
            <w:vAlign w:val="center"/>
          </w:tcPr>
          <w:p w14:paraId="34A23F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《计算机显示器能效限定值及能效等级》（GB 21520）</w:t>
            </w:r>
          </w:p>
        </w:tc>
      </w:tr>
      <w:tr w14:paraId="293D6D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B92E6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782315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65A6B3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A02010609图形图像输入设备</w:t>
            </w:r>
          </w:p>
        </w:tc>
        <w:tc>
          <w:tcPr>
            <w:tcW w:w="1682" w:type="dxa"/>
            <w:vAlign w:val="center"/>
          </w:tcPr>
          <w:p w14:paraId="306D78D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A0201060901扫描仪</w:t>
            </w:r>
          </w:p>
        </w:tc>
        <w:tc>
          <w:tcPr>
            <w:tcW w:w="3301" w:type="dxa"/>
            <w:vAlign w:val="center"/>
          </w:tcPr>
          <w:p w14:paraId="70843E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参照《复印机、打印机和传真机能效限定值及能效等级》（GB 21521中打印速度为 15 页/分的针式打印机相关要求</w:t>
            </w:r>
          </w:p>
        </w:tc>
      </w:tr>
      <w:tr w14:paraId="427E0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221CAD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3</w:t>
            </w:r>
          </w:p>
        </w:tc>
        <w:tc>
          <w:tcPr>
            <w:tcW w:w="1933" w:type="dxa"/>
            <w:vAlign w:val="center"/>
          </w:tcPr>
          <w:p w14:paraId="29BFCC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A020202投影仪</w:t>
            </w:r>
          </w:p>
        </w:tc>
        <w:tc>
          <w:tcPr>
            <w:tcW w:w="2334" w:type="dxa"/>
            <w:vAlign w:val="center"/>
          </w:tcPr>
          <w:p w14:paraId="74FC91C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5592B04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30F005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《投影机能效限定值及能效等级（GB 32028）</w:t>
            </w:r>
          </w:p>
        </w:tc>
      </w:tr>
      <w:tr w14:paraId="634152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EF414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4</w:t>
            </w:r>
          </w:p>
        </w:tc>
        <w:tc>
          <w:tcPr>
            <w:tcW w:w="1933" w:type="dxa"/>
            <w:vAlign w:val="center"/>
          </w:tcPr>
          <w:p w14:paraId="312AEC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A020204352多功能一体机</w:t>
            </w:r>
          </w:p>
        </w:tc>
        <w:tc>
          <w:tcPr>
            <w:tcW w:w="2334" w:type="dxa"/>
            <w:vAlign w:val="center"/>
          </w:tcPr>
          <w:p w14:paraId="6B10CAD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7F59F66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133F0E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《复印机、打印机和传真机能效限定值及能效等级》（GB 21521）</w:t>
            </w:r>
          </w:p>
        </w:tc>
      </w:tr>
      <w:tr w14:paraId="117A1B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B0DAE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5</w:t>
            </w:r>
          </w:p>
        </w:tc>
        <w:tc>
          <w:tcPr>
            <w:tcW w:w="1933" w:type="dxa"/>
            <w:vAlign w:val="center"/>
          </w:tcPr>
          <w:p w14:paraId="3ED983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A020519泵</w:t>
            </w:r>
          </w:p>
        </w:tc>
        <w:tc>
          <w:tcPr>
            <w:tcW w:w="2334" w:type="dxa"/>
            <w:vAlign w:val="center"/>
          </w:tcPr>
          <w:p w14:paraId="3CF7DF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A02051901离心泵</w:t>
            </w:r>
          </w:p>
        </w:tc>
        <w:tc>
          <w:tcPr>
            <w:tcW w:w="1682" w:type="dxa"/>
            <w:vAlign w:val="center"/>
          </w:tcPr>
          <w:p w14:paraId="49CFB3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75F854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《清水离心泵能效限定值及节能评价值》（GB 19762）</w:t>
            </w:r>
          </w:p>
        </w:tc>
      </w:tr>
      <w:tr w14:paraId="473DF8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45D4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6</w:t>
            </w:r>
          </w:p>
        </w:tc>
        <w:tc>
          <w:tcPr>
            <w:tcW w:w="1933" w:type="dxa"/>
            <w:vMerge w:val="restart"/>
            <w:vAlign w:val="center"/>
          </w:tcPr>
          <w:p w14:paraId="0899B3E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A020523制冷空调设备</w:t>
            </w:r>
          </w:p>
        </w:tc>
        <w:tc>
          <w:tcPr>
            <w:tcW w:w="2334" w:type="dxa"/>
            <w:vMerge w:val="restart"/>
            <w:vAlign w:val="center"/>
          </w:tcPr>
          <w:p w14:paraId="05DC66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A02052301制冷压缩机</w:t>
            </w:r>
          </w:p>
        </w:tc>
        <w:tc>
          <w:tcPr>
            <w:tcW w:w="1682" w:type="dxa"/>
            <w:vAlign w:val="center"/>
          </w:tcPr>
          <w:p w14:paraId="718A58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冷水机组</w:t>
            </w:r>
          </w:p>
        </w:tc>
        <w:tc>
          <w:tcPr>
            <w:tcW w:w="3301" w:type="dxa"/>
            <w:vAlign w:val="center"/>
          </w:tcPr>
          <w:p w14:paraId="483CBC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《冷水机组能效限定值及能效等级》（GB 19577），《低环境温度空气源热泵（冷水）机组能效限定值及能效等级》（GB 37480）</w:t>
            </w:r>
          </w:p>
        </w:tc>
      </w:tr>
      <w:tr w14:paraId="74E47F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7F003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A1862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7E3F8B5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1682" w:type="dxa"/>
            <w:vAlign w:val="center"/>
          </w:tcPr>
          <w:p w14:paraId="43A863C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水源热泵机组</w:t>
            </w:r>
          </w:p>
        </w:tc>
        <w:tc>
          <w:tcPr>
            <w:tcW w:w="3301" w:type="dxa"/>
            <w:vAlign w:val="center"/>
          </w:tcPr>
          <w:p w14:paraId="483E3BD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《水（地）源热泵机组能效限定值及能效等级》（GB 30721）</w:t>
            </w:r>
          </w:p>
        </w:tc>
      </w:tr>
      <w:tr w14:paraId="72B164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9A42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734A3B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789E7D5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1682" w:type="dxa"/>
            <w:vAlign w:val="center"/>
          </w:tcPr>
          <w:p w14:paraId="373C098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溴化锂吸收式冷水机组</w:t>
            </w:r>
          </w:p>
        </w:tc>
        <w:tc>
          <w:tcPr>
            <w:tcW w:w="3301" w:type="dxa"/>
            <w:vAlign w:val="center"/>
          </w:tcPr>
          <w:p w14:paraId="593E94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《溴化锂吸收式冷水机组能效限定值及能效等级》（GB 29540）</w:t>
            </w:r>
          </w:p>
        </w:tc>
      </w:tr>
      <w:tr w14:paraId="52444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501D8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77DA33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restart"/>
            <w:vAlign w:val="center"/>
          </w:tcPr>
          <w:p w14:paraId="018AAD4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A02052305空调机组</w:t>
            </w:r>
          </w:p>
        </w:tc>
        <w:tc>
          <w:tcPr>
            <w:tcW w:w="1682" w:type="dxa"/>
            <w:vAlign w:val="center"/>
          </w:tcPr>
          <w:p w14:paraId="7122927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多联式空调（热泵）机组(制冷量&gt;14000W)</w:t>
            </w:r>
          </w:p>
        </w:tc>
        <w:tc>
          <w:tcPr>
            <w:tcW w:w="3301" w:type="dxa"/>
            <w:vAlign w:val="center"/>
          </w:tcPr>
          <w:p w14:paraId="28D98E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《多联式空调（热泵）机组能效限定值及能源效率等级》（GB 21454）</w:t>
            </w:r>
          </w:p>
        </w:tc>
      </w:tr>
      <w:tr w14:paraId="6A54B1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FAB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8A7CF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3C7FF6E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1682" w:type="dxa"/>
            <w:vAlign w:val="center"/>
          </w:tcPr>
          <w:p w14:paraId="26C70B8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单元式空气调节机(制冷量&gt;14000W)</w:t>
            </w:r>
          </w:p>
        </w:tc>
        <w:tc>
          <w:tcPr>
            <w:tcW w:w="3301" w:type="dxa"/>
            <w:vAlign w:val="center"/>
          </w:tcPr>
          <w:p w14:paraId="694F5F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《单元式空气调节机能效限定值及能效等级》（GB 19576）《风管送风式空调机组能效限定值及能效等级》（GB 37479）</w:t>
            </w:r>
          </w:p>
        </w:tc>
      </w:tr>
      <w:tr w14:paraId="43C55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189C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613754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34B3221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A02052309专用制冷、空调设备</w:t>
            </w:r>
          </w:p>
        </w:tc>
        <w:tc>
          <w:tcPr>
            <w:tcW w:w="1682" w:type="dxa"/>
            <w:vAlign w:val="center"/>
          </w:tcPr>
          <w:p w14:paraId="494ADF2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机房空调</w:t>
            </w:r>
          </w:p>
        </w:tc>
        <w:tc>
          <w:tcPr>
            <w:tcW w:w="3301" w:type="dxa"/>
            <w:vAlign w:val="center"/>
          </w:tcPr>
          <w:p w14:paraId="6FA5873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《单元式空气调节机能效限定值及能效等级》（GB 19576）</w:t>
            </w:r>
          </w:p>
        </w:tc>
      </w:tr>
      <w:tr w14:paraId="1FF970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4817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7E5FA0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77A5B39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A02052399其他制冷空调设备</w:t>
            </w:r>
          </w:p>
        </w:tc>
        <w:tc>
          <w:tcPr>
            <w:tcW w:w="1682" w:type="dxa"/>
            <w:vAlign w:val="center"/>
          </w:tcPr>
          <w:p w14:paraId="6C7E3D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冷却塔</w:t>
            </w:r>
          </w:p>
        </w:tc>
        <w:tc>
          <w:tcPr>
            <w:tcW w:w="3301" w:type="dxa"/>
            <w:vAlign w:val="center"/>
          </w:tcPr>
          <w:p w14:paraId="58EEA6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《机械通风冷却塔 第 1 部分：中小型开式冷却塔》（GB/T 7190.1）</w:t>
            </w:r>
          </w:p>
          <w:p w14:paraId="0EA7496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《机械通风冷却塔 第 2 部分：大型开式冷却塔》（GB/T 7190.2）</w:t>
            </w:r>
          </w:p>
        </w:tc>
      </w:tr>
      <w:tr w14:paraId="2487D1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BF9B7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7</w:t>
            </w:r>
          </w:p>
        </w:tc>
        <w:tc>
          <w:tcPr>
            <w:tcW w:w="1933" w:type="dxa"/>
            <w:vAlign w:val="center"/>
          </w:tcPr>
          <w:p w14:paraId="41E034B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A020601电机</w:t>
            </w:r>
          </w:p>
        </w:tc>
        <w:tc>
          <w:tcPr>
            <w:tcW w:w="2334" w:type="dxa"/>
            <w:vAlign w:val="center"/>
          </w:tcPr>
          <w:p w14:paraId="098CB2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4FE0F8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4C35E84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《中小型三相异步电动机能效限定值及能效等级》（GB 18613）</w:t>
            </w:r>
          </w:p>
        </w:tc>
      </w:tr>
      <w:tr w14:paraId="0F3180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21094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8</w:t>
            </w:r>
          </w:p>
        </w:tc>
        <w:tc>
          <w:tcPr>
            <w:tcW w:w="1933" w:type="dxa"/>
            <w:vAlign w:val="center"/>
          </w:tcPr>
          <w:p w14:paraId="7EF78F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A020602变压器</w:t>
            </w:r>
          </w:p>
        </w:tc>
        <w:tc>
          <w:tcPr>
            <w:tcW w:w="2334" w:type="dxa"/>
            <w:vAlign w:val="center"/>
          </w:tcPr>
          <w:p w14:paraId="0122CF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配电变压器</w:t>
            </w:r>
          </w:p>
        </w:tc>
        <w:tc>
          <w:tcPr>
            <w:tcW w:w="1682" w:type="dxa"/>
            <w:vAlign w:val="center"/>
          </w:tcPr>
          <w:p w14:paraId="5DDC0B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41C89E5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《三相配电变压器能效限定值及能效等级》（GB 20052）</w:t>
            </w:r>
          </w:p>
        </w:tc>
      </w:tr>
      <w:tr w14:paraId="365E20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99D7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9</w:t>
            </w:r>
          </w:p>
        </w:tc>
        <w:tc>
          <w:tcPr>
            <w:tcW w:w="1933" w:type="dxa"/>
            <w:vAlign w:val="center"/>
          </w:tcPr>
          <w:p w14:paraId="26809A0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A020609镇流器</w:t>
            </w:r>
          </w:p>
        </w:tc>
        <w:tc>
          <w:tcPr>
            <w:tcW w:w="2334" w:type="dxa"/>
            <w:vAlign w:val="center"/>
          </w:tcPr>
          <w:p w14:paraId="4A4D66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管型荧光灯镇流器</w:t>
            </w:r>
          </w:p>
        </w:tc>
        <w:tc>
          <w:tcPr>
            <w:tcW w:w="1682" w:type="dxa"/>
            <w:vAlign w:val="center"/>
          </w:tcPr>
          <w:p w14:paraId="759FB46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18E6F60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《管形荧光灯镇流器能效限定值及能效等级》（GB 17896）</w:t>
            </w:r>
          </w:p>
        </w:tc>
      </w:tr>
      <w:tr w14:paraId="76F89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B476A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10</w:t>
            </w:r>
          </w:p>
        </w:tc>
        <w:tc>
          <w:tcPr>
            <w:tcW w:w="1933" w:type="dxa"/>
            <w:vMerge w:val="restart"/>
            <w:vAlign w:val="center"/>
          </w:tcPr>
          <w:p w14:paraId="4DCD01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A020618 生活用电器</w:t>
            </w:r>
          </w:p>
        </w:tc>
        <w:tc>
          <w:tcPr>
            <w:tcW w:w="2334" w:type="dxa"/>
            <w:vAlign w:val="center"/>
          </w:tcPr>
          <w:p w14:paraId="0BE1084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A0206180101电冰箱</w:t>
            </w:r>
          </w:p>
        </w:tc>
        <w:tc>
          <w:tcPr>
            <w:tcW w:w="1682" w:type="dxa"/>
            <w:vAlign w:val="center"/>
          </w:tcPr>
          <w:p w14:paraId="58143F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1EACADF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《家用电冰箱耗电量限定值及能效等级》（GB</w:t>
            </w:r>
            <w:r>
              <w:rPr>
                <w:rFonts w:hint="eastAsia" w:ascii="宋体" w:hAnsi="宋体" w:eastAsia="宋体" w:cs="宋体"/>
                <w:color w:val="auto"/>
                <w:w w:val="90"/>
                <w:szCs w:val="21"/>
              </w:rPr>
              <w:tab/>
            </w:r>
            <w:r>
              <w:rPr>
                <w:rFonts w:hint="eastAsia" w:ascii="宋体" w:hAnsi="宋体" w:eastAsia="宋体" w:cs="宋体"/>
                <w:color w:val="auto"/>
                <w:w w:val="90"/>
                <w:szCs w:val="21"/>
              </w:rPr>
              <w:t>12021.2）</w:t>
            </w:r>
          </w:p>
        </w:tc>
      </w:tr>
      <w:tr w14:paraId="4AF6D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5E8561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DBCC3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restart"/>
            <w:vAlign w:val="center"/>
          </w:tcPr>
          <w:p w14:paraId="08584FD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A0206180203空调机</w:t>
            </w:r>
          </w:p>
        </w:tc>
        <w:tc>
          <w:tcPr>
            <w:tcW w:w="1682" w:type="dxa"/>
            <w:vAlign w:val="center"/>
          </w:tcPr>
          <w:p w14:paraId="26A122E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房间空气调节器</w:t>
            </w:r>
          </w:p>
        </w:tc>
        <w:tc>
          <w:tcPr>
            <w:tcW w:w="3301" w:type="dxa"/>
            <w:vAlign w:val="center"/>
          </w:tcPr>
          <w:p w14:paraId="2A9792A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《转速可控型房间空气调节器能效限定值及能效等级》（GB 21455-2013），待2019年修订发布后，按《房间空气调节器能效限定值及能效等级》（GB21455-2019）实施。</w:t>
            </w:r>
          </w:p>
        </w:tc>
      </w:tr>
      <w:tr w14:paraId="179053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B4BA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3C35121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72D3D94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1682" w:type="dxa"/>
            <w:vAlign w:val="center"/>
          </w:tcPr>
          <w:p w14:paraId="42B84E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多联式空调（热泵）机组（制冷量≤ 14000W）</w:t>
            </w:r>
          </w:p>
        </w:tc>
        <w:tc>
          <w:tcPr>
            <w:tcW w:w="3301" w:type="dxa"/>
            <w:vAlign w:val="center"/>
          </w:tcPr>
          <w:p w14:paraId="5E7B06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《多联式空调（热泵）机组能效限定值及能源效率等级》（GB 21454）</w:t>
            </w:r>
          </w:p>
        </w:tc>
      </w:tr>
      <w:tr w14:paraId="2579AF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7930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16D7BB7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07C43ED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1682" w:type="dxa"/>
            <w:vAlign w:val="center"/>
          </w:tcPr>
          <w:p w14:paraId="692465F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单元式空气调节机(制冷量≤14000W)</w:t>
            </w:r>
          </w:p>
        </w:tc>
        <w:tc>
          <w:tcPr>
            <w:tcW w:w="3301" w:type="dxa"/>
            <w:vAlign w:val="center"/>
          </w:tcPr>
          <w:p w14:paraId="781145B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《单元式空气调节机能效限定值及能源效率等级》（GB 19576）《风管送风式空调机组能效限定值及能效等级》（GB 37479）</w:t>
            </w:r>
          </w:p>
        </w:tc>
      </w:tr>
      <w:tr w14:paraId="7A0015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660D2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1FDCE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602125B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A0206180301洗衣机</w:t>
            </w:r>
          </w:p>
        </w:tc>
        <w:tc>
          <w:tcPr>
            <w:tcW w:w="1682" w:type="dxa"/>
            <w:vAlign w:val="center"/>
          </w:tcPr>
          <w:p w14:paraId="68A464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3301" w:type="dxa"/>
            <w:vAlign w:val="center"/>
          </w:tcPr>
          <w:p w14:paraId="4C2A1BD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《电动洗衣机能效水效限定值及等级》（GB 12021.4）</w:t>
            </w:r>
          </w:p>
        </w:tc>
      </w:tr>
      <w:tr w14:paraId="2AD3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8434F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4E607AF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restart"/>
            <w:vAlign w:val="center"/>
          </w:tcPr>
          <w:p w14:paraId="7B5E362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A02061808热水器</w:t>
            </w:r>
          </w:p>
        </w:tc>
        <w:tc>
          <w:tcPr>
            <w:tcW w:w="1682" w:type="dxa"/>
            <w:vAlign w:val="center"/>
          </w:tcPr>
          <w:p w14:paraId="6823B5D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电热水器</w:t>
            </w:r>
          </w:p>
        </w:tc>
        <w:tc>
          <w:tcPr>
            <w:tcW w:w="3301" w:type="dxa"/>
            <w:vAlign w:val="center"/>
          </w:tcPr>
          <w:p w14:paraId="661821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《储水式电热水器能效限定值及能效等级》（GB 21519）</w:t>
            </w:r>
          </w:p>
        </w:tc>
      </w:tr>
      <w:tr w14:paraId="47FFE7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7026D8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00D4AC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0EB6E7A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0A58ED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燃气热水器</w:t>
            </w:r>
          </w:p>
        </w:tc>
        <w:tc>
          <w:tcPr>
            <w:tcW w:w="3301" w:type="dxa"/>
            <w:vAlign w:val="center"/>
          </w:tcPr>
          <w:p w14:paraId="374EFA7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《家用燃气快速热水器和燃气采暖热水炉能效限定值及能效等级（GB 20665）</w:t>
            </w:r>
          </w:p>
        </w:tc>
      </w:tr>
      <w:tr w14:paraId="48C8C2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60761A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418FBA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05F078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0978AA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热泵热水器</w:t>
            </w:r>
          </w:p>
        </w:tc>
        <w:tc>
          <w:tcPr>
            <w:tcW w:w="3301" w:type="dxa"/>
            <w:vAlign w:val="center"/>
          </w:tcPr>
          <w:p w14:paraId="02234A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《热泵热水机（器）能效限定值及能效等级》（GB 29541）</w:t>
            </w:r>
          </w:p>
        </w:tc>
      </w:tr>
      <w:tr w14:paraId="244C7E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F8CC7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30F06D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Merge w:val="continue"/>
            <w:vAlign w:val="center"/>
          </w:tcPr>
          <w:p w14:paraId="14D417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6F28C0F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太阳能热水系统</w:t>
            </w:r>
          </w:p>
        </w:tc>
        <w:tc>
          <w:tcPr>
            <w:tcW w:w="3301" w:type="dxa"/>
            <w:vAlign w:val="center"/>
          </w:tcPr>
          <w:p w14:paraId="6DA7536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《家用太阳能热水系统能效限定值及能效等级》（GB 26969）</w:t>
            </w:r>
          </w:p>
        </w:tc>
      </w:tr>
      <w:tr w14:paraId="24873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FC1263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11</w:t>
            </w:r>
          </w:p>
        </w:tc>
        <w:tc>
          <w:tcPr>
            <w:tcW w:w="1933" w:type="dxa"/>
            <w:vMerge w:val="restart"/>
            <w:vAlign w:val="center"/>
          </w:tcPr>
          <w:p w14:paraId="7C90DB0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A020619 照明设备</w:t>
            </w:r>
          </w:p>
        </w:tc>
        <w:tc>
          <w:tcPr>
            <w:tcW w:w="2334" w:type="dxa"/>
            <w:vAlign w:val="center"/>
          </w:tcPr>
          <w:p w14:paraId="3DCED47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普通照明用双端荧光灯</w:t>
            </w:r>
          </w:p>
        </w:tc>
        <w:tc>
          <w:tcPr>
            <w:tcW w:w="1682" w:type="dxa"/>
            <w:vAlign w:val="center"/>
          </w:tcPr>
          <w:p w14:paraId="63A523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28A12D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《普通照明用双端荧光灯能效限定值及能效等级》（GB 19043）</w:t>
            </w:r>
          </w:p>
        </w:tc>
      </w:tr>
      <w:tr w14:paraId="1D10BF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F37EFF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5FB596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7200A2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LED道路/隧道照明产品</w:t>
            </w:r>
          </w:p>
        </w:tc>
        <w:tc>
          <w:tcPr>
            <w:tcW w:w="1682" w:type="dxa"/>
            <w:vAlign w:val="center"/>
          </w:tcPr>
          <w:p w14:paraId="2889F72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7B07C0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《道路和隧道照明用LED灯具能效限定值及能效等级》（GB 37478）</w:t>
            </w:r>
          </w:p>
        </w:tc>
      </w:tr>
      <w:tr w14:paraId="249FCA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CB25E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143531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776B4D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LED筒灯</w:t>
            </w:r>
          </w:p>
        </w:tc>
        <w:tc>
          <w:tcPr>
            <w:tcW w:w="1682" w:type="dxa"/>
            <w:vAlign w:val="center"/>
          </w:tcPr>
          <w:p w14:paraId="1F647B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4FF482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《室内照明用LED产品能效限定值及能效等级》（GB 30255）</w:t>
            </w:r>
          </w:p>
        </w:tc>
      </w:tr>
      <w:tr w14:paraId="10492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147EE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CC73EA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2334" w:type="dxa"/>
            <w:vAlign w:val="center"/>
          </w:tcPr>
          <w:p w14:paraId="799F0C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普通照明用非定向自镇流LED灯</w:t>
            </w:r>
          </w:p>
        </w:tc>
        <w:tc>
          <w:tcPr>
            <w:tcW w:w="1682" w:type="dxa"/>
            <w:vAlign w:val="center"/>
          </w:tcPr>
          <w:p w14:paraId="43ED99D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13AA4A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《室内照明用LED产品能效限定值及能效等级》（GB 30255）</w:t>
            </w:r>
          </w:p>
        </w:tc>
      </w:tr>
      <w:tr w14:paraId="3FC354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1E81BF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12</w:t>
            </w:r>
          </w:p>
        </w:tc>
        <w:tc>
          <w:tcPr>
            <w:tcW w:w="1933" w:type="dxa"/>
            <w:vAlign w:val="center"/>
          </w:tcPr>
          <w:p w14:paraId="5EC103B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A020910电视设备</w:t>
            </w:r>
          </w:p>
        </w:tc>
        <w:tc>
          <w:tcPr>
            <w:tcW w:w="2334" w:type="dxa"/>
            <w:vAlign w:val="center"/>
          </w:tcPr>
          <w:p w14:paraId="28D8ABC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A02091001普通电视设备（电视机）</w:t>
            </w:r>
          </w:p>
        </w:tc>
        <w:tc>
          <w:tcPr>
            <w:tcW w:w="1682" w:type="dxa"/>
            <w:vAlign w:val="center"/>
          </w:tcPr>
          <w:p w14:paraId="6EE7087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727BDB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《平板电视能效限定值及能效等级》（GB 24850）</w:t>
            </w:r>
          </w:p>
        </w:tc>
      </w:tr>
      <w:tr w14:paraId="59C65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AE021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13</w:t>
            </w:r>
          </w:p>
        </w:tc>
        <w:tc>
          <w:tcPr>
            <w:tcW w:w="1933" w:type="dxa"/>
            <w:vAlign w:val="center"/>
          </w:tcPr>
          <w:p w14:paraId="5DF723F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A020911视频设备</w:t>
            </w:r>
          </w:p>
        </w:tc>
        <w:tc>
          <w:tcPr>
            <w:tcW w:w="2334" w:type="dxa"/>
            <w:vAlign w:val="center"/>
          </w:tcPr>
          <w:p w14:paraId="1E89F02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A02091107视频监控设备</w:t>
            </w:r>
          </w:p>
        </w:tc>
        <w:tc>
          <w:tcPr>
            <w:tcW w:w="1682" w:type="dxa"/>
            <w:vAlign w:val="center"/>
          </w:tcPr>
          <w:p w14:paraId="69EC772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rPr>
            </w:pPr>
            <w:r>
              <w:rPr>
                <w:rFonts w:hint="eastAsia" w:ascii="宋体" w:hAnsi="宋体" w:eastAsia="宋体" w:cs="宋体"/>
                <w:b/>
                <w:color w:val="auto"/>
                <w:w w:val="90"/>
                <w:szCs w:val="21"/>
              </w:rPr>
              <w:t>监视器</w:t>
            </w:r>
          </w:p>
        </w:tc>
        <w:tc>
          <w:tcPr>
            <w:tcW w:w="3301" w:type="dxa"/>
            <w:vAlign w:val="center"/>
          </w:tcPr>
          <w:p w14:paraId="447AC80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124B4E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E1BBF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14</w:t>
            </w:r>
          </w:p>
        </w:tc>
        <w:tc>
          <w:tcPr>
            <w:tcW w:w="1933" w:type="dxa"/>
            <w:vAlign w:val="center"/>
          </w:tcPr>
          <w:p w14:paraId="55DBE96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A031210饮食炊事机械</w:t>
            </w:r>
          </w:p>
        </w:tc>
        <w:tc>
          <w:tcPr>
            <w:tcW w:w="2334" w:type="dxa"/>
            <w:vAlign w:val="center"/>
          </w:tcPr>
          <w:p w14:paraId="75F8E3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商用燃气灶具</w:t>
            </w:r>
          </w:p>
        </w:tc>
        <w:tc>
          <w:tcPr>
            <w:tcW w:w="1682" w:type="dxa"/>
            <w:vAlign w:val="center"/>
          </w:tcPr>
          <w:p w14:paraId="244BC77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675D9D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r>
      <w:tr w14:paraId="5A3E77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1D95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15</w:t>
            </w:r>
          </w:p>
        </w:tc>
        <w:tc>
          <w:tcPr>
            <w:tcW w:w="1933" w:type="dxa"/>
            <w:vMerge w:val="restart"/>
            <w:vAlign w:val="center"/>
          </w:tcPr>
          <w:p w14:paraId="197229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A060805便器</w:t>
            </w:r>
          </w:p>
        </w:tc>
        <w:tc>
          <w:tcPr>
            <w:tcW w:w="2334" w:type="dxa"/>
            <w:vAlign w:val="center"/>
          </w:tcPr>
          <w:p w14:paraId="03F4680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坐便器</w:t>
            </w:r>
          </w:p>
        </w:tc>
        <w:tc>
          <w:tcPr>
            <w:tcW w:w="1682" w:type="dxa"/>
            <w:vAlign w:val="center"/>
          </w:tcPr>
          <w:p w14:paraId="244054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39EAB2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《坐便器水效限定值及水效等级</w:t>
            </w:r>
          </w:p>
          <w:p w14:paraId="0D9F964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（GB 25502）</w:t>
            </w:r>
          </w:p>
        </w:tc>
      </w:tr>
      <w:tr w14:paraId="008316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582F9C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288D474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2334" w:type="dxa"/>
            <w:vAlign w:val="center"/>
          </w:tcPr>
          <w:p w14:paraId="7056E9B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蹲便器</w:t>
            </w:r>
          </w:p>
        </w:tc>
        <w:tc>
          <w:tcPr>
            <w:tcW w:w="1682" w:type="dxa"/>
            <w:vAlign w:val="center"/>
          </w:tcPr>
          <w:p w14:paraId="448FAA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23B491D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《蹲便器用水效率限定值及用水效率等级》（GB 30717）</w:t>
            </w:r>
          </w:p>
        </w:tc>
      </w:tr>
      <w:tr w14:paraId="51429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5746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1933" w:type="dxa"/>
            <w:vMerge w:val="continue"/>
            <w:vAlign w:val="center"/>
          </w:tcPr>
          <w:p w14:paraId="514A0ED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p>
        </w:tc>
        <w:tc>
          <w:tcPr>
            <w:tcW w:w="2334" w:type="dxa"/>
            <w:vAlign w:val="center"/>
          </w:tcPr>
          <w:p w14:paraId="0953C20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b/>
                <w:color w:val="auto"/>
                <w:w w:val="90"/>
                <w:szCs w:val="21"/>
              </w:rPr>
              <w:t>小便器</w:t>
            </w:r>
          </w:p>
        </w:tc>
        <w:tc>
          <w:tcPr>
            <w:tcW w:w="1682" w:type="dxa"/>
            <w:vAlign w:val="center"/>
          </w:tcPr>
          <w:p w14:paraId="6B81314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68D3E6A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《小便器用水效率限定值及用水效率等级》（GB 28377）</w:t>
            </w:r>
          </w:p>
        </w:tc>
      </w:tr>
      <w:tr w14:paraId="79659D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A4A0C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16</w:t>
            </w:r>
          </w:p>
        </w:tc>
        <w:tc>
          <w:tcPr>
            <w:tcW w:w="1933" w:type="dxa"/>
            <w:vAlign w:val="center"/>
          </w:tcPr>
          <w:p w14:paraId="6A30F9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rPr>
            </w:pPr>
            <w:r>
              <w:rPr>
                <w:rFonts w:hint="eastAsia" w:ascii="宋体" w:hAnsi="宋体" w:eastAsia="宋体" w:cs="宋体"/>
                <w:color w:val="auto"/>
                <w:w w:val="90"/>
                <w:szCs w:val="21"/>
              </w:rPr>
              <w:t>★</w:t>
            </w:r>
            <w:r>
              <w:rPr>
                <w:rFonts w:hint="eastAsia" w:ascii="宋体" w:hAnsi="宋体" w:eastAsia="宋体" w:cs="宋体"/>
                <w:b/>
                <w:color w:val="auto"/>
                <w:w w:val="90"/>
                <w:szCs w:val="21"/>
              </w:rPr>
              <w:t>A060806水嘴</w:t>
            </w:r>
          </w:p>
        </w:tc>
        <w:tc>
          <w:tcPr>
            <w:tcW w:w="2334" w:type="dxa"/>
            <w:vAlign w:val="center"/>
          </w:tcPr>
          <w:p w14:paraId="79A3506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25DE0BA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76E7C74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《水嘴用水效率限定值及用水效率等级》（GB 25501）</w:t>
            </w:r>
          </w:p>
        </w:tc>
      </w:tr>
      <w:tr w14:paraId="13EAC7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E546A9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17</w:t>
            </w:r>
          </w:p>
        </w:tc>
        <w:tc>
          <w:tcPr>
            <w:tcW w:w="1933" w:type="dxa"/>
            <w:vAlign w:val="center"/>
          </w:tcPr>
          <w:p w14:paraId="4A3FAD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A060807便器冲洗阀</w:t>
            </w:r>
          </w:p>
        </w:tc>
        <w:tc>
          <w:tcPr>
            <w:tcW w:w="2334" w:type="dxa"/>
            <w:vAlign w:val="center"/>
          </w:tcPr>
          <w:p w14:paraId="14B9BAE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5A17F1C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43A77B2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《便器冲洗阀用水效率限定值及用水效率等级》（GB 28379）</w:t>
            </w:r>
          </w:p>
        </w:tc>
      </w:tr>
      <w:tr w14:paraId="2C3D90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83ED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r>
              <w:rPr>
                <w:rFonts w:hint="eastAsia" w:ascii="宋体" w:hAnsi="宋体" w:eastAsia="宋体" w:cs="宋体"/>
                <w:color w:val="auto"/>
                <w:w w:val="90"/>
                <w:szCs w:val="21"/>
              </w:rPr>
              <w:t>18</w:t>
            </w:r>
          </w:p>
        </w:tc>
        <w:tc>
          <w:tcPr>
            <w:tcW w:w="1933" w:type="dxa"/>
            <w:vAlign w:val="center"/>
          </w:tcPr>
          <w:p w14:paraId="5ABC822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A060810淋浴器</w:t>
            </w:r>
          </w:p>
        </w:tc>
        <w:tc>
          <w:tcPr>
            <w:tcW w:w="2334" w:type="dxa"/>
            <w:vAlign w:val="center"/>
          </w:tcPr>
          <w:p w14:paraId="74E8FB8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p>
        </w:tc>
        <w:tc>
          <w:tcPr>
            <w:tcW w:w="1682" w:type="dxa"/>
            <w:vAlign w:val="center"/>
          </w:tcPr>
          <w:p w14:paraId="12F983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rPr>
            </w:pPr>
          </w:p>
        </w:tc>
        <w:tc>
          <w:tcPr>
            <w:tcW w:w="3301" w:type="dxa"/>
            <w:vAlign w:val="center"/>
          </w:tcPr>
          <w:p w14:paraId="0EEE05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rPr>
            </w:pPr>
            <w:r>
              <w:rPr>
                <w:rFonts w:hint="eastAsia" w:ascii="宋体" w:hAnsi="宋体" w:eastAsia="宋体" w:cs="宋体"/>
                <w:color w:val="auto"/>
                <w:w w:val="90"/>
                <w:szCs w:val="21"/>
              </w:rPr>
              <w:t>《淋浴器用水效率限定值及用水效率等级》（GB 28378）</w:t>
            </w:r>
          </w:p>
        </w:tc>
      </w:tr>
    </w:tbl>
    <w:p w14:paraId="5EB4B35B">
      <w:pPr>
        <w:adjustRightInd w:val="0"/>
        <w:snapToGrid w:val="0"/>
        <w:spacing w:line="360" w:lineRule="auto"/>
        <w:ind w:firstLine="480" w:firstLineChars="200"/>
        <w:rPr>
          <w:rFonts w:hint="default" w:ascii="宋体" w:hAnsi="宋体" w:cs="宋体"/>
          <w:color w:val="auto"/>
          <w:sz w:val="24"/>
        </w:rPr>
      </w:pPr>
    </w:p>
    <w:p w14:paraId="149CCD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5CF897E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szCs w:val="24"/>
          <w:highlight w:val="none"/>
        </w:rPr>
        <w:t>鼓励采购单位优先采购秸秆环保板材等资源综合利用产品。鼓励采购单位优先采购绿色物流配送服务、提供新能源交通工具的租赁服务。</w:t>
      </w:r>
    </w:p>
    <w:p w14:paraId="2C78E1DB">
      <w:pPr>
        <w:pStyle w:val="4"/>
        <w:pageBreakBefore w:val="0"/>
        <w:tabs>
          <w:tab w:val="left" w:pos="0"/>
        </w:tabs>
        <w:kinsoku/>
        <w:wordWrap/>
        <w:overflowPunct/>
        <w:topLinePunct w:val="0"/>
        <w:bidi w:val="0"/>
        <w:adjustRightInd w:val="0"/>
        <w:snapToGrid w:val="0"/>
        <w:spacing w:before="0" w:after="0" w:line="360" w:lineRule="auto"/>
        <w:ind w:left="0" w:firstLine="480" w:firstLineChars="200"/>
        <w:textAlignment w:val="auto"/>
        <w:rPr>
          <w:rFonts w:hint="eastAsia" w:ascii="宋体" w:hAnsi="宋体" w:eastAsia="宋体" w:cs="宋体"/>
          <w:color w:val="auto"/>
          <w:sz w:val="24"/>
          <w:szCs w:val="24"/>
          <w:lang w:val="en-US"/>
        </w:rPr>
      </w:pPr>
      <w:bookmarkStart w:id="50" w:name="_Toc13827"/>
      <w:bookmarkStart w:id="51" w:name="_Toc32425"/>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50"/>
      <w:bookmarkEnd w:id="51"/>
    </w:p>
    <w:p w14:paraId="2775A9A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3.3支持中小企业发展</w:t>
      </w:r>
    </w:p>
    <w:p w14:paraId="56CBF31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0354D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14:paraId="33DD4817">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3.3.2</w:t>
      </w:r>
      <w:r>
        <w:rPr>
          <w:rFonts w:hint="eastAsia" w:ascii="宋体" w:hAnsi="宋体" w:eastAsia="宋体" w:cs="宋体"/>
          <w:color w:val="auto"/>
          <w:kern w:val="0"/>
          <w:sz w:val="24"/>
          <w:szCs w:val="24"/>
        </w:rPr>
        <w:t>在政府采购活动中，供应商提供的工程符合下列情形的，享受中小企业扶持政策：</w:t>
      </w:r>
      <w:r>
        <w:rPr>
          <w:rFonts w:hint="eastAsia" w:ascii="宋体" w:hAnsi="宋体" w:eastAsia="宋体" w:cs="宋体"/>
          <w:color w:val="auto"/>
          <w:sz w:val="24"/>
          <w:szCs w:val="24"/>
        </w:rPr>
        <w:t>在工程采购项目中，工程由中小企业承建，即工程施工单位为中小企业</w:t>
      </w:r>
      <w:r>
        <w:rPr>
          <w:rFonts w:hint="eastAsia" w:ascii="宋体" w:hAnsi="宋体" w:eastAsia="宋体" w:cs="宋体"/>
          <w:color w:val="auto"/>
          <w:kern w:val="0"/>
          <w:sz w:val="24"/>
          <w:szCs w:val="24"/>
        </w:rPr>
        <w:t>。</w:t>
      </w:r>
    </w:p>
    <w:p w14:paraId="78DD27D3">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以联合体形式参加政府采购活动，联合体各方均为中小企业的，联合体视同中小企业。其中，联合体各方均为小微企业的，联合体视同小微企业。</w:t>
      </w:r>
    </w:p>
    <w:p w14:paraId="7FE44BAD">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eastAsia="宋体" w:cs="宋体"/>
          <w:color w:val="auto"/>
          <w:sz w:val="24"/>
          <w:szCs w:val="24"/>
        </w:rPr>
        <w:t>联合协议或者分包意向协议约定小微企业的合同份额占到合同总金额30%以上的</w:t>
      </w:r>
      <w:bookmarkEnd w:id="52"/>
      <w:r>
        <w:rPr>
          <w:rFonts w:hint="eastAsia" w:ascii="宋体" w:hAnsi="宋体" w:eastAsia="宋体" w:cs="宋体"/>
          <w:color w:val="auto"/>
          <w:sz w:val="24"/>
          <w:szCs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5D64E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3.3.4符合《关于促进残疾人就业政府采购政策的通知》（财库〔2017〕141号）规定的条件并提供《残疾人福利性单位声明函》（附件1）的残疾人福利性单位视同小型、微型企业；</w:t>
      </w:r>
    </w:p>
    <w:p w14:paraId="6D5A5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E119B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69B60F0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0310F5D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5A163B5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083062F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r>
        <w:rPr>
          <w:rFonts w:hint="eastAsia" w:ascii="宋体" w:hAnsi="宋体" w:eastAsia="宋体" w:cs="宋体"/>
          <w:color w:val="auto"/>
          <w:sz w:val="24"/>
          <w:szCs w:val="24"/>
          <w:highlight w:val="none"/>
          <w:lang w:val="en-US" w:eastAsia="zh-CN"/>
        </w:rPr>
        <w:t>。</w:t>
      </w:r>
    </w:p>
    <w:p w14:paraId="44B8E64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16984DB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63007F53">
      <w:pPr>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 询问、质疑、投诉</w:t>
      </w:r>
    </w:p>
    <w:p w14:paraId="33C1C3D7">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4.1在线询问、质疑、投诉</w:t>
      </w:r>
    </w:p>
    <w:p w14:paraId="2A9535B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05B8B5">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4.2供应商询问</w:t>
      </w:r>
    </w:p>
    <w:p w14:paraId="455CC4EB">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9AD7E9">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4.3供应商质疑</w:t>
      </w:r>
    </w:p>
    <w:p w14:paraId="6AB2D8AF">
      <w:pPr>
        <w:pStyle w:val="5"/>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4.3</w:t>
      </w:r>
      <w:r>
        <w:rPr>
          <w:rFonts w:hint="eastAsia" w:ascii="宋体" w:hAnsi="宋体" w:eastAsia="宋体" w:cs="宋体"/>
          <w:color w:val="auto"/>
          <w:sz w:val="24"/>
          <w:szCs w:val="24"/>
        </w:rPr>
        <w:t>.1提出质疑的供应商应当是参与所质疑项目采购活动的供应商。潜在供应商已依法获取其可质疑的采购文件的，可以对该文件提出质疑。</w:t>
      </w:r>
    </w:p>
    <w:p w14:paraId="59D53D54">
      <w:pPr>
        <w:pStyle w:val="5"/>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4.3</w:t>
      </w:r>
      <w:r>
        <w:rPr>
          <w:rFonts w:hint="eastAsia" w:ascii="宋体" w:hAnsi="宋体" w:eastAsia="宋体" w:cs="宋体"/>
          <w:color w:val="auto"/>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提出质疑，否则，采购人或者</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不予受理：</w:t>
      </w:r>
    </w:p>
    <w:p w14:paraId="3F0EF665">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12FD3229">
      <w:pPr>
        <w:pStyle w:val="5"/>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4.3.2.2对采购过程提出质疑的，质疑期限为各采购程序环节结束之日起计算。</w:t>
      </w:r>
    </w:p>
    <w:p w14:paraId="086E7198">
      <w:pPr>
        <w:pStyle w:val="5"/>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4.3.2.3对采购结果提出质疑的，质疑期限自采购结果公告期限届满之日起计算。</w:t>
      </w:r>
    </w:p>
    <w:p w14:paraId="5F3F7E4C">
      <w:pPr>
        <w:pStyle w:val="5"/>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w:t>
      </w:r>
      <w:r>
        <w:rPr>
          <w:rFonts w:hint="eastAsia" w:ascii="宋体" w:hAnsi="宋体" w:eastAsia="宋体" w:cs="宋体"/>
          <w:color w:val="auto"/>
          <w:sz w:val="24"/>
          <w:szCs w:val="24"/>
        </w:rPr>
        <w:t>供应商提出质疑应当提交质疑函和必要的证明材料。质疑函应当包括下列内容：</w:t>
      </w:r>
    </w:p>
    <w:p w14:paraId="4D74B455">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4.3.3.1供应商的姓名或者名称、地址、邮编、联系人及联系电话；</w:t>
      </w:r>
    </w:p>
    <w:p w14:paraId="7A1F8BD0">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4.3.3.2质疑项目的名称、编号；</w:t>
      </w:r>
    </w:p>
    <w:p w14:paraId="0490E3B4">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4.3.3.3具体、明确的质疑事项和与质疑事项相关的请求；</w:t>
      </w:r>
    </w:p>
    <w:p w14:paraId="2C941B15">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4.3.3.4事实依据；</w:t>
      </w:r>
    </w:p>
    <w:p w14:paraId="0B10F299">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4.3.3.5必要的法律依据；</w:t>
      </w:r>
    </w:p>
    <w:p w14:paraId="10C908DB">
      <w:pPr>
        <w:pStyle w:val="5"/>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4.3.3.6提出质疑的日期。</w:t>
      </w:r>
    </w:p>
    <w:p w14:paraId="1BDDC9BD">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E09534D">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4.3.4对同一采购程序环节的质疑，供应商须在法定质疑期内一次性提出。</w:t>
      </w:r>
    </w:p>
    <w:p w14:paraId="1BEC9191">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4.3</w:t>
      </w:r>
      <w:r>
        <w:rPr>
          <w:rFonts w:hint="eastAsia" w:ascii="宋体" w:hAnsi="宋体" w:eastAsia="宋体" w:cs="宋体"/>
          <w:color w:val="auto"/>
          <w:sz w:val="24"/>
          <w:szCs w:val="24"/>
        </w:rPr>
        <w:t>.5采购人或者</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应当在收到供应商的书面质疑后七个工作日内作出答复，并以书面形式通知质疑供应商和其他与质疑处理结果有利害关系的政府采购当事人，但答复的内容不得涉及商业秘密。</w:t>
      </w:r>
    </w:p>
    <w:p w14:paraId="7162CBC5">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4.3</w:t>
      </w:r>
      <w:r>
        <w:rPr>
          <w:rFonts w:hint="eastAsia" w:ascii="宋体" w:hAnsi="宋体" w:eastAsia="宋体" w:cs="宋体"/>
          <w:color w:val="auto"/>
          <w:sz w:val="24"/>
          <w:szCs w:val="24"/>
        </w:rPr>
        <w:t>.6询问或者质疑事项可能影响采购结果的，采购人应当暂停签订合同，已经签订合同的，应当中止履行合同。</w:t>
      </w:r>
    </w:p>
    <w:p w14:paraId="3AA59D8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4.4供应商投诉</w:t>
      </w:r>
    </w:p>
    <w:p w14:paraId="6BB07D37">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4.4.1质疑供应商对采购人、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的答复不满意或者采购人、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未在规定的时间内作出答复的，可以在答复期满后十五个工作日内向同级政府采购监督管理部门提出投诉。</w:t>
      </w:r>
    </w:p>
    <w:p w14:paraId="467F70D3">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供应商投诉的事项不得超出已质疑事项的范围，基于质疑答复内容提出的投诉事项除外。</w:t>
      </w:r>
    </w:p>
    <w:p w14:paraId="6D329424">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4.4.3供应商投诉应当有明确的请求和必要的证明材料。</w:t>
      </w:r>
    </w:p>
    <w:p w14:paraId="35E075D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4.4.4以联合体形式参加政府采购活动的，其投诉应当由组成联合体的所有供应商共同提出。</w:t>
      </w:r>
    </w:p>
    <w:bookmarkEnd w:id="45"/>
    <w:bookmarkEnd w:id="46"/>
    <w:bookmarkEnd w:id="47"/>
    <w:p w14:paraId="23D2C0F4">
      <w:pPr>
        <w:keepNext/>
        <w:keepLines/>
        <w:pageBreakBefore w:val="0"/>
        <w:widowControl w:val="0"/>
        <w:kinsoku/>
        <w:wordWrap/>
        <w:overflowPunct/>
        <w:topLinePunct w:val="0"/>
        <w:autoSpaceDE/>
        <w:autoSpaceDN w:val="0"/>
        <w:bidi w:val="0"/>
        <w:adjustRightInd w:val="0"/>
        <w:snapToGrid w:val="0"/>
        <w:spacing w:line="416" w:lineRule="auto"/>
        <w:jc w:val="center"/>
        <w:textAlignment w:val="auto"/>
        <w:outlineLvl w:val="1"/>
        <w:rPr>
          <w:rFonts w:hint="eastAsia" w:ascii="宋体" w:hAnsi="宋体" w:eastAsia="宋体" w:cs="宋体"/>
          <w:b/>
          <w:bCs/>
          <w:color w:val="auto"/>
          <w:sz w:val="28"/>
          <w:szCs w:val="28"/>
          <w:highlight w:val="none"/>
        </w:rPr>
      </w:pPr>
      <w:bookmarkStart w:id="53" w:name="_Toc11510"/>
      <w:bookmarkStart w:id="54" w:name="_Toc22410"/>
      <w:r>
        <w:rPr>
          <w:rFonts w:hint="eastAsia" w:ascii="宋体" w:hAnsi="宋体" w:eastAsia="宋体" w:cs="宋体"/>
          <w:b/>
          <w:bCs/>
          <w:color w:val="auto"/>
          <w:sz w:val="28"/>
          <w:szCs w:val="28"/>
          <w:highlight w:val="none"/>
        </w:rPr>
        <w:t>二、采购文件的构成、澄清、修改</w:t>
      </w:r>
      <w:bookmarkEnd w:id="53"/>
      <w:bookmarkEnd w:id="54"/>
    </w:p>
    <w:p w14:paraId="73BFEE7F">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rPr>
      </w:pPr>
      <w:bookmarkStart w:id="55" w:name="_Toc82873325"/>
      <w:bookmarkStart w:id="56" w:name="_Toc82338242"/>
      <w:bookmarkStart w:id="57" w:name="_Toc96947064"/>
      <w:r>
        <w:rPr>
          <w:rFonts w:hint="eastAsia" w:ascii="宋体" w:hAnsi="宋体" w:eastAsia="宋体" w:cs="宋体"/>
          <w:b/>
          <w:color w:val="auto"/>
          <w:sz w:val="24"/>
          <w:szCs w:val="24"/>
        </w:rPr>
        <w:t>5．采购文件的构成</w:t>
      </w:r>
    </w:p>
    <w:p w14:paraId="5C9B7D0C">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采购文件包括下列文件及附件：</w:t>
      </w:r>
    </w:p>
    <w:p w14:paraId="6A247E8E">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5.1.1竞争性磋商公告；</w:t>
      </w:r>
    </w:p>
    <w:p w14:paraId="78858B33">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5.1.2供应商须知；</w:t>
      </w:r>
    </w:p>
    <w:p w14:paraId="3DC9734B">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5ECF4B78">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5.1.4评审办法；</w:t>
      </w:r>
    </w:p>
    <w:p w14:paraId="5E0F1AC9">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726D201A">
      <w:pPr>
        <w:pStyle w:val="5"/>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5.1.6应提交的有关格式范例。</w:t>
      </w:r>
    </w:p>
    <w:p w14:paraId="041E5E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5.2与本项目有关的</w:t>
      </w:r>
      <w:r>
        <w:rPr>
          <w:rFonts w:hint="eastAsia" w:ascii="宋体" w:hAnsi="宋体" w:eastAsia="宋体" w:cs="宋体"/>
          <w:bCs/>
          <w:color w:val="auto"/>
          <w:sz w:val="24"/>
          <w:szCs w:val="24"/>
        </w:rPr>
        <w:t>澄清或者修改的内容为采购文件的组成部分</w:t>
      </w:r>
      <w:r>
        <w:rPr>
          <w:rFonts w:hint="eastAsia" w:ascii="宋体" w:hAnsi="宋体" w:eastAsia="宋体" w:cs="宋体"/>
          <w:color w:val="auto"/>
          <w:sz w:val="24"/>
          <w:szCs w:val="24"/>
        </w:rPr>
        <w:t>。</w:t>
      </w:r>
    </w:p>
    <w:p w14:paraId="282931B4">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 采购文件的澄清、修改</w:t>
      </w:r>
    </w:p>
    <w:p w14:paraId="575B07F8">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6.1已获取采购文件的潜在供应商，若有问题需要澄清，应于响应文件提交（上传）截止时间前，以书面形式向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w:t>
      </w:r>
    </w:p>
    <w:p w14:paraId="34627700">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8F76DDF">
      <w:pPr>
        <w:keepNext/>
        <w:keepLines/>
        <w:pageBreakBefore w:val="0"/>
        <w:widowControl w:val="0"/>
        <w:kinsoku/>
        <w:wordWrap/>
        <w:overflowPunct/>
        <w:topLinePunct w:val="0"/>
        <w:autoSpaceDE/>
        <w:autoSpaceDN w:val="0"/>
        <w:bidi w:val="0"/>
        <w:adjustRightInd w:val="0"/>
        <w:snapToGrid w:val="0"/>
        <w:spacing w:line="416" w:lineRule="auto"/>
        <w:jc w:val="center"/>
        <w:textAlignment w:val="auto"/>
        <w:outlineLvl w:val="1"/>
        <w:rPr>
          <w:rFonts w:hint="eastAsia" w:ascii="宋体" w:hAnsi="宋体" w:eastAsia="宋体" w:cs="宋体"/>
          <w:b/>
          <w:bCs/>
          <w:color w:val="auto"/>
          <w:sz w:val="28"/>
          <w:szCs w:val="28"/>
          <w:highlight w:val="none"/>
        </w:rPr>
      </w:pPr>
      <w:bookmarkStart w:id="58" w:name="_Toc22481"/>
      <w:bookmarkStart w:id="59" w:name="_Toc23546"/>
      <w:r>
        <w:rPr>
          <w:rFonts w:hint="eastAsia" w:ascii="宋体" w:hAnsi="宋体" w:eastAsia="宋体" w:cs="宋体"/>
          <w:b/>
          <w:bCs/>
          <w:color w:val="auto"/>
          <w:sz w:val="28"/>
          <w:szCs w:val="28"/>
          <w:highlight w:val="none"/>
        </w:rPr>
        <w:t>三、提交响应文件</w:t>
      </w:r>
      <w:bookmarkEnd w:id="58"/>
      <w:bookmarkEnd w:id="59"/>
    </w:p>
    <w:p w14:paraId="3F50784A">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 采购文件的获取</w:t>
      </w:r>
    </w:p>
    <w:p w14:paraId="3E9C4D1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详见竞争性磋商公告中获取采购文件的时间期限、地点、方式及采购文件售价。</w:t>
      </w:r>
    </w:p>
    <w:p w14:paraId="5750EDE5">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8.磋商前答疑会或现场考察</w:t>
      </w:r>
    </w:p>
    <w:p w14:paraId="36486541">
      <w:pPr>
        <w:pStyle w:val="5"/>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采购人组织潜在供应商现场考察或者召开磋商前答疑会的，潜在供应商按第二部分供应商须知前附表的规定参加现场考察或者磋商前答疑会。</w:t>
      </w:r>
    </w:p>
    <w:p w14:paraId="378ED9EF">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kern w:val="28"/>
          <w:sz w:val="24"/>
          <w:szCs w:val="24"/>
        </w:rPr>
        <w:t>9.磋商保证金</w:t>
      </w:r>
    </w:p>
    <w:p w14:paraId="6EA7E89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1078C6A3">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 响应文件的语言</w:t>
      </w:r>
    </w:p>
    <w:p w14:paraId="1D453E3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响应文件及供应商与采购有关的来往通知、函件和文件均应使用中文。</w:t>
      </w:r>
    </w:p>
    <w:p w14:paraId="7F39C02A">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响应文件的组成</w:t>
      </w:r>
    </w:p>
    <w:p w14:paraId="247F32D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b/>
          <w:color w:val="auto"/>
          <w:sz w:val="24"/>
          <w:szCs w:val="24"/>
        </w:rPr>
        <w:t>资格文件</w:t>
      </w:r>
      <w:r>
        <w:rPr>
          <w:rFonts w:hint="eastAsia" w:ascii="宋体" w:hAnsi="宋体" w:eastAsia="宋体" w:cs="宋体"/>
          <w:color w:val="auto"/>
          <w:sz w:val="24"/>
          <w:szCs w:val="24"/>
        </w:rPr>
        <w:t>：</w:t>
      </w:r>
    </w:p>
    <w:p w14:paraId="51702F6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11.1.1符合参加政府采购活动应当具备的一般条件的承诺函；</w:t>
      </w:r>
    </w:p>
    <w:p w14:paraId="78DE540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w:t>
      </w:r>
      <w:bookmarkStart w:id="60" w:name="_Hlk101259339"/>
      <w:r>
        <w:rPr>
          <w:rFonts w:hint="eastAsia" w:ascii="宋体" w:hAnsi="宋体" w:eastAsia="宋体" w:cs="宋体"/>
          <w:snapToGrid w:val="0"/>
          <w:color w:val="auto"/>
          <w:kern w:val="28"/>
          <w:sz w:val="24"/>
          <w:szCs w:val="24"/>
        </w:rPr>
        <w:t>联合协议</w:t>
      </w:r>
      <w:bookmarkStart w:id="61" w:name="_Hlk101257010"/>
      <w:r>
        <w:rPr>
          <w:rFonts w:hint="eastAsia" w:ascii="宋体" w:hAnsi="宋体" w:eastAsia="宋体" w:cs="宋体"/>
          <w:snapToGrid w:val="0"/>
          <w:color w:val="auto"/>
          <w:kern w:val="28"/>
          <w:sz w:val="24"/>
          <w:szCs w:val="24"/>
        </w:rPr>
        <w:t>（如果有)</w:t>
      </w:r>
      <w:bookmarkEnd w:id="60"/>
      <w:bookmarkEnd w:id="61"/>
      <w:r>
        <w:rPr>
          <w:rFonts w:hint="eastAsia" w:ascii="宋体" w:hAnsi="宋体" w:eastAsia="宋体" w:cs="宋体"/>
          <w:snapToGrid w:val="0"/>
          <w:color w:val="auto"/>
          <w:kern w:val="28"/>
          <w:sz w:val="24"/>
          <w:szCs w:val="24"/>
        </w:rPr>
        <w:t>；</w:t>
      </w:r>
    </w:p>
    <w:p w14:paraId="589A977A">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11.1.3落实政府采购政策需满足的资格要求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14:paraId="0132BE5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14:paraId="48C8902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商务技术</w:t>
      </w:r>
      <w:r>
        <w:rPr>
          <w:rFonts w:hint="eastAsia" w:ascii="宋体" w:hAnsi="宋体" w:eastAsia="宋体" w:cs="宋体"/>
          <w:color w:val="auto"/>
          <w:sz w:val="24"/>
          <w:szCs w:val="24"/>
          <w:lang w:val="zh-CN"/>
        </w:rPr>
        <w:t>文件：</w:t>
      </w:r>
    </w:p>
    <w:p w14:paraId="03EA710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11.2.1响应函；</w:t>
      </w:r>
      <w:r>
        <w:rPr>
          <w:rFonts w:hint="eastAsia" w:ascii="宋体" w:hAnsi="宋体" w:eastAsia="宋体" w:cs="宋体"/>
          <w:color w:val="auto"/>
          <w:sz w:val="24"/>
          <w:szCs w:val="24"/>
          <w:lang w:val="zh-CN"/>
        </w:rPr>
        <w:t xml:space="preserve"> </w:t>
      </w:r>
    </w:p>
    <w:p w14:paraId="29FF927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11.2.2授权委托书或法定代表人（单位负责人、自然人本人）身份证明；</w:t>
      </w:r>
    </w:p>
    <w:p w14:paraId="78EAE1C0">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11.2.3分包意向协议（如果有)；</w:t>
      </w:r>
    </w:p>
    <w:p w14:paraId="76261A5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11.2.4符合性审查资料；</w:t>
      </w:r>
    </w:p>
    <w:p w14:paraId="1E56E4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11.2.5评审标准相应的商务技术资料；</w:t>
      </w:r>
    </w:p>
    <w:p w14:paraId="065FF150">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11.2.6商务技术偏离表；</w:t>
      </w:r>
    </w:p>
    <w:p w14:paraId="5700BC7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政府采购供应商廉洁自律承诺书；</w:t>
      </w:r>
    </w:p>
    <w:p w14:paraId="2DD9AD7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37582CA">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6C78F9DD">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21C6E5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11.3.3中小企业声明函。</w:t>
      </w:r>
    </w:p>
    <w:p w14:paraId="36F4587A">
      <w:pPr>
        <w:keepNext w:val="0"/>
        <w:keepLines w:val="0"/>
        <w:pageBreakBefore w:val="0"/>
        <w:widowControl w:val="0"/>
        <w:kinsoku/>
        <w:wordWrap/>
        <w:overflowPunct/>
        <w:topLinePunct w:val="0"/>
        <w:bidi w:val="0"/>
        <w:adjustRightInd w:val="0"/>
        <w:snapToGrid w:val="0"/>
        <w:spacing w:line="360" w:lineRule="auto"/>
        <w:ind w:firstLine="723" w:firstLineChars="3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响应文件含有采购人不能接受的附加条件的，响应文件无效；</w:t>
      </w:r>
    </w:p>
    <w:p w14:paraId="3E5EB1B9">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宋体" w:hAnsi="宋体" w:eastAsia="宋体" w:cs="宋体"/>
          <w:b/>
          <w:color w:val="auto"/>
          <w:sz w:val="24"/>
          <w:szCs w:val="24"/>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r>
        <w:rPr>
          <w:rFonts w:hint="eastAsia" w:ascii="宋体" w:hAnsi="宋体" w:eastAsia="宋体" w:cs="宋体"/>
          <w:b/>
          <w:color w:val="auto"/>
          <w:sz w:val="24"/>
          <w:szCs w:val="24"/>
        </w:rPr>
        <w:t>。</w:t>
      </w:r>
    </w:p>
    <w:p w14:paraId="554F1BB0">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0"/>
        <w:rPr>
          <w:rFonts w:hint="eastAsia" w:ascii="宋体" w:hAnsi="宋体" w:eastAsia="宋体" w:cs="宋体"/>
          <w:b/>
          <w:color w:val="auto"/>
          <w:sz w:val="24"/>
          <w:szCs w:val="24"/>
        </w:rPr>
      </w:pPr>
      <w:bookmarkStart w:id="62" w:name="_Toc31882"/>
      <w:bookmarkStart w:id="63" w:name="_Toc13865"/>
      <w:r>
        <w:rPr>
          <w:rFonts w:hint="eastAsia" w:ascii="宋体" w:hAnsi="宋体" w:eastAsia="宋体" w:cs="宋体"/>
          <w:b/>
          <w:color w:val="auto"/>
          <w:sz w:val="24"/>
          <w:szCs w:val="24"/>
        </w:rPr>
        <w:t>12</w:t>
      </w:r>
      <w:r>
        <w:rPr>
          <w:rFonts w:hint="eastAsia" w:ascii="宋体" w:hAnsi="宋体" w:eastAsia="宋体" w:cs="宋体"/>
          <w:b/>
          <w:color w:val="auto"/>
          <w:kern w:val="0"/>
          <w:sz w:val="24"/>
          <w:szCs w:val="24"/>
          <w:lang w:val="zh-CN"/>
        </w:rPr>
        <w:t xml:space="preserve">. </w:t>
      </w:r>
      <w:r>
        <w:rPr>
          <w:rFonts w:hint="eastAsia" w:ascii="宋体" w:hAnsi="宋体" w:eastAsia="宋体" w:cs="宋体"/>
          <w:b/>
          <w:color w:val="auto"/>
          <w:sz w:val="24"/>
          <w:szCs w:val="24"/>
        </w:rPr>
        <w:t>响应文件的编制</w:t>
      </w:r>
      <w:bookmarkEnd w:id="62"/>
      <w:bookmarkEnd w:id="63"/>
    </w:p>
    <w:p w14:paraId="1C12B2B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D0E3F9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09E9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12.3使用“政采云电子交易客户端”需要提前申领CA数字证书，申领流程请自行前往“浙江政府采购网-下载专区-电子交易客户端-CA驱动和申领流程”进行查阅。</w:t>
      </w:r>
    </w:p>
    <w:p w14:paraId="20EFC3E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13.响应文件的签署、盖章</w:t>
      </w:r>
    </w:p>
    <w:p w14:paraId="15B0C9F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13.1响应文件按照采购文件第六部分格式要求进行签署、盖章。</w:t>
      </w:r>
      <w:r>
        <w:rPr>
          <w:rFonts w:hint="eastAsia" w:ascii="宋体" w:hAnsi="宋体" w:eastAsia="宋体" w:cs="宋体"/>
          <w:b/>
          <w:color w:val="auto"/>
          <w:sz w:val="24"/>
          <w:szCs w:val="24"/>
        </w:rPr>
        <w:t>▲供应商的响应文件未按照采购文件要求签署、盖章的，其响应文件无效</w:t>
      </w:r>
      <w:r>
        <w:rPr>
          <w:rFonts w:hint="eastAsia" w:ascii="宋体" w:hAnsi="宋体" w:eastAsia="宋体" w:cs="宋体"/>
          <w:color w:val="auto"/>
          <w:sz w:val="24"/>
          <w:szCs w:val="24"/>
        </w:rPr>
        <w:t>。</w:t>
      </w:r>
    </w:p>
    <w:p w14:paraId="15F0565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2273E86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13.3采购文件对响应文件签署、盖章的要求适用于电子签名。</w:t>
      </w:r>
    </w:p>
    <w:p w14:paraId="4280AE5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响应文件的提交、补充、修改、撤回</w:t>
      </w:r>
    </w:p>
    <w:p w14:paraId="6D127277">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E6EC5BE">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007BDA7">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可以视情况延长响应文件提交的截止时间。在上述情况下，</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与供应商以前在响应文件提交截止时间方面的全部权利、责任和义务，将适用于延长至新的响应文件提交截止时间。</w:t>
      </w:r>
    </w:p>
    <w:p w14:paraId="4E04968B">
      <w:pPr>
        <w:pStyle w:val="5"/>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15.备份响应文件</w:t>
      </w:r>
    </w:p>
    <w:p w14:paraId="292B000C">
      <w:pPr>
        <w:pStyle w:val="5"/>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p w14:paraId="11A60EF5">
      <w:pPr>
        <w:pStyle w:val="5"/>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15.2备份响应文件须在“政采云投标客户端”制作生成，并储存在DVD光盘</w:t>
      </w:r>
      <w:r>
        <w:rPr>
          <w:rFonts w:hint="eastAsia" w:ascii="宋体" w:hAnsi="宋体" w:eastAsia="宋体" w:cs="宋体"/>
          <w:color w:val="auto"/>
          <w:sz w:val="24"/>
          <w:szCs w:val="24"/>
          <w:lang w:val="en-US" w:eastAsia="zh-CN"/>
        </w:rPr>
        <w:t>等存储介质</w:t>
      </w:r>
      <w:r>
        <w:rPr>
          <w:rFonts w:hint="eastAsia" w:ascii="宋体" w:hAnsi="宋体" w:eastAsia="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rPr>
        <w:t>不符合上述制作、存储、密封规定的备份响应文件将被视为无效或者被拒绝接收。</w:t>
      </w:r>
    </w:p>
    <w:p w14:paraId="66716E61">
      <w:pPr>
        <w:pStyle w:val="5"/>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将拒绝接受逾期送达的备份响应文件。</w:t>
      </w:r>
    </w:p>
    <w:p w14:paraId="6D8C8011">
      <w:pPr>
        <w:pStyle w:val="5"/>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rPr>
        <w:t>采购文件第二部分供应商须知前附表规定的备份响应文件送达地点；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将拒绝接受逾期送达的备份响应文件。邮寄过程中，电子备份响应文件发生泄露、遗失、损坏或延期送达等情况的，由供应商自行负责。</w:t>
      </w:r>
    </w:p>
    <w:p w14:paraId="420A7000">
      <w:pPr>
        <w:pStyle w:val="5"/>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15.5供应商仅提交备份响应文件，未在电子交易平台传输递交响应文件的，响应文件无效。</w:t>
      </w:r>
    </w:p>
    <w:p w14:paraId="5BBA7AED">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16.响应文件的无效处理</w:t>
      </w:r>
    </w:p>
    <w:p w14:paraId="717B54CA">
      <w:pPr>
        <w:pStyle w:val="24"/>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有采购文件第四部分4.2规定的情形之一的，响应文件无效：</w:t>
      </w:r>
    </w:p>
    <w:p w14:paraId="7C31BE9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17.响应文件有效期</w:t>
      </w:r>
    </w:p>
    <w:p w14:paraId="23E7AE6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17.1响应文件有效期为从提交响应文件的截止之日起90天。▲</w:t>
      </w:r>
      <w:r>
        <w:rPr>
          <w:rFonts w:hint="eastAsia" w:ascii="宋体" w:hAnsi="宋体" w:eastAsia="宋体" w:cs="宋体"/>
          <w:b/>
          <w:color w:val="auto"/>
          <w:sz w:val="24"/>
          <w:szCs w:val="24"/>
        </w:rPr>
        <w:t>供应商的响应文件中承诺的响应文件有效期少于采购文件中载明的响应文件有效期的，响应文件无效。</w:t>
      </w:r>
    </w:p>
    <w:p w14:paraId="3D5D6039">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17.2响应文件合格投递后，自响应文件提交截止时间起，在响应文件有效期内有效。</w:t>
      </w:r>
    </w:p>
    <w:p w14:paraId="2FC15A7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17.3在原定响应文件有效期满之前，如果出现特殊情况，</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可以以书面形式通知供应商延长响应文件有效期。供应商同意延长的，不得要求或被允许修改其响应文件，供应商拒绝延长的，其响应文件无效。</w:t>
      </w:r>
    </w:p>
    <w:p w14:paraId="7B6B823A">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64" w:name="_Toc5741"/>
      <w:bookmarkStart w:id="65" w:name="_Toc15830"/>
      <w:r>
        <w:rPr>
          <w:rFonts w:hint="eastAsia" w:ascii="宋体" w:hAnsi="宋体" w:eastAsia="宋体" w:cs="宋体"/>
          <w:b/>
          <w:color w:val="auto"/>
          <w:sz w:val="32"/>
          <w:szCs w:val="20"/>
        </w:rPr>
        <w:t>四、响应文件开启、资格审查与信用信息查询</w:t>
      </w:r>
      <w:bookmarkEnd w:id="64"/>
      <w:bookmarkEnd w:id="65"/>
    </w:p>
    <w:p w14:paraId="2DF43E81">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rPr>
      </w:pPr>
      <w:r>
        <w:rPr>
          <w:rFonts w:hint="eastAsia" w:ascii="宋体" w:hAnsi="宋体" w:eastAsia="宋体" w:cs="宋体"/>
          <w:b/>
          <w:color w:val="auto"/>
          <w:sz w:val="24"/>
          <w:szCs w:val="24"/>
        </w:rPr>
        <w:t>18.响应文件开启</w:t>
      </w:r>
      <w:r>
        <w:rPr>
          <w:rFonts w:hint="eastAsia" w:ascii="宋体" w:hAnsi="宋体" w:eastAsia="宋体" w:cs="宋体"/>
          <w:color w:val="auto"/>
          <w:sz w:val="24"/>
        </w:rPr>
        <w:t xml:space="preserve"> </w:t>
      </w:r>
    </w:p>
    <w:p w14:paraId="385B13A4">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按照采购文件规定的时间通过电子交易平台组织响应文件开启，所有供应商均应当准时在线参加。供应商不足3家的，不得开启。</w:t>
      </w:r>
    </w:p>
    <w:p w14:paraId="1E97F1EC">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18.2响应文件开启时，电子交易平台按响应文件开启时间自动提取所有响应文件。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依托电子交易平台发起开始解密指令，供应商按照平台提示和采购文件的规定在半小时内完成在线解密。</w:t>
      </w:r>
    </w:p>
    <w:p w14:paraId="4C0F649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18.3</w:t>
      </w:r>
      <w:r>
        <w:rPr>
          <w:rFonts w:hint="eastAsia" w:ascii="宋体" w:hAnsi="宋体" w:eastAsia="宋体" w:cs="宋体"/>
          <w:b/>
          <w:bCs/>
          <w:color w:val="auto"/>
          <w:sz w:val="24"/>
        </w:rPr>
        <w:t>响应文件未按时解密，供应商提供了备份响应文件的，以备份响应文件作为依据，否则视为响应文件撤回。响应文件已按时解密的，备份响应文件自动失效。</w:t>
      </w:r>
    </w:p>
    <w:p w14:paraId="62EFB552">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19、资格审查</w:t>
      </w:r>
    </w:p>
    <w:p w14:paraId="636C954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或磋商小组依据法律法规和采购文件的规定，对供应商的资格进行审查。</w:t>
      </w:r>
    </w:p>
    <w:p w14:paraId="524364F9">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供应商未按照采购文件要求提供与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供应商不具备采购文件中规定的资格要求，其响应文件无效。</w:t>
      </w:r>
    </w:p>
    <w:p w14:paraId="5294A5C7">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对未通过资格审查的供应商，采购人或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14:paraId="48632BE3">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合格供应商不足3家的，不再评审。</w:t>
      </w:r>
    </w:p>
    <w:p w14:paraId="0DA8A989">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16F633E1">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lang w:eastAsia="zh-CN"/>
        </w:rPr>
        <w:t>采购代理机构</w:t>
      </w:r>
      <w:r>
        <w:rPr>
          <w:rFonts w:hint="eastAsia" w:ascii="宋体" w:hAnsi="宋体" w:eastAsia="宋体" w:cs="宋体"/>
          <w:color w:val="auto"/>
          <w:kern w:val="0"/>
          <w:szCs w:val="24"/>
        </w:rPr>
        <w:t>将在资格审查时通过“信用中国”网站(www.creditchina.gov.cn)、中国政府采购网(www.ccgp.gov.cn)渠道查询供应商接受资格审查时的信用记录。</w:t>
      </w:r>
    </w:p>
    <w:p w14:paraId="7E15060D">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20.2信用信息查询记录和证据留存的具体方式：现场查询的供应商的信用记录、查询结果经确认后将与采购文件一起存档。</w:t>
      </w:r>
    </w:p>
    <w:p w14:paraId="6F899E1C">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w:t>
      </w:r>
      <w:r>
        <w:rPr>
          <w:rFonts w:hint="eastAsia" w:ascii="宋体" w:hAnsi="宋体" w:eastAsia="宋体" w:cs="宋体"/>
          <w:color w:val="auto"/>
          <w:kern w:val="0"/>
          <w:szCs w:val="24"/>
          <w:lang w:val="en-US" w:eastAsia="zh-CN"/>
        </w:rPr>
        <w:t>失信主体</w:t>
      </w:r>
      <w:r>
        <w:rPr>
          <w:rFonts w:hint="eastAsia" w:ascii="宋体" w:hAnsi="宋体" w:eastAsia="宋体" w:cs="宋体"/>
          <w:color w:val="auto"/>
          <w:kern w:val="0"/>
          <w:szCs w:val="24"/>
        </w:rPr>
        <w:t>、政府采购严重违法失信行为记录名单的供应商将被拒绝参与政府采购活动。</w:t>
      </w:r>
    </w:p>
    <w:p w14:paraId="5BC44703">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2C30955C">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66" w:name="_Toc16481"/>
      <w:bookmarkStart w:id="67" w:name="_Toc1665"/>
      <w:r>
        <w:rPr>
          <w:rFonts w:hint="eastAsia" w:ascii="宋体" w:hAnsi="宋体" w:eastAsia="宋体" w:cs="宋体"/>
          <w:b/>
          <w:bCs/>
          <w:color w:val="auto"/>
          <w:spacing w:val="0"/>
          <w:kern w:val="0"/>
          <w:sz w:val="24"/>
        </w:rPr>
        <w:t>特别说明：如遇“政府采购云平台”电子化开标程序调整的，按调整后程序执行。</w:t>
      </w:r>
      <w:bookmarkEnd w:id="66"/>
    </w:p>
    <w:p w14:paraId="12B710A8">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68" w:name="_Toc9977"/>
      <w:r>
        <w:rPr>
          <w:rFonts w:hint="eastAsia" w:ascii="宋体" w:hAnsi="宋体" w:eastAsia="宋体" w:cs="宋体"/>
          <w:b/>
          <w:color w:val="auto"/>
          <w:sz w:val="32"/>
          <w:szCs w:val="20"/>
        </w:rPr>
        <w:t>五、评审</w:t>
      </w:r>
      <w:bookmarkEnd w:id="67"/>
      <w:bookmarkEnd w:id="68"/>
    </w:p>
    <w:p w14:paraId="26DD2CB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5"/>
    <w:bookmarkEnd w:id="56"/>
    <w:bookmarkEnd w:id="57"/>
    <w:p w14:paraId="0E56B7E5">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69" w:name="_Toc14259"/>
      <w:bookmarkStart w:id="70" w:name="_Toc11200"/>
      <w:r>
        <w:rPr>
          <w:rFonts w:hint="eastAsia" w:ascii="宋体" w:hAnsi="宋体" w:eastAsia="宋体" w:cs="宋体"/>
          <w:b/>
          <w:color w:val="auto"/>
          <w:sz w:val="32"/>
          <w:szCs w:val="20"/>
        </w:rPr>
        <w:t>六、成交供应商确定</w:t>
      </w:r>
      <w:bookmarkEnd w:id="69"/>
      <w:bookmarkEnd w:id="70"/>
    </w:p>
    <w:p w14:paraId="5A9D156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bookmarkStart w:id="71" w:name="_Toc35391900"/>
      <w:r>
        <w:rPr>
          <w:rFonts w:hint="eastAsia" w:ascii="宋体" w:hAnsi="宋体" w:eastAsia="宋体" w:cs="宋体"/>
          <w:color w:val="auto"/>
          <w:kern w:val="0"/>
          <w:sz w:val="24"/>
          <w:szCs w:val="24"/>
          <w:lang w:val="en-US" w:eastAsia="zh-CN" w:bidi="ar-SA"/>
        </w:rPr>
        <w:t>22.1采购人依法确定1名中标人。确定中标人后2个工作日内，代理机构以书面（纸质）形式发出《中标通知书》，并同时在相关网站上发布中标公告。</w:t>
      </w:r>
    </w:p>
    <w:p w14:paraId="4F1EDBA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22.2由于中标、成交供应商原因导致重新采购的，应当承担支付代理费和专家评审费等费用在内的赔偿责任。</w:t>
      </w:r>
    </w:p>
    <w:bookmarkEnd w:id="71"/>
    <w:p w14:paraId="1BE28F5B">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72" w:name="_Toc19057"/>
      <w:bookmarkStart w:id="73" w:name="_Toc3966"/>
      <w:r>
        <w:rPr>
          <w:rFonts w:hint="eastAsia" w:ascii="宋体" w:hAnsi="宋体" w:eastAsia="宋体" w:cs="宋体"/>
          <w:b/>
          <w:color w:val="auto"/>
          <w:sz w:val="32"/>
          <w:szCs w:val="20"/>
        </w:rPr>
        <w:t>七、合同授予</w:t>
      </w:r>
      <w:bookmarkEnd w:id="72"/>
      <w:bookmarkEnd w:id="73"/>
    </w:p>
    <w:p w14:paraId="7399FD5A">
      <w:pPr>
        <w:pStyle w:val="24"/>
        <w:snapToGrid w:val="0"/>
        <w:spacing w:line="360" w:lineRule="auto"/>
        <w:ind w:left="479" w:hanging="464" w:hangingChars="199"/>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合同主要条款详见第五部分拟签订的合同文本。</w:t>
      </w:r>
    </w:p>
    <w:p w14:paraId="095CA222">
      <w:pPr>
        <w:pStyle w:val="24"/>
        <w:snapToGrid w:val="0"/>
        <w:spacing w:line="360" w:lineRule="auto"/>
        <w:ind w:left="479" w:hanging="464" w:hangingChars="199"/>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 合同的签订</w:t>
      </w:r>
    </w:p>
    <w:p w14:paraId="5B0066DC">
      <w:pPr>
        <w:widowControl/>
        <w:shd w:val="clear" w:color="auto" w:fill="FFFFFF"/>
        <w:snapToGrid w:val="0"/>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2F16190">
      <w:pPr>
        <w:pStyle w:val="356"/>
        <w:snapToGrid w:val="0"/>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.2成交供应商按规定的日期、时间、地点，由法定代表人或其授权代表与采购人代表签订合同。如成交供应商为联合体的，由联合体成员各方法定代表人或其授权代表与采购人代表签订合同。</w:t>
      </w:r>
    </w:p>
    <w:p w14:paraId="4E6677AA">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.3如签订合同并生效后，供应商无故拒绝或延期，除按照合同条款处理外，列入不良行为记录一次，并给予通报。</w:t>
      </w:r>
    </w:p>
    <w:p w14:paraId="142BD1D8">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.4成交供应商拒绝与采购人签订合同的，采购人可以按照评审报告推荐的成交候选人名单排序，确定下一候选人为成交供应商，也可以重新开展政府采购活动。</w:t>
      </w:r>
    </w:p>
    <w:p w14:paraId="6963C218">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.5采购合同由采购人与成交供应商根据采购文件、响应文件等内容通过政府采购电子交易平台在线签订，自动备案。</w:t>
      </w:r>
    </w:p>
    <w:p w14:paraId="4DED71FC">
      <w:pPr>
        <w:pStyle w:val="24"/>
        <w:snapToGrid w:val="0"/>
        <w:spacing w:line="360" w:lineRule="auto"/>
        <w:ind w:left="479" w:hanging="464" w:hangingChars="199"/>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履约保证金</w:t>
      </w:r>
    </w:p>
    <w:p w14:paraId="607646F9">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1C643BFC">
      <w:pPr>
        <w:pStyle w:val="4"/>
        <w:pageBreakBefore w:val="0"/>
        <w:widowControl w:val="0"/>
        <w:tabs>
          <w:tab w:val="left" w:pos="432"/>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color w:val="auto"/>
          <w:kern w:val="28"/>
          <w:sz w:val="24"/>
          <w:szCs w:val="24"/>
        </w:rPr>
      </w:pPr>
      <w:bookmarkStart w:id="74" w:name="_Toc3587"/>
      <w:bookmarkStart w:id="75" w:name="_Toc19496"/>
      <w:r>
        <w:rPr>
          <w:rFonts w:hint="eastAsia" w:ascii="宋体" w:hAnsi="宋体" w:eastAsia="宋体" w:cs="宋体"/>
          <w:b w:val="0"/>
          <w:bCs w:val="0"/>
          <w:snapToGrid w:val="0"/>
          <w:color w:val="auto"/>
          <w:kern w:val="28"/>
          <w:sz w:val="24"/>
          <w:szCs w:val="24"/>
        </w:rPr>
        <w:t>供应商</w:t>
      </w:r>
      <w:r>
        <w:rPr>
          <w:rFonts w:hint="eastAsia" w:ascii="宋体" w:hAnsi="宋体" w:eastAsia="宋体" w:cs="宋体"/>
          <w:b w:val="0"/>
          <w:bCs w:val="0"/>
          <w:snapToGrid w:val="0"/>
          <w:color w:val="auto"/>
          <w:kern w:val="28"/>
          <w:sz w:val="24"/>
          <w:szCs w:val="24"/>
          <w:lang w:val="en-US"/>
        </w:rPr>
        <w:t>可</w:t>
      </w:r>
      <w:r>
        <w:rPr>
          <w:rFonts w:hint="eastAsia" w:ascii="宋体" w:hAnsi="宋体" w:eastAsia="宋体" w:cs="宋体"/>
          <w:b w:val="0"/>
          <w:bCs w:val="0"/>
          <w:snapToGrid w:val="0"/>
          <w:color w:val="auto"/>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74"/>
      <w:bookmarkEnd w:id="75"/>
    </w:p>
    <w:p w14:paraId="4157EDB3">
      <w:pPr>
        <w:rPr>
          <w:rFonts w:hint="eastAsia" w:ascii="宋体" w:hAnsi="宋体" w:eastAsia="宋体" w:cs="宋体"/>
          <w:b/>
          <w:color w:val="auto"/>
          <w:sz w:val="32"/>
          <w:szCs w:val="20"/>
        </w:rPr>
      </w:pPr>
      <w:bookmarkStart w:id="76" w:name="_Toc16161"/>
      <w:bookmarkStart w:id="77" w:name="_Toc26794"/>
      <w:r>
        <w:rPr>
          <w:rFonts w:hint="eastAsia" w:ascii="宋体" w:hAnsi="宋体" w:eastAsia="宋体" w:cs="宋体"/>
          <w:b/>
          <w:color w:val="auto"/>
          <w:sz w:val="32"/>
          <w:szCs w:val="20"/>
        </w:rPr>
        <w:br w:type="page"/>
      </w:r>
    </w:p>
    <w:p w14:paraId="2E4309C4">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236" w:name="_GoBack"/>
      <w:bookmarkEnd w:id="236"/>
      <w:r>
        <w:rPr>
          <w:rFonts w:hint="eastAsia" w:ascii="宋体" w:hAnsi="宋体" w:eastAsia="宋体" w:cs="宋体"/>
          <w:b/>
          <w:color w:val="auto"/>
          <w:sz w:val="32"/>
          <w:szCs w:val="20"/>
        </w:rPr>
        <w:t>八、电子交易活动的中止</w:t>
      </w:r>
      <w:bookmarkEnd w:id="76"/>
      <w:bookmarkEnd w:id="77"/>
    </w:p>
    <w:p w14:paraId="0184C31E">
      <w:pPr>
        <w:pStyle w:val="356"/>
        <w:snapToGrid w:val="0"/>
        <w:spacing w:before="0"/>
        <w:ind w:firstLine="0" w:firstLineChars="0"/>
        <w:rPr>
          <w:rFonts w:hint="eastAsia" w:ascii="宋体" w:hAnsi="宋体" w:eastAsia="宋体" w:cs="宋体"/>
          <w:color w:val="auto"/>
          <w:sz w:val="24"/>
          <w:szCs w:val="24"/>
        </w:rPr>
      </w:pPr>
      <w:r>
        <w:rPr>
          <w:rFonts w:hint="eastAsia" w:ascii="宋体" w:hAnsi="宋体" w:eastAsia="宋体" w:cs="宋体"/>
          <w:b/>
          <w:bCs/>
          <w:color w:val="auto"/>
          <w:kern w:val="2"/>
          <w:sz w:val="24"/>
          <w:szCs w:val="24"/>
        </w:rPr>
        <w:t>2</w:t>
      </w:r>
      <w:r>
        <w:rPr>
          <w:rFonts w:hint="eastAsia" w:ascii="宋体" w:hAnsi="宋体" w:eastAsia="宋体" w:cs="宋体"/>
          <w:b/>
          <w:bCs/>
          <w:color w:val="auto"/>
          <w:kern w:val="2"/>
          <w:sz w:val="24"/>
          <w:szCs w:val="24"/>
          <w:lang w:val="en-US" w:eastAsia="zh-CN"/>
        </w:rPr>
        <w:t>5</w:t>
      </w:r>
      <w:r>
        <w:rPr>
          <w:rFonts w:hint="eastAsia" w:ascii="宋体" w:hAnsi="宋体" w:eastAsia="宋体" w:cs="宋体"/>
          <w:b/>
          <w:color w:val="auto"/>
          <w:sz w:val="24"/>
          <w:szCs w:val="24"/>
        </w:rPr>
        <w:t>. 电子交易活动的中止。</w:t>
      </w:r>
      <w:r>
        <w:rPr>
          <w:rFonts w:hint="eastAsia" w:ascii="宋体" w:hAnsi="宋体" w:eastAsia="宋体" w:cs="宋体"/>
          <w:color w:val="auto"/>
          <w:sz w:val="24"/>
          <w:szCs w:val="24"/>
        </w:rPr>
        <w:t>采购过程中出现以下情形，导致电子交易平台无法正常运行，或者无法保证电子交易的公平、公正和安全时，</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可中止电子交易活动：</w:t>
      </w:r>
    </w:p>
    <w:p w14:paraId="79DC099E">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.1电子交易平台发生故障而无法登录访问的； </w:t>
      </w:r>
    </w:p>
    <w:p w14:paraId="64FCB068">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.2电子交易平台应用或数据库出现错误，不能进行正常操作的；</w:t>
      </w:r>
    </w:p>
    <w:p w14:paraId="063B8647">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.3电子交易平台发现严重安全漏洞，有潜在泄密危险的；</w:t>
      </w:r>
    </w:p>
    <w:p w14:paraId="3D96003A">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.4病毒发作导致不能进行正常操作的； </w:t>
      </w:r>
    </w:p>
    <w:p w14:paraId="07DEEE14">
      <w:pPr>
        <w:pStyle w:val="356"/>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.5其他无法保证电子交易的公平、公正和安全的情况。</w:t>
      </w:r>
    </w:p>
    <w:p w14:paraId="54B78A1E">
      <w:pPr>
        <w:pStyle w:val="356"/>
        <w:snapToGrid w:val="0"/>
        <w:spacing w:before="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2AAF3049">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rPr>
      </w:pPr>
      <w:bookmarkStart w:id="78" w:name="_Toc7107"/>
      <w:bookmarkStart w:id="79" w:name="_Toc19469"/>
      <w:r>
        <w:rPr>
          <w:rFonts w:hint="eastAsia" w:ascii="宋体" w:hAnsi="宋体" w:eastAsia="宋体" w:cs="宋体"/>
          <w:b/>
          <w:color w:val="auto"/>
          <w:sz w:val="32"/>
          <w:szCs w:val="20"/>
        </w:rPr>
        <w:t>九、验收</w:t>
      </w:r>
      <w:bookmarkEnd w:id="78"/>
      <w:bookmarkEnd w:id="79"/>
    </w:p>
    <w:p w14:paraId="0C388E04">
      <w:pPr>
        <w:pStyle w:val="24"/>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.验收</w:t>
      </w:r>
    </w:p>
    <w:p w14:paraId="6D96513B">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277F83">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.2采购人可以邀请参加本项目的其他供应商或者第三方机构参与验收。参与验收的供应商或者第三方机构的意见作为验收书的参考资料一并存档。</w:t>
      </w:r>
    </w:p>
    <w:p w14:paraId="34FD0C94">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57F487">
      <w:pPr>
        <w:tabs>
          <w:tab w:val="left" w:pos="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27</w:t>
      </w:r>
      <w:r>
        <w:rPr>
          <w:rFonts w:hint="eastAsia" w:ascii="宋体" w:hAnsi="宋体" w:eastAsia="宋体" w:cs="宋体"/>
          <w:color w:val="auto"/>
          <w:kern w:val="0"/>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8C4E9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62B91A">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80" w:name="_Toc18741"/>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80"/>
    </w:p>
    <w:p w14:paraId="7FEC2797">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一、工程概况</w:t>
      </w:r>
    </w:p>
    <w:p w14:paraId="3482A754">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color w:val="auto"/>
          <w:sz w:val="24"/>
          <w:szCs w:val="24"/>
          <w:lang w:val="en-US"/>
        </w:rPr>
      </w:pPr>
      <w:r>
        <w:rPr>
          <w:rFonts w:hint="eastAsia" w:ascii="宋体" w:hAnsi="宋体" w:eastAsia="宋体" w:cs="宋体"/>
          <w:b/>
          <w:bCs/>
          <w:color w:val="auto"/>
          <w:kern w:val="2"/>
          <w:sz w:val="24"/>
          <w:szCs w:val="24"/>
          <w:lang w:val="en-US" w:eastAsia="zh-CN" w:bidi="ar"/>
        </w:rPr>
        <w:t>1.工程名称：</w:t>
      </w:r>
      <w:r>
        <w:rPr>
          <w:rFonts w:hint="eastAsia" w:ascii="宋体" w:hAnsi="宋体" w:eastAsia="宋体" w:cs="宋体"/>
          <w:color w:val="auto"/>
          <w:kern w:val="2"/>
          <w:sz w:val="24"/>
          <w:szCs w:val="24"/>
          <w:lang w:val="en-US" w:eastAsia="zh-CN" w:bidi="ar"/>
        </w:rPr>
        <w:t>浙江警察学院滨江校区战训楼屋面修缮项目 。</w:t>
      </w:r>
    </w:p>
    <w:p w14:paraId="3B9CE6F4">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2.基本情况：</w:t>
      </w:r>
    </w:p>
    <w:p w14:paraId="4A2D5A19">
      <w:pPr>
        <w:keepNext w:val="0"/>
        <w:keepLines w:val="0"/>
        <w:widowControl w:val="0"/>
        <w:suppressLineNumbers w:val="0"/>
        <w:adjustRightInd w:val="0"/>
        <w:snapToGrid w:val="0"/>
        <w:spacing w:before="0" w:beforeAutospacing="0" w:after="0" w:afterAutospacing="0" w:line="440" w:lineRule="exact"/>
        <w:ind w:left="0" w:right="0" w:firstLine="477" w:firstLineChars="199"/>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浙江警察学院滨江校区战训楼屋面修缮项目，主要内容为战训楼屋面维修。</w:t>
      </w:r>
    </w:p>
    <w:p w14:paraId="12DFC609">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3.现场条件</w:t>
      </w:r>
    </w:p>
    <w:p w14:paraId="11705F4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（1）已具备施工条件，但施工不能影响正常的工作。</w:t>
      </w:r>
    </w:p>
    <w:p w14:paraId="083B1E4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F7AD6C6">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4.工程承包范围</w:t>
      </w:r>
    </w:p>
    <w:p w14:paraId="336E891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（1）工程量清单等已明确的工程内容（工程量清单另附）。</w:t>
      </w:r>
    </w:p>
    <w:p w14:paraId="4C80E53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（2）可能出现的工程量增减以及根据招标人明确指令需在招标范围外增加的工程量及招标范围内减少的工程量。</w:t>
      </w:r>
    </w:p>
    <w:p w14:paraId="4E1639A1">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5.工程质量标准</w:t>
      </w:r>
    </w:p>
    <w:p w14:paraId="0241E6F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工程质量符合（工程施工质量验收规范）合格标准。</w:t>
      </w:r>
    </w:p>
    <w:p w14:paraId="674E5B9F">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6.工期要求</w:t>
      </w:r>
    </w:p>
    <w:p w14:paraId="4C2CBB94">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color w:val="auto"/>
          <w:sz w:val="24"/>
          <w:szCs w:val="24"/>
          <w:lang w:val="en-US"/>
        </w:rPr>
      </w:pPr>
      <w:r>
        <w:rPr>
          <w:rFonts w:hint="eastAsia" w:ascii="宋体" w:hAnsi="宋体" w:eastAsia="宋体" w:cs="宋体"/>
          <w:b/>
          <w:bCs/>
          <w:color w:val="auto"/>
          <w:kern w:val="2"/>
          <w:sz w:val="24"/>
          <w:szCs w:val="24"/>
          <w:highlight w:val="none"/>
          <w:u w:val="single"/>
          <w:lang w:val="en-US" w:eastAsia="zh-CN" w:bidi="ar"/>
        </w:rPr>
        <w:t>60日历天</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lang w:val="en-US" w:eastAsia="zh-CN" w:bidi="ar"/>
        </w:rPr>
        <w:t>供应商须确保按期完工，并在磋商响应文件中列出详细的工期进度计划。供应商可在响应文件中承诺更短的工期。</w:t>
      </w:r>
    </w:p>
    <w:p w14:paraId="28133244">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二、工程管理原则</w:t>
      </w:r>
    </w:p>
    <w:p w14:paraId="2978D22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承包范围内的工程项目，成交供应商一律不得转包，成交供应商如擅自转包，一经发现立即取消成交供应商的承包资格，由此引起的一切经济责任和法律责任由成交供应商承担，除扣除履约担保外，并应另向采购人支付该项目合同金额10%的违约金；</w:t>
      </w:r>
    </w:p>
    <w:p w14:paraId="024C44A9">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2、严格按照已确认的设计图纸和施工技术方案组织实施，并无条件接受采购人和采购人委托的监理人员的管理；</w:t>
      </w:r>
    </w:p>
    <w:p w14:paraId="30D0CD0C">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kern w:val="2"/>
          <w:sz w:val="24"/>
          <w:szCs w:val="24"/>
          <w:lang w:val="en-US" w:eastAsia="zh-CN" w:bidi="ar"/>
        </w:rPr>
        <w:t>拟派项目经理到位率不少于80%</w:t>
      </w:r>
      <w:r>
        <w:rPr>
          <w:rFonts w:hint="eastAsia" w:ascii="宋体" w:hAnsi="宋体" w:eastAsia="宋体" w:cs="宋体"/>
          <w:color w:val="auto"/>
          <w:kern w:val="2"/>
          <w:sz w:val="24"/>
          <w:szCs w:val="24"/>
          <w:lang w:val="en-US" w:eastAsia="zh-CN" w:bidi="ar"/>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0BDB34C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4、依据设计施工图纸和技术文件要求，项目的材料、设备、施工必须达到以下现行中华人民共和国及省、市、行业的一切有关法规、规范的要求，如标准及规范要求有出入则以较严格者为准。</w:t>
      </w:r>
    </w:p>
    <w:p w14:paraId="2C8C5E1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在合同履行期间，若上述标准或规范有修改或重新颁布，成交供应商应遵照执行。规范的获得由承包人自行解决。</w:t>
      </w:r>
    </w:p>
    <w:p w14:paraId="48FE36E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5、施工要求</w:t>
      </w:r>
    </w:p>
    <w:p w14:paraId="5E8C6E2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5.1严格按照规范要求进行施工，达到各项拟定的设计指标；</w:t>
      </w:r>
    </w:p>
    <w:p w14:paraId="2E9329D6">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5.2免费保修期内，成交供应商对有缺陷的部位必须无偿地给予修理与更换，并承担一切由此引起的对采购人或第三者的直接损失，除非该缺陷是由于人为破坏或合同规定的不可抗因素造成的损坏；</w:t>
      </w:r>
    </w:p>
    <w:p w14:paraId="1DE76268">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5.3对所承包工程的质量负全部责任，其责任不因其他材料生产商提供的保证书而减轻或更改；</w:t>
      </w:r>
    </w:p>
    <w:p w14:paraId="000F410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4919C7B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4EA440A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5.6施工现场应做到“落手清”，工程施工中产生的废建筑材料、建筑施工垃圾，不能随意堆放，应及时清运、妥善处理，做到工完料尽场地清；</w:t>
      </w:r>
    </w:p>
    <w:p w14:paraId="0F77DFC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3EE320BB">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5.8工程施工全过程中要认真做好成品保护，因失窃或失火造成的损失均由成交供应商负责，凡由此而损及采购人利益时，采购人将向成交供应商索赔。</w:t>
      </w:r>
    </w:p>
    <w:p w14:paraId="47C6572C">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三、安全与文明施工管理</w:t>
      </w:r>
    </w:p>
    <w:p w14:paraId="19E5CDFA">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1、成交供应商服从当地政府有关部门在社会治安、综合治理、计划生育、交通管理、环境保护等的管理规定，磋商供应商应设专职人员负责本条款的执行，发包方有权对此监督检查。</w:t>
      </w:r>
    </w:p>
    <w:p w14:paraId="539890F8">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2、成交供应商的响应文件中应有详细的施工安全措施和安全管理组织及配备专职负责人的说明和承诺，以确保安全生产。</w:t>
      </w:r>
    </w:p>
    <w:p w14:paraId="535EA026">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3、成交供应商在工程施工期间，必须配备专职用电管理员，全面负责施工用电的管理。</w:t>
      </w:r>
    </w:p>
    <w:p w14:paraId="3217203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4、成交供应商在施工全过程中，要认真做好材料和成品的保护，因失窃失火或其他原因而造成的损失均由磋商供应商负责。凡由此而损及发包方利益的，成交供应商应负责赔偿发包方的损失。</w:t>
      </w:r>
    </w:p>
    <w:p w14:paraId="0B0288F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5、在工程施工过程中，因成交供应商原因造成的一切安全事故，由成交供应商承担全部经济责任和法律责任。</w:t>
      </w:r>
    </w:p>
    <w:p w14:paraId="182296B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DFC4EB6">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四、材料要求</w:t>
      </w:r>
    </w:p>
    <w:p w14:paraId="3FB762D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1、材料选择：</w:t>
      </w:r>
    </w:p>
    <w:p w14:paraId="09667AC5">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2CC39AA6">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2、材料的质量要求：</w:t>
      </w:r>
    </w:p>
    <w:p w14:paraId="4911659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（1）在免费保修期内，成交供应商对有缺陷的部位必须无偿地给予修理与更换，并承担一切由此引起的对业主或第三者的直接损失，除非该缺陷是由于人为破坏或合同规定的不可抗因素造成的损坏。</w:t>
      </w:r>
    </w:p>
    <w:p w14:paraId="57E6F81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（2）成交供应商必须对所承包的工程的质量负全部责任，其责任不因其他材料生产商提供的保证书而减轻或更改。</w:t>
      </w:r>
    </w:p>
    <w:p w14:paraId="08AA544B">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（3）材料检验按建发〔2000〕185号文件规定的见证取样和送检规定的程序进行。凡检验结果证明其有害物质含量指标超标的产品不得在工程上使用。</w:t>
      </w:r>
    </w:p>
    <w:p w14:paraId="1B278C88">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3、材料供应要求：</w:t>
      </w:r>
    </w:p>
    <w:p w14:paraId="7CCB9D7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（1）本项目涉及的主要材料设备，必须经监理单位、设计单位、业主单位确认后方能采购、进场、加工、安装。否则一律不予承认，不予支付相应款项。</w:t>
      </w:r>
    </w:p>
    <w:p w14:paraId="7F55439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本项目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681596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（3）由成交供应商采购的设备材料，当成交供应商选定的产品质量达不到设计要求和预期质量目标时，采购人保留更换的权利，高于投标价的不调整，低于投标价的按实调整。</w:t>
      </w:r>
    </w:p>
    <w:p w14:paraId="2FD39F2D">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五、报价说明</w:t>
      </w:r>
    </w:p>
    <w:p w14:paraId="2674803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3AB1DBD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2、磋商供应商的投标报价，应是完成本项目工程范围的全部内容，不得以任何理由予以重复作为磋商供应商计算单价或总价的依据。</w:t>
      </w:r>
    </w:p>
    <w:p w14:paraId="03168BCD">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3、磋商供应商应按采购人提供的工程量清单中列出的工程内容、数量，填报单价和合价。每一项目只允许有一个报价。任何有选择的报价将不予接受。</w:t>
      </w:r>
    </w:p>
    <w:p w14:paraId="0FA19A1A">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w:t>
      </w:r>
      <w:r>
        <w:rPr>
          <w:rFonts w:hint="eastAsia" w:ascii="宋体" w:hAnsi="宋体" w:eastAsia="宋体" w:cs="宋体"/>
          <w:color w:val="auto"/>
          <w:sz w:val="24"/>
          <w:u w:val="single"/>
        </w:rPr>
        <w:t>施工用水、用电费用由</w:t>
      </w:r>
      <w:r>
        <w:rPr>
          <w:rFonts w:hint="eastAsia" w:ascii="宋体" w:hAnsi="宋体" w:eastAsia="宋体" w:cs="宋体"/>
          <w:color w:val="auto"/>
          <w:sz w:val="24"/>
          <w:u w:val="single"/>
          <w:lang w:val="en-US" w:eastAsia="zh-CN"/>
        </w:rPr>
        <w:t>供应商</w:t>
      </w:r>
      <w:r>
        <w:rPr>
          <w:rFonts w:hint="eastAsia" w:ascii="宋体" w:hAnsi="宋体" w:eastAsia="宋体" w:cs="宋体"/>
          <w:color w:val="auto"/>
          <w:sz w:val="24"/>
          <w:u w:val="single"/>
        </w:rPr>
        <w:t>承担，在工程结算时按最终结算审定金额的0.4%结算水电费</w:t>
      </w:r>
      <w:r>
        <w:rPr>
          <w:rFonts w:hint="eastAsia" w:ascii="宋体" w:hAnsi="宋体" w:eastAsia="宋体" w:cs="宋体"/>
          <w:color w:val="auto"/>
          <w:kern w:val="2"/>
          <w:sz w:val="24"/>
          <w:szCs w:val="24"/>
          <w:lang w:val="en-US" w:eastAsia="zh-CN" w:bidi="ar"/>
        </w:rPr>
        <w:t>。</w:t>
      </w:r>
    </w:p>
    <w:p w14:paraId="5C599EDB">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5、如有材料检验检测，则检验检测单位由建设单位指定，磋商供应商承担相应材料检验检测费用，相关费用在投标报价中综合考虑，今后不得调整。</w:t>
      </w:r>
    </w:p>
    <w:p w14:paraId="71A326C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6、工程施工造成的其它设施、设备等的破损须修复原状，费用自行考虑报价。</w:t>
      </w:r>
    </w:p>
    <w:p w14:paraId="7B04B019">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7、本项目周边无搭设临时设施场地，项目施工人员住宿、办公用房及材料仓库等临时设施由磋商供应商自行负责，相关费用在措施费中考虑，费用包干，不报或漏报视作优惠。</w:t>
      </w:r>
    </w:p>
    <w:p w14:paraId="42AC7DD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3E6A8B71">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六、质保期要求</w:t>
      </w:r>
    </w:p>
    <w:p w14:paraId="6D8A0EE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质保期：详见工程质量保修书，如保修期间产生维修费、赔偿金等，均由供应商负责并承担相应费用。</w:t>
      </w:r>
    </w:p>
    <w:p w14:paraId="37D57CBB">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七、针对本项目的其他要求</w:t>
      </w:r>
    </w:p>
    <w:p w14:paraId="566B9A88">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1、供应商在施工时需针对高校特点合理安排施工时间及噪音控制，保障学校正常教学生活秩序；</w:t>
      </w:r>
    </w:p>
    <w:p w14:paraId="5A2E76DB">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2、供应商在施工时需严格做好施工现场管理的安全管理，如防火、防盗等；</w:t>
      </w:r>
    </w:p>
    <w:p w14:paraId="0761FD5E">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3、供应商需在竣工后及时供给水、电，做好卫生保洁工作。</w:t>
      </w:r>
    </w:p>
    <w:p w14:paraId="6A5897C1">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4、供应商在校内须严格遵守国家相关法律法规、严格遵守学校有关疫情防控、意识形态、宗教管理教育工作等相关规定。</w:t>
      </w:r>
    </w:p>
    <w:p w14:paraId="33AB6758">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2" w:firstLineChars="200"/>
        <w:jc w:val="both"/>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5、本项目成交后采购人根据实际情况，可能变更设计；如变更设计，则按调整后图纸施工、结算。</w:t>
      </w:r>
    </w:p>
    <w:p w14:paraId="3F7601C2">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59DD08ED">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yellow"/>
          <w:lang w:val="en-US"/>
        </w:rPr>
      </w:pPr>
      <w:r>
        <w:rPr>
          <w:rFonts w:hint="eastAsia" w:ascii="宋体" w:hAnsi="宋体" w:eastAsia="宋体" w:cs="宋体"/>
          <w:b/>
          <w:color w:val="auto"/>
          <w:sz w:val="24"/>
          <w:szCs w:val="24"/>
          <w:highlight w:val="none"/>
        </w:rPr>
        <w:t>▲</w:t>
      </w:r>
      <w:r>
        <w:rPr>
          <w:rFonts w:hint="eastAsia" w:ascii="宋体" w:hAnsi="宋体" w:eastAsia="宋体" w:cs="宋体"/>
          <w:b/>
          <w:bCs/>
          <w:color w:val="auto"/>
          <w:kern w:val="2"/>
          <w:sz w:val="24"/>
          <w:szCs w:val="24"/>
          <w:highlight w:val="none"/>
          <w:lang w:val="en-US" w:eastAsia="zh-CN" w:bidi="ar"/>
        </w:rPr>
        <w:t>7、</w:t>
      </w:r>
      <w:r>
        <w:rPr>
          <w:rFonts w:hint="eastAsia" w:ascii="宋体" w:hAnsi="宋体" w:eastAsia="宋体" w:cs="宋体"/>
          <w:b/>
          <w:color w:val="auto"/>
          <w:spacing w:val="-4"/>
          <w:kern w:val="0"/>
          <w:sz w:val="24"/>
          <w:szCs w:val="24"/>
          <w:highlight w:val="none"/>
        </w:rPr>
        <w:t>拟派项目经理具有有效的建筑工程专业二级及以上注册建造师证书及“三类人员”有效B类证书；拟派现场安全生产专职管理人员具有“三类人员”有效C类证书。</w:t>
      </w:r>
    </w:p>
    <w:p w14:paraId="3F4861C1">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lang w:val="en-US"/>
        </w:rPr>
      </w:pPr>
      <w:r>
        <w:rPr>
          <w:rFonts w:hint="eastAsia" w:ascii="宋体" w:hAnsi="宋体" w:eastAsia="宋体" w:cs="宋体"/>
          <w:b/>
          <w:bCs/>
          <w:color w:val="auto"/>
          <w:kern w:val="2"/>
          <w:sz w:val="24"/>
          <w:szCs w:val="24"/>
          <w:lang w:val="en-US" w:eastAsia="zh-CN" w:bidi="ar"/>
        </w:rPr>
        <w:t>8、本章未尽内容按“第五部分 合同”。</w:t>
      </w:r>
    </w:p>
    <w:p w14:paraId="37AF2DC4">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81" w:name="_Toc9639"/>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81"/>
    </w:p>
    <w:p w14:paraId="7E2DC361">
      <w:pPr>
        <w:snapToGrid w:val="0"/>
        <w:spacing w:line="360" w:lineRule="auto"/>
        <w:jc w:val="center"/>
        <w:rPr>
          <w:rFonts w:hint="eastAsia" w:ascii="宋体" w:hAnsi="宋体" w:eastAsia="宋体" w:cs="宋体"/>
          <w:b/>
          <w:color w:val="auto"/>
          <w:sz w:val="24"/>
          <w:szCs w:val="24"/>
        </w:rPr>
      </w:pPr>
      <w:bookmarkStart w:id="82" w:name="page4"/>
      <w:bookmarkEnd w:id="82"/>
      <w:bookmarkStart w:id="83" w:name="_Hlk92875903"/>
      <w:r>
        <w:rPr>
          <w:rFonts w:hint="eastAsia" w:ascii="宋体" w:hAnsi="宋体" w:eastAsia="宋体" w:cs="宋体"/>
          <w:b/>
          <w:color w:val="auto"/>
          <w:sz w:val="24"/>
          <w:szCs w:val="24"/>
        </w:rPr>
        <w:t>评审办法前附表</w:t>
      </w:r>
    </w:p>
    <w:tbl>
      <w:tblPr>
        <w:tblStyle w:val="62"/>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57"/>
        <w:gridCol w:w="5996"/>
        <w:gridCol w:w="793"/>
        <w:gridCol w:w="1820"/>
      </w:tblGrid>
      <w:tr w14:paraId="538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2A9B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bookmarkStart w:id="84" w:name="_Toc5504"/>
            <w:bookmarkStart w:id="85" w:name="_Toc20461"/>
            <w:r>
              <w:rPr>
                <w:rFonts w:hint="eastAsia" w:ascii="宋体" w:hAnsi="宋体" w:eastAsia="宋体" w:cs="宋体"/>
                <w:bCs/>
                <w:color w:val="auto"/>
                <w:sz w:val="24"/>
                <w:szCs w:val="24"/>
              </w:rPr>
              <w:t>序号</w:t>
            </w:r>
            <w:bookmarkEnd w:id="84"/>
            <w:bookmarkEnd w:id="85"/>
          </w:p>
        </w:tc>
        <w:tc>
          <w:tcPr>
            <w:tcW w:w="7053" w:type="dxa"/>
            <w:gridSpan w:val="2"/>
            <w:vAlign w:val="center"/>
          </w:tcPr>
          <w:p w14:paraId="4C9FAE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bookmarkStart w:id="86" w:name="_Toc22750"/>
            <w:bookmarkStart w:id="87" w:name="_Toc29596"/>
            <w:r>
              <w:rPr>
                <w:rFonts w:hint="eastAsia" w:ascii="宋体" w:hAnsi="宋体" w:eastAsia="宋体" w:cs="宋体"/>
                <w:bCs/>
                <w:color w:val="auto"/>
                <w:sz w:val="24"/>
                <w:szCs w:val="24"/>
              </w:rPr>
              <w:t>评审标准</w:t>
            </w:r>
            <w:bookmarkEnd w:id="86"/>
            <w:bookmarkEnd w:id="87"/>
          </w:p>
        </w:tc>
        <w:tc>
          <w:tcPr>
            <w:tcW w:w="793" w:type="dxa"/>
            <w:vAlign w:val="center"/>
          </w:tcPr>
          <w:p w14:paraId="56AFEC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bookmarkStart w:id="88" w:name="_Toc22722"/>
            <w:bookmarkStart w:id="89" w:name="_Toc6272"/>
            <w:r>
              <w:rPr>
                <w:rFonts w:hint="eastAsia" w:ascii="宋体" w:hAnsi="宋体" w:eastAsia="宋体" w:cs="宋体"/>
                <w:bCs/>
                <w:color w:val="auto"/>
                <w:sz w:val="24"/>
                <w:szCs w:val="24"/>
              </w:rPr>
              <w:t>权重</w:t>
            </w:r>
            <w:bookmarkEnd w:id="88"/>
            <w:bookmarkEnd w:id="89"/>
          </w:p>
        </w:tc>
        <w:tc>
          <w:tcPr>
            <w:tcW w:w="1820" w:type="dxa"/>
            <w:vAlign w:val="center"/>
          </w:tcPr>
          <w:p w14:paraId="52935C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Cs/>
                <w:color w:val="auto"/>
                <w:sz w:val="24"/>
                <w:szCs w:val="24"/>
              </w:rPr>
            </w:pPr>
            <w:bookmarkStart w:id="90" w:name="_Toc15463"/>
            <w:bookmarkStart w:id="91" w:name="_Toc20881"/>
            <w:r>
              <w:rPr>
                <w:rFonts w:hint="eastAsia" w:ascii="宋体" w:hAnsi="宋体" w:eastAsia="宋体" w:cs="宋体"/>
                <w:bCs/>
                <w:color w:val="auto"/>
                <w:sz w:val="24"/>
                <w:szCs w:val="24"/>
              </w:rPr>
              <w:t>响应文件中评审标准相应的商务技术资料目录</w:t>
            </w:r>
            <w:r>
              <w:rPr>
                <w:rFonts w:hint="eastAsia" w:ascii="宋体" w:hAnsi="宋体" w:eastAsia="宋体" w:cs="宋体"/>
                <w:color w:val="auto"/>
                <w:sz w:val="24"/>
                <w:szCs w:val="24"/>
                <w:shd w:val="clear" w:color="auto" w:fill="FFFFFF"/>
              </w:rPr>
              <w:t> *</w:t>
            </w:r>
            <w:bookmarkEnd w:id="90"/>
            <w:bookmarkEnd w:id="91"/>
          </w:p>
        </w:tc>
      </w:tr>
      <w:tr w14:paraId="5E5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908316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bookmarkStart w:id="92" w:name="_Toc14925"/>
            <w:bookmarkStart w:id="93" w:name="_Toc4544"/>
            <w:r>
              <w:rPr>
                <w:rFonts w:hint="eastAsia" w:ascii="宋体" w:hAnsi="宋体" w:eastAsia="宋体" w:cs="宋体"/>
                <w:color w:val="auto"/>
                <w:sz w:val="24"/>
                <w:szCs w:val="24"/>
              </w:rPr>
              <w:t>1</w:t>
            </w:r>
            <w:bookmarkEnd w:id="92"/>
            <w:bookmarkEnd w:id="93"/>
          </w:p>
        </w:tc>
        <w:tc>
          <w:tcPr>
            <w:tcW w:w="1057" w:type="dxa"/>
            <w:vAlign w:val="center"/>
          </w:tcPr>
          <w:p w14:paraId="5CAEB9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94" w:name="_Toc25294"/>
            <w:r>
              <w:rPr>
                <w:rFonts w:hint="eastAsia" w:ascii="宋体" w:hAnsi="宋体" w:eastAsia="宋体" w:cs="宋体"/>
                <w:color w:val="auto"/>
                <w:sz w:val="24"/>
                <w:szCs w:val="24"/>
                <w:lang w:val="en-US" w:eastAsia="zh-CN"/>
              </w:rPr>
              <w:t>企业业绩</w:t>
            </w:r>
            <w:bookmarkEnd w:id="94"/>
          </w:p>
        </w:tc>
        <w:tc>
          <w:tcPr>
            <w:tcW w:w="5996" w:type="dxa"/>
            <w:vAlign w:val="center"/>
          </w:tcPr>
          <w:p w14:paraId="3EAB35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95" w:name="_Toc27805"/>
            <w:r>
              <w:rPr>
                <w:rFonts w:hint="eastAsia" w:ascii="宋体" w:hAnsi="宋体" w:eastAsia="宋体" w:cs="宋体"/>
                <w:color w:val="auto"/>
                <w:sz w:val="24"/>
                <w:szCs w:val="24"/>
              </w:rPr>
              <w:t>供应商自202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年1月1日以来（以合同签订时间为准）完成过类似</w:t>
            </w:r>
            <w:r>
              <w:rPr>
                <w:rFonts w:hint="eastAsia" w:ascii="宋体" w:hAnsi="宋体" w:eastAsia="宋体" w:cs="宋体"/>
                <w:color w:val="auto"/>
                <w:sz w:val="24"/>
                <w:szCs w:val="24"/>
                <w:lang w:eastAsia="zh-CN"/>
              </w:rPr>
              <w:t>屋面修缮</w:t>
            </w:r>
            <w:r>
              <w:rPr>
                <w:rFonts w:hint="eastAsia" w:ascii="宋体" w:hAnsi="宋体" w:eastAsia="宋体" w:cs="宋体"/>
                <w:color w:val="auto"/>
                <w:sz w:val="24"/>
                <w:szCs w:val="24"/>
              </w:rPr>
              <w:t>项目的，每个得0.5分，最高1.5分。</w:t>
            </w:r>
            <w:bookmarkEnd w:id="95"/>
          </w:p>
          <w:p w14:paraId="6BBDB8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96" w:name="_Toc741"/>
            <w:r>
              <w:rPr>
                <w:rFonts w:hint="eastAsia" w:ascii="宋体" w:hAnsi="宋体" w:eastAsia="宋体" w:cs="宋体"/>
                <w:b/>
                <w:bCs/>
                <w:color w:val="auto"/>
                <w:sz w:val="24"/>
                <w:szCs w:val="24"/>
              </w:rPr>
              <w:t>【证明材料】合同关键页</w:t>
            </w:r>
            <w:r>
              <w:rPr>
                <w:rFonts w:hint="eastAsia" w:ascii="宋体" w:hAnsi="宋体" w:eastAsia="宋体" w:cs="宋体"/>
                <w:b/>
                <w:bCs/>
                <w:color w:val="auto"/>
                <w:sz w:val="24"/>
                <w:szCs w:val="24"/>
                <w:lang w:val="en-US" w:eastAsia="zh-CN"/>
              </w:rPr>
              <w:t>和</w:t>
            </w:r>
            <w:r>
              <w:rPr>
                <w:rFonts w:hint="eastAsia" w:ascii="宋体" w:hAnsi="宋体" w:eastAsia="宋体" w:cs="宋体"/>
                <w:b/>
                <w:bCs/>
                <w:color w:val="auto"/>
                <w:sz w:val="24"/>
                <w:szCs w:val="24"/>
              </w:rPr>
              <w:t>验收证明材料扫描件加盖公章，</w:t>
            </w:r>
            <w:r>
              <w:rPr>
                <w:rFonts w:hint="eastAsia" w:ascii="宋体" w:hAnsi="宋体" w:eastAsia="宋体" w:cs="宋体"/>
                <w:b/>
                <w:bCs/>
                <w:color w:val="auto"/>
                <w:sz w:val="24"/>
                <w:szCs w:val="24"/>
                <w:lang w:val="en-US" w:eastAsia="zh-CN"/>
              </w:rPr>
              <w:t>缺一</w:t>
            </w:r>
            <w:r>
              <w:rPr>
                <w:rFonts w:hint="eastAsia" w:ascii="宋体" w:hAnsi="宋体" w:eastAsia="宋体" w:cs="宋体"/>
                <w:b/>
                <w:bCs/>
                <w:color w:val="auto"/>
                <w:sz w:val="24"/>
                <w:szCs w:val="24"/>
              </w:rPr>
              <w:t>不得分；证明材料须体现类似项目要求，若不能体现，还须提供业主证明材料。</w:t>
            </w:r>
            <w:bookmarkEnd w:id="96"/>
          </w:p>
        </w:tc>
        <w:tc>
          <w:tcPr>
            <w:tcW w:w="793" w:type="dxa"/>
            <w:vAlign w:val="center"/>
          </w:tcPr>
          <w:p w14:paraId="094693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p>
          <w:p w14:paraId="23087C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79F311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97" w:name="_Toc11231"/>
            <w:r>
              <w:rPr>
                <w:rFonts w:hint="eastAsia" w:ascii="宋体" w:hAnsi="宋体" w:eastAsia="宋体" w:cs="宋体"/>
                <w:bCs/>
                <w:color w:val="auto"/>
                <w:sz w:val="24"/>
                <w:szCs w:val="24"/>
                <w:lang w:val="en-US" w:eastAsia="zh-CN"/>
              </w:rPr>
              <w:t>1.5</w:t>
            </w:r>
            <w:bookmarkEnd w:id="97"/>
          </w:p>
        </w:tc>
        <w:tc>
          <w:tcPr>
            <w:tcW w:w="1820" w:type="dxa"/>
            <w:vAlign w:val="center"/>
          </w:tcPr>
          <w:p w14:paraId="3D993E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p>
        </w:tc>
      </w:tr>
      <w:tr w14:paraId="680B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312AA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bookmarkStart w:id="98" w:name="_Toc21053"/>
            <w:bookmarkStart w:id="99" w:name="_Toc6319"/>
            <w:r>
              <w:rPr>
                <w:rFonts w:hint="eastAsia" w:ascii="宋体" w:hAnsi="宋体" w:eastAsia="宋体" w:cs="宋体"/>
                <w:color w:val="auto"/>
                <w:sz w:val="24"/>
                <w:szCs w:val="24"/>
              </w:rPr>
              <w:t>2</w:t>
            </w:r>
            <w:bookmarkEnd w:id="98"/>
            <w:bookmarkEnd w:id="99"/>
          </w:p>
        </w:tc>
        <w:tc>
          <w:tcPr>
            <w:tcW w:w="1057" w:type="dxa"/>
            <w:vAlign w:val="center"/>
          </w:tcPr>
          <w:p w14:paraId="0539BC4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00" w:name="_Toc22905"/>
            <w:r>
              <w:rPr>
                <w:rFonts w:hint="eastAsia" w:ascii="宋体" w:hAnsi="宋体" w:eastAsia="宋体" w:cs="宋体"/>
                <w:color w:val="auto"/>
                <w:sz w:val="24"/>
                <w:szCs w:val="24"/>
                <w:lang w:val="en-US" w:eastAsia="zh-CN"/>
              </w:rPr>
              <w:t>项目经理业绩</w:t>
            </w:r>
            <w:bookmarkEnd w:id="100"/>
          </w:p>
        </w:tc>
        <w:tc>
          <w:tcPr>
            <w:tcW w:w="5996" w:type="dxa"/>
            <w:vAlign w:val="center"/>
          </w:tcPr>
          <w:p w14:paraId="207417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101" w:name="_Toc1566"/>
            <w:r>
              <w:rPr>
                <w:rFonts w:hint="eastAsia" w:ascii="宋体" w:hAnsi="宋体" w:eastAsia="宋体" w:cs="宋体"/>
                <w:color w:val="auto"/>
                <w:sz w:val="24"/>
                <w:szCs w:val="24"/>
              </w:rPr>
              <w:t>拟派项目经理自202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年1月1日以来（以合同签订时间为准）以项目经理身份参与类似</w:t>
            </w:r>
            <w:r>
              <w:rPr>
                <w:rFonts w:hint="eastAsia" w:ascii="宋体" w:hAnsi="宋体" w:eastAsia="宋体" w:cs="宋体"/>
                <w:color w:val="auto"/>
                <w:sz w:val="24"/>
                <w:szCs w:val="24"/>
                <w:lang w:eastAsia="zh-CN"/>
              </w:rPr>
              <w:t>屋面修缮</w:t>
            </w:r>
            <w:r>
              <w:rPr>
                <w:rFonts w:hint="eastAsia" w:ascii="宋体" w:hAnsi="宋体" w:eastAsia="宋体" w:cs="宋体"/>
                <w:color w:val="auto"/>
                <w:sz w:val="24"/>
                <w:szCs w:val="24"/>
              </w:rPr>
              <w:t>项目得0.5分。</w:t>
            </w:r>
            <w:bookmarkEnd w:id="101"/>
          </w:p>
          <w:p w14:paraId="781CBD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102" w:name="_Toc25875"/>
            <w:r>
              <w:rPr>
                <w:rFonts w:hint="eastAsia" w:ascii="宋体" w:hAnsi="宋体" w:eastAsia="宋体" w:cs="宋体"/>
                <w:b/>
                <w:bCs/>
                <w:color w:val="auto"/>
                <w:sz w:val="24"/>
                <w:szCs w:val="24"/>
              </w:rPr>
              <w:t>【证明材料】合同关键页</w:t>
            </w:r>
            <w:r>
              <w:rPr>
                <w:rFonts w:hint="eastAsia" w:ascii="宋体" w:hAnsi="宋体" w:eastAsia="宋体" w:cs="宋体"/>
                <w:b/>
                <w:bCs/>
                <w:color w:val="auto"/>
                <w:sz w:val="24"/>
                <w:szCs w:val="24"/>
                <w:lang w:val="en-US" w:eastAsia="zh-CN"/>
              </w:rPr>
              <w:t>和</w:t>
            </w:r>
            <w:r>
              <w:rPr>
                <w:rFonts w:hint="eastAsia" w:ascii="宋体" w:hAnsi="宋体" w:eastAsia="宋体" w:cs="宋体"/>
                <w:b/>
                <w:bCs/>
                <w:color w:val="auto"/>
                <w:sz w:val="24"/>
                <w:szCs w:val="24"/>
              </w:rPr>
              <w:t>验收证明材料扫描件加盖公章，否则不得分；证明材料须体现类似项目要求，若不能体现，还须提供业主证明材料。</w:t>
            </w:r>
            <w:bookmarkEnd w:id="102"/>
          </w:p>
        </w:tc>
        <w:tc>
          <w:tcPr>
            <w:tcW w:w="793" w:type="dxa"/>
            <w:vAlign w:val="center"/>
          </w:tcPr>
          <w:p w14:paraId="48BB85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p>
          <w:p w14:paraId="79C90B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1DF714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03" w:name="_Toc17335"/>
            <w:r>
              <w:rPr>
                <w:rFonts w:hint="eastAsia" w:ascii="宋体" w:hAnsi="宋体" w:eastAsia="宋体" w:cs="宋体"/>
                <w:bCs/>
                <w:color w:val="auto"/>
                <w:sz w:val="24"/>
                <w:szCs w:val="24"/>
                <w:lang w:val="en-US" w:eastAsia="zh-CN"/>
              </w:rPr>
              <w:t>0.5</w:t>
            </w:r>
            <w:bookmarkEnd w:id="103"/>
          </w:p>
        </w:tc>
        <w:tc>
          <w:tcPr>
            <w:tcW w:w="1820" w:type="dxa"/>
            <w:vAlign w:val="center"/>
          </w:tcPr>
          <w:p w14:paraId="2312E0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0D9A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67" w:type="dxa"/>
            <w:vAlign w:val="center"/>
          </w:tcPr>
          <w:p w14:paraId="1C3732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bookmarkStart w:id="104" w:name="_Toc1053"/>
            <w:bookmarkStart w:id="105" w:name="_Toc30389"/>
            <w:r>
              <w:rPr>
                <w:rFonts w:hint="eastAsia" w:ascii="宋体" w:hAnsi="宋体" w:eastAsia="宋体" w:cs="宋体"/>
                <w:color w:val="auto"/>
                <w:sz w:val="24"/>
                <w:szCs w:val="24"/>
              </w:rPr>
              <w:t>3</w:t>
            </w:r>
            <w:bookmarkEnd w:id="104"/>
            <w:bookmarkEnd w:id="105"/>
          </w:p>
        </w:tc>
        <w:tc>
          <w:tcPr>
            <w:tcW w:w="1057" w:type="dxa"/>
            <w:vAlign w:val="center"/>
          </w:tcPr>
          <w:p w14:paraId="470B71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06" w:name="_Toc27819"/>
            <w:r>
              <w:rPr>
                <w:rFonts w:hint="eastAsia" w:ascii="宋体" w:hAnsi="宋体" w:eastAsia="宋体" w:cs="宋体"/>
                <w:color w:val="auto"/>
                <w:sz w:val="24"/>
                <w:szCs w:val="24"/>
                <w:lang w:val="en-US" w:eastAsia="zh-CN"/>
              </w:rPr>
              <w:t>认证体系</w:t>
            </w:r>
            <w:bookmarkEnd w:id="106"/>
          </w:p>
        </w:tc>
        <w:tc>
          <w:tcPr>
            <w:tcW w:w="5996" w:type="dxa"/>
            <w:vAlign w:val="center"/>
          </w:tcPr>
          <w:p w14:paraId="745E57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lang w:val="en-US" w:eastAsia="zh-CN"/>
              </w:rPr>
            </w:pPr>
            <w:bookmarkStart w:id="107" w:name="_Toc10990"/>
            <w:r>
              <w:rPr>
                <w:rFonts w:hint="eastAsia" w:ascii="宋体" w:hAnsi="宋体" w:eastAsia="宋体" w:cs="宋体"/>
                <w:color w:val="auto"/>
                <w:sz w:val="24"/>
                <w:szCs w:val="24"/>
              </w:rPr>
              <w:t>供应商具有有效的质量管理体系、环境管理体系、职业健康安全管理体系认证证书的，提供一个得1分，最高得3分</w:t>
            </w:r>
            <w:r>
              <w:rPr>
                <w:rFonts w:hint="eastAsia" w:ascii="宋体" w:hAnsi="宋体" w:eastAsia="宋体" w:cs="宋体"/>
                <w:color w:val="auto"/>
                <w:sz w:val="24"/>
                <w:szCs w:val="24"/>
                <w:lang w:eastAsia="zh-CN"/>
              </w:rPr>
              <w:t>。</w:t>
            </w:r>
            <w:bookmarkEnd w:id="107"/>
          </w:p>
          <w:p w14:paraId="128EAE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108" w:name="_Toc26854"/>
            <w:r>
              <w:rPr>
                <w:rFonts w:hint="eastAsia" w:ascii="宋体" w:hAnsi="宋体" w:eastAsia="宋体" w:cs="宋体"/>
                <w:b/>
                <w:bCs/>
                <w:color w:val="auto"/>
                <w:sz w:val="24"/>
                <w:szCs w:val="24"/>
              </w:rPr>
              <w:t>【证明材料】</w:t>
            </w:r>
            <w:r>
              <w:rPr>
                <w:rFonts w:hint="eastAsia" w:ascii="宋体" w:hAnsi="宋体" w:eastAsia="宋体" w:cs="宋体"/>
                <w:b/>
                <w:bCs/>
                <w:color w:val="auto"/>
                <w:sz w:val="24"/>
                <w:szCs w:val="24"/>
                <w:lang w:val="en-US" w:eastAsia="zh-CN"/>
              </w:rPr>
              <w:t>认证</w:t>
            </w:r>
            <w:r>
              <w:rPr>
                <w:rFonts w:hint="eastAsia" w:ascii="宋体" w:hAnsi="宋体" w:eastAsia="宋体" w:cs="宋体"/>
                <w:b/>
                <w:bCs/>
                <w:color w:val="auto"/>
                <w:sz w:val="24"/>
                <w:szCs w:val="24"/>
              </w:rPr>
              <w:t>证书</w:t>
            </w:r>
            <w:r>
              <w:rPr>
                <w:rFonts w:hint="eastAsia" w:ascii="宋体" w:hAnsi="宋体" w:eastAsia="宋体" w:cs="宋体"/>
                <w:b/>
                <w:bCs/>
                <w:color w:val="auto"/>
                <w:sz w:val="24"/>
                <w:szCs w:val="24"/>
                <w:lang w:val="en-US" w:eastAsia="zh-CN"/>
              </w:rPr>
              <w:t>扫描</w:t>
            </w:r>
            <w:r>
              <w:rPr>
                <w:rFonts w:hint="eastAsia" w:ascii="宋体" w:hAnsi="宋体" w:eastAsia="宋体" w:cs="宋体"/>
                <w:b/>
                <w:bCs/>
                <w:color w:val="auto"/>
                <w:sz w:val="24"/>
                <w:szCs w:val="24"/>
              </w:rPr>
              <w:t>件加盖投标人公章以及全国认证认可信息公共服务平台（https://www.cnca.gov.cn）网页截图，</w:t>
            </w:r>
            <w:r>
              <w:rPr>
                <w:rFonts w:hint="eastAsia" w:ascii="宋体" w:hAnsi="宋体" w:eastAsia="宋体" w:cs="宋体"/>
                <w:b/>
                <w:bCs/>
                <w:color w:val="auto"/>
                <w:sz w:val="24"/>
                <w:szCs w:val="24"/>
                <w:lang w:val="en-US" w:eastAsia="zh-CN"/>
              </w:rPr>
              <w:t>缺一不得分</w:t>
            </w:r>
            <w:r>
              <w:rPr>
                <w:rFonts w:hint="eastAsia" w:ascii="宋体" w:hAnsi="宋体" w:eastAsia="宋体" w:cs="宋体"/>
                <w:b/>
                <w:bCs/>
                <w:color w:val="auto"/>
                <w:sz w:val="24"/>
                <w:szCs w:val="24"/>
              </w:rPr>
              <w:t>。</w:t>
            </w:r>
            <w:bookmarkEnd w:id="108"/>
          </w:p>
        </w:tc>
        <w:tc>
          <w:tcPr>
            <w:tcW w:w="793" w:type="dxa"/>
            <w:vAlign w:val="center"/>
          </w:tcPr>
          <w:p w14:paraId="39F604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rPr>
            </w:pPr>
          </w:p>
          <w:p w14:paraId="5CE4C6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2FF776E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bookmarkStart w:id="109" w:name="_Toc31013"/>
            <w:r>
              <w:rPr>
                <w:rFonts w:hint="eastAsia" w:ascii="宋体" w:hAnsi="宋体" w:eastAsia="宋体" w:cs="宋体"/>
                <w:bCs/>
                <w:color w:val="auto"/>
                <w:sz w:val="24"/>
                <w:szCs w:val="24"/>
                <w:lang w:val="en-US" w:eastAsia="zh-CN"/>
              </w:rPr>
              <w:t>3</w:t>
            </w:r>
            <w:bookmarkEnd w:id="109"/>
          </w:p>
        </w:tc>
        <w:tc>
          <w:tcPr>
            <w:tcW w:w="1820" w:type="dxa"/>
            <w:vAlign w:val="center"/>
          </w:tcPr>
          <w:p w14:paraId="35F52D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2E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67" w:type="dxa"/>
            <w:vAlign w:val="center"/>
          </w:tcPr>
          <w:p w14:paraId="03D6DA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10" w:name="_Toc3230"/>
            <w:r>
              <w:rPr>
                <w:rFonts w:hint="eastAsia" w:ascii="宋体" w:hAnsi="宋体" w:eastAsia="宋体" w:cs="宋体"/>
                <w:color w:val="auto"/>
                <w:sz w:val="24"/>
                <w:szCs w:val="24"/>
                <w:lang w:val="en-US" w:eastAsia="zh-CN"/>
              </w:rPr>
              <w:t>4</w:t>
            </w:r>
            <w:bookmarkEnd w:id="110"/>
          </w:p>
        </w:tc>
        <w:tc>
          <w:tcPr>
            <w:tcW w:w="1057" w:type="dxa"/>
            <w:vAlign w:val="center"/>
          </w:tcPr>
          <w:p w14:paraId="324EDA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11" w:name="_Toc23939"/>
            <w:r>
              <w:rPr>
                <w:rFonts w:hint="eastAsia" w:ascii="宋体" w:hAnsi="宋体" w:eastAsia="宋体" w:cs="宋体"/>
                <w:b/>
                <w:color w:val="auto"/>
                <w:sz w:val="24"/>
                <w:szCs w:val="24"/>
              </w:rPr>
              <w:t>政府采购政策</w:t>
            </w:r>
            <w:bookmarkEnd w:id="111"/>
          </w:p>
        </w:tc>
        <w:tc>
          <w:tcPr>
            <w:tcW w:w="5996" w:type="dxa"/>
            <w:vAlign w:val="center"/>
          </w:tcPr>
          <w:p w14:paraId="6A5F8D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val="0"/>
                <w:bCs w:val="0"/>
                <w:color w:val="auto"/>
                <w:sz w:val="24"/>
                <w:szCs w:val="24"/>
              </w:rPr>
            </w:pPr>
            <w:bookmarkStart w:id="112" w:name="_Toc276"/>
            <w:r>
              <w:rPr>
                <w:rFonts w:hint="eastAsia" w:ascii="宋体" w:hAnsi="宋体" w:eastAsia="宋体" w:cs="宋体"/>
                <w:b w:val="0"/>
                <w:bCs w:val="0"/>
                <w:color w:val="auto"/>
                <w:sz w:val="24"/>
                <w:szCs w:val="24"/>
              </w:rPr>
              <w:t>用于本项目的材料列入政府采购节能产品（已列入强制要求的除外）、环境标志产品品目清单范围的，节能产品1分，环境标志产品1分，本项累计最高得2分。</w:t>
            </w:r>
            <w:bookmarkEnd w:id="112"/>
          </w:p>
          <w:p w14:paraId="4775D3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rPr>
            </w:pPr>
            <w:bookmarkStart w:id="113" w:name="_Toc27413"/>
            <w:r>
              <w:rPr>
                <w:rFonts w:hint="eastAsia" w:ascii="宋体" w:hAnsi="宋体" w:eastAsia="宋体" w:cs="宋体"/>
                <w:b/>
                <w:bCs/>
                <w:color w:val="auto"/>
                <w:sz w:val="24"/>
                <w:szCs w:val="24"/>
              </w:rPr>
              <w:t>【证明材料】依据国家确定的认证机构出具的、处于有效期之内的节能产品、环境标志产品认证证书或产品认证证明材料，否则不得分）。</w:t>
            </w:r>
            <w:bookmarkEnd w:id="113"/>
          </w:p>
        </w:tc>
        <w:tc>
          <w:tcPr>
            <w:tcW w:w="793" w:type="dxa"/>
            <w:vAlign w:val="center"/>
          </w:tcPr>
          <w:p w14:paraId="2A0F62F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24AC4F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5072A1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14" w:name="_Toc10408"/>
            <w:r>
              <w:rPr>
                <w:rFonts w:hint="eastAsia" w:ascii="宋体" w:hAnsi="宋体" w:eastAsia="宋体" w:cs="宋体"/>
                <w:bCs/>
                <w:color w:val="auto"/>
                <w:sz w:val="24"/>
                <w:szCs w:val="24"/>
                <w:lang w:val="en-US" w:eastAsia="zh-CN"/>
              </w:rPr>
              <w:t>2</w:t>
            </w:r>
            <w:bookmarkEnd w:id="114"/>
          </w:p>
        </w:tc>
        <w:tc>
          <w:tcPr>
            <w:tcW w:w="1820" w:type="dxa"/>
            <w:vAlign w:val="center"/>
          </w:tcPr>
          <w:p w14:paraId="0BC617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53FE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67" w:type="dxa"/>
            <w:vMerge w:val="restart"/>
            <w:vAlign w:val="center"/>
          </w:tcPr>
          <w:p w14:paraId="035F3F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15" w:name="_Toc20503"/>
            <w:r>
              <w:rPr>
                <w:rFonts w:hint="eastAsia" w:ascii="宋体" w:hAnsi="宋体" w:eastAsia="宋体" w:cs="宋体"/>
                <w:color w:val="auto"/>
                <w:sz w:val="24"/>
                <w:szCs w:val="24"/>
                <w:lang w:val="en-US" w:eastAsia="zh-CN"/>
              </w:rPr>
              <w:t>5</w:t>
            </w:r>
            <w:bookmarkEnd w:id="115"/>
          </w:p>
        </w:tc>
        <w:tc>
          <w:tcPr>
            <w:tcW w:w="1057" w:type="dxa"/>
            <w:vMerge w:val="restart"/>
            <w:vAlign w:val="center"/>
          </w:tcPr>
          <w:p w14:paraId="556956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16" w:name="_Toc130"/>
            <w:r>
              <w:rPr>
                <w:rFonts w:hint="eastAsia" w:ascii="宋体" w:hAnsi="宋体" w:eastAsia="宋体" w:cs="宋体"/>
                <w:b w:val="0"/>
                <w:bCs w:val="0"/>
                <w:color w:val="auto"/>
                <w:sz w:val="24"/>
                <w:szCs w:val="24"/>
              </w:rPr>
              <w:t>总体概述</w:t>
            </w:r>
            <w:bookmarkEnd w:id="116"/>
          </w:p>
        </w:tc>
        <w:tc>
          <w:tcPr>
            <w:tcW w:w="5996" w:type="dxa"/>
            <w:vAlign w:val="center"/>
          </w:tcPr>
          <w:p w14:paraId="0D58D7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rPr>
            </w:pPr>
            <w:bookmarkStart w:id="117" w:name="_Toc25995"/>
            <w:r>
              <w:rPr>
                <w:rFonts w:hint="eastAsia" w:ascii="宋体" w:hAnsi="宋体" w:eastAsia="宋体" w:cs="宋体"/>
                <w:b w:val="0"/>
                <w:bCs w:val="0"/>
                <w:color w:val="auto"/>
                <w:sz w:val="24"/>
                <w:szCs w:val="24"/>
              </w:rPr>
              <w:t>工程概况、施工组织总体设想和方案：根据方案的全面性、合理性以及对本项目的针对性进行评审。（评审分值为3分或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17"/>
          </w:p>
        </w:tc>
        <w:tc>
          <w:tcPr>
            <w:tcW w:w="793" w:type="dxa"/>
            <w:vAlign w:val="center"/>
          </w:tcPr>
          <w:p w14:paraId="389EBA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5103E99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18" w:name="_Toc21573"/>
            <w:r>
              <w:rPr>
                <w:rFonts w:hint="eastAsia" w:ascii="宋体" w:hAnsi="宋体" w:eastAsia="宋体" w:cs="宋体"/>
                <w:bCs/>
                <w:color w:val="auto"/>
                <w:sz w:val="24"/>
                <w:szCs w:val="24"/>
                <w:lang w:val="en-US" w:eastAsia="zh-CN"/>
              </w:rPr>
              <w:t>3</w:t>
            </w:r>
            <w:bookmarkEnd w:id="118"/>
          </w:p>
        </w:tc>
        <w:tc>
          <w:tcPr>
            <w:tcW w:w="1820" w:type="dxa"/>
            <w:vAlign w:val="center"/>
          </w:tcPr>
          <w:p w14:paraId="19E85A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4D2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4FCE72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vAlign w:val="center"/>
          </w:tcPr>
          <w:p w14:paraId="1724D3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vAlign w:val="center"/>
          </w:tcPr>
          <w:p w14:paraId="53C7113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rPr>
            </w:pPr>
            <w:bookmarkStart w:id="119" w:name="_Toc27780"/>
            <w:r>
              <w:rPr>
                <w:rFonts w:hint="eastAsia" w:ascii="宋体" w:hAnsi="宋体" w:eastAsia="宋体" w:cs="宋体"/>
                <w:b w:val="0"/>
                <w:bCs w:val="0"/>
                <w:color w:val="auto"/>
                <w:sz w:val="24"/>
                <w:szCs w:val="24"/>
              </w:rPr>
              <w:t>施工阶段划分：根据施工划分的</w:t>
            </w:r>
            <w:r>
              <w:rPr>
                <w:rFonts w:hint="eastAsia" w:ascii="宋体" w:hAnsi="宋体" w:eastAsia="宋体" w:cs="宋体"/>
                <w:b w:val="0"/>
                <w:bCs w:val="0"/>
                <w:color w:val="auto"/>
                <w:sz w:val="24"/>
                <w:szCs w:val="24"/>
                <w:lang w:val="en-US" w:eastAsia="zh-CN"/>
              </w:rPr>
              <w:t>针对性、</w:t>
            </w:r>
            <w:r>
              <w:rPr>
                <w:rFonts w:hint="eastAsia" w:ascii="宋体" w:hAnsi="宋体" w:eastAsia="宋体" w:cs="宋体"/>
                <w:b w:val="0"/>
                <w:bCs w:val="0"/>
                <w:color w:val="auto"/>
                <w:sz w:val="24"/>
                <w:szCs w:val="24"/>
              </w:rPr>
              <w:t>合理性，与采购需求及实际特点的符合程度进行评审。（评审分值为3分或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19"/>
          </w:p>
        </w:tc>
        <w:tc>
          <w:tcPr>
            <w:tcW w:w="793" w:type="dxa"/>
            <w:vAlign w:val="center"/>
          </w:tcPr>
          <w:p w14:paraId="6884B4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0AA19F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20" w:name="_Toc31924"/>
            <w:r>
              <w:rPr>
                <w:rFonts w:hint="eastAsia" w:ascii="宋体" w:hAnsi="宋体" w:eastAsia="宋体" w:cs="宋体"/>
                <w:bCs/>
                <w:color w:val="auto"/>
                <w:sz w:val="24"/>
                <w:szCs w:val="24"/>
                <w:lang w:val="en-US" w:eastAsia="zh-CN"/>
              </w:rPr>
              <w:t>3</w:t>
            </w:r>
            <w:bookmarkEnd w:id="120"/>
          </w:p>
        </w:tc>
        <w:tc>
          <w:tcPr>
            <w:tcW w:w="1820" w:type="dxa"/>
            <w:vAlign w:val="center"/>
          </w:tcPr>
          <w:p w14:paraId="47A241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6CE9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4DDA81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21" w:name="_Toc28365"/>
            <w:r>
              <w:rPr>
                <w:rFonts w:hint="eastAsia" w:ascii="宋体" w:hAnsi="宋体" w:eastAsia="宋体" w:cs="宋体"/>
                <w:color w:val="auto"/>
                <w:sz w:val="24"/>
                <w:szCs w:val="24"/>
                <w:lang w:val="en-US" w:eastAsia="zh-CN"/>
              </w:rPr>
              <w:t>6</w:t>
            </w:r>
            <w:bookmarkEnd w:id="121"/>
          </w:p>
        </w:tc>
        <w:tc>
          <w:tcPr>
            <w:tcW w:w="1057" w:type="dxa"/>
            <w:vMerge w:val="restart"/>
            <w:vAlign w:val="center"/>
          </w:tcPr>
          <w:p w14:paraId="0B484D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22" w:name="_Toc26676"/>
            <w:r>
              <w:rPr>
                <w:rFonts w:hint="eastAsia" w:ascii="宋体" w:hAnsi="宋体" w:eastAsia="宋体" w:cs="宋体"/>
                <w:b w:val="0"/>
                <w:bCs w:val="0"/>
                <w:color w:val="auto"/>
                <w:sz w:val="24"/>
                <w:szCs w:val="24"/>
              </w:rPr>
              <w:t>重难点分析</w:t>
            </w:r>
            <w:r>
              <w:rPr>
                <w:rFonts w:hint="eastAsia" w:ascii="宋体" w:hAnsi="宋体" w:eastAsia="宋体" w:cs="宋体"/>
                <w:b w:val="0"/>
                <w:bCs w:val="0"/>
                <w:color w:val="auto"/>
                <w:sz w:val="24"/>
                <w:szCs w:val="24"/>
                <w:lang w:val="en-US" w:eastAsia="zh-CN"/>
              </w:rPr>
              <w:t>及控制措施</w:t>
            </w:r>
            <w:bookmarkEnd w:id="122"/>
          </w:p>
        </w:tc>
        <w:tc>
          <w:tcPr>
            <w:tcW w:w="5996" w:type="dxa"/>
            <w:vAlign w:val="center"/>
          </w:tcPr>
          <w:p w14:paraId="56688E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rPr>
            </w:pPr>
            <w:bookmarkStart w:id="123" w:name="_Toc9691"/>
            <w:r>
              <w:rPr>
                <w:rFonts w:hint="eastAsia" w:ascii="宋体" w:hAnsi="宋体" w:eastAsia="宋体" w:cs="宋体"/>
                <w:b w:val="0"/>
                <w:bCs w:val="0"/>
                <w:color w:val="auto"/>
                <w:sz w:val="24"/>
                <w:szCs w:val="24"/>
              </w:rPr>
              <w:t>施工方案重难点分析：根据重难点分析方案</w:t>
            </w:r>
            <w:r>
              <w:rPr>
                <w:rFonts w:hint="eastAsia" w:ascii="宋体" w:hAnsi="宋体" w:eastAsia="宋体" w:cs="宋体"/>
                <w:b w:val="0"/>
                <w:bCs w:val="0"/>
                <w:color w:val="auto"/>
                <w:sz w:val="24"/>
                <w:szCs w:val="24"/>
                <w:lang w:val="en-US" w:eastAsia="zh-CN"/>
              </w:rPr>
              <w:t>的</w:t>
            </w:r>
            <w:r>
              <w:rPr>
                <w:rFonts w:hint="eastAsia" w:ascii="宋体" w:hAnsi="宋体" w:eastAsia="宋体" w:cs="宋体"/>
                <w:b w:val="0"/>
                <w:bCs w:val="0"/>
                <w:color w:val="auto"/>
                <w:sz w:val="24"/>
                <w:szCs w:val="24"/>
              </w:rPr>
              <w:t>完善性、符合性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合理性</w:t>
            </w:r>
            <w:r>
              <w:rPr>
                <w:rFonts w:hint="eastAsia" w:ascii="宋体" w:hAnsi="宋体" w:eastAsia="宋体" w:cs="宋体"/>
                <w:b w:val="0"/>
                <w:bCs w:val="0"/>
                <w:color w:val="auto"/>
                <w:sz w:val="24"/>
                <w:szCs w:val="24"/>
              </w:rPr>
              <w:t>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23"/>
          </w:p>
        </w:tc>
        <w:tc>
          <w:tcPr>
            <w:tcW w:w="793" w:type="dxa"/>
            <w:vAlign w:val="center"/>
          </w:tcPr>
          <w:p w14:paraId="409942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24" w:name="_Toc25731"/>
            <w:r>
              <w:rPr>
                <w:rFonts w:hint="eastAsia" w:ascii="宋体" w:hAnsi="宋体" w:eastAsia="宋体" w:cs="宋体"/>
                <w:bCs/>
                <w:color w:val="auto"/>
                <w:sz w:val="24"/>
                <w:szCs w:val="24"/>
                <w:lang w:val="en-US" w:eastAsia="zh-CN"/>
              </w:rPr>
              <w:t>3</w:t>
            </w:r>
            <w:bookmarkEnd w:id="124"/>
          </w:p>
        </w:tc>
        <w:tc>
          <w:tcPr>
            <w:tcW w:w="1820" w:type="dxa"/>
            <w:vAlign w:val="center"/>
          </w:tcPr>
          <w:p w14:paraId="0F54BF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5C54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FB7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vAlign w:val="center"/>
          </w:tcPr>
          <w:p w14:paraId="70E127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vAlign w:val="center"/>
          </w:tcPr>
          <w:p w14:paraId="403452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b/>
                <w:bCs/>
                <w:color w:val="auto"/>
                <w:sz w:val="24"/>
                <w:szCs w:val="24"/>
              </w:rPr>
            </w:pPr>
            <w:bookmarkStart w:id="125" w:name="_Toc8739"/>
            <w:r>
              <w:rPr>
                <w:rFonts w:hint="eastAsia" w:ascii="宋体" w:hAnsi="宋体" w:eastAsia="宋体" w:cs="宋体"/>
                <w:b w:val="0"/>
                <w:bCs w:val="0"/>
                <w:color w:val="auto"/>
                <w:sz w:val="24"/>
                <w:szCs w:val="24"/>
              </w:rPr>
              <w:t>施工重难点对应控制措施：根据</w:t>
            </w:r>
            <w:r>
              <w:rPr>
                <w:rFonts w:hint="eastAsia" w:ascii="宋体" w:hAnsi="宋体" w:eastAsia="宋体" w:cs="宋体"/>
                <w:b w:val="0"/>
                <w:bCs w:val="0"/>
                <w:color w:val="auto"/>
                <w:sz w:val="24"/>
                <w:szCs w:val="24"/>
                <w:lang w:val="en-US" w:eastAsia="zh-CN"/>
              </w:rPr>
              <w:t>控制</w:t>
            </w:r>
            <w:r>
              <w:rPr>
                <w:rFonts w:hint="eastAsia" w:ascii="宋体" w:hAnsi="宋体" w:eastAsia="宋体" w:cs="宋体"/>
                <w:b w:val="0"/>
                <w:bCs w:val="0"/>
                <w:color w:val="auto"/>
                <w:sz w:val="24"/>
                <w:szCs w:val="24"/>
              </w:rPr>
              <w:t>措施的科学性、</w:t>
            </w:r>
            <w:r>
              <w:rPr>
                <w:rFonts w:hint="eastAsia" w:ascii="宋体" w:hAnsi="宋体" w:eastAsia="宋体" w:cs="宋体"/>
                <w:b w:val="0"/>
                <w:bCs w:val="0"/>
                <w:color w:val="auto"/>
                <w:sz w:val="24"/>
                <w:szCs w:val="24"/>
                <w:lang w:val="en-US" w:eastAsia="zh-CN"/>
              </w:rPr>
              <w:t>可行</w:t>
            </w:r>
            <w:r>
              <w:rPr>
                <w:rFonts w:hint="eastAsia" w:ascii="宋体" w:hAnsi="宋体" w:eastAsia="宋体" w:cs="宋体"/>
                <w:b w:val="0"/>
                <w:bCs w:val="0"/>
                <w:color w:val="auto"/>
                <w:sz w:val="24"/>
                <w:szCs w:val="24"/>
              </w:rPr>
              <w:t>性</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合理性</w:t>
            </w:r>
            <w:r>
              <w:rPr>
                <w:rFonts w:hint="eastAsia" w:ascii="宋体" w:hAnsi="宋体" w:eastAsia="宋体" w:cs="宋体"/>
                <w:b w:val="0"/>
                <w:bCs w:val="0"/>
                <w:color w:val="auto"/>
                <w:sz w:val="24"/>
                <w:szCs w:val="24"/>
              </w:rPr>
              <w:t>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25"/>
          </w:p>
        </w:tc>
        <w:tc>
          <w:tcPr>
            <w:tcW w:w="793" w:type="dxa"/>
            <w:vAlign w:val="center"/>
          </w:tcPr>
          <w:p w14:paraId="517456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26" w:name="_Toc6954"/>
            <w:r>
              <w:rPr>
                <w:rFonts w:hint="eastAsia" w:ascii="宋体" w:hAnsi="宋体" w:eastAsia="宋体" w:cs="宋体"/>
                <w:bCs/>
                <w:color w:val="auto"/>
                <w:sz w:val="24"/>
                <w:szCs w:val="24"/>
                <w:lang w:val="en-US" w:eastAsia="zh-CN"/>
              </w:rPr>
              <w:t>3</w:t>
            </w:r>
            <w:bookmarkEnd w:id="126"/>
          </w:p>
        </w:tc>
        <w:tc>
          <w:tcPr>
            <w:tcW w:w="1820" w:type="dxa"/>
            <w:vAlign w:val="center"/>
          </w:tcPr>
          <w:p w14:paraId="310271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6241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F5B2F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27" w:name="_Toc32333"/>
            <w:r>
              <w:rPr>
                <w:rFonts w:hint="eastAsia" w:ascii="宋体" w:hAnsi="宋体" w:eastAsia="宋体" w:cs="宋体"/>
                <w:color w:val="auto"/>
                <w:sz w:val="24"/>
                <w:szCs w:val="24"/>
                <w:lang w:val="en-US" w:eastAsia="zh-CN"/>
              </w:rPr>
              <w:t>7</w:t>
            </w:r>
            <w:bookmarkEnd w:id="127"/>
          </w:p>
        </w:tc>
        <w:tc>
          <w:tcPr>
            <w:tcW w:w="1057" w:type="dxa"/>
            <w:shd w:val="clear" w:color="auto" w:fill="auto"/>
            <w:vAlign w:val="center"/>
          </w:tcPr>
          <w:p w14:paraId="5DDB4C2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28" w:name="_Toc32366"/>
            <w:r>
              <w:rPr>
                <w:rFonts w:hint="eastAsia" w:ascii="宋体" w:hAnsi="宋体" w:eastAsia="宋体" w:cs="宋体"/>
                <w:color w:val="auto"/>
                <w:sz w:val="24"/>
                <w:szCs w:val="24"/>
                <w:lang w:val="en-US" w:eastAsia="zh-CN"/>
              </w:rPr>
              <w:t>进度计划</w:t>
            </w:r>
            <w:bookmarkEnd w:id="128"/>
          </w:p>
        </w:tc>
        <w:tc>
          <w:tcPr>
            <w:tcW w:w="5996" w:type="dxa"/>
            <w:shd w:val="clear" w:color="auto" w:fill="auto"/>
            <w:vAlign w:val="center"/>
          </w:tcPr>
          <w:p w14:paraId="6728A3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29" w:name="_Toc1246"/>
            <w:r>
              <w:rPr>
                <w:rFonts w:hint="eastAsia" w:ascii="宋体" w:hAnsi="宋体" w:eastAsia="宋体" w:cs="宋体"/>
                <w:b w:val="0"/>
                <w:bCs w:val="0"/>
                <w:color w:val="auto"/>
                <w:sz w:val="24"/>
                <w:szCs w:val="24"/>
              </w:rPr>
              <w:t>施工各阶段进度计划及施工施工进度计划网络图：根据施工进度计划的</w:t>
            </w:r>
            <w:r>
              <w:rPr>
                <w:rFonts w:hint="eastAsia" w:ascii="宋体" w:hAnsi="宋体" w:eastAsia="宋体" w:cs="宋体"/>
                <w:b w:val="0"/>
                <w:bCs w:val="0"/>
                <w:color w:val="auto"/>
                <w:sz w:val="24"/>
                <w:szCs w:val="24"/>
                <w:lang w:val="en-US" w:eastAsia="zh-CN"/>
              </w:rPr>
              <w:t>科学性、</w:t>
            </w:r>
            <w:r>
              <w:rPr>
                <w:rFonts w:hint="eastAsia" w:ascii="宋体" w:hAnsi="宋体" w:eastAsia="宋体" w:cs="宋体"/>
                <w:b w:val="0"/>
                <w:bCs w:val="0"/>
                <w:color w:val="auto"/>
                <w:sz w:val="24"/>
                <w:szCs w:val="24"/>
              </w:rPr>
              <w:t>合理性、可行性、对本项目的针对性以及网络图表达的清晰程度、内容完善度以及内容的合理性、可行性进行评审。（评审分值为</w:t>
            </w:r>
            <w:r>
              <w:rPr>
                <w:rFonts w:hint="eastAsia" w:ascii="宋体" w:hAnsi="宋体" w:eastAsia="宋体" w:cs="宋体"/>
                <w:b w:val="0"/>
                <w:bCs w:val="0"/>
                <w:color w:val="auto"/>
                <w:sz w:val="24"/>
                <w:szCs w:val="24"/>
                <w:lang w:val="en-US" w:eastAsia="zh-CN"/>
              </w:rPr>
              <w:t>4分或3.5分或</w:t>
            </w:r>
            <w:r>
              <w:rPr>
                <w:rFonts w:hint="eastAsia" w:ascii="宋体" w:hAnsi="宋体" w:eastAsia="宋体" w:cs="宋体"/>
                <w:b w:val="0"/>
                <w:bCs w:val="0"/>
                <w:color w:val="auto"/>
                <w:sz w:val="24"/>
                <w:szCs w:val="24"/>
              </w:rPr>
              <w:t>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29"/>
          </w:p>
        </w:tc>
        <w:tc>
          <w:tcPr>
            <w:tcW w:w="793" w:type="dxa"/>
            <w:shd w:val="clear" w:color="auto" w:fill="auto"/>
            <w:vAlign w:val="center"/>
          </w:tcPr>
          <w:p w14:paraId="78689C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375AEC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0D8C7D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30" w:name="_Toc4807"/>
            <w:r>
              <w:rPr>
                <w:rFonts w:hint="eastAsia" w:ascii="宋体" w:hAnsi="宋体" w:eastAsia="宋体" w:cs="宋体"/>
                <w:bCs/>
                <w:color w:val="auto"/>
                <w:sz w:val="24"/>
                <w:szCs w:val="24"/>
                <w:lang w:val="en-US" w:eastAsia="zh-CN"/>
              </w:rPr>
              <w:t>4</w:t>
            </w:r>
            <w:bookmarkEnd w:id="130"/>
          </w:p>
        </w:tc>
        <w:tc>
          <w:tcPr>
            <w:tcW w:w="1820" w:type="dxa"/>
            <w:vAlign w:val="center"/>
          </w:tcPr>
          <w:p w14:paraId="55C61C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665D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349F06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31" w:name="_Toc9292"/>
            <w:r>
              <w:rPr>
                <w:rFonts w:hint="eastAsia" w:ascii="宋体" w:hAnsi="宋体" w:eastAsia="宋体" w:cs="宋体"/>
                <w:color w:val="auto"/>
                <w:sz w:val="24"/>
                <w:szCs w:val="24"/>
                <w:lang w:val="en-US" w:eastAsia="zh-CN"/>
              </w:rPr>
              <w:t>8</w:t>
            </w:r>
            <w:bookmarkEnd w:id="131"/>
          </w:p>
        </w:tc>
        <w:tc>
          <w:tcPr>
            <w:tcW w:w="1057" w:type="dxa"/>
            <w:vMerge w:val="restart"/>
            <w:shd w:val="clear" w:color="auto" w:fill="auto"/>
            <w:vAlign w:val="center"/>
          </w:tcPr>
          <w:p w14:paraId="5DFBE9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32" w:name="_Toc8497"/>
            <w:r>
              <w:rPr>
                <w:rFonts w:hint="eastAsia" w:ascii="宋体" w:hAnsi="宋体" w:eastAsia="宋体" w:cs="宋体"/>
                <w:b w:val="0"/>
                <w:bCs w:val="0"/>
                <w:color w:val="auto"/>
                <w:sz w:val="24"/>
                <w:szCs w:val="24"/>
              </w:rPr>
              <w:t>劳动力、材料投入安排</w:t>
            </w:r>
            <w:bookmarkEnd w:id="132"/>
          </w:p>
        </w:tc>
        <w:tc>
          <w:tcPr>
            <w:tcW w:w="5996" w:type="dxa"/>
            <w:shd w:val="clear" w:color="auto" w:fill="auto"/>
            <w:vAlign w:val="center"/>
          </w:tcPr>
          <w:p w14:paraId="317E20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33" w:name="_Toc11417"/>
            <w:r>
              <w:rPr>
                <w:rFonts w:hint="eastAsia" w:ascii="宋体" w:hAnsi="宋体" w:eastAsia="宋体" w:cs="宋体"/>
                <w:b w:val="0"/>
                <w:bCs w:val="0"/>
                <w:color w:val="auto"/>
                <w:sz w:val="24"/>
                <w:szCs w:val="24"/>
              </w:rPr>
              <w:t>劳动力投入安排：根据安排的科学性、合理性，以及整体考虑的全面性，对采购项目实施的有利程度进行评审。（评审分值为3分或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33"/>
          </w:p>
        </w:tc>
        <w:tc>
          <w:tcPr>
            <w:tcW w:w="793" w:type="dxa"/>
            <w:shd w:val="clear" w:color="auto" w:fill="auto"/>
            <w:vAlign w:val="center"/>
          </w:tcPr>
          <w:p w14:paraId="7C5DC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038BDC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34" w:name="_Toc201"/>
            <w:r>
              <w:rPr>
                <w:rFonts w:hint="eastAsia" w:ascii="宋体" w:hAnsi="宋体" w:eastAsia="宋体" w:cs="宋体"/>
                <w:bCs/>
                <w:color w:val="auto"/>
                <w:sz w:val="24"/>
                <w:szCs w:val="24"/>
                <w:lang w:val="en-US" w:eastAsia="zh-CN"/>
              </w:rPr>
              <w:t>3</w:t>
            </w:r>
            <w:bookmarkEnd w:id="134"/>
          </w:p>
        </w:tc>
        <w:tc>
          <w:tcPr>
            <w:tcW w:w="1820" w:type="dxa"/>
            <w:vAlign w:val="center"/>
          </w:tcPr>
          <w:p w14:paraId="7C74F4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379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91813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shd w:val="clear" w:color="auto" w:fill="auto"/>
            <w:vAlign w:val="center"/>
          </w:tcPr>
          <w:p w14:paraId="13F1E9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shd w:val="clear" w:color="auto" w:fill="auto"/>
            <w:vAlign w:val="center"/>
          </w:tcPr>
          <w:p w14:paraId="7AB0E6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rPr>
            </w:pPr>
            <w:bookmarkStart w:id="135" w:name="_Toc27373"/>
            <w:r>
              <w:rPr>
                <w:rFonts w:hint="eastAsia" w:ascii="宋体" w:hAnsi="宋体" w:eastAsia="宋体" w:cs="宋体"/>
                <w:b w:val="0"/>
                <w:bCs w:val="0"/>
                <w:color w:val="auto"/>
                <w:sz w:val="24"/>
                <w:szCs w:val="24"/>
              </w:rPr>
              <w:t>材料投入安排：根据安排的科学性、合理性，以及整体考虑的全面性，对采购项目实施的有利程度进行评审。（评审分值为3分或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35"/>
          </w:p>
        </w:tc>
        <w:tc>
          <w:tcPr>
            <w:tcW w:w="793" w:type="dxa"/>
            <w:shd w:val="clear" w:color="auto" w:fill="auto"/>
            <w:vAlign w:val="center"/>
          </w:tcPr>
          <w:p w14:paraId="7678F5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lang w:val="en-US" w:eastAsia="zh-CN"/>
              </w:rPr>
            </w:pPr>
            <w:bookmarkStart w:id="136" w:name="_Toc23193"/>
            <w:r>
              <w:rPr>
                <w:rFonts w:hint="eastAsia" w:ascii="宋体" w:hAnsi="宋体" w:eastAsia="宋体" w:cs="宋体"/>
                <w:bCs/>
                <w:color w:val="auto"/>
                <w:sz w:val="24"/>
                <w:szCs w:val="24"/>
                <w:lang w:val="en-US" w:eastAsia="zh-CN"/>
              </w:rPr>
              <w:t>3</w:t>
            </w:r>
            <w:bookmarkEnd w:id="136"/>
          </w:p>
        </w:tc>
        <w:tc>
          <w:tcPr>
            <w:tcW w:w="1820" w:type="dxa"/>
            <w:vAlign w:val="center"/>
          </w:tcPr>
          <w:p w14:paraId="38B2BA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81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67" w:type="dxa"/>
            <w:vAlign w:val="center"/>
          </w:tcPr>
          <w:p w14:paraId="2FE0B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37" w:name="_Toc6847"/>
            <w:r>
              <w:rPr>
                <w:rFonts w:hint="eastAsia" w:ascii="宋体" w:hAnsi="宋体" w:eastAsia="宋体" w:cs="宋体"/>
                <w:color w:val="auto"/>
                <w:sz w:val="24"/>
                <w:szCs w:val="24"/>
                <w:lang w:val="en-US" w:eastAsia="zh-CN"/>
              </w:rPr>
              <w:t>9</w:t>
            </w:r>
            <w:bookmarkEnd w:id="137"/>
          </w:p>
        </w:tc>
        <w:tc>
          <w:tcPr>
            <w:tcW w:w="1057" w:type="dxa"/>
            <w:shd w:val="clear" w:color="auto" w:fill="auto"/>
            <w:vAlign w:val="center"/>
          </w:tcPr>
          <w:p w14:paraId="1054D7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38" w:name="_Toc8320"/>
            <w:r>
              <w:rPr>
                <w:rFonts w:hint="eastAsia" w:ascii="宋体" w:hAnsi="宋体" w:eastAsia="宋体" w:cs="宋体"/>
                <w:b w:val="0"/>
                <w:bCs w:val="0"/>
                <w:color w:val="auto"/>
                <w:sz w:val="24"/>
                <w:szCs w:val="24"/>
              </w:rPr>
              <w:t>施工材料选用</w:t>
            </w:r>
            <w:bookmarkEnd w:id="138"/>
          </w:p>
        </w:tc>
        <w:tc>
          <w:tcPr>
            <w:tcW w:w="5996" w:type="dxa"/>
            <w:shd w:val="clear" w:color="auto" w:fill="auto"/>
            <w:vAlign w:val="center"/>
          </w:tcPr>
          <w:p w14:paraId="667311D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39" w:name="_Toc8593"/>
            <w:r>
              <w:rPr>
                <w:rFonts w:hint="eastAsia" w:ascii="宋体" w:hAnsi="宋体" w:eastAsia="宋体" w:cs="宋体"/>
                <w:b w:val="0"/>
                <w:bCs w:val="0"/>
                <w:color w:val="auto"/>
                <w:sz w:val="24"/>
                <w:szCs w:val="24"/>
              </w:rPr>
              <w:t>施工材料选用、品牌情况；根据选用的施工材料对项目需求的满足程度，对项目实施的有利程度进行评审。（评审分值为</w:t>
            </w:r>
            <w:r>
              <w:rPr>
                <w:rFonts w:hint="eastAsia" w:ascii="宋体" w:hAnsi="宋体" w:eastAsia="宋体" w:cs="宋体"/>
                <w:b w:val="0"/>
                <w:bCs w:val="0"/>
                <w:color w:val="auto"/>
                <w:sz w:val="24"/>
                <w:szCs w:val="24"/>
                <w:lang w:val="en-US" w:eastAsia="zh-CN"/>
              </w:rPr>
              <w:t>5分或4分或3分或2分或1分或0分</w:t>
            </w:r>
            <w:r>
              <w:rPr>
                <w:rFonts w:hint="eastAsia" w:ascii="宋体" w:hAnsi="宋体" w:eastAsia="宋体" w:cs="宋体"/>
                <w:b w:val="0"/>
                <w:bCs w:val="0"/>
                <w:color w:val="auto"/>
                <w:sz w:val="24"/>
                <w:szCs w:val="24"/>
              </w:rPr>
              <w:t>）</w:t>
            </w:r>
            <w:bookmarkEnd w:id="139"/>
          </w:p>
        </w:tc>
        <w:tc>
          <w:tcPr>
            <w:tcW w:w="793" w:type="dxa"/>
            <w:shd w:val="clear" w:color="auto" w:fill="auto"/>
            <w:vAlign w:val="center"/>
          </w:tcPr>
          <w:p w14:paraId="5C6A57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44D77E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40" w:name="_Toc30870"/>
            <w:r>
              <w:rPr>
                <w:rFonts w:hint="eastAsia" w:ascii="宋体" w:hAnsi="宋体" w:eastAsia="宋体" w:cs="宋体"/>
                <w:bCs/>
                <w:color w:val="auto"/>
                <w:sz w:val="24"/>
                <w:szCs w:val="24"/>
                <w:lang w:val="en-US" w:eastAsia="zh-CN"/>
              </w:rPr>
              <w:t>5</w:t>
            </w:r>
            <w:bookmarkEnd w:id="140"/>
          </w:p>
        </w:tc>
        <w:tc>
          <w:tcPr>
            <w:tcW w:w="1820" w:type="dxa"/>
            <w:vAlign w:val="center"/>
          </w:tcPr>
          <w:p w14:paraId="1250CE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201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A547E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41" w:name="_Toc29006"/>
            <w:r>
              <w:rPr>
                <w:rFonts w:hint="eastAsia" w:ascii="宋体" w:hAnsi="宋体" w:eastAsia="宋体" w:cs="宋体"/>
                <w:color w:val="auto"/>
                <w:sz w:val="24"/>
                <w:szCs w:val="24"/>
                <w:lang w:val="en-US" w:eastAsia="zh-CN"/>
              </w:rPr>
              <w:t>10</w:t>
            </w:r>
            <w:bookmarkEnd w:id="141"/>
          </w:p>
        </w:tc>
        <w:tc>
          <w:tcPr>
            <w:tcW w:w="1057" w:type="dxa"/>
            <w:vMerge w:val="restart"/>
            <w:shd w:val="clear" w:color="auto" w:fill="auto"/>
            <w:vAlign w:val="center"/>
          </w:tcPr>
          <w:p w14:paraId="41B584B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42" w:name="_Toc10370"/>
            <w:r>
              <w:rPr>
                <w:rFonts w:hint="eastAsia" w:ascii="宋体" w:hAnsi="宋体" w:eastAsia="宋体" w:cs="宋体"/>
                <w:color w:val="auto"/>
                <w:sz w:val="24"/>
                <w:szCs w:val="24"/>
                <w:lang w:val="en-US" w:eastAsia="zh-CN"/>
              </w:rPr>
              <w:t>施工质量保障方案</w:t>
            </w:r>
            <w:bookmarkEnd w:id="142"/>
          </w:p>
        </w:tc>
        <w:tc>
          <w:tcPr>
            <w:tcW w:w="5996" w:type="dxa"/>
            <w:shd w:val="clear" w:color="auto" w:fill="auto"/>
            <w:vAlign w:val="center"/>
          </w:tcPr>
          <w:p w14:paraId="3DA795B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43" w:name="_Toc3780"/>
            <w:r>
              <w:rPr>
                <w:rFonts w:hint="eastAsia" w:ascii="宋体" w:hAnsi="宋体" w:eastAsia="宋体" w:cs="宋体"/>
                <w:b w:val="0"/>
                <w:bCs w:val="0"/>
                <w:color w:val="auto"/>
                <w:sz w:val="24"/>
                <w:szCs w:val="24"/>
              </w:rPr>
              <w:t>施工过程中</w:t>
            </w:r>
            <w:r>
              <w:rPr>
                <w:rFonts w:hint="eastAsia" w:ascii="宋体" w:hAnsi="宋体" w:eastAsia="宋体" w:cs="宋体"/>
                <w:b w:val="0"/>
                <w:bCs w:val="0"/>
                <w:color w:val="auto"/>
                <w:sz w:val="24"/>
                <w:szCs w:val="24"/>
                <w:lang w:val="en-US" w:eastAsia="zh-CN"/>
              </w:rPr>
              <w:t>质量</w:t>
            </w:r>
            <w:r>
              <w:rPr>
                <w:rFonts w:hint="eastAsia" w:ascii="宋体" w:hAnsi="宋体" w:eastAsia="宋体" w:cs="宋体"/>
                <w:b w:val="0"/>
                <w:bCs w:val="0"/>
                <w:color w:val="auto"/>
                <w:sz w:val="24"/>
                <w:szCs w:val="24"/>
              </w:rPr>
              <w:t>保障方案：根据方案的全面性、科学性、合理性进行评审。（评审分值为3分或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43"/>
          </w:p>
        </w:tc>
        <w:tc>
          <w:tcPr>
            <w:tcW w:w="793" w:type="dxa"/>
            <w:shd w:val="clear" w:color="auto" w:fill="auto"/>
            <w:vAlign w:val="center"/>
          </w:tcPr>
          <w:p w14:paraId="21C3F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179B75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44" w:name="_Toc10386"/>
            <w:r>
              <w:rPr>
                <w:rFonts w:hint="eastAsia" w:ascii="宋体" w:hAnsi="宋体" w:eastAsia="宋体" w:cs="宋体"/>
                <w:bCs/>
                <w:color w:val="auto"/>
                <w:sz w:val="24"/>
                <w:szCs w:val="24"/>
                <w:lang w:val="en-US" w:eastAsia="zh-CN"/>
              </w:rPr>
              <w:t>3</w:t>
            </w:r>
            <w:bookmarkEnd w:id="144"/>
          </w:p>
        </w:tc>
        <w:tc>
          <w:tcPr>
            <w:tcW w:w="1820" w:type="dxa"/>
            <w:vAlign w:val="center"/>
          </w:tcPr>
          <w:p w14:paraId="4697D2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52FC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vMerge w:val="continue"/>
            <w:vAlign w:val="center"/>
          </w:tcPr>
          <w:p w14:paraId="0F631D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shd w:val="clear" w:color="auto" w:fill="auto"/>
            <w:vAlign w:val="center"/>
          </w:tcPr>
          <w:p w14:paraId="05444E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shd w:val="clear" w:color="auto" w:fill="auto"/>
            <w:vAlign w:val="center"/>
          </w:tcPr>
          <w:p w14:paraId="0A6262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lang w:eastAsia="zh-CN"/>
              </w:rPr>
            </w:pPr>
            <w:bookmarkStart w:id="145" w:name="_Toc25818"/>
            <w:r>
              <w:rPr>
                <w:rFonts w:hint="eastAsia" w:ascii="宋体" w:hAnsi="宋体" w:eastAsia="宋体" w:cs="宋体"/>
                <w:b w:val="0"/>
                <w:bCs w:val="0"/>
                <w:color w:val="auto"/>
                <w:sz w:val="24"/>
                <w:szCs w:val="24"/>
              </w:rPr>
              <w:t>施工完毕后自检方案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根据方案的全面性、科学性、合理性进行评审。（评审分值为3分或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45"/>
          </w:p>
        </w:tc>
        <w:tc>
          <w:tcPr>
            <w:tcW w:w="793" w:type="dxa"/>
            <w:shd w:val="clear" w:color="auto" w:fill="auto"/>
            <w:vAlign w:val="center"/>
          </w:tcPr>
          <w:p w14:paraId="18749B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lang w:val="en-US" w:eastAsia="zh-CN"/>
              </w:rPr>
            </w:pPr>
            <w:bookmarkStart w:id="146" w:name="_Toc1183"/>
            <w:r>
              <w:rPr>
                <w:rFonts w:hint="eastAsia" w:ascii="宋体" w:hAnsi="宋体" w:eastAsia="宋体" w:cs="宋体"/>
                <w:bCs/>
                <w:color w:val="auto"/>
                <w:sz w:val="24"/>
                <w:szCs w:val="24"/>
                <w:lang w:val="en-US" w:eastAsia="zh-CN"/>
              </w:rPr>
              <w:t>3</w:t>
            </w:r>
            <w:bookmarkEnd w:id="146"/>
          </w:p>
        </w:tc>
        <w:tc>
          <w:tcPr>
            <w:tcW w:w="1820" w:type="dxa"/>
            <w:vAlign w:val="center"/>
          </w:tcPr>
          <w:p w14:paraId="60F67F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179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14:paraId="001FC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47" w:name="_Toc4709"/>
            <w:r>
              <w:rPr>
                <w:rFonts w:hint="eastAsia" w:ascii="宋体" w:hAnsi="宋体" w:eastAsia="宋体" w:cs="宋体"/>
                <w:color w:val="auto"/>
                <w:sz w:val="24"/>
                <w:szCs w:val="24"/>
                <w:lang w:val="en-US" w:eastAsia="zh-CN"/>
              </w:rPr>
              <w:t>11</w:t>
            </w:r>
            <w:bookmarkEnd w:id="147"/>
          </w:p>
        </w:tc>
        <w:tc>
          <w:tcPr>
            <w:tcW w:w="1057" w:type="dxa"/>
            <w:vMerge w:val="restart"/>
            <w:shd w:val="clear" w:color="auto" w:fill="auto"/>
            <w:vAlign w:val="center"/>
          </w:tcPr>
          <w:p w14:paraId="45F3DC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48" w:name="_Toc8449"/>
            <w:r>
              <w:rPr>
                <w:rFonts w:hint="eastAsia" w:ascii="宋体" w:hAnsi="宋体" w:eastAsia="宋体" w:cs="宋体"/>
                <w:color w:val="auto"/>
                <w:sz w:val="24"/>
                <w:szCs w:val="24"/>
                <w:lang w:val="en-US" w:eastAsia="zh-CN"/>
              </w:rPr>
              <w:t>安全文明施工</w:t>
            </w:r>
            <w:bookmarkEnd w:id="148"/>
          </w:p>
        </w:tc>
        <w:tc>
          <w:tcPr>
            <w:tcW w:w="5996" w:type="dxa"/>
            <w:shd w:val="clear" w:color="auto" w:fill="auto"/>
            <w:vAlign w:val="center"/>
          </w:tcPr>
          <w:p w14:paraId="3A1ADF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49" w:name="_Toc4052"/>
            <w:r>
              <w:rPr>
                <w:rFonts w:hint="eastAsia" w:ascii="宋体" w:hAnsi="宋体" w:eastAsia="宋体" w:cs="宋体"/>
                <w:b w:val="0"/>
                <w:bCs w:val="0"/>
                <w:color w:val="auto"/>
                <w:sz w:val="24"/>
                <w:szCs w:val="24"/>
              </w:rPr>
              <w:t>文明施工管理制：根据</w:t>
            </w:r>
            <w:r>
              <w:rPr>
                <w:rFonts w:hint="eastAsia" w:ascii="宋体" w:hAnsi="宋体" w:eastAsia="宋体" w:cs="宋体"/>
                <w:b w:val="0"/>
                <w:bCs w:val="0"/>
                <w:color w:val="auto"/>
                <w:sz w:val="24"/>
                <w:szCs w:val="24"/>
                <w:lang w:val="en-US" w:eastAsia="zh-CN"/>
              </w:rPr>
              <w:t>管理制度</w:t>
            </w:r>
            <w:r>
              <w:rPr>
                <w:rFonts w:hint="eastAsia" w:ascii="宋体" w:hAnsi="宋体" w:eastAsia="宋体" w:cs="宋体"/>
                <w:b w:val="0"/>
                <w:bCs w:val="0"/>
                <w:color w:val="auto"/>
                <w:sz w:val="24"/>
                <w:szCs w:val="24"/>
              </w:rPr>
              <w:t>的全面性、科学性、合理性进行评审。（评审分值为3分或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49"/>
          </w:p>
        </w:tc>
        <w:tc>
          <w:tcPr>
            <w:tcW w:w="793" w:type="dxa"/>
            <w:shd w:val="clear" w:color="auto" w:fill="auto"/>
            <w:vAlign w:val="center"/>
          </w:tcPr>
          <w:p w14:paraId="2CBB2B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6BA36F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50" w:name="_Toc27671"/>
            <w:r>
              <w:rPr>
                <w:rFonts w:hint="eastAsia" w:ascii="宋体" w:hAnsi="宋体" w:eastAsia="宋体" w:cs="宋体"/>
                <w:bCs/>
                <w:color w:val="auto"/>
                <w:sz w:val="24"/>
                <w:szCs w:val="24"/>
                <w:lang w:val="en-US" w:eastAsia="zh-CN"/>
              </w:rPr>
              <w:t>3</w:t>
            </w:r>
            <w:bookmarkEnd w:id="150"/>
          </w:p>
        </w:tc>
        <w:tc>
          <w:tcPr>
            <w:tcW w:w="1820" w:type="dxa"/>
            <w:vAlign w:val="center"/>
          </w:tcPr>
          <w:p w14:paraId="562B1B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02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207C45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shd w:val="clear" w:color="auto" w:fill="auto"/>
            <w:vAlign w:val="center"/>
          </w:tcPr>
          <w:p w14:paraId="7993BD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shd w:val="clear" w:color="auto" w:fill="auto"/>
            <w:vAlign w:val="center"/>
          </w:tcPr>
          <w:p w14:paraId="6C8286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rPr>
            </w:pPr>
            <w:bookmarkStart w:id="151" w:name="_Toc13064"/>
            <w:r>
              <w:rPr>
                <w:rFonts w:hint="eastAsia" w:ascii="宋体" w:hAnsi="宋体" w:eastAsia="宋体" w:cs="宋体"/>
                <w:b w:val="0"/>
                <w:bCs w:val="0"/>
                <w:color w:val="auto"/>
                <w:sz w:val="24"/>
                <w:szCs w:val="24"/>
              </w:rPr>
              <w:t>降噪文明施工保证措施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val="en-US" w:eastAsia="zh-CN"/>
              </w:rPr>
              <w:t>管理制度</w:t>
            </w:r>
            <w:r>
              <w:rPr>
                <w:rFonts w:hint="eastAsia" w:ascii="宋体" w:hAnsi="宋体" w:eastAsia="宋体" w:cs="宋体"/>
                <w:b w:val="0"/>
                <w:bCs w:val="0"/>
                <w:color w:val="auto"/>
                <w:sz w:val="24"/>
                <w:szCs w:val="24"/>
              </w:rPr>
              <w:t>的全面性、科学性、合理性进行评审。（评审分值为3分或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51"/>
          </w:p>
        </w:tc>
        <w:tc>
          <w:tcPr>
            <w:tcW w:w="793" w:type="dxa"/>
            <w:shd w:val="clear" w:color="auto" w:fill="auto"/>
            <w:vAlign w:val="center"/>
          </w:tcPr>
          <w:p w14:paraId="00ABC6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lang w:val="en-US" w:eastAsia="zh-CN"/>
              </w:rPr>
            </w:pPr>
            <w:bookmarkStart w:id="152" w:name="_Toc2361"/>
            <w:r>
              <w:rPr>
                <w:rFonts w:hint="eastAsia" w:ascii="宋体" w:hAnsi="宋体" w:eastAsia="宋体" w:cs="宋体"/>
                <w:bCs/>
                <w:color w:val="auto"/>
                <w:sz w:val="24"/>
                <w:szCs w:val="24"/>
                <w:lang w:val="en-US" w:eastAsia="zh-CN"/>
              </w:rPr>
              <w:t>3</w:t>
            </w:r>
            <w:bookmarkEnd w:id="152"/>
          </w:p>
        </w:tc>
        <w:tc>
          <w:tcPr>
            <w:tcW w:w="1820" w:type="dxa"/>
            <w:vAlign w:val="center"/>
          </w:tcPr>
          <w:p w14:paraId="78B77A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7A07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2045A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1057" w:type="dxa"/>
            <w:vMerge w:val="continue"/>
            <w:shd w:val="clear" w:color="auto" w:fill="auto"/>
            <w:vAlign w:val="center"/>
          </w:tcPr>
          <w:p w14:paraId="10B0B4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p>
        </w:tc>
        <w:tc>
          <w:tcPr>
            <w:tcW w:w="5996" w:type="dxa"/>
            <w:shd w:val="clear" w:color="auto" w:fill="auto"/>
            <w:vAlign w:val="center"/>
          </w:tcPr>
          <w:p w14:paraId="194703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sz w:val="24"/>
                <w:szCs w:val="24"/>
                <w:lang w:eastAsia="zh-CN"/>
              </w:rPr>
            </w:pPr>
            <w:bookmarkStart w:id="153" w:name="_Toc2828"/>
            <w:r>
              <w:rPr>
                <w:rFonts w:hint="eastAsia" w:ascii="宋体" w:hAnsi="宋体" w:eastAsia="宋体" w:cs="宋体"/>
                <w:b w:val="0"/>
                <w:bCs w:val="0"/>
                <w:color w:val="auto"/>
                <w:sz w:val="24"/>
                <w:szCs w:val="24"/>
              </w:rPr>
              <w:t>防尘文明施工保证措施等措施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val="en-US" w:eastAsia="zh-CN"/>
              </w:rPr>
              <w:t>管理制度</w:t>
            </w:r>
            <w:r>
              <w:rPr>
                <w:rFonts w:hint="eastAsia" w:ascii="宋体" w:hAnsi="宋体" w:eastAsia="宋体" w:cs="宋体"/>
                <w:b w:val="0"/>
                <w:bCs w:val="0"/>
                <w:color w:val="auto"/>
                <w:sz w:val="24"/>
                <w:szCs w:val="24"/>
              </w:rPr>
              <w:t>的全面性、科学性、合理性进行评审。（评审分值为3分或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53"/>
          </w:p>
        </w:tc>
        <w:tc>
          <w:tcPr>
            <w:tcW w:w="793" w:type="dxa"/>
            <w:shd w:val="clear" w:color="auto" w:fill="auto"/>
            <w:vAlign w:val="center"/>
          </w:tcPr>
          <w:p w14:paraId="411E08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sz w:val="24"/>
                <w:szCs w:val="24"/>
                <w:lang w:val="en-US" w:eastAsia="zh-CN"/>
              </w:rPr>
            </w:pPr>
            <w:bookmarkStart w:id="154" w:name="_Toc10251"/>
            <w:r>
              <w:rPr>
                <w:rFonts w:hint="eastAsia" w:ascii="宋体" w:hAnsi="宋体" w:eastAsia="宋体" w:cs="宋体"/>
                <w:bCs/>
                <w:color w:val="auto"/>
                <w:sz w:val="24"/>
                <w:szCs w:val="24"/>
                <w:lang w:val="en-US" w:eastAsia="zh-CN"/>
              </w:rPr>
              <w:t>3</w:t>
            </w:r>
            <w:bookmarkEnd w:id="154"/>
          </w:p>
        </w:tc>
        <w:tc>
          <w:tcPr>
            <w:tcW w:w="1820" w:type="dxa"/>
            <w:vAlign w:val="center"/>
          </w:tcPr>
          <w:p w14:paraId="354D22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481F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CC8FA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55" w:name="_Toc6808"/>
            <w:r>
              <w:rPr>
                <w:rFonts w:hint="eastAsia" w:ascii="宋体" w:hAnsi="宋体" w:eastAsia="宋体" w:cs="宋体"/>
                <w:color w:val="auto"/>
                <w:sz w:val="24"/>
                <w:szCs w:val="24"/>
                <w:lang w:val="en-US" w:eastAsia="zh-CN"/>
              </w:rPr>
              <w:t>12</w:t>
            </w:r>
            <w:bookmarkEnd w:id="155"/>
          </w:p>
        </w:tc>
        <w:tc>
          <w:tcPr>
            <w:tcW w:w="1057" w:type="dxa"/>
            <w:shd w:val="clear" w:color="auto" w:fill="auto"/>
            <w:vAlign w:val="center"/>
          </w:tcPr>
          <w:p w14:paraId="072945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lang w:val="en-US" w:eastAsia="zh-CN"/>
              </w:rPr>
            </w:pPr>
            <w:bookmarkStart w:id="156" w:name="_Toc4996"/>
            <w:r>
              <w:rPr>
                <w:rFonts w:hint="eastAsia" w:ascii="宋体" w:hAnsi="宋体" w:eastAsia="宋体" w:cs="宋体"/>
                <w:b w:val="0"/>
                <w:bCs w:val="0"/>
                <w:color w:val="auto"/>
                <w:sz w:val="24"/>
                <w:szCs w:val="24"/>
              </w:rPr>
              <w:t>保障正常教学</w:t>
            </w:r>
            <w:r>
              <w:rPr>
                <w:rFonts w:hint="eastAsia" w:ascii="宋体" w:hAnsi="宋体" w:eastAsia="宋体" w:cs="宋体"/>
                <w:b w:val="0"/>
                <w:bCs w:val="0"/>
                <w:color w:val="auto"/>
                <w:sz w:val="24"/>
                <w:szCs w:val="24"/>
                <w:lang w:val="en-US" w:eastAsia="zh-CN"/>
              </w:rPr>
              <w:t>措施</w:t>
            </w:r>
            <w:bookmarkEnd w:id="156"/>
          </w:p>
        </w:tc>
        <w:tc>
          <w:tcPr>
            <w:tcW w:w="5996" w:type="dxa"/>
            <w:shd w:val="clear" w:color="auto" w:fill="auto"/>
            <w:vAlign w:val="center"/>
          </w:tcPr>
          <w:p w14:paraId="6888625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57" w:name="_Toc28533"/>
            <w:r>
              <w:rPr>
                <w:rFonts w:hint="eastAsia" w:ascii="宋体" w:hAnsi="宋体" w:eastAsia="宋体" w:cs="宋体"/>
                <w:b w:val="0"/>
                <w:bCs w:val="0"/>
                <w:color w:val="auto"/>
                <w:sz w:val="24"/>
                <w:szCs w:val="24"/>
              </w:rPr>
              <w:t>实施过程中保障学校正常教学生活秩序措施：根据措施的全面性、科学性、合理性进行评审。（评审分值为</w:t>
            </w:r>
            <w:r>
              <w:rPr>
                <w:rFonts w:hint="eastAsia" w:ascii="宋体" w:hAnsi="宋体" w:eastAsia="宋体" w:cs="宋体"/>
                <w:b w:val="0"/>
                <w:bCs w:val="0"/>
                <w:color w:val="auto"/>
                <w:sz w:val="24"/>
                <w:szCs w:val="24"/>
                <w:lang w:val="en-US" w:eastAsia="zh-CN"/>
              </w:rPr>
              <w:t>4分或3.5分或</w:t>
            </w:r>
            <w:r>
              <w:rPr>
                <w:rFonts w:hint="eastAsia" w:ascii="宋体" w:hAnsi="宋体" w:eastAsia="宋体" w:cs="宋体"/>
                <w:b w:val="0"/>
                <w:bCs w:val="0"/>
                <w:color w:val="auto"/>
                <w:sz w:val="24"/>
                <w:szCs w:val="24"/>
              </w:rPr>
              <w:t>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57"/>
          </w:p>
        </w:tc>
        <w:tc>
          <w:tcPr>
            <w:tcW w:w="793" w:type="dxa"/>
            <w:shd w:val="clear" w:color="auto" w:fill="auto"/>
            <w:vAlign w:val="center"/>
          </w:tcPr>
          <w:p w14:paraId="15A4A3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5CDD34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58" w:name="_Toc7730"/>
            <w:r>
              <w:rPr>
                <w:rFonts w:hint="eastAsia" w:ascii="宋体" w:hAnsi="宋体" w:eastAsia="宋体" w:cs="宋体"/>
                <w:bCs/>
                <w:color w:val="auto"/>
                <w:sz w:val="24"/>
                <w:szCs w:val="24"/>
                <w:lang w:val="en-US" w:eastAsia="zh-CN"/>
              </w:rPr>
              <w:t>4</w:t>
            </w:r>
            <w:bookmarkEnd w:id="158"/>
          </w:p>
        </w:tc>
        <w:tc>
          <w:tcPr>
            <w:tcW w:w="1820" w:type="dxa"/>
            <w:vAlign w:val="center"/>
          </w:tcPr>
          <w:p w14:paraId="087197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28BC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7" w:type="dxa"/>
            <w:vAlign w:val="center"/>
          </w:tcPr>
          <w:p w14:paraId="6B4D555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59" w:name="_Toc17985"/>
            <w:r>
              <w:rPr>
                <w:rFonts w:hint="eastAsia" w:ascii="宋体" w:hAnsi="宋体" w:eastAsia="宋体" w:cs="宋体"/>
                <w:color w:val="auto"/>
                <w:sz w:val="24"/>
                <w:szCs w:val="24"/>
                <w:lang w:val="en-US" w:eastAsia="zh-CN"/>
              </w:rPr>
              <w:t>13</w:t>
            </w:r>
            <w:bookmarkEnd w:id="159"/>
          </w:p>
        </w:tc>
        <w:tc>
          <w:tcPr>
            <w:tcW w:w="1057" w:type="dxa"/>
            <w:shd w:val="clear" w:color="auto" w:fill="auto"/>
            <w:vAlign w:val="center"/>
          </w:tcPr>
          <w:p w14:paraId="46CB865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60" w:name="_Toc32116"/>
            <w:r>
              <w:rPr>
                <w:rFonts w:hint="eastAsia" w:ascii="宋体" w:hAnsi="宋体" w:eastAsia="宋体" w:cs="宋体"/>
                <w:color w:val="auto"/>
                <w:sz w:val="24"/>
                <w:szCs w:val="24"/>
                <w:lang w:val="en-US" w:eastAsia="zh-CN"/>
              </w:rPr>
              <w:t>服务承诺</w:t>
            </w:r>
            <w:bookmarkEnd w:id="160"/>
          </w:p>
        </w:tc>
        <w:tc>
          <w:tcPr>
            <w:tcW w:w="5996" w:type="dxa"/>
            <w:shd w:val="clear" w:color="auto" w:fill="auto"/>
            <w:vAlign w:val="center"/>
          </w:tcPr>
          <w:p w14:paraId="62084E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61" w:name="_Toc9512"/>
            <w:r>
              <w:rPr>
                <w:rFonts w:hint="eastAsia" w:ascii="宋体" w:hAnsi="宋体" w:eastAsia="宋体" w:cs="宋体"/>
                <w:b w:val="0"/>
                <w:bCs w:val="0"/>
                <w:color w:val="auto"/>
                <w:sz w:val="24"/>
                <w:szCs w:val="24"/>
              </w:rPr>
              <w:t>服从采购人协调和统一管理及配合措施、特殊服务承诺情况：根据措施的全面性、科学性、合理性以及服务承诺对采购项目的有利程度进行评审。（评审分值为3分或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61"/>
          </w:p>
        </w:tc>
        <w:tc>
          <w:tcPr>
            <w:tcW w:w="793" w:type="dxa"/>
            <w:shd w:val="clear" w:color="auto" w:fill="auto"/>
            <w:vAlign w:val="center"/>
          </w:tcPr>
          <w:p w14:paraId="7D3D8D0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05A173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62" w:name="_Toc29645"/>
            <w:r>
              <w:rPr>
                <w:rFonts w:hint="eastAsia" w:ascii="宋体" w:hAnsi="宋体" w:eastAsia="宋体" w:cs="宋体"/>
                <w:bCs/>
                <w:color w:val="auto"/>
                <w:sz w:val="24"/>
                <w:szCs w:val="24"/>
                <w:lang w:val="en-US" w:eastAsia="zh-CN"/>
              </w:rPr>
              <w:t>3</w:t>
            </w:r>
            <w:bookmarkEnd w:id="162"/>
          </w:p>
        </w:tc>
        <w:tc>
          <w:tcPr>
            <w:tcW w:w="1820" w:type="dxa"/>
            <w:vAlign w:val="center"/>
          </w:tcPr>
          <w:p w14:paraId="04CE4A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1B8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CBD5F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63" w:name="_Toc28044"/>
            <w:r>
              <w:rPr>
                <w:rFonts w:hint="eastAsia" w:ascii="宋体" w:hAnsi="宋体" w:eastAsia="宋体" w:cs="宋体"/>
                <w:color w:val="auto"/>
                <w:sz w:val="24"/>
                <w:szCs w:val="24"/>
                <w:lang w:val="en-US" w:eastAsia="zh-CN"/>
              </w:rPr>
              <w:t>14</w:t>
            </w:r>
            <w:bookmarkEnd w:id="163"/>
          </w:p>
        </w:tc>
        <w:tc>
          <w:tcPr>
            <w:tcW w:w="1057" w:type="dxa"/>
            <w:shd w:val="clear" w:color="auto" w:fill="auto"/>
            <w:vAlign w:val="center"/>
          </w:tcPr>
          <w:p w14:paraId="7521F6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64" w:name="_Toc27255"/>
            <w:r>
              <w:rPr>
                <w:rFonts w:hint="eastAsia" w:ascii="宋体" w:hAnsi="宋体" w:eastAsia="宋体" w:cs="宋体"/>
                <w:color w:val="auto"/>
                <w:sz w:val="24"/>
                <w:szCs w:val="24"/>
                <w:lang w:val="en-US" w:eastAsia="zh-CN"/>
              </w:rPr>
              <w:t>到位率承诺</w:t>
            </w:r>
            <w:bookmarkEnd w:id="164"/>
          </w:p>
        </w:tc>
        <w:tc>
          <w:tcPr>
            <w:tcW w:w="5996" w:type="dxa"/>
            <w:shd w:val="clear" w:color="auto" w:fill="auto"/>
            <w:vAlign w:val="center"/>
          </w:tcPr>
          <w:p w14:paraId="6EE890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65" w:name="_Toc9132"/>
            <w:r>
              <w:rPr>
                <w:rFonts w:hint="eastAsia" w:ascii="宋体" w:hAnsi="宋体" w:eastAsia="宋体" w:cs="宋体"/>
                <w:b w:val="0"/>
                <w:bCs w:val="0"/>
                <w:color w:val="auto"/>
                <w:sz w:val="24"/>
                <w:szCs w:val="24"/>
              </w:rPr>
              <w:t>项目经理承诺到位率。承诺到位率达到达到</w:t>
            </w:r>
            <w:r>
              <w:rPr>
                <w:rFonts w:hint="eastAsia" w:ascii="宋体" w:hAnsi="宋体" w:eastAsia="宋体" w:cs="宋体"/>
                <w:b w:val="0"/>
                <w:bCs w:val="0"/>
                <w:color w:val="auto"/>
                <w:sz w:val="24"/>
                <w:szCs w:val="24"/>
                <w:lang w:val="en-US" w:eastAsia="zh-CN"/>
              </w:rPr>
              <w:t>80</w:t>
            </w:r>
            <w:r>
              <w:rPr>
                <w:rFonts w:hint="eastAsia" w:ascii="宋体" w:hAnsi="宋体" w:eastAsia="宋体" w:cs="宋体"/>
                <w:b w:val="0"/>
                <w:bCs w:val="0"/>
                <w:color w:val="auto"/>
                <w:sz w:val="24"/>
                <w:szCs w:val="24"/>
              </w:rPr>
              <w:t>%的，得1分；达到</w:t>
            </w:r>
            <w:r>
              <w:rPr>
                <w:rFonts w:hint="eastAsia" w:ascii="宋体" w:hAnsi="宋体" w:eastAsia="宋体" w:cs="宋体"/>
                <w:b w:val="0"/>
                <w:bCs w:val="0"/>
                <w:color w:val="auto"/>
                <w:sz w:val="24"/>
                <w:szCs w:val="24"/>
                <w:lang w:val="en-US" w:eastAsia="zh-CN"/>
              </w:rPr>
              <w:t>90</w:t>
            </w:r>
            <w:r>
              <w:rPr>
                <w:rFonts w:hint="eastAsia" w:ascii="宋体" w:hAnsi="宋体" w:eastAsia="宋体" w:cs="宋体"/>
                <w:b w:val="0"/>
                <w:bCs w:val="0"/>
                <w:color w:val="auto"/>
                <w:sz w:val="24"/>
                <w:szCs w:val="24"/>
              </w:rPr>
              <w:t>%及以上的，得2分。</w:t>
            </w:r>
            <w:bookmarkEnd w:id="165"/>
          </w:p>
        </w:tc>
        <w:tc>
          <w:tcPr>
            <w:tcW w:w="793" w:type="dxa"/>
            <w:shd w:val="clear" w:color="auto" w:fill="auto"/>
            <w:vAlign w:val="center"/>
          </w:tcPr>
          <w:p w14:paraId="23F96BC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66" w:name="_Toc23773"/>
            <w:r>
              <w:rPr>
                <w:rFonts w:hint="eastAsia" w:ascii="宋体" w:hAnsi="宋体" w:eastAsia="宋体" w:cs="宋体"/>
                <w:bCs/>
                <w:color w:val="auto"/>
                <w:sz w:val="24"/>
                <w:szCs w:val="24"/>
                <w:lang w:val="en-US" w:eastAsia="zh-CN"/>
              </w:rPr>
              <w:t>2</w:t>
            </w:r>
            <w:bookmarkEnd w:id="166"/>
          </w:p>
        </w:tc>
        <w:tc>
          <w:tcPr>
            <w:tcW w:w="1820" w:type="dxa"/>
            <w:vAlign w:val="center"/>
          </w:tcPr>
          <w:p w14:paraId="5ED87F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553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1EED2B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67" w:name="_Toc25804"/>
            <w:r>
              <w:rPr>
                <w:rFonts w:hint="eastAsia" w:ascii="宋体" w:hAnsi="宋体" w:eastAsia="宋体" w:cs="宋体"/>
                <w:color w:val="auto"/>
                <w:sz w:val="24"/>
                <w:szCs w:val="24"/>
                <w:lang w:val="en-US" w:eastAsia="zh-CN"/>
              </w:rPr>
              <w:t>15</w:t>
            </w:r>
            <w:bookmarkEnd w:id="167"/>
          </w:p>
        </w:tc>
        <w:tc>
          <w:tcPr>
            <w:tcW w:w="1057" w:type="dxa"/>
            <w:shd w:val="clear" w:color="auto" w:fill="auto"/>
            <w:vAlign w:val="center"/>
          </w:tcPr>
          <w:p w14:paraId="7D209C6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68" w:name="_Toc19627"/>
            <w:r>
              <w:rPr>
                <w:rFonts w:hint="eastAsia" w:ascii="宋体" w:hAnsi="宋体" w:eastAsia="宋体" w:cs="宋体"/>
                <w:color w:val="auto"/>
                <w:sz w:val="24"/>
                <w:szCs w:val="24"/>
                <w:lang w:val="en-US" w:eastAsia="zh-CN"/>
              </w:rPr>
              <w:t>主要服务人员</w:t>
            </w:r>
            <w:bookmarkEnd w:id="168"/>
          </w:p>
        </w:tc>
        <w:tc>
          <w:tcPr>
            <w:tcW w:w="5996" w:type="dxa"/>
            <w:shd w:val="clear" w:color="auto" w:fill="auto"/>
            <w:vAlign w:val="center"/>
          </w:tcPr>
          <w:p w14:paraId="695A0C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69" w:name="_Toc1909"/>
            <w:r>
              <w:rPr>
                <w:rFonts w:hint="eastAsia" w:ascii="宋体" w:hAnsi="宋体" w:eastAsia="宋体" w:cs="宋体"/>
                <w:b w:val="0"/>
                <w:bCs w:val="0"/>
                <w:color w:val="auto"/>
                <w:sz w:val="24"/>
                <w:szCs w:val="24"/>
              </w:rPr>
              <w:t>项目管理班子其他人员配置：技术负责人、安全员、施工员、质量员、材料员、资料员、预算员，配置齐全的，得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分，每缺一项扣1分，本项分值扣完为止。需提供上述人员相应证书及在本单位缴纳社保的证明材料（开标前三月任意一月社保缴纳证明）</w:t>
            </w:r>
            <w:bookmarkEnd w:id="169"/>
          </w:p>
        </w:tc>
        <w:tc>
          <w:tcPr>
            <w:tcW w:w="793" w:type="dxa"/>
            <w:shd w:val="clear" w:color="auto" w:fill="auto"/>
            <w:vAlign w:val="center"/>
          </w:tcPr>
          <w:p w14:paraId="26B2E9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70" w:name="_Toc27539"/>
            <w:r>
              <w:rPr>
                <w:rFonts w:hint="eastAsia" w:ascii="宋体" w:hAnsi="宋体" w:eastAsia="宋体" w:cs="宋体"/>
                <w:bCs/>
                <w:color w:val="auto"/>
                <w:sz w:val="24"/>
                <w:szCs w:val="24"/>
                <w:lang w:val="en-US" w:eastAsia="zh-CN"/>
              </w:rPr>
              <w:t>5</w:t>
            </w:r>
            <w:bookmarkEnd w:id="170"/>
          </w:p>
        </w:tc>
        <w:tc>
          <w:tcPr>
            <w:tcW w:w="1820" w:type="dxa"/>
            <w:vAlign w:val="center"/>
          </w:tcPr>
          <w:p w14:paraId="0CC304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550B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DE889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71" w:name="_Toc32442"/>
            <w:r>
              <w:rPr>
                <w:rFonts w:hint="eastAsia" w:ascii="宋体" w:hAnsi="宋体" w:eastAsia="宋体" w:cs="宋体"/>
                <w:color w:val="auto"/>
                <w:sz w:val="24"/>
                <w:szCs w:val="24"/>
                <w:lang w:val="en-US" w:eastAsia="zh-CN"/>
              </w:rPr>
              <w:t>16</w:t>
            </w:r>
            <w:bookmarkEnd w:id="171"/>
          </w:p>
        </w:tc>
        <w:tc>
          <w:tcPr>
            <w:tcW w:w="1057" w:type="dxa"/>
            <w:shd w:val="clear" w:color="auto" w:fill="auto"/>
            <w:vAlign w:val="center"/>
          </w:tcPr>
          <w:p w14:paraId="4435728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72" w:name="_Toc20468"/>
            <w:r>
              <w:rPr>
                <w:rFonts w:hint="eastAsia" w:ascii="宋体" w:hAnsi="宋体" w:eastAsia="宋体" w:cs="宋体"/>
                <w:b w:val="0"/>
                <w:bCs w:val="0"/>
                <w:color w:val="auto"/>
                <w:sz w:val="24"/>
                <w:szCs w:val="24"/>
              </w:rPr>
              <w:t>突发事件</w:t>
            </w:r>
            <w:r>
              <w:rPr>
                <w:rFonts w:hint="eastAsia" w:ascii="宋体" w:hAnsi="宋体" w:eastAsia="宋体" w:cs="宋体"/>
                <w:b w:val="0"/>
                <w:bCs w:val="0"/>
                <w:color w:val="auto"/>
                <w:sz w:val="24"/>
                <w:szCs w:val="24"/>
                <w:lang w:val="en-US" w:eastAsia="zh-CN"/>
              </w:rPr>
              <w:t>处理方案</w:t>
            </w:r>
            <w:bookmarkEnd w:id="172"/>
          </w:p>
        </w:tc>
        <w:tc>
          <w:tcPr>
            <w:tcW w:w="5996" w:type="dxa"/>
            <w:shd w:val="clear" w:color="auto" w:fill="auto"/>
            <w:vAlign w:val="center"/>
          </w:tcPr>
          <w:p w14:paraId="6181A1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73" w:name="_Toc8362"/>
            <w:r>
              <w:rPr>
                <w:rFonts w:hint="eastAsia" w:ascii="宋体" w:hAnsi="宋体" w:eastAsia="宋体" w:cs="宋体"/>
                <w:b w:val="0"/>
                <w:bCs w:val="0"/>
                <w:color w:val="auto"/>
                <w:sz w:val="24"/>
                <w:szCs w:val="24"/>
              </w:rPr>
              <w:t>突发事件应急措施及处理方案：根据方案的针对性、科学性、可行性进行评审。（评审分值为3分或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73"/>
          </w:p>
        </w:tc>
        <w:tc>
          <w:tcPr>
            <w:tcW w:w="793" w:type="dxa"/>
            <w:shd w:val="clear" w:color="auto" w:fill="auto"/>
            <w:vAlign w:val="center"/>
          </w:tcPr>
          <w:p w14:paraId="16AC823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50304E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74" w:name="_Toc29704"/>
            <w:r>
              <w:rPr>
                <w:rFonts w:hint="eastAsia" w:ascii="宋体" w:hAnsi="宋体" w:eastAsia="宋体" w:cs="宋体"/>
                <w:bCs/>
                <w:color w:val="auto"/>
                <w:sz w:val="24"/>
                <w:szCs w:val="24"/>
                <w:lang w:val="en-US" w:eastAsia="zh-CN"/>
              </w:rPr>
              <w:t>3</w:t>
            </w:r>
            <w:bookmarkEnd w:id="174"/>
          </w:p>
        </w:tc>
        <w:tc>
          <w:tcPr>
            <w:tcW w:w="1820" w:type="dxa"/>
            <w:vAlign w:val="center"/>
          </w:tcPr>
          <w:p w14:paraId="49EA6E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603F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4533EE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75" w:name="_Toc12636"/>
            <w:r>
              <w:rPr>
                <w:rFonts w:hint="eastAsia" w:ascii="宋体" w:hAnsi="宋体" w:eastAsia="宋体" w:cs="宋体"/>
                <w:color w:val="auto"/>
                <w:sz w:val="24"/>
                <w:szCs w:val="24"/>
                <w:lang w:val="en-US" w:eastAsia="zh-CN"/>
              </w:rPr>
              <w:t>17</w:t>
            </w:r>
            <w:bookmarkEnd w:id="175"/>
          </w:p>
        </w:tc>
        <w:tc>
          <w:tcPr>
            <w:tcW w:w="1057" w:type="dxa"/>
            <w:shd w:val="clear" w:color="auto" w:fill="auto"/>
            <w:vAlign w:val="center"/>
          </w:tcPr>
          <w:p w14:paraId="69F1BB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color w:val="auto"/>
                <w:kern w:val="2"/>
                <w:sz w:val="24"/>
                <w:szCs w:val="24"/>
                <w:lang w:val="en-US" w:eastAsia="zh-CN" w:bidi="ar-SA"/>
              </w:rPr>
            </w:pPr>
            <w:bookmarkStart w:id="176" w:name="_Toc31563"/>
            <w:r>
              <w:rPr>
                <w:rFonts w:hint="eastAsia" w:ascii="宋体" w:hAnsi="宋体" w:eastAsia="宋体" w:cs="宋体"/>
                <w:color w:val="auto"/>
                <w:sz w:val="24"/>
                <w:szCs w:val="24"/>
                <w:lang w:val="en-US" w:eastAsia="zh-CN"/>
              </w:rPr>
              <w:t>保修服务</w:t>
            </w:r>
            <w:bookmarkEnd w:id="176"/>
          </w:p>
        </w:tc>
        <w:tc>
          <w:tcPr>
            <w:tcW w:w="5996" w:type="dxa"/>
            <w:shd w:val="clear" w:color="auto" w:fill="auto"/>
            <w:vAlign w:val="center"/>
          </w:tcPr>
          <w:p w14:paraId="6E49C3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textAlignment w:val="auto"/>
              <w:outlineLvl w:val="0"/>
              <w:rPr>
                <w:rFonts w:hint="eastAsia" w:ascii="宋体" w:hAnsi="宋体" w:eastAsia="宋体" w:cs="宋体"/>
                <w:b w:val="0"/>
                <w:bCs w:val="0"/>
                <w:color w:val="auto"/>
                <w:kern w:val="2"/>
                <w:sz w:val="24"/>
                <w:szCs w:val="24"/>
                <w:lang w:val="en-US" w:eastAsia="zh-CN" w:bidi="ar-SA"/>
              </w:rPr>
            </w:pPr>
            <w:bookmarkStart w:id="177" w:name="_Toc24364"/>
            <w:r>
              <w:rPr>
                <w:rFonts w:hint="eastAsia" w:ascii="宋体" w:hAnsi="宋体" w:eastAsia="宋体" w:cs="宋体"/>
                <w:b w:val="0"/>
                <w:bCs w:val="0"/>
                <w:color w:val="auto"/>
                <w:sz w:val="24"/>
                <w:szCs w:val="24"/>
              </w:rPr>
              <w:t>工程保修期、维护响应时间：根据工程保修期承诺情况以及保修期内维护响应时间的及时性、合理性进行评审。（评审分值为</w:t>
            </w:r>
            <w:r>
              <w:rPr>
                <w:rFonts w:hint="eastAsia" w:ascii="宋体" w:hAnsi="宋体" w:eastAsia="宋体" w:cs="宋体"/>
                <w:b w:val="0"/>
                <w:bCs w:val="0"/>
                <w:color w:val="auto"/>
                <w:sz w:val="24"/>
                <w:szCs w:val="24"/>
                <w:lang w:val="en-US" w:eastAsia="zh-CN"/>
              </w:rPr>
              <w:t>4分或3.5分或</w:t>
            </w:r>
            <w:r>
              <w:rPr>
                <w:rFonts w:hint="eastAsia" w:ascii="宋体" w:hAnsi="宋体" w:eastAsia="宋体" w:cs="宋体"/>
                <w:b w:val="0"/>
                <w:bCs w:val="0"/>
                <w:color w:val="auto"/>
                <w:sz w:val="24"/>
                <w:szCs w:val="24"/>
              </w:rPr>
              <w:t>3分或</w:t>
            </w:r>
            <w:r>
              <w:rPr>
                <w:rFonts w:hint="eastAsia" w:ascii="宋体" w:hAnsi="宋体" w:eastAsia="宋体" w:cs="宋体"/>
                <w:b w:val="0"/>
                <w:bCs w:val="0"/>
                <w:color w:val="auto"/>
                <w:sz w:val="24"/>
                <w:szCs w:val="24"/>
                <w:lang w:val="en-US" w:eastAsia="zh-CN"/>
              </w:rPr>
              <w:t>2.5分或</w:t>
            </w:r>
            <w:r>
              <w:rPr>
                <w:rFonts w:hint="eastAsia" w:ascii="宋体" w:hAnsi="宋体" w:eastAsia="宋体" w:cs="宋体"/>
                <w:b w:val="0"/>
                <w:bCs w:val="0"/>
                <w:color w:val="auto"/>
                <w:sz w:val="24"/>
                <w:szCs w:val="24"/>
              </w:rPr>
              <w:t>2分或</w:t>
            </w:r>
            <w:r>
              <w:rPr>
                <w:rFonts w:hint="eastAsia" w:ascii="宋体" w:hAnsi="宋体" w:eastAsia="宋体" w:cs="宋体"/>
                <w:b w:val="0"/>
                <w:bCs w:val="0"/>
                <w:color w:val="auto"/>
                <w:sz w:val="24"/>
                <w:szCs w:val="24"/>
                <w:lang w:val="en-US" w:eastAsia="zh-CN"/>
              </w:rPr>
              <w:t>1.5分或</w:t>
            </w:r>
            <w:r>
              <w:rPr>
                <w:rFonts w:hint="eastAsia" w:ascii="宋体" w:hAnsi="宋体" w:eastAsia="宋体" w:cs="宋体"/>
                <w:b w:val="0"/>
                <w:bCs w:val="0"/>
                <w:color w:val="auto"/>
                <w:sz w:val="24"/>
                <w:szCs w:val="24"/>
              </w:rPr>
              <w:t>1分或</w:t>
            </w:r>
            <w:r>
              <w:rPr>
                <w:rFonts w:hint="eastAsia" w:ascii="宋体" w:hAnsi="宋体" w:eastAsia="宋体" w:cs="宋体"/>
                <w:b w:val="0"/>
                <w:bCs w:val="0"/>
                <w:color w:val="auto"/>
                <w:sz w:val="24"/>
                <w:szCs w:val="24"/>
                <w:lang w:val="en-US" w:eastAsia="zh-CN"/>
              </w:rPr>
              <w:t>0.5分或</w:t>
            </w:r>
            <w:r>
              <w:rPr>
                <w:rFonts w:hint="eastAsia" w:ascii="宋体" w:hAnsi="宋体" w:eastAsia="宋体" w:cs="宋体"/>
                <w:b w:val="0"/>
                <w:bCs w:val="0"/>
                <w:color w:val="auto"/>
                <w:sz w:val="24"/>
                <w:szCs w:val="24"/>
              </w:rPr>
              <w:t>0分）</w:t>
            </w:r>
            <w:bookmarkEnd w:id="177"/>
          </w:p>
        </w:tc>
        <w:tc>
          <w:tcPr>
            <w:tcW w:w="793" w:type="dxa"/>
            <w:shd w:val="clear" w:color="auto" w:fill="auto"/>
            <w:vAlign w:val="center"/>
          </w:tcPr>
          <w:p w14:paraId="4A7225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bCs/>
                <w:color w:val="auto"/>
                <w:sz w:val="24"/>
                <w:szCs w:val="24"/>
                <w:lang w:val="en-US" w:eastAsia="zh-CN"/>
              </w:rPr>
            </w:pPr>
          </w:p>
          <w:p w14:paraId="53E7E5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outlineLvl w:val="0"/>
              <w:rPr>
                <w:rFonts w:hint="default" w:ascii="宋体" w:hAnsi="宋体" w:eastAsia="宋体" w:cs="宋体"/>
                <w:bCs/>
                <w:color w:val="auto"/>
                <w:kern w:val="2"/>
                <w:sz w:val="24"/>
                <w:szCs w:val="24"/>
                <w:lang w:val="en-US" w:eastAsia="zh-CN" w:bidi="ar-SA"/>
              </w:rPr>
            </w:pPr>
            <w:bookmarkStart w:id="178" w:name="_Toc22574"/>
            <w:r>
              <w:rPr>
                <w:rFonts w:hint="eastAsia" w:ascii="宋体" w:hAnsi="宋体" w:eastAsia="宋体" w:cs="宋体"/>
                <w:bCs/>
                <w:color w:val="auto"/>
                <w:sz w:val="24"/>
                <w:szCs w:val="24"/>
                <w:lang w:val="en-US" w:eastAsia="zh-CN"/>
              </w:rPr>
              <w:t>4</w:t>
            </w:r>
            <w:bookmarkEnd w:id="178"/>
          </w:p>
        </w:tc>
        <w:tc>
          <w:tcPr>
            <w:tcW w:w="1820" w:type="dxa"/>
            <w:vAlign w:val="center"/>
          </w:tcPr>
          <w:p w14:paraId="14260E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p>
        </w:tc>
      </w:tr>
      <w:tr w14:paraId="082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FEBB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79" w:name="_Toc555"/>
            <w:r>
              <w:rPr>
                <w:rFonts w:hint="eastAsia" w:ascii="宋体" w:hAnsi="宋体" w:eastAsia="宋体" w:cs="宋体"/>
                <w:color w:val="auto"/>
                <w:sz w:val="24"/>
                <w:szCs w:val="24"/>
                <w:lang w:val="en-US" w:eastAsia="zh-CN"/>
              </w:rPr>
              <w:t>18</w:t>
            </w:r>
            <w:bookmarkEnd w:id="179"/>
          </w:p>
        </w:tc>
        <w:tc>
          <w:tcPr>
            <w:tcW w:w="1057" w:type="dxa"/>
            <w:vAlign w:val="center"/>
          </w:tcPr>
          <w:p w14:paraId="704D90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color w:val="auto"/>
                <w:sz w:val="24"/>
                <w:szCs w:val="24"/>
                <w:lang w:val="en-US" w:eastAsia="zh-CN"/>
              </w:rPr>
            </w:pPr>
            <w:bookmarkStart w:id="180" w:name="_Toc31833"/>
            <w:bookmarkStart w:id="181" w:name="_Toc13738"/>
            <w:r>
              <w:rPr>
                <w:rFonts w:hint="eastAsia" w:ascii="宋体" w:hAnsi="宋体" w:eastAsia="宋体" w:cs="宋体"/>
                <w:color w:val="auto"/>
                <w:sz w:val="24"/>
                <w:szCs w:val="24"/>
                <w:lang w:val="en-US" w:eastAsia="zh-CN"/>
              </w:rPr>
              <w:t>报价</w:t>
            </w:r>
            <w:bookmarkEnd w:id="180"/>
          </w:p>
        </w:tc>
        <w:tc>
          <w:tcPr>
            <w:tcW w:w="5996" w:type="dxa"/>
            <w:vAlign w:val="center"/>
          </w:tcPr>
          <w:p w14:paraId="540EAB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outlineLvl w:val="0"/>
              <w:rPr>
                <w:rFonts w:hint="eastAsia" w:ascii="宋体" w:hAnsi="宋体" w:eastAsia="宋体" w:cs="宋体"/>
                <w:color w:val="auto"/>
                <w:sz w:val="24"/>
                <w:szCs w:val="24"/>
              </w:rPr>
            </w:pPr>
            <w:bookmarkStart w:id="182" w:name="_Toc16339"/>
            <w:r>
              <w:rPr>
                <w:rFonts w:hint="eastAsia" w:ascii="宋体" w:hAnsi="宋体" w:eastAsia="宋体" w:cs="宋体"/>
                <w:color w:val="auto"/>
                <w:sz w:val="24"/>
                <w:szCs w:val="24"/>
              </w:rPr>
              <w:t>有效最后报价的最低价作为评审基准价，其最低报价为满分；按［最后报价得分=（评审基准价/最后报价）*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0］的计算公式计算。</w:t>
            </w:r>
            <w:bookmarkEnd w:id="181"/>
            <w:bookmarkEnd w:id="182"/>
          </w:p>
          <w:p w14:paraId="545E7BD8">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评审过程中，不得去掉报价中的最高报价和最低报价。</w:t>
            </w:r>
          </w:p>
          <w:p w14:paraId="2DCD749C">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因落实政府采购政策需要进行价格调整的，以调整后的价格计算评审基准价和最后报价。</w:t>
            </w:r>
          </w:p>
        </w:tc>
        <w:tc>
          <w:tcPr>
            <w:tcW w:w="793" w:type="dxa"/>
            <w:vAlign w:val="center"/>
          </w:tcPr>
          <w:p w14:paraId="27F4C0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default" w:ascii="宋体" w:hAnsi="宋体" w:eastAsia="宋体" w:cs="宋体"/>
                <w:bCs/>
                <w:color w:val="auto"/>
                <w:sz w:val="24"/>
                <w:szCs w:val="24"/>
                <w:lang w:val="en-US" w:eastAsia="zh-CN"/>
              </w:rPr>
            </w:pPr>
            <w:bookmarkStart w:id="183" w:name="_Toc20487"/>
            <w:r>
              <w:rPr>
                <w:rFonts w:hint="eastAsia" w:ascii="宋体" w:hAnsi="宋体" w:eastAsia="宋体" w:cs="宋体"/>
                <w:bCs/>
                <w:color w:val="auto"/>
                <w:sz w:val="24"/>
                <w:szCs w:val="24"/>
                <w:lang w:val="en-US" w:eastAsia="zh-CN"/>
              </w:rPr>
              <w:t>30</w:t>
            </w:r>
            <w:bookmarkEnd w:id="183"/>
          </w:p>
        </w:tc>
        <w:tc>
          <w:tcPr>
            <w:tcW w:w="1820" w:type="dxa"/>
            <w:vAlign w:val="center"/>
          </w:tcPr>
          <w:p w14:paraId="0EDDCC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bookmarkStart w:id="184" w:name="_Toc20804"/>
            <w:bookmarkStart w:id="185" w:name="_Toc26385"/>
            <w:r>
              <w:rPr>
                <w:rFonts w:hint="eastAsia" w:ascii="宋体" w:hAnsi="宋体" w:eastAsia="宋体" w:cs="宋体"/>
                <w:color w:val="auto"/>
                <w:sz w:val="24"/>
                <w:szCs w:val="24"/>
              </w:rPr>
              <w:t>/</w:t>
            </w:r>
            <w:bookmarkEnd w:id="184"/>
            <w:bookmarkEnd w:id="185"/>
          </w:p>
        </w:tc>
      </w:tr>
      <w:tr w14:paraId="5334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F291D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rPr>
            </w:pPr>
          </w:p>
        </w:tc>
        <w:tc>
          <w:tcPr>
            <w:tcW w:w="1057" w:type="dxa"/>
            <w:vAlign w:val="center"/>
          </w:tcPr>
          <w:p w14:paraId="2759F0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40" w:firstLineChars="100"/>
              <w:textAlignment w:val="auto"/>
              <w:outlineLvl w:val="0"/>
              <w:rPr>
                <w:rFonts w:hint="eastAsia" w:ascii="宋体" w:hAnsi="宋体" w:eastAsia="宋体" w:cs="宋体"/>
                <w:color w:val="auto"/>
                <w:sz w:val="24"/>
                <w:szCs w:val="24"/>
              </w:rPr>
            </w:pPr>
          </w:p>
        </w:tc>
        <w:tc>
          <w:tcPr>
            <w:tcW w:w="5996" w:type="dxa"/>
            <w:vAlign w:val="center"/>
          </w:tcPr>
          <w:p w14:paraId="1F9EE256">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00" w:lineRule="exact"/>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注意：不得以特定金额的业绩作为评审因素</w:t>
            </w:r>
          </w:p>
        </w:tc>
        <w:tc>
          <w:tcPr>
            <w:tcW w:w="793" w:type="dxa"/>
            <w:vAlign w:val="center"/>
          </w:tcPr>
          <w:p w14:paraId="60531F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firstLine="120" w:firstLineChars="50"/>
              <w:textAlignment w:val="auto"/>
              <w:outlineLvl w:val="0"/>
              <w:rPr>
                <w:rFonts w:hint="eastAsia" w:ascii="宋体" w:hAnsi="宋体" w:eastAsia="宋体" w:cs="宋体"/>
                <w:color w:val="auto"/>
                <w:sz w:val="24"/>
                <w:szCs w:val="24"/>
              </w:rPr>
            </w:pPr>
          </w:p>
        </w:tc>
        <w:tc>
          <w:tcPr>
            <w:tcW w:w="1820" w:type="dxa"/>
            <w:vAlign w:val="center"/>
          </w:tcPr>
          <w:p w14:paraId="471B21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0"/>
              <w:rPr>
                <w:rFonts w:hint="eastAsia" w:ascii="宋体" w:hAnsi="宋体" w:eastAsia="宋体" w:cs="宋体"/>
                <w:color w:val="auto"/>
                <w:sz w:val="24"/>
                <w:szCs w:val="24"/>
              </w:rPr>
            </w:pPr>
          </w:p>
        </w:tc>
      </w:tr>
    </w:tbl>
    <w:p w14:paraId="50CDF486">
      <w:pPr>
        <w:snapToGrid w:val="0"/>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shd w:val="clear" w:color="auto" w:fill="FFFFFF"/>
        </w:rPr>
        <w:t> *</w:t>
      </w:r>
      <w:r>
        <w:rPr>
          <w:rFonts w:hint="eastAsia" w:ascii="宋体" w:hAnsi="宋体" w:eastAsia="宋体" w:cs="宋体"/>
          <w:b/>
          <w:color w:val="auto"/>
          <w:sz w:val="24"/>
          <w:szCs w:val="24"/>
        </w:rPr>
        <w:t>备注：</w:t>
      </w:r>
      <w:r>
        <w:rPr>
          <w:rFonts w:hint="eastAsia" w:ascii="宋体" w:hAnsi="宋体" w:eastAsia="宋体" w:cs="宋体"/>
          <w:color w:val="auto"/>
          <w:sz w:val="24"/>
          <w:szCs w:val="24"/>
        </w:rPr>
        <w:t>供应商编制响应文件（商务技术文件部分）时，建议按此目录（序号和内容）提供评审标准相应的商务技术资料。 </w:t>
      </w:r>
    </w:p>
    <w:p w14:paraId="04E71C45">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545A2D7">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一、评审方法</w:t>
      </w:r>
    </w:p>
    <w:p w14:paraId="47EEFF58">
      <w:pPr>
        <w:adjustRightInd/>
        <w:spacing w:line="360" w:lineRule="auto"/>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1.本项目采用综合评分法。</w:t>
      </w:r>
      <w:r>
        <w:rPr>
          <w:rFonts w:hint="eastAsia" w:ascii="宋体" w:hAnsi="宋体" w:eastAsia="宋体" w:cs="宋体"/>
          <w:color w:val="auto"/>
          <w:kern w:val="0"/>
          <w:sz w:val="24"/>
          <w:szCs w:val="24"/>
        </w:rPr>
        <w:t>综合评分法，是指响应文件满足磋商文件全部实质性要求且按评审因素的量化指标评审得分最高的供应商为成交候选供应商的评审方法。</w:t>
      </w:r>
    </w:p>
    <w:p w14:paraId="3ECFC250">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二、评审标准</w:t>
      </w:r>
    </w:p>
    <w:p w14:paraId="0FB84A41">
      <w:pPr>
        <w:spacing w:line="360" w:lineRule="auto"/>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评审标准：</w:t>
      </w:r>
      <w:r>
        <w:rPr>
          <w:rFonts w:hint="eastAsia" w:ascii="宋体" w:hAnsi="宋体" w:eastAsia="宋体" w:cs="宋体"/>
          <w:color w:val="auto"/>
          <w:kern w:val="0"/>
          <w:sz w:val="24"/>
          <w:szCs w:val="24"/>
        </w:rPr>
        <w:t>见评审办法前附表。</w:t>
      </w:r>
    </w:p>
    <w:p w14:paraId="30E7C49D">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三、评审程序</w:t>
      </w:r>
    </w:p>
    <w:p w14:paraId="33BC1DAF">
      <w:pPr>
        <w:spacing w:line="360" w:lineRule="auto"/>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3.1符合性审查。</w:t>
      </w:r>
      <w:r>
        <w:rPr>
          <w:rFonts w:hint="eastAsia" w:ascii="宋体" w:hAnsi="宋体" w:eastAsia="宋体" w:cs="宋体"/>
          <w:color w:val="auto"/>
          <w:kern w:val="0"/>
          <w:sz w:val="24"/>
          <w:szCs w:val="24"/>
        </w:rPr>
        <w:t>磋商小组应当对符合资格的供应商的响应文件进行符合性审查，以确定其是否满足采购文件的实质性要求。不满足采购文件的实质性要求的，响应文件无效。</w:t>
      </w:r>
    </w:p>
    <w:p w14:paraId="281F265C">
      <w:pPr>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color w:val="auto"/>
          <w:kern w:val="0"/>
          <w:sz w:val="24"/>
          <w:szCs w:val="24"/>
        </w:rPr>
        <w:t>3.2 磋商。</w:t>
      </w:r>
      <w:r>
        <w:rPr>
          <w:rFonts w:hint="eastAsia" w:ascii="宋体" w:hAnsi="宋体" w:eastAsia="宋体" w:cs="宋体"/>
          <w:color w:val="auto"/>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rPr>
        <w:t>符合性审查合格的</w:t>
      </w:r>
      <w:r>
        <w:rPr>
          <w:rFonts w:hint="eastAsia" w:ascii="宋体" w:hAnsi="宋体" w:eastAsia="宋体" w:cs="宋体"/>
          <w:color w:val="auto"/>
          <w:sz w:val="24"/>
          <w:szCs w:val="24"/>
        </w:rPr>
        <w:t>供应商逐一进行磋商。</w:t>
      </w:r>
    </w:p>
    <w:p w14:paraId="00CBACC5">
      <w:pPr>
        <w:spacing w:line="360" w:lineRule="auto"/>
        <w:ind w:firstLine="470" w:firstLineChars="196"/>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3.2.1 </w:t>
      </w:r>
      <w:r>
        <w:rPr>
          <w:rFonts w:hint="eastAsia" w:ascii="宋体" w:hAnsi="宋体" w:eastAsia="宋体" w:cs="宋体"/>
          <w:color w:val="auto"/>
          <w:sz w:val="24"/>
          <w:szCs w:val="24"/>
        </w:rPr>
        <w:t>供应商逐家回答磋商小组的提问；</w:t>
      </w:r>
      <w:r>
        <w:rPr>
          <w:rFonts w:hint="eastAsia" w:ascii="宋体" w:hAnsi="宋体" w:eastAsia="宋体" w:cs="宋体"/>
          <w:b/>
          <w:color w:val="auto"/>
          <w:sz w:val="24"/>
          <w:szCs w:val="24"/>
        </w:rPr>
        <w:t>逐家磋商一次为一个轮次，磋商轮次根据实际情况进行。</w:t>
      </w:r>
    </w:p>
    <w:p w14:paraId="0BE2C681">
      <w:pPr>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3.2.2 </w:t>
      </w:r>
      <w:r>
        <w:rPr>
          <w:rFonts w:hint="eastAsia" w:ascii="宋体" w:hAnsi="宋体" w:eastAsia="宋体" w:cs="宋体"/>
          <w:color w:val="auto"/>
          <w:sz w:val="24"/>
          <w:szCs w:val="24"/>
        </w:rPr>
        <w:t>供应商应按磋商小组通知的时间在线或以邮件回复做出承诺或回复，承诺或回复的内容须由供应商法定代表人或授权代表签署，并作为响应文件的补充部分。</w:t>
      </w:r>
    </w:p>
    <w:p w14:paraId="4B333B66">
      <w:pPr>
        <w:spacing w:line="360" w:lineRule="auto"/>
        <w:ind w:firstLine="470" w:firstLineChars="196"/>
        <w:rPr>
          <w:rFonts w:hint="eastAsia" w:ascii="宋体" w:hAnsi="宋体" w:eastAsia="宋体" w:cs="宋体"/>
          <w:bCs/>
          <w:color w:val="auto"/>
          <w:kern w:val="0"/>
          <w:sz w:val="24"/>
          <w:szCs w:val="24"/>
        </w:rPr>
      </w:pPr>
      <w:r>
        <w:rPr>
          <w:rFonts w:hint="eastAsia" w:ascii="宋体" w:hAnsi="宋体" w:eastAsia="宋体" w:cs="宋体"/>
          <w:color w:val="auto"/>
          <w:sz w:val="24"/>
          <w:szCs w:val="24"/>
        </w:rPr>
        <w:t xml:space="preserve">3.2.3 </w:t>
      </w:r>
      <w:r>
        <w:rPr>
          <w:rFonts w:hint="eastAsia" w:ascii="宋体" w:hAnsi="宋体" w:eastAsia="宋体" w:cs="宋体"/>
          <w:b/>
          <w:bCs/>
          <w:color w:val="auto"/>
          <w:sz w:val="24"/>
          <w:szCs w:val="24"/>
        </w:rPr>
        <w:t>在磋商过程中，磋商小组可以根据磋商文件和磋商情况实质性变动采购需求。</w:t>
      </w:r>
      <w:r>
        <w:rPr>
          <w:rFonts w:hint="eastAsia" w:ascii="宋体" w:hAnsi="宋体" w:eastAsia="宋体" w:cs="宋体"/>
          <w:color w:val="auto"/>
          <w:sz w:val="24"/>
          <w:szCs w:val="24"/>
        </w:rPr>
        <w:t>实质性变动的内容，须经采购人代表确认。磋商文件有实质性变动的，磋商小组将以书面形式通知所有</w:t>
      </w:r>
      <w:r>
        <w:rPr>
          <w:rFonts w:hint="eastAsia" w:ascii="宋体" w:hAnsi="宋体" w:eastAsia="宋体" w:cs="宋体"/>
          <w:color w:val="auto"/>
          <w:kern w:val="0"/>
          <w:sz w:val="24"/>
          <w:szCs w:val="24"/>
        </w:rPr>
        <w:t>符合性审查合格的</w:t>
      </w:r>
      <w:r>
        <w:rPr>
          <w:rFonts w:hint="eastAsia" w:ascii="宋体" w:hAnsi="宋体" w:eastAsia="宋体" w:cs="宋体"/>
          <w:color w:val="auto"/>
          <w:sz w:val="24"/>
          <w:szCs w:val="24"/>
        </w:rPr>
        <w:t xml:space="preserve">供应商。 </w:t>
      </w:r>
    </w:p>
    <w:p w14:paraId="1AEB2644">
      <w:pPr>
        <w:spacing w:line="360" w:lineRule="auto"/>
        <w:ind w:firstLine="472" w:firstLineChars="196"/>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3.3最后报价</w:t>
      </w:r>
    </w:p>
    <w:p w14:paraId="696D40E4">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rPr>
        <w:t>3.3.1 磋商文件能够详细列明采购标的的技术、服务要求的，磋商结束后，磋商小组应当要求所有符合</w:t>
      </w:r>
      <w:r>
        <w:rPr>
          <w:rFonts w:hint="eastAsia" w:ascii="宋体" w:hAnsi="宋体" w:eastAsia="宋体" w:cs="宋体"/>
          <w:color w:val="auto"/>
          <w:kern w:val="0"/>
          <w:sz w:val="24"/>
          <w:szCs w:val="24"/>
          <w:highlight w:val="none"/>
        </w:rPr>
        <w:t>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13C33D6D">
      <w:pPr>
        <w:spacing w:line="360" w:lineRule="auto"/>
        <w:ind w:firstLine="470" w:firstLineChars="196"/>
        <w:rPr>
          <w:rFonts w:hint="eastAsia" w:ascii="宋体" w:hAnsi="宋体" w:eastAsia="宋体" w:cs="宋体"/>
          <w:color w:val="auto"/>
          <w:kern w:val="0"/>
          <w:sz w:val="24"/>
          <w:szCs w:val="24"/>
        </w:rPr>
      </w:pPr>
    </w:p>
    <w:p w14:paraId="764C4A0D">
      <w:pPr>
        <w:spacing w:line="360" w:lineRule="auto"/>
        <w:ind w:firstLine="470" w:firstLineChars="19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4C93039">
      <w:pPr>
        <w:spacing w:line="360" w:lineRule="auto"/>
        <w:ind w:firstLine="470" w:firstLineChars="196"/>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3.3.3 已提交响应文件的供应商，在提交最后报价之前，可以根据磋商情况退出磋商</w:t>
      </w:r>
    </w:p>
    <w:p w14:paraId="0E671FF1">
      <w:pPr>
        <w:spacing w:line="360" w:lineRule="auto"/>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3.4 综合评分。</w:t>
      </w:r>
      <w:r>
        <w:rPr>
          <w:rFonts w:hint="eastAsia" w:ascii="宋体" w:hAnsi="宋体" w:eastAsia="宋体" w:cs="宋体"/>
          <w:bCs/>
          <w:color w:val="auto"/>
          <w:kern w:val="0"/>
          <w:sz w:val="24"/>
          <w:szCs w:val="24"/>
        </w:rPr>
        <w:t>经磋商确定最终采购需求和提交最后报价的供应商后，</w:t>
      </w:r>
      <w:r>
        <w:rPr>
          <w:rFonts w:hint="eastAsia" w:ascii="宋体" w:hAnsi="宋体" w:eastAsia="宋体" w:cs="宋体"/>
          <w:color w:val="auto"/>
          <w:kern w:val="0"/>
          <w:sz w:val="24"/>
          <w:szCs w:val="24"/>
        </w:rPr>
        <w:t>磋商小组应当按照采购文件中规定的评审标准，对符合性审查合格的响应文件进行综合评分。磋商文件中没有规定的评审标准不得作为评审依据。</w:t>
      </w:r>
    </w:p>
    <w:p w14:paraId="388F1ABE">
      <w:pPr>
        <w:spacing w:line="360" w:lineRule="auto"/>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3.5汇总商务技术得分。</w:t>
      </w:r>
      <w:r>
        <w:rPr>
          <w:rFonts w:hint="eastAsia" w:ascii="宋体" w:hAnsi="宋体" w:eastAsia="宋体" w:cs="宋体"/>
          <w:color w:val="auto"/>
          <w:kern w:val="0"/>
          <w:sz w:val="24"/>
          <w:szCs w:val="24"/>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96396E2">
      <w:pPr>
        <w:spacing w:line="360" w:lineRule="auto"/>
        <w:ind w:firstLine="472" w:firstLineChars="196"/>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3.6报价评审。</w:t>
      </w:r>
    </w:p>
    <w:p w14:paraId="16D1865F">
      <w:pPr>
        <w:pStyle w:val="356"/>
        <w:spacing w:before="0"/>
        <w:ind w:firstLine="508" w:firstLineChars="21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3.6.1响应文件报价出现前后不一致的，按照下列规定修正：</w:t>
      </w:r>
    </w:p>
    <w:p w14:paraId="1E0B09F8">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3.6.1.1响应文件中已标价工程量清单内容与响应文件中相应内容不一致的，以已标价工程量清单为准;</w:t>
      </w:r>
    </w:p>
    <w:p w14:paraId="3082AC0C">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3.6.1.2大写金额和小写金额不一致的，以大写金额为准;</w:t>
      </w:r>
    </w:p>
    <w:p w14:paraId="5F7A57CE">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3.6.1.3单价金额小数点或者百分比有明显错位的，以已标价工程量清单的总价为准，并修改单价;</w:t>
      </w:r>
    </w:p>
    <w:p w14:paraId="0F0E55A8">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3.6.1.4总价金额与按单价汇总金额不一致的，以单价金额计算结果为准。</w:t>
      </w:r>
    </w:p>
    <w:p w14:paraId="1080E177">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3.6.1.5同时出现两种以上不一致的，按照3.6.1规定的顺序修正。修正后的报价经供应商确认后产生约束力。</w:t>
      </w:r>
    </w:p>
    <w:p w14:paraId="454DA545">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3.6.2响应文件出现不是唯一的、有选择性最后报价的，响应文件无效。</w:t>
      </w:r>
    </w:p>
    <w:p w14:paraId="020E8F59">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3.6.3最后报价超过采购文件中规定的预算金额或者最高限价的，响应文件无效。</w:t>
      </w:r>
    </w:p>
    <w:p w14:paraId="330DD936">
      <w:pPr>
        <w:pStyle w:val="356"/>
        <w:spacing w:before="0"/>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FC25EC9">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342A950C">
      <w:pPr>
        <w:spacing w:line="360" w:lineRule="auto"/>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3.8编写评审报告。</w:t>
      </w:r>
      <w:r>
        <w:rPr>
          <w:rFonts w:hint="eastAsia" w:ascii="宋体" w:hAnsi="宋体" w:eastAsia="宋体" w:cs="宋体"/>
          <w:color w:val="auto"/>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6B49529">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四、评审中的其他事项</w:t>
      </w:r>
    </w:p>
    <w:p w14:paraId="6CDADC25">
      <w:pPr>
        <w:pStyle w:val="356"/>
        <w:spacing w:before="0"/>
        <w:ind w:firstLine="472" w:firstLineChars="196"/>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4.1供应商澄清、说明或者补正。</w:t>
      </w:r>
      <w:r>
        <w:rPr>
          <w:rFonts w:hint="eastAsia" w:ascii="宋体" w:hAnsi="宋体" w:eastAsia="宋体" w:cs="宋体"/>
          <w:color w:val="auto"/>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8616B47">
      <w:pPr>
        <w:pStyle w:val="24"/>
        <w:spacing w:line="360" w:lineRule="auto"/>
        <w:ind w:left="954" w:leftChars="226" w:hanging="479" w:firstLineChars="0"/>
        <w:rPr>
          <w:rFonts w:hint="eastAsia" w:ascii="宋体" w:hAnsi="宋体" w:eastAsia="宋体" w:cs="宋体"/>
          <w:color w:val="auto"/>
          <w:sz w:val="24"/>
          <w:szCs w:val="24"/>
        </w:rPr>
      </w:pPr>
      <w:r>
        <w:rPr>
          <w:rFonts w:hint="eastAsia" w:ascii="宋体" w:hAnsi="宋体" w:eastAsia="宋体" w:cs="宋体"/>
          <w:b/>
          <w:color w:val="auto"/>
          <w:kern w:val="0"/>
          <w:sz w:val="24"/>
          <w:szCs w:val="24"/>
        </w:rPr>
        <w:t>4.2响应文件无效。</w:t>
      </w:r>
      <w:r>
        <w:rPr>
          <w:rFonts w:hint="eastAsia" w:ascii="宋体" w:hAnsi="宋体" w:eastAsia="宋体" w:cs="宋体"/>
          <w:color w:val="auto"/>
          <w:sz w:val="24"/>
          <w:szCs w:val="24"/>
        </w:rPr>
        <w:t>有下列情形之一的，响应文件无效：</w:t>
      </w:r>
    </w:p>
    <w:p w14:paraId="2138B586">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4.2.1供应商不具备采购文件中规定的资格要求的（供应商未提供有效的资格文件的，视为供应商不具备采购文件中规定的资格要求）；</w:t>
      </w:r>
    </w:p>
    <w:p w14:paraId="1942E1A6">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4.2.2响应文件未按照采购文件要求签署、盖章的；</w:t>
      </w:r>
    </w:p>
    <w:p w14:paraId="0A17B339">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4.2.3采购人拟采购的产品属于政府强制采购的节能产品品目清单范围的，</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相应的</w:t>
      </w:r>
      <w:r>
        <w:rPr>
          <w:rFonts w:hint="eastAsia" w:ascii="宋体" w:hAnsi="宋体" w:eastAsia="宋体" w:cs="宋体"/>
          <w:b/>
          <w:bCs/>
          <w:color w:val="auto"/>
          <w:kern w:val="0"/>
          <w:sz w:val="24"/>
          <w:szCs w:val="24"/>
          <w:lang w:eastAsia="zh-CN"/>
        </w:rPr>
        <w:t>响应产品</w:t>
      </w:r>
      <w:r>
        <w:rPr>
          <w:rFonts w:hint="eastAsia" w:ascii="宋体" w:hAnsi="宋体" w:eastAsia="宋体" w:cs="宋体"/>
          <w:b/>
          <w:bCs/>
          <w:color w:val="auto"/>
          <w:kern w:val="0"/>
          <w:sz w:val="24"/>
          <w:szCs w:val="24"/>
        </w:rPr>
        <w:t>未获得国家确定的认证机构出具的、处于有效期之内的节能产品认证书的</w:t>
      </w:r>
      <w:r>
        <w:rPr>
          <w:rFonts w:hint="eastAsia" w:ascii="宋体" w:hAnsi="宋体" w:eastAsia="宋体" w:cs="宋体"/>
          <w:b/>
          <w:bCs/>
          <w:color w:val="auto"/>
          <w:kern w:val="0"/>
          <w:sz w:val="24"/>
          <w:szCs w:val="24"/>
          <w:lang w:val="en-US" w:eastAsia="zh-CN"/>
        </w:rPr>
        <w:t>或未提供响应产品认证证明材料的</w:t>
      </w:r>
      <w:r>
        <w:rPr>
          <w:rFonts w:hint="eastAsia" w:ascii="宋体" w:hAnsi="宋体" w:eastAsia="宋体" w:cs="宋体"/>
          <w:b/>
          <w:bCs/>
          <w:color w:val="auto"/>
          <w:kern w:val="0"/>
          <w:sz w:val="24"/>
          <w:szCs w:val="24"/>
        </w:rPr>
        <w:t>；</w:t>
      </w:r>
    </w:p>
    <w:p w14:paraId="35CCD2A3">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4.2.4响应文件含有采购人不能接受的附加条件的；</w:t>
      </w:r>
    </w:p>
    <w:p w14:paraId="1CA104F9">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4.2.5响应文件中承诺的响应文件有效期少于采购文件中载明的响应文件有效期的；</w:t>
      </w:r>
    </w:p>
    <w:p w14:paraId="47D8D97F">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4.2.6响应文件出现不是唯一的、有选择性最后报价的;</w:t>
      </w:r>
    </w:p>
    <w:p w14:paraId="320CC921">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4.2.7最后报价超过采购文件中规定的预算金额或者最高限价的;</w:t>
      </w:r>
    </w:p>
    <w:p w14:paraId="48681DFC">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1931E8A5">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4.2.9供应商对根据修正原则修正后的报价不确认的；</w:t>
      </w:r>
    </w:p>
    <w:p w14:paraId="20DEBF2B">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4.2.10供应商提供虚假材料响应的；</w:t>
      </w:r>
    </w:p>
    <w:p w14:paraId="452BB99E">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4.2.11供应商有恶意串通、妨碍其他供应商的竞争行为、损害采购人或者其他供应商的合法权益情形的；</w:t>
      </w:r>
    </w:p>
    <w:p w14:paraId="75196FFA">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4.2.12供应商仅提交备份响应文件，未在电子交易平台传输递交响应文件的，响应文件无效；</w:t>
      </w:r>
    </w:p>
    <w:p w14:paraId="624E9B41">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4.2.13 响应文件不满足采购文件的其它实质性要求的；</w:t>
      </w:r>
    </w:p>
    <w:p w14:paraId="6154335E">
      <w:pPr>
        <w:spacing w:line="360" w:lineRule="auto"/>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4.2.14</w:t>
      </w:r>
      <w:r>
        <w:rPr>
          <w:rFonts w:hint="eastAsia" w:ascii="宋体" w:hAnsi="宋体" w:eastAsia="宋体" w:cs="宋体"/>
          <w:b/>
          <w:bCs/>
          <w:color w:val="auto"/>
          <w:kern w:val="0"/>
          <w:sz w:val="24"/>
          <w:szCs w:val="24"/>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kern w:val="0"/>
          <w:sz w:val="24"/>
          <w:szCs w:val="24"/>
          <w:lang w:eastAsia="zh-CN"/>
        </w:rPr>
        <w:t>。</w:t>
      </w:r>
    </w:p>
    <w:p w14:paraId="183DEE84">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4.2.1</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法律、法规、规章（适用本市的）及省级以上规范性文件（适用本市的）规定的其他无效情形。</w:t>
      </w:r>
    </w:p>
    <w:p w14:paraId="6AB2304E">
      <w:pPr>
        <w:pStyle w:val="24"/>
        <w:snapToGrid w:val="0"/>
        <w:spacing w:line="360" w:lineRule="auto"/>
        <w:ind w:firstLine="457"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5.终止竞争性磋商采购活动。</w:t>
      </w: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04C2BD1C">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5.1因情况变化，不再符合规定的竞争性磋商采购方式适用情形的；</w:t>
      </w:r>
    </w:p>
    <w:p w14:paraId="4ADD257E">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5.2出现影响采购公正的违法、违规行为的；</w:t>
      </w:r>
    </w:p>
    <w:p w14:paraId="240FE7AF">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5.3除本办法第二十一条第三款规定的情形外，在采购过程中符合要求的供应商或者报价未超过采购预算的供应商不足3家的。</w:t>
      </w:r>
    </w:p>
    <w:p w14:paraId="5C37CE9A">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073A154">
      <w:pPr>
        <w:pStyle w:val="24"/>
        <w:snapToGrid w:val="0"/>
        <w:spacing w:line="360" w:lineRule="auto"/>
        <w:ind w:firstLine="482"/>
        <w:rPr>
          <w:rFonts w:hint="eastAsia" w:ascii="宋体" w:hAnsi="宋体" w:eastAsia="宋体" w:cs="宋体"/>
          <w:color w:val="auto"/>
          <w:sz w:val="24"/>
          <w:szCs w:val="24"/>
        </w:rPr>
      </w:pPr>
      <w:r>
        <w:rPr>
          <w:rFonts w:hint="eastAsia" w:ascii="宋体" w:hAnsi="宋体" w:eastAsia="宋体" w:cs="宋体"/>
          <w:b/>
          <w:color w:val="auto"/>
          <w:kern w:val="0"/>
          <w:sz w:val="24"/>
          <w:szCs w:val="24"/>
        </w:rPr>
        <w:t>6.重新开展采购。</w:t>
      </w:r>
      <w:r>
        <w:rPr>
          <w:rFonts w:hint="eastAsia" w:ascii="宋体" w:hAnsi="宋体" w:eastAsia="宋体" w:cs="宋体"/>
          <w:color w:val="auto"/>
          <w:sz w:val="24"/>
          <w:szCs w:val="24"/>
        </w:rPr>
        <w:t>有政府采购法第七十一条、第七十二条规定的违法行为之一，影响或者可能影响成交结果的，依照下列规定处理：</w:t>
      </w:r>
    </w:p>
    <w:p w14:paraId="0DD617E2">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6.1未确定成交供应商的，终止本次政府采购活动，重新开展政府采购活动。</w:t>
      </w:r>
    </w:p>
    <w:p w14:paraId="0F2D99C8">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6.2已确定成交供应商但尚未签订政府采购合同的，成交结果无效，从合格的成交候选供应商中另行确定成交供应商；没有合格的成交候选供应商的，重新开展政府采购活动。</w:t>
      </w:r>
    </w:p>
    <w:p w14:paraId="2F66869D">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6.3政府采购合同已签订但尚未履行的，撤销合同，从合格的成交候选供应商中另行确定成交供应商；没有合格的成交候选供应商的，重新开展政府采购活动。</w:t>
      </w:r>
    </w:p>
    <w:p w14:paraId="7C3EEC24">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6.4政府采购合同已经履行，给采购人、供应商造成损失的，由责任人承担赔偿责任。</w:t>
      </w:r>
    </w:p>
    <w:p w14:paraId="3D1D4775">
      <w:pPr>
        <w:pStyle w:val="24"/>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10FEB3A7">
      <w:pPr>
        <w:pStyle w:val="24"/>
        <w:snapToGrid w:val="0"/>
        <w:spacing w:line="360" w:lineRule="auto"/>
        <w:ind w:firstLine="0" w:firstLineChars="0"/>
        <w:rPr>
          <w:rFonts w:hint="eastAsia" w:ascii="宋体" w:hAnsi="宋体" w:eastAsia="宋体" w:cs="宋体"/>
          <w:color w:val="auto"/>
          <w:sz w:val="24"/>
          <w:szCs w:val="24"/>
        </w:rPr>
        <w:sectPr>
          <w:pgSz w:w="11905" w:h="16838"/>
          <w:pgMar w:top="1417" w:right="1417" w:bottom="1417" w:left="1417" w:header="851" w:footer="992" w:gutter="0"/>
          <w:pgNumType w:fmt="decimal"/>
          <w:cols w:space="0" w:num="1"/>
          <w:titlePg/>
          <w:rtlGutter w:val="0"/>
          <w:docGrid w:linePitch="0" w:charSpace="0"/>
        </w:sectPr>
      </w:pPr>
    </w:p>
    <w:p w14:paraId="3E85FE4E">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186" w:name="_Toc7931"/>
      <w:bookmarkStart w:id="18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186"/>
    </w:p>
    <w:bookmarkEnd w:id="83"/>
    <w:bookmarkEnd w:id="187"/>
    <w:p w14:paraId="616E865C">
      <w:pPr>
        <w:keepNext w:val="0"/>
        <w:keepLines w:val="0"/>
        <w:widowControl w:val="0"/>
        <w:suppressLineNumbers w:val="0"/>
        <w:spacing w:before="0" w:beforeAutospacing="0" w:after="0" w:afterAutospacing="0" w:line="288" w:lineRule="auto"/>
        <w:ind w:left="0" w:right="0" w:firstLine="458" w:firstLineChars="200"/>
        <w:jc w:val="center"/>
        <w:rPr>
          <w:rFonts w:hint="eastAsia" w:ascii="宋体" w:hAnsi="宋体" w:eastAsia="宋体" w:cs="宋体"/>
          <w:color w:val="auto"/>
          <w:spacing w:val="-6"/>
          <w:sz w:val="24"/>
          <w:szCs w:val="24"/>
          <w:lang w:val="en-US"/>
        </w:rPr>
      </w:pPr>
      <w:bookmarkStart w:id="188" w:name="_Toc351203642"/>
      <w:bookmarkEnd w:id="188"/>
      <w:r>
        <w:rPr>
          <w:rFonts w:hint="eastAsia" w:ascii="宋体" w:hAnsi="宋体" w:eastAsia="宋体" w:cs="宋体"/>
          <w:b/>
          <w:bCs w:val="0"/>
          <w:color w:val="auto"/>
          <w:spacing w:val="-6"/>
          <w:kern w:val="2"/>
          <w:sz w:val="24"/>
          <w:szCs w:val="24"/>
          <w:lang w:val="en-US" w:eastAsia="zh-CN" w:bidi="ar"/>
        </w:rPr>
        <w:t>浙江警察学院采购合同</w:t>
      </w:r>
    </w:p>
    <w:p w14:paraId="5EE6CA0E">
      <w:pPr>
        <w:keepNext w:val="0"/>
        <w:keepLines w:val="0"/>
        <w:widowControl w:val="0"/>
        <w:suppressLineNumbers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lang w:val="en-US"/>
        </w:rPr>
      </w:pPr>
      <w:r>
        <w:rPr>
          <w:rFonts w:hint="eastAsia" w:ascii="宋体" w:hAnsi="宋体" w:eastAsia="宋体" w:cs="宋体"/>
          <w:color w:val="auto"/>
          <w:spacing w:val="-6"/>
          <w:kern w:val="2"/>
          <w:sz w:val="24"/>
          <w:szCs w:val="24"/>
          <w:lang w:val="en-US" w:eastAsia="zh-CN" w:bidi="ar"/>
        </w:rPr>
        <w:t>（本合同为合同样稿，最终稿由双方协商后确定，合同实质性内容不得更改；签订合同时删除此行）</w:t>
      </w:r>
    </w:p>
    <w:p w14:paraId="75EC7029">
      <w:pPr>
        <w:pStyle w:val="3"/>
        <w:adjustRightInd w:val="0"/>
        <w:snapToGrid w:val="0"/>
        <w:rPr>
          <w:rFonts w:hint="eastAsia" w:ascii="方正小标宋简体" w:hAnsi="方正小标宋简体" w:eastAsia="方正小标宋简体" w:cs="方正小标宋简体"/>
          <w:b w:val="0"/>
          <w:bCs w:val="0"/>
          <w:color w:val="auto"/>
          <w:kern w:val="44"/>
          <w:sz w:val="44"/>
          <w:szCs w:val="44"/>
        </w:rPr>
      </w:pPr>
      <w:bookmarkStart w:id="189" w:name="_Toc69478956"/>
    </w:p>
    <w:p w14:paraId="1D7BCE26">
      <w:pPr>
        <w:pStyle w:val="3"/>
        <w:pageBreakBefore w:val="0"/>
        <w:kinsoku/>
        <w:wordWrap/>
        <w:overflowPunct/>
        <w:topLinePunct w:val="0"/>
        <w:bidi w:val="0"/>
        <w:adjustRightInd w:val="0"/>
        <w:snapToGrid w:val="0"/>
        <w:spacing w:line="360" w:lineRule="auto"/>
        <w:rPr>
          <w:rFonts w:hint="eastAsia" w:ascii="宋体" w:hAnsi="宋体" w:eastAsia="宋体" w:cs="宋体"/>
          <w:b w:val="0"/>
          <w:bCs w:val="0"/>
          <w:color w:val="auto"/>
          <w:kern w:val="44"/>
          <w:sz w:val="44"/>
          <w:szCs w:val="44"/>
          <w:lang w:val="en-US" w:eastAsia="zh-CN"/>
        </w:rPr>
      </w:pPr>
    </w:p>
    <w:p w14:paraId="142A9B46">
      <w:pPr>
        <w:pStyle w:val="3"/>
        <w:pageBreakBefore w:val="0"/>
        <w:kinsoku/>
        <w:wordWrap/>
        <w:overflowPunct/>
        <w:topLinePunct w:val="0"/>
        <w:bidi w:val="0"/>
        <w:adjustRightInd w:val="0"/>
        <w:snapToGrid w:val="0"/>
        <w:spacing w:line="360" w:lineRule="auto"/>
        <w:rPr>
          <w:rFonts w:hint="eastAsia" w:ascii="宋体" w:hAnsi="宋体" w:eastAsia="宋体" w:cs="宋体"/>
          <w:b w:val="0"/>
          <w:bCs w:val="0"/>
          <w:color w:val="auto"/>
          <w:kern w:val="44"/>
          <w:sz w:val="44"/>
          <w:szCs w:val="44"/>
          <w:lang w:val="en-US" w:eastAsia="zh-CN"/>
        </w:rPr>
      </w:pPr>
      <w:r>
        <w:rPr>
          <w:rFonts w:hint="eastAsia" w:ascii="宋体" w:hAnsi="宋体" w:eastAsia="宋体" w:cs="宋体"/>
          <w:b w:val="0"/>
          <w:bCs w:val="0"/>
          <w:color w:val="auto"/>
          <w:kern w:val="44"/>
          <w:sz w:val="44"/>
          <w:szCs w:val="44"/>
          <w:lang w:val="en-US" w:eastAsia="zh-CN"/>
        </w:rPr>
        <w:t xml:space="preserve"> </w:t>
      </w:r>
      <w:bookmarkStart w:id="190" w:name="_Toc532"/>
      <w:r>
        <w:rPr>
          <w:rFonts w:hint="eastAsia" w:ascii="宋体" w:hAnsi="宋体" w:eastAsia="宋体" w:cs="宋体"/>
          <w:b w:val="0"/>
          <w:bCs w:val="0"/>
          <w:color w:val="auto"/>
          <w:kern w:val="44"/>
          <w:sz w:val="44"/>
          <w:szCs w:val="44"/>
          <w:lang w:val="en-US" w:eastAsia="zh-CN"/>
        </w:rPr>
        <w:t>浙江警察学院</w:t>
      </w:r>
      <w:r>
        <w:rPr>
          <w:rFonts w:hint="eastAsia" w:ascii="宋体" w:hAnsi="宋体" w:cs="宋体"/>
          <w:b w:val="0"/>
          <w:bCs w:val="0"/>
          <w:color w:val="auto"/>
          <w:kern w:val="44"/>
          <w:sz w:val="44"/>
          <w:szCs w:val="44"/>
          <w:lang w:val="en-US" w:eastAsia="zh-CN"/>
        </w:rPr>
        <w:t>滨江</w:t>
      </w:r>
      <w:r>
        <w:rPr>
          <w:rFonts w:hint="eastAsia" w:ascii="宋体" w:hAnsi="宋体" w:eastAsia="宋体" w:cs="宋体"/>
          <w:b w:val="0"/>
          <w:bCs w:val="0"/>
          <w:color w:val="auto"/>
          <w:kern w:val="44"/>
          <w:sz w:val="44"/>
          <w:szCs w:val="44"/>
          <w:lang w:val="en-US" w:eastAsia="zh-CN"/>
        </w:rPr>
        <w:t>校区</w:t>
      </w:r>
      <w:bookmarkEnd w:id="190"/>
    </w:p>
    <w:p w14:paraId="05204BBF">
      <w:pPr>
        <w:pageBreakBefore w:val="0"/>
        <w:kinsoku/>
        <w:wordWrap/>
        <w:overflowPunct/>
        <w:topLinePunct w:val="0"/>
        <w:bidi w:val="0"/>
        <w:adjustRightInd w:val="0"/>
        <w:snapToGrid w:val="0"/>
        <w:spacing w:line="360" w:lineRule="auto"/>
        <w:jc w:val="center"/>
        <w:rPr>
          <w:rFonts w:hint="default" w:ascii="宋体" w:hAnsi="宋体" w:eastAsia="宋体" w:cs="宋体"/>
          <w:b w:val="0"/>
          <w:bCs w:val="0"/>
          <w:color w:val="auto"/>
          <w:sz w:val="44"/>
          <w:szCs w:val="44"/>
          <w:lang w:val="en-US"/>
        </w:rPr>
      </w:pPr>
      <w:r>
        <w:rPr>
          <w:rFonts w:hint="eastAsia" w:ascii="宋体" w:hAnsi="宋体" w:eastAsia="宋体" w:cs="宋体"/>
          <w:b w:val="0"/>
          <w:bCs w:val="0"/>
          <w:color w:val="auto"/>
          <w:kern w:val="44"/>
          <w:sz w:val="44"/>
          <w:szCs w:val="44"/>
          <w:lang w:val="en-US" w:eastAsia="zh-CN"/>
        </w:rPr>
        <w:t>项目名称</w:t>
      </w:r>
    </w:p>
    <w:p w14:paraId="6E16B36D">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1CF635B8">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23800036">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705F4B16">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6D0A63BF">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49DB2440">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5EE8D1FA">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rPr>
      </w:pPr>
    </w:p>
    <w:p w14:paraId="26BE4308">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2025年   月</w:t>
      </w:r>
    </w:p>
    <w:p w14:paraId="7BDE6D77">
      <w:pPr>
        <w:pStyle w:val="412"/>
        <w:pageBreakBefore w:val="0"/>
        <w:kinsoku/>
        <w:wordWrap/>
        <w:overflowPunct/>
        <w:topLinePunct w:val="0"/>
        <w:bidi w:val="0"/>
        <w:adjustRightInd w:val="0"/>
        <w:snapToGrid w:val="0"/>
        <w:spacing w:line="360" w:lineRule="auto"/>
        <w:rPr>
          <w:rFonts w:hint="eastAsia" w:ascii="宋体" w:hAnsi="宋体" w:eastAsia="宋体" w:cs="宋体"/>
          <w:b w:val="0"/>
          <w:bCs w:val="0"/>
          <w:color w:val="auto"/>
          <w:sz w:val="44"/>
          <w:szCs w:val="44"/>
          <w:lang w:val="en-US" w:eastAsia="zh-CN"/>
        </w:rPr>
      </w:pPr>
    </w:p>
    <w:p w14:paraId="2F991BB1">
      <w:pPr>
        <w:pStyle w:val="23"/>
        <w:pageBreakBefore w:val="0"/>
        <w:kinsoku/>
        <w:wordWrap/>
        <w:overflowPunct/>
        <w:topLinePunct w:val="0"/>
        <w:bidi w:val="0"/>
        <w:adjustRightInd w:val="0"/>
        <w:snapToGrid w:val="0"/>
        <w:spacing w:after="0" w:line="360" w:lineRule="auto"/>
        <w:rPr>
          <w:rFonts w:hint="eastAsia" w:ascii="宋体" w:hAnsi="宋体" w:eastAsia="宋体" w:cs="宋体"/>
          <w:b w:val="0"/>
          <w:bCs w:val="0"/>
          <w:color w:val="auto"/>
          <w:sz w:val="44"/>
          <w:szCs w:val="44"/>
          <w:lang w:val="en-US" w:eastAsia="zh-CN"/>
        </w:rPr>
      </w:pPr>
    </w:p>
    <w:bookmarkEnd w:id="189"/>
    <w:p w14:paraId="205E2EBC">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8ACB4F6">
      <w:pPr>
        <w:pageBreakBefore w:val="0"/>
        <w:kinsoku/>
        <w:wordWrap/>
        <w:overflowPunct/>
        <w:topLinePunct w:val="0"/>
        <w:bidi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b/>
          <w:color w:val="auto"/>
          <w:sz w:val="28"/>
          <w:szCs w:val="28"/>
        </w:rPr>
        <w:t>第一部分合同协议书</w:t>
      </w:r>
    </w:p>
    <w:p w14:paraId="27C3F5F5">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发包人（全称）：</w:t>
      </w:r>
      <w:r>
        <w:rPr>
          <w:rFonts w:hint="eastAsia" w:ascii="宋体" w:hAnsi="宋体" w:eastAsia="宋体" w:cs="宋体"/>
          <w:color w:val="auto"/>
          <w:sz w:val="24"/>
          <w:u w:val="single"/>
        </w:rPr>
        <w:t>浙江警察学院</w:t>
      </w:r>
      <w:r>
        <w:rPr>
          <w:rFonts w:hint="eastAsia" w:ascii="宋体" w:hAnsi="宋体" w:eastAsia="宋体" w:cs="宋体"/>
          <w:color w:val="auto"/>
          <w:sz w:val="24"/>
        </w:rPr>
        <w:t xml:space="preserve">        </w:t>
      </w:r>
    </w:p>
    <w:p w14:paraId="1121438C">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承包人（全称）：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79AB0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根据《中华人民共和国民法典》、《中华人民共和国建筑法》及有关法律规定，通过</w:t>
      </w:r>
      <w:r>
        <w:rPr>
          <w:rFonts w:hint="eastAsia" w:ascii="宋体" w:hAnsi="宋体" w:eastAsia="宋体" w:cs="宋体"/>
          <w:bCs/>
          <w:color w:val="auto"/>
          <w:sz w:val="24"/>
          <w:u w:val="single"/>
          <w:lang w:eastAsia="zh-CN"/>
        </w:rPr>
        <w:t>浙江豪圣建设项目管理有限公司</w:t>
      </w:r>
      <w:r>
        <w:rPr>
          <w:rFonts w:hint="eastAsia" w:ascii="宋体" w:hAnsi="宋体" w:eastAsia="宋体" w:cs="宋体"/>
          <w:color w:val="auto"/>
          <w:sz w:val="24"/>
        </w:rPr>
        <w:t>组织的竞争性磋商采购结果，遵循平等、自愿、公平和诚实信用的原则，双方就</w:t>
      </w:r>
      <w:r>
        <w:rPr>
          <w:rFonts w:hint="eastAsia" w:ascii="宋体" w:hAnsi="宋体" w:eastAsia="宋体" w:cs="宋体"/>
          <w:color w:val="auto"/>
          <w:sz w:val="24"/>
          <w:u w:val="single"/>
          <w:lang w:eastAsia="zh-CN"/>
        </w:rPr>
        <w:t>浙江警察学院滨江校区战训楼屋面修缮项目</w:t>
      </w:r>
      <w:r>
        <w:rPr>
          <w:rFonts w:hint="eastAsia" w:ascii="宋体" w:hAnsi="宋体" w:eastAsia="宋体" w:cs="宋体"/>
          <w:color w:val="auto"/>
          <w:sz w:val="24"/>
          <w:u w:val="single"/>
        </w:rPr>
        <w:t>（项目编号：</w:t>
      </w:r>
      <w:r>
        <w:rPr>
          <w:rFonts w:hint="eastAsia" w:ascii="宋体" w:hAnsi="宋体" w:eastAsia="宋体" w:cs="宋体"/>
          <w:color w:val="auto"/>
          <w:sz w:val="24"/>
          <w:u w:val="single"/>
          <w:lang w:eastAsia="zh-CN"/>
        </w:rPr>
        <w:t>HSZB-2025-118</w:t>
      </w:r>
      <w:r>
        <w:rPr>
          <w:rFonts w:hint="eastAsia" w:ascii="宋体" w:hAnsi="宋体" w:eastAsia="宋体" w:cs="宋体"/>
          <w:color w:val="auto"/>
          <w:sz w:val="24"/>
          <w:u w:val="single"/>
        </w:rPr>
        <w:t>）</w:t>
      </w:r>
      <w:r>
        <w:rPr>
          <w:rFonts w:hint="eastAsia" w:ascii="宋体" w:hAnsi="宋体" w:eastAsia="宋体" w:cs="宋体"/>
          <w:color w:val="auto"/>
          <w:sz w:val="24"/>
        </w:rPr>
        <w:t>及有关事项协商一致，共同达成如下协议：</w:t>
      </w:r>
    </w:p>
    <w:p w14:paraId="45FE391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一、工程概况</w:t>
      </w:r>
    </w:p>
    <w:p w14:paraId="758A66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1.工程名称：</w:t>
      </w:r>
      <w:r>
        <w:rPr>
          <w:rFonts w:hint="eastAsia" w:ascii="宋体" w:hAnsi="宋体" w:eastAsia="宋体" w:cs="宋体"/>
          <w:color w:val="auto"/>
          <w:sz w:val="24"/>
          <w:u w:val="single"/>
          <w:lang w:eastAsia="zh-CN"/>
        </w:rPr>
        <w:t>浙江警察学院滨江校区战训楼屋面修缮项目</w:t>
      </w:r>
      <w:r>
        <w:rPr>
          <w:rFonts w:hint="eastAsia" w:ascii="宋体" w:hAnsi="宋体" w:eastAsia="宋体" w:cs="宋体"/>
          <w:color w:val="auto"/>
          <w:sz w:val="24"/>
        </w:rPr>
        <w:t>。</w:t>
      </w:r>
    </w:p>
    <w:p w14:paraId="628769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2.工程地点：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0128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3.工程立项批准文号：</w:t>
      </w:r>
      <w:r>
        <w:rPr>
          <w:rFonts w:hint="eastAsia" w:ascii="宋体" w:hAnsi="宋体" w:eastAsia="宋体" w:cs="宋体"/>
          <w:color w:val="auto"/>
          <w:sz w:val="24"/>
          <w:u w:val="single"/>
        </w:rPr>
        <w:t xml:space="preserve">/ </w:t>
      </w:r>
    </w:p>
    <w:p w14:paraId="69D030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4.资金来源：</w:t>
      </w:r>
      <w:r>
        <w:rPr>
          <w:rFonts w:hint="eastAsia" w:ascii="宋体" w:hAnsi="宋体" w:eastAsia="宋体" w:cs="宋体"/>
          <w:color w:val="auto"/>
          <w:sz w:val="24"/>
          <w:u w:val="single"/>
        </w:rPr>
        <w:t>财政经费</w:t>
      </w:r>
      <w:r>
        <w:rPr>
          <w:rFonts w:hint="eastAsia" w:ascii="宋体" w:hAnsi="宋体" w:eastAsia="宋体" w:cs="宋体"/>
          <w:color w:val="auto"/>
          <w:sz w:val="24"/>
        </w:rPr>
        <w:t></w:t>
      </w:r>
    </w:p>
    <w:p w14:paraId="4C07F18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5.工程内容：</w:t>
      </w:r>
      <w:r>
        <w:rPr>
          <w:rFonts w:hint="eastAsia" w:ascii="宋体" w:hAnsi="宋体" w:eastAsia="宋体" w:cs="宋体"/>
          <w:color w:val="auto"/>
          <w:sz w:val="24"/>
          <w:u w:val="single"/>
        </w:rPr>
        <w:t>（1）包括但不限于</w:t>
      </w:r>
      <w:r>
        <w:rPr>
          <w:rFonts w:hint="eastAsia" w:ascii="宋体" w:hAnsi="宋体" w:eastAsia="宋体" w:cs="宋体"/>
          <w:color w:val="auto"/>
          <w:sz w:val="24"/>
          <w:u w:val="single"/>
          <w:lang w:eastAsia="zh-CN"/>
        </w:rPr>
        <w:t>浙江警察学院滨江校区战训楼屋面修缮项目</w:t>
      </w:r>
      <w:r>
        <w:rPr>
          <w:rFonts w:hint="eastAsia" w:ascii="宋体" w:hAnsi="宋体" w:eastAsia="宋体" w:cs="宋体"/>
          <w:color w:val="auto"/>
          <w:sz w:val="24"/>
          <w:u w:val="single"/>
        </w:rPr>
        <w:t>等内容，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宋体" w:hAnsi="宋体" w:eastAsia="宋体" w:cs="宋体"/>
          <w:color w:val="auto"/>
          <w:sz w:val="24"/>
        </w:rPr>
        <w:t>。</w:t>
      </w:r>
    </w:p>
    <w:p w14:paraId="6B096DC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二、合同工期</w:t>
      </w:r>
    </w:p>
    <w:p w14:paraId="4741DA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计划开工日期：</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14:paraId="5F1BB5D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计划竣工日期：</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14:paraId="612BD8F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工期总日历天数：</w:t>
      </w:r>
      <w:r>
        <w:rPr>
          <w:rFonts w:hint="eastAsia" w:ascii="宋体" w:hAnsi="宋体" w:eastAsia="宋体" w:cs="宋体"/>
          <w:color w:val="auto"/>
          <w:sz w:val="24"/>
          <w:u w:val="single"/>
          <w:lang w:val="en-US" w:eastAsia="zh-CN"/>
        </w:rPr>
        <w:t xml:space="preserve">   </w:t>
      </w:r>
      <w:r>
        <w:rPr>
          <w:rFonts w:hint="eastAsia" w:ascii="宋体" w:hAnsi="宋体" w:eastAsia="宋体" w:cs="宋体"/>
          <w:b/>
          <w:bCs/>
          <w:color w:val="auto"/>
          <w:sz w:val="24"/>
          <w:u w:val="single"/>
        </w:rPr>
        <w:t>天</w:t>
      </w:r>
      <w:r>
        <w:rPr>
          <w:rFonts w:hint="eastAsia" w:ascii="宋体" w:hAnsi="宋体" w:eastAsia="宋体" w:cs="宋体"/>
          <w:b/>
          <w:bCs/>
          <w:color w:val="auto"/>
          <w:sz w:val="24"/>
        </w:rPr>
        <w:t>。</w:t>
      </w:r>
      <w:r>
        <w:rPr>
          <w:rFonts w:hint="eastAsia" w:ascii="宋体" w:hAnsi="宋体" w:eastAsia="宋体" w:cs="宋体"/>
          <w:color w:val="auto"/>
          <w:sz w:val="24"/>
        </w:rPr>
        <w:t>工期总日历天数与根据前述计划开竣工日期计算的工期天数不一致的，以工期总日历天数为准。</w:t>
      </w:r>
    </w:p>
    <w:p w14:paraId="5FC09BF9">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三、质量标准</w:t>
      </w:r>
    </w:p>
    <w:p w14:paraId="35EBF9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工程质量 </w:t>
      </w:r>
      <w:r>
        <w:rPr>
          <w:rFonts w:hint="eastAsia" w:ascii="宋体" w:hAnsi="宋体" w:eastAsia="宋体" w:cs="宋体"/>
          <w:color w:val="auto"/>
          <w:sz w:val="24"/>
          <w:u w:val="single"/>
        </w:rPr>
        <w:t>国家施工验收规范合格标准</w:t>
      </w:r>
      <w:r>
        <w:rPr>
          <w:rFonts w:hint="eastAsia" w:ascii="宋体" w:hAnsi="宋体" w:eastAsia="宋体" w:cs="宋体"/>
          <w:color w:val="auto"/>
          <w:sz w:val="24"/>
        </w:rPr>
        <w:t>。</w:t>
      </w:r>
    </w:p>
    <w:p w14:paraId="2A9E2EEF">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四、合同金额与合同价格形式</w:t>
      </w:r>
      <w:r>
        <w:rPr>
          <w:rFonts w:hint="eastAsia" w:ascii="宋体" w:hAnsi="宋体" w:eastAsia="宋体" w:cs="宋体"/>
          <w:color w:val="auto"/>
          <w:sz w:val="24"/>
        </w:rPr>
        <w:tab/>
      </w:r>
    </w:p>
    <w:p w14:paraId="558EFA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1.合同金额：人民币（大写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w:t>
      </w:r>
    </w:p>
    <w:p w14:paraId="457996D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其中：</w:t>
      </w:r>
    </w:p>
    <w:p w14:paraId="014A5585">
      <w:pPr>
        <w:pageBreakBefore w:val="0"/>
        <w:numPr>
          <w:ilvl w:val="0"/>
          <w:numId w:val="6"/>
        </w:numPr>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安全文明施工费：</w:t>
      </w:r>
      <w:r>
        <w:rPr>
          <w:rFonts w:hint="eastAsia" w:ascii="宋体" w:hAnsi="宋体" w:eastAsia="宋体" w:cs="宋体"/>
          <w:color w:val="auto"/>
          <w:sz w:val="24"/>
          <w:u w:val="single"/>
        </w:rPr>
        <w:t xml:space="preserve">               </w:t>
      </w:r>
      <w:r>
        <w:rPr>
          <w:rFonts w:hint="eastAsia" w:ascii="宋体" w:hAnsi="宋体" w:eastAsia="宋体" w:cs="宋体"/>
          <w:color w:val="auto"/>
          <w:sz w:val="24"/>
        </w:rPr>
        <w:t>人民币（大写）</w:t>
      </w:r>
    </w:p>
    <w:p w14:paraId="220C19E3">
      <w:pPr>
        <w:pageBreakBefore w:val="0"/>
        <w:numPr>
          <w:ilvl w:val="0"/>
          <w:numId w:val="6"/>
        </w:numPr>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专业工程暂估价金额：</w:t>
      </w:r>
      <w:r>
        <w:rPr>
          <w:rFonts w:hint="eastAsia" w:ascii="宋体" w:hAnsi="宋体" w:eastAsia="宋体" w:cs="宋体"/>
          <w:color w:val="auto"/>
          <w:sz w:val="24"/>
          <w:u w:val="single"/>
        </w:rPr>
        <w:t xml:space="preserve">  / </w:t>
      </w:r>
      <w:r>
        <w:rPr>
          <w:rFonts w:hint="eastAsia" w:ascii="宋体" w:hAnsi="宋体" w:eastAsia="宋体" w:cs="宋体"/>
          <w:color w:val="auto"/>
          <w:sz w:val="24"/>
        </w:rPr>
        <w:t>人民币（大写）</w:t>
      </w:r>
    </w:p>
    <w:p w14:paraId="6CBEF955">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（3）暂列金额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人民币（大写）</w:t>
      </w:r>
    </w:p>
    <w:p w14:paraId="3F250F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2.合同价格形式：</w:t>
      </w:r>
      <w:r>
        <w:rPr>
          <w:rFonts w:hint="eastAsia" w:ascii="宋体" w:hAnsi="宋体" w:eastAsia="宋体" w:cs="宋体"/>
          <w:color w:val="auto"/>
          <w:sz w:val="24"/>
          <w:u w:val="single"/>
        </w:rPr>
        <w:t>固定单价合同</w:t>
      </w:r>
      <w:r>
        <w:rPr>
          <w:rFonts w:hint="eastAsia" w:ascii="宋体" w:hAnsi="宋体" w:eastAsia="宋体" w:cs="宋体"/>
          <w:color w:val="auto"/>
          <w:sz w:val="24"/>
        </w:rPr>
        <w:t xml:space="preserve"> </w:t>
      </w:r>
    </w:p>
    <w:p w14:paraId="419944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五、项目经理</w:t>
      </w:r>
    </w:p>
    <w:p w14:paraId="4BD3D80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    </w:t>
      </w:r>
    </w:p>
    <w:p w14:paraId="2A8EFA17">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六、合同文件构成 1.</w:t>
      </w:r>
      <w:r>
        <w:rPr>
          <w:rFonts w:hint="eastAsia" w:ascii="宋体" w:hAnsi="宋体" w:eastAsia="宋体" w:cs="宋体"/>
          <w:color w:val="auto"/>
          <w:sz w:val="24"/>
          <w:u w:val="single"/>
        </w:rPr>
        <w:t>本合同协议书；2.成交中标通知书(如有)；3.本合同专用条款及附件；4.询标纪要及有关承诺附件(如有)；5.投标函及附件；6.除投标函及附件外的其他磋商响应文件；7.竞争性磋商文件及附件；8.本合同通用条款及附件；9.技术标准及规范；10.施工图纸； 11.标价的工程量清单；12.工程质量保修书；13.其他文件（双方有关本工程的洽商、变更等书面协议或文件）</w:t>
      </w:r>
      <w:r>
        <w:rPr>
          <w:rFonts w:hint="eastAsia" w:ascii="宋体" w:hAnsi="宋体" w:eastAsia="宋体" w:cs="宋体"/>
          <w:color w:val="auto"/>
          <w:sz w:val="24"/>
        </w:rPr>
        <w:t>。</w:t>
      </w:r>
    </w:p>
    <w:p w14:paraId="2AA7B2D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在合同订立及履行过程中形成的与合同有关的文件均构成合同文件组成部分。</w:t>
      </w:r>
    </w:p>
    <w:p w14:paraId="2439A6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14:paraId="70574415">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七、承诺</w:t>
      </w:r>
    </w:p>
    <w:p w14:paraId="286ACD4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1.发包人承诺按照法律规定履行项目审批手续、筹集工程建设资金并按照合同约定的期限和方式支付合同价款。</w:t>
      </w:r>
    </w:p>
    <w:p w14:paraId="1EC4EE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2.承包人承诺按照法律规定及合同约定组织完成工程施工，确保工程质量和安全，不进行转包及违法分包，并在缺陷责任期及保修期内承担相应的工程维修责任。</w:t>
      </w:r>
    </w:p>
    <w:p w14:paraId="6AF666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3.发包人和承包人通过招投标形式签订合同的，双方理解并承诺不再就同一工程另行签订与合同实质性内容相背离的协议。</w:t>
      </w:r>
    </w:p>
    <w:p w14:paraId="6EC7653F">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八、词语含义</w:t>
      </w:r>
    </w:p>
    <w:p w14:paraId="0D691EA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本协议书中词语含义与第二部分通用合同条款中赋予的含义相同。</w:t>
      </w:r>
    </w:p>
    <w:p w14:paraId="3753D3FC">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九、签订时间</w:t>
      </w:r>
    </w:p>
    <w:p w14:paraId="6061F2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本合同于</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日签订。</w:t>
      </w:r>
    </w:p>
    <w:p w14:paraId="6435ED97">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十、签订地点</w:t>
      </w:r>
    </w:p>
    <w:p w14:paraId="04D3F1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本合同在</w:t>
      </w:r>
      <w:r>
        <w:rPr>
          <w:rFonts w:hint="eastAsia" w:ascii="宋体" w:hAnsi="宋体" w:eastAsia="宋体" w:cs="宋体"/>
          <w:color w:val="auto"/>
          <w:sz w:val="24"/>
          <w:u w:val="single"/>
        </w:rPr>
        <w:t>浙江警察学院签订</w:t>
      </w:r>
      <w:r>
        <w:rPr>
          <w:rFonts w:hint="eastAsia" w:ascii="宋体" w:hAnsi="宋体" w:eastAsia="宋体" w:cs="宋体"/>
          <w:color w:val="auto"/>
          <w:sz w:val="24"/>
        </w:rPr>
        <w:t>。</w:t>
      </w:r>
    </w:p>
    <w:p w14:paraId="75C9B619">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十一、补充协议</w:t>
      </w:r>
    </w:p>
    <w:p w14:paraId="2AD425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合同未尽事宜，合同当事人另行签订补充协议，补充协议是合同的组成部分。</w:t>
      </w:r>
    </w:p>
    <w:p w14:paraId="68A9C48B">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十二、合同生效</w:t>
      </w:r>
    </w:p>
    <w:p w14:paraId="465E893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本合同自签订盖章之日生效。</w:t>
      </w:r>
    </w:p>
    <w:p w14:paraId="696ECE1E">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十三、合同份数</w:t>
      </w:r>
    </w:p>
    <w:p w14:paraId="35B8CC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本合同一式捌份，均具有同等法律效力，发包人执伍份，承包人执叁份。</w:t>
      </w:r>
    </w:p>
    <w:p w14:paraId="3BE646D9">
      <w:pPr>
        <w:pStyle w:val="412"/>
        <w:pageBreakBefore w:val="0"/>
        <w:kinsoku/>
        <w:wordWrap/>
        <w:overflowPunct/>
        <w:topLinePunct w:val="0"/>
        <w:bidi w:val="0"/>
        <w:adjustRightInd w:val="0"/>
        <w:snapToGrid w:val="0"/>
        <w:spacing w:line="360" w:lineRule="auto"/>
        <w:rPr>
          <w:rFonts w:hint="eastAsia" w:ascii="宋体" w:hAnsi="宋体" w:eastAsia="宋体" w:cs="宋体"/>
          <w:color w:val="auto"/>
        </w:rPr>
      </w:pPr>
    </w:p>
    <w:p w14:paraId="3D88DC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单位名称（章）浙江警察学院             单位名称（章）</w:t>
      </w:r>
    </w:p>
    <w:p w14:paraId="51757E7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p>
    <w:p w14:paraId="01F3C5B9">
      <w:pPr>
        <w:pageBreakBefore w:val="0"/>
        <w:kinsoku/>
        <w:wordWrap/>
        <w:overflowPunct/>
        <w:topLinePunct w:val="0"/>
        <w:bidi w:val="0"/>
        <w:adjustRightInd w:val="0"/>
        <w:snapToGrid w:val="0"/>
        <w:spacing w:line="360" w:lineRule="auto"/>
        <w:ind w:left="6660" w:leftChars="200" w:hanging="6240" w:hangingChars="2600"/>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单位地址： </w:t>
      </w:r>
      <w:r>
        <w:rPr>
          <w:rFonts w:hint="eastAsia" w:ascii="宋体" w:hAnsi="宋体" w:eastAsia="宋体" w:cs="宋体"/>
          <w:color w:val="auto"/>
          <w:sz w:val="24"/>
          <w:szCs w:val="24"/>
          <w:lang w:val="en-US" w:eastAsia="zh-CN"/>
        </w:rPr>
        <w:t>浙江省杭州市滨文路555号</w:t>
      </w:r>
      <w:r>
        <w:rPr>
          <w:rFonts w:hint="eastAsia" w:ascii="宋体" w:hAnsi="宋体" w:eastAsia="宋体" w:cs="宋体"/>
          <w:color w:val="auto"/>
          <w:sz w:val="24"/>
          <w:szCs w:val="24"/>
        </w:rPr>
        <w:t xml:space="preserve">      单位地址：</w:t>
      </w:r>
    </w:p>
    <w:p w14:paraId="6EFA9E1D">
      <w:pPr>
        <w:pStyle w:val="2"/>
        <w:rPr>
          <w:rFonts w:hint="eastAsia"/>
          <w:color w:val="auto"/>
          <w:lang w:val="en-US" w:eastAsia="zh-CN"/>
        </w:rPr>
      </w:pPr>
    </w:p>
    <w:p w14:paraId="2C69E9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代表签名（委托代理人）：                   代表签名（委托代理人）：</w:t>
      </w:r>
    </w:p>
    <w:p w14:paraId="2677DD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88892715</w:t>
      </w:r>
      <w:r>
        <w:rPr>
          <w:rFonts w:hint="eastAsia" w:ascii="宋体" w:hAnsi="宋体" w:eastAsia="宋体" w:cs="宋体"/>
          <w:color w:val="auto"/>
          <w:sz w:val="24"/>
          <w:szCs w:val="24"/>
        </w:rPr>
        <w:t xml:space="preserve">                            电话： </w:t>
      </w:r>
    </w:p>
    <w:p w14:paraId="01024EE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47EB17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  工行钱江支行                  开户银行：</w:t>
      </w:r>
    </w:p>
    <w:p w14:paraId="600BAB9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帐号： 1202021429900123161                帐号： </w:t>
      </w:r>
    </w:p>
    <w:p w14:paraId="49E042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税号：                                    税号： </w:t>
      </w:r>
    </w:p>
    <w:p w14:paraId="62FDE4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14:paraId="51FBA399">
      <w:pPr>
        <w:pStyle w:val="412"/>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rPr>
      </w:pPr>
    </w:p>
    <w:p w14:paraId="11E098C5">
      <w:pPr>
        <w:pStyle w:val="23"/>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rPr>
      </w:pPr>
    </w:p>
    <w:p w14:paraId="00513478">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rPr>
      </w:pPr>
    </w:p>
    <w:p w14:paraId="6CF2D326">
      <w:pPr>
        <w:pStyle w:val="23"/>
        <w:pageBreakBefore w:val="0"/>
        <w:kinsoku/>
        <w:wordWrap/>
        <w:overflowPunct/>
        <w:topLinePunct w:val="0"/>
        <w:bidi w:val="0"/>
        <w:adjustRightInd w:val="0"/>
        <w:snapToGrid w:val="0"/>
        <w:spacing w:after="0" w:line="360" w:lineRule="auto"/>
        <w:ind w:firstLine="480" w:firstLineChars="200"/>
        <w:rPr>
          <w:rFonts w:hint="eastAsia" w:ascii="宋体" w:hAnsi="宋体" w:eastAsia="宋体" w:cs="宋体"/>
          <w:bCs/>
          <w:color w:val="auto"/>
          <w:sz w:val="24"/>
          <w:szCs w:val="24"/>
          <w:u w:val="none"/>
          <w:lang w:eastAsia="zh-CN"/>
        </w:rPr>
      </w:pPr>
      <w:r>
        <w:rPr>
          <w:rFonts w:hint="eastAsia" w:ascii="宋体" w:hAnsi="宋体" w:eastAsia="宋体" w:cs="宋体"/>
          <w:color w:val="auto"/>
          <w:sz w:val="24"/>
          <w:szCs w:val="24"/>
          <w:u w:val="none"/>
          <w:lang w:val="en-US" w:eastAsia="zh-CN"/>
        </w:rPr>
        <w:t>合同鉴证方：</w:t>
      </w:r>
      <w:r>
        <w:rPr>
          <w:rFonts w:hint="eastAsia" w:ascii="宋体" w:hAnsi="宋体" w:eastAsia="宋体" w:cs="宋体"/>
          <w:bCs/>
          <w:color w:val="auto"/>
          <w:sz w:val="24"/>
          <w:szCs w:val="24"/>
          <w:u w:val="none"/>
          <w:lang w:eastAsia="zh-CN"/>
        </w:rPr>
        <w:t>浙江豪圣建设项目管理有限公司</w:t>
      </w:r>
    </w:p>
    <w:p w14:paraId="4AB1F38A">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rPr>
      </w:pPr>
    </w:p>
    <w:p w14:paraId="2C5A33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u w:val="none"/>
          <w:lang w:val="en-US" w:eastAsia="zh-CN"/>
        </w:rPr>
      </w:pPr>
      <w:r>
        <w:rPr>
          <w:rFonts w:hint="eastAsia" w:ascii="宋体" w:hAnsi="宋体" w:eastAsia="宋体" w:cs="宋体"/>
          <w:bCs/>
          <w:color w:val="auto"/>
          <w:sz w:val="24"/>
          <w:szCs w:val="24"/>
          <w:u w:val="none"/>
          <w:lang w:val="en-US" w:eastAsia="zh-CN"/>
        </w:rPr>
        <w:t>法人代表或主要负责人：</w:t>
      </w:r>
    </w:p>
    <w:p w14:paraId="40E67C60">
      <w:pPr>
        <w:pStyle w:val="412"/>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lang w:val="en-US" w:eastAsia="zh-CN"/>
        </w:rPr>
      </w:pPr>
    </w:p>
    <w:p w14:paraId="0D9711E2">
      <w:pPr>
        <w:pStyle w:val="412"/>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u w:val="none"/>
          <w:lang w:val="en-US" w:eastAsia="zh-CN"/>
        </w:rPr>
        <w:t>鉴证日期：</w:t>
      </w:r>
    </w:p>
    <w:p w14:paraId="746A2E73">
      <w:pPr>
        <w:pStyle w:val="412"/>
        <w:pageBreakBefore w:val="0"/>
        <w:kinsoku/>
        <w:wordWrap/>
        <w:overflowPunct/>
        <w:topLinePunct w:val="0"/>
        <w:bidi w:val="0"/>
        <w:adjustRightInd w:val="0"/>
        <w:snapToGrid w:val="0"/>
        <w:spacing w:line="360" w:lineRule="auto"/>
        <w:rPr>
          <w:rFonts w:hint="eastAsia" w:ascii="宋体" w:hAnsi="宋体" w:eastAsia="宋体" w:cs="宋体"/>
          <w:color w:val="auto"/>
          <w:szCs w:val="21"/>
        </w:rPr>
      </w:pPr>
    </w:p>
    <w:p w14:paraId="7A06D44F">
      <w:pPr>
        <w:pStyle w:val="23"/>
        <w:pageBreakBefore w:val="0"/>
        <w:kinsoku/>
        <w:wordWrap/>
        <w:overflowPunct/>
        <w:topLinePunct w:val="0"/>
        <w:bidi w:val="0"/>
        <w:adjustRightInd w:val="0"/>
        <w:snapToGrid w:val="0"/>
        <w:spacing w:after="0" w:line="360" w:lineRule="auto"/>
        <w:rPr>
          <w:rFonts w:hint="eastAsia" w:ascii="宋体" w:hAnsi="宋体" w:eastAsia="宋体" w:cs="宋体"/>
          <w:b/>
          <w:color w:val="auto"/>
          <w:sz w:val="28"/>
          <w:szCs w:val="28"/>
        </w:rPr>
      </w:pPr>
    </w:p>
    <w:p w14:paraId="43C546FD">
      <w:pPr>
        <w:pageBreakBefore w:val="0"/>
        <w:kinsoku/>
        <w:wordWrap/>
        <w:overflowPunct/>
        <w:topLinePunct w:val="0"/>
        <w:bidi w:val="0"/>
        <w:adjustRightInd w:val="0"/>
        <w:snapToGrid w:val="0"/>
        <w:spacing w:line="360" w:lineRule="auto"/>
        <w:rPr>
          <w:rFonts w:hint="eastAsia" w:ascii="宋体" w:hAnsi="宋体" w:eastAsia="宋体" w:cs="宋体"/>
          <w:b/>
          <w:color w:val="auto"/>
          <w:sz w:val="28"/>
          <w:szCs w:val="28"/>
        </w:rPr>
      </w:pPr>
    </w:p>
    <w:p w14:paraId="6A5E6DAF">
      <w:pPr>
        <w:pStyle w:val="412"/>
        <w:pageBreakBefore w:val="0"/>
        <w:kinsoku/>
        <w:wordWrap/>
        <w:overflowPunct/>
        <w:topLinePunct w:val="0"/>
        <w:bidi w:val="0"/>
        <w:adjustRightInd w:val="0"/>
        <w:snapToGrid w:val="0"/>
        <w:spacing w:line="360" w:lineRule="auto"/>
        <w:rPr>
          <w:rFonts w:hint="eastAsia" w:ascii="宋体" w:hAnsi="宋体" w:eastAsia="宋体" w:cs="宋体"/>
          <w:color w:val="auto"/>
        </w:rPr>
      </w:pPr>
    </w:p>
    <w:p w14:paraId="7EE4A1A9">
      <w:pPr>
        <w:rPr>
          <w:rFonts w:hint="eastAsia" w:ascii="宋体" w:hAnsi="宋体" w:eastAsia="宋体" w:cs="宋体"/>
          <w:color w:val="auto"/>
        </w:rPr>
      </w:pPr>
      <w:r>
        <w:rPr>
          <w:rFonts w:hint="eastAsia" w:ascii="宋体" w:hAnsi="宋体" w:eastAsia="宋体" w:cs="宋体"/>
          <w:color w:val="auto"/>
        </w:rPr>
        <w:br w:type="page"/>
      </w:r>
    </w:p>
    <w:p w14:paraId="7DE59ACC">
      <w:pPr>
        <w:rPr>
          <w:rFonts w:hint="eastAsia"/>
          <w:color w:val="auto"/>
        </w:rPr>
      </w:pPr>
    </w:p>
    <w:p w14:paraId="2949AABA">
      <w:pPr>
        <w:pStyle w:val="23"/>
        <w:pageBreakBefore w:val="0"/>
        <w:kinsoku/>
        <w:wordWrap/>
        <w:overflowPunct/>
        <w:topLinePunct w:val="0"/>
        <w:bidi w:val="0"/>
        <w:adjustRightInd w:val="0"/>
        <w:snapToGrid w:val="0"/>
        <w:spacing w:after="0" w:line="360" w:lineRule="auto"/>
        <w:rPr>
          <w:rFonts w:hint="eastAsia" w:ascii="宋体" w:hAnsi="宋体" w:eastAsia="宋体" w:cs="宋体"/>
          <w:color w:val="auto"/>
        </w:rPr>
      </w:pPr>
    </w:p>
    <w:p w14:paraId="7F52CC15">
      <w:pPr>
        <w:pageBreakBefore w:val="0"/>
        <w:kinsoku/>
        <w:wordWrap/>
        <w:overflowPunct/>
        <w:topLinePunct w:val="0"/>
        <w:bidi w:val="0"/>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第二部分 通用合同条款（略）</w:t>
      </w:r>
    </w:p>
    <w:p w14:paraId="59BC007A">
      <w:pPr>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执行GF—2017—0201《建设工程施工合同》(示范文本)</w:t>
      </w:r>
    </w:p>
    <w:p w14:paraId="3F7FF6BF">
      <w:pPr>
        <w:pageBreakBefore w:val="0"/>
        <w:kinsoku/>
        <w:wordWrap/>
        <w:overflowPunct/>
        <w:topLinePunct w:val="0"/>
        <w:bidi w:val="0"/>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第三部分 专用合同条款</w:t>
      </w:r>
    </w:p>
    <w:p w14:paraId="16F9916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一般约定</w:t>
      </w:r>
    </w:p>
    <w:p w14:paraId="138177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词语定义</w:t>
      </w:r>
    </w:p>
    <w:p w14:paraId="0F7FB3A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1.1.1合同</w:t>
      </w:r>
    </w:p>
    <w:p w14:paraId="00A723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1.1.1.10其他合同文件包括：</w:t>
      </w:r>
      <w:r>
        <w:rPr>
          <w:rFonts w:hint="eastAsia" w:ascii="宋体" w:hAnsi="宋体" w:eastAsia="宋体" w:cs="宋体"/>
          <w:color w:val="auto"/>
          <w:sz w:val="24"/>
          <w:u w:val="single"/>
        </w:rPr>
        <w:t>1.本合同协议书；2.成交中标通知书(如有)；3.询标纪要及有关承诺附件(如有)；4.投标函及附件；5.除投标函及附件外的其他磋商响应文件；6.竞争性磋商文件及附件；7.本合同通用条款及附件；8.技术标准及规范；9.施工图纸；10.标价的工程量清单；11.工程质量保修书；12.其他文件（双方有关本工程的洽商、变更等书面协议或文件）</w:t>
      </w:r>
      <w:r>
        <w:rPr>
          <w:rFonts w:hint="eastAsia" w:ascii="宋体" w:hAnsi="宋体" w:eastAsia="宋体" w:cs="宋体"/>
          <w:color w:val="auto"/>
          <w:sz w:val="24"/>
        </w:rPr>
        <w:t>。</w:t>
      </w:r>
    </w:p>
    <w:p w14:paraId="436F19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 合同当事人及其他相关方</w:t>
      </w:r>
    </w:p>
    <w:p w14:paraId="2FF714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1.1.2.4监理人：</w:t>
      </w:r>
    </w:p>
    <w:p w14:paraId="45FC2B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名</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称</w:t>
      </w:r>
      <w:r>
        <w:rPr>
          <w:rFonts w:hint="eastAsia" w:ascii="宋体" w:hAnsi="宋体" w:eastAsia="宋体" w:cs="宋体"/>
          <w:color w:val="auto"/>
          <w:sz w:val="24"/>
          <w:lang w:val="en-US" w:eastAsia="zh-CN"/>
        </w:rPr>
        <w:t>:</w:t>
      </w:r>
    </w:p>
    <w:p w14:paraId="5AE9071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资质类别和等级：</w:t>
      </w:r>
    </w:p>
    <w:p w14:paraId="0A3934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联系电话: </w:t>
      </w:r>
    </w:p>
    <w:p w14:paraId="611108D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电子信箱：</w:t>
      </w:r>
    </w:p>
    <w:p w14:paraId="22B31E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通信地址：</w:t>
      </w:r>
    </w:p>
    <w:p w14:paraId="4E0847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1.1.2.5 设计人：</w:t>
      </w:r>
    </w:p>
    <w:p w14:paraId="7D4B55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p>
    <w:p w14:paraId="1C093F0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资质类别和等级：</w:t>
      </w:r>
    </w:p>
    <w:p w14:paraId="0DAAA68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p>
    <w:p w14:paraId="07A47A2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电子信箱：；</w:t>
      </w:r>
    </w:p>
    <w:p w14:paraId="5490D89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通信地址：</w:t>
      </w:r>
    </w:p>
    <w:p w14:paraId="627A6BC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 工程和设备</w:t>
      </w:r>
    </w:p>
    <w:p w14:paraId="3DC624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1.1.3.7 作为施工现场组成部分的其他场所包括：</w:t>
      </w:r>
      <w:r>
        <w:rPr>
          <w:rFonts w:hint="eastAsia" w:ascii="宋体" w:hAnsi="宋体" w:eastAsia="宋体" w:cs="宋体"/>
          <w:color w:val="auto"/>
          <w:sz w:val="24"/>
          <w:u w:val="single"/>
        </w:rPr>
        <w:t xml:space="preserve"> / </w:t>
      </w:r>
    </w:p>
    <w:p w14:paraId="70BA7E3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1.1.3.9 永久占地包括：</w:t>
      </w:r>
      <w:r>
        <w:rPr>
          <w:rFonts w:hint="eastAsia" w:ascii="宋体" w:hAnsi="宋体" w:eastAsia="宋体" w:cs="宋体"/>
          <w:color w:val="auto"/>
          <w:sz w:val="24"/>
          <w:u w:val="single"/>
        </w:rPr>
        <w:t xml:space="preserve"> / </w:t>
      </w:r>
    </w:p>
    <w:p w14:paraId="61B5FE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1.1.3.10 临时占地包括：</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5740CE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1.3法律 </w:t>
      </w:r>
    </w:p>
    <w:p w14:paraId="54CECF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适用于合同的其他规范性文件：</w:t>
      </w:r>
      <w:r>
        <w:rPr>
          <w:rFonts w:hint="eastAsia" w:ascii="宋体" w:hAnsi="宋体" w:eastAsia="宋体" w:cs="宋体"/>
          <w:color w:val="auto"/>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宋体" w:hAnsi="宋体" w:eastAsia="宋体" w:cs="宋体"/>
          <w:color w:val="auto"/>
          <w:sz w:val="24"/>
        </w:rPr>
        <w:t>。</w:t>
      </w:r>
    </w:p>
    <w:p w14:paraId="6AD0220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 标准和规范</w:t>
      </w:r>
    </w:p>
    <w:p w14:paraId="21EDEB4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1.4.1适用于工程的标准规范包括：</w:t>
      </w:r>
      <w:r>
        <w:rPr>
          <w:rFonts w:hint="eastAsia" w:ascii="宋体" w:hAnsi="宋体" w:eastAsia="宋体" w:cs="宋体"/>
          <w:color w:val="auto"/>
          <w:sz w:val="24"/>
          <w:u w:val="single"/>
        </w:rPr>
        <w:t>国家、建设部、浙江省、杭州市以及相关行业现行的有关工程的规范、规程、标准</w:t>
      </w:r>
      <w:r>
        <w:rPr>
          <w:rFonts w:hint="eastAsia" w:ascii="宋体" w:hAnsi="宋体" w:eastAsia="宋体" w:cs="宋体"/>
          <w:color w:val="auto"/>
          <w:sz w:val="24"/>
        </w:rPr>
        <w:t>。</w:t>
      </w:r>
    </w:p>
    <w:p w14:paraId="2197D54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发包人提供国外标准、规范的名称：</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14:paraId="65331D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发包人提供国外标准、规范的份数：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4AE084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发包人提供国外标准、规范的名称：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AF2D1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1.4.3发包人对工程的技术标准和功能要求的特殊要求：</w:t>
      </w:r>
      <w:r>
        <w:rPr>
          <w:rFonts w:hint="eastAsia" w:ascii="宋体" w:hAnsi="宋体" w:eastAsia="宋体" w:cs="宋体"/>
          <w:color w:val="auto"/>
          <w:sz w:val="24"/>
          <w:u w:val="single"/>
        </w:rPr>
        <w:t xml:space="preserve"> 无</w:t>
      </w:r>
      <w:r>
        <w:rPr>
          <w:rFonts w:hint="eastAsia" w:ascii="宋体" w:hAnsi="宋体" w:eastAsia="宋体" w:cs="宋体"/>
          <w:color w:val="auto"/>
          <w:sz w:val="24"/>
        </w:rPr>
        <w:t>。</w:t>
      </w:r>
    </w:p>
    <w:p w14:paraId="42D6704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 合同文件的优先顺序</w:t>
      </w:r>
    </w:p>
    <w:p w14:paraId="628964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合同文件组成及优先顺序为：</w:t>
      </w:r>
      <w:r>
        <w:rPr>
          <w:rFonts w:hint="eastAsia" w:ascii="宋体" w:hAnsi="宋体" w:eastAsia="宋体" w:cs="宋体"/>
          <w:color w:val="auto"/>
          <w:sz w:val="24"/>
          <w:u w:val="single"/>
        </w:rPr>
        <w:t>1.本合同协议书；2.成交中标通知书(如有)；3.本合同专用条款及附件；4.询标纪要及有关承诺附件(如有)；5. 投标函及附件；6.除投标函及附件外的其他磋商响应文件；7.竞争性磋商文件及附件；8.本合同通用条款及附件；9.技术标准及规范；10.施工图纸；11.标价的工程量清单；12.工程质量保修书；13.其他文件（双方有关本工程的洽商、变更等书面协议或文件）</w:t>
      </w:r>
      <w:r>
        <w:rPr>
          <w:rFonts w:hint="eastAsia" w:ascii="宋体" w:hAnsi="宋体" w:eastAsia="宋体" w:cs="宋体"/>
          <w:color w:val="auto"/>
          <w:sz w:val="24"/>
        </w:rPr>
        <w:t>。</w:t>
      </w:r>
    </w:p>
    <w:p w14:paraId="13DAC9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 图纸和承包人文件</w:t>
      </w:r>
      <w:r>
        <w:rPr>
          <w:rFonts w:hint="eastAsia" w:ascii="宋体" w:hAnsi="宋体" w:eastAsia="宋体" w:cs="宋体"/>
          <w:color w:val="auto"/>
          <w:sz w:val="24"/>
        </w:rPr>
        <w:tab/>
      </w:r>
    </w:p>
    <w:p w14:paraId="5625680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图纸的提供</w:t>
      </w:r>
    </w:p>
    <w:p w14:paraId="047A322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发包人向承包人提供图纸的期限：</w:t>
      </w:r>
      <w:r>
        <w:rPr>
          <w:rFonts w:hint="eastAsia" w:ascii="宋体" w:hAnsi="宋体" w:eastAsia="宋体" w:cs="宋体"/>
          <w:color w:val="auto"/>
          <w:sz w:val="24"/>
          <w:u w:val="single"/>
        </w:rPr>
        <w:t>合同签订后7天内</w:t>
      </w:r>
      <w:r>
        <w:rPr>
          <w:rFonts w:hint="eastAsia" w:ascii="宋体" w:hAnsi="宋体" w:eastAsia="宋体" w:cs="宋体"/>
          <w:color w:val="auto"/>
          <w:sz w:val="24"/>
        </w:rPr>
        <w:t>；</w:t>
      </w:r>
    </w:p>
    <w:p w14:paraId="3DA41B4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发包人向承包人提供图纸的数量：</w:t>
      </w:r>
      <w:r>
        <w:rPr>
          <w:rFonts w:hint="eastAsia" w:ascii="宋体" w:hAnsi="宋体" w:eastAsia="宋体" w:cs="宋体"/>
          <w:color w:val="auto"/>
          <w:sz w:val="24"/>
          <w:u w:val="single"/>
        </w:rPr>
        <w:t>3套，如承包人额外需要提供施工图纸的，则额外增加的施工图纸的制作费由承包人承担</w:t>
      </w:r>
      <w:r>
        <w:rPr>
          <w:rFonts w:hint="eastAsia" w:ascii="宋体" w:hAnsi="宋体" w:eastAsia="宋体" w:cs="宋体"/>
          <w:color w:val="auto"/>
          <w:sz w:val="24"/>
        </w:rPr>
        <w:t>；</w:t>
      </w:r>
    </w:p>
    <w:p w14:paraId="5FCDAF4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发包人向承包人提供图纸的内容：</w:t>
      </w:r>
      <w:r>
        <w:rPr>
          <w:rFonts w:hint="eastAsia" w:ascii="宋体" w:hAnsi="宋体" w:eastAsia="宋体" w:cs="宋体"/>
          <w:color w:val="auto"/>
          <w:sz w:val="24"/>
          <w:u w:val="single"/>
        </w:rPr>
        <w:t>全套施工图</w:t>
      </w:r>
      <w:r>
        <w:rPr>
          <w:rFonts w:hint="eastAsia" w:ascii="宋体" w:hAnsi="宋体" w:eastAsia="宋体" w:cs="宋体"/>
          <w:color w:val="auto"/>
          <w:sz w:val="24"/>
        </w:rPr>
        <w:t>。</w:t>
      </w:r>
    </w:p>
    <w:p w14:paraId="34FCE2A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1.6.4 承包人文件</w:t>
      </w:r>
    </w:p>
    <w:p w14:paraId="097F38D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需要由承包人提供的文件，包括：</w:t>
      </w:r>
      <w:r>
        <w:rPr>
          <w:rFonts w:hint="eastAsia" w:ascii="宋体" w:hAnsi="宋体" w:eastAsia="宋体" w:cs="宋体"/>
          <w:color w:val="auto"/>
          <w:sz w:val="24"/>
          <w:u w:val="single"/>
        </w:rPr>
        <w:t>施工组织设计、进度计划、发包人要求和政府规定提供的其他文件</w:t>
      </w:r>
      <w:r>
        <w:rPr>
          <w:rFonts w:hint="eastAsia" w:ascii="宋体" w:hAnsi="宋体" w:eastAsia="宋体" w:cs="宋体"/>
          <w:color w:val="auto"/>
          <w:sz w:val="24"/>
        </w:rPr>
        <w:t>；</w:t>
      </w:r>
    </w:p>
    <w:p w14:paraId="0F1D0C9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承包人提供的文件的期限为：</w:t>
      </w:r>
      <w:r>
        <w:rPr>
          <w:rFonts w:hint="eastAsia" w:ascii="宋体" w:hAnsi="宋体" w:eastAsia="宋体" w:cs="宋体"/>
          <w:color w:val="auto"/>
          <w:sz w:val="24"/>
          <w:u w:val="single"/>
        </w:rPr>
        <w:t>发包人提出要求后7天内</w:t>
      </w:r>
      <w:r>
        <w:rPr>
          <w:rFonts w:hint="eastAsia" w:ascii="宋体" w:hAnsi="宋体" w:eastAsia="宋体" w:cs="宋体"/>
          <w:color w:val="auto"/>
          <w:sz w:val="24"/>
        </w:rPr>
        <w:t>；</w:t>
      </w:r>
    </w:p>
    <w:p w14:paraId="781ECFE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承包人提供的文件的数量为：</w:t>
      </w:r>
      <w:r>
        <w:rPr>
          <w:rFonts w:hint="eastAsia" w:ascii="宋体" w:hAnsi="宋体" w:eastAsia="宋体" w:cs="宋体"/>
          <w:color w:val="auto"/>
          <w:sz w:val="24"/>
          <w:u w:val="single"/>
        </w:rPr>
        <w:t>4套</w:t>
      </w:r>
      <w:r>
        <w:rPr>
          <w:rFonts w:hint="eastAsia" w:ascii="宋体" w:hAnsi="宋体" w:eastAsia="宋体" w:cs="宋体"/>
          <w:color w:val="auto"/>
          <w:sz w:val="24"/>
        </w:rPr>
        <w:t>；</w:t>
      </w:r>
    </w:p>
    <w:p w14:paraId="298EDB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承包人提供的文件的形式为：</w:t>
      </w:r>
      <w:r>
        <w:rPr>
          <w:rFonts w:hint="eastAsia" w:ascii="宋体" w:hAnsi="宋体" w:eastAsia="宋体" w:cs="宋体"/>
          <w:color w:val="auto"/>
          <w:sz w:val="24"/>
          <w:u w:val="single"/>
        </w:rPr>
        <w:t>按发包人要求</w:t>
      </w:r>
      <w:r>
        <w:rPr>
          <w:rFonts w:hint="eastAsia" w:ascii="宋体" w:hAnsi="宋体" w:eastAsia="宋体" w:cs="宋体"/>
          <w:color w:val="auto"/>
          <w:sz w:val="24"/>
        </w:rPr>
        <w:t>；</w:t>
      </w:r>
    </w:p>
    <w:p w14:paraId="1A59994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发包人审批承包人文件的期限：</w:t>
      </w:r>
      <w:r>
        <w:rPr>
          <w:rFonts w:hint="eastAsia" w:ascii="宋体" w:hAnsi="宋体" w:eastAsia="宋体" w:cs="宋体"/>
          <w:color w:val="auto"/>
          <w:sz w:val="24"/>
          <w:u w:val="single"/>
        </w:rPr>
        <w:t>收到后7天内</w:t>
      </w:r>
      <w:r>
        <w:rPr>
          <w:rFonts w:hint="eastAsia" w:ascii="宋体" w:hAnsi="宋体" w:eastAsia="宋体" w:cs="宋体"/>
          <w:color w:val="auto"/>
          <w:sz w:val="24"/>
        </w:rPr>
        <w:t>。</w:t>
      </w:r>
    </w:p>
    <w:p w14:paraId="6A3AB76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在收到《成交通知书》后，需要由承包人向发包人提供7套纸质版本磋商响应文件（须与政府采购云平台上的电子文件内容一致）</w:t>
      </w:r>
      <w:r>
        <w:rPr>
          <w:rFonts w:hint="eastAsia" w:ascii="宋体" w:hAnsi="宋体" w:eastAsia="宋体" w:cs="宋体"/>
          <w:color w:val="auto"/>
          <w:sz w:val="24"/>
        </w:rPr>
        <w:t>。</w:t>
      </w:r>
    </w:p>
    <w:p w14:paraId="5D247B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1.6.5 现场图纸准备</w:t>
      </w:r>
    </w:p>
    <w:p w14:paraId="4D3490E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关于现场图纸准备的约定：</w:t>
      </w:r>
      <w:r>
        <w:rPr>
          <w:rFonts w:hint="eastAsia" w:ascii="宋体" w:hAnsi="宋体" w:eastAsia="宋体" w:cs="宋体"/>
          <w:color w:val="auto"/>
          <w:sz w:val="24"/>
          <w:u w:val="single"/>
        </w:rPr>
        <w:t>发包人、监理人及有关人员进行工程检查时使用的图纸由承包人提供</w:t>
      </w:r>
      <w:r>
        <w:rPr>
          <w:rFonts w:hint="eastAsia" w:ascii="宋体" w:hAnsi="宋体" w:eastAsia="宋体" w:cs="宋体"/>
          <w:color w:val="auto"/>
          <w:sz w:val="24"/>
        </w:rPr>
        <w:t>。</w:t>
      </w:r>
    </w:p>
    <w:p w14:paraId="66AA1F6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 联络</w:t>
      </w:r>
    </w:p>
    <w:p w14:paraId="11D3E4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1.7.1发包人和承包人应当在</w:t>
      </w:r>
      <w:r>
        <w:rPr>
          <w:rFonts w:hint="eastAsia" w:ascii="宋体" w:hAnsi="宋体" w:eastAsia="宋体" w:cs="宋体"/>
          <w:color w:val="auto"/>
          <w:sz w:val="24"/>
          <w:u w:val="single"/>
        </w:rPr>
        <w:t xml:space="preserve"> 3 </w:t>
      </w:r>
      <w:r>
        <w:rPr>
          <w:rFonts w:hint="eastAsia" w:ascii="宋体" w:hAnsi="宋体" w:eastAsia="宋体" w:cs="宋体"/>
          <w:color w:val="auto"/>
          <w:sz w:val="24"/>
        </w:rPr>
        <w:t>天内将与合同有关的通知、批准、证明、证书、指示、指令、要求、请求、同意、意见、确定和决定等书面函件送达对方当事人。</w:t>
      </w:r>
    </w:p>
    <w:p w14:paraId="1B0396A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 发包人接收文件的地点：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校内</w:t>
      </w:r>
      <w:r>
        <w:rPr>
          <w:rFonts w:hint="eastAsia" w:ascii="宋体" w:hAnsi="宋体" w:eastAsia="宋体" w:cs="宋体"/>
          <w:color w:val="auto"/>
          <w:sz w:val="24"/>
          <w:u w:val="single"/>
        </w:rPr>
        <w:t xml:space="preserve">     </w:t>
      </w:r>
    </w:p>
    <w:p w14:paraId="02A20DC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发包人指定的接收人为：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CEA98E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承包人接收文件的地点：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校内</w:t>
      </w:r>
      <w:r>
        <w:rPr>
          <w:rFonts w:hint="eastAsia" w:ascii="宋体" w:hAnsi="宋体" w:eastAsia="宋体" w:cs="宋体"/>
          <w:color w:val="auto"/>
          <w:sz w:val="24"/>
          <w:u w:val="single"/>
        </w:rPr>
        <w:t xml:space="preserve">          </w:t>
      </w:r>
    </w:p>
    <w:p w14:paraId="726124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承包人指定的接收人为：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8F3DD2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监理人接收文件的地点：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校内</w:t>
      </w:r>
      <w:r>
        <w:rPr>
          <w:rFonts w:hint="eastAsia" w:ascii="宋体" w:hAnsi="宋体" w:eastAsia="宋体" w:cs="宋体"/>
          <w:color w:val="auto"/>
          <w:sz w:val="24"/>
          <w:u w:val="single"/>
        </w:rPr>
        <w:t xml:space="preserve">     </w:t>
      </w:r>
    </w:p>
    <w:p w14:paraId="6D1CC0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监理人指定的接收人为：</w:t>
      </w:r>
      <w:r>
        <w:rPr>
          <w:rFonts w:hint="eastAsia" w:ascii="宋体" w:hAnsi="宋体" w:eastAsia="宋体" w:cs="宋体"/>
          <w:color w:val="auto"/>
          <w:sz w:val="24"/>
          <w:u w:val="single"/>
        </w:rPr>
        <w:t xml:space="preserve">    </w:t>
      </w:r>
    </w:p>
    <w:p w14:paraId="4439177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1.10 交通运输</w:t>
      </w:r>
    </w:p>
    <w:p w14:paraId="184B22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1.10.1 出入现场的权利</w:t>
      </w:r>
    </w:p>
    <w:p w14:paraId="49023A1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关于出入现场的权利的约定:</w:t>
      </w:r>
      <w:r>
        <w:rPr>
          <w:rFonts w:hint="eastAsia" w:ascii="宋体" w:hAnsi="宋体" w:eastAsia="宋体" w:cs="宋体"/>
          <w:color w:val="auto"/>
          <w:sz w:val="24"/>
          <w:u w:val="single"/>
        </w:rPr>
        <w:t>承包人车辆进出按学校相关规定执行</w:t>
      </w:r>
      <w:r>
        <w:rPr>
          <w:rFonts w:hint="eastAsia" w:ascii="宋体" w:hAnsi="宋体" w:eastAsia="宋体" w:cs="宋体"/>
          <w:color w:val="auto"/>
          <w:sz w:val="24"/>
        </w:rPr>
        <w:t>。</w:t>
      </w:r>
    </w:p>
    <w:p w14:paraId="504EC46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1.10.3 场内交通</w:t>
      </w:r>
    </w:p>
    <w:p w14:paraId="0956AD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关于场外交通和场内交通的边界的约定：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55575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关于发包人向承包人免费提供满足工程施工需要的场内道路和交通设施的约定：</w:t>
      </w:r>
      <w:r>
        <w:rPr>
          <w:rFonts w:hint="eastAsia" w:ascii="宋体" w:hAnsi="宋体" w:eastAsia="宋体" w:cs="宋体"/>
          <w:color w:val="auto"/>
          <w:sz w:val="24"/>
          <w:u w:val="single"/>
        </w:rPr>
        <w:t>利用现有的场内道路和交通设施，如需新建，承包人自行建设，并承担费用，不得影响学校正常工作</w:t>
      </w:r>
      <w:r>
        <w:rPr>
          <w:rFonts w:hint="eastAsia" w:ascii="宋体" w:hAnsi="宋体" w:eastAsia="宋体" w:cs="宋体"/>
          <w:color w:val="auto"/>
          <w:sz w:val="24"/>
        </w:rPr>
        <w:t xml:space="preserve">。 </w:t>
      </w:r>
    </w:p>
    <w:p w14:paraId="65D8E50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1.10.4超大件和超重件的运输</w:t>
      </w:r>
    </w:p>
    <w:p w14:paraId="48AB48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运输超大件或超重件所需的道路和桥梁临时加固改造费用和其他有关费用由</w:t>
      </w:r>
      <w:r>
        <w:rPr>
          <w:rFonts w:hint="eastAsia" w:ascii="宋体" w:hAnsi="宋体" w:eastAsia="宋体" w:cs="宋体"/>
          <w:color w:val="auto"/>
          <w:sz w:val="24"/>
          <w:u w:val="single"/>
        </w:rPr>
        <w:t>承包人承担</w:t>
      </w:r>
      <w:r>
        <w:rPr>
          <w:rFonts w:hint="eastAsia" w:ascii="宋体" w:hAnsi="宋体" w:eastAsia="宋体" w:cs="宋体"/>
          <w:color w:val="auto"/>
          <w:sz w:val="24"/>
        </w:rPr>
        <w:t>。</w:t>
      </w:r>
    </w:p>
    <w:p w14:paraId="57AB27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知识产权</w:t>
      </w:r>
    </w:p>
    <w:p w14:paraId="6B70C6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336680B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关于发包人提供的上述文件的使用限制的要求：</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3927D2E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 关于承包人为实施工程所编制文件的著作权的归属：</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582C71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关于承包人提供的上述文件的使用限制的要求：</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5D03F0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1.11.4 承包人在施工过程中所采用的专利、专有技术、技术秘密的使用费的承担方式：</w:t>
      </w:r>
      <w:r>
        <w:rPr>
          <w:rFonts w:hint="eastAsia" w:ascii="宋体" w:hAnsi="宋体" w:eastAsia="宋体" w:cs="宋体"/>
          <w:color w:val="auto"/>
          <w:sz w:val="24"/>
          <w:u w:val="single"/>
        </w:rPr>
        <w:t>（除发包人指明外）承包人在施工过程中所采用的专利、专有技术、技术秘密的使用费包含在合同价款内</w:t>
      </w:r>
      <w:r>
        <w:rPr>
          <w:rFonts w:hint="eastAsia" w:ascii="宋体" w:hAnsi="宋体" w:eastAsia="宋体" w:cs="宋体"/>
          <w:color w:val="auto"/>
          <w:sz w:val="24"/>
        </w:rPr>
        <w:t>。</w:t>
      </w:r>
    </w:p>
    <w:p w14:paraId="4730BFE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1.13工程量清单错误的修正</w:t>
      </w:r>
    </w:p>
    <w:p w14:paraId="6407484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出现工程量清单错误时，是否调整合同价格：</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w:t>
      </w:r>
    </w:p>
    <w:p w14:paraId="39EA5A8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允许调整合同价格的工程量偏差范围：</w:t>
      </w:r>
      <w:r>
        <w:rPr>
          <w:rFonts w:hint="eastAsia" w:ascii="宋体" w:hAnsi="宋体" w:eastAsia="宋体" w:cs="宋体"/>
          <w:color w:val="auto"/>
          <w:sz w:val="24"/>
          <w:u w:val="single"/>
        </w:rPr>
        <w:t>±15%</w:t>
      </w:r>
      <w:r>
        <w:rPr>
          <w:rFonts w:hint="eastAsia" w:ascii="宋体" w:hAnsi="宋体" w:eastAsia="宋体" w:cs="宋体"/>
          <w:color w:val="auto"/>
          <w:sz w:val="24"/>
        </w:rPr>
        <w:t>；</w:t>
      </w:r>
    </w:p>
    <w:p w14:paraId="39507CC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调整合同价格的修正时间：</w:t>
      </w:r>
      <w:r>
        <w:rPr>
          <w:rFonts w:hint="eastAsia" w:ascii="宋体" w:hAnsi="宋体" w:eastAsia="宋体" w:cs="宋体"/>
          <w:color w:val="auto"/>
          <w:sz w:val="24"/>
          <w:u w:val="single"/>
        </w:rPr>
        <w:t>在工程结算审核时调整（计算方法参照2018版《建设工程工程量清单计价规范》执行）</w:t>
      </w:r>
      <w:r>
        <w:rPr>
          <w:rFonts w:hint="eastAsia" w:ascii="宋体" w:hAnsi="宋体" w:eastAsia="宋体" w:cs="宋体"/>
          <w:color w:val="auto"/>
          <w:sz w:val="24"/>
        </w:rPr>
        <w:t>。</w:t>
      </w:r>
    </w:p>
    <w:p w14:paraId="6164CD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 发包人</w:t>
      </w:r>
    </w:p>
    <w:p w14:paraId="2898A83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发包人代表</w:t>
      </w:r>
    </w:p>
    <w:p w14:paraId="249B1FF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发包人代表：</w:t>
      </w:r>
    </w:p>
    <w:p w14:paraId="062E4B4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p w14:paraId="1E78CF4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p>
    <w:p w14:paraId="3F4B51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040825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63B0B8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p>
    <w:p w14:paraId="0854E0E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p>
    <w:p w14:paraId="0BB5F2F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发包人对发包人代表的授权范围如下：</w:t>
      </w:r>
      <w:r>
        <w:rPr>
          <w:rFonts w:hint="eastAsia" w:ascii="宋体" w:hAnsi="宋体" w:eastAsia="宋体" w:cs="宋体"/>
          <w:color w:val="auto"/>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宋体" w:hAnsi="宋体" w:eastAsia="宋体" w:cs="宋体"/>
          <w:color w:val="auto"/>
          <w:sz w:val="24"/>
        </w:rPr>
        <w:t>。</w:t>
      </w:r>
    </w:p>
    <w:p w14:paraId="7CA1BB1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施工现场、施工条件和基础资料的提供</w:t>
      </w:r>
    </w:p>
    <w:p w14:paraId="5D5A52C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2.4.1 提供施工现场</w:t>
      </w:r>
    </w:p>
    <w:p w14:paraId="6D91ED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关于发包人移交施工现场的期限要求：</w:t>
      </w:r>
      <w:r>
        <w:rPr>
          <w:rFonts w:hint="eastAsia" w:ascii="宋体" w:hAnsi="宋体" w:eastAsia="宋体" w:cs="宋体"/>
          <w:color w:val="auto"/>
          <w:sz w:val="24"/>
          <w:u w:val="single"/>
        </w:rPr>
        <w:t>合同签订后7天内</w:t>
      </w:r>
      <w:r>
        <w:rPr>
          <w:rFonts w:hint="eastAsia" w:ascii="宋体" w:hAnsi="宋体" w:eastAsia="宋体" w:cs="宋体"/>
          <w:color w:val="auto"/>
          <w:sz w:val="24"/>
        </w:rPr>
        <w:t>。</w:t>
      </w:r>
    </w:p>
    <w:p w14:paraId="423EF3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2.4.2 提供施工条件</w:t>
      </w:r>
    </w:p>
    <w:p w14:paraId="336416F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宋体" w:hAnsi="宋体" w:eastAsia="宋体" w:cs="宋体"/>
          <w:color w:val="auto"/>
          <w:sz w:val="24"/>
        </w:rPr>
        <w:t xml:space="preserve">。 </w:t>
      </w:r>
    </w:p>
    <w:p w14:paraId="6CA846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（2）施工所需的水、电、电讯线路接至施工场地的时间、地点和供应要求：</w:t>
      </w:r>
    </w:p>
    <w:p w14:paraId="125B09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w:t>
      </w:r>
      <w:r>
        <w:rPr>
          <w:rFonts w:hint="eastAsia" w:ascii="宋体" w:hAnsi="宋体" w:eastAsia="宋体" w:cs="宋体"/>
          <w:color w:val="auto"/>
          <w:sz w:val="24"/>
          <w:u w:val="single"/>
        </w:rPr>
        <w:t>正常施工所需的电源、水源已由发包人在开工前安装至施工现场边缘</w:t>
      </w:r>
      <w:r>
        <w:rPr>
          <w:rFonts w:hint="eastAsia" w:ascii="宋体" w:hAnsi="宋体" w:eastAsia="宋体" w:cs="宋体"/>
          <w:color w:val="auto"/>
          <w:sz w:val="24"/>
        </w:rPr>
        <w:t xml:space="preserve">。 </w:t>
      </w:r>
    </w:p>
    <w:p w14:paraId="33D18B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②施工用电：</w:t>
      </w:r>
      <w:r>
        <w:rPr>
          <w:rFonts w:hint="eastAsia" w:ascii="宋体" w:hAnsi="宋体" w:eastAsia="宋体" w:cs="宋体"/>
          <w:color w:val="auto"/>
          <w:sz w:val="24"/>
          <w:u w:val="single"/>
        </w:rPr>
        <w:t>施工场内临时低压接电及线缆铺设费用要求承包人自理并包括在合同价中</w:t>
      </w:r>
      <w:r>
        <w:rPr>
          <w:rFonts w:hint="eastAsia" w:ascii="宋体" w:hAnsi="宋体" w:eastAsia="宋体" w:cs="宋体"/>
          <w:color w:val="auto"/>
          <w:sz w:val="24"/>
        </w:rPr>
        <w:t>。</w:t>
      </w:r>
    </w:p>
    <w:p w14:paraId="4E83DA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③施工用水：</w:t>
      </w:r>
      <w:r>
        <w:rPr>
          <w:rFonts w:hint="eastAsia" w:ascii="宋体" w:hAnsi="宋体" w:eastAsia="宋体" w:cs="宋体"/>
          <w:color w:val="auto"/>
          <w:sz w:val="24"/>
          <w:u w:val="single"/>
        </w:rPr>
        <w:t>施工场内临时用水接水管铺设费用由承包人自理并包括在合同价中</w:t>
      </w:r>
      <w:r>
        <w:rPr>
          <w:rFonts w:hint="eastAsia" w:ascii="宋体" w:hAnsi="宋体" w:eastAsia="宋体" w:cs="宋体"/>
          <w:color w:val="auto"/>
          <w:sz w:val="24"/>
        </w:rPr>
        <w:t>。</w:t>
      </w:r>
    </w:p>
    <w:p w14:paraId="4FDA23B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④</w:t>
      </w:r>
      <w:r>
        <w:rPr>
          <w:rFonts w:hint="eastAsia" w:ascii="宋体" w:hAnsi="宋体" w:eastAsia="宋体" w:cs="宋体"/>
          <w:color w:val="auto"/>
          <w:sz w:val="24"/>
          <w:u w:val="single"/>
        </w:rPr>
        <w:t>施工用水、用电费用由承包人承担，在工程结算时按最终结算审定金额的0.4%结算水电费</w:t>
      </w:r>
      <w:r>
        <w:rPr>
          <w:rFonts w:hint="eastAsia" w:ascii="宋体" w:hAnsi="宋体" w:eastAsia="宋体" w:cs="宋体"/>
          <w:color w:val="auto"/>
          <w:sz w:val="24"/>
        </w:rPr>
        <w:t>。</w:t>
      </w:r>
    </w:p>
    <w:p w14:paraId="5910B6D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⑤</w:t>
      </w:r>
      <w:r>
        <w:rPr>
          <w:rFonts w:hint="eastAsia" w:ascii="宋体" w:hAnsi="宋体" w:eastAsia="宋体" w:cs="宋体"/>
          <w:color w:val="auto"/>
          <w:sz w:val="24"/>
          <w:u w:val="single"/>
        </w:rPr>
        <w:t>用电与用水高峰期时供应不足由承包人自行设法解决，费用包括在合同价中，发包人不另支付相关费用</w:t>
      </w:r>
      <w:r>
        <w:rPr>
          <w:rFonts w:hint="eastAsia" w:ascii="宋体" w:hAnsi="宋体" w:eastAsia="宋体" w:cs="宋体"/>
          <w:color w:val="auto"/>
          <w:sz w:val="24"/>
        </w:rPr>
        <w:t>。</w:t>
      </w:r>
    </w:p>
    <w:p w14:paraId="3D7280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 资金来源证明及支付担保</w:t>
      </w:r>
    </w:p>
    <w:p w14:paraId="42B7A2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发包人提供资金来源证明的期限要求：招标核准登记时已提供。</w:t>
      </w:r>
    </w:p>
    <w:p w14:paraId="35A2012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发包人是否提供支付担保：</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w:t>
      </w:r>
    </w:p>
    <w:p w14:paraId="7D4AA53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发包人提供支付担保的形式：</w:t>
      </w:r>
      <w:r>
        <w:rPr>
          <w:rFonts w:hint="eastAsia" w:ascii="宋体" w:hAnsi="宋体" w:eastAsia="宋体" w:cs="宋体"/>
          <w:color w:val="auto"/>
          <w:sz w:val="24"/>
          <w:u w:val="single"/>
        </w:rPr>
        <w:t>/</w:t>
      </w:r>
      <w:r>
        <w:rPr>
          <w:rFonts w:hint="eastAsia" w:ascii="宋体" w:hAnsi="宋体" w:eastAsia="宋体" w:cs="宋体"/>
          <w:color w:val="auto"/>
          <w:sz w:val="24"/>
        </w:rPr>
        <w:t>。</w:t>
      </w:r>
    </w:p>
    <w:p w14:paraId="48E9A23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 承包人</w:t>
      </w:r>
    </w:p>
    <w:p w14:paraId="32BC30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承包人的一般义务</w:t>
      </w:r>
    </w:p>
    <w:p w14:paraId="441848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（1）承包人提交的竣工资料的内容：</w:t>
      </w:r>
      <w:r>
        <w:rPr>
          <w:rFonts w:hint="eastAsia" w:ascii="宋体" w:hAnsi="宋体" w:eastAsia="宋体" w:cs="宋体"/>
          <w:color w:val="auto"/>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宋体" w:hAnsi="宋体" w:eastAsia="宋体" w:cs="宋体"/>
          <w:color w:val="auto"/>
          <w:sz w:val="24"/>
        </w:rPr>
        <w:t>。</w:t>
      </w:r>
    </w:p>
    <w:p w14:paraId="2270A69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承包人需要提交的竣工资料套数： </w:t>
      </w:r>
      <w:r>
        <w:rPr>
          <w:rFonts w:hint="eastAsia" w:ascii="宋体" w:hAnsi="宋体" w:eastAsia="宋体" w:cs="宋体"/>
          <w:color w:val="auto"/>
          <w:sz w:val="24"/>
          <w:u w:val="single"/>
        </w:rPr>
        <w:t>一式肆份，同时提供电子文档</w:t>
      </w:r>
      <w:r>
        <w:rPr>
          <w:rFonts w:hint="eastAsia" w:ascii="宋体" w:hAnsi="宋体" w:eastAsia="宋体" w:cs="宋体"/>
          <w:color w:val="auto"/>
          <w:sz w:val="24"/>
        </w:rPr>
        <w:t>。</w:t>
      </w:r>
    </w:p>
    <w:p w14:paraId="3F9A0F1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承包人提交的竣工资料的费用承担：</w:t>
      </w:r>
      <w:r>
        <w:rPr>
          <w:rFonts w:hint="eastAsia" w:ascii="宋体" w:hAnsi="宋体" w:eastAsia="宋体" w:cs="宋体"/>
          <w:color w:val="auto"/>
          <w:sz w:val="24"/>
          <w:u w:val="single"/>
        </w:rPr>
        <w:t xml:space="preserve">承包人承担 </w:t>
      </w:r>
      <w:r>
        <w:rPr>
          <w:rFonts w:hint="eastAsia" w:ascii="宋体" w:hAnsi="宋体" w:eastAsia="宋体" w:cs="宋体"/>
          <w:color w:val="auto"/>
          <w:sz w:val="24"/>
        </w:rPr>
        <w:t>。</w:t>
      </w:r>
    </w:p>
    <w:p w14:paraId="4A526F1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承包人提交的竣工资料移交时间：</w:t>
      </w:r>
      <w:r>
        <w:rPr>
          <w:rFonts w:hint="eastAsia" w:ascii="宋体" w:hAnsi="宋体" w:eastAsia="宋体" w:cs="宋体"/>
          <w:color w:val="auto"/>
          <w:sz w:val="24"/>
          <w:u w:val="single"/>
        </w:rPr>
        <w:t>工程竣工验收合格后30个日历日内</w:t>
      </w:r>
      <w:r>
        <w:rPr>
          <w:rFonts w:hint="eastAsia" w:ascii="宋体" w:hAnsi="宋体" w:eastAsia="宋体" w:cs="宋体"/>
          <w:color w:val="auto"/>
          <w:sz w:val="24"/>
        </w:rPr>
        <w:t>。</w:t>
      </w:r>
    </w:p>
    <w:p w14:paraId="614F72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承包人提交的竣工资料形式要求：</w:t>
      </w:r>
      <w:r>
        <w:rPr>
          <w:rFonts w:hint="eastAsia" w:ascii="宋体" w:hAnsi="宋体" w:eastAsia="宋体" w:cs="宋体"/>
          <w:color w:val="auto"/>
          <w:sz w:val="24"/>
          <w:u w:val="single"/>
        </w:rPr>
        <w:t>向发包人提供的竣工资料需胶印装订成册并附光盘（含影像资料、图片等）、竣工图(含CAD)</w:t>
      </w:r>
      <w:r>
        <w:rPr>
          <w:rFonts w:hint="eastAsia" w:ascii="宋体" w:hAnsi="宋体" w:eastAsia="宋体" w:cs="宋体"/>
          <w:color w:val="auto"/>
          <w:sz w:val="24"/>
        </w:rPr>
        <w:t>。</w:t>
      </w:r>
    </w:p>
    <w:p w14:paraId="168EB5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（2）承包人应履行的其他义务</w:t>
      </w:r>
    </w:p>
    <w:p w14:paraId="06A8DF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eastAsia="宋体" w:cs="宋体"/>
          <w:color w:val="auto"/>
          <w:sz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宋体" w:hAnsi="宋体" w:eastAsia="宋体" w:cs="宋体"/>
          <w:color w:val="auto"/>
          <w:sz w:val="24"/>
        </w:rPr>
        <w:t>。</w:t>
      </w:r>
    </w:p>
    <w:p w14:paraId="32DD61E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eastAsia="宋体" w:cs="宋体"/>
          <w:color w:val="auto"/>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宋体" w:hAnsi="宋体" w:eastAsia="宋体" w:cs="宋体"/>
          <w:color w:val="auto"/>
          <w:sz w:val="24"/>
        </w:rPr>
        <w:t>。</w:t>
      </w:r>
    </w:p>
    <w:p w14:paraId="76086E9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w:t>
      </w:r>
      <w:r>
        <w:rPr>
          <w:rFonts w:hint="eastAsia" w:ascii="宋体" w:hAnsi="宋体" w:eastAsia="宋体" w:cs="宋体"/>
          <w:color w:val="auto"/>
          <w:sz w:val="24"/>
          <w:u w:val="single"/>
        </w:rPr>
        <w:t>承包人在施工中，有责任配合发包人或发包人委托的有关单位进行本工程有关的设备安装、调试工作，并不得提出任何费用要求</w:t>
      </w:r>
      <w:r>
        <w:rPr>
          <w:rFonts w:hint="eastAsia" w:ascii="宋体" w:hAnsi="宋体" w:eastAsia="宋体" w:cs="宋体"/>
          <w:color w:val="auto"/>
          <w:sz w:val="24"/>
        </w:rPr>
        <w:t>。</w:t>
      </w:r>
    </w:p>
    <w:p w14:paraId="11F011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d.</w:t>
      </w:r>
      <w:r>
        <w:rPr>
          <w:rFonts w:hint="eastAsia" w:ascii="宋体" w:hAnsi="宋体" w:eastAsia="宋体" w:cs="宋体"/>
          <w:color w:val="auto"/>
          <w:sz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宋体" w:hAnsi="宋体" w:eastAsia="宋体" w:cs="宋体"/>
          <w:color w:val="auto"/>
          <w:sz w:val="24"/>
        </w:rPr>
        <w:t>。</w:t>
      </w:r>
    </w:p>
    <w:p w14:paraId="740288D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eastAsia="宋体" w:cs="宋体"/>
          <w:color w:val="auto"/>
          <w:sz w:val="24"/>
          <w:u w:val="single"/>
        </w:rPr>
        <w:t>承包人有责任维护发包人的形象，若由于承包人的安全、文明施工问题而造成发包人被他人索赔，发包人保留向承包人索赔的权利</w:t>
      </w:r>
      <w:r>
        <w:rPr>
          <w:rFonts w:hint="eastAsia" w:ascii="宋体" w:hAnsi="宋体" w:eastAsia="宋体" w:cs="宋体"/>
          <w:color w:val="auto"/>
          <w:sz w:val="24"/>
        </w:rPr>
        <w:t>。</w:t>
      </w:r>
    </w:p>
    <w:p w14:paraId="2B8384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项目经理</w:t>
      </w:r>
    </w:p>
    <w:p w14:paraId="63D12F0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 项目经理：</w:t>
      </w:r>
    </w:p>
    <w:p w14:paraId="68D281D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姓    名：</w:t>
      </w:r>
    </w:p>
    <w:p w14:paraId="1B12B4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身份证号：</w:t>
      </w:r>
    </w:p>
    <w:p w14:paraId="689DF6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建造师执业资格等级：</w:t>
      </w:r>
    </w:p>
    <w:p w14:paraId="7EAF2B1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建造师注册证书号：</w:t>
      </w:r>
    </w:p>
    <w:p w14:paraId="7A2D62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建造师执业印章号：</w:t>
      </w:r>
    </w:p>
    <w:p w14:paraId="50D5F2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安全生产考核合格证书号：</w:t>
      </w:r>
    </w:p>
    <w:p w14:paraId="27AC0B2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p>
    <w:p w14:paraId="72F311F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电子信箱：</w:t>
      </w:r>
    </w:p>
    <w:p w14:paraId="28E24BA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通信地址：</w:t>
      </w:r>
    </w:p>
    <w:p w14:paraId="7E2A9C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承包人对项目经理的授权范围如下：</w:t>
      </w:r>
      <w:r>
        <w:rPr>
          <w:rFonts w:hint="eastAsia" w:ascii="宋体" w:hAnsi="宋体" w:eastAsia="宋体" w:cs="宋体"/>
          <w:color w:val="auto"/>
          <w:sz w:val="24"/>
          <w:u w:val="single"/>
        </w:rPr>
        <w:t>全面负责本工程的质量、安全、工期及成本控制</w:t>
      </w:r>
      <w:r>
        <w:rPr>
          <w:rFonts w:hint="eastAsia" w:ascii="宋体" w:hAnsi="宋体" w:eastAsia="宋体" w:cs="宋体"/>
          <w:color w:val="auto"/>
          <w:sz w:val="24"/>
        </w:rPr>
        <w:t>。</w:t>
      </w:r>
    </w:p>
    <w:p w14:paraId="5DE0376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关于项目经理每月在施工现场的时间要求：</w:t>
      </w:r>
      <w:r>
        <w:rPr>
          <w:rFonts w:hint="eastAsia" w:ascii="宋体" w:hAnsi="宋体" w:eastAsia="宋体" w:cs="宋体"/>
          <w:color w:val="auto"/>
          <w:sz w:val="24"/>
          <w:u w:val="single"/>
        </w:rPr>
        <w:t>满足项目施工要求</w:t>
      </w:r>
      <w:r>
        <w:rPr>
          <w:rFonts w:hint="eastAsia" w:ascii="宋体" w:hAnsi="宋体" w:eastAsia="宋体" w:cs="宋体"/>
          <w:color w:val="auto"/>
          <w:sz w:val="24"/>
        </w:rPr>
        <w:t>。</w:t>
      </w:r>
    </w:p>
    <w:p w14:paraId="6F1019D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承包人未提交劳动合同，以及没有为项目经理缴纳社会保险证明的违约责任：</w:t>
      </w:r>
      <w:r>
        <w:rPr>
          <w:rFonts w:hint="eastAsia" w:ascii="宋体" w:hAnsi="宋体" w:eastAsia="宋体" w:cs="宋体"/>
          <w:color w:val="auto"/>
          <w:sz w:val="24"/>
          <w:u w:val="single"/>
        </w:rPr>
        <w:t>发包人有权要求终止合同并由承包人赔偿由此造成的一切损失</w:t>
      </w:r>
      <w:r>
        <w:rPr>
          <w:rFonts w:hint="eastAsia" w:ascii="宋体" w:hAnsi="宋体" w:eastAsia="宋体" w:cs="宋体"/>
          <w:color w:val="auto"/>
          <w:sz w:val="24"/>
        </w:rPr>
        <w:t>。</w:t>
      </w:r>
    </w:p>
    <w:p w14:paraId="7DAD83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项目经理未经批准，擅自离开施工现场的违约责任：</w:t>
      </w:r>
      <w:r>
        <w:rPr>
          <w:rFonts w:hint="eastAsia" w:ascii="宋体" w:hAnsi="宋体" w:eastAsia="宋体" w:cs="宋体"/>
          <w:color w:val="auto"/>
          <w:sz w:val="24"/>
          <w:u w:val="single"/>
        </w:rPr>
        <w:t>若项目经理未经批准，擅自离开施工现场，导致工程质量、进度不能满足本项目要求的，按人民币1000元/次从结算款中扣除违约金</w:t>
      </w:r>
      <w:r>
        <w:rPr>
          <w:rFonts w:hint="eastAsia" w:ascii="宋体" w:hAnsi="宋体" w:eastAsia="宋体" w:cs="宋体"/>
          <w:color w:val="auto"/>
          <w:sz w:val="24"/>
        </w:rPr>
        <w:t>。</w:t>
      </w:r>
    </w:p>
    <w:p w14:paraId="2F9084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 承包人擅自更换项目经理的违约责任：</w:t>
      </w:r>
      <w:r>
        <w:rPr>
          <w:rFonts w:hint="eastAsia" w:ascii="宋体" w:hAnsi="宋体" w:eastAsia="宋体" w:cs="宋体"/>
          <w:color w:val="auto"/>
          <w:sz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宋体" w:hAnsi="宋体" w:eastAsia="宋体" w:cs="宋体"/>
          <w:color w:val="auto"/>
          <w:sz w:val="24"/>
        </w:rPr>
        <w:t>。</w:t>
      </w:r>
    </w:p>
    <w:p w14:paraId="45263F0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承包人无正当理由拒绝更换项目经理的违约责任：</w:t>
      </w:r>
      <w:r>
        <w:rPr>
          <w:rFonts w:hint="eastAsia" w:ascii="宋体" w:hAnsi="宋体" w:eastAsia="宋体" w:cs="宋体"/>
          <w:color w:val="auto"/>
          <w:sz w:val="24"/>
          <w:u w:val="single"/>
        </w:rPr>
        <w:t>因项目经理不能胜任本项目工作，发包人要求更换，承包人无正当理由拒绝更换的，将被视为承包人违约，并按照5000元/人次在结算款中扣除违约金</w:t>
      </w:r>
      <w:r>
        <w:rPr>
          <w:rFonts w:hint="eastAsia" w:ascii="宋体" w:hAnsi="宋体" w:eastAsia="宋体" w:cs="宋体"/>
          <w:color w:val="auto"/>
          <w:sz w:val="24"/>
        </w:rPr>
        <w:t>。</w:t>
      </w:r>
    </w:p>
    <w:p w14:paraId="57134C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 承包人人员</w:t>
      </w:r>
    </w:p>
    <w:p w14:paraId="646A516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 承包人提交项目管理机构及施工现场管理人员安排报告的期限：</w:t>
      </w:r>
      <w:r>
        <w:rPr>
          <w:rFonts w:hint="eastAsia" w:ascii="宋体" w:hAnsi="宋体" w:eastAsia="宋体" w:cs="宋体"/>
          <w:color w:val="auto"/>
          <w:sz w:val="24"/>
          <w:u w:val="single"/>
        </w:rPr>
        <w:t>合同生效后7天内</w:t>
      </w:r>
      <w:r>
        <w:rPr>
          <w:rFonts w:hint="eastAsia" w:ascii="宋体" w:hAnsi="宋体" w:eastAsia="宋体" w:cs="宋体"/>
          <w:color w:val="auto"/>
          <w:sz w:val="24"/>
        </w:rPr>
        <w:t>。</w:t>
      </w:r>
    </w:p>
    <w:p w14:paraId="73D19EF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3.3.2 承包人需更换主要施工管理人员的，继任人员的数量、注册执业资格、管理经验的约定：</w:t>
      </w:r>
      <w:r>
        <w:rPr>
          <w:rFonts w:hint="eastAsia" w:ascii="宋体" w:hAnsi="宋体" w:eastAsia="宋体" w:cs="宋体"/>
          <w:color w:val="auto"/>
          <w:sz w:val="24"/>
          <w:u w:val="single"/>
        </w:rPr>
        <w:t>不得低于原主要施工管理人员的数量、注册执业资格、管理经验</w:t>
      </w:r>
      <w:r>
        <w:rPr>
          <w:rFonts w:hint="eastAsia" w:ascii="宋体" w:hAnsi="宋体" w:eastAsia="宋体" w:cs="宋体"/>
          <w:color w:val="auto"/>
          <w:sz w:val="24"/>
        </w:rPr>
        <w:t>。</w:t>
      </w:r>
    </w:p>
    <w:p w14:paraId="3ED8C9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 承包人无正当理由拒绝撤换主要施工管理人员的违约责任：</w:t>
      </w:r>
      <w:r>
        <w:rPr>
          <w:rFonts w:hint="eastAsia" w:ascii="宋体" w:hAnsi="宋体" w:eastAsia="宋体" w:cs="宋体"/>
          <w:color w:val="auto"/>
          <w:sz w:val="24"/>
          <w:u w:val="single"/>
        </w:rPr>
        <w:t>因主要施工管理人员不能胜任本项目工作，发包人要求更换的，承包人无正当理由拒绝更换的，将被视为承包人违约，按照500元/人次在结算款中扣除违约金</w:t>
      </w:r>
      <w:r>
        <w:rPr>
          <w:rFonts w:hint="eastAsia" w:ascii="宋体" w:hAnsi="宋体" w:eastAsia="宋体" w:cs="宋体"/>
          <w:color w:val="auto"/>
          <w:sz w:val="24"/>
        </w:rPr>
        <w:t>。</w:t>
      </w:r>
    </w:p>
    <w:p w14:paraId="5414F0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3.3.5承包人擅自更换主要施工管理人员的违约责任：</w:t>
      </w:r>
      <w:r>
        <w:rPr>
          <w:rFonts w:hint="eastAsia" w:ascii="宋体" w:hAnsi="宋体" w:eastAsia="宋体" w:cs="宋体"/>
          <w:color w:val="auto"/>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宋体" w:hAnsi="宋体" w:eastAsia="宋体" w:cs="宋体"/>
          <w:color w:val="auto"/>
          <w:sz w:val="24"/>
        </w:rPr>
        <w:t xml:space="preserve">。     </w:t>
      </w:r>
    </w:p>
    <w:p w14:paraId="245CF47C">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承包人主要施工管理人员擅自离开施工现场的违约责任：</w:t>
      </w:r>
      <w:r>
        <w:rPr>
          <w:rFonts w:hint="eastAsia" w:ascii="宋体" w:hAnsi="宋体" w:eastAsia="宋体" w:cs="宋体"/>
          <w:color w:val="auto"/>
          <w:sz w:val="24"/>
          <w:u w:val="single"/>
        </w:rPr>
        <w:t>若因主要施工管理人员擅自离开施工现场，导致施工无法正常进行的，按300元人民币/人次在结算款中扣除违约金</w:t>
      </w:r>
      <w:r>
        <w:rPr>
          <w:rFonts w:hint="eastAsia" w:ascii="宋体" w:hAnsi="宋体" w:eastAsia="宋体" w:cs="宋体"/>
          <w:color w:val="auto"/>
          <w:sz w:val="24"/>
        </w:rPr>
        <w:t xml:space="preserve">。                       </w:t>
      </w:r>
    </w:p>
    <w:p w14:paraId="7692F7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 分包</w:t>
      </w:r>
    </w:p>
    <w:p w14:paraId="142694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3.5.1 分包的一般约定</w:t>
      </w:r>
    </w:p>
    <w:p w14:paraId="3A7840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禁止分包的工程包括：</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CF242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主体结构、关键性工作的范围：</w:t>
      </w:r>
      <w:r>
        <w:rPr>
          <w:rFonts w:hint="eastAsia" w:ascii="宋体" w:hAnsi="宋体" w:eastAsia="宋体" w:cs="宋体"/>
          <w:color w:val="auto"/>
          <w:sz w:val="24"/>
          <w:u w:val="single"/>
        </w:rPr>
        <w:t>发生时双方协商确定</w:t>
      </w:r>
      <w:r>
        <w:rPr>
          <w:rFonts w:hint="eastAsia" w:ascii="宋体" w:hAnsi="宋体" w:eastAsia="宋体" w:cs="宋体"/>
          <w:color w:val="auto"/>
          <w:sz w:val="24"/>
        </w:rPr>
        <w:t>。</w:t>
      </w:r>
    </w:p>
    <w:p w14:paraId="000FCF97">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3.5.2分包的确定</w:t>
      </w:r>
    </w:p>
    <w:p w14:paraId="5046774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允许分包的专业工程包括：</w:t>
      </w:r>
      <w:r>
        <w:rPr>
          <w:rFonts w:hint="eastAsia" w:ascii="宋体" w:hAnsi="宋体" w:eastAsia="宋体" w:cs="宋体"/>
          <w:color w:val="auto"/>
          <w:sz w:val="24"/>
          <w:u w:val="single"/>
        </w:rPr>
        <w:t>本工程禁止分包</w:t>
      </w:r>
      <w:r>
        <w:rPr>
          <w:rFonts w:hint="eastAsia" w:ascii="宋体" w:hAnsi="宋体" w:eastAsia="宋体" w:cs="宋体"/>
          <w:color w:val="auto"/>
          <w:sz w:val="24"/>
        </w:rPr>
        <w:t>。</w:t>
      </w:r>
    </w:p>
    <w:p w14:paraId="6B0D0DF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其他关于分包的约定：</w:t>
      </w:r>
      <w:r>
        <w:rPr>
          <w:rFonts w:hint="eastAsia" w:ascii="宋体" w:hAnsi="宋体" w:eastAsia="宋体" w:cs="宋体"/>
          <w:color w:val="auto"/>
          <w:sz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宋体" w:hAnsi="宋体" w:eastAsia="宋体" w:cs="宋体"/>
          <w:color w:val="auto"/>
          <w:sz w:val="24"/>
        </w:rPr>
        <w:t>。</w:t>
      </w:r>
    </w:p>
    <w:p w14:paraId="596C325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3.5.4 分包合同价款</w:t>
      </w:r>
    </w:p>
    <w:p w14:paraId="02019B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关于分包合同价款支付的约定：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A8208E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 工程照管与成品、半成品保护</w:t>
      </w:r>
    </w:p>
    <w:p w14:paraId="7A5695A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承包人负责照管工程及工程相关的材料、工程设备的起始时间：</w:t>
      </w:r>
      <w:r>
        <w:rPr>
          <w:rFonts w:hint="eastAsia" w:ascii="宋体" w:hAnsi="宋体" w:eastAsia="宋体" w:cs="宋体"/>
          <w:color w:val="auto"/>
          <w:sz w:val="24"/>
          <w:u w:val="single"/>
        </w:rPr>
        <w:t>从进场施工开始至交工出场</w:t>
      </w:r>
      <w:r>
        <w:rPr>
          <w:rFonts w:hint="eastAsia" w:ascii="宋体" w:hAnsi="宋体" w:eastAsia="宋体" w:cs="宋体"/>
          <w:color w:val="auto"/>
          <w:sz w:val="24"/>
        </w:rPr>
        <w:t>。</w:t>
      </w:r>
    </w:p>
    <w:p w14:paraId="06B9D3C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 履约担保</w:t>
      </w:r>
    </w:p>
    <w:p w14:paraId="3F31D66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承包人是否提供履约担保：</w:t>
      </w:r>
      <w:r>
        <w:rPr>
          <w:rFonts w:hint="eastAsia" w:ascii="宋体" w:hAnsi="宋体" w:eastAsia="宋体" w:cs="宋体"/>
          <w:color w:val="auto"/>
          <w:sz w:val="24"/>
          <w:u w:val="single"/>
          <w:lang w:val="en-US" w:eastAsia="zh-CN"/>
        </w:rPr>
        <w:t>提供</w:t>
      </w:r>
      <w:r>
        <w:rPr>
          <w:rFonts w:hint="eastAsia" w:ascii="宋体" w:hAnsi="宋体" w:eastAsia="宋体" w:cs="宋体"/>
          <w:color w:val="auto"/>
          <w:sz w:val="24"/>
        </w:rPr>
        <w:t>。</w:t>
      </w:r>
    </w:p>
    <w:p w14:paraId="1733DF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承包人提供履约担保的形式、金额及期限的：履约担保的形式：</w:t>
      </w:r>
      <w:r>
        <w:rPr>
          <w:rFonts w:hint="eastAsia" w:ascii="宋体" w:hAnsi="宋体" w:eastAsia="宋体" w:cs="宋体"/>
          <w:color w:val="auto"/>
          <w:sz w:val="24"/>
          <w:u w:val="single"/>
        </w:rPr>
        <w:t>合同金额的2%</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合同签订后7个工作日内缴纳，经</w:t>
      </w:r>
      <w:r>
        <w:rPr>
          <w:rFonts w:hint="eastAsia" w:ascii="宋体" w:hAnsi="宋体" w:eastAsia="宋体" w:cs="宋体"/>
          <w:color w:val="auto"/>
          <w:sz w:val="24"/>
          <w:u w:val="single"/>
          <w:lang w:val="en-US" w:eastAsia="zh-CN"/>
        </w:rPr>
        <w:t>甲方</w:t>
      </w:r>
      <w:r>
        <w:rPr>
          <w:rFonts w:hint="eastAsia" w:ascii="宋体" w:hAnsi="宋体" w:eastAsia="宋体" w:cs="宋体"/>
          <w:color w:val="auto"/>
          <w:sz w:val="24"/>
          <w:u w:val="single"/>
        </w:rPr>
        <w:t>验收合格确认</w:t>
      </w:r>
      <w:r>
        <w:rPr>
          <w:rFonts w:hint="eastAsia" w:ascii="宋体" w:hAnsi="宋体" w:eastAsia="宋体" w:cs="宋体"/>
          <w:color w:val="auto"/>
          <w:sz w:val="24"/>
          <w:u w:val="single"/>
          <w:lang w:val="en-US" w:eastAsia="zh-CN"/>
        </w:rPr>
        <w:t>乙方</w:t>
      </w:r>
      <w:r>
        <w:rPr>
          <w:rFonts w:hint="eastAsia" w:ascii="宋体" w:hAnsi="宋体" w:eastAsia="宋体" w:cs="宋体"/>
          <w:color w:val="auto"/>
          <w:sz w:val="24"/>
          <w:u w:val="single"/>
        </w:rPr>
        <w:t>无违约行为无息返还给</w:t>
      </w:r>
      <w:r>
        <w:rPr>
          <w:rFonts w:hint="eastAsia" w:ascii="宋体" w:hAnsi="宋体" w:eastAsia="宋体" w:cs="宋体"/>
          <w:color w:val="auto"/>
          <w:sz w:val="24"/>
          <w:u w:val="single"/>
          <w:lang w:val="en-US" w:eastAsia="zh-CN"/>
        </w:rPr>
        <w:t>乙方</w:t>
      </w:r>
      <w:r>
        <w:rPr>
          <w:rFonts w:hint="eastAsia" w:ascii="宋体" w:hAnsi="宋体" w:eastAsia="宋体" w:cs="宋体"/>
          <w:color w:val="auto"/>
          <w:sz w:val="24"/>
        </w:rPr>
        <w:t>。</w:t>
      </w:r>
    </w:p>
    <w:p w14:paraId="15D11F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 监理人</w:t>
      </w:r>
    </w:p>
    <w:p w14:paraId="328F56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4.1监理人的一般规定</w:t>
      </w:r>
    </w:p>
    <w:p w14:paraId="1698912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关于监理人的监理内容：</w:t>
      </w:r>
      <w:r>
        <w:rPr>
          <w:rFonts w:hint="eastAsia" w:ascii="宋体" w:hAnsi="宋体" w:eastAsia="宋体" w:cs="宋体"/>
          <w:color w:val="auto"/>
          <w:sz w:val="24"/>
          <w:u w:val="single"/>
        </w:rPr>
        <w:t>负责本工程的质量控制、进度控制、投资控制 、安全生产控制，做好合同管理及信息管理，协调发包人、承包人关系</w:t>
      </w:r>
      <w:r>
        <w:rPr>
          <w:rFonts w:hint="eastAsia" w:ascii="宋体" w:hAnsi="宋体" w:eastAsia="宋体" w:cs="宋体"/>
          <w:color w:val="auto"/>
          <w:sz w:val="24"/>
        </w:rPr>
        <w:t>。</w:t>
      </w:r>
    </w:p>
    <w:p w14:paraId="646477C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关于监理人的监理权限：</w:t>
      </w:r>
      <w:r>
        <w:rPr>
          <w:rFonts w:hint="eastAsia" w:ascii="宋体" w:hAnsi="宋体" w:eastAsia="宋体" w:cs="宋体"/>
          <w:color w:val="auto"/>
          <w:sz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宋体" w:hAnsi="宋体" w:eastAsia="宋体" w:cs="宋体"/>
          <w:color w:val="auto"/>
          <w:sz w:val="24"/>
        </w:rPr>
        <w:t xml:space="preserve">。 </w:t>
      </w:r>
    </w:p>
    <w:p w14:paraId="7BBA35A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关于监理人在施工现场的办公场所、生活场所的提供和费用承担的约定：</w:t>
      </w:r>
      <w:r>
        <w:rPr>
          <w:rFonts w:hint="eastAsia" w:ascii="宋体" w:hAnsi="宋体" w:eastAsia="宋体" w:cs="宋体"/>
          <w:color w:val="auto"/>
          <w:sz w:val="24"/>
          <w:u w:val="single"/>
        </w:rPr>
        <w:t>详见监理合同</w:t>
      </w:r>
      <w:r>
        <w:rPr>
          <w:rFonts w:hint="eastAsia" w:ascii="宋体" w:hAnsi="宋体" w:eastAsia="宋体" w:cs="宋体"/>
          <w:color w:val="auto"/>
          <w:sz w:val="24"/>
        </w:rPr>
        <w:t>。</w:t>
      </w:r>
    </w:p>
    <w:p w14:paraId="3D78F1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4.2 监理人员</w:t>
      </w:r>
    </w:p>
    <w:p w14:paraId="0FFBE44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总监理工程师：</w:t>
      </w:r>
    </w:p>
    <w:p w14:paraId="5142ED5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姓    名：</w:t>
      </w:r>
    </w:p>
    <w:p w14:paraId="2BDD672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职    务：</w:t>
      </w:r>
    </w:p>
    <w:p w14:paraId="391BEC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监理工程师执业资格证书号：</w:t>
      </w:r>
    </w:p>
    <w:p w14:paraId="5E79ABB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联系电话：</w:t>
      </w:r>
    </w:p>
    <w:p w14:paraId="3BE2347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电子信箱：</w:t>
      </w:r>
    </w:p>
    <w:p w14:paraId="58B8DA6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通信地址：</w:t>
      </w:r>
    </w:p>
    <w:p w14:paraId="1C10035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关于监理人的其他约定：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77F6E2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4.4 商定或确定</w:t>
      </w:r>
    </w:p>
    <w:p w14:paraId="5CDF884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在发包人和承包人不能通过协商达成一致意见时，发包人授权监理人对以下事项进行确定：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7CACA9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工程质量</w:t>
      </w:r>
    </w:p>
    <w:p w14:paraId="76BA64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 质量要求</w:t>
      </w:r>
    </w:p>
    <w:p w14:paraId="68A369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5.1.1 特殊质量标准和要求： </w:t>
      </w:r>
    </w:p>
    <w:p w14:paraId="34FA200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u w:val="single"/>
        </w:rPr>
        <w:t>/。</w:t>
      </w:r>
    </w:p>
    <w:p w14:paraId="1B7E5A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关于工程奖项的约定：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CD0866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 隐蔽工程检查</w:t>
      </w:r>
    </w:p>
    <w:p w14:paraId="1A1863F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5.3.2承包人提前通知监理人隐蔽工程检查的期限的约定：</w:t>
      </w:r>
      <w:r>
        <w:rPr>
          <w:rFonts w:hint="eastAsia" w:ascii="宋体" w:hAnsi="宋体" w:eastAsia="宋体" w:cs="宋体"/>
          <w:color w:val="auto"/>
          <w:sz w:val="24"/>
          <w:u w:val="single"/>
        </w:rPr>
        <w:t>承包人应提前48小时书面通知监理人检查，通知中应明确隐蔽检查的内容、时间和地点，并应附有自检记录和必要的检查资料。隐蔽工程必须做好影像资料收集、整理</w:t>
      </w:r>
      <w:r>
        <w:rPr>
          <w:rFonts w:hint="eastAsia" w:ascii="宋体" w:hAnsi="宋体" w:eastAsia="宋体" w:cs="宋体"/>
          <w:color w:val="auto"/>
          <w:sz w:val="24"/>
        </w:rPr>
        <w:t>。</w:t>
      </w:r>
    </w:p>
    <w:p w14:paraId="31CDF10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监理人不能按时进行检查时，应提前</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14:paraId="1FD4A08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关于延期最长不得超过：</w:t>
      </w:r>
      <w:r>
        <w:rPr>
          <w:rFonts w:hint="eastAsia" w:ascii="宋体" w:hAnsi="宋体" w:eastAsia="宋体" w:cs="宋体"/>
          <w:color w:val="auto"/>
          <w:sz w:val="24"/>
          <w:u w:val="single"/>
        </w:rPr>
        <w:t>48</w:t>
      </w:r>
      <w:r>
        <w:rPr>
          <w:rFonts w:hint="eastAsia" w:ascii="宋体" w:hAnsi="宋体" w:eastAsia="宋体" w:cs="宋体"/>
          <w:color w:val="auto"/>
          <w:sz w:val="24"/>
        </w:rPr>
        <w:t>小时。</w:t>
      </w:r>
    </w:p>
    <w:p w14:paraId="3F80F5A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6.安全文明施工与环境保护</w:t>
      </w:r>
    </w:p>
    <w:p w14:paraId="1AB846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6.1安全文明施工</w:t>
      </w:r>
    </w:p>
    <w:p w14:paraId="661C0C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6.1.1 项目安全生产的达标目标及相应事项的约定：</w:t>
      </w:r>
      <w:r>
        <w:rPr>
          <w:rFonts w:hint="eastAsia" w:ascii="宋体" w:hAnsi="宋体" w:eastAsia="宋体" w:cs="宋体"/>
          <w:color w:val="auto"/>
          <w:sz w:val="24"/>
          <w:u w:val="single"/>
        </w:rPr>
        <w:t>施工现场按照《建筑施工安全检查标准》（JGJ59-2011）评定达到“合格”标准</w:t>
      </w:r>
      <w:r>
        <w:rPr>
          <w:rFonts w:hint="eastAsia" w:ascii="宋体" w:hAnsi="宋体" w:eastAsia="宋体" w:cs="宋体"/>
          <w:color w:val="auto"/>
          <w:sz w:val="24"/>
        </w:rPr>
        <w:t>。</w:t>
      </w:r>
    </w:p>
    <w:p w14:paraId="0F5BCD5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6.1.4 关于治安保卫的特别约定：</w:t>
      </w:r>
      <w:r>
        <w:rPr>
          <w:rFonts w:hint="eastAsia" w:ascii="宋体" w:hAnsi="宋体" w:eastAsia="宋体" w:cs="宋体"/>
          <w:color w:val="auto"/>
          <w:sz w:val="24"/>
          <w:u w:val="single"/>
        </w:rPr>
        <w:t xml:space="preserve"> 遵守学校的相关规定</w:t>
      </w:r>
      <w:r>
        <w:rPr>
          <w:rFonts w:hint="eastAsia" w:ascii="宋体" w:hAnsi="宋体" w:eastAsia="宋体" w:cs="宋体"/>
          <w:color w:val="auto"/>
          <w:sz w:val="24"/>
        </w:rPr>
        <w:t>。</w:t>
      </w:r>
    </w:p>
    <w:p w14:paraId="08C4350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关于编制施工场地治安管理计划的约定：</w:t>
      </w:r>
      <w:r>
        <w:rPr>
          <w:rFonts w:hint="eastAsia" w:ascii="宋体" w:hAnsi="宋体" w:eastAsia="宋体" w:cs="宋体"/>
          <w:color w:val="auto"/>
          <w:sz w:val="24"/>
          <w:u w:val="single"/>
        </w:rPr>
        <w:t>另行约定</w:t>
      </w:r>
      <w:r>
        <w:rPr>
          <w:rFonts w:hint="eastAsia" w:ascii="宋体" w:hAnsi="宋体" w:eastAsia="宋体" w:cs="宋体"/>
          <w:color w:val="auto"/>
          <w:sz w:val="24"/>
        </w:rPr>
        <w:t>。</w:t>
      </w:r>
    </w:p>
    <w:p w14:paraId="4A15E5C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6.1.5 文明施工</w:t>
      </w:r>
    </w:p>
    <w:p w14:paraId="34D705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合同当事人对文明施工的要求：</w:t>
      </w:r>
    </w:p>
    <w:p w14:paraId="2D6CFD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w:t>
      </w:r>
      <w:r>
        <w:rPr>
          <w:rFonts w:hint="eastAsia" w:ascii="宋体" w:hAnsi="宋体" w:eastAsia="宋体" w:cs="宋体"/>
          <w:color w:val="auto"/>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p>
    <w:p w14:paraId="2ABCF8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承包人应对进度施工现场的施工人员进行安全文明施工教育，持证上岗，配备必要的劳动保护用具，保证工程的施工安全和人身安全。</w:t>
      </w:r>
    </w:p>
    <w:p w14:paraId="25B38F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color w:val="auto"/>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50D074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w:t>
      </w:r>
      <w:r>
        <w:rPr>
          <w:rFonts w:hint="eastAsia" w:ascii="宋体" w:hAnsi="宋体" w:eastAsia="宋体" w:cs="宋体"/>
          <w:color w:val="auto"/>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p>
    <w:p w14:paraId="501F0F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u w:val="single"/>
        </w:rPr>
        <w:t>做好文明施工，做到施工与学校正常工作区域相隔离，做好临时围护</w:t>
      </w:r>
      <w:r>
        <w:rPr>
          <w:rFonts w:hint="eastAsia" w:ascii="宋体" w:hAnsi="宋体" w:eastAsia="宋体" w:cs="宋体"/>
          <w:color w:val="auto"/>
          <w:sz w:val="24"/>
        </w:rPr>
        <w:t>。</w:t>
      </w:r>
    </w:p>
    <w:p w14:paraId="2C2269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6.1.6 关于安全文明施工费支付比例和支付期限的约定：</w:t>
      </w:r>
      <w:r>
        <w:rPr>
          <w:rFonts w:hint="eastAsia" w:ascii="宋体" w:hAnsi="宋体" w:eastAsia="宋体" w:cs="宋体"/>
          <w:color w:val="auto"/>
          <w:sz w:val="24"/>
          <w:u w:val="single"/>
        </w:rPr>
        <w:t>包含在合同价内</w:t>
      </w:r>
      <w:r>
        <w:rPr>
          <w:rFonts w:hint="eastAsia" w:ascii="宋体" w:hAnsi="宋体" w:eastAsia="宋体" w:cs="宋体"/>
          <w:color w:val="auto"/>
          <w:sz w:val="24"/>
        </w:rPr>
        <w:t>。</w:t>
      </w:r>
    </w:p>
    <w:p w14:paraId="384296C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 工期和进度</w:t>
      </w:r>
    </w:p>
    <w:p w14:paraId="0784A5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 施工组织设计</w:t>
      </w:r>
    </w:p>
    <w:p w14:paraId="1C5EFB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7.1.1 合同当事人约定的施工组织设计应包括的其他内容：</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1FA00F7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7.1.2 施工组织设计的提交和修改</w:t>
      </w:r>
    </w:p>
    <w:p w14:paraId="16EBE1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承包人提交详细施工组织设计的期限的约定：开工前提供。</w:t>
      </w:r>
    </w:p>
    <w:p w14:paraId="0E84835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发包人和监理人在收到详细的施工组织设计后确认或提出修改意见的期限：</w:t>
      </w:r>
      <w:r>
        <w:rPr>
          <w:rFonts w:hint="eastAsia" w:ascii="宋体" w:hAnsi="宋体" w:eastAsia="宋体" w:cs="宋体"/>
          <w:color w:val="auto"/>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 w:val="24"/>
        </w:rPr>
        <w:t>。</w:t>
      </w:r>
    </w:p>
    <w:p w14:paraId="0FC7ED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 施工进度计划</w:t>
      </w:r>
    </w:p>
    <w:p w14:paraId="71F024E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7.2.2 施工进度计划的修订</w:t>
      </w:r>
    </w:p>
    <w:p w14:paraId="7E2FD75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发包人和监理人在收到修订的施工进度计划后确认或提出修改意见的期限：</w:t>
      </w:r>
      <w:r>
        <w:rPr>
          <w:rFonts w:hint="eastAsia" w:ascii="宋体" w:hAnsi="宋体" w:eastAsia="宋体" w:cs="宋体"/>
          <w:color w:val="auto"/>
          <w:sz w:val="24"/>
          <w:u w:val="single"/>
        </w:rPr>
        <w:t>收到报告后7 天内予以批复</w:t>
      </w:r>
      <w:r>
        <w:rPr>
          <w:rFonts w:hint="eastAsia" w:ascii="宋体" w:hAnsi="宋体" w:eastAsia="宋体" w:cs="宋体"/>
          <w:color w:val="auto"/>
          <w:sz w:val="24"/>
        </w:rPr>
        <w:t>。</w:t>
      </w:r>
    </w:p>
    <w:p w14:paraId="485006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7.3 开工</w:t>
      </w:r>
    </w:p>
    <w:p w14:paraId="167B521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7.3.1 开工准备</w:t>
      </w:r>
    </w:p>
    <w:p w14:paraId="29EE72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关于承包人提交工程开工报审表的期限：</w:t>
      </w:r>
      <w:r>
        <w:rPr>
          <w:rFonts w:hint="eastAsia" w:ascii="宋体" w:hAnsi="宋体" w:eastAsia="宋体" w:cs="宋体"/>
          <w:color w:val="auto"/>
          <w:sz w:val="24"/>
          <w:u w:val="single"/>
        </w:rPr>
        <w:t xml:space="preserve">开工前 </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天</w:t>
      </w:r>
      <w:r>
        <w:rPr>
          <w:rFonts w:hint="eastAsia" w:ascii="宋体" w:hAnsi="宋体" w:eastAsia="宋体" w:cs="宋体"/>
          <w:color w:val="auto"/>
          <w:sz w:val="24"/>
        </w:rPr>
        <w:t>。</w:t>
      </w:r>
    </w:p>
    <w:p w14:paraId="2E03B8F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关于发包人应完成的其他开工准备工作及期限：</w:t>
      </w:r>
      <w:r>
        <w:rPr>
          <w:rFonts w:hint="eastAsia" w:ascii="宋体" w:hAnsi="宋体" w:eastAsia="宋体" w:cs="宋体"/>
          <w:color w:val="auto"/>
          <w:sz w:val="24"/>
          <w:u w:val="single"/>
        </w:rPr>
        <w:t>开工前 7 天</w:t>
      </w:r>
      <w:r>
        <w:rPr>
          <w:rFonts w:hint="eastAsia" w:ascii="宋体" w:hAnsi="宋体" w:eastAsia="宋体" w:cs="宋体"/>
          <w:color w:val="auto"/>
          <w:sz w:val="24"/>
        </w:rPr>
        <w:t>。</w:t>
      </w:r>
    </w:p>
    <w:p w14:paraId="6AC58C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关于承包人应完成的其他开工准备工作及期限:</w:t>
      </w:r>
      <w:r>
        <w:rPr>
          <w:rFonts w:hint="eastAsia" w:ascii="宋体" w:hAnsi="宋体" w:eastAsia="宋体" w:cs="宋体"/>
          <w:color w:val="auto"/>
          <w:sz w:val="24"/>
          <w:u w:val="single"/>
        </w:rPr>
        <w:t>开工前 7 天</w:t>
      </w:r>
      <w:r>
        <w:rPr>
          <w:rFonts w:hint="eastAsia" w:ascii="宋体" w:hAnsi="宋体" w:eastAsia="宋体" w:cs="宋体"/>
          <w:color w:val="auto"/>
          <w:sz w:val="24"/>
        </w:rPr>
        <w:t>。</w:t>
      </w:r>
    </w:p>
    <w:p w14:paraId="552690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7.3.2开工通知</w:t>
      </w:r>
    </w:p>
    <w:p w14:paraId="249D6F4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因发包人原因造成监理人未能在计划开工日期之日起 </w:t>
      </w:r>
      <w:r>
        <w:rPr>
          <w:rFonts w:hint="eastAsia" w:ascii="宋体" w:hAnsi="宋体" w:eastAsia="宋体" w:cs="宋体"/>
          <w:color w:val="auto"/>
          <w:sz w:val="24"/>
          <w:u w:val="single"/>
        </w:rPr>
        <w:t>90 天内</w:t>
      </w:r>
      <w:r>
        <w:rPr>
          <w:rFonts w:hint="eastAsia" w:ascii="宋体" w:hAnsi="宋体" w:eastAsia="宋体" w:cs="宋体"/>
          <w:color w:val="auto"/>
          <w:sz w:val="24"/>
        </w:rPr>
        <w:t>发出开工通知的，承包人有权提出价格调整要求，或者解除合同。</w:t>
      </w:r>
    </w:p>
    <w:p w14:paraId="02394DF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7.4 测量放线</w:t>
      </w:r>
    </w:p>
    <w:p w14:paraId="27B4D05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7.4.1发包人通过监理人向承包人提供测量基准点、基准线和水准点及其书面资料的期限：</w:t>
      </w:r>
      <w:r>
        <w:rPr>
          <w:rFonts w:hint="eastAsia" w:ascii="宋体" w:hAnsi="宋体" w:eastAsia="宋体" w:cs="宋体"/>
          <w:color w:val="auto"/>
          <w:sz w:val="24"/>
          <w:u w:val="single"/>
        </w:rPr>
        <w:t xml:space="preserve">开工前 </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 xml:space="preserve"> 天</w:t>
      </w:r>
      <w:r>
        <w:rPr>
          <w:rFonts w:hint="eastAsia" w:ascii="宋体" w:hAnsi="宋体" w:eastAsia="宋体" w:cs="宋体"/>
          <w:color w:val="auto"/>
          <w:sz w:val="24"/>
        </w:rPr>
        <w:t>。</w:t>
      </w:r>
    </w:p>
    <w:p w14:paraId="5049F5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7.5 工期延误</w:t>
      </w:r>
    </w:p>
    <w:p w14:paraId="54316D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7.5.1 因发包人原因导致工期延误</w:t>
      </w:r>
    </w:p>
    <w:p w14:paraId="3B08EF9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因发包人原因导致工期延误的其他情形：①重大设计变更引起的工期延误  ；②其他： / </w:t>
      </w:r>
      <w:r>
        <w:rPr>
          <w:rFonts w:hint="eastAsia" w:ascii="宋体" w:hAnsi="宋体" w:eastAsia="宋体" w:cs="宋体"/>
          <w:color w:val="auto"/>
          <w:sz w:val="24"/>
        </w:rPr>
        <w:t xml:space="preserve"> 。</w:t>
      </w:r>
    </w:p>
    <w:p w14:paraId="34E08AD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（2）双方约定工期顺延的其他情况：</w:t>
      </w:r>
      <w:r>
        <w:rPr>
          <w:rFonts w:hint="eastAsia" w:ascii="宋体" w:hAnsi="宋体" w:eastAsia="宋体" w:cs="宋体"/>
          <w:color w:val="auto"/>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宋体" w:hAnsi="宋体" w:eastAsia="宋体" w:cs="宋体"/>
          <w:color w:val="auto"/>
          <w:sz w:val="24"/>
        </w:rPr>
        <w:t>。</w:t>
      </w:r>
    </w:p>
    <w:p w14:paraId="57C913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（3）工程延期的审批：</w:t>
      </w:r>
      <w:r>
        <w:rPr>
          <w:rFonts w:hint="eastAsia" w:ascii="宋体" w:hAnsi="宋体" w:eastAsia="宋体" w:cs="宋体"/>
          <w:color w:val="auto"/>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宋体" w:hAnsi="宋体" w:eastAsia="宋体" w:cs="宋体"/>
          <w:color w:val="auto"/>
          <w:sz w:val="24"/>
        </w:rPr>
        <w:t>。</w:t>
      </w:r>
    </w:p>
    <w:p w14:paraId="65FBF62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7.5.2 因承包人原因导致工期延误</w:t>
      </w:r>
    </w:p>
    <w:p w14:paraId="49F08A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因承包人原因造成工期延误，逾期竣工违约金的计算方法为：</w:t>
      </w:r>
    </w:p>
    <w:p w14:paraId="31A0CB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因承包人原因工程不能按合同约定工期竣工，每延误一天，承包人应按人民币贰仟元向发包人支付违约金。该违约金由发包人直接在工程结算价款中扣除</w:t>
      </w:r>
      <w:r>
        <w:rPr>
          <w:rFonts w:hint="eastAsia" w:ascii="宋体" w:hAnsi="宋体" w:eastAsia="宋体" w:cs="宋体"/>
          <w:color w:val="auto"/>
          <w:sz w:val="24"/>
        </w:rPr>
        <w:t>。</w:t>
      </w:r>
    </w:p>
    <w:p w14:paraId="184BFDE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因承包人原因造成工期延误，逾期竣工违约金的上限：</w:t>
      </w:r>
      <w:r>
        <w:rPr>
          <w:rFonts w:hint="eastAsia" w:ascii="宋体" w:hAnsi="宋体" w:eastAsia="宋体" w:cs="宋体"/>
          <w:color w:val="auto"/>
          <w:sz w:val="24"/>
          <w:u w:val="single"/>
        </w:rPr>
        <w:t>累计不超过合同总价的3%</w:t>
      </w:r>
      <w:r>
        <w:rPr>
          <w:rFonts w:hint="eastAsia" w:ascii="宋体" w:hAnsi="宋体" w:eastAsia="宋体" w:cs="宋体"/>
          <w:color w:val="auto"/>
          <w:sz w:val="24"/>
        </w:rPr>
        <w:t>。</w:t>
      </w:r>
    </w:p>
    <w:p w14:paraId="7303C5F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7.6 不利物质条件</w:t>
      </w:r>
    </w:p>
    <w:p w14:paraId="331109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不利物质条件的其他情形和有关约定：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33F7EC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7.7异常恶劣的气候条件</w:t>
      </w:r>
    </w:p>
    <w:p w14:paraId="5B70CF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发包人和承包人同意以下情形视为异常恶劣的气候条件：</w:t>
      </w:r>
    </w:p>
    <w:p w14:paraId="684F993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w:t>
      </w:r>
      <w:r>
        <w:rPr>
          <w:rFonts w:hint="eastAsia" w:ascii="宋体" w:hAnsi="宋体" w:eastAsia="宋体" w:cs="宋体"/>
          <w:color w:val="auto"/>
          <w:sz w:val="24"/>
          <w:u w:val="single"/>
        </w:rPr>
        <w:t>日最高气温达到40度及以上的天气；</w:t>
      </w:r>
    </w:p>
    <w:p w14:paraId="1F33F5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启动台风橙色及以上的预警的天气；</w:t>
      </w:r>
    </w:p>
    <w:p w14:paraId="15D532C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color w:val="auto"/>
          <w:sz w:val="24"/>
          <w:u w:val="single"/>
        </w:rPr>
        <w:t>启动防汛预案一级响应的天气；</w:t>
      </w:r>
    </w:p>
    <w:p w14:paraId="58E90C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u w:val="single"/>
        </w:rPr>
        <w:t>启动防冻预案一级响应的天气。</w:t>
      </w:r>
    </w:p>
    <w:p w14:paraId="7359D08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7.9 提前竣工的奖励</w:t>
      </w:r>
    </w:p>
    <w:p w14:paraId="63CAEE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7.9.2提前竣工的奖励：</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6AC7FA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 材料与设备</w:t>
      </w:r>
    </w:p>
    <w:p w14:paraId="27251E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8.4材料与工程设备的保管与使用</w:t>
      </w:r>
    </w:p>
    <w:p w14:paraId="3E60F8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8.4.1发包人供应的材料设备的保管费用的承担：</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2E7C4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8.6 样品</w:t>
      </w:r>
    </w:p>
    <w:p w14:paraId="67F1872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8.6.1</w:t>
      </w:r>
      <w:r>
        <w:rPr>
          <w:rFonts w:hint="eastAsia" w:ascii="宋体" w:hAnsi="宋体" w:eastAsia="宋体" w:cs="宋体"/>
          <w:color w:val="auto"/>
          <w:sz w:val="24"/>
        </w:rPr>
        <w:tab/>
      </w:r>
      <w:r>
        <w:rPr>
          <w:rFonts w:hint="eastAsia" w:ascii="宋体" w:hAnsi="宋体" w:eastAsia="宋体" w:cs="宋体"/>
          <w:color w:val="auto"/>
          <w:sz w:val="24"/>
        </w:rPr>
        <w:t>样品的报送与封存</w:t>
      </w:r>
    </w:p>
    <w:p w14:paraId="7C8FB3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需要承包人报送样品的材料或工程设备，样品的种类、名称、规格、数量要求：                                          </w:t>
      </w:r>
      <w:r>
        <w:rPr>
          <w:rFonts w:hint="eastAsia" w:ascii="宋体" w:hAnsi="宋体" w:eastAsia="宋体" w:cs="宋体"/>
          <w:color w:val="auto"/>
          <w:sz w:val="24"/>
          <w:u w:val="single"/>
        </w:rPr>
        <w:t>采购前由发包人确认</w:t>
      </w:r>
      <w:r>
        <w:rPr>
          <w:rFonts w:hint="eastAsia" w:ascii="宋体" w:hAnsi="宋体" w:eastAsia="宋体" w:cs="宋体"/>
          <w:color w:val="auto"/>
          <w:sz w:val="24"/>
        </w:rPr>
        <w:t>。</w:t>
      </w:r>
    </w:p>
    <w:p w14:paraId="6FD2355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8.8 施工设备和临时设施</w:t>
      </w:r>
    </w:p>
    <w:p w14:paraId="5F0816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8.8.1 承包人提供的施工设备和临时设施</w:t>
      </w:r>
    </w:p>
    <w:p w14:paraId="2E34F2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关于修建临时设施费用承担的约定：</w:t>
      </w:r>
      <w:r>
        <w:rPr>
          <w:rFonts w:hint="eastAsia" w:ascii="宋体" w:hAnsi="宋体" w:eastAsia="宋体" w:cs="宋体"/>
          <w:color w:val="auto"/>
          <w:sz w:val="24"/>
          <w:u w:val="single"/>
        </w:rPr>
        <w:t>按通用合同条款约定</w:t>
      </w:r>
      <w:r>
        <w:rPr>
          <w:rFonts w:hint="eastAsia" w:ascii="宋体" w:hAnsi="宋体" w:eastAsia="宋体" w:cs="宋体"/>
          <w:color w:val="auto"/>
          <w:sz w:val="24"/>
        </w:rPr>
        <w:t>。</w:t>
      </w:r>
    </w:p>
    <w:p w14:paraId="0870A42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9.试验与检验</w:t>
      </w:r>
    </w:p>
    <w:p w14:paraId="31DA47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9.1试验设备与试验人员</w:t>
      </w:r>
    </w:p>
    <w:p w14:paraId="2145A6B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9.1.2 试验设备</w:t>
      </w:r>
    </w:p>
    <w:p w14:paraId="7523BDA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施工现场需要配置的试验场所：</w:t>
      </w:r>
      <w:r>
        <w:rPr>
          <w:rFonts w:hint="eastAsia" w:ascii="宋体" w:hAnsi="宋体" w:eastAsia="宋体" w:cs="宋体"/>
          <w:color w:val="auto"/>
          <w:sz w:val="24"/>
          <w:u w:val="single"/>
        </w:rPr>
        <w:t>按有关规定和监理人要求执行</w:t>
      </w:r>
      <w:r>
        <w:rPr>
          <w:rFonts w:hint="eastAsia" w:ascii="宋体" w:hAnsi="宋体" w:eastAsia="宋体" w:cs="宋体"/>
          <w:color w:val="auto"/>
          <w:sz w:val="24"/>
        </w:rPr>
        <w:t xml:space="preserve">。 </w:t>
      </w:r>
    </w:p>
    <w:p w14:paraId="71D2D4A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施工现场需要配备的试验设备：</w:t>
      </w:r>
      <w:r>
        <w:rPr>
          <w:rFonts w:hint="eastAsia" w:ascii="宋体" w:hAnsi="宋体" w:eastAsia="宋体" w:cs="宋体"/>
          <w:color w:val="auto"/>
          <w:sz w:val="24"/>
          <w:u w:val="single"/>
        </w:rPr>
        <w:t>按有关规定和监理人要求执行</w:t>
      </w:r>
      <w:r>
        <w:rPr>
          <w:rFonts w:hint="eastAsia" w:ascii="宋体" w:hAnsi="宋体" w:eastAsia="宋体" w:cs="宋体"/>
          <w:color w:val="auto"/>
          <w:sz w:val="24"/>
        </w:rPr>
        <w:t>。</w:t>
      </w:r>
    </w:p>
    <w:p w14:paraId="7796F2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施工现场需要具备的其他试验条件：</w:t>
      </w:r>
      <w:r>
        <w:rPr>
          <w:rFonts w:hint="eastAsia" w:ascii="宋体" w:hAnsi="宋体" w:eastAsia="宋体" w:cs="宋体"/>
          <w:color w:val="auto"/>
          <w:sz w:val="24"/>
          <w:u w:val="single"/>
        </w:rPr>
        <w:t>按有关规定和监理人要求执行，所有试车费用承包人已包含在合同价中</w:t>
      </w:r>
      <w:r>
        <w:rPr>
          <w:rFonts w:hint="eastAsia" w:ascii="宋体" w:hAnsi="宋体" w:eastAsia="宋体" w:cs="宋体"/>
          <w:color w:val="auto"/>
          <w:sz w:val="24"/>
        </w:rPr>
        <w:t>。</w:t>
      </w:r>
    </w:p>
    <w:p w14:paraId="2988FA2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9.4 现场工艺试验 </w:t>
      </w:r>
    </w:p>
    <w:p w14:paraId="7A0E2D4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现场工艺试验的有关约定：</w:t>
      </w:r>
      <w:r>
        <w:rPr>
          <w:rFonts w:hint="eastAsia" w:ascii="宋体" w:hAnsi="宋体" w:eastAsia="宋体" w:cs="宋体"/>
          <w:color w:val="auto"/>
          <w:sz w:val="24"/>
          <w:u w:val="single"/>
        </w:rPr>
        <w:t>按有关规定和监理人要求执行</w:t>
      </w:r>
      <w:r>
        <w:rPr>
          <w:rFonts w:hint="eastAsia" w:ascii="宋体" w:hAnsi="宋体" w:eastAsia="宋体" w:cs="宋体"/>
          <w:color w:val="auto"/>
          <w:sz w:val="24"/>
        </w:rPr>
        <w:t>。</w:t>
      </w:r>
    </w:p>
    <w:p w14:paraId="40A7E7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 变更</w:t>
      </w:r>
    </w:p>
    <w:p w14:paraId="2CA86C6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10.1变更的范围</w:t>
      </w:r>
    </w:p>
    <w:p w14:paraId="138C0D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关于变更的范围的约定：（1）</w:t>
      </w:r>
      <w:r>
        <w:rPr>
          <w:rFonts w:hint="eastAsia" w:ascii="宋体" w:hAnsi="宋体" w:eastAsia="宋体" w:cs="宋体"/>
          <w:color w:val="auto"/>
          <w:sz w:val="24"/>
          <w:u w:val="single"/>
        </w:rPr>
        <w:t>施工中发包人需对原工程设计变更，应提前7天以书面形式向承包人发出变更通知，并由原设计单位提供变更的相应图纸和说明。承包人按照发包人发出的变更通知及有关要求进行变更</w:t>
      </w:r>
      <w:r>
        <w:rPr>
          <w:rFonts w:hint="eastAsia" w:ascii="宋体" w:hAnsi="宋体" w:eastAsia="宋体" w:cs="宋体"/>
          <w:color w:val="auto"/>
          <w:sz w:val="24"/>
        </w:rPr>
        <w:t>。</w:t>
      </w:r>
    </w:p>
    <w:p w14:paraId="6210669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施工中承包人不得对原工程设计进行变更。因承包人擅自变更设计的，</w:t>
      </w:r>
      <w:r>
        <w:rPr>
          <w:rFonts w:hint="eastAsia" w:ascii="宋体" w:hAnsi="宋体" w:eastAsia="宋体" w:cs="宋体"/>
          <w:bCs/>
          <w:color w:val="auto"/>
          <w:sz w:val="24"/>
          <w:u w:val="single"/>
        </w:rPr>
        <w:t>应承担为恢复原设计而发生的费用及其他损失。因此而延误工期的，承包人应依据本合同专用条款第7.5.2之规定承担迟延履行的违约责任</w:t>
      </w:r>
      <w:r>
        <w:rPr>
          <w:rFonts w:hint="eastAsia" w:ascii="宋体" w:hAnsi="宋体" w:eastAsia="宋体" w:cs="宋体"/>
          <w:bCs/>
          <w:color w:val="auto"/>
          <w:sz w:val="24"/>
        </w:rPr>
        <w:t>。</w:t>
      </w:r>
    </w:p>
    <w:p w14:paraId="3D7AE6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color w:val="auto"/>
          <w:sz w:val="24"/>
          <w:u w:val="single"/>
        </w:rPr>
        <w:t>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宋体" w:hAnsi="宋体" w:eastAsia="宋体" w:cs="宋体"/>
          <w:bCs/>
          <w:color w:val="auto"/>
          <w:sz w:val="24"/>
          <w:u w:val="single"/>
        </w:rPr>
        <w:t>因此而延误工期的，承包人应依据本合同专用条款第7.5.2之规定承担迟延履行的违约责任。</w:t>
      </w:r>
      <w:r>
        <w:rPr>
          <w:rFonts w:hint="eastAsia" w:ascii="宋体" w:hAnsi="宋体" w:eastAsia="宋体" w:cs="宋体"/>
          <w:color w:val="auto"/>
          <w:sz w:val="24"/>
          <w:u w:val="single"/>
        </w:rPr>
        <w:t>发包人同意采用承包人合理化建议，所发生的费用和获得的收益，发包人承包人另行约定分担或分享</w:t>
      </w:r>
      <w:r>
        <w:rPr>
          <w:rFonts w:hint="eastAsia" w:ascii="宋体" w:hAnsi="宋体" w:eastAsia="宋体" w:cs="宋体"/>
          <w:color w:val="auto"/>
          <w:sz w:val="24"/>
        </w:rPr>
        <w:t>。</w:t>
      </w:r>
    </w:p>
    <w:p w14:paraId="5BA9D1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10.4 变更估价</w:t>
      </w:r>
    </w:p>
    <w:p w14:paraId="4B28CD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10.4.1 变更估价原则 </w:t>
      </w:r>
    </w:p>
    <w:p w14:paraId="754696A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关于变更估价的约定:</w:t>
      </w:r>
    </w:p>
    <w:p w14:paraId="078693C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已标价工程量清单有相同项目的，按照相同项目单价确定</w:t>
      </w:r>
      <w:r>
        <w:rPr>
          <w:rFonts w:hint="eastAsia" w:ascii="宋体" w:hAnsi="宋体" w:eastAsia="宋体" w:cs="宋体"/>
          <w:color w:val="auto"/>
          <w:sz w:val="24"/>
        </w:rPr>
        <w:t>。</w:t>
      </w:r>
    </w:p>
    <w:p w14:paraId="7C391E1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已标价工程量清单中无相同项目，但有类似项目的，参照类似项目的单价确定</w:t>
      </w:r>
      <w:r>
        <w:rPr>
          <w:rFonts w:hint="eastAsia" w:ascii="宋体" w:hAnsi="宋体" w:eastAsia="宋体" w:cs="宋体"/>
          <w:color w:val="auto"/>
          <w:sz w:val="24"/>
        </w:rPr>
        <w:t>。</w:t>
      </w:r>
    </w:p>
    <w:p w14:paraId="5D01652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仅调整主要材料的，则仅调整材料之间的当期信息价差价</w:t>
      </w:r>
      <w:r>
        <w:rPr>
          <w:rFonts w:hint="eastAsia" w:ascii="宋体" w:hAnsi="宋体" w:eastAsia="宋体" w:cs="宋体"/>
          <w:color w:val="auto"/>
          <w:sz w:val="24"/>
        </w:rPr>
        <w:t>；</w:t>
      </w:r>
    </w:p>
    <w:p w14:paraId="15E0A02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u w:val="single"/>
        </w:rPr>
        <w:t>已标价工程量清单中无相同项目及类似项目单价的，按以下口径重新组价并下浮后的综合单价确定【下浮率=（1-成交价/第一次投标报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Pr>
          <w:rFonts w:hint="eastAsia" w:ascii="宋体" w:hAnsi="宋体" w:eastAsia="宋体" w:cs="宋体"/>
          <w:color w:val="auto"/>
          <w:sz w:val="24"/>
        </w:rPr>
        <w:t>。</w:t>
      </w:r>
    </w:p>
    <w:p w14:paraId="37BC1EC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宋体" w:hAnsi="宋体" w:eastAsia="宋体" w:cs="宋体"/>
          <w:color w:val="auto"/>
          <w:sz w:val="24"/>
        </w:rPr>
        <w:t>。</w:t>
      </w:r>
    </w:p>
    <w:p w14:paraId="144553C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10.5承包人的合理化建议</w:t>
      </w:r>
    </w:p>
    <w:p w14:paraId="34F0F6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监理人审查承包人合理化建议的期限：</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1FAA98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发包人审批承包人合理化建议的期限：</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61B78B5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承包人提出的合理化建议降低了合同价格或者提高了工程经济效益的奖励的方法和金额为：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7B3B3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10.7 暂估价</w:t>
      </w:r>
    </w:p>
    <w:p w14:paraId="339821B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暂估价材料和工程设备的明细详见附件：</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345A94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10.7.1 依法必须招标的暂估价项目</w:t>
      </w:r>
    </w:p>
    <w:p w14:paraId="3E7DE7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对于依法必须招标的暂估价项目的确认和批准采取第</w:t>
      </w:r>
      <w:r>
        <w:rPr>
          <w:rFonts w:hint="eastAsia" w:ascii="宋体" w:hAnsi="宋体" w:eastAsia="宋体" w:cs="宋体"/>
          <w:color w:val="auto"/>
          <w:sz w:val="24"/>
          <w:u w:val="single"/>
        </w:rPr>
        <w:t xml:space="preserve"> / </w:t>
      </w:r>
      <w:r>
        <w:rPr>
          <w:rFonts w:hint="eastAsia" w:ascii="宋体" w:hAnsi="宋体" w:eastAsia="宋体" w:cs="宋体"/>
          <w:color w:val="auto"/>
          <w:sz w:val="24"/>
        </w:rPr>
        <w:t>种方式确定。</w:t>
      </w:r>
    </w:p>
    <w:p w14:paraId="2F2C588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10.7.2 不属于依法必须招标的暂估价项目</w:t>
      </w:r>
    </w:p>
    <w:p w14:paraId="5998698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对于不属于依法必须招标的暂估价项目的确认和批准采取第</w:t>
      </w:r>
      <w:r>
        <w:rPr>
          <w:rFonts w:hint="eastAsia" w:ascii="宋体" w:hAnsi="宋体" w:eastAsia="宋体" w:cs="宋体"/>
          <w:color w:val="auto"/>
          <w:sz w:val="24"/>
          <w:u w:val="single"/>
        </w:rPr>
        <w:t xml:space="preserve"> / </w:t>
      </w:r>
      <w:r>
        <w:rPr>
          <w:rFonts w:hint="eastAsia" w:ascii="宋体" w:hAnsi="宋体" w:eastAsia="宋体" w:cs="宋体"/>
          <w:color w:val="auto"/>
          <w:sz w:val="24"/>
        </w:rPr>
        <w:t>种方式确定。</w:t>
      </w:r>
    </w:p>
    <w:p w14:paraId="2273A0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第3种方式：承包人直接实施的暂估价项目</w:t>
      </w:r>
    </w:p>
    <w:p w14:paraId="36B193B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承包人直接实施的暂估价项目的约定：</w:t>
      </w:r>
      <w:r>
        <w:rPr>
          <w:rFonts w:hint="eastAsia" w:ascii="宋体" w:hAnsi="宋体" w:eastAsia="宋体" w:cs="宋体"/>
          <w:color w:val="auto"/>
          <w:sz w:val="24"/>
          <w:u w:val="single"/>
        </w:rPr>
        <w:t>所有暂估价项目深化方案需经发包方、设计确认后方可实施</w:t>
      </w:r>
      <w:r>
        <w:rPr>
          <w:rFonts w:hint="eastAsia" w:ascii="宋体" w:hAnsi="宋体" w:eastAsia="宋体" w:cs="宋体"/>
          <w:color w:val="auto"/>
          <w:sz w:val="24"/>
        </w:rPr>
        <w:t>。</w:t>
      </w:r>
    </w:p>
    <w:p w14:paraId="04C51DB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10.8 暂列金额</w:t>
      </w:r>
    </w:p>
    <w:p w14:paraId="522D7AC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合同当事人关于暂列金额使用的约定：</w:t>
      </w:r>
      <w:r>
        <w:rPr>
          <w:rFonts w:hint="eastAsia" w:ascii="宋体" w:hAnsi="宋体" w:eastAsia="宋体" w:cs="宋体"/>
          <w:color w:val="auto"/>
          <w:sz w:val="24"/>
          <w:u w:val="single"/>
        </w:rPr>
        <w:t>由监理人报发包人批准后方可使用</w:t>
      </w:r>
      <w:r>
        <w:rPr>
          <w:rFonts w:hint="eastAsia" w:ascii="宋体" w:hAnsi="宋体" w:eastAsia="宋体" w:cs="宋体"/>
          <w:color w:val="auto"/>
          <w:sz w:val="24"/>
        </w:rPr>
        <w:t>。</w:t>
      </w:r>
    </w:p>
    <w:p w14:paraId="7EC4D64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 价格调整</w:t>
      </w:r>
    </w:p>
    <w:p w14:paraId="62A7251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 市场价格波动引起的调整</w:t>
      </w:r>
    </w:p>
    <w:p w14:paraId="37C42D1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市场价格波动是否调整合同价格的约定：</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w:t>
      </w:r>
    </w:p>
    <w:p w14:paraId="3A3627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因市场价格波动调整合同价格，采用以下第</w:t>
      </w:r>
      <w:r>
        <w:rPr>
          <w:rFonts w:hint="eastAsia" w:ascii="宋体" w:hAnsi="宋体" w:eastAsia="宋体" w:cs="宋体"/>
          <w:color w:val="auto"/>
          <w:sz w:val="24"/>
          <w:u w:val="single"/>
        </w:rPr>
        <w:t xml:space="preserve"> / </w:t>
      </w:r>
      <w:r>
        <w:rPr>
          <w:rFonts w:hint="eastAsia" w:ascii="宋体" w:hAnsi="宋体" w:eastAsia="宋体" w:cs="宋体"/>
          <w:color w:val="auto"/>
          <w:sz w:val="24"/>
        </w:rPr>
        <w:t>种方式对合同价格进行调整：</w:t>
      </w:r>
    </w:p>
    <w:p w14:paraId="090DC87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第1种方式：采用价格指数进行价格调整。</w:t>
      </w:r>
    </w:p>
    <w:p w14:paraId="0519B4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关于各可调因子、定值和变值权重，以及基本价格指数及其来源的约定：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w:t>
      </w:r>
    </w:p>
    <w:p w14:paraId="169BA4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第2种方式：采用造价信息进行价格调整。</w:t>
      </w:r>
    </w:p>
    <w:p w14:paraId="429683A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（2）关于基准价格的约定：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B0D71D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%时，或材料单价跌幅以已标价工程量清单或预算书中载明材料单价为基础超过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14:paraId="1DBCC81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%时，材料单价涨幅以已标价工程量清单或预算书中载明材料单价为基础超过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14:paraId="17B23C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14:paraId="6DC9D68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第3种方式：其他价格调整方式：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27059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 合同价格、计量与支付</w:t>
      </w:r>
    </w:p>
    <w:p w14:paraId="55AF82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合同价格形式</w:t>
      </w:r>
    </w:p>
    <w:p w14:paraId="57C13C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1、单价合同：</w:t>
      </w:r>
    </w:p>
    <w:p w14:paraId="2AB9B52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综合单价包含的风险范围：</w:t>
      </w:r>
      <w:r>
        <w:rPr>
          <w:rFonts w:hint="eastAsia" w:ascii="宋体" w:hAnsi="宋体" w:eastAsia="宋体" w:cs="宋体"/>
          <w:color w:val="auto"/>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宋体" w:hAnsi="宋体" w:eastAsia="宋体" w:cs="宋体"/>
          <w:color w:val="auto"/>
          <w:sz w:val="24"/>
        </w:rPr>
        <w:t>。</w:t>
      </w:r>
    </w:p>
    <w:p w14:paraId="0D55628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风险费用的计算方法：</w:t>
      </w:r>
      <w:r>
        <w:rPr>
          <w:rFonts w:hint="eastAsia" w:ascii="宋体" w:hAnsi="宋体" w:eastAsia="宋体" w:cs="宋体"/>
          <w:color w:val="auto"/>
          <w:sz w:val="24"/>
          <w:u w:val="single"/>
        </w:rPr>
        <w:t>以上风险范围之内费用已由承包人自行预测并计入合同价中</w:t>
      </w:r>
      <w:r>
        <w:rPr>
          <w:rFonts w:hint="eastAsia" w:ascii="宋体" w:hAnsi="宋体" w:eastAsia="宋体" w:cs="宋体"/>
          <w:color w:val="auto"/>
          <w:sz w:val="24"/>
        </w:rPr>
        <w:t>。</w:t>
      </w:r>
    </w:p>
    <w:p w14:paraId="78E3602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工程量按照《建设工程工程量清单计价规范》（GB50500-2018）等计算规则计算。合同价格参照本合同第10.4.1条执行</w:t>
      </w:r>
      <w:r>
        <w:rPr>
          <w:rFonts w:hint="eastAsia" w:ascii="宋体" w:hAnsi="宋体" w:eastAsia="宋体" w:cs="宋体"/>
          <w:color w:val="auto"/>
          <w:sz w:val="24"/>
        </w:rPr>
        <w:t>。</w:t>
      </w:r>
    </w:p>
    <w:p w14:paraId="503F2DB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2、总价合同：</w:t>
      </w:r>
    </w:p>
    <w:p w14:paraId="2D4A89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总价包含的风险范围：</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80E72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风险费用的计算方法：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AEC8CD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D39AC6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3、其他价格方式：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419A4B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12.2 预付款</w:t>
      </w:r>
    </w:p>
    <w:p w14:paraId="35FD1F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12.2.1 预付款的支付</w:t>
      </w:r>
    </w:p>
    <w:p w14:paraId="2E5D266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预付款支付比例或金额：</w:t>
      </w:r>
      <w:r>
        <w:rPr>
          <w:rFonts w:hint="eastAsia" w:ascii="宋体" w:hAnsi="宋体" w:eastAsia="宋体" w:cs="宋体"/>
          <w:color w:val="auto"/>
          <w:sz w:val="24"/>
          <w:u w:val="single"/>
        </w:rPr>
        <w:t>合同金额(不含暂列金)的</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0%</w:t>
      </w:r>
      <w:r>
        <w:rPr>
          <w:rFonts w:hint="eastAsia" w:ascii="宋体" w:hAnsi="宋体" w:eastAsia="宋体" w:cs="宋体"/>
          <w:color w:val="auto"/>
          <w:sz w:val="24"/>
        </w:rPr>
        <w:t>。</w:t>
      </w:r>
    </w:p>
    <w:p w14:paraId="333FB0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预付款支付期限：</w:t>
      </w:r>
      <w:r>
        <w:rPr>
          <w:rFonts w:hint="eastAsia" w:ascii="宋体" w:hAnsi="宋体" w:eastAsia="宋体" w:cs="宋体"/>
          <w:color w:val="auto"/>
          <w:sz w:val="24"/>
          <w:u w:val="single"/>
        </w:rPr>
        <w:t>合同生效并具备实施条件后7个工作日内，发包人向承包人预付合同金额(不含暂列金)的</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0%作为工程预付款</w:t>
      </w:r>
      <w:r>
        <w:rPr>
          <w:rFonts w:hint="eastAsia" w:ascii="宋体" w:hAnsi="宋体" w:eastAsia="宋体" w:cs="宋体"/>
          <w:color w:val="auto"/>
          <w:sz w:val="24"/>
        </w:rPr>
        <w:t>。</w:t>
      </w:r>
    </w:p>
    <w:p w14:paraId="1CBDC4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预付款扣回的方式：</w:t>
      </w:r>
      <w:r>
        <w:rPr>
          <w:rFonts w:hint="eastAsia" w:ascii="宋体" w:hAnsi="宋体" w:eastAsia="宋体" w:cs="宋体"/>
          <w:color w:val="auto"/>
          <w:sz w:val="24"/>
          <w:u w:val="single"/>
        </w:rPr>
        <w:t>在第一期进度款中扣回</w:t>
      </w:r>
      <w:r>
        <w:rPr>
          <w:rFonts w:hint="eastAsia" w:ascii="宋体" w:hAnsi="宋体" w:eastAsia="宋体" w:cs="宋体"/>
          <w:color w:val="auto"/>
          <w:sz w:val="24"/>
        </w:rPr>
        <w:t>。</w:t>
      </w:r>
    </w:p>
    <w:p w14:paraId="492334B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12.2.2 预付款担保</w:t>
      </w:r>
    </w:p>
    <w:p w14:paraId="730F584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承包人提交预付款担保的期限：</w:t>
      </w:r>
      <w:r>
        <w:rPr>
          <w:rFonts w:hint="eastAsia" w:ascii="宋体" w:hAnsi="宋体" w:eastAsia="宋体" w:cs="宋体"/>
          <w:color w:val="auto"/>
          <w:sz w:val="24"/>
          <w:u w:val="single"/>
        </w:rPr>
        <w:t>合同生效</w:t>
      </w:r>
      <w:r>
        <w:rPr>
          <w:rFonts w:hint="eastAsia" w:ascii="宋体" w:hAnsi="宋体" w:eastAsia="宋体" w:cs="宋体"/>
          <w:color w:val="auto"/>
          <w:sz w:val="24"/>
          <w:u w:val="single"/>
          <w:lang w:val="en-US" w:eastAsia="zh-CN"/>
        </w:rPr>
        <w:t>后7个工作日内向发包人递交预付款保函，预付款保函担保期限</w:t>
      </w:r>
      <w:r>
        <w:rPr>
          <w:rFonts w:hint="eastAsia" w:ascii="宋体" w:hAnsi="宋体" w:eastAsia="宋体" w:cs="宋体"/>
          <w:color w:val="auto"/>
          <w:sz w:val="24"/>
          <w:u w:val="single"/>
        </w:rPr>
        <w:t>自预付款担保交纳之日起至竣工验收合格后15日内有效，在此有效期截止日后14天内此预付款担保（如有剩余）解除。如工期延误，则承包人必须在有效期满前1个月办理预付款担保有效期顺延事宜，否则发包人有权不予支付工程款</w:t>
      </w:r>
      <w:r>
        <w:rPr>
          <w:rFonts w:hint="eastAsia" w:ascii="宋体" w:hAnsi="宋体" w:eastAsia="宋体" w:cs="宋体"/>
          <w:color w:val="auto"/>
          <w:sz w:val="24"/>
        </w:rPr>
        <w:t xml:space="preserve">。 </w:t>
      </w:r>
    </w:p>
    <w:p w14:paraId="2AB77CE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预付款担保的形式为：</w:t>
      </w:r>
      <w:r>
        <w:rPr>
          <w:rFonts w:hint="eastAsia" w:ascii="宋体" w:hAnsi="宋体" w:eastAsia="宋体" w:cs="宋体"/>
          <w:color w:val="auto"/>
          <w:sz w:val="24"/>
          <w:u w:val="single"/>
        </w:rPr>
        <w:t>银行、保险公司等金融机构出具的预付款保函。预付款担保的金额：合同金额的</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宋体" w:hAnsi="宋体" w:eastAsia="宋体" w:cs="宋体"/>
          <w:color w:val="auto"/>
          <w:sz w:val="24"/>
        </w:rPr>
        <w:t>。</w:t>
      </w:r>
    </w:p>
    <w:p w14:paraId="69F5828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 计量</w:t>
      </w:r>
    </w:p>
    <w:p w14:paraId="07F7F9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12.3.1 计量原则</w:t>
      </w:r>
    </w:p>
    <w:p w14:paraId="1A64C33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工程量的计算规则按国家标准工程量计算规范及省级行业主管部门颁布的补充规定执行</w:t>
      </w:r>
      <w:r>
        <w:rPr>
          <w:rFonts w:hint="eastAsia" w:ascii="宋体" w:hAnsi="宋体" w:eastAsia="宋体" w:cs="宋体"/>
          <w:color w:val="auto"/>
          <w:sz w:val="24"/>
        </w:rPr>
        <w:t>。</w:t>
      </w:r>
    </w:p>
    <w:p w14:paraId="4C5031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12.3.2 计量周期</w:t>
      </w:r>
    </w:p>
    <w:p w14:paraId="53E8A0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关于计量周期的约定：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3DCEB35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12.3.3 单价合同的计量</w:t>
      </w:r>
    </w:p>
    <w:p w14:paraId="0BD693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关于单价合同计量的约定：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79F9562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12.3.4 总价合同的计量</w:t>
      </w:r>
    </w:p>
    <w:p w14:paraId="06E8409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关于总价合同计量的约定：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A7AC7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12.3.5总价合同采用支付分解表计量支付的，是否适用第12.3.4 项〔总价合同的计量〕约定进行计量：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6A1B41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12.3.6 其他价格形式合同的计量</w:t>
      </w:r>
    </w:p>
    <w:p w14:paraId="57FF46F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其他价格形式的计量方式和程序：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0D03A9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 工程进度款支付</w:t>
      </w:r>
    </w:p>
    <w:p w14:paraId="3D1D70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12.4.1 付款周期</w:t>
      </w:r>
    </w:p>
    <w:p w14:paraId="2DD28F0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关于付款周期的约定：</w:t>
      </w:r>
      <w:r>
        <w:rPr>
          <w:rFonts w:hint="eastAsia" w:ascii="宋体" w:hAnsi="宋体" w:eastAsia="宋体" w:cs="宋体"/>
          <w:color w:val="auto"/>
          <w:sz w:val="24"/>
          <w:u w:val="single"/>
        </w:rPr>
        <w:t>合同生效并具备实施条件后7个工作日内，发包人向承包人预付合同金额(不含暂列金)的</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0%作为工程预付款；工程完成总工程量的</w:t>
      </w:r>
      <w:r>
        <w:rPr>
          <w:rFonts w:hint="eastAsia" w:ascii="宋体" w:hAnsi="宋体" w:eastAsia="宋体" w:cs="宋体"/>
          <w:color w:val="auto"/>
          <w:sz w:val="24"/>
          <w:u w:val="single"/>
          <w:lang w:val="en-US" w:eastAsia="zh-CN"/>
        </w:rPr>
        <w:t>8</w:t>
      </w:r>
      <w:r>
        <w:rPr>
          <w:rFonts w:hint="eastAsia" w:ascii="宋体" w:hAnsi="宋体" w:eastAsia="宋体" w:cs="宋体"/>
          <w:color w:val="auto"/>
          <w:sz w:val="24"/>
          <w:u w:val="single"/>
        </w:rPr>
        <w:t>0%时</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场地砼基层浇筑完成后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，支付合同价的</w:t>
      </w:r>
      <w:r>
        <w:rPr>
          <w:rFonts w:hint="eastAsia" w:ascii="宋体" w:hAnsi="宋体" w:eastAsia="宋体" w:cs="宋体"/>
          <w:color w:val="auto"/>
          <w:sz w:val="24"/>
          <w:u w:val="single"/>
          <w:lang w:val="en-US" w:eastAsia="zh-CN"/>
        </w:rPr>
        <w:t>20</w:t>
      </w:r>
      <w:r>
        <w:rPr>
          <w:rFonts w:hint="eastAsia" w:ascii="宋体" w:hAnsi="宋体" w:eastAsia="宋体" w:cs="宋体"/>
          <w:color w:val="auto"/>
          <w:sz w:val="24"/>
          <w:u w:val="single"/>
        </w:rPr>
        <w:t>%作为工程第二期工程款；工程验收合格后15天内，支付至合同价(不含暂列金)85%作为第三期进度款；承包人提交结算资料并经结算审计完成，审定后30天内支付至审定价的100%。承包人必须按时支付民工工资，并且发包人有监督的权利，如果承包人未按规定支付，发包人有权直接从工程结算款中扣除该费用，用于直接支付民工工资，由此造成的后果与损失应由承包人承担。因承包人拒付民工工资，致使发生矛盾冲突，造成发包人教学工作秩序受到不利影响的，视为承包人迟延履行义务，应依据本合同专用条款第7.5.2之规定承担迟延履行的违约责任。</w:t>
      </w:r>
    </w:p>
    <w:p w14:paraId="4EDE623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12.4.2 进度付款申请单的编制</w:t>
      </w:r>
    </w:p>
    <w:p w14:paraId="7766E82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关于进度付款申请单编制的约定：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36D144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12.4.3 进度付款申请单的提交</w:t>
      </w:r>
    </w:p>
    <w:p w14:paraId="703083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（1）单价合同进度付款申请单提交的约定：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5CB425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（2）总价合同进度付款申请单提交的约定：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D61B6B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（3）其他价格形式合同进度付款申请单提交的约定：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BE28D8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12.4.4 进度款审核和支付</w:t>
      </w:r>
    </w:p>
    <w:p w14:paraId="27EFF59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（1）监理人审查并报送发包人的期限：</w:t>
      </w:r>
      <w:r>
        <w:rPr>
          <w:rFonts w:hint="eastAsia" w:ascii="宋体" w:hAnsi="宋体" w:eastAsia="宋体" w:cs="宋体"/>
          <w:color w:val="auto"/>
          <w:sz w:val="24"/>
          <w:u w:val="single"/>
        </w:rPr>
        <w:t xml:space="preserve"> 7天 </w:t>
      </w:r>
      <w:r>
        <w:rPr>
          <w:rFonts w:hint="eastAsia" w:ascii="宋体" w:hAnsi="宋体" w:eastAsia="宋体" w:cs="宋体"/>
          <w:color w:val="auto"/>
          <w:sz w:val="24"/>
        </w:rPr>
        <w:t>。</w:t>
      </w:r>
    </w:p>
    <w:p w14:paraId="3C1852E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发包人完成审批并签发进度款支付证书的期限：</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6055AB9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（2）发包人支付进度款的期限：以发包人书面通知承包人开具收款发票后支付。</w:t>
      </w:r>
    </w:p>
    <w:p w14:paraId="633811D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发包人逾期支付进度款的违约金的计算方式：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CAB02E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12.4.6 支付分解表的编制</w:t>
      </w:r>
    </w:p>
    <w:p w14:paraId="42FBE2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2、总价合同支付分解表的编制与审批：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372ED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3、单价合同的总价项目支付分解表的编制与审批：按通用条款执行。</w:t>
      </w:r>
    </w:p>
    <w:p w14:paraId="5B1558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 验收和工程试车</w:t>
      </w:r>
    </w:p>
    <w:p w14:paraId="68D7F1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13.1 分部分项工程验收</w:t>
      </w:r>
    </w:p>
    <w:p w14:paraId="722A3C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13.1.2监理人不能按时进行验收时，应提前 </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14:paraId="1D141C5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关于延期最长不得超过：</w:t>
      </w:r>
      <w:r>
        <w:rPr>
          <w:rFonts w:hint="eastAsia" w:ascii="宋体" w:hAnsi="宋体" w:eastAsia="宋体" w:cs="宋体"/>
          <w:color w:val="auto"/>
          <w:sz w:val="24"/>
          <w:u w:val="single"/>
        </w:rPr>
        <w:t xml:space="preserve"> 48 </w:t>
      </w:r>
      <w:r>
        <w:rPr>
          <w:rFonts w:hint="eastAsia" w:ascii="宋体" w:hAnsi="宋体" w:eastAsia="宋体" w:cs="宋体"/>
          <w:color w:val="auto"/>
          <w:sz w:val="24"/>
        </w:rPr>
        <w:t>小时。</w:t>
      </w:r>
    </w:p>
    <w:p w14:paraId="120D728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13.2 竣工验收</w:t>
      </w:r>
    </w:p>
    <w:p w14:paraId="05A2FDC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13.2.2竣工验收程序</w:t>
      </w:r>
    </w:p>
    <w:p w14:paraId="17021CE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关于竣工验收程序的约定：</w:t>
      </w:r>
    </w:p>
    <w:p w14:paraId="50138AA7">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rPr>
      </w:pPr>
      <w:r>
        <w:rPr>
          <w:rFonts w:hint="eastAsia" w:ascii="宋体" w:hAnsi="宋体" w:eastAsia="宋体" w:cs="宋体"/>
          <w:bCs/>
          <w:color w:val="auto"/>
          <w:sz w:val="24"/>
          <w:u w:val="single"/>
        </w:rPr>
        <w:t>工程施工完成，由</w:t>
      </w:r>
      <w:r>
        <w:rPr>
          <w:rFonts w:hint="eastAsia" w:ascii="宋体" w:hAnsi="宋体" w:eastAsia="宋体" w:cs="宋体"/>
          <w:color w:val="auto"/>
          <w:sz w:val="24"/>
          <w:u w:val="single"/>
        </w:rPr>
        <w:t>承包人按本合同专用条款5.1.1第2款进行检测并提供检测报告</w:t>
      </w:r>
      <w:r>
        <w:rPr>
          <w:rFonts w:hint="eastAsia" w:ascii="宋体" w:hAnsi="宋体" w:eastAsia="宋体" w:cs="宋体"/>
          <w:color w:val="auto"/>
          <w:sz w:val="24"/>
        </w:rPr>
        <w:t>；</w:t>
      </w:r>
    </w:p>
    <w:p w14:paraId="5F546C50">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rPr>
      </w:pPr>
      <w:r>
        <w:rPr>
          <w:rFonts w:hint="eastAsia" w:ascii="宋体" w:hAnsi="宋体" w:eastAsia="宋体" w:cs="宋体"/>
          <w:color w:val="auto"/>
          <w:sz w:val="24"/>
          <w:u w:val="single"/>
        </w:rPr>
        <w:t>检测报告满足本合同专用条款5.1.1第3款要求的，由发包人组织进行竣工验收</w:t>
      </w:r>
      <w:r>
        <w:rPr>
          <w:rFonts w:hint="eastAsia" w:ascii="宋体" w:hAnsi="宋体" w:eastAsia="宋体" w:cs="宋体"/>
          <w:color w:val="auto"/>
          <w:sz w:val="24"/>
        </w:rPr>
        <w:t>；</w:t>
      </w:r>
    </w:p>
    <w:p w14:paraId="2DACD9E7">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rPr>
      </w:pPr>
      <w:r>
        <w:rPr>
          <w:rFonts w:hint="eastAsia" w:ascii="宋体" w:hAnsi="宋体" w:eastAsia="宋体" w:cs="宋体"/>
          <w:color w:val="auto"/>
          <w:sz w:val="24"/>
          <w:szCs w:val="21"/>
          <w:u w:val="single"/>
        </w:rPr>
        <w:t>工程结算经审计完成，发包人组织进行项目总验收</w:t>
      </w:r>
      <w:r>
        <w:rPr>
          <w:rFonts w:hint="eastAsia" w:ascii="宋体" w:hAnsi="宋体" w:eastAsia="宋体" w:cs="宋体"/>
          <w:color w:val="auto"/>
          <w:sz w:val="24"/>
          <w:szCs w:val="21"/>
        </w:rPr>
        <w:t>。</w:t>
      </w:r>
    </w:p>
    <w:p w14:paraId="4EEF72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发包人不按照本项约定组织竣工验收、颁发工程接收证书的违约金的计算方法：                                         </w:t>
      </w:r>
    </w:p>
    <w:p w14:paraId="14F4B5EF">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承担违约责任，每延期一天按合同总价的万分之五向承包人支付违约金</w:t>
      </w:r>
      <w:r>
        <w:rPr>
          <w:rFonts w:hint="eastAsia" w:ascii="宋体" w:hAnsi="宋体" w:eastAsia="宋体" w:cs="宋体"/>
          <w:color w:val="auto"/>
          <w:sz w:val="24"/>
        </w:rPr>
        <w:t>。</w:t>
      </w:r>
    </w:p>
    <w:p w14:paraId="48C397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13.2.5移交、接收全部与部分工程</w:t>
      </w:r>
    </w:p>
    <w:p w14:paraId="5AE9DF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承包人向发包人移交工程的期限：</w:t>
      </w:r>
      <w:r>
        <w:rPr>
          <w:rFonts w:hint="eastAsia" w:ascii="宋体" w:hAnsi="宋体" w:eastAsia="宋体" w:cs="宋体"/>
          <w:color w:val="auto"/>
          <w:sz w:val="24"/>
          <w:u w:val="single"/>
        </w:rPr>
        <w:t>颁发工程接收证书后7天内完成工程的移交</w:t>
      </w:r>
      <w:r>
        <w:rPr>
          <w:rFonts w:hint="eastAsia" w:ascii="宋体" w:hAnsi="宋体" w:eastAsia="宋体" w:cs="宋体"/>
          <w:color w:val="auto"/>
          <w:sz w:val="24"/>
        </w:rPr>
        <w:t>。</w:t>
      </w:r>
    </w:p>
    <w:p w14:paraId="5CB9551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发包人未按本合同约定接收全部或部分工程的，违约金的计算方法为：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DDC53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承包人未按时移交工程的，违约金的计算方法为：</w:t>
      </w:r>
      <w:r>
        <w:rPr>
          <w:rFonts w:hint="eastAsia" w:ascii="宋体" w:hAnsi="宋体" w:eastAsia="宋体" w:cs="宋体"/>
          <w:color w:val="auto"/>
          <w:sz w:val="24"/>
          <w:u w:val="single"/>
        </w:rPr>
        <w:t>承担违约责任，每延期一天按合同总价的万分之五向承包人支付违约金</w:t>
      </w:r>
      <w:r>
        <w:rPr>
          <w:rFonts w:hint="eastAsia" w:ascii="宋体" w:hAnsi="宋体" w:eastAsia="宋体" w:cs="宋体"/>
          <w:color w:val="auto"/>
          <w:sz w:val="24"/>
        </w:rPr>
        <w:t>。</w:t>
      </w:r>
    </w:p>
    <w:p w14:paraId="77076DB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 工程试车</w:t>
      </w:r>
    </w:p>
    <w:p w14:paraId="3952FA6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13.3.1 试车程序</w:t>
      </w:r>
    </w:p>
    <w:p w14:paraId="3486DC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工程试车内容：</w:t>
      </w:r>
      <w:r>
        <w:rPr>
          <w:rFonts w:hint="eastAsia" w:ascii="宋体" w:hAnsi="宋体" w:eastAsia="宋体" w:cs="宋体"/>
          <w:color w:val="auto"/>
          <w:sz w:val="24"/>
          <w:u w:val="single"/>
        </w:rPr>
        <w:t>试车内容应与承包人承包范围相一致，试车费用由承包人承担</w:t>
      </w:r>
      <w:r>
        <w:rPr>
          <w:rFonts w:hint="eastAsia" w:ascii="宋体" w:hAnsi="宋体" w:eastAsia="宋体" w:cs="宋体"/>
          <w:color w:val="auto"/>
          <w:sz w:val="24"/>
        </w:rPr>
        <w:t>。</w:t>
      </w:r>
    </w:p>
    <w:p w14:paraId="544FFC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（1）单机无负荷试车费用由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14:paraId="3F75FE4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（2）无负荷联动试车费用由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14:paraId="7FA35E5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13.3.3 投料试车</w:t>
      </w:r>
    </w:p>
    <w:p w14:paraId="70BEC4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关于投料试车相关事项的约定：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6B51F2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 竣工退场</w:t>
      </w:r>
    </w:p>
    <w:p w14:paraId="5347180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13.6.1 竣工退场</w:t>
      </w:r>
    </w:p>
    <w:p w14:paraId="6050CD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承包人完成竣工退场的期限：</w:t>
      </w:r>
      <w:r>
        <w:rPr>
          <w:rFonts w:hint="eastAsia" w:ascii="宋体" w:hAnsi="宋体" w:eastAsia="宋体" w:cs="宋体"/>
          <w:color w:val="auto"/>
          <w:sz w:val="24"/>
          <w:u w:val="single"/>
        </w:rPr>
        <w:t>颁发工程接收证书后7天</w:t>
      </w:r>
      <w:r>
        <w:rPr>
          <w:rFonts w:hint="eastAsia" w:ascii="宋体" w:hAnsi="宋体" w:eastAsia="宋体" w:cs="宋体"/>
          <w:color w:val="auto"/>
          <w:sz w:val="24"/>
        </w:rPr>
        <w:t>。</w:t>
      </w:r>
    </w:p>
    <w:p w14:paraId="3AF024A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 竣工结算</w:t>
      </w:r>
    </w:p>
    <w:p w14:paraId="2A726AE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14.1 竣工结算申请</w:t>
      </w:r>
    </w:p>
    <w:p w14:paraId="604DB69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承包人提交竣工结算申请单的期限：</w:t>
      </w:r>
      <w:r>
        <w:rPr>
          <w:rFonts w:hint="eastAsia" w:ascii="宋体" w:hAnsi="宋体" w:eastAsia="宋体" w:cs="宋体"/>
          <w:color w:val="auto"/>
          <w:sz w:val="24"/>
          <w:u w:val="single"/>
        </w:rPr>
        <w:t>在工程审计结束后30天内</w:t>
      </w:r>
      <w:r>
        <w:rPr>
          <w:rFonts w:hint="eastAsia" w:ascii="宋体" w:hAnsi="宋体" w:eastAsia="宋体" w:cs="宋体"/>
          <w:color w:val="auto"/>
          <w:sz w:val="24"/>
        </w:rPr>
        <w:t>。</w:t>
      </w:r>
    </w:p>
    <w:p w14:paraId="5EE0C0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竣工结算申请单应包括的内容</w:t>
      </w:r>
      <w:r>
        <w:rPr>
          <w:rFonts w:hint="eastAsia" w:ascii="宋体" w:hAnsi="宋体" w:eastAsia="宋体" w:cs="宋体"/>
          <w:color w:val="auto"/>
          <w:sz w:val="24"/>
          <w:u w:val="single"/>
        </w:rPr>
        <w:t>（1）竣工结算价格；（2）发包人已支付承包人的款项；（3）应缴纳的质量保证金等；（4）发包人应支付承包人的价款。（5）本工程结算造价以第三方咨询机构的最终审计结果为准，发包人根据国家造价管理的有关规定以及审计部门审定的价款进行结算，与承包人办理最终价款结算手续。（6）发包人、审计部门应在竣工验收合格、承包人提供完整结算资料以及具备其它结算条件后及时按有关规定核实承包人递交的结算报告及结算资料，但并不受通用条款所述的时间约束。（7）结算审核（发包人初审及第三方咨询机构终审）时审查费用由发包人、承包人按浙价服[2009]84号文件计取，其中核增额和超过5%以外的核减额的审计费用由承包人支付。结算价款最终经第三方咨询机构审定并经双方签字确认后支付</w:t>
      </w:r>
      <w:r>
        <w:rPr>
          <w:rFonts w:hint="eastAsia" w:ascii="宋体" w:hAnsi="宋体" w:eastAsia="宋体" w:cs="宋体"/>
          <w:color w:val="auto"/>
          <w:sz w:val="24"/>
        </w:rPr>
        <w:t>。</w:t>
      </w:r>
    </w:p>
    <w:p w14:paraId="005BE53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 竣工结算审核</w:t>
      </w:r>
    </w:p>
    <w:p w14:paraId="605FC2D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发包人审批竣工付款申请单的期限：</w:t>
      </w:r>
      <w:r>
        <w:rPr>
          <w:rFonts w:hint="eastAsia" w:ascii="宋体" w:hAnsi="宋体" w:eastAsia="宋体" w:cs="宋体"/>
          <w:color w:val="auto"/>
          <w:sz w:val="24"/>
          <w:u w:val="single"/>
        </w:rPr>
        <w:t>在签发竣工付款证书后的14天内</w:t>
      </w:r>
      <w:r>
        <w:rPr>
          <w:rFonts w:hint="eastAsia" w:ascii="宋体" w:hAnsi="宋体" w:eastAsia="宋体" w:cs="宋体"/>
          <w:color w:val="auto"/>
          <w:sz w:val="24"/>
        </w:rPr>
        <w:t>。</w:t>
      </w:r>
    </w:p>
    <w:p w14:paraId="5E2B2F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发包人完成竣工付款的期限：</w:t>
      </w:r>
      <w:r>
        <w:rPr>
          <w:rFonts w:hint="eastAsia" w:ascii="宋体" w:hAnsi="宋体" w:eastAsia="宋体" w:cs="宋体"/>
          <w:color w:val="auto"/>
          <w:sz w:val="24"/>
          <w:u w:val="single"/>
        </w:rPr>
        <w:t>发包人书面通知承包人开具收款发票后支付</w:t>
      </w:r>
      <w:r>
        <w:rPr>
          <w:rFonts w:hint="eastAsia" w:ascii="宋体" w:hAnsi="宋体" w:eastAsia="宋体" w:cs="宋体"/>
          <w:color w:val="auto"/>
          <w:sz w:val="24"/>
        </w:rPr>
        <w:t>。</w:t>
      </w:r>
    </w:p>
    <w:p w14:paraId="4A2656E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关于竣工付款证书异议部分复核的方式和程序：</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020BC07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14.4 最终结清</w:t>
      </w:r>
    </w:p>
    <w:p w14:paraId="3F33960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14.4.1 最终结清申请单</w:t>
      </w:r>
    </w:p>
    <w:p w14:paraId="0445A6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承包人提交最终结清申请单的份数：</w:t>
      </w:r>
      <w:r>
        <w:rPr>
          <w:rFonts w:hint="eastAsia" w:ascii="宋体" w:hAnsi="宋体" w:eastAsia="宋体" w:cs="宋体"/>
          <w:color w:val="auto"/>
          <w:sz w:val="24"/>
          <w:u w:val="single"/>
        </w:rPr>
        <w:t>叁份</w:t>
      </w:r>
      <w:r>
        <w:rPr>
          <w:rFonts w:hint="eastAsia" w:ascii="宋体" w:hAnsi="宋体" w:eastAsia="宋体" w:cs="宋体"/>
          <w:color w:val="auto"/>
          <w:sz w:val="24"/>
        </w:rPr>
        <w:t>。</w:t>
      </w:r>
    </w:p>
    <w:p w14:paraId="6210767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承包人提交最终结算申请单的期限：</w:t>
      </w:r>
      <w:r>
        <w:rPr>
          <w:rFonts w:hint="eastAsia" w:ascii="宋体" w:hAnsi="宋体" w:eastAsia="宋体" w:cs="宋体"/>
          <w:color w:val="auto"/>
          <w:sz w:val="24"/>
          <w:u w:val="single"/>
        </w:rPr>
        <w:t>在缺陷责任期终止证书颁发后7天内</w:t>
      </w:r>
      <w:r>
        <w:rPr>
          <w:rFonts w:hint="eastAsia" w:ascii="宋体" w:hAnsi="宋体" w:eastAsia="宋体" w:cs="宋体"/>
          <w:color w:val="auto"/>
          <w:sz w:val="24"/>
        </w:rPr>
        <w:t xml:space="preserve">。 </w:t>
      </w:r>
    </w:p>
    <w:p w14:paraId="6DF8A23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14.4.2 最终结清证书和支付</w:t>
      </w:r>
    </w:p>
    <w:p w14:paraId="1CEE2D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（1）发包人完成最终结清申请单的审批并颁发最终结清证书的期限：</w:t>
      </w:r>
      <w:r>
        <w:rPr>
          <w:rFonts w:hint="eastAsia" w:ascii="宋体" w:hAnsi="宋体" w:eastAsia="宋体" w:cs="宋体"/>
          <w:color w:val="auto"/>
          <w:sz w:val="24"/>
          <w:u w:val="single"/>
        </w:rPr>
        <w:t xml:space="preserve"> 7天 </w:t>
      </w:r>
      <w:r>
        <w:rPr>
          <w:rFonts w:hint="eastAsia" w:ascii="宋体" w:hAnsi="宋体" w:eastAsia="宋体" w:cs="宋体"/>
          <w:color w:val="auto"/>
          <w:sz w:val="24"/>
        </w:rPr>
        <w:t>。</w:t>
      </w:r>
    </w:p>
    <w:p w14:paraId="63BC956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（2）发包人完成支付的期限：在收到承包人提交的最终结清申请单后</w:t>
      </w:r>
      <w:r>
        <w:rPr>
          <w:rFonts w:hint="eastAsia" w:ascii="宋体" w:hAnsi="宋体" w:eastAsia="宋体" w:cs="宋体"/>
          <w:color w:val="auto"/>
          <w:sz w:val="24"/>
          <w:u w:val="single"/>
        </w:rPr>
        <w:t>14天</w:t>
      </w:r>
      <w:r>
        <w:rPr>
          <w:rFonts w:hint="eastAsia" w:ascii="宋体" w:hAnsi="宋体" w:eastAsia="宋体" w:cs="宋体"/>
          <w:color w:val="auto"/>
          <w:sz w:val="24"/>
        </w:rPr>
        <w:t>内完成。</w:t>
      </w:r>
    </w:p>
    <w:p w14:paraId="51CACC5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 缺陷责任期与保修</w:t>
      </w:r>
    </w:p>
    <w:p w14:paraId="13E661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15.2缺陷责任期</w:t>
      </w:r>
    </w:p>
    <w:p w14:paraId="111052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缺陷责任期的具体期限：</w:t>
      </w:r>
      <w:r>
        <w:rPr>
          <w:rFonts w:hint="eastAsia" w:ascii="宋体" w:hAnsi="宋体" w:eastAsia="宋体" w:cs="宋体"/>
          <w:color w:val="auto"/>
          <w:sz w:val="24"/>
          <w:u w:val="single"/>
        </w:rPr>
        <w:t>按工程质量保修书规定执行</w:t>
      </w:r>
      <w:r>
        <w:rPr>
          <w:rFonts w:hint="eastAsia" w:ascii="宋体" w:hAnsi="宋体" w:eastAsia="宋体" w:cs="宋体"/>
          <w:color w:val="auto"/>
          <w:sz w:val="24"/>
        </w:rPr>
        <w:t>。</w:t>
      </w:r>
    </w:p>
    <w:p w14:paraId="338B5CE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 质量保证金</w:t>
      </w:r>
    </w:p>
    <w:p w14:paraId="7D498612">
      <w:pPr>
        <w:pageBreakBefore w:val="0"/>
        <w:kinsoku/>
        <w:wordWrap/>
        <w:overflowPunct/>
        <w:topLinePunct w:val="0"/>
        <w:bidi w:val="0"/>
        <w:adjustRightInd w:val="0"/>
        <w:snapToGrid w:val="0"/>
        <w:spacing w:line="360" w:lineRule="auto"/>
        <w:ind w:left="420" w:leftChars="200"/>
        <w:rPr>
          <w:rFonts w:hint="eastAsia" w:ascii="宋体" w:hAnsi="宋体" w:eastAsia="宋体" w:cs="宋体"/>
          <w:color w:val="auto"/>
          <w:sz w:val="24"/>
        </w:rPr>
      </w:pPr>
      <w:r>
        <w:rPr>
          <w:rFonts w:hint="eastAsia" w:ascii="宋体" w:hAnsi="宋体" w:eastAsia="宋体" w:cs="宋体"/>
          <w:color w:val="auto"/>
          <w:sz w:val="24"/>
        </w:rPr>
        <w:t>关于是否扣留质量保证金的约定：</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。在工程项目竣工前，承包人按专用合同条款第3.7条提供履约担保的，发包人不得同时预留工程质量保证金。</w:t>
      </w:r>
    </w:p>
    <w:p w14:paraId="7F9F719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15.3.1 承包人提供质量保证金的方式</w:t>
      </w:r>
    </w:p>
    <w:p w14:paraId="3A43ECA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质量保证金采用以下第</w:t>
      </w:r>
      <w:r>
        <w:rPr>
          <w:rFonts w:hint="eastAsia" w:ascii="宋体" w:hAnsi="宋体" w:eastAsia="宋体" w:cs="宋体"/>
          <w:color w:val="auto"/>
          <w:sz w:val="24"/>
          <w:u w:val="single"/>
        </w:rPr>
        <w:t>（2）</w:t>
      </w:r>
      <w:r>
        <w:rPr>
          <w:rFonts w:hint="eastAsia" w:ascii="宋体" w:hAnsi="宋体" w:eastAsia="宋体" w:cs="宋体"/>
          <w:color w:val="auto"/>
          <w:sz w:val="24"/>
        </w:rPr>
        <w:t>种方式：</w:t>
      </w:r>
    </w:p>
    <w:p w14:paraId="0A465E7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（1）质量保证金保函，保证金额为：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 xml:space="preserve">； </w:t>
      </w:r>
    </w:p>
    <w:p w14:paraId="78805D8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single"/>
        </w:rPr>
        <w:t>1.5</w:t>
      </w:r>
      <w:r>
        <w:rPr>
          <w:rFonts w:hint="eastAsia" w:ascii="宋体" w:hAnsi="宋体" w:eastAsia="宋体" w:cs="宋体"/>
          <w:color w:val="auto"/>
          <w:sz w:val="24"/>
        </w:rPr>
        <w:t>%的工程款（审定金额）；</w:t>
      </w:r>
    </w:p>
    <w:p w14:paraId="06107A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DEB457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15.3.2 质量保证金的扣留 </w:t>
      </w:r>
    </w:p>
    <w:p w14:paraId="6AFD8E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质量保证金的扣留采取以下第</w:t>
      </w:r>
      <w:r>
        <w:rPr>
          <w:rFonts w:hint="eastAsia" w:ascii="宋体" w:hAnsi="宋体" w:eastAsia="宋体" w:cs="宋体"/>
          <w:color w:val="auto"/>
          <w:sz w:val="24"/>
          <w:u w:val="single"/>
        </w:rPr>
        <w:t>（3）</w:t>
      </w:r>
      <w:r>
        <w:rPr>
          <w:rFonts w:hint="eastAsia" w:ascii="宋体" w:hAnsi="宋体" w:eastAsia="宋体" w:cs="宋体"/>
          <w:color w:val="auto"/>
          <w:sz w:val="24"/>
        </w:rPr>
        <w:t>种方式：</w:t>
      </w:r>
    </w:p>
    <w:p w14:paraId="32B0D8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（1）在支付工程进度款时逐次扣留，在此情形下，质量保证金的计算基数不包括预付款的支付、扣回以及价格调整的金额；</w:t>
      </w:r>
    </w:p>
    <w:p w14:paraId="5753734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（2）工程竣工结算时一次性扣留质量保证金；</w:t>
      </w:r>
    </w:p>
    <w:p w14:paraId="208E07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（3）其他扣留方式:</w:t>
      </w:r>
      <w:r>
        <w:rPr>
          <w:rFonts w:hint="eastAsia" w:ascii="宋体" w:hAnsi="宋体" w:eastAsia="宋体" w:cs="宋体"/>
          <w:color w:val="auto"/>
          <w:sz w:val="24"/>
          <w:u w:val="single"/>
        </w:rPr>
        <w:t>承包人缴纳</w:t>
      </w:r>
      <w:r>
        <w:rPr>
          <w:rFonts w:hint="eastAsia" w:ascii="宋体" w:hAnsi="宋体" w:eastAsia="宋体" w:cs="宋体"/>
          <w:color w:val="auto"/>
          <w:sz w:val="24"/>
        </w:rPr>
        <w:t>。</w:t>
      </w:r>
    </w:p>
    <w:p w14:paraId="37E5E20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关于质量保证金的补充约定：</w:t>
      </w:r>
      <w:r>
        <w:rPr>
          <w:rFonts w:hint="eastAsia" w:ascii="宋体" w:hAnsi="宋体" w:eastAsia="宋体" w:cs="宋体"/>
          <w:color w:val="auto"/>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宋体" w:hAnsi="宋体" w:eastAsia="宋体" w:cs="宋体"/>
          <w:color w:val="auto"/>
          <w:sz w:val="24"/>
        </w:rPr>
        <w:t>。</w:t>
      </w:r>
      <w:r>
        <w:rPr>
          <w:rFonts w:hint="eastAsia" w:ascii="宋体" w:hAnsi="宋体" w:eastAsia="宋体" w:cs="宋体"/>
          <w:color w:val="auto"/>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eastAsia="宋体" w:cs="宋体"/>
          <w:color w:val="auto"/>
          <w:sz w:val="24"/>
        </w:rPr>
        <w:t>。</w:t>
      </w:r>
    </w:p>
    <w:p w14:paraId="79171FF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15.4保修</w:t>
      </w:r>
    </w:p>
    <w:p w14:paraId="0D5DBD6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15.4.1 保修责任</w:t>
      </w:r>
    </w:p>
    <w:p w14:paraId="65FF4C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工程保修期为：</w:t>
      </w:r>
      <w:r>
        <w:rPr>
          <w:rFonts w:hint="eastAsia" w:ascii="宋体" w:hAnsi="宋体" w:eastAsia="宋体" w:cs="宋体"/>
          <w:color w:val="auto"/>
          <w:sz w:val="24"/>
          <w:u w:val="single"/>
        </w:rPr>
        <w:t>按工程质量保修书规定执行</w:t>
      </w:r>
      <w:r>
        <w:rPr>
          <w:rFonts w:hint="eastAsia" w:ascii="宋体" w:hAnsi="宋体" w:eastAsia="宋体" w:cs="宋体"/>
          <w:color w:val="auto"/>
          <w:sz w:val="24"/>
        </w:rPr>
        <w:t>。</w:t>
      </w:r>
    </w:p>
    <w:p w14:paraId="7D7772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15.4.3 修复通知</w:t>
      </w:r>
    </w:p>
    <w:p w14:paraId="5740C5F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承包人收到保修通知并到达工程现场的合理时间：</w:t>
      </w:r>
      <w:r>
        <w:rPr>
          <w:rFonts w:hint="eastAsia" w:ascii="宋体" w:hAnsi="宋体" w:eastAsia="宋体" w:cs="宋体"/>
          <w:color w:val="auto"/>
          <w:sz w:val="24"/>
          <w:u w:val="single"/>
        </w:rPr>
        <w:t>24小时</w:t>
      </w:r>
      <w:r>
        <w:rPr>
          <w:rFonts w:hint="eastAsia" w:ascii="宋体" w:hAnsi="宋体" w:eastAsia="宋体" w:cs="宋体"/>
          <w:color w:val="auto"/>
          <w:sz w:val="24"/>
        </w:rPr>
        <w:t>。</w:t>
      </w:r>
    </w:p>
    <w:p w14:paraId="785F32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 违约</w:t>
      </w:r>
    </w:p>
    <w:p w14:paraId="5772DDB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 发包人违约</w:t>
      </w:r>
    </w:p>
    <w:p w14:paraId="366B8A7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16.1.1发包人违约的情形</w:t>
      </w:r>
    </w:p>
    <w:p w14:paraId="4BD8C6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发包人违约的其他情形：</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68B7DD85">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16.1.2 发包人违约的责任</w:t>
      </w:r>
    </w:p>
    <w:p w14:paraId="2E2D404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发包人违约责任的承担方式和计算方法：</w:t>
      </w:r>
    </w:p>
    <w:p w14:paraId="29416C1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（1）因发包人原因未能在计划开工日期前7天内下达开工通知的违约责任：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4072DBB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（2）因发包人原因未能按合同约定支付合同价款的违约责任：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56A61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（3）发包人违反第10.1款〔变更的范围〕第（2）项约定，自行实施被取消的工作或转由他人实施的违约责任：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0C89C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4E10E88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（5）因发包人违反合同约定造成暂停施工的违约责任：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3F2059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（6）发包人无正当理由没有在约定期限内发出复工指示，导致承包人无法复工的违约责任：</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54BBDBC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（7）其他：</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0CDEEA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16.1.3 因发包人违约解除合同</w:t>
      </w:r>
    </w:p>
    <w:p w14:paraId="4D4DCAB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承包人按16.1.1项〔发包人违约的情形〕约定暂停施工满</w:t>
      </w:r>
      <w:r>
        <w:rPr>
          <w:rFonts w:hint="eastAsia" w:ascii="宋体" w:hAnsi="宋体" w:eastAsia="宋体" w:cs="宋体"/>
          <w:color w:val="auto"/>
          <w:sz w:val="24"/>
          <w:u w:val="single"/>
        </w:rPr>
        <w:t xml:space="preserve"> / </w:t>
      </w:r>
      <w:r>
        <w:rPr>
          <w:rFonts w:hint="eastAsia" w:ascii="宋体" w:hAnsi="宋体" w:eastAsia="宋体" w:cs="宋体"/>
          <w:color w:val="auto"/>
          <w:sz w:val="24"/>
        </w:rPr>
        <w:t>天后发包人仍不纠正其违约行为并致使合同目的不能实现的，承包人有权解除合同。</w:t>
      </w:r>
    </w:p>
    <w:p w14:paraId="777E1E4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 承包人违约</w:t>
      </w:r>
    </w:p>
    <w:p w14:paraId="3F763ED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16.2.1 承包人违约的情形</w:t>
      </w:r>
    </w:p>
    <w:p w14:paraId="65B3479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承包人违约的其他情形：</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26C67B6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16.2.2承包人违约的责任</w:t>
      </w:r>
    </w:p>
    <w:p w14:paraId="245A8A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承包人违约责任的承担方式和计算方法：</w:t>
      </w:r>
    </w:p>
    <w:p w14:paraId="31CA04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（1）承包人违反合同约定采购和使用不合格的材料和工程设备的违约责任：发包人有权要求承包人重新采购合格的材料和工程设备，承包人必须及时改正并承担相应损失；</w:t>
      </w:r>
    </w:p>
    <w:p w14:paraId="2D448B8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rPr>
        <w:t>（2）</w:t>
      </w:r>
      <w:r>
        <w:rPr>
          <w:rFonts w:hint="eastAsia" w:ascii="宋体" w:hAnsi="宋体" w:eastAsia="宋体" w:cs="宋体"/>
          <w:color w:val="auto"/>
          <w:sz w:val="24"/>
          <w:u w:val="single"/>
        </w:rPr>
        <w:t>工程经验收，质量未达到合同约定“合格”标准的，由承包人负责整改直至通过验收，承包人承担由此产生的所有费用，</w:t>
      </w:r>
      <w:r>
        <w:rPr>
          <w:rFonts w:hint="eastAsia" w:ascii="宋体" w:hAnsi="宋体" w:eastAsia="宋体" w:cs="宋体"/>
          <w:bCs/>
          <w:color w:val="auto"/>
          <w:sz w:val="24"/>
          <w:u w:val="single"/>
        </w:rPr>
        <w:t>因此而造成延误的，承包人应依据本合同专用条款第7.5.2之规定承担迟延履行的违约责任。</w:t>
      </w:r>
    </w:p>
    <w:p w14:paraId="39FDDAA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color w:val="auto"/>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14:paraId="2032687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宋体" w:hAnsi="宋体" w:eastAsia="宋体" w:cs="宋体"/>
          <w:color w:val="auto"/>
          <w:sz w:val="24"/>
        </w:rPr>
        <w:t xml:space="preserve">。    </w:t>
      </w:r>
    </w:p>
    <w:p w14:paraId="34A942B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16.2.3 因承包人违约解除合同</w:t>
      </w:r>
    </w:p>
    <w:p w14:paraId="78BC888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关于承包人违约解除合同的特别约定：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9D13F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u w:val="single"/>
        </w:rPr>
        <w:t>费用另行约定，由发包人承担</w:t>
      </w:r>
      <w:r>
        <w:rPr>
          <w:rFonts w:hint="eastAsia" w:ascii="宋体" w:hAnsi="宋体" w:eastAsia="宋体" w:cs="宋体"/>
          <w:color w:val="auto"/>
          <w:sz w:val="24"/>
        </w:rPr>
        <w:t>。</w:t>
      </w:r>
    </w:p>
    <w:p w14:paraId="62F04BD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17. 不可抗力 </w:t>
      </w:r>
    </w:p>
    <w:p w14:paraId="2DB736B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17.1 不可抗力的确认</w:t>
      </w:r>
    </w:p>
    <w:p w14:paraId="5EC94A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除通用合同条款约定的不可抗力事件之外，视为不可抗力的其他情形：</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7566C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17.4 因不可抗力解除合同</w:t>
      </w:r>
    </w:p>
    <w:p w14:paraId="3EFD06E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合同解除后，发包人应在商定或确定发包人应支付款项后</w:t>
      </w:r>
      <w:r>
        <w:rPr>
          <w:rFonts w:hint="eastAsia" w:ascii="宋体" w:hAnsi="宋体" w:eastAsia="宋体" w:cs="宋体"/>
          <w:color w:val="auto"/>
          <w:sz w:val="24"/>
          <w:u w:val="single"/>
        </w:rPr>
        <w:t xml:space="preserve"> 30 天</w:t>
      </w:r>
      <w:r>
        <w:rPr>
          <w:rFonts w:hint="eastAsia" w:ascii="宋体" w:hAnsi="宋体" w:eastAsia="宋体" w:cs="宋体"/>
          <w:color w:val="auto"/>
          <w:sz w:val="24"/>
        </w:rPr>
        <w:t>内完成款项的支付。</w:t>
      </w:r>
    </w:p>
    <w:p w14:paraId="5218E41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18.保险</w:t>
      </w:r>
    </w:p>
    <w:p w14:paraId="7DABC17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18.1 工程保险</w:t>
      </w:r>
    </w:p>
    <w:p w14:paraId="4978921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关于工程保险的特别约定：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4AA93E3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18.3 其他保险</w:t>
      </w:r>
    </w:p>
    <w:p w14:paraId="31E925D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关于其他保险的约定：</w:t>
      </w:r>
      <w:r>
        <w:rPr>
          <w:rFonts w:hint="eastAsia" w:ascii="宋体" w:hAnsi="宋体" w:eastAsia="宋体" w:cs="宋体"/>
          <w:color w:val="auto"/>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宋体" w:hAnsi="宋体" w:eastAsia="宋体" w:cs="宋体"/>
          <w:color w:val="auto"/>
          <w:sz w:val="24"/>
        </w:rPr>
        <w:t>。</w:t>
      </w:r>
    </w:p>
    <w:p w14:paraId="2FC79DF4">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承包人是否应为其施工设备等办理财产保险：</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w:t>
      </w:r>
    </w:p>
    <w:p w14:paraId="65D401A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18.7 通知义务</w:t>
      </w:r>
    </w:p>
    <w:p w14:paraId="76DF7F2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关于变更保险合同时的通知义务的约定：</w:t>
      </w:r>
      <w:r>
        <w:rPr>
          <w:rFonts w:hint="eastAsia" w:ascii="宋体" w:hAnsi="宋体" w:eastAsia="宋体" w:cs="宋体"/>
          <w:color w:val="auto"/>
          <w:sz w:val="24"/>
          <w:u w:val="single"/>
        </w:rPr>
        <w:t>按通用条款执行</w:t>
      </w:r>
      <w:r>
        <w:rPr>
          <w:rFonts w:hint="eastAsia" w:ascii="宋体" w:hAnsi="宋体" w:eastAsia="宋体" w:cs="宋体"/>
          <w:color w:val="auto"/>
          <w:sz w:val="24"/>
        </w:rPr>
        <w:t>。</w:t>
      </w:r>
    </w:p>
    <w:p w14:paraId="60636DA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 争议解决</w:t>
      </w:r>
    </w:p>
    <w:p w14:paraId="32D69AD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 争议评审</w:t>
      </w:r>
    </w:p>
    <w:p w14:paraId="2C07915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合同当事人是否同意将工程争议提交争议评审小组决定：</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 xml:space="preserve">。  </w:t>
      </w:r>
    </w:p>
    <w:p w14:paraId="27C5B00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19.3.1 争议评审小组的确定</w:t>
      </w:r>
    </w:p>
    <w:p w14:paraId="69E2296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争议评审小组成员的确定：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CAEEA8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选定争议评审员的期限：</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32ADA64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争议评审小组成员的报酬承担方式：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6CBF35A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其他事项的约定：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71BD12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19.3.2 争议评审小组的决定</w:t>
      </w:r>
    </w:p>
    <w:p w14:paraId="5134DC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合同当事人关于本项的约定：</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14:paraId="1376303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19.4仲裁或诉讼</w:t>
      </w:r>
    </w:p>
    <w:p w14:paraId="6F93250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因合同及合同有关事项发生的争议，按下列第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14:paraId="6E566D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（1）向 / 仲裁委员会申请仲裁；</w:t>
      </w:r>
    </w:p>
    <w:p w14:paraId="4149FF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（2）向</w:t>
      </w:r>
      <w:r>
        <w:rPr>
          <w:rFonts w:hint="eastAsia" w:ascii="宋体" w:hAnsi="宋体" w:eastAsia="宋体" w:cs="宋体"/>
          <w:color w:val="auto"/>
          <w:sz w:val="24"/>
          <w:u w:val="single"/>
        </w:rPr>
        <w:t>工程所在地</w:t>
      </w:r>
      <w:r>
        <w:rPr>
          <w:rFonts w:hint="eastAsia" w:ascii="宋体" w:hAnsi="宋体" w:eastAsia="宋体" w:cs="宋体"/>
          <w:color w:val="auto"/>
          <w:sz w:val="24"/>
        </w:rPr>
        <w:t>人民法院起诉。</w:t>
      </w:r>
    </w:p>
    <w:p w14:paraId="58958CE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20．其他补充事项的约定</w:t>
      </w:r>
    </w:p>
    <w:p w14:paraId="586A391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20.1工期要求的其他约定</w:t>
      </w:r>
    </w:p>
    <w:p w14:paraId="721F21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20.1.1</w:t>
      </w:r>
      <w:r>
        <w:rPr>
          <w:rFonts w:hint="eastAsia" w:ascii="宋体" w:hAnsi="宋体" w:eastAsia="宋体" w:cs="宋体"/>
          <w:color w:val="auto"/>
          <w:sz w:val="24"/>
          <w:u w:val="single"/>
        </w:rPr>
        <w:t>承包人在施工过程中必须做好与发包人委托的设备安装单位配合协调工作，因协调配合不当引起的工期等所有损失均由承包人承担</w:t>
      </w:r>
      <w:r>
        <w:rPr>
          <w:rFonts w:hint="eastAsia" w:ascii="宋体" w:hAnsi="宋体" w:eastAsia="宋体" w:cs="宋体"/>
          <w:color w:val="auto"/>
          <w:sz w:val="24"/>
        </w:rPr>
        <w:t>。</w:t>
      </w:r>
    </w:p>
    <w:p w14:paraId="2FE8D93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20.1.2</w:t>
      </w:r>
      <w:r>
        <w:rPr>
          <w:rFonts w:hint="eastAsia" w:ascii="宋体" w:hAnsi="宋体" w:eastAsia="宋体" w:cs="宋体"/>
          <w:color w:val="auto"/>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宋体" w:hAnsi="宋体" w:eastAsia="宋体" w:cs="宋体"/>
          <w:bCs/>
          <w:color w:val="auto"/>
          <w:sz w:val="24"/>
          <w:u w:val="single"/>
        </w:rPr>
        <w:t>实际施工期限超过原定工期时，承包人应依据本合同专用条款第7.5.2之规定承担迟延履行的责任</w:t>
      </w:r>
      <w:r>
        <w:rPr>
          <w:rFonts w:hint="eastAsia" w:ascii="宋体" w:hAnsi="宋体" w:eastAsia="宋体" w:cs="宋体"/>
          <w:bCs/>
          <w:color w:val="auto"/>
          <w:sz w:val="24"/>
        </w:rPr>
        <w:t>。</w:t>
      </w:r>
    </w:p>
    <w:p w14:paraId="41B275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20.2安全文明施工要求的其他约定</w:t>
      </w:r>
    </w:p>
    <w:p w14:paraId="5329AE1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20.2.1</w:t>
      </w:r>
      <w:r>
        <w:rPr>
          <w:rFonts w:hint="eastAsia" w:ascii="宋体" w:hAnsi="宋体" w:eastAsia="宋体" w:cs="宋体"/>
          <w:color w:val="auto"/>
          <w:sz w:val="24"/>
          <w:u w:val="single"/>
        </w:rPr>
        <w:t>承包人与发包人应签定《建设工程安全生产文明施工责任书》，且必须按照浙江省及发包人安全生产、文明施工准化工地要求，做好安全生产、文明施工</w:t>
      </w:r>
      <w:r>
        <w:rPr>
          <w:rFonts w:hint="eastAsia" w:ascii="宋体" w:hAnsi="宋体" w:eastAsia="宋体" w:cs="宋体"/>
          <w:color w:val="auto"/>
          <w:sz w:val="24"/>
        </w:rPr>
        <w:t xml:space="preserve">。 </w:t>
      </w:r>
    </w:p>
    <w:p w14:paraId="54D0EA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安全生产、文明施工相关费用在工程实施过程中必须足额投入，否则发包人有权拒绝支付该项费用</w:t>
      </w:r>
      <w:r>
        <w:rPr>
          <w:rFonts w:hint="eastAsia" w:ascii="宋体" w:hAnsi="宋体" w:eastAsia="宋体" w:cs="宋体"/>
          <w:color w:val="auto"/>
          <w:sz w:val="24"/>
        </w:rPr>
        <w:t>。</w:t>
      </w:r>
    </w:p>
    <w:p w14:paraId="1F78699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20.3合同价款的其他约定</w:t>
      </w:r>
    </w:p>
    <w:p w14:paraId="138EC7E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20.3.1</w:t>
      </w:r>
      <w:r>
        <w:rPr>
          <w:rFonts w:hint="eastAsia" w:ascii="宋体" w:hAnsi="宋体" w:eastAsia="宋体" w:cs="宋体"/>
          <w:color w:val="auto"/>
          <w:sz w:val="24"/>
          <w:u w:val="single"/>
        </w:rPr>
        <w:t>本合同价中已包含危险作业意外伤害保险费、成品保护费、赶工措施费、设备安装配套费、检测、监测、质检等费用，发包人不再另行支付相关费用</w:t>
      </w:r>
      <w:r>
        <w:rPr>
          <w:rFonts w:hint="eastAsia" w:ascii="宋体" w:hAnsi="宋体" w:eastAsia="宋体" w:cs="宋体"/>
          <w:color w:val="auto"/>
          <w:sz w:val="24"/>
        </w:rPr>
        <w:t>。</w:t>
      </w:r>
    </w:p>
    <w:p w14:paraId="492CC0E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20.4其他方面的约定</w:t>
      </w:r>
    </w:p>
    <w:p w14:paraId="135E543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20.4.1</w:t>
      </w:r>
      <w:r>
        <w:rPr>
          <w:rFonts w:hint="eastAsia" w:ascii="宋体" w:hAnsi="宋体" w:eastAsia="宋体" w:cs="宋体"/>
          <w:color w:val="auto"/>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宋体" w:hAnsi="宋体" w:eastAsia="宋体" w:cs="宋体"/>
          <w:color w:val="auto"/>
          <w:sz w:val="24"/>
        </w:rPr>
        <w:t>。</w:t>
      </w:r>
    </w:p>
    <w:p w14:paraId="127C13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20.4.2</w:t>
      </w:r>
      <w:r>
        <w:rPr>
          <w:rFonts w:hint="eastAsia" w:ascii="宋体" w:hAnsi="宋体" w:eastAsia="宋体" w:cs="宋体"/>
          <w:color w:val="auto"/>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宋体" w:hAnsi="宋体" w:eastAsia="宋体" w:cs="宋体"/>
          <w:color w:val="auto"/>
          <w:sz w:val="24"/>
        </w:rPr>
        <w:t>。</w:t>
      </w:r>
    </w:p>
    <w:p w14:paraId="6F4F23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20.4.3</w:t>
      </w:r>
      <w:r>
        <w:rPr>
          <w:rFonts w:hint="eastAsia" w:ascii="宋体" w:hAnsi="宋体" w:eastAsia="宋体" w:cs="宋体"/>
          <w:color w:val="auto"/>
          <w:sz w:val="24"/>
          <w:u w:val="single"/>
        </w:rPr>
        <w:t>承包人应充分响应杭州市委、市政府及运输路线经过地政府关于工程运输车安全整治有关问题的相关意见，落实好工程安全运输责任制</w:t>
      </w:r>
      <w:r>
        <w:rPr>
          <w:rFonts w:hint="eastAsia" w:ascii="宋体" w:hAnsi="宋体" w:eastAsia="宋体" w:cs="宋体"/>
          <w:color w:val="auto"/>
          <w:sz w:val="24"/>
        </w:rPr>
        <w:t>。</w:t>
      </w:r>
    </w:p>
    <w:p w14:paraId="3533F9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20.4.4</w:t>
      </w:r>
      <w:r>
        <w:rPr>
          <w:rFonts w:hint="eastAsia" w:ascii="宋体" w:hAnsi="宋体" w:eastAsia="宋体" w:cs="宋体"/>
          <w:color w:val="auto"/>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宋体" w:hAnsi="宋体" w:eastAsia="宋体" w:cs="宋体"/>
          <w:color w:val="auto"/>
          <w:sz w:val="24"/>
        </w:rPr>
        <w:t>。</w:t>
      </w:r>
    </w:p>
    <w:p w14:paraId="0FD3402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20.4.5</w:t>
      </w:r>
      <w:r>
        <w:rPr>
          <w:rFonts w:hint="eastAsia" w:ascii="宋体" w:hAnsi="宋体" w:eastAsia="宋体" w:cs="宋体"/>
          <w:color w:val="auto"/>
          <w:sz w:val="24"/>
          <w:u w:val="single"/>
        </w:rPr>
        <w:t>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 w:val="24"/>
        </w:rPr>
        <w:t>。</w:t>
      </w:r>
    </w:p>
    <w:p w14:paraId="5E8369B2">
      <w:pPr>
        <w:pageBreakBefore w:val="0"/>
        <w:kinsoku/>
        <w:wordWrap/>
        <w:overflowPunct/>
        <w:topLinePunct w:val="0"/>
        <w:bidi w:val="0"/>
        <w:adjustRightInd w:val="0"/>
        <w:snapToGrid w:val="0"/>
        <w:spacing w:line="360" w:lineRule="auto"/>
        <w:jc w:val="left"/>
        <w:rPr>
          <w:rFonts w:hint="eastAsia" w:ascii="宋体" w:hAnsi="宋体" w:eastAsia="宋体" w:cs="宋体"/>
          <w:color w:val="auto"/>
          <w:sz w:val="24"/>
        </w:rPr>
      </w:pPr>
    </w:p>
    <w:p w14:paraId="40CA75A6">
      <w:pPr>
        <w:pageBreakBefore w:val="0"/>
        <w:kinsoku/>
        <w:wordWrap/>
        <w:overflowPunct/>
        <w:topLinePunct w:val="0"/>
        <w:bidi w:val="0"/>
        <w:adjustRightInd w:val="0"/>
        <w:snapToGrid w:val="0"/>
        <w:spacing w:line="360" w:lineRule="auto"/>
        <w:rPr>
          <w:rFonts w:hint="eastAsia" w:ascii="宋体" w:hAnsi="宋体" w:eastAsia="宋体" w:cs="宋体"/>
          <w:color w:val="auto"/>
        </w:rPr>
      </w:pPr>
    </w:p>
    <w:p w14:paraId="569FA157">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3FE7CF37">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7761E0A0">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5D56114C">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4F5C5551">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068F519D">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76F8AC90">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40E031C1">
      <w:pPr>
        <w:pStyle w:val="412"/>
        <w:pageBreakBefore w:val="0"/>
        <w:kinsoku/>
        <w:wordWrap/>
        <w:overflowPunct/>
        <w:topLinePunct w:val="0"/>
        <w:bidi w:val="0"/>
        <w:adjustRightInd w:val="0"/>
        <w:snapToGrid w:val="0"/>
        <w:spacing w:line="360" w:lineRule="auto"/>
        <w:rPr>
          <w:rFonts w:hint="eastAsia" w:ascii="宋体" w:hAnsi="宋体" w:eastAsia="宋体" w:cs="宋体"/>
          <w:b/>
          <w:bCs/>
          <w:color w:val="auto"/>
          <w:sz w:val="24"/>
        </w:rPr>
      </w:pPr>
    </w:p>
    <w:p w14:paraId="11C27522">
      <w:pPr>
        <w:pStyle w:val="23"/>
        <w:pageBreakBefore w:val="0"/>
        <w:kinsoku/>
        <w:wordWrap/>
        <w:overflowPunct/>
        <w:topLinePunct w:val="0"/>
        <w:bidi w:val="0"/>
        <w:adjustRightInd w:val="0"/>
        <w:snapToGrid w:val="0"/>
        <w:spacing w:after="0" w:line="360" w:lineRule="auto"/>
        <w:rPr>
          <w:rFonts w:hint="eastAsia" w:ascii="宋体" w:hAnsi="宋体" w:eastAsia="宋体" w:cs="宋体"/>
          <w:b/>
          <w:bCs/>
          <w:color w:val="auto"/>
          <w:sz w:val="24"/>
        </w:rPr>
      </w:pPr>
    </w:p>
    <w:p w14:paraId="5F694F22">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rPr>
      </w:pPr>
    </w:p>
    <w:p w14:paraId="73A9AA84">
      <w:pPr>
        <w:pStyle w:val="412"/>
        <w:pageBreakBefore w:val="0"/>
        <w:kinsoku/>
        <w:wordWrap/>
        <w:overflowPunct/>
        <w:topLinePunct w:val="0"/>
        <w:bidi w:val="0"/>
        <w:adjustRightInd w:val="0"/>
        <w:snapToGrid w:val="0"/>
        <w:spacing w:line="360" w:lineRule="auto"/>
        <w:rPr>
          <w:rFonts w:hint="eastAsia" w:ascii="宋体" w:hAnsi="宋体" w:eastAsia="宋体" w:cs="宋体"/>
          <w:b/>
          <w:bCs/>
          <w:color w:val="auto"/>
          <w:sz w:val="24"/>
        </w:rPr>
      </w:pPr>
    </w:p>
    <w:p w14:paraId="55E0D8F2">
      <w:pPr>
        <w:pStyle w:val="23"/>
        <w:pageBreakBefore w:val="0"/>
        <w:kinsoku/>
        <w:wordWrap/>
        <w:overflowPunct/>
        <w:topLinePunct w:val="0"/>
        <w:bidi w:val="0"/>
        <w:adjustRightInd w:val="0"/>
        <w:snapToGrid w:val="0"/>
        <w:spacing w:after="0" w:line="360" w:lineRule="auto"/>
        <w:rPr>
          <w:rFonts w:hint="eastAsia" w:ascii="宋体" w:hAnsi="宋体" w:eastAsia="宋体" w:cs="宋体"/>
          <w:b/>
          <w:bCs/>
          <w:color w:val="auto"/>
          <w:sz w:val="24"/>
        </w:rPr>
      </w:pPr>
    </w:p>
    <w:p w14:paraId="467FFE32">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rPr>
      </w:pPr>
    </w:p>
    <w:p w14:paraId="0BC368F7">
      <w:pPr>
        <w:rPr>
          <w:rFonts w:hint="eastAsia" w:ascii="宋体" w:hAnsi="宋体" w:eastAsia="宋体" w:cs="宋体"/>
          <w:color w:val="auto"/>
        </w:rPr>
      </w:pPr>
      <w:r>
        <w:rPr>
          <w:rFonts w:hint="eastAsia" w:ascii="宋体" w:hAnsi="宋体" w:eastAsia="宋体" w:cs="宋体"/>
          <w:color w:val="auto"/>
        </w:rPr>
        <w:br w:type="page"/>
      </w:r>
    </w:p>
    <w:p w14:paraId="7495CC97">
      <w:pPr>
        <w:pStyle w:val="23"/>
        <w:rPr>
          <w:rFonts w:hint="eastAsia"/>
          <w:color w:val="auto"/>
        </w:rPr>
      </w:pPr>
    </w:p>
    <w:p w14:paraId="4E53DD04">
      <w:pPr>
        <w:pStyle w:val="412"/>
        <w:pageBreakBefore w:val="0"/>
        <w:kinsoku/>
        <w:wordWrap/>
        <w:overflowPunct/>
        <w:topLinePunct w:val="0"/>
        <w:bidi w:val="0"/>
        <w:adjustRightInd w:val="0"/>
        <w:snapToGrid w:val="0"/>
        <w:spacing w:line="360" w:lineRule="auto"/>
        <w:rPr>
          <w:rFonts w:hint="eastAsia" w:ascii="宋体" w:hAnsi="宋体" w:eastAsia="宋体" w:cs="宋体"/>
          <w:color w:val="auto"/>
        </w:rPr>
      </w:pPr>
    </w:p>
    <w:p w14:paraId="5C45FC9E">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4"/>
        </w:rPr>
        <w:t>附件1</w:t>
      </w:r>
    </w:p>
    <w:p w14:paraId="5EC0630F">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rPr>
      </w:pPr>
      <w:bookmarkStart w:id="191" w:name="_Toc15615"/>
      <w:bookmarkStart w:id="192" w:name="_Toc69478957"/>
      <w:r>
        <w:rPr>
          <w:rFonts w:hint="eastAsia" w:ascii="宋体" w:hAnsi="宋体" w:eastAsia="宋体" w:cs="宋体"/>
          <w:color w:val="auto"/>
          <w:sz w:val="28"/>
          <w:szCs w:val="28"/>
        </w:rPr>
        <w:t>工程质量保修书</w:t>
      </w:r>
      <w:bookmarkEnd w:id="191"/>
      <w:bookmarkEnd w:id="192"/>
    </w:p>
    <w:p w14:paraId="6B799A3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color w:val="auto"/>
          <w:sz w:val="24"/>
          <w:u w:val="single"/>
        </w:rPr>
      </w:pPr>
      <w:r>
        <w:rPr>
          <w:rFonts w:hint="eastAsia" w:ascii="宋体" w:hAnsi="宋体" w:eastAsia="宋体" w:cs="宋体"/>
          <w:color w:val="auto"/>
          <w:sz w:val="24"/>
        </w:rPr>
        <w:t>发包人（全称）：</w:t>
      </w:r>
      <w:r>
        <w:rPr>
          <w:rFonts w:hint="eastAsia" w:ascii="宋体" w:hAnsi="宋体" w:eastAsia="宋体" w:cs="宋体"/>
          <w:b/>
          <w:color w:val="auto"/>
          <w:sz w:val="24"/>
          <w:u w:val="single"/>
        </w:rPr>
        <w:t>浙江警察学院</w:t>
      </w:r>
    </w:p>
    <w:p w14:paraId="270E67E2">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承包人（全称）：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798711">
      <w:pPr>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发包人和承包人根据《中华人民共和国建筑法》和《建设工程质量管理条例》，经协商一致签订就</w:t>
      </w:r>
      <w:r>
        <w:rPr>
          <w:rFonts w:hint="eastAsia" w:ascii="宋体" w:hAnsi="宋体" w:eastAsia="宋体" w:cs="宋体"/>
          <w:color w:val="auto"/>
          <w:sz w:val="24"/>
          <w:u w:val="single"/>
          <w:lang w:eastAsia="zh-CN"/>
        </w:rPr>
        <w:t>浙江警察学院滨江校区战训楼屋面修缮项目</w:t>
      </w:r>
      <w:r>
        <w:rPr>
          <w:rFonts w:hint="eastAsia" w:ascii="宋体" w:hAnsi="宋体" w:eastAsia="宋体" w:cs="宋体"/>
          <w:color w:val="auto"/>
          <w:sz w:val="24"/>
        </w:rPr>
        <w:t>签订工程质量保修书。</w:t>
      </w:r>
    </w:p>
    <w:p w14:paraId="591FDE0D">
      <w:pPr>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一、工程质量保修范围和内容</w:t>
      </w:r>
    </w:p>
    <w:p w14:paraId="348AE62B">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承包人质量保修期内，按照有关法律、法规、规章的管理规定和双方约定，承担本工程质量保修责任。</w:t>
      </w:r>
    </w:p>
    <w:p w14:paraId="1D6FB504">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质量保修范围包括：</w:t>
      </w:r>
      <w:r>
        <w:rPr>
          <w:rFonts w:hint="eastAsia" w:ascii="宋体" w:hAnsi="宋体" w:eastAsia="宋体" w:cs="宋体"/>
          <w:color w:val="auto"/>
          <w:sz w:val="24"/>
          <w:u w:val="single"/>
        </w:rPr>
        <w:t>施工图纸、工程量清单、竞争性磋商文件规定范围内的工程以及双方约定的其他项目</w:t>
      </w:r>
      <w:r>
        <w:rPr>
          <w:rFonts w:hint="eastAsia" w:ascii="宋体" w:hAnsi="宋体" w:eastAsia="宋体" w:cs="宋体"/>
          <w:color w:val="auto"/>
          <w:sz w:val="24"/>
        </w:rPr>
        <w:t>。具体保修内容为：</w:t>
      </w:r>
      <w:r>
        <w:rPr>
          <w:rFonts w:hint="eastAsia" w:ascii="宋体" w:hAnsi="宋体" w:eastAsia="宋体" w:cs="宋体"/>
          <w:color w:val="auto"/>
          <w:sz w:val="24"/>
          <w:u w:val="single"/>
        </w:rPr>
        <w:t>本项目承包范围内的全部工程内容的施工质量和材料质量承担免费保修义务，避免出现任何质量劣化现象</w:t>
      </w:r>
      <w:r>
        <w:rPr>
          <w:rFonts w:hint="eastAsia" w:ascii="宋体" w:hAnsi="宋体" w:eastAsia="宋体" w:cs="宋体"/>
          <w:color w:val="auto"/>
          <w:sz w:val="24"/>
        </w:rPr>
        <w:t>。</w:t>
      </w:r>
    </w:p>
    <w:p w14:paraId="3CF5FC7F">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二、质量保修期</w:t>
      </w:r>
    </w:p>
    <w:p w14:paraId="351C380D">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双方根据《建设工程质量管理条例》及国家有关规定，结合具体工程情况约定质量保修期如下：</w:t>
      </w:r>
    </w:p>
    <w:p w14:paraId="1BCA24ED">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（1）基础设施工程、房屋建筑的地基基础工程和主体结构工程，为设计文件规定的该工程的合理使用年限；</w:t>
      </w:r>
    </w:p>
    <w:p w14:paraId="1532733F">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（2）屋面防水工程、有防水要求的卫生间、房间和外墙面的防渗漏，为5年；</w:t>
      </w:r>
    </w:p>
    <w:p w14:paraId="7416E460">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（3）供热与供冷系统，为2个采暖期、供冷期；</w:t>
      </w:r>
    </w:p>
    <w:p w14:paraId="55D46DB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（4）电气管线、给排水管道、设备安装和装修工程，为2年。</w:t>
      </w:r>
    </w:p>
    <w:p w14:paraId="43C6AB77">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（5）其他约定：</w:t>
      </w:r>
      <w:r>
        <w:rPr>
          <w:rFonts w:hint="eastAsia" w:ascii="宋体" w:hAnsi="宋体" w:eastAsia="宋体" w:cs="宋体"/>
          <w:b/>
          <w:bCs/>
          <w:color w:val="auto"/>
          <w:sz w:val="24"/>
          <w:u w:val="single"/>
          <w:lang w:val="en-US" w:eastAsia="zh-CN"/>
        </w:rPr>
        <w:t>该项目全部质量保修</w:t>
      </w:r>
      <w:r>
        <w:rPr>
          <w:rFonts w:hint="eastAsia" w:ascii="宋体" w:hAnsi="宋体" w:eastAsia="宋体" w:cs="宋体"/>
          <w:b/>
          <w:bCs/>
          <w:color w:val="auto"/>
          <w:sz w:val="24"/>
          <w:u w:val="single"/>
        </w:rPr>
        <w:t>期2年</w:t>
      </w:r>
      <w:r>
        <w:rPr>
          <w:rFonts w:hint="eastAsia" w:ascii="宋体" w:hAnsi="宋体" w:eastAsia="宋体" w:cs="宋体"/>
          <w:color w:val="auto"/>
          <w:sz w:val="24"/>
        </w:rPr>
        <w:t>。</w:t>
      </w:r>
    </w:p>
    <w:p w14:paraId="163D649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质量保修期从工程竣工验收合格之日起计算。</w:t>
      </w:r>
    </w:p>
    <w:p w14:paraId="2F66DBDF">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三、缺陷责任期</w:t>
      </w:r>
    </w:p>
    <w:p w14:paraId="24EE7E9B">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工程缺陷责任期为</w:t>
      </w:r>
      <w:r>
        <w:rPr>
          <w:rFonts w:hint="eastAsia" w:ascii="宋体" w:hAnsi="宋体" w:eastAsia="宋体" w:cs="宋体"/>
          <w:color w:val="auto"/>
          <w:sz w:val="24"/>
          <w:u w:val="single"/>
        </w:rPr>
        <w:t xml:space="preserve"> 24 </w:t>
      </w:r>
      <w:r>
        <w:rPr>
          <w:rFonts w:hint="eastAsia" w:ascii="宋体" w:hAnsi="宋体" w:eastAsia="宋体" w:cs="宋体"/>
          <w:color w:val="auto"/>
          <w:sz w:val="24"/>
        </w:rPr>
        <w:t>个月，缺陷责任期自工程竣工验收合格之日起计算。单位工程先于全部工程进行验收，单位工程缺陷责任期自单位工程验收合格之日起算。</w:t>
      </w:r>
    </w:p>
    <w:p w14:paraId="3FF7A466">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缺陷责任期终止后，发包人应退还剩余的质量保证金。</w:t>
      </w:r>
    </w:p>
    <w:p w14:paraId="7B4032BA">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四、质量保修责任</w:t>
      </w:r>
    </w:p>
    <w:p w14:paraId="1E79C1C6">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属于保修范围、内容的项目，承包人必须在接到报修通知之日起24小时内派人保修。承包人不在约定期限内派人保修，发包人可委托其他人员修理</w:t>
      </w:r>
      <w:r>
        <w:rPr>
          <w:rFonts w:hint="eastAsia" w:ascii="宋体" w:hAnsi="宋体" w:eastAsia="宋体" w:cs="宋体"/>
          <w:color w:val="auto"/>
          <w:sz w:val="24"/>
        </w:rPr>
        <w:t>。</w:t>
      </w:r>
    </w:p>
    <w:p w14:paraId="7125ECC9">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发生须紧急抢修事故，承包人在接到事故通知后，应当立即到达事故现场抢修</w:t>
      </w:r>
      <w:r>
        <w:rPr>
          <w:rFonts w:hint="eastAsia" w:ascii="宋体" w:hAnsi="宋体" w:eastAsia="宋体" w:cs="宋体"/>
          <w:color w:val="auto"/>
          <w:sz w:val="24"/>
        </w:rPr>
        <w:t>。</w:t>
      </w:r>
    </w:p>
    <w:p w14:paraId="6D1358B6">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eastAsia="宋体" w:cs="宋体"/>
          <w:color w:val="auto"/>
          <w:sz w:val="24"/>
        </w:rPr>
        <w:t>。</w:t>
      </w:r>
    </w:p>
    <w:p w14:paraId="3541318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4、质量保修完成后，由发包人组织验收。</w:t>
      </w:r>
    </w:p>
    <w:p w14:paraId="792FB96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五、保修费用</w:t>
      </w:r>
    </w:p>
    <w:p w14:paraId="451C85D0">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在甲、乙双方工程结算时，乙方按结算审定金额的1.5%缴纳质量保修金</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允许采用质量保函</w:t>
      </w:r>
      <w:r>
        <w:rPr>
          <w:rFonts w:hint="eastAsia" w:ascii="宋体" w:hAnsi="宋体" w:eastAsia="宋体" w:cs="宋体"/>
          <w:color w:val="auto"/>
          <w:sz w:val="24"/>
          <w:u w:val="single"/>
          <w:lang w:eastAsia="zh-CN"/>
        </w:rPr>
        <w:t>）</w:t>
      </w:r>
      <w:r>
        <w:rPr>
          <w:rFonts w:hint="eastAsia" w:ascii="宋体" w:hAnsi="宋体" w:eastAsia="宋体" w:cs="宋体"/>
          <w:color w:val="auto"/>
          <w:sz w:val="24"/>
        </w:rPr>
        <w:t>；</w:t>
      </w:r>
    </w:p>
    <w:p w14:paraId="328F8976">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在质量保修期内，保修费用由造成质量缺陷的责任方承担</w:t>
      </w:r>
      <w:r>
        <w:rPr>
          <w:rFonts w:hint="eastAsia" w:ascii="宋体" w:hAnsi="宋体" w:eastAsia="宋体" w:cs="宋体"/>
          <w:color w:val="auto"/>
          <w:sz w:val="24"/>
        </w:rPr>
        <w:t>。</w:t>
      </w:r>
    </w:p>
    <w:p w14:paraId="3D451BD2">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质量保修期满，经复验合格，甲方无息返还剩余的质量保修金</w:t>
      </w:r>
      <w:r>
        <w:rPr>
          <w:rFonts w:hint="eastAsia" w:ascii="宋体" w:hAnsi="宋体" w:eastAsia="宋体" w:cs="宋体"/>
          <w:color w:val="auto"/>
          <w:sz w:val="24"/>
        </w:rPr>
        <w:t>。</w:t>
      </w:r>
    </w:p>
    <w:p w14:paraId="6245143F">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六、其他</w:t>
      </w:r>
    </w:p>
    <w:p w14:paraId="5C8B9B8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双方约定的其他工程质量保修事项：</w:t>
      </w:r>
      <w:r>
        <w:rPr>
          <w:rFonts w:hint="eastAsia" w:ascii="宋体" w:hAnsi="宋体" w:eastAsia="宋体" w:cs="宋体"/>
          <w:color w:val="auto"/>
          <w:sz w:val="24"/>
          <w:u w:val="single"/>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Pr>
          <w:rFonts w:hint="eastAsia" w:ascii="宋体" w:hAnsi="宋体" w:eastAsia="宋体" w:cs="宋体"/>
          <w:color w:val="auto"/>
          <w:sz w:val="24"/>
        </w:rPr>
        <w:t xml:space="preserve">。 </w:t>
      </w:r>
    </w:p>
    <w:p w14:paraId="7D2D8CB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本工程质量保修书，由施工合同发包人、承包人双方在竣工验收前共同签署，作为施工合同附件，其有效期限至保修期满。</w:t>
      </w:r>
    </w:p>
    <w:p w14:paraId="5EB5002F">
      <w:pPr>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rPr>
      </w:pPr>
    </w:p>
    <w:p w14:paraId="6170D505">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甲方(公章)：浙江警察学院                     乙方(公章)：</w:t>
      </w:r>
    </w:p>
    <w:p w14:paraId="35C0CBA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265707F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pacing w:val="-6"/>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日                    签约日期： </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p>
    <w:p w14:paraId="3330FA72">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rPr>
      </w:pPr>
    </w:p>
    <w:p w14:paraId="1BD610F5">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4618E0C5">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rPr>
      </w:pPr>
    </w:p>
    <w:p w14:paraId="586454DF">
      <w:pPr>
        <w:rPr>
          <w:rFonts w:hint="eastAsia" w:ascii="宋体" w:hAnsi="宋体" w:eastAsia="宋体" w:cs="宋体"/>
          <w:b/>
          <w:bCs/>
          <w:color w:val="auto"/>
          <w:sz w:val="24"/>
        </w:rPr>
      </w:pPr>
      <w:r>
        <w:rPr>
          <w:rFonts w:hint="eastAsia" w:ascii="宋体" w:hAnsi="宋体" w:eastAsia="宋体" w:cs="宋体"/>
          <w:b/>
          <w:bCs/>
          <w:color w:val="auto"/>
          <w:sz w:val="24"/>
        </w:rPr>
        <w:br w:type="page"/>
      </w:r>
    </w:p>
    <w:p w14:paraId="2DB38175">
      <w:pPr>
        <w:pStyle w:val="2"/>
        <w:rPr>
          <w:rFonts w:hint="eastAsia"/>
          <w:color w:val="auto"/>
        </w:rPr>
      </w:pPr>
    </w:p>
    <w:p w14:paraId="6065D8A2">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2"/>
        </w:rPr>
      </w:pPr>
      <w:r>
        <w:rPr>
          <w:rFonts w:hint="eastAsia" w:ascii="宋体" w:hAnsi="宋体" w:eastAsia="宋体" w:cs="宋体"/>
          <w:color w:val="auto"/>
          <w:sz w:val="24"/>
          <w:szCs w:val="22"/>
        </w:rPr>
        <w:t>附件2</w:t>
      </w:r>
    </w:p>
    <w:p w14:paraId="117B1FF9">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rPr>
      </w:pPr>
      <w:bookmarkStart w:id="193" w:name="_Toc69478958"/>
      <w:bookmarkStart w:id="194" w:name="_Toc17609"/>
      <w:r>
        <w:rPr>
          <w:rFonts w:hint="eastAsia" w:ascii="宋体" w:hAnsi="宋体" w:eastAsia="宋体" w:cs="宋体"/>
          <w:color w:val="auto"/>
          <w:sz w:val="28"/>
          <w:szCs w:val="28"/>
        </w:rPr>
        <w:t>安全生产责任协议书</w:t>
      </w:r>
      <w:bookmarkEnd w:id="193"/>
      <w:bookmarkEnd w:id="194"/>
    </w:p>
    <w:p w14:paraId="36DFE23D">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甲方（发包人）：浙江警察学院</w:t>
      </w:r>
    </w:p>
    <w:p w14:paraId="7337E79B">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乙方（承包人）：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b/>
          <w:color w:val="auto"/>
          <w:sz w:val="24"/>
        </w:rPr>
        <w:t xml:space="preserve"> </w:t>
      </w:r>
    </w:p>
    <w:p w14:paraId="1ADE7ACB">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bCs/>
          <w:color w:val="auto"/>
          <w:sz w:val="24"/>
        </w:rPr>
        <w:t>工程项目名称：</w:t>
      </w:r>
      <w:r>
        <w:rPr>
          <w:rFonts w:hint="eastAsia" w:ascii="宋体" w:hAnsi="宋体" w:eastAsia="宋体" w:cs="宋体"/>
          <w:b/>
          <w:bCs/>
          <w:color w:val="auto"/>
          <w:sz w:val="24"/>
          <w:u w:val="single"/>
          <w:lang w:eastAsia="zh-CN"/>
        </w:rPr>
        <w:t>浙江警察学院滨江校区战训楼屋面修缮项目</w:t>
      </w:r>
    </w:p>
    <w:p w14:paraId="5D1ECA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为落实安全生产的管理要求，确保工程建设的顺利进行，按</w:t>
      </w:r>
      <w:r>
        <w:rPr>
          <w:rFonts w:hint="eastAsia" w:ascii="宋体" w:hAnsi="宋体" w:eastAsia="宋体" w:cs="宋体"/>
          <w:color w:val="auto"/>
          <w:sz w:val="24"/>
          <w:u w:val="single"/>
        </w:rPr>
        <w:t>《杭州市建设工程安全生产、文明施工标准化样板工地管理办法》和</w:t>
      </w:r>
      <w:r>
        <w:rPr>
          <w:rFonts w:hint="eastAsia" w:ascii="宋体" w:hAnsi="宋体" w:eastAsia="宋体" w:cs="宋体"/>
          <w:color w:val="auto"/>
          <w:sz w:val="24"/>
        </w:rPr>
        <w:t>《浙江省建筑安全文明施工标准化工地管理办法》（浙建建[2005]41号)规定，甲乙双方共同协商，一致同意如下：</w:t>
      </w:r>
    </w:p>
    <w:p w14:paraId="75527A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4838C3E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二、发包人应积极组织和督促承包人开展安全达标活动，及时传达和部署上级的有关安全生产精神和要求，定期听取承包人的意见和要求。加强安全生产的指导和协调。</w:t>
      </w:r>
    </w:p>
    <w:p w14:paraId="084B91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051FAA0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59B55C2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责任违约的经济处理的约定：</w:t>
      </w:r>
    </w:p>
    <w:p w14:paraId="08F6C74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依据国家和地方相关法律法规、政策、规定、制度以及本工程施工合同执行。</w:t>
      </w:r>
    </w:p>
    <w:p w14:paraId="7FCDF0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51154D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0167478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2521BF0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457DA4C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九、承包人要按照“安全自查，隐患自改、责任自负”的原则加强对施工责任区的日常安全检查。及时制止和处理各类违章违法行为。对查获的隐患要及时落实整改措施，消除隐患。</w:t>
      </w:r>
    </w:p>
    <w:p w14:paraId="614AF6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CCF2F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7D3679B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十二、</w:t>
      </w:r>
      <w:r>
        <w:rPr>
          <w:rFonts w:hint="eastAsia" w:ascii="宋体" w:hAnsi="宋体" w:eastAsia="宋体" w:cs="宋体"/>
          <w:color w:val="auto"/>
          <w:sz w:val="24"/>
          <w:u w:val="single"/>
        </w:rPr>
        <w:t>承包人须参加由发包人召集的每周一次的工程工作列会，对工程进度、工程质量、安全施工等情况向会议进行汇报，并接受发包人和监理单位的安全检查</w:t>
      </w:r>
      <w:r>
        <w:rPr>
          <w:rFonts w:hint="eastAsia" w:ascii="宋体" w:hAnsi="宋体" w:eastAsia="宋体" w:cs="宋体"/>
          <w:color w:val="auto"/>
          <w:sz w:val="24"/>
        </w:rPr>
        <w:t>。</w:t>
      </w:r>
    </w:p>
    <w:p w14:paraId="088CA9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十三、</w:t>
      </w:r>
      <w:r>
        <w:rPr>
          <w:rFonts w:hint="eastAsia" w:ascii="宋体" w:hAnsi="宋体" w:eastAsia="宋体" w:cs="宋体"/>
          <w:color w:val="auto"/>
          <w:sz w:val="24"/>
          <w:u w:val="single"/>
        </w:rPr>
        <w:t>承包人不准将工程项目进行整体转包</w:t>
      </w:r>
      <w:r>
        <w:rPr>
          <w:rFonts w:hint="eastAsia" w:ascii="宋体" w:hAnsi="宋体" w:eastAsia="宋体" w:cs="宋体"/>
          <w:color w:val="auto"/>
          <w:sz w:val="24"/>
        </w:rPr>
        <w:t>。</w:t>
      </w:r>
    </w:p>
    <w:p w14:paraId="2F470B8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十四、</w:t>
      </w:r>
      <w:r>
        <w:rPr>
          <w:rFonts w:hint="eastAsia" w:ascii="宋体" w:hAnsi="宋体" w:eastAsia="宋体" w:cs="宋体"/>
          <w:color w:val="auto"/>
          <w:sz w:val="24"/>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宋体" w:hAnsi="宋体" w:eastAsia="宋体" w:cs="宋体"/>
          <w:color w:val="auto"/>
          <w:sz w:val="24"/>
        </w:rPr>
        <w:t>。</w:t>
      </w:r>
    </w:p>
    <w:p w14:paraId="7AAEC7F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十五、</w:t>
      </w:r>
      <w:r>
        <w:rPr>
          <w:rFonts w:hint="eastAsia" w:ascii="宋体" w:hAnsi="宋体" w:eastAsia="宋体" w:cs="宋体"/>
          <w:color w:val="auto"/>
          <w:sz w:val="24"/>
          <w:u w:val="single"/>
        </w:rPr>
        <w:t>承包人须为施工作业人员缴纳相关保险，并在合同签订之日起的10个工作日内将缴纳保险凭证复印件交发包人</w:t>
      </w:r>
      <w:r>
        <w:rPr>
          <w:rFonts w:hint="eastAsia" w:ascii="宋体" w:hAnsi="宋体" w:eastAsia="宋体" w:cs="宋体"/>
          <w:color w:val="auto"/>
          <w:sz w:val="24"/>
        </w:rPr>
        <w:t>。</w:t>
      </w:r>
    </w:p>
    <w:p w14:paraId="00AF324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十六、本协议中未涉及的有关条款，甲乙双方可根据需要协商补充修改。</w:t>
      </w:r>
    </w:p>
    <w:p w14:paraId="78768851">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如遇有国家和本市的有关法规不符的，应按国家和本市的有关法规执行。</w:t>
      </w:r>
    </w:p>
    <w:p w14:paraId="0DC125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十七、本协议作为甲乙双方工程承包合同的附件，在工程承包合同签约后生效，与工程承包合同具有同等法律效力。工程承包合同期满，本协议终止。</w:t>
      </w:r>
    </w:p>
    <w:p w14:paraId="438092C6">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p>
    <w:p w14:paraId="1B177ED3">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发包人（公章）：浙江警察学院                  承包人（公章）： </w:t>
      </w:r>
    </w:p>
    <w:p w14:paraId="32660B8E">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法定（授权）代表人（签字）：                  法定（授权）代表人（签字）：</w:t>
      </w:r>
    </w:p>
    <w:p w14:paraId="6E1A534D">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  月  日                      签约日期：202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 月  日</w:t>
      </w:r>
    </w:p>
    <w:p w14:paraId="7E0F7C94">
      <w:pPr>
        <w:pageBreakBefore w:val="0"/>
        <w:widowControl/>
        <w:kinsoku/>
        <w:wordWrap/>
        <w:overflowPunct/>
        <w:topLinePunct w:val="0"/>
        <w:autoSpaceDE w:val="0"/>
        <w:autoSpaceDN w:val="0"/>
        <w:bidi w:val="0"/>
        <w:adjustRightInd w:val="0"/>
        <w:snapToGrid w:val="0"/>
        <w:spacing w:line="360" w:lineRule="auto"/>
        <w:ind w:firstLine="573"/>
        <w:textAlignment w:val="bottom"/>
        <w:rPr>
          <w:rFonts w:hint="eastAsia" w:ascii="宋体" w:hAnsi="宋体" w:eastAsia="宋体" w:cs="宋体"/>
          <w:color w:val="auto"/>
          <w:kern w:val="0"/>
          <w:sz w:val="24"/>
          <w:szCs w:val="20"/>
        </w:rPr>
      </w:pPr>
    </w:p>
    <w:p w14:paraId="61DB4DD3">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br w:type="page"/>
      </w:r>
      <w:r>
        <w:rPr>
          <w:rFonts w:hint="eastAsia" w:ascii="宋体" w:hAnsi="宋体" w:eastAsia="宋体" w:cs="宋体"/>
          <w:color w:val="auto"/>
          <w:sz w:val="24"/>
          <w:szCs w:val="22"/>
        </w:rPr>
        <w:t>附件3</w:t>
      </w:r>
    </w:p>
    <w:p w14:paraId="12A23948">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rPr>
      </w:pPr>
      <w:bookmarkStart w:id="195" w:name="_Toc5183"/>
      <w:bookmarkStart w:id="196" w:name="_Toc69478959"/>
      <w:r>
        <w:rPr>
          <w:rFonts w:hint="eastAsia" w:ascii="宋体" w:hAnsi="宋体" w:eastAsia="宋体" w:cs="宋体"/>
          <w:color w:val="auto"/>
          <w:sz w:val="28"/>
          <w:szCs w:val="28"/>
        </w:rPr>
        <w:t>文明施工责任协议书</w:t>
      </w:r>
      <w:bookmarkEnd w:id="195"/>
      <w:bookmarkEnd w:id="196"/>
    </w:p>
    <w:p w14:paraId="2E70423D">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甲方（发包人）：浙江警察学院</w:t>
      </w:r>
    </w:p>
    <w:p w14:paraId="3B08D7A4">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乙方（承包人）：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b/>
          <w:color w:val="auto"/>
          <w:sz w:val="24"/>
        </w:rPr>
        <w:t xml:space="preserve"> </w:t>
      </w:r>
    </w:p>
    <w:p w14:paraId="71F321AE">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u w:val="single"/>
          <w:lang w:eastAsia="zh-CN"/>
        </w:rPr>
      </w:pPr>
      <w:r>
        <w:rPr>
          <w:rFonts w:hint="eastAsia" w:ascii="宋体" w:hAnsi="宋体" w:eastAsia="宋体" w:cs="宋体"/>
          <w:b/>
          <w:bCs/>
          <w:color w:val="auto"/>
          <w:sz w:val="24"/>
        </w:rPr>
        <w:t>工程项目名称：</w:t>
      </w:r>
      <w:r>
        <w:rPr>
          <w:rFonts w:hint="eastAsia" w:ascii="宋体" w:hAnsi="宋体" w:eastAsia="宋体" w:cs="宋体"/>
          <w:b/>
          <w:bCs/>
          <w:color w:val="auto"/>
          <w:sz w:val="24"/>
          <w:u w:val="single"/>
          <w:lang w:eastAsia="zh-CN"/>
        </w:rPr>
        <w:t>浙江警察学院滨江校区战训楼屋面修缮项目</w:t>
      </w:r>
    </w:p>
    <w:p w14:paraId="11C9383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为认真做好工程建设施工区域内的文明施工，现经甲、乙双方协商同意，明确在文明施工和文明施工管理中的各自职责，并签订如下协议。</w:t>
      </w:r>
    </w:p>
    <w:p w14:paraId="7489257B">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644C9E5A">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436C7622">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三、乙方应遵守如下规定：</w:t>
      </w:r>
    </w:p>
    <w:p w14:paraId="74CEED5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1、根据工程的特点，编制文明施工实施方案，在开工前5日内，将文明施工实施方案报甲方和市安全监督部门备案。</w:t>
      </w:r>
    </w:p>
    <w:p w14:paraId="114C024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2、乙方按有关规定专项包干使用文明施工费，不得挪作他用。</w:t>
      </w:r>
    </w:p>
    <w:p w14:paraId="11C270C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3、工地应设置专职文明施工安全员，做到佩证上岗、动态管理，及时收集、记录、整理、管理台帐等技术资料。</w:t>
      </w:r>
    </w:p>
    <w:p w14:paraId="50FE90D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4、施工现场应按文明施工安全生产的要求，设置各项临时设施，并达到下列要求：</w:t>
      </w:r>
    </w:p>
    <w:p w14:paraId="6D21E78A">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（1）施工区域与非施工区域严格分隔。</w:t>
      </w:r>
    </w:p>
    <w:p w14:paraId="082B7A4A">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（2）施工区域内应设置能保证施工安全的夜间照明和警示标志，并采取安全防护措施。</w:t>
      </w:r>
    </w:p>
    <w:p w14:paraId="7E9143A2">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（3）各类材料、机具设备按工地总平面图的布置，在固定场地整齐堆放，不得侵占场内道路及安全防护等设施。</w:t>
      </w:r>
    </w:p>
    <w:p w14:paraId="697BE0EC">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（4）其他要求：</w:t>
      </w:r>
    </w:p>
    <w:p w14:paraId="379F6B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5、工地民工宿舍应符合卫生要求和居住条件，地面应用砼硬化，照明电线敷设应符合规范，不得任意拉线接电。宿舍应保持整洁有序，不得男女混杂居住及居住与施工无关的人员。</w:t>
      </w:r>
    </w:p>
    <w:p w14:paraId="487E3A0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7EF35685">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施工现场应设置茶桶、保障茶水供应。</w:t>
      </w:r>
    </w:p>
    <w:p w14:paraId="67E758E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7、建筑垃圾和其他散体物料装运应实行车辆密闭式运输，冲洗干净后出场，运输过程中严禁沿途抛、洒、滴、漏。</w:t>
      </w:r>
    </w:p>
    <w:p w14:paraId="357D9F4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8、乙方应当严格依照《中华人民共和国消防条例》的规定，在工地建立和执行防火管理制度，重点部位设置符合消防要求的消防设施，并保持完好的备用状态。　</w:t>
      </w:r>
    </w:p>
    <w:p w14:paraId="5E7FC5A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9、遵守建设地的现场管理要求。</w:t>
      </w:r>
    </w:p>
    <w:p w14:paraId="452E351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10、施工单位在施工中应遵守下列规定：</w:t>
      </w:r>
    </w:p>
    <w:p w14:paraId="1E43ACD2">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（1）完善技术和操作管理规程，确保防汛设施和地下管线通畅、安全。</w:t>
      </w:r>
    </w:p>
    <w:p w14:paraId="794998C3">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（2）采取各种有效措施，控制扬尘、噪声。</w:t>
      </w:r>
    </w:p>
    <w:p w14:paraId="422DCF92">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（3）设置各种防护设施，防止施工中废弃物、杂物影响周围环境，伤害过往行人。</w:t>
      </w:r>
    </w:p>
    <w:p w14:paraId="7AA5C031">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（4）随时清理建筑垃圾，控制工地污染。</w:t>
      </w:r>
    </w:p>
    <w:p w14:paraId="4AD82939">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（5）控制夜间施工作业，确需夜间作业的，必须事先向环保部门申办《夜间施工许可证》。</w:t>
      </w:r>
    </w:p>
    <w:p w14:paraId="29081CEC">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（6）运用其他有效方式，减少施工时对市容、绿化和环境的不良影响。</w:t>
      </w:r>
    </w:p>
    <w:p w14:paraId="00D7499E">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（7）遵守交通管理规定，不得使用人力车、三轮车向场外运输建筑垃圾、废土、物料。</w:t>
      </w:r>
    </w:p>
    <w:p w14:paraId="25C9929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11、施工人员在施工中应严格遵守下列规定:</w:t>
      </w:r>
    </w:p>
    <w:p w14:paraId="37B9F44D">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（1）施工中产生的各类垃圾应及时清运到市容环境卫生管理部门指定的地点，严禁随意倾倒在城市道路、河道、绿化带、空旷地带和居民生活垃圾容器内。</w:t>
      </w:r>
    </w:p>
    <w:p w14:paraId="5F4804A8">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（2）施工中不得随意丢弃废物、旧料和其他杂物。</w:t>
      </w:r>
    </w:p>
    <w:p w14:paraId="4A9A93DA">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（3）施工中应注意清理施工场地，做到随做随清。</w:t>
      </w:r>
    </w:p>
    <w:p w14:paraId="65E1DCED">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（4）其他：</w:t>
      </w:r>
    </w:p>
    <w:p w14:paraId="063488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12、乙方应确保工地出入口和道路的畅通、安全。施工中造成沿线单位、人员的出入口障碍和道路交通堵塞，应及时采取有效措施。</w:t>
      </w:r>
    </w:p>
    <w:p w14:paraId="719F440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13、施工中造成下水道和其他地下管线堵塞或损坏的，应立即疏浚或修复；对工地周围的单位及人员财产造成损失的，应承担经济赔偿责任。</w:t>
      </w:r>
    </w:p>
    <w:p w14:paraId="06282B6F">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四、甲方对乙方开展创建文明土地的工作要经常性地给予指导，定期组织检查，对乙方存在的问题应及时通知乙方进行整改，并有权对乙方责任违约，按约定办法进行经济处理。</w:t>
      </w:r>
    </w:p>
    <w:p w14:paraId="6BCF2A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违反约定的责任处理办法：凡乙方整改不力，逾期不改的，甲方根据实际情况可给予承包商一次性的经济处理 (100-5000元人民币)。</w:t>
      </w:r>
    </w:p>
    <w:p w14:paraId="51CCB6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五、因乙方违反文明施工管理要求，被地方政府有关部门查获而受到的经济处罚，以及由此而使甲方受到的经济损失，均由乙方承担。</w:t>
      </w:r>
    </w:p>
    <w:p w14:paraId="4A6A81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六、本协议作为甲乙双方工程合同的附件，在工程合同正式签约后有效，与工程合同具有同等法律效力。工程合同期满，本协议终止。</w:t>
      </w:r>
    </w:p>
    <w:p w14:paraId="49B5D480">
      <w:pPr>
        <w:pageBreakBefore w:val="0"/>
        <w:kinsoku/>
        <w:wordWrap/>
        <w:overflowPunct/>
        <w:topLinePunct w:val="0"/>
        <w:bidi w:val="0"/>
        <w:adjustRightInd w:val="0"/>
        <w:snapToGrid w:val="0"/>
        <w:spacing w:line="360" w:lineRule="auto"/>
        <w:rPr>
          <w:rFonts w:hint="eastAsia" w:ascii="宋体" w:hAnsi="宋体" w:eastAsia="宋体" w:cs="宋体"/>
          <w:color w:val="auto"/>
          <w:sz w:val="24"/>
        </w:rPr>
      </w:pPr>
    </w:p>
    <w:p w14:paraId="716FB948">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发包人（公章）：浙江警察学院                   承包人（公章）：</w:t>
      </w:r>
    </w:p>
    <w:p w14:paraId="4E3D5413">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法定（授权）代表人（签字）：                   法定（授权）代表人（签字）：</w:t>
      </w:r>
    </w:p>
    <w:p w14:paraId="353D13D1">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月  日                       签约日期：202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  日</w:t>
      </w:r>
    </w:p>
    <w:p w14:paraId="26497EAB">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4"/>
        </w:rPr>
      </w:pPr>
    </w:p>
    <w:p w14:paraId="08642034">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1258FA96">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007C415A">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512E124C">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18B4E8D8">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1CDE72D1">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1C6A280D">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30004964">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27261B1B">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rPr>
      </w:pPr>
    </w:p>
    <w:p w14:paraId="288F26FC">
      <w:pPr>
        <w:pageBreakBefore w:val="0"/>
        <w:kinsoku/>
        <w:wordWrap/>
        <w:overflowPunct/>
        <w:topLinePunct w:val="0"/>
        <w:bidi w:val="0"/>
        <w:adjustRightInd w:val="0"/>
        <w:snapToGrid w:val="0"/>
        <w:spacing w:line="360" w:lineRule="auto"/>
        <w:rPr>
          <w:rFonts w:hint="eastAsia" w:ascii="宋体" w:hAnsi="宋体" w:eastAsia="宋体" w:cs="宋体"/>
          <w:color w:val="auto"/>
          <w:kern w:val="0"/>
          <w:sz w:val="24"/>
          <w:szCs w:val="20"/>
        </w:rPr>
      </w:pPr>
    </w:p>
    <w:p w14:paraId="12833D01">
      <w:pPr>
        <w:rPr>
          <w:rFonts w:hint="eastAsia" w:ascii="宋体" w:hAnsi="宋体" w:eastAsia="宋体" w:cs="宋体"/>
          <w:color w:val="auto"/>
        </w:rPr>
      </w:pPr>
      <w:r>
        <w:rPr>
          <w:rFonts w:hint="eastAsia" w:ascii="宋体" w:hAnsi="宋体" w:eastAsia="宋体" w:cs="宋体"/>
          <w:color w:val="auto"/>
        </w:rPr>
        <w:br w:type="page"/>
      </w:r>
    </w:p>
    <w:p w14:paraId="6F75C55C">
      <w:pPr>
        <w:pStyle w:val="23"/>
        <w:rPr>
          <w:rFonts w:hint="eastAsia"/>
          <w:color w:val="auto"/>
        </w:rPr>
      </w:pPr>
    </w:p>
    <w:p w14:paraId="2C690786">
      <w:pPr>
        <w:pageBreakBefore w:val="0"/>
        <w:kinsoku/>
        <w:wordWrap/>
        <w:overflowPunct/>
        <w:topLinePunct w:val="0"/>
        <w:bidi w:val="0"/>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color w:val="auto"/>
          <w:sz w:val="24"/>
          <w:szCs w:val="22"/>
        </w:rPr>
        <w:t>附件4</w:t>
      </w:r>
    </w:p>
    <w:p w14:paraId="07724551">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rPr>
      </w:pPr>
      <w:bookmarkStart w:id="197" w:name="_Toc69478960"/>
      <w:bookmarkStart w:id="198" w:name="_Toc17"/>
      <w:r>
        <w:rPr>
          <w:rFonts w:hint="eastAsia" w:ascii="宋体" w:hAnsi="宋体" w:eastAsia="宋体" w:cs="宋体"/>
          <w:color w:val="auto"/>
          <w:sz w:val="28"/>
          <w:szCs w:val="28"/>
        </w:rPr>
        <w:t>建设工程廉洁协议书</w:t>
      </w:r>
      <w:bookmarkEnd w:id="197"/>
      <w:bookmarkEnd w:id="198"/>
    </w:p>
    <w:p w14:paraId="6057604F">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甲方（发包人）：浙江警察学院</w:t>
      </w:r>
    </w:p>
    <w:p w14:paraId="6702F20F">
      <w:pPr>
        <w:pageBreakBefore w:val="0"/>
        <w:kinsoku/>
        <w:wordWrap/>
        <w:overflowPunct/>
        <w:topLinePunct w:val="0"/>
        <w:bidi w:val="0"/>
        <w:adjustRightInd w:val="0"/>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乙方（承包人）：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b/>
          <w:color w:val="auto"/>
          <w:sz w:val="24"/>
        </w:rPr>
        <w:t xml:space="preserve"> </w:t>
      </w:r>
    </w:p>
    <w:p w14:paraId="1F73D2F0">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u w:val="single"/>
          <w:lang w:eastAsia="zh-CN"/>
        </w:rPr>
      </w:pPr>
      <w:r>
        <w:rPr>
          <w:rFonts w:hint="eastAsia" w:ascii="宋体" w:hAnsi="宋体" w:eastAsia="宋体" w:cs="宋体"/>
          <w:b/>
          <w:bCs/>
          <w:color w:val="auto"/>
          <w:sz w:val="24"/>
        </w:rPr>
        <w:t>工程项目名称：</w:t>
      </w:r>
      <w:r>
        <w:rPr>
          <w:rFonts w:hint="eastAsia" w:ascii="宋体" w:hAnsi="宋体" w:eastAsia="宋体" w:cs="宋体"/>
          <w:b/>
          <w:bCs/>
          <w:color w:val="auto"/>
          <w:sz w:val="24"/>
          <w:u w:val="single"/>
          <w:lang w:eastAsia="zh-CN"/>
        </w:rPr>
        <w:t>浙江警察学院滨江校区战训楼屋面修缮项目</w:t>
      </w:r>
    </w:p>
    <w:p w14:paraId="688FE24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为了在工程建设中保持廉政自律的工作作风，防止各种不正当行为的发生，根据国家和省市有关建设工程承发包和廉政建设的各项规定，结合工程建设的特点，订立本协议如下：</w:t>
      </w:r>
    </w:p>
    <w:p w14:paraId="4E1B24F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一、甲乙双方应当自觉遵守国家和市关于建设工程承发包工作规则以及有关廉政建设的各项规定。</w:t>
      </w:r>
    </w:p>
    <w:p w14:paraId="25BF8AD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二、甲方及其工作人员不得以任何形式向乙方索要和收受回扣等好处费。</w:t>
      </w:r>
    </w:p>
    <w:p w14:paraId="67663F1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三、甲方工作人员应当保持与乙方的正常业务交往，不得接受乙方的现金、有价证券和贵重物品，不得在乙方报销任何应有个人支付的费用。</w:t>
      </w:r>
    </w:p>
    <w:p w14:paraId="5D41078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四、甲方工作人员不得参加可能对公正执行公务有影响的宴请和娱乐活动。</w:t>
      </w:r>
    </w:p>
    <w:p w14:paraId="1365A97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五、甲方工作人员不得要求接受乙方为其住房装修、婚丧嫁娶、家属和子女的工作安排以及出国等提供方便。</w:t>
      </w:r>
    </w:p>
    <w:p w14:paraId="52D7CBC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六、甲方工作人员不得向乙方介绍家属或者亲友从事与甲方工程有关的材料设备供应、工程分包等经济活动。</w:t>
      </w:r>
    </w:p>
    <w:p w14:paraId="7CBD2CF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七、乙方应当通过正常途径开展相对业务工作，不得为获取某些不正当利益而向甲方工作人员赠送礼金、有价证券和贵重物品等。</w:t>
      </w:r>
    </w:p>
    <w:p w14:paraId="56BEAE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八、乙方不得为谋取私利擅自与甲方工作人员就工程承包、工程费用、材料设备供应、工程量变动、工程验收、工程质量问题处理等进行私下商谈或者达成默契。</w:t>
      </w:r>
    </w:p>
    <w:p w14:paraId="2672B8B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九、乙方不得以洽谈业务、签订经济合同为借口，邀请甲方工作人员外出旅游和进入高档娱乐性场所。</w:t>
      </w:r>
    </w:p>
    <w:p w14:paraId="73FF43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十、乙方不得为甲方和个人购置或者提供通讯工具、家电、高档办公用品等物品。</w:t>
      </w:r>
    </w:p>
    <w:p w14:paraId="5845CC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210F70D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4409948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十三、严格执行中纪委下发的中纪发【2007】7号《中共中央纪委关于严格禁止利用职务上的便利谋取不正当利益的若干规定》。</w:t>
      </w:r>
    </w:p>
    <w:p w14:paraId="07819F3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十四、本廉政协议作为工程承发包合同的附件，与工程承发包合同具有同等法律效力，经协议双方签署后立即生效。</w:t>
      </w:r>
    </w:p>
    <w:p w14:paraId="5225CC1E">
      <w:pPr>
        <w:pageBreakBefore w:val="0"/>
        <w:widowControl/>
        <w:kinsoku/>
        <w:wordWrap/>
        <w:overflowPunct/>
        <w:topLinePunct w:val="0"/>
        <w:autoSpaceDE w:val="0"/>
        <w:autoSpaceDN w:val="0"/>
        <w:bidi w:val="0"/>
        <w:adjustRightInd w:val="0"/>
        <w:snapToGrid w:val="0"/>
        <w:spacing w:line="360" w:lineRule="auto"/>
        <w:ind w:firstLine="573"/>
        <w:textAlignment w:val="bottom"/>
        <w:rPr>
          <w:rFonts w:hint="eastAsia" w:ascii="宋体" w:hAnsi="宋体" w:eastAsia="宋体" w:cs="宋体"/>
          <w:color w:val="auto"/>
          <w:kern w:val="0"/>
          <w:sz w:val="24"/>
          <w:szCs w:val="24"/>
        </w:rPr>
      </w:pPr>
    </w:p>
    <w:p w14:paraId="1705370F">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发包人（公章）：浙江警察学院                    承包人（公章）： </w:t>
      </w:r>
    </w:p>
    <w:p w14:paraId="6D77F6DE">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法定（授权）代表人（签字）：                    法定（授权）代表人（签字）：</w:t>
      </w:r>
    </w:p>
    <w:p w14:paraId="58400408">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签约日期：20</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  日                        签约日期：202</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年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  日</w:t>
      </w:r>
    </w:p>
    <w:p w14:paraId="6445CE12">
      <w:pPr>
        <w:adjustRightInd w:val="0"/>
        <w:snapToGrid w:val="0"/>
        <w:spacing w:line="360" w:lineRule="auto"/>
        <w:ind w:firstLine="480" w:firstLineChars="200"/>
        <w:rPr>
          <w:rFonts w:ascii="宋体" w:hAnsi="宋体" w:cs="仿宋"/>
          <w:color w:val="auto"/>
          <w:sz w:val="24"/>
          <w:szCs w:val="24"/>
        </w:rPr>
      </w:pPr>
    </w:p>
    <w:p w14:paraId="32F13EC0">
      <w:pPr>
        <w:adjustRightInd w:val="0"/>
        <w:snapToGrid w:val="0"/>
        <w:spacing w:line="360" w:lineRule="auto"/>
        <w:ind w:firstLine="480" w:firstLineChars="200"/>
        <w:rPr>
          <w:rFonts w:ascii="宋体" w:hAnsi="宋体" w:cs="仿宋"/>
          <w:color w:val="auto"/>
          <w:sz w:val="24"/>
          <w:szCs w:val="24"/>
        </w:rPr>
      </w:pPr>
    </w:p>
    <w:p w14:paraId="5BA847CB">
      <w:pPr>
        <w:adjustRightInd w:val="0"/>
        <w:snapToGrid w:val="0"/>
        <w:spacing w:line="360" w:lineRule="auto"/>
        <w:ind w:firstLine="480" w:firstLineChars="200"/>
        <w:rPr>
          <w:rFonts w:ascii="宋体" w:hAnsi="宋体" w:cs="仿宋"/>
          <w:color w:val="auto"/>
          <w:sz w:val="24"/>
          <w:szCs w:val="24"/>
        </w:rPr>
      </w:pPr>
    </w:p>
    <w:p w14:paraId="1CADEA4A">
      <w:pPr>
        <w:adjustRightInd w:val="0"/>
        <w:snapToGrid w:val="0"/>
        <w:spacing w:line="360" w:lineRule="auto"/>
        <w:ind w:firstLine="480" w:firstLineChars="200"/>
        <w:rPr>
          <w:rFonts w:ascii="宋体" w:hAnsi="宋体" w:cs="仿宋"/>
          <w:color w:val="auto"/>
          <w:sz w:val="24"/>
        </w:rPr>
      </w:pPr>
    </w:p>
    <w:p w14:paraId="132FF88C">
      <w:pPr>
        <w:adjustRightInd w:val="0"/>
        <w:snapToGrid w:val="0"/>
        <w:spacing w:line="360" w:lineRule="auto"/>
        <w:ind w:firstLine="480" w:firstLineChars="200"/>
        <w:rPr>
          <w:rFonts w:ascii="宋体" w:hAnsi="宋体" w:cs="仿宋"/>
          <w:color w:val="auto"/>
          <w:sz w:val="24"/>
        </w:rPr>
      </w:pPr>
    </w:p>
    <w:p w14:paraId="729CE823">
      <w:pPr>
        <w:adjustRightInd w:val="0"/>
        <w:snapToGrid w:val="0"/>
        <w:spacing w:line="360" w:lineRule="auto"/>
        <w:ind w:firstLine="480" w:firstLineChars="200"/>
        <w:rPr>
          <w:rFonts w:ascii="宋体" w:hAnsi="宋体" w:cs="仿宋"/>
          <w:color w:val="auto"/>
          <w:sz w:val="24"/>
        </w:rPr>
      </w:pPr>
    </w:p>
    <w:p w14:paraId="315D5F79">
      <w:pPr>
        <w:adjustRightInd w:val="0"/>
        <w:snapToGrid w:val="0"/>
        <w:spacing w:line="360" w:lineRule="auto"/>
        <w:ind w:firstLine="480" w:firstLineChars="200"/>
        <w:rPr>
          <w:rFonts w:ascii="宋体" w:hAnsi="宋体" w:cs="仿宋"/>
          <w:color w:val="auto"/>
          <w:sz w:val="24"/>
        </w:rPr>
      </w:pPr>
    </w:p>
    <w:p w14:paraId="676983B6">
      <w:pPr>
        <w:adjustRightInd w:val="0"/>
        <w:snapToGrid w:val="0"/>
        <w:spacing w:line="360" w:lineRule="auto"/>
        <w:ind w:firstLine="480" w:firstLineChars="200"/>
        <w:rPr>
          <w:rFonts w:ascii="宋体" w:hAnsi="宋体" w:cs="仿宋"/>
          <w:color w:val="auto"/>
          <w:sz w:val="24"/>
        </w:rPr>
      </w:pPr>
    </w:p>
    <w:p w14:paraId="0EAD1894">
      <w:pPr>
        <w:adjustRightInd w:val="0"/>
        <w:snapToGrid w:val="0"/>
        <w:spacing w:line="360" w:lineRule="auto"/>
        <w:ind w:firstLine="480" w:firstLineChars="200"/>
        <w:rPr>
          <w:rFonts w:ascii="宋体" w:hAnsi="宋体" w:cs="仿宋"/>
          <w:color w:val="auto"/>
          <w:sz w:val="24"/>
        </w:rPr>
      </w:pPr>
    </w:p>
    <w:p w14:paraId="6B763E3A">
      <w:pPr>
        <w:adjustRightInd w:val="0"/>
        <w:snapToGrid w:val="0"/>
        <w:spacing w:line="360" w:lineRule="auto"/>
        <w:ind w:firstLine="480" w:firstLineChars="200"/>
        <w:rPr>
          <w:rFonts w:ascii="宋体" w:hAnsi="宋体" w:cs="仿宋"/>
          <w:color w:val="auto"/>
          <w:sz w:val="24"/>
        </w:rPr>
      </w:pPr>
    </w:p>
    <w:p w14:paraId="2CA68187">
      <w:pPr>
        <w:adjustRightInd w:val="0"/>
        <w:snapToGrid w:val="0"/>
        <w:spacing w:line="360" w:lineRule="auto"/>
        <w:ind w:firstLine="480" w:firstLineChars="200"/>
        <w:rPr>
          <w:rFonts w:ascii="宋体" w:hAnsi="宋体" w:cs="仿宋"/>
          <w:color w:val="auto"/>
          <w:sz w:val="24"/>
        </w:rPr>
      </w:pPr>
    </w:p>
    <w:p w14:paraId="40D835D8">
      <w:pPr>
        <w:adjustRightInd w:val="0"/>
        <w:snapToGrid w:val="0"/>
        <w:spacing w:line="360" w:lineRule="auto"/>
        <w:ind w:firstLine="480" w:firstLineChars="200"/>
        <w:rPr>
          <w:rFonts w:ascii="宋体" w:hAnsi="宋体" w:cs="仿宋"/>
          <w:color w:val="auto"/>
          <w:sz w:val="24"/>
        </w:rPr>
      </w:pPr>
    </w:p>
    <w:p w14:paraId="74F076B2">
      <w:pPr>
        <w:rPr>
          <w:color w:val="auto"/>
        </w:rPr>
      </w:pPr>
    </w:p>
    <w:p w14:paraId="33EE63D9">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146BD78B">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99" w:name="_Toc16879"/>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99"/>
    </w:p>
    <w:p w14:paraId="2B4C674F">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200" w:name="_Toc28811"/>
      <w:bookmarkStart w:id="201" w:name="_Toc20118"/>
      <w:r>
        <w:rPr>
          <w:rFonts w:hint="eastAsia" w:ascii="宋体" w:hAnsi="宋体" w:eastAsia="宋体" w:cs="宋体"/>
          <w:b/>
          <w:bCs/>
          <w:color w:val="auto"/>
          <w:sz w:val="24"/>
          <w:szCs w:val="24"/>
          <w:highlight w:val="none"/>
        </w:rPr>
        <w:t>一、资格文件部分格式</w:t>
      </w:r>
      <w:bookmarkEnd w:id="200"/>
      <w:bookmarkEnd w:id="201"/>
    </w:p>
    <w:p w14:paraId="732AF6CF">
      <w:pPr>
        <w:snapToGrid w:val="0"/>
        <w:spacing w:line="360" w:lineRule="auto"/>
        <w:ind w:right="48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 xml:space="preserve"> 一、 符合参加政府采购活动应当具备的一般条件的承诺函</w:t>
      </w:r>
    </w:p>
    <w:p w14:paraId="70136412">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（采购人）、（采购代理机构）：</w:t>
      </w:r>
    </w:p>
    <w:p w14:paraId="30A31C2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我方参与</w:t>
      </w:r>
      <w:r>
        <w:rPr>
          <w:rFonts w:hint="eastAsia" w:ascii="宋体" w:hAnsi="宋体" w:eastAsia="宋体" w:cs="宋体"/>
          <w:color w:val="auto"/>
          <w:sz w:val="24"/>
          <w:szCs w:val="24"/>
          <w:lang w:val="en-US" w:eastAsia="zh-CN"/>
        </w:rPr>
        <w:t xml:space="preserve"> </w:t>
      </w:r>
      <w:r>
        <w:rPr>
          <w:rFonts w:hint="eastAsia" w:ascii="宋体" w:hAnsi="宋体" w:eastAsia="宋体" w:cs="宋体"/>
          <w:i/>
          <w:iCs/>
          <w:color w:val="auto"/>
          <w:sz w:val="24"/>
          <w:szCs w:val="24"/>
          <w:u w:val="single"/>
          <w:lang w:val="en-US" w:eastAsia="zh-CN"/>
        </w:rPr>
        <w:t xml:space="preserve">       </w:t>
      </w:r>
      <w:r>
        <w:rPr>
          <w:rFonts w:hint="eastAsia" w:ascii="宋体" w:hAnsi="宋体" w:eastAsia="宋体" w:cs="宋体"/>
          <w:i/>
          <w:iCs/>
          <w:color w:val="auto"/>
          <w:sz w:val="24"/>
          <w:szCs w:val="24"/>
        </w:rPr>
        <w:t>（</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】政府采购活动，郑重承诺：</w:t>
      </w:r>
    </w:p>
    <w:p w14:paraId="0CE292A6">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（一）具备《中华人民共和国政府采购法》第二十二条第一款规定的条件：</w:t>
      </w:r>
    </w:p>
    <w:p w14:paraId="24C15BE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2075EBC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2、具有良好的商业信誉和健全的财务会计制度； </w:t>
      </w:r>
    </w:p>
    <w:p w14:paraId="42BB3A9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5FFBECC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4DEDCF7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E0377B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6、具有法律、行政法规规定的其他条件。</w:t>
      </w:r>
    </w:p>
    <w:p w14:paraId="13E16FA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（二）未被信用中国（www.creditchina.gov.cn)、中国政府采购网（www.ccgp.gov.cn）列入失信被执行人、重大税收违法案件</w:t>
      </w:r>
      <w:r>
        <w:rPr>
          <w:rFonts w:hint="eastAsia" w:ascii="宋体" w:hAnsi="宋体" w:eastAsia="宋体" w:cs="宋体"/>
          <w:color w:val="auto"/>
          <w:sz w:val="24"/>
          <w:szCs w:val="24"/>
          <w:lang w:val="en-US" w:eastAsia="zh-CN"/>
        </w:rPr>
        <w:t>失信主体</w:t>
      </w:r>
      <w:r>
        <w:rPr>
          <w:rFonts w:hint="eastAsia" w:ascii="宋体" w:hAnsi="宋体" w:eastAsia="宋体" w:cs="宋体"/>
          <w:color w:val="auto"/>
          <w:sz w:val="24"/>
          <w:szCs w:val="24"/>
        </w:rPr>
        <w:t>、政府采购严重违法失信行为记录名单。</w:t>
      </w:r>
    </w:p>
    <w:p w14:paraId="37CDD3A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（三）不存在以下情况：</w:t>
      </w:r>
    </w:p>
    <w:p w14:paraId="05CFF10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1、单位负责人为同一人或者存在直接控股、管理关系的不同供应商参加同一合同项下的政府采购活动的；</w:t>
      </w:r>
    </w:p>
    <w:p w14:paraId="45ACDA9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2、为采购项目提供整体设计、规范编制或者项目管理、监理、检测等服务后再参加该采购项目的其他采购活动的。</w:t>
      </w:r>
    </w:p>
    <w:p w14:paraId="55F56CF4">
      <w:pPr>
        <w:snapToGrid w:val="0"/>
        <w:spacing w:line="360" w:lineRule="auto"/>
        <w:ind w:firstLine="6000" w:firstLineChars="25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供应商名称(电子签名)：</w:t>
      </w:r>
    </w:p>
    <w:p w14:paraId="183CECD9">
      <w:pPr>
        <w:autoSpaceDN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日期</w:t>
      </w:r>
      <w:r>
        <w:rPr>
          <w:rFonts w:hint="eastAsia" w:ascii="宋体" w:hAnsi="宋体" w:eastAsia="宋体" w:cs="宋体"/>
          <w:color w:val="auto"/>
          <w:kern w:val="0"/>
          <w:sz w:val="24"/>
          <w:szCs w:val="24"/>
        </w:rPr>
        <w:t xml:space="preserve">：  年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日</w:t>
      </w:r>
    </w:p>
    <w:p w14:paraId="33643C4F">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14:paraId="6B8CA71E">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57857F07">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[以联合体形式参与的，提供联合协议（附件</w:t>
      </w:r>
      <w:r>
        <w:rPr>
          <w:rFonts w:hint="eastAsia" w:ascii="宋体" w:hAnsi="宋体" w:eastAsia="宋体" w:cs="宋体"/>
          <w:b/>
          <w:color w:val="auto"/>
          <w:sz w:val="24"/>
          <w:lang w:val="en-US" w:eastAsia="zh-CN"/>
        </w:rPr>
        <w:t>3</w:t>
      </w:r>
      <w:r>
        <w:rPr>
          <w:rFonts w:hint="eastAsia" w:ascii="宋体" w:hAnsi="宋体" w:eastAsia="宋体" w:cs="宋体"/>
          <w:b/>
          <w:color w:val="auto"/>
          <w:sz w:val="24"/>
        </w:rPr>
        <w:t>）；本项目不接受联合体或者供应商不以联合体形式投参与的，则不需要提供]</w:t>
      </w:r>
    </w:p>
    <w:p w14:paraId="718730FC">
      <w:pPr>
        <w:snapToGrid w:val="0"/>
        <w:spacing w:line="360" w:lineRule="auto"/>
        <w:ind w:right="480"/>
        <w:jc w:val="center"/>
        <w:rPr>
          <w:rFonts w:ascii="宋体" w:hAnsi="宋体" w:cs="宋体"/>
          <w:b/>
          <w:color w:val="auto"/>
          <w:kern w:val="0"/>
          <w:sz w:val="32"/>
          <w:szCs w:val="32"/>
        </w:rPr>
      </w:pPr>
    </w:p>
    <w:p w14:paraId="3130298E">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68F3D6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（根据竞争性磋商公告落实政府采购政策需满足的资格要求选择提供相应的材料；未要求的，无需提供）</w:t>
      </w:r>
    </w:p>
    <w:p w14:paraId="48B0BD42">
      <w:pPr>
        <w:snapToGrid w:val="0"/>
        <w:spacing w:before="50" w:after="50" w:line="360" w:lineRule="auto"/>
        <w:ind w:firstLine="472" w:firstLineChars="196"/>
        <w:jc w:val="left"/>
        <w:rPr>
          <w:rFonts w:hint="eastAsia" w:ascii="宋体" w:hAnsi="宋体" w:eastAsia="宋体" w:cs="宋体"/>
          <w:color w:val="auto"/>
          <w:sz w:val="24"/>
          <w:szCs w:val="24"/>
        </w:rPr>
      </w:pPr>
      <w:r>
        <w:rPr>
          <w:rFonts w:hint="eastAsia" w:ascii="宋体" w:hAnsi="宋体" w:eastAsia="宋体" w:cs="宋体"/>
          <w:b/>
          <w:color w:val="auto"/>
          <w:sz w:val="24"/>
          <w:szCs w:val="24"/>
        </w:rPr>
        <w:t>A</w:t>
      </w:r>
      <w:r>
        <w:rPr>
          <w:rFonts w:hint="eastAsia" w:ascii="宋体" w:hAnsi="宋体" w:eastAsia="宋体" w:cs="宋体"/>
          <w:color w:val="auto"/>
          <w:sz w:val="24"/>
          <w:szCs w:val="24"/>
        </w:rPr>
        <w:t>.专门面向中小企业，工程全部由符合政策要求的中小企业（或小微企业）承建的，提供相应的中小企业声明函（附件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p>
    <w:p w14:paraId="4738DF15">
      <w:pPr>
        <w:widowControl/>
        <w:spacing w:line="360" w:lineRule="auto"/>
        <w:ind w:firstLine="480"/>
        <w:jc w:val="left"/>
        <w:rPr>
          <w:rFonts w:hint="eastAsia" w:ascii="宋体" w:hAnsi="宋体" w:eastAsia="宋体" w:cs="宋体"/>
          <w:color w:val="auto"/>
          <w:sz w:val="24"/>
          <w:szCs w:val="24"/>
        </w:rPr>
      </w:pPr>
    </w:p>
    <w:p w14:paraId="0B4F9B9B">
      <w:pPr>
        <w:widowControl/>
        <w:spacing w:line="360" w:lineRule="auto"/>
        <w:ind w:firstLine="472" w:firstLineChars="196"/>
        <w:jc w:val="left"/>
        <w:rPr>
          <w:rFonts w:hint="eastAsia" w:ascii="宋体" w:hAnsi="宋体" w:eastAsia="宋体" w:cs="宋体"/>
          <w:color w:val="auto"/>
          <w:sz w:val="24"/>
          <w:szCs w:val="24"/>
        </w:rPr>
      </w:pPr>
      <w:r>
        <w:rPr>
          <w:rFonts w:hint="eastAsia" w:ascii="宋体" w:hAnsi="宋体" w:eastAsia="宋体" w:cs="宋体"/>
          <w:b/>
          <w:color w:val="auto"/>
          <w:sz w:val="24"/>
          <w:szCs w:val="24"/>
        </w:rPr>
        <w:t>B.</w:t>
      </w:r>
      <w:r>
        <w:rPr>
          <w:rFonts w:hint="eastAsia" w:ascii="宋体" w:hAnsi="宋体" w:eastAsia="宋体" w:cs="宋体"/>
          <w:color w:val="auto"/>
          <w:sz w:val="24"/>
          <w:szCs w:val="24"/>
        </w:rPr>
        <w:t>要求以联合体形式参加的，提供联合协议（附件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）和中小企业声明函（附件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rPr>
        <w:t>并相应达到了前述比例要求，</w:t>
      </w:r>
      <w:r>
        <w:rPr>
          <w:rFonts w:hint="eastAsia" w:ascii="宋体" w:hAnsi="宋体" w:eastAsia="宋体" w:cs="宋体"/>
          <w:color w:val="auto"/>
          <w:sz w:val="24"/>
          <w:szCs w:val="24"/>
        </w:rPr>
        <w:t>视同符合了资格条件，无需再与其他中小企业组成联合体参加政府采购活动，无需提供联合协议。</w:t>
      </w:r>
    </w:p>
    <w:p w14:paraId="02825755">
      <w:pPr>
        <w:snapToGrid w:val="0"/>
        <w:spacing w:before="50" w:after="50"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14:paraId="26C373DB">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C、</w:t>
      </w:r>
      <w:r>
        <w:rPr>
          <w:rFonts w:hint="eastAsia" w:ascii="宋体" w:hAnsi="宋体" w:eastAsia="宋体" w:cs="宋体"/>
          <w:color w:val="auto"/>
          <w:sz w:val="24"/>
          <w:szCs w:val="24"/>
        </w:rPr>
        <w:t>要求合同分包的，提供分包意向协议（附件</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）和中小企业声明函（附件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rPr>
        <w:t>并相应达到了前述比例要求，</w:t>
      </w:r>
      <w:r>
        <w:rPr>
          <w:rFonts w:hint="eastAsia" w:ascii="宋体" w:hAnsi="宋体" w:eastAsia="宋体" w:cs="宋体"/>
          <w:color w:val="auto"/>
          <w:sz w:val="24"/>
          <w:szCs w:val="24"/>
        </w:rPr>
        <w:t>视同符合了资格条件，无需再向中小企业分包，无需提供分包意向协议。</w:t>
      </w:r>
    </w:p>
    <w:p w14:paraId="4D12A7A7">
      <w:pPr>
        <w:widowControl/>
        <w:spacing w:line="360" w:lineRule="auto"/>
        <w:ind w:left="150"/>
        <w:jc w:val="center"/>
        <w:rPr>
          <w:rFonts w:hint="eastAsia" w:ascii="宋体" w:hAnsi="宋体" w:eastAsia="宋体" w:cs="宋体"/>
          <w:b/>
          <w:color w:val="auto"/>
          <w:kern w:val="0"/>
          <w:sz w:val="24"/>
          <w:szCs w:val="24"/>
        </w:rPr>
      </w:pPr>
    </w:p>
    <w:p w14:paraId="6304061F">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1E50022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（根据竞争性磋商公告本项目的特定资格要求提供相应的材料；未要求的，无需提供）</w:t>
      </w:r>
    </w:p>
    <w:p w14:paraId="634DC730">
      <w:pPr>
        <w:rPr>
          <w:rFonts w:ascii="宋体" w:hAnsi="宋体" w:cs="宋体"/>
          <w:color w:val="auto"/>
        </w:rPr>
      </w:pPr>
    </w:p>
    <w:p w14:paraId="505EAE85">
      <w:pPr>
        <w:snapToGrid w:val="0"/>
        <w:spacing w:line="360" w:lineRule="auto"/>
        <w:ind w:right="480"/>
        <w:jc w:val="center"/>
        <w:rPr>
          <w:rFonts w:ascii="宋体" w:hAnsi="宋体" w:cs="宋体"/>
          <w:b/>
          <w:color w:val="auto"/>
          <w:kern w:val="0"/>
          <w:sz w:val="32"/>
          <w:szCs w:val="32"/>
        </w:rPr>
        <w:sectPr>
          <w:pgSz w:w="11905" w:h="16838"/>
          <w:pgMar w:top="1417" w:right="1417" w:bottom="1417" w:left="1417" w:header="851" w:footer="992" w:gutter="0"/>
          <w:cols w:space="0" w:num="1"/>
          <w:titlePg/>
          <w:rtlGutter w:val="0"/>
          <w:docGrid w:linePitch="312" w:charSpace="0"/>
        </w:sectPr>
      </w:pPr>
    </w:p>
    <w:p w14:paraId="36048824">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202" w:name="_Toc15236"/>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202"/>
    </w:p>
    <w:p w14:paraId="1BA70350">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一、响应函</w:t>
      </w:r>
    </w:p>
    <w:p w14:paraId="092056E2">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BAA525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】采购的有关活动，并对此项目提交响应文件及报价。为此：</w:t>
      </w:r>
    </w:p>
    <w:p w14:paraId="2F384ED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1、我方承诺响应文件有效期从提交响应文件的截止之日起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本响应文件在响应文件有效期满之前均具有约束力。</w:t>
      </w:r>
    </w:p>
    <w:p w14:paraId="39E8712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2、我方的响应文件包括以下内容：</w:t>
      </w:r>
    </w:p>
    <w:p w14:paraId="15873BA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302D2AF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1E8173A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0649F4B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79136C9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65C6E6C2">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05E62DB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2.2.1响应函；</w:t>
      </w:r>
      <w:r>
        <w:rPr>
          <w:rFonts w:hint="eastAsia" w:ascii="宋体" w:hAnsi="宋体" w:eastAsia="宋体" w:cs="宋体"/>
          <w:color w:val="auto"/>
          <w:sz w:val="24"/>
          <w:lang w:val="zh-CN"/>
        </w:rPr>
        <w:t xml:space="preserve"> </w:t>
      </w:r>
    </w:p>
    <w:p w14:paraId="14C57DE9">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58B9C79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075E60B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0CB0427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2.2.5评审标准相应的商务技术资料；</w:t>
      </w:r>
    </w:p>
    <w:p w14:paraId="3104BC5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2.2.6商务技术偏离表；</w:t>
      </w:r>
    </w:p>
    <w:p w14:paraId="590DC452">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7</w:t>
      </w:r>
      <w:r>
        <w:rPr>
          <w:rFonts w:hint="eastAsia" w:ascii="宋体" w:hAnsi="宋体" w:eastAsia="宋体" w:cs="宋体"/>
          <w:color w:val="auto"/>
          <w:sz w:val="24"/>
          <w:lang w:val="zh-CN"/>
        </w:rPr>
        <w:t>政府采购供应商廉洁自律承诺书；</w:t>
      </w:r>
    </w:p>
    <w:p w14:paraId="7FD9A14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63DD6BD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2.3.1报价单；</w:t>
      </w:r>
    </w:p>
    <w:p w14:paraId="4E3ED18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2.3.2已标价工程量清单；</w:t>
      </w:r>
    </w:p>
    <w:p w14:paraId="1476EF6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2.3.3中小企业声明函（如果有）。</w:t>
      </w:r>
    </w:p>
    <w:p w14:paraId="0227E04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rPr>
        <w:t>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rPr>
        <w:t>。</w:t>
      </w:r>
    </w:p>
    <w:p w14:paraId="7E3C1A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4、如我方成交，我方承诺：</w:t>
      </w:r>
    </w:p>
    <w:p w14:paraId="0AD53DA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4.1在收到成交通知书后，在成交通知书规定的期限内与你方签订合同； </w:t>
      </w:r>
    </w:p>
    <w:p w14:paraId="20E25E78">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49CBCAB1">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4.3按照采购文件要求提交履约保证金； </w:t>
      </w:r>
    </w:p>
    <w:p w14:paraId="000A6AD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06BAB0D2">
      <w:pPr>
        <w:snapToGrid w:val="0"/>
        <w:spacing w:line="360" w:lineRule="auto"/>
        <w:ind w:left="210" w:leftChars="10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宋体" w:hAnsi="宋体" w:eastAsia="宋体" w:cs="宋体"/>
          <w:color w:val="auto"/>
          <w:sz w:val="24"/>
          <w:lang w:val="en-US" w:eastAsia="zh-CN"/>
        </w:rPr>
        <w:t>。</w:t>
      </w:r>
    </w:p>
    <w:p w14:paraId="4EA54CEE">
      <w:pPr>
        <w:snapToGrid w:val="0"/>
        <w:spacing w:line="360" w:lineRule="auto"/>
        <w:ind w:left="210" w:leftChars="100" w:firstLine="480" w:firstLineChars="200"/>
        <w:rPr>
          <w:rFonts w:hint="eastAsia" w:ascii="宋体" w:hAnsi="宋体" w:eastAsia="宋体" w:cs="宋体"/>
          <w:color w:val="auto"/>
          <w:sz w:val="24"/>
        </w:rPr>
      </w:pPr>
    </w:p>
    <w:p w14:paraId="6537243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7FC5739">
      <w:pPr>
        <w:spacing w:line="360" w:lineRule="auto"/>
        <w:ind w:firstLine="720" w:firstLineChars="300"/>
        <w:jc w:val="left"/>
        <w:rPr>
          <w:rFonts w:hint="eastAsia" w:ascii="宋体" w:hAnsi="宋体" w:eastAsia="宋体" w:cs="宋体"/>
          <w:color w:val="auto"/>
          <w:sz w:val="24"/>
        </w:rPr>
      </w:pPr>
      <w:r>
        <w:rPr>
          <w:rFonts w:hint="eastAsia" w:ascii="宋体" w:hAnsi="宋体" w:eastAsia="宋体" w:cs="宋体"/>
          <w:color w:val="auto"/>
          <w:sz w:val="24"/>
        </w:rPr>
        <w:t xml:space="preserve">供应商名称（电子签名）：                          </w:t>
      </w:r>
    </w:p>
    <w:p w14:paraId="156DCC44">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  年   月   日</w:t>
      </w:r>
    </w:p>
    <w:p w14:paraId="47EB3578">
      <w:pPr>
        <w:snapToGrid w:val="0"/>
        <w:spacing w:line="360" w:lineRule="auto"/>
        <w:ind w:left="420" w:leftChars="200" w:firstLine="4200" w:firstLineChars="1750"/>
        <w:rPr>
          <w:rFonts w:hint="eastAsia" w:ascii="宋体" w:hAnsi="宋体" w:eastAsia="宋体" w:cs="宋体"/>
          <w:color w:val="auto"/>
          <w:kern w:val="0"/>
          <w:sz w:val="24"/>
          <w:u w:val="single"/>
        </w:rPr>
      </w:pPr>
    </w:p>
    <w:p w14:paraId="16450444">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8475EF1">
      <w:pPr>
        <w:snapToGrid w:val="0"/>
        <w:spacing w:line="360" w:lineRule="auto"/>
        <w:jc w:val="center"/>
        <w:rPr>
          <w:rFonts w:hint="eastAsia" w:ascii="宋体" w:hAnsi="宋体" w:eastAsia="宋体" w:cs="宋体"/>
          <w:b/>
          <w:color w:val="auto"/>
          <w:kern w:val="0"/>
          <w:sz w:val="32"/>
          <w:szCs w:val="32"/>
        </w:rPr>
      </w:pPr>
    </w:p>
    <w:p w14:paraId="67983F93">
      <w:pPr>
        <w:snapToGrid w:val="0"/>
        <w:spacing w:line="360" w:lineRule="auto"/>
        <w:rPr>
          <w:rFonts w:hint="eastAsia" w:ascii="宋体" w:hAnsi="宋体" w:eastAsia="宋体" w:cs="宋体"/>
          <w:color w:val="auto"/>
          <w:sz w:val="24"/>
        </w:rPr>
      </w:pPr>
    </w:p>
    <w:p w14:paraId="0ABE8113">
      <w:pPr>
        <w:jc w:val="center"/>
        <w:rPr>
          <w:rFonts w:hint="eastAsia" w:ascii="宋体" w:hAnsi="宋体" w:eastAsia="宋体" w:cs="宋体"/>
          <w:b/>
          <w:color w:val="auto"/>
          <w:kern w:val="0"/>
          <w:sz w:val="32"/>
          <w:szCs w:val="32"/>
        </w:rPr>
      </w:pPr>
    </w:p>
    <w:p w14:paraId="63F51676">
      <w:pPr>
        <w:jc w:val="center"/>
        <w:rPr>
          <w:rFonts w:hint="eastAsia" w:ascii="宋体" w:hAnsi="宋体" w:eastAsia="宋体" w:cs="宋体"/>
          <w:b/>
          <w:color w:val="auto"/>
          <w:kern w:val="0"/>
          <w:sz w:val="32"/>
          <w:szCs w:val="32"/>
        </w:rPr>
        <w:sectPr>
          <w:pgSz w:w="11905" w:h="16838"/>
          <w:pgMar w:top="1417" w:right="1417" w:bottom="1417" w:left="1417" w:header="851" w:footer="992" w:gutter="0"/>
          <w:cols w:space="0" w:num="1"/>
          <w:titlePg/>
          <w:rtlGutter w:val="0"/>
          <w:docGrid w:linePitch="312" w:charSpace="0"/>
        </w:sectPr>
      </w:pPr>
    </w:p>
    <w:p w14:paraId="41FD248D">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二、授权委托书或法定代表人（单位负责人、自然人本人）身份证明</w:t>
      </w:r>
    </w:p>
    <w:p w14:paraId="42A47A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59F8A75E">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授权委托书（适用于非联合体</w:t>
      </w:r>
      <w:r>
        <w:rPr>
          <w:rFonts w:hint="eastAsia" w:ascii="宋体" w:hAnsi="宋体" w:eastAsia="宋体" w:cs="宋体"/>
          <w:b/>
          <w:bCs/>
          <w:color w:val="auto"/>
          <w:sz w:val="32"/>
          <w:szCs w:val="32"/>
        </w:rPr>
        <w:t>响应</w:t>
      </w:r>
      <w:r>
        <w:rPr>
          <w:rFonts w:hint="eastAsia" w:ascii="宋体" w:hAnsi="宋体" w:eastAsia="宋体" w:cs="宋体"/>
          <w:b/>
          <w:bCs/>
          <w:color w:val="auto"/>
          <w:sz w:val="32"/>
          <w:szCs w:val="32"/>
          <w:lang w:val="zh-CN"/>
        </w:rPr>
        <w:t>）</w:t>
      </w:r>
    </w:p>
    <w:p w14:paraId="06A86BCA">
      <w:pPr>
        <w:snapToGrid w:val="0"/>
        <w:spacing w:line="360" w:lineRule="auto"/>
        <w:rPr>
          <w:rFonts w:hint="eastAsia" w:ascii="宋体" w:hAnsi="宋体" w:eastAsia="宋体" w:cs="宋体"/>
          <w:color w:val="auto"/>
          <w:sz w:val="24"/>
        </w:rPr>
      </w:pPr>
    </w:p>
    <w:p w14:paraId="256B38F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1BC4E97">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w:t>
      </w:r>
      <w:r>
        <w:rPr>
          <w:rFonts w:hint="eastAsia" w:ascii="宋体" w:hAnsi="宋体" w:eastAsia="宋体" w:cs="宋体"/>
          <w:color w:val="auto"/>
          <w:kern w:val="0"/>
          <w:sz w:val="24"/>
        </w:rPr>
        <w:t>响应</w:t>
      </w:r>
      <w:r>
        <w:rPr>
          <w:rFonts w:hint="eastAsia" w:ascii="宋体" w:hAnsi="宋体" w:eastAsia="宋体" w:cs="宋体"/>
          <w:color w:val="auto"/>
          <w:kern w:val="0"/>
          <w:sz w:val="24"/>
          <w:lang w:val="zh-CN"/>
        </w:rPr>
        <w:t>的一切事项，其法律后果由我方承担。</w:t>
      </w:r>
    </w:p>
    <w:p w14:paraId="755AF70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0D194C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C1B2C0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供应商名称(电子签名)：</w:t>
      </w:r>
    </w:p>
    <w:p w14:paraId="78CA682F">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5BBEB5CA">
      <w:pPr>
        <w:snapToGrid w:val="0"/>
        <w:spacing w:line="360" w:lineRule="auto"/>
        <w:rPr>
          <w:rFonts w:hint="eastAsia" w:ascii="宋体" w:hAnsi="宋体" w:eastAsia="宋体" w:cs="宋体"/>
          <w:color w:val="auto"/>
          <w:sz w:val="24"/>
        </w:rPr>
      </w:pPr>
    </w:p>
    <w:p w14:paraId="77803763">
      <w:pPr>
        <w:snapToGrid w:val="0"/>
        <w:spacing w:line="360" w:lineRule="auto"/>
        <w:rPr>
          <w:rFonts w:hint="eastAsia" w:ascii="宋体" w:hAnsi="宋体" w:eastAsia="宋体" w:cs="宋体"/>
          <w:color w:val="auto"/>
          <w:sz w:val="24"/>
        </w:rPr>
      </w:pPr>
    </w:p>
    <w:p w14:paraId="4FCA0EAD">
      <w:pPr>
        <w:snapToGrid w:val="0"/>
        <w:spacing w:line="360" w:lineRule="auto"/>
        <w:rPr>
          <w:rFonts w:hint="eastAsia" w:ascii="宋体" w:hAnsi="宋体" w:eastAsia="宋体" w:cs="宋体"/>
          <w:color w:val="auto"/>
          <w:sz w:val="24"/>
        </w:rPr>
      </w:pPr>
    </w:p>
    <w:p w14:paraId="0C270FF7">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授权委托书（适用于联合体</w:t>
      </w:r>
      <w:r>
        <w:rPr>
          <w:rFonts w:hint="eastAsia" w:ascii="宋体" w:hAnsi="宋体" w:eastAsia="宋体" w:cs="宋体"/>
          <w:b/>
          <w:bCs/>
          <w:color w:val="auto"/>
          <w:sz w:val="32"/>
          <w:szCs w:val="32"/>
        </w:rPr>
        <w:t>响应</w:t>
      </w:r>
      <w:r>
        <w:rPr>
          <w:rFonts w:hint="eastAsia" w:ascii="宋体" w:hAnsi="宋体" w:eastAsia="宋体" w:cs="宋体"/>
          <w:b/>
          <w:bCs/>
          <w:color w:val="auto"/>
          <w:sz w:val="32"/>
          <w:szCs w:val="32"/>
          <w:lang w:val="zh-CN"/>
        </w:rPr>
        <w:t>）</w:t>
      </w:r>
    </w:p>
    <w:p w14:paraId="3AEE0341">
      <w:pPr>
        <w:snapToGrid w:val="0"/>
        <w:spacing w:line="360" w:lineRule="auto"/>
        <w:rPr>
          <w:rFonts w:hint="eastAsia" w:ascii="宋体" w:hAnsi="宋体" w:eastAsia="宋体" w:cs="宋体"/>
          <w:color w:val="auto"/>
          <w:sz w:val="24"/>
        </w:rPr>
      </w:pPr>
    </w:p>
    <w:p w14:paraId="49331C7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6F3C10E0">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w:t>
      </w:r>
      <w:r>
        <w:rPr>
          <w:rFonts w:hint="eastAsia" w:ascii="宋体" w:hAnsi="宋体" w:eastAsia="宋体" w:cs="宋体"/>
          <w:color w:val="auto"/>
          <w:kern w:val="0"/>
          <w:sz w:val="24"/>
        </w:rPr>
        <w:t>响应</w:t>
      </w:r>
      <w:r>
        <w:rPr>
          <w:rFonts w:hint="eastAsia" w:ascii="宋体" w:hAnsi="宋体" w:eastAsia="宋体" w:cs="宋体"/>
          <w:color w:val="auto"/>
          <w:kern w:val="0"/>
          <w:sz w:val="24"/>
          <w:lang w:val="zh-CN"/>
        </w:rPr>
        <w:t>的一切事项，其法律后果由我方承担。</w:t>
      </w:r>
    </w:p>
    <w:p w14:paraId="197FC48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7BAADC8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0B23A25A">
      <w:pPr>
        <w:jc w:val="center"/>
        <w:rPr>
          <w:rFonts w:hint="eastAsia" w:ascii="宋体" w:hAnsi="宋体" w:eastAsia="宋体" w:cs="宋体"/>
          <w:b/>
          <w:color w:val="auto"/>
          <w:kern w:val="0"/>
          <w:sz w:val="32"/>
          <w:szCs w:val="32"/>
        </w:rPr>
      </w:pPr>
    </w:p>
    <w:p w14:paraId="303C4848">
      <w:pPr>
        <w:jc w:val="center"/>
        <w:rPr>
          <w:rFonts w:hint="eastAsia" w:ascii="宋体" w:hAnsi="宋体" w:eastAsia="宋体" w:cs="宋体"/>
          <w:b/>
          <w:color w:val="auto"/>
          <w:kern w:val="0"/>
          <w:sz w:val="32"/>
          <w:szCs w:val="32"/>
        </w:rPr>
      </w:pPr>
    </w:p>
    <w:p w14:paraId="5C06FF90">
      <w:pPr>
        <w:jc w:val="center"/>
        <w:rPr>
          <w:rFonts w:hint="eastAsia" w:ascii="宋体" w:hAnsi="宋体" w:eastAsia="宋体" w:cs="宋体"/>
          <w:b/>
          <w:color w:val="auto"/>
          <w:kern w:val="0"/>
          <w:sz w:val="32"/>
          <w:szCs w:val="32"/>
        </w:rPr>
      </w:pPr>
    </w:p>
    <w:p w14:paraId="4A42EFFA">
      <w:pPr>
        <w:rPr>
          <w:rFonts w:hint="eastAsia" w:ascii="宋体" w:hAnsi="宋体" w:eastAsia="宋体" w:cs="宋体"/>
          <w:color w:val="auto"/>
        </w:rPr>
      </w:pPr>
    </w:p>
    <w:p w14:paraId="14AF58F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24A449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52AEDBD8">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D66A6F5">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A16FBF9">
      <w:pPr>
        <w:snapToGrid w:val="0"/>
        <w:jc w:val="center"/>
        <w:rPr>
          <w:rFonts w:hint="eastAsia" w:ascii="宋体" w:hAnsi="宋体" w:eastAsia="宋体" w:cs="宋体"/>
          <w:b/>
          <w:bCs/>
          <w:color w:val="auto"/>
          <w:sz w:val="32"/>
          <w:szCs w:val="32"/>
          <w:lang w:val="zh-CN"/>
        </w:rPr>
      </w:pPr>
    </w:p>
    <w:p w14:paraId="40025443">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法定代表人、单位负责人或自然人本人</w:t>
      </w:r>
      <w:r>
        <w:rPr>
          <w:rFonts w:hint="eastAsia" w:ascii="宋体" w:hAnsi="宋体" w:eastAsia="宋体" w:cs="宋体"/>
          <w:b/>
          <w:bCs/>
          <w:color w:val="auto"/>
          <w:sz w:val="32"/>
          <w:szCs w:val="32"/>
        </w:rPr>
        <w:t>的身份证明（适用于法定代表人、单位负责人或者自然人本人代表供应商参加响应）</w:t>
      </w:r>
    </w:p>
    <w:p w14:paraId="050C4CC1">
      <w:pPr>
        <w:pStyle w:val="1027"/>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E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671FEF">
            <w:pPr>
              <w:pStyle w:val="1027"/>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rPr>
            </w:pPr>
            <w:r>
              <w:rPr>
                <w:rFonts w:hint="eastAsia" w:ascii="宋体" w:hAnsi="宋体" w:eastAsia="宋体" w:cs="宋体"/>
                <w:bCs/>
                <w:color w:val="auto"/>
                <w:sz w:val="24"/>
              </w:rPr>
              <w:t>正面：                                 反面：</w:t>
            </w:r>
          </w:p>
          <w:p w14:paraId="2B1DEAFA">
            <w:pPr>
              <w:pStyle w:val="1027"/>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rPr>
            </w:pPr>
          </w:p>
        </w:tc>
      </w:tr>
    </w:tbl>
    <w:p w14:paraId="5E6F8F8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688AB417">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供应商名称(电子签名)：                              </w:t>
      </w:r>
    </w:p>
    <w:p w14:paraId="23A2794F">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04E3E7C">
      <w:pPr>
        <w:jc w:val="center"/>
        <w:rPr>
          <w:rFonts w:hint="eastAsia" w:ascii="宋体" w:hAnsi="宋体" w:eastAsia="宋体" w:cs="宋体"/>
          <w:b/>
          <w:color w:val="auto"/>
          <w:kern w:val="0"/>
          <w:sz w:val="32"/>
          <w:szCs w:val="32"/>
        </w:rPr>
      </w:pPr>
    </w:p>
    <w:p w14:paraId="37447EEC">
      <w:pPr>
        <w:jc w:val="center"/>
        <w:rPr>
          <w:rFonts w:hint="eastAsia" w:ascii="宋体" w:hAnsi="宋体" w:eastAsia="宋体" w:cs="宋体"/>
          <w:b/>
          <w:color w:val="auto"/>
          <w:kern w:val="0"/>
          <w:sz w:val="32"/>
          <w:szCs w:val="32"/>
        </w:rPr>
      </w:pPr>
    </w:p>
    <w:p w14:paraId="0FFD1974">
      <w:pPr>
        <w:jc w:val="center"/>
        <w:rPr>
          <w:rFonts w:hint="eastAsia" w:ascii="宋体" w:hAnsi="宋体" w:eastAsia="宋体" w:cs="宋体"/>
          <w:b/>
          <w:color w:val="auto"/>
          <w:kern w:val="0"/>
          <w:sz w:val="32"/>
          <w:szCs w:val="32"/>
        </w:rPr>
      </w:pPr>
    </w:p>
    <w:p w14:paraId="621437BF">
      <w:pPr>
        <w:jc w:val="center"/>
        <w:rPr>
          <w:rFonts w:hint="eastAsia" w:ascii="宋体" w:hAnsi="宋体" w:eastAsia="宋体" w:cs="宋体"/>
          <w:b/>
          <w:color w:val="auto"/>
          <w:kern w:val="0"/>
          <w:sz w:val="32"/>
          <w:szCs w:val="32"/>
        </w:rPr>
      </w:pPr>
    </w:p>
    <w:p w14:paraId="7C1E71FE">
      <w:pPr>
        <w:jc w:val="center"/>
        <w:rPr>
          <w:rFonts w:hint="eastAsia" w:ascii="宋体" w:hAnsi="宋体" w:eastAsia="宋体" w:cs="宋体"/>
          <w:b/>
          <w:color w:val="auto"/>
          <w:kern w:val="0"/>
          <w:sz w:val="32"/>
          <w:szCs w:val="32"/>
        </w:rPr>
      </w:pPr>
    </w:p>
    <w:p w14:paraId="71AB981B">
      <w:pPr>
        <w:jc w:val="center"/>
        <w:rPr>
          <w:rFonts w:hint="eastAsia" w:ascii="宋体" w:hAnsi="宋体" w:eastAsia="宋体" w:cs="宋体"/>
          <w:b/>
          <w:color w:val="auto"/>
          <w:kern w:val="0"/>
          <w:sz w:val="32"/>
          <w:szCs w:val="32"/>
        </w:rPr>
      </w:pPr>
    </w:p>
    <w:p w14:paraId="48676CC2">
      <w:pPr>
        <w:jc w:val="center"/>
        <w:rPr>
          <w:rFonts w:hint="eastAsia" w:ascii="宋体" w:hAnsi="宋体" w:eastAsia="宋体" w:cs="宋体"/>
          <w:b/>
          <w:color w:val="auto"/>
          <w:kern w:val="0"/>
          <w:sz w:val="32"/>
          <w:szCs w:val="32"/>
        </w:rPr>
      </w:pPr>
    </w:p>
    <w:p w14:paraId="6265CE85">
      <w:pPr>
        <w:jc w:val="center"/>
        <w:rPr>
          <w:rFonts w:hint="eastAsia" w:ascii="宋体" w:hAnsi="宋体" w:eastAsia="宋体" w:cs="宋体"/>
          <w:b/>
          <w:color w:val="auto"/>
          <w:kern w:val="0"/>
          <w:sz w:val="32"/>
          <w:szCs w:val="32"/>
        </w:rPr>
      </w:pPr>
    </w:p>
    <w:p w14:paraId="0EFDF123">
      <w:pPr>
        <w:jc w:val="center"/>
        <w:rPr>
          <w:rFonts w:hint="eastAsia" w:ascii="宋体" w:hAnsi="宋体" w:eastAsia="宋体" w:cs="宋体"/>
          <w:b/>
          <w:color w:val="auto"/>
          <w:kern w:val="0"/>
          <w:sz w:val="32"/>
          <w:szCs w:val="32"/>
        </w:rPr>
      </w:pPr>
    </w:p>
    <w:p w14:paraId="7695E633">
      <w:pPr>
        <w:jc w:val="center"/>
        <w:rPr>
          <w:rFonts w:hint="eastAsia" w:ascii="宋体" w:hAnsi="宋体" w:eastAsia="宋体" w:cs="宋体"/>
          <w:b/>
          <w:color w:val="auto"/>
          <w:kern w:val="0"/>
          <w:sz w:val="32"/>
          <w:szCs w:val="32"/>
        </w:rPr>
      </w:pPr>
    </w:p>
    <w:p w14:paraId="50B7A208">
      <w:pPr>
        <w:snapToGrid w:val="0"/>
        <w:spacing w:line="360" w:lineRule="auto"/>
        <w:ind w:right="480"/>
        <w:rPr>
          <w:rFonts w:hint="eastAsia" w:ascii="宋体" w:hAnsi="宋体" w:eastAsia="宋体" w:cs="宋体"/>
          <w:b/>
          <w:color w:val="auto"/>
          <w:kern w:val="0"/>
          <w:sz w:val="32"/>
          <w:szCs w:val="32"/>
        </w:rPr>
        <w:sectPr>
          <w:pgSz w:w="11905" w:h="16838"/>
          <w:pgMar w:top="1417" w:right="1417" w:bottom="1417" w:left="1417" w:header="851" w:footer="992" w:gutter="0"/>
          <w:cols w:space="0" w:num="1"/>
          <w:titlePg/>
          <w:rtlGutter w:val="0"/>
          <w:docGrid w:linePitch="312" w:charSpace="0"/>
        </w:sectPr>
      </w:pPr>
    </w:p>
    <w:p w14:paraId="57EE2937">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三、分包意向协议（如果有）</w:t>
      </w:r>
    </w:p>
    <w:p w14:paraId="49FB193D">
      <w:pPr>
        <w:widowControl/>
        <w:spacing w:line="360" w:lineRule="auto"/>
        <w:ind w:firstLine="120" w:firstLineChars="50"/>
        <w:jc w:val="left"/>
        <w:rPr>
          <w:rFonts w:hint="eastAsia" w:ascii="宋体" w:hAnsi="宋体" w:eastAsia="宋体" w:cs="宋体"/>
          <w:color w:val="auto"/>
          <w:sz w:val="24"/>
        </w:rPr>
      </w:pPr>
      <w:bookmarkStart w:id="203" w:name="_Hlk101169080"/>
      <w:r>
        <w:rPr>
          <w:rFonts w:hint="eastAsia" w:ascii="宋体" w:hAnsi="宋体" w:eastAsia="宋体" w:cs="宋体"/>
          <w:color w:val="auto"/>
          <w:sz w:val="24"/>
        </w:rPr>
        <w:t>[</w:t>
      </w:r>
      <w:r>
        <w:rPr>
          <w:rFonts w:hint="eastAsia" w:ascii="宋体" w:hAnsi="宋体" w:eastAsia="宋体" w:cs="宋体"/>
          <w:b/>
          <w:color w:val="auto"/>
          <w:sz w:val="24"/>
        </w:rPr>
        <w:t>成交后以分包方式履行合同的，提供分包意向协议(附件</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)；采购人不同意分包或者供应商成交后不以分包方式履行合同的，则不需要提供。</w:t>
      </w:r>
      <w:r>
        <w:rPr>
          <w:rFonts w:hint="eastAsia" w:ascii="宋体" w:hAnsi="宋体" w:eastAsia="宋体" w:cs="宋体"/>
          <w:color w:val="auto"/>
          <w:sz w:val="24"/>
        </w:rPr>
        <w:t>]</w:t>
      </w:r>
    </w:p>
    <w:bookmarkEnd w:id="203"/>
    <w:p w14:paraId="5A784CDF">
      <w:pPr>
        <w:snapToGrid w:val="0"/>
        <w:spacing w:line="360" w:lineRule="auto"/>
        <w:rPr>
          <w:rFonts w:hint="eastAsia" w:ascii="宋体" w:hAnsi="宋体" w:eastAsia="宋体" w:cs="宋体"/>
          <w:color w:val="auto"/>
          <w:kern w:val="0"/>
          <w:sz w:val="24"/>
        </w:rPr>
      </w:pPr>
    </w:p>
    <w:p w14:paraId="3F69DF69">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四、符合性审查资料</w:t>
      </w:r>
    </w:p>
    <w:p w14:paraId="46BFD55F">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CB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B78B97">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4ECC783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5290091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92A3D9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响应文件中的</w:t>
            </w:r>
          </w:p>
          <w:p w14:paraId="5313D86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754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104D33">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1</w:t>
            </w:r>
          </w:p>
        </w:tc>
        <w:tc>
          <w:tcPr>
            <w:tcW w:w="4991" w:type="dxa"/>
            <w:vAlign w:val="center"/>
          </w:tcPr>
          <w:p w14:paraId="1F1E78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响应文件按照采购文件要求签署、盖章。</w:t>
            </w:r>
          </w:p>
        </w:tc>
        <w:tc>
          <w:tcPr>
            <w:tcW w:w="2551" w:type="dxa"/>
            <w:vAlign w:val="center"/>
          </w:tcPr>
          <w:p w14:paraId="528C059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需要使用电子签名或者签字盖章的响应文件的组成部分</w:t>
            </w:r>
          </w:p>
        </w:tc>
        <w:tc>
          <w:tcPr>
            <w:tcW w:w="1418" w:type="dxa"/>
            <w:vAlign w:val="center"/>
          </w:tcPr>
          <w:p w14:paraId="1AC60D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见响应文件</w:t>
            </w:r>
          </w:p>
          <w:p w14:paraId="68DA77A3">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112A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46" w:type="dxa"/>
            <w:vAlign w:val="center"/>
          </w:tcPr>
          <w:p w14:paraId="41C1A3C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2</w:t>
            </w:r>
          </w:p>
        </w:tc>
        <w:tc>
          <w:tcPr>
            <w:tcW w:w="4991" w:type="dxa"/>
            <w:vAlign w:val="center"/>
          </w:tcPr>
          <w:p w14:paraId="3CFBB0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143F366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节能产品认证证书（本项目拟采购的产品不属于政府强制采购的节能产品品目清单范围的，无需提供）</w:t>
            </w:r>
          </w:p>
        </w:tc>
        <w:tc>
          <w:tcPr>
            <w:tcW w:w="1418" w:type="dxa"/>
            <w:vAlign w:val="center"/>
          </w:tcPr>
          <w:p w14:paraId="06DA763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见响应文件</w:t>
            </w:r>
          </w:p>
          <w:p w14:paraId="0F0C6BDD">
            <w:pPr>
              <w:pStyle w:val="4"/>
              <w:suppressLineNumbers w:val="0"/>
              <w:tabs>
                <w:tab w:val="left" w:pos="432"/>
              </w:tabs>
              <w:spacing w:beforeAutospacing="0" w:afterAutospacing="0" w:line="240" w:lineRule="auto"/>
              <w:ind w:left="0" w:right="0"/>
              <w:jc w:val="both"/>
              <w:rPr>
                <w:rFonts w:hint="eastAsia" w:ascii="宋体" w:hAnsi="宋体" w:eastAsia="宋体" w:cs="宋体"/>
                <w:color w:val="auto"/>
                <w:lang w:val="en-US"/>
              </w:rPr>
            </w:pPr>
            <w:bookmarkStart w:id="204" w:name="_Toc31711"/>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bookmarkEnd w:id="204"/>
          </w:p>
        </w:tc>
      </w:tr>
      <w:tr w14:paraId="5D80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46" w:type="dxa"/>
            <w:vAlign w:val="center"/>
          </w:tcPr>
          <w:p w14:paraId="035B3202">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3</w:t>
            </w:r>
          </w:p>
        </w:tc>
        <w:tc>
          <w:tcPr>
            <w:tcW w:w="4991" w:type="dxa"/>
            <w:vAlign w:val="center"/>
          </w:tcPr>
          <w:p w14:paraId="6D1492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响应文件中承诺的响应文件有效期不少于采购文件中载明的响应文件有效期。</w:t>
            </w:r>
          </w:p>
        </w:tc>
        <w:tc>
          <w:tcPr>
            <w:tcW w:w="2551" w:type="dxa"/>
            <w:vAlign w:val="center"/>
          </w:tcPr>
          <w:p w14:paraId="5690939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响应函</w:t>
            </w:r>
          </w:p>
        </w:tc>
        <w:tc>
          <w:tcPr>
            <w:tcW w:w="1418" w:type="dxa"/>
            <w:vAlign w:val="center"/>
          </w:tcPr>
          <w:p w14:paraId="5CD08206">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sz w:val="24"/>
              </w:rPr>
              <w:t>见响应文件第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46A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46" w:type="dxa"/>
            <w:vAlign w:val="center"/>
          </w:tcPr>
          <w:p w14:paraId="53C6F4E8">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4</w:t>
            </w:r>
          </w:p>
        </w:tc>
        <w:tc>
          <w:tcPr>
            <w:tcW w:w="4991" w:type="dxa"/>
            <w:vAlign w:val="center"/>
          </w:tcPr>
          <w:p w14:paraId="1B9C83A7">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响应文件满足采购文件的其它实质性要求。</w:t>
            </w:r>
          </w:p>
        </w:tc>
        <w:tc>
          <w:tcPr>
            <w:tcW w:w="2551" w:type="dxa"/>
            <w:vAlign w:val="center"/>
          </w:tcPr>
          <w:p w14:paraId="7872331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kern w:val="0"/>
                <w:sz w:val="24"/>
              </w:rPr>
              <w:t>采购文件其它实质性要求相应的材料（“▲” 系指实质性要求条款，采购文件无其它实质性要求的，无需提供）</w:t>
            </w:r>
          </w:p>
        </w:tc>
        <w:tc>
          <w:tcPr>
            <w:tcW w:w="1418" w:type="dxa"/>
            <w:vAlign w:val="center"/>
          </w:tcPr>
          <w:p w14:paraId="2ED94A6B">
            <w:pPr>
              <w:keepNext w:val="0"/>
              <w:keepLines w:val="0"/>
              <w:suppressLineNumbers w:val="0"/>
              <w:spacing w:before="0" w:beforeAutospacing="0" w:after="0" w:afterAutospacing="0" w:line="240" w:lineRule="auto"/>
              <w:ind w:left="0" w:right="0"/>
              <w:rPr>
                <w:rFonts w:hint="eastAsia" w:ascii="宋体" w:hAnsi="宋体" w:eastAsia="宋体" w:cs="宋体"/>
                <w:color w:val="auto"/>
              </w:rPr>
            </w:pPr>
            <w:r>
              <w:rPr>
                <w:rFonts w:hint="eastAsia" w:ascii="宋体" w:hAnsi="宋体" w:eastAsia="宋体" w:cs="宋体"/>
                <w:color w:val="auto"/>
                <w:sz w:val="24"/>
              </w:rPr>
              <w:t>见响应文件第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4BDFB8B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369F3F65">
      <w:pPr>
        <w:spacing w:line="360" w:lineRule="auto"/>
        <w:ind w:right="420"/>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文件中实质性要求必须明确响应</w:t>
      </w:r>
      <w:r>
        <w:rPr>
          <w:rFonts w:hint="eastAsia" w:ascii="宋体" w:hAnsi="宋体" w:eastAsia="宋体" w:cs="宋体"/>
          <w:color w:val="auto"/>
          <w:sz w:val="24"/>
          <w:lang w:eastAsia="zh-CN"/>
        </w:rPr>
        <w:t>。</w:t>
      </w:r>
    </w:p>
    <w:p w14:paraId="26A6B73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67433F62">
      <w:pPr>
        <w:jc w:val="center"/>
        <w:rPr>
          <w:rFonts w:hint="eastAsia" w:ascii="宋体" w:hAnsi="宋体" w:eastAsia="宋体" w:cs="宋体"/>
          <w:b/>
          <w:color w:val="auto"/>
          <w:kern w:val="0"/>
          <w:sz w:val="32"/>
          <w:szCs w:val="32"/>
        </w:rPr>
      </w:pPr>
    </w:p>
    <w:p w14:paraId="16DB143F">
      <w:pPr>
        <w:jc w:val="center"/>
        <w:rPr>
          <w:rFonts w:hint="eastAsia" w:ascii="宋体" w:hAnsi="宋体" w:eastAsia="宋体" w:cs="宋体"/>
          <w:b/>
          <w:color w:val="auto"/>
          <w:kern w:val="0"/>
          <w:sz w:val="32"/>
          <w:szCs w:val="32"/>
        </w:rPr>
      </w:pPr>
    </w:p>
    <w:p w14:paraId="3BBE6648">
      <w:pPr>
        <w:jc w:val="center"/>
        <w:rPr>
          <w:rFonts w:hint="eastAsia" w:ascii="宋体" w:hAnsi="宋体" w:eastAsia="宋体" w:cs="宋体"/>
          <w:b/>
          <w:color w:val="auto"/>
          <w:kern w:val="0"/>
          <w:sz w:val="32"/>
          <w:szCs w:val="32"/>
        </w:rPr>
      </w:pPr>
    </w:p>
    <w:p w14:paraId="46791066">
      <w:pPr>
        <w:jc w:val="center"/>
        <w:rPr>
          <w:rFonts w:hint="eastAsia" w:ascii="宋体" w:hAnsi="宋体" w:eastAsia="宋体" w:cs="宋体"/>
          <w:b/>
          <w:color w:val="auto"/>
          <w:kern w:val="0"/>
          <w:sz w:val="32"/>
          <w:szCs w:val="32"/>
        </w:rPr>
      </w:pPr>
    </w:p>
    <w:p w14:paraId="6D26B6CE">
      <w:pPr>
        <w:jc w:val="center"/>
        <w:rPr>
          <w:rFonts w:hint="eastAsia" w:ascii="宋体" w:hAnsi="宋体" w:eastAsia="宋体" w:cs="宋体"/>
          <w:b/>
          <w:color w:val="auto"/>
          <w:kern w:val="0"/>
          <w:sz w:val="32"/>
          <w:szCs w:val="32"/>
        </w:rPr>
      </w:pPr>
    </w:p>
    <w:p w14:paraId="25B33E30">
      <w:pPr>
        <w:jc w:val="center"/>
        <w:rPr>
          <w:rFonts w:hint="eastAsia" w:ascii="宋体" w:hAnsi="宋体" w:eastAsia="宋体" w:cs="宋体"/>
          <w:b/>
          <w:color w:val="auto"/>
          <w:kern w:val="0"/>
          <w:sz w:val="32"/>
          <w:szCs w:val="32"/>
        </w:rPr>
      </w:pPr>
    </w:p>
    <w:p w14:paraId="74ED3D9C">
      <w:pPr>
        <w:jc w:val="center"/>
        <w:rPr>
          <w:rFonts w:hint="eastAsia" w:ascii="宋体" w:hAnsi="宋体" w:eastAsia="宋体" w:cs="宋体"/>
          <w:b/>
          <w:color w:val="auto"/>
          <w:kern w:val="0"/>
          <w:sz w:val="32"/>
          <w:szCs w:val="32"/>
        </w:rPr>
      </w:pPr>
    </w:p>
    <w:p w14:paraId="6B265916">
      <w:pPr>
        <w:jc w:val="center"/>
        <w:rPr>
          <w:rFonts w:hint="eastAsia" w:ascii="宋体" w:hAnsi="宋体" w:eastAsia="宋体" w:cs="宋体"/>
          <w:b/>
          <w:color w:val="auto"/>
          <w:kern w:val="0"/>
          <w:sz w:val="32"/>
          <w:szCs w:val="32"/>
        </w:rPr>
      </w:pPr>
    </w:p>
    <w:p w14:paraId="5CB12518">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15CC04B8">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五、评审标准相应的商务技术资料</w:t>
      </w:r>
    </w:p>
    <w:p w14:paraId="477C9302">
      <w:pPr>
        <w:snapToGrid w:val="0"/>
        <w:spacing w:line="360" w:lineRule="auto"/>
        <w:jc w:val="left"/>
        <w:rPr>
          <w:rFonts w:hint="eastAsia" w:ascii="宋体" w:hAnsi="宋体" w:eastAsia="宋体" w:cs="宋体"/>
          <w:b/>
          <w:color w:val="auto"/>
          <w:sz w:val="24"/>
        </w:rPr>
      </w:pPr>
    </w:p>
    <w:p w14:paraId="6FFDCBBB">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（按采购文件第四部分评审办法前附表中“响应文件中评审标准相应的商务技术资料目录”提供资料。）</w:t>
      </w:r>
    </w:p>
    <w:p w14:paraId="702CC19D">
      <w:pPr>
        <w:jc w:val="center"/>
        <w:rPr>
          <w:rFonts w:hint="eastAsia" w:ascii="宋体" w:hAnsi="宋体" w:eastAsia="宋体" w:cs="宋体"/>
          <w:b/>
          <w:color w:val="auto"/>
          <w:kern w:val="0"/>
          <w:sz w:val="32"/>
          <w:szCs w:val="32"/>
        </w:rPr>
      </w:pP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D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0C09F1">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F53E948">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74A708B">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5F5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DB242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11B8190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vertAlign w:val="baseline"/>
                <w:lang w:val="en-US" w:eastAsia="zh-CN"/>
              </w:rPr>
            </w:pPr>
          </w:p>
        </w:tc>
        <w:tc>
          <w:tcPr>
            <w:tcW w:w="3046" w:type="dxa"/>
          </w:tcPr>
          <w:p w14:paraId="43700903">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1ACD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39FD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7B7904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vertAlign w:val="baseline"/>
                <w:lang w:val="en-US" w:eastAsia="zh-CN"/>
              </w:rPr>
            </w:pPr>
          </w:p>
        </w:tc>
        <w:tc>
          <w:tcPr>
            <w:tcW w:w="3046" w:type="dxa"/>
          </w:tcPr>
          <w:p w14:paraId="31ED9E78">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22D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083362">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5243A4DE">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vertAlign w:val="baseline"/>
              </w:rPr>
            </w:pPr>
          </w:p>
        </w:tc>
        <w:tc>
          <w:tcPr>
            <w:tcW w:w="3046" w:type="dxa"/>
          </w:tcPr>
          <w:p w14:paraId="6EE69550">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41DC534C">
      <w:pPr>
        <w:jc w:val="center"/>
        <w:rPr>
          <w:rFonts w:hint="eastAsia" w:ascii="宋体" w:hAnsi="宋体" w:eastAsia="宋体" w:cs="宋体"/>
          <w:b/>
          <w:color w:val="auto"/>
          <w:kern w:val="0"/>
          <w:sz w:val="32"/>
          <w:szCs w:val="32"/>
        </w:rPr>
      </w:pPr>
    </w:p>
    <w:p w14:paraId="1BA8DED7">
      <w:pPr>
        <w:jc w:val="center"/>
        <w:rPr>
          <w:rFonts w:hint="eastAsia" w:ascii="宋体" w:hAnsi="宋体" w:eastAsia="宋体" w:cs="宋体"/>
          <w:b/>
          <w:color w:val="auto"/>
          <w:kern w:val="0"/>
          <w:sz w:val="32"/>
          <w:szCs w:val="32"/>
        </w:rPr>
      </w:pPr>
    </w:p>
    <w:p w14:paraId="379D47C2">
      <w:pPr>
        <w:jc w:val="center"/>
        <w:rPr>
          <w:rFonts w:hint="eastAsia" w:ascii="宋体" w:hAnsi="宋体" w:eastAsia="宋体" w:cs="宋体"/>
          <w:b/>
          <w:color w:val="auto"/>
          <w:kern w:val="0"/>
          <w:sz w:val="32"/>
          <w:szCs w:val="32"/>
        </w:rPr>
      </w:pPr>
    </w:p>
    <w:p w14:paraId="1CC9F403">
      <w:pPr>
        <w:jc w:val="center"/>
        <w:rPr>
          <w:rFonts w:hint="eastAsia" w:ascii="宋体" w:hAnsi="宋体" w:eastAsia="宋体" w:cs="宋体"/>
          <w:b/>
          <w:color w:val="auto"/>
          <w:kern w:val="0"/>
          <w:sz w:val="32"/>
          <w:szCs w:val="32"/>
        </w:rPr>
      </w:pPr>
    </w:p>
    <w:p w14:paraId="6ADDA09F">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AE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21F26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130C2C9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采购文件章节及具体内容</w:t>
            </w:r>
          </w:p>
        </w:tc>
        <w:tc>
          <w:tcPr>
            <w:tcW w:w="3546" w:type="dxa"/>
          </w:tcPr>
          <w:p w14:paraId="3CFD113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响应文件章节及具体内容</w:t>
            </w:r>
          </w:p>
        </w:tc>
        <w:tc>
          <w:tcPr>
            <w:tcW w:w="1276" w:type="dxa"/>
          </w:tcPr>
          <w:p w14:paraId="7782939A">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05CF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82B9B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0AF2EE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3546" w:type="dxa"/>
          </w:tcPr>
          <w:p w14:paraId="4BAA882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1276" w:type="dxa"/>
          </w:tcPr>
          <w:p w14:paraId="4034517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r>
      <w:tr w14:paraId="5663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B9C96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34EC5CD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3546" w:type="dxa"/>
          </w:tcPr>
          <w:p w14:paraId="5485083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1276" w:type="dxa"/>
          </w:tcPr>
          <w:p w14:paraId="24CEC9F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r>
      <w:tr w14:paraId="7FC6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C4F20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0AE9AB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3546" w:type="dxa"/>
          </w:tcPr>
          <w:p w14:paraId="382FB8C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c>
          <w:tcPr>
            <w:tcW w:w="1276" w:type="dxa"/>
          </w:tcPr>
          <w:p w14:paraId="7444920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rPr>
            </w:pPr>
          </w:p>
        </w:tc>
      </w:tr>
    </w:tbl>
    <w:p w14:paraId="140D79C5">
      <w:pPr>
        <w:jc w:val="left"/>
        <w:rPr>
          <w:rFonts w:hint="eastAsia" w:ascii="宋体" w:hAnsi="宋体" w:eastAsia="宋体" w:cs="宋体"/>
          <w:color w:val="auto"/>
          <w:kern w:val="0"/>
          <w:sz w:val="24"/>
        </w:rPr>
      </w:pPr>
      <w:r>
        <w:rPr>
          <w:rFonts w:hint="eastAsia" w:ascii="宋体" w:hAnsi="宋体" w:eastAsia="宋体" w:cs="宋体"/>
          <w:color w:val="auto"/>
          <w:kern w:val="0"/>
          <w:sz w:val="24"/>
        </w:rPr>
        <w:t>供应商保证：除商务技术偏离表列出的偏离外，供应商响应采购文件的全部要求</w:t>
      </w:r>
    </w:p>
    <w:p w14:paraId="4FCE2E5C">
      <w:pPr>
        <w:jc w:val="center"/>
        <w:rPr>
          <w:rFonts w:hint="eastAsia" w:ascii="宋体" w:hAnsi="宋体" w:eastAsia="宋体" w:cs="宋体"/>
          <w:b/>
          <w:color w:val="auto"/>
          <w:kern w:val="0"/>
          <w:sz w:val="32"/>
          <w:szCs w:val="32"/>
        </w:rPr>
      </w:pPr>
    </w:p>
    <w:p w14:paraId="18A7377C">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0B42C5FD">
      <w:pPr>
        <w:pStyle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2.本表格所反映的偏离情况与“符合性审查资料”、“评标标准相应的商务技术资料”不一致的，以“符合性审查资料”、“评标标准相应的商务技术资料”为准。</w:t>
      </w:r>
    </w:p>
    <w:p w14:paraId="0C74C1DB">
      <w:pPr>
        <w:pStyle w:val="2"/>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3.供应商须保证：除商务技术偏离表列出的偏离外，供应商响应采购文件的全部非实质性要求。</w:t>
      </w:r>
    </w:p>
    <w:p w14:paraId="48367BDA">
      <w:pPr>
        <w:pStyle w:val="2"/>
        <w:rPr>
          <w:rFonts w:hint="eastAsia"/>
          <w:color w:val="auto"/>
        </w:rPr>
      </w:pPr>
    </w:p>
    <w:p w14:paraId="617F1774">
      <w:pPr>
        <w:ind w:firstLine="1911" w:firstLineChars="595"/>
        <w:rPr>
          <w:rFonts w:hint="eastAsia" w:ascii="宋体" w:hAnsi="宋体" w:eastAsia="宋体" w:cs="宋体"/>
          <w:b/>
          <w:bCs/>
          <w:color w:val="auto"/>
          <w:sz w:val="32"/>
          <w:szCs w:val="32"/>
        </w:rPr>
        <w:sectPr>
          <w:footerReference r:id="rId7" w:type="first"/>
          <w:footerReference r:id="rId6" w:type="default"/>
          <w:pgSz w:w="11905" w:h="16838"/>
          <w:pgMar w:top="1417" w:right="1417" w:bottom="1417" w:left="1417" w:header="851" w:footer="992" w:gutter="0"/>
          <w:cols w:space="0" w:num="1"/>
          <w:titlePg/>
          <w:rtlGutter w:val="0"/>
          <w:docGrid w:linePitch="312" w:charSpace="0"/>
        </w:sectPr>
      </w:pPr>
    </w:p>
    <w:p w14:paraId="344D8328">
      <w:pPr>
        <w:snapToGrid w:val="0"/>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七</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77613C4B">
      <w:pPr>
        <w:snapToGrid w:val="0"/>
        <w:spacing w:line="360" w:lineRule="auto"/>
        <w:rPr>
          <w:rFonts w:hint="eastAsia" w:ascii="宋体" w:hAnsi="宋体" w:eastAsia="宋体" w:cs="宋体"/>
          <w:color w:val="auto"/>
          <w:sz w:val="24"/>
        </w:rPr>
      </w:pPr>
    </w:p>
    <w:p w14:paraId="53C64EE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F12ADC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33E2CF0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1537A4D4">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7027C7F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1ED44D9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57DA7A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五、不为项目有关人员个人装修住房、婚丧嫁娶、配偶子女工作安排等提供好处；</w:t>
      </w:r>
    </w:p>
    <w:p w14:paraId="0BA6B51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3ED865DE">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37C4AA0D">
      <w:pPr>
        <w:autoSpaceDE w:val="0"/>
        <w:autoSpaceDN w:val="0"/>
        <w:spacing w:line="360" w:lineRule="auto"/>
        <w:ind w:left="2"/>
        <w:jc w:val="left"/>
        <w:rPr>
          <w:rFonts w:hint="eastAsia" w:ascii="宋体" w:hAnsi="宋体" w:eastAsia="宋体" w:cs="宋体"/>
          <w:color w:val="auto"/>
          <w:kern w:val="0"/>
          <w:sz w:val="24"/>
          <w:lang w:val="zh-CN"/>
        </w:rPr>
      </w:pPr>
    </w:p>
    <w:p w14:paraId="577CDBF5">
      <w:pPr>
        <w:autoSpaceDE w:val="0"/>
        <w:autoSpaceDN w:val="0"/>
        <w:spacing w:line="360" w:lineRule="auto"/>
        <w:ind w:left="2"/>
        <w:jc w:val="left"/>
        <w:rPr>
          <w:rFonts w:hint="eastAsia" w:ascii="宋体" w:hAnsi="宋体" w:eastAsia="宋体" w:cs="宋体"/>
          <w:color w:val="auto"/>
          <w:kern w:val="0"/>
          <w:sz w:val="24"/>
          <w:lang w:val="zh-CN"/>
        </w:rPr>
      </w:pPr>
    </w:p>
    <w:p w14:paraId="73715A59">
      <w:pPr>
        <w:autoSpaceDE w:val="0"/>
        <w:autoSpaceDN w:val="0"/>
        <w:spacing w:line="360" w:lineRule="auto"/>
        <w:ind w:left="2"/>
        <w:jc w:val="left"/>
        <w:rPr>
          <w:rFonts w:hint="eastAsia" w:ascii="宋体" w:hAnsi="宋体" w:eastAsia="宋体" w:cs="宋体"/>
          <w:color w:val="auto"/>
          <w:kern w:val="0"/>
          <w:sz w:val="24"/>
          <w:lang w:val="zh-CN"/>
        </w:rPr>
      </w:pPr>
    </w:p>
    <w:p w14:paraId="296F6BD3">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792B9B9B">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3D9B219A">
      <w:pPr>
        <w:spacing w:line="360" w:lineRule="auto"/>
        <w:jc w:val="center"/>
        <w:rPr>
          <w:rFonts w:hint="eastAsia" w:ascii="宋体" w:hAnsi="宋体" w:eastAsia="宋体" w:cs="宋体"/>
          <w:b/>
          <w:bCs/>
          <w:color w:val="auto"/>
          <w:sz w:val="24"/>
        </w:rPr>
      </w:pPr>
    </w:p>
    <w:p w14:paraId="1605936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8A35DA3">
      <w:pPr>
        <w:spacing w:line="360" w:lineRule="auto"/>
        <w:jc w:val="center"/>
        <w:rPr>
          <w:rFonts w:ascii="宋体" w:hAnsi="宋体" w:cs="宋体"/>
          <w:b/>
          <w:bCs/>
          <w:color w:val="auto"/>
          <w:sz w:val="24"/>
        </w:rPr>
        <w:sectPr>
          <w:pgSz w:w="11905" w:h="16838"/>
          <w:pgMar w:top="1417" w:right="1417" w:bottom="1417" w:left="1417" w:header="851" w:footer="992" w:gutter="0"/>
          <w:cols w:space="0" w:num="1"/>
          <w:titlePg/>
          <w:rtlGutter w:val="0"/>
          <w:docGrid w:linePitch="312" w:charSpace="0"/>
        </w:sectPr>
      </w:pPr>
    </w:p>
    <w:p w14:paraId="244355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205" w:name="_Toc1870"/>
      <w:bookmarkStart w:id="206" w:name="_Toc9705"/>
      <w:bookmarkStart w:id="207" w:name="_Toc96947081"/>
      <w:r>
        <w:rPr>
          <w:rFonts w:hint="eastAsia" w:ascii="宋体" w:hAnsi="宋体" w:eastAsia="宋体" w:cs="宋体"/>
          <w:b/>
          <w:bCs/>
          <w:color w:val="auto"/>
          <w:sz w:val="24"/>
          <w:szCs w:val="24"/>
          <w:highlight w:val="none"/>
          <w:lang w:val="en-US" w:eastAsia="zh-CN"/>
        </w:rPr>
        <w:t>三、报价文件部分格式</w:t>
      </w:r>
      <w:bookmarkEnd w:id="205"/>
      <w:bookmarkEnd w:id="206"/>
      <w:bookmarkEnd w:id="207"/>
    </w:p>
    <w:p w14:paraId="0914E122">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1DBC6B2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E9EBE4F">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52E581BD">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报价单(单位均为人民币元)</w:t>
      </w:r>
    </w:p>
    <w:tbl>
      <w:tblPr>
        <w:tblStyle w:val="62"/>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30FF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0B35C5F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1843" w:type="dxa"/>
          </w:tcPr>
          <w:p w14:paraId="67F5F25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p>
          <w:p w14:paraId="4DA9F9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施工范围</w:t>
            </w:r>
          </w:p>
        </w:tc>
        <w:tc>
          <w:tcPr>
            <w:tcW w:w="1740" w:type="dxa"/>
            <w:vAlign w:val="center"/>
          </w:tcPr>
          <w:p w14:paraId="3F87993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施工工期</w:t>
            </w:r>
          </w:p>
        </w:tc>
        <w:tc>
          <w:tcPr>
            <w:tcW w:w="1491" w:type="dxa"/>
            <w:vAlign w:val="center"/>
          </w:tcPr>
          <w:p w14:paraId="7B71F4B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项目经理</w:t>
            </w:r>
          </w:p>
        </w:tc>
        <w:tc>
          <w:tcPr>
            <w:tcW w:w="1663" w:type="dxa"/>
            <w:vAlign w:val="center"/>
          </w:tcPr>
          <w:p w14:paraId="1B22BF2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执业证书信息</w:t>
            </w:r>
          </w:p>
        </w:tc>
        <w:tc>
          <w:tcPr>
            <w:tcW w:w="1766" w:type="dxa"/>
            <w:vAlign w:val="center"/>
          </w:tcPr>
          <w:p w14:paraId="4E24E76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p>
          <w:p w14:paraId="5979488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6A7BB5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p>
        </w:tc>
      </w:tr>
      <w:tr w14:paraId="232A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4ABF03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rPr>
            </w:pPr>
          </w:p>
        </w:tc>
        <w:tc>
          <w:tcPr>
            <w:tcW w:w="1843" w:type="dxa"/>
            <w:vAlign w:val="center"/>
          </w:tcPr>
          <w:p w14:paraId="3C135C1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rPr>
            </w:pPr>
          </w:p>
        </w:tc>
        <w:tc>
          <w:tcPr>
            <w:tcW w:w="1740" w:type="dxa"/>
            <w:vAlign w:val="center"/>
          </w:tcPr>
          <w:p w14:paraId="47919F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rPr>
            </w:pPr>
          </w:p>
        </w:tc>
        <w:tc>
          <w:tcPr>
            <w:tcW w:w="1491" w:type="dxa"/>
            <w:vAlign w:val="center"/>
          </w:tcPr>
          <w:p w14:paraId="454DAE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663" w:type="dxa"/>
            <w:vAlign w:val="center"/>
          </w:tcPr>
          <w:p w14:paraId="352AF7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766" w:type="dxa"/>
            <w:vAlign w:val="center"/>
          </w:tcPr>
          <w:p w14:paraId="3DF9C1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r w14:paraId="6CE1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3711FAD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磋商报价（小写）</w:t>
            </w:r>
          </w:p>
        </w:tc>
        <w:tc>
          <w:tcPr>
            <w:tcW w:w="4920" w:type="dxa"/>
            <w:gridSpan w:val="3"/>
            <w:vAlign w:val="center"/>
          </w:tcPr>
          <w:p w14:paraId="3702E7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r w14:paraId="0EDF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7DBC389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磋商报价（大写）</w:t>
            </w:r>
          </w:p>
        </w:tc>
        <w:tc>
          <w:tcPr>
            <w:tcW w:w="4920" w:type="dxa"/>
            <w:gridSpan w:val="3"/>
            <w:vAlign w:val="center"/>
          </w:tcPr>
          <w:p w14:paraId="79CE0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bl>
    <w:p w14:paraId="575B522F">
      <w:pPr>
        <w:spacing w:line="360" w:lineRule="auto"/>
        <w:ind w:left="-2" w:leftChars="-1" w:firstLine="482" w:firstLineChars="200"/>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注：</w:t>
      </w:r>
    </w:p>
    <w:p w14:paraId="632AE95A">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1、供应商需按本表格式填写，否则视为响应文件含有采购人不能接受的附加条件，响应文件无效；。</w:t>
      </w:r>
    </w:p>
    <w:p w14:paraId="1E6483E5">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4A54501C">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3B5DE811">
      <w:pPr>
        <w:spacing w:line="360" w:lineRule="auto"/>
        <w:ind w:firstLine="482" w:firstLineChars="200"/>
        <w:rPr>
          <w:rFonts w:hint="eastAsia" w:ascii="宋体" w:hAnsi="宋体" w:eastAsia="宋体" w:cs="宋体"/>
          <w:b/>
          <w:color w:val="auto"/>
          <w:kern w:val="0"/>
          <w:sz w:val="24"/>
        </w:rPr>
      </w:pPr>
    </w:p>
    <w:p w14:paraId="49547A7B">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7D61B29C">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12F54971">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1568A150">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4EDF140A">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58657A14">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2D4CA522">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6FA2F1AB">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172F9A29">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089187B7">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396BCA06">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5F861419">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6C919E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469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581EB7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243250C">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1AC65E3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1DB9971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3FF2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2174278">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2240AAF0">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3E511A8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3F25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7C06CE5">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361B3405">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0A4CD4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5A3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B2A6F8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68585F8F">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35E0FF0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F18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C285EC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28DBCEC9">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1FB40BB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7D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344B7B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30774051">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7ACA29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47A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4D80CF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4C3FAA14">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324E22E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86E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73F94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031BF7BD">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5789580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69F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DE4493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6B477A75">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2A6A19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7F4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D912B1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8133D5E">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98E966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BCA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EAA0A6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A2897AA">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19121CF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7DF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FB9985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3551EC02">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34993B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672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5DB524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7253A59">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3307E1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48C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42270C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13C597C8">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84BADE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F7E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7BFEBED6">
            <w:pPr>
              <w:keepNext w:val="0"/>
              <w:keepLines w:val="0"/>
              <w:widowControl/>
              <w:suppressLineNumbers w:val="0"/>
              <w:tabs>
                <w:tab w:val="center" w:pos="4755"/>
                <w:tab w:val="right" w:pos="9070"/>
              </w:tabs>
              <w:autoSpaceDN w:val="0"/>
              <w:spacing w:before="100" w:beforeAutospacing="1" w:after="100" w:afterAutospacing="1"/>
              <w:ind w:left="0" w:right="0"/>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722711BB">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B00499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34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297B680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1F13DA88">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56EB6BE8">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3CFAC3EA">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5D2BA5B3">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26EC69B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4F2890B6">
      <w:pPr>
        <w:autoSpaceDN w:val="0"/>
        <w:rPr>
          <w:rFonts w:hint="eastAsia" w:ascii="宋体" w:hAnsi="宋体" w:eastAsia="宋体" w:cs="宋体"/>
          <w:color w:val="auto"/>
          <w:sz w:val="24"/>
          <w:szCs w:val="24"/>
          <w:highlight w:val="none"/>
        </w:rPr>
      </w:pPr>
    </w:p>
    <w:p w14:paraId="656236A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0197C0D1">
      <w:pPr>
        <w:widowControl/>
        <w:spacing w:beforeAutospacing="1" w:afterAutospacing="1"/>
        <w:jc w:val="left"/>
        <w:rPr>
          <w:rFonts w:hint="eastAsia" w:ascii="宋体" w:hAnsi="宋体" w:eastAsia="宋体" w:cs="宋体"/>
          <w:color w:val="auto"/>
          <w:sz w:val="22"/>
          <w:highlight w:val="none"/>
        </w:rPr>
        <w:sectPr>
          <w:headerReference r:id="rId8" w:type="default"/>
          <w:footerReference r:id="rId9" w:type="default"/>
          <w:pgSz w:w="11905" w:h="16838"/>
          <w:pgMar w:top="1417" w:right="1417" w:bottom="1417" w:left="1417" w:header="851" w:footer="992" w:gutter="0"/>
          <w:pgNumType w:fmt="decimal"/>
          <w:cols w:space="0" w:num="1"/>
          <w:titlePg/>
          <w:rtlGutter w:val="0"/>
          <w:docGrid w:linePitch="312" w:charSpace="0"/>
        </w:sectPr>
      </w:pPr>
    </w:p>
    <w:p w14:paraId="149F91DA">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6D1AD8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62019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68C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7963705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C77C02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60A49AE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4ECB4AB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DCD9BAB">
            <w:pPr>
              <w:keepNext w:val="0"/>
              <w:keepLines w:val="0"/>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013466D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79A8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3223407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A726C7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5F0215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C83C56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9538E0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2D7D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D70568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6A5E1E7">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4C13CB4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BD47E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667E845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ECB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EA5C0F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5D4C3EA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2D48902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62AFA0C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B7A56E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17D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E580FF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704723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A0BDF1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17F2D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F258DF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C06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0092837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20A840B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426C319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EF4C15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619A21D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4F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66FFE5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5317CD6B">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DCEFE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3BDE01A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C74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9A165B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4F602E7A">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7CA2626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15B850C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742859C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52C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C4BE0B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4781F402">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78C7037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6C5801B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AD5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6DE981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49AB8DCE">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2C9C4FF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1876BA3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5831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24982A1B">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4ABCBFA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189FBBA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08E008E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243ED8D9">
      <w:pPr>
        <w:autoSpaceDN w:val="0"/>
        <w:rPr>
          <w:rFonts w:hint="eastAsia" w:ascii="宋体" w:hAnsi="宋体" w:eastAsia="宋体" w:cs="宋体"/>
          <w:color w:val="auto"/>
          <w:sz w:val="24"/>
          <w:szCs w:val="24"/>
          <w:highlight w:val="none"/>
        </w:rPr>
      </w:pPr>
    </w:p>
    <w:p w14:paraId="4DFA63D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89143DF">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EB254A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E95280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BA9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0C3807E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7C89EC5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485B017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E4F5A5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1AE32659">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607661B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723ED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3DC6565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6469EEB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6465155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18615A9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245125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0C30E86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1EB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1F78830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75FBD54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EFD414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73CEB90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215E2C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4294895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21FED78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1E5A2E6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913D95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08A32E5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2F49139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13B7EDB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2231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0E0EFA9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A7F7A2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4070E65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5F05BE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5227D1E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7E70388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22E1A46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74419B6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64110D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2F0C78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279235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635E8F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77CB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0A72CFB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059389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92681E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CB567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B385A5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31D0E7C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34E263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6F96C5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C652A9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C94AE2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E1F73A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3A3C60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1EC1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F0ECBB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C08F64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94FCE0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911ACB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32A3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C6FA31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7C2862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98C5C9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BD727F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51159B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948C3B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3E734FE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2557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240EFC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61A620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66CE49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CAB9EE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4B170A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145FBC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5228A61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AD3EEA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207D7E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5B849E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8A6C55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C2AC4C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7A46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0413146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6E8ABA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551FDFB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32C3C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1EA13D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0DB02B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5FCFDD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7209ED3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8C809C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E099BB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1D89ED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522405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550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2E2B390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6E0FE4E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6797A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5B6322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330BF0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5E7ACCF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bl>
    <w:p w14:paraId="32AB119E">
      <w:pPr>
        <w:autoSpaceDN w:val="0"/>
        <w:rPr>
          <w:rFonts w:hint="eastAsia" w:ascii="宋体" w:hAnsi="宋体" w:eastAsia="宋体" w:cs="宋体"/>
          <w:color w:val="auto"/>
          <w:sz w:val="24"/>
          <w:szCs w:val="24"/>
          <w:highlight w:val="none"/>
        </w:rPr>
      </w:pPr>
    </w:p>
    <w:p w14:paraId="58C1681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5777A326">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23844CD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61B77A5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6A01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6705BD67">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4F10FAB1">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4B7CA63E">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20130284">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20E121CC">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341616BF">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3A9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6A160B4">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30473E5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04EA6F0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5EA6AC7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34DB6F8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29F59CC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7D8D909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A279A71">
            <w:pPr>
              <w:keepNext w:val="0"/>
              <w:keepLines w:val="0"/>
              <w:widowControl/>
              <w:suppressLineNumbers w:val="0"/>
              <w:tabs>
                <w:tab w:val="center" w:pos="4755"/>
                <w:tab w:val="right" w:pos="9070"/>
              </w:tabs>
              <w:autoSpaceDN w:val="0"/>
              <w:adjustRightInd w:val="0"/>
              <w:spacing w:before="100" w:beforeAutospacing="1" w:after="100" w:afterAutospacing="1"/>
              <w:ind w:left="0" w:right="0"/>
              <w:jc w:val="center"/>
              <w:rPr>
                <w:rFonts w:hint="eastAsia" w:ascii="宋体" w:hAnsi="宋体" w:eastAsia="宋体" w:cs="宋体"/>
                <w:color w:val="auto"/>
                <w:spacing w:val="-16"/>
                <w:sz w:val="24"/>
                <w:szCs w:val="24"/>
                <w:highlight w:val="none"/>
              </w:rPr>
            </w:pPr>
          </w:p>
          <w:p w14:paraId="542F5CFC">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41F64AA9">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6F1799F">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3D399363">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2F53138B">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A934FB0">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2093BD0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4175EE8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0A8C4D4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3D607F02">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152E87F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4559AEF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714C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9BE235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679B88D5">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375B187E">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37E95CD2">
      <w:pPr>
        <w:autoSpaceDN w:val="0"/>
        <w:rPr>
          <w:rFonts w:hint="eastAsia" w:ascii="宋体" w:hAnsi="宋体" w:eastAsia="宋体" w:cs="宋体"/>
          <w:color w:val="auto"/>
          <w:sz w:val="22"/>
          <w:highlight w:val="none"/>
        </w:rPr>
      </w:pPr>
    </w:p>
    <w:p w14:paraId="3318FBA1">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3D771C2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D091DE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A8C973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1BC90B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C7AB85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5AF3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3C8633B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70DA1A9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6D02C15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6FE5289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2159EE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3F16670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BEF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490B1AFE">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3597E8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302D31B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1A53E03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18140A1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26E921B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p>
          <w:p w14:paraId="2E0071BC">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p w14:paraId="72B8077D">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p w14:paraId="671A4298">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AA18D80">
            <w:pPr>
              <w:keepNext w:val="0"/>
              <w:keepLines w:val="0"/>
              <w:widowControl/>
              <w:suppressLineNumbers w:val="0"/>
              <w:tabs>
                <w:tab w:val="center" w:pos="4755"/>
                <w:tab w:val="right" w:pos="9070"/>
              </w:tabs>
              <w:autoSpaceDN w:val="0"/>
              <w:adjustRightInd w:val="0"/>
              <w:spacing w:before="100" w:beforeAutospacing="1" w:after="100" w:afterAutospacing="1"/>
              <w:ind w:left="0" w:right="0"/>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53DDB774">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02C1E7DD">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F9FAF30">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4ED05180">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599E2861">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p>
          <w:p w14:paraId="6D5A2D61">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5185CB9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40497B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058243E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05CB79B6">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522DC0A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p w14:paraId="0F20C60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7561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27FB931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5F957DD7">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59EE0792">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63903568">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4EF37F64">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42B5083E">
      <w:pPr>
        <w:widowControl/>
        <w:tabs>
          <w:tab w:val="center" w:pos="4755"/>
          <w:tab w:val="right" w:pos="9070"/>
        </w:tabs>
        <w:autoSpaceDN w:val="0"/>
        <w:rPr>
          <w:rFonts w:hint="eastAsia" w:ascii="宋体" w:hAnsi="宋体" w:eastAsia="宋体" w:cs="宋体"/>
          <w:color w:val="auto"/>
          <w:sz w:val="24"/>
          <w:szCs w:val="24"/>
          <w:highlight w:val="none"/>
        </w:rPr>
      </w:pPr>
    </w:p>
    <w:p w14:paraId="17C5259E">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64A48CE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74D5317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2E52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7FAAE1D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167D6F2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A188A1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2438E5B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310D5C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73A3E35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7A468A6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6992C31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26BBDE0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51F0396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4398FF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112E341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24379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E4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B3B16D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D5011D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BB1A1B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142EEB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485712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89008D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08FF837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0B015B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B651B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7AB4A5A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925529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627629C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66B5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7DD7E9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3B9BFBF5">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1124861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25DB856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3A80D426">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658576F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4B7464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19DACD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B4401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3F1EA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8126B4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92981E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C2B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50C9F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77964F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60977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4BEB69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0C1A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6779C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78762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46AE08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09C9C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CF2579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4F7EC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8E4E8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E6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AA4846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F24E7A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DAB21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0348A0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0DE6D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ACA59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8A1B29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1BA6D3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4A79B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6B9E46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F40ED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82F34B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CCA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F85EE9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08DFB8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1A8C9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30C93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1B640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BAE53D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3D42F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22226D9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C6FF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617A34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920FA9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76E25D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24E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3ACD0F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3FEFF9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E546F6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0A7F2CD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B886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BEA1E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133181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AF9E5B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9905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426235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FF7D6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F1432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ABB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04A8D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67D477C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9597BC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3B42FF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DA2C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B7B3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5A12B7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4BBBE5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7F24E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7046EF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6C391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A0F838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752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FC470E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137FD29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BC123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531B889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DEEED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BBCB6B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7B391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1A9F3C3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DDF91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AE7F55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BD634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B25153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419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6476FF8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4D0B49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90EC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0E30DA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07B9FB4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5BE467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8CF2BBB">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25F96C59">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30A1841E">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58DBEB2A">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08C06546">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069D78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579924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3ECA6718">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B3A72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0EDAD14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7F32286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2F11C5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7DBEDA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3C48DE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389FD0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F0912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C3A3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969D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3614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D54C8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2CFB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F8C7B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2FA32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35A7E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D457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76F4A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6212B0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A489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D26C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D1E34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1BCC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1CC514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44DA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B4E95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32C127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C2EB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DAD9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B4F4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9856A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32D27D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C359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156EF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6DB825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4526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DAE28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9A33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2017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D70265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960E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488895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95BE7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71918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7030E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0E1C2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5BA8F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568653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8377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9C9BB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20E85D1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FF5F6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E20F0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DDF22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73F2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662512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5CC7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6A1B1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11DD135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E3E5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3AFE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FE55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08A89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3DE6EE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03FB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8DBEA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3FE3C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3DAFE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254D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EBF0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FDC1A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46B38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16C9E2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24D5F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65FF43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015D8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F8DB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691B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1FDC2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CCB8D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F2D2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E3290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295CBD5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77CEE2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7395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0D4D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36802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8BCB3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0512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75F82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278B00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AD0C0F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008C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9B75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BAF28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36711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E42F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CED80B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2F7F56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403D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BF951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863B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F69F5E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7607A3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B9B8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D1D901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FFD91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6B26A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FFB5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DF80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889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4D2E6B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47370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10BE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17A6038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60D095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8732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3C7A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B762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6EB6E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48CC1F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D3B04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B818B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F135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A22820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9805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C95AF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72ED4B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2D5EFF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0B8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DDC29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0C1CC99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190DDE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CB0B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C722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5D721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B37C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F24A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5F1E93D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09A71C8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BD461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D1C4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2767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AEEB6F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064F9F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C1EA5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46F581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50465A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9BAAF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086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B58C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B3E015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667DC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56F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7DF2A6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39E0734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62D5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5C7F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E937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B5D31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596E61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C26B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E72C5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7635EB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52942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389A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0A9D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8BCE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0195AF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DDCC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6C802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124931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9DACC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4D280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378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1F5D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8BA85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7E92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0E566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67B98C7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9A9E3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4680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D3DA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BF04A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96672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4FA4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416A8F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312F3C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2EA9AC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D02A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20FE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CA54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542DC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616A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818C36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3BF6AE3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1FCA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3BF78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9503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1C824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314EC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7F089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7FA00D7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C1849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072D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9CDB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F7B0C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EB79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7F1867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8DB3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17750D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2E673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765AD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C616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DF13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51FD3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71EA6F8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C4F85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8DF8AD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3CD550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34EA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EB71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8F8C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CC2F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DD19B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A4310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7577E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76EFAD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7FD1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6D1F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CCF9F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6558B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8181F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D0A8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74233BE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26C9E1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D622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65D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4F30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899E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72F1885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69AC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9C959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4B6473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CA80D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CDAA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79C3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9598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C52F6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11689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B7E3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39A722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E354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F988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5FDF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A3DEBD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989FE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2F96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51877C2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4813A8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CDF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19AF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92B9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E4D6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22F62F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BFA6E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ADE854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7BF34C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DB3A3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785D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6A0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C8040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352A1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7477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00AF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747FFE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1FA7F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6A755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D3C6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230EE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4803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FAEC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1BB4D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45198F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6678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2CE17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7B1AC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65BE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1D03C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A44D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1B5CA2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64FD1F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D500E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E61D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652D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B1032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572D2D6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1628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6D0A0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5C875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3EACA12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A76B5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E534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4FD67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584C9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485F4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BD01F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63C60E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281176A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9921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FE49E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6346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E52E4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89F4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2A346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10A8FF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8E0E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4767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6425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4B84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E0961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CB0B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1CD045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2357C65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537BFE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04E0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B2AF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0B45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BF5B4B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9640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20420A5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62DFA0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16561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7AE1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BA2B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4E17F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67322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2E44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43DBAF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5A323E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8BED38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A94E47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CE9D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88955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2E99A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C4EC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75A5B63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0766D3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81494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AABE0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82E1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73D4C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05B5B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DC00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FA754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18B2EA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854E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064CE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C53A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B5ED6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C0149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AFFA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67752B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5F3139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EA06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E29F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426A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99B259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5A615E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8AC1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80FF5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10CD97B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58D92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E3E75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A7D0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AB25B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C266D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4867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0E4F4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53038E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B8F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D3D1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1E05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B702D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B2428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A5D8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192A8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7A804B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022E6B4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BC5F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B0CF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449B9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5F6AF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650F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86901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652081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03AEFA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0000F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524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BF18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50432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1E9C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04E69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48B644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4A91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25579B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B2C6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FFA8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66B80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981B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41B9A63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381305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4C78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14EE8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98B4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A5E80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0FFD89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A40C8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6C061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795D7B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09621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4A67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AF92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B4CE4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21BA75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512B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C4172D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42EA83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0AFDC6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78A8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41E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B68D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20272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800A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CF1BB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78DF38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50EEA2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07AFA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55BF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6B89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5F1527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C1D78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9896B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B664A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7C2CB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92F4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6596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71EE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5BBF9F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18B637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5B5986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08B424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5934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BD7A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71356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11D91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087BA5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A88E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4B2FE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7F43A38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2D183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C98C2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3DF66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5DD61B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1DD75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4EA7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A9A46B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492B80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5F11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0779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DC6DD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628D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B734A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5204A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1BD4C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3125DA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C5163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FA44E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287B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7A852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B36AD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53708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A622F7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1D4AEC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F6324B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CE61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62704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15EA5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B1E34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3AB4A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2497A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0C0BC93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8776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0DAC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70DA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6E07E2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B5B4F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C12C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DE6D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C1A4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1A40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6232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D3ED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4001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992B4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3AA0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43CEC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608DB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0DA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506F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9E41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804B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E321C2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EE3B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BA33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0C20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17535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3351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244A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F5AEF6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EF761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F268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E4E1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ECBC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0ACA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1B34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E50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CD7E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0BE312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646F1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C17B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22C6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0DF32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3C09D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0AD6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ABC1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B433C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9CAD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90D7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1A65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AAE72C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8A11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618A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5C31F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1B832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EC6D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87EA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F0B48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3A9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06D6A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F1F58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8770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EFD58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5EE1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1252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FAA5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85FD5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EEF5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B1C9D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3A6AE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7B194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964D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0823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31FB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E376B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E78F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0EE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3C38F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2650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D7D5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5767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1354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1FD9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8519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7D77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B53FA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3665D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4D37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E817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C2BC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FEC77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DA41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F671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E0CD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01BCF6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6149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DA850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07AB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1F8F0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52D1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E60D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7373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56A19C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8D755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74A7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448C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F0E1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3E9F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076F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D0B3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F64B9B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1964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27B94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E93F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949E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0FE7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954A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E20DC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BB718A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F82F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A91D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395FC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42FE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E441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4C1E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6842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05997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835B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F31E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643F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0805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8E35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EB8B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C770C5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B8649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BA91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0A6D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1DEE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42243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76DD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0FBE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5E3E0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CBB50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F2E0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1BE4D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63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FBF0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8CFB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7FA3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EE0D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6F6EF1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683D4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E2BAB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510A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23E5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78C5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536C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1C0A4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EED8D8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992B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A4C5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5181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A184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3F7A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2B5A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79EA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93171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4F90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8E97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4FCEF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AEE4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C7AE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F18C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CCAE5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2A9FD7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3F1FE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E3F8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ECD33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620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0D68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B786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C8B7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E0E43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96B61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EA5FB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4CD4D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C5DFD4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08B4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702B1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FB8A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0604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C0BF3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EBCA2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757C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C411A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C286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238E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89C2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D0FA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935A6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08947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86FC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A804E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0CC5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3B7C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98D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6AF3BB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3D26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90707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66C2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7779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DE59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29C3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B65C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80A7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B8674F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1A8F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66A34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9A5D7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BD5C7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1BB6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9ABF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64DF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209BAC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46FE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451F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82DA6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7726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791D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5AE61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7C3D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44235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5C15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BE864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4854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BCCB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16D6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E46B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AD9D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1C35B7C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3ED9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B9461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CF90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FEDA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937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A252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63B0F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42039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061E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D574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8D0EC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7D05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92EA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1899D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C9FD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EEF0B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5D0C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95BE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4B4C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D185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F44A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68C2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44B5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8944C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CF420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B0C1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867A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387B2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5C9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85AF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152A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4AE11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5297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6CC0BC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381EB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A97C2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F193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55443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0166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DEF65D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DC83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2C53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3B1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C108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D742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68EFB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1A9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3D026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9B8D2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F964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4E21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894591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8909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DCDD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1B1AD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96970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9A51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032F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0A54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1BF35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5E8D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6A52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C43B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E067E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AD5B3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538E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2016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CFF63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A8F3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FAFD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F287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91A0C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D512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77B3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FDE6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22AA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C3A4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D2B6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83A7E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8C2B2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915B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146B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D3162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37D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5259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E540D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56ECD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38208B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265D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A4AF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C6F99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9DA3B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2DF9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53A1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95F0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DBCD6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EDA7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7B8D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A0895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32545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BFC2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0ED5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5C8740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B22C1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6BE33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DFC54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24EE0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285E8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6B5C5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9036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35119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D485F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0113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7288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ACD01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E72C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000F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B96D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4E51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867B7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CCE2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EA95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C5BB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AECA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EA45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9E8B9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35DE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B67DA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B5DEF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1258B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02772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37F88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522E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D9CF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F2D61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6CD03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9D41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F79AB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F64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96F4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7C6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4BED0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9DC8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625ED1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43FB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7EBAA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E449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CCEA8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7C69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5F1E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9A35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71B1F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0B58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122C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849A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CF51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6DE5F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9C00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6C81D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4F232F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8EB38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156C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F0A46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BE96F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3CC44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6F60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541F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808B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41C480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B7A1F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EC52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1260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0B3A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5401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655F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2AC9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12000C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1ECC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A023B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B3E5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20E0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040A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8902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7DD6FA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25332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14150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61E456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B5486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98D7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60AD1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F7A8B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BC34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0932C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33017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4595BA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4D81223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157F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9FDBD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14BC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06AED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0F098F5">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8FE58A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C622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CB53D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bl>
    <w:p w14:paraId="4F4042A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029B4BC0">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82022E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4A5C1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68E2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609130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168C323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2972CB7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4483CCE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54B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842DEF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25C3A21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161833C6">
            <w:pPr>
              <w:keepNext w:val="0"/>
              <w:keepLines w:val="0"/>
              <w:widowControl/>
              <w:suppressLineNumbers w:val="0"/>
              <w:tabs>
                <w:tab w:val="left" w:pos="100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5C2A8567">
            <w:pPr>
              <w:keepNext w:val="0"/>
              <w:keepLines w:val="0"/>
              <w:widowControl/>
              <w:suppressLineNumbers w:val="0"/>
              <w:tabs>
                <w:tab w:val="left" w:pos="100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6C4D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AD00CB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392CE41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146913D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01B749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5653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812332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205FCA4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764DD6A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5BDCEE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5774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D00AE7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5C72157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7D4C89E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57C1C57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674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B7A1A6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0150C5C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274579E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D8251E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E36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D33AE3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23413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332C9E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99074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19C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9B2627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0EBA4C8C">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63072B4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C3BCB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4C356BCA">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2891DC2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5BBA85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01D44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614E6FB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37E9956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412670D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7DADE7B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3FADCAE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0450AAD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7C948A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50DA59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3C7C909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1E1422F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05B065C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156FADE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00A6D2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7F0C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024472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371D5A5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1764A3AA">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870C72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2BE9C8A">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9ACBFD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635E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695B0C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CE8FBE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BEC75D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0676A9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94DF21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222251F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35A21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7E8970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299381E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097233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515A0F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2C5FA1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5A75D2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D96A8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E9FFF4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094A1D5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CC8C5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DAA993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6E24E5E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00CB48C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89F48B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5392D5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F81198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DB63C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A55A4B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69C500D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16479C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3162F0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BD497D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17B47E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28A8C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C26A75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8DC6AE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2EF838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EB2F93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0F503F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F9DA1C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2F4A4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1EF5F4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120AA7C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BAABC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5E405C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57118C8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6070F77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B9B41A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C5D8E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2572C19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B26E9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EA33FA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6881502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07C4BA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4C08BFA">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7D8B465">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2A2CD5E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60245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7D03BB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D73B32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B60668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B8B4B0A">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328984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F0080F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53A802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106D027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632C15C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5B22B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718599B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45259DB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35107E3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460B39A1">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2F9EDA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72E0E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374EFD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5547E6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32EB91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4BDE39D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042B6BD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16D10C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17C04A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75394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2F31323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172001A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6A150EB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3BBF3B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A4498B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C2083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E67B4B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47CD2E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5CF0EA4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ECDE1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9EF961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FB995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5EBD3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07BD9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33CE2DB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19BCA8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5A965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4946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5FC5A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ACA6D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63A916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B8CC6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84DC52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86EDF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47176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68C99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91626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2874B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6DBB52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29DAD6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3A95D6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C3D2FF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95CE03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476D5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37521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278F5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C45D5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5D5400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86024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3DBD06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84C0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6DBD60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AB60AA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2FDF2F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54A1B2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EA8F6B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F24A6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9B0F0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DA343A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43FF03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FE05D7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1194D3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B92DF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035AF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42AAC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B1A24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46A5E7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BA364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3A8476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1DAFB3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6E932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C8E23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0D313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B0505E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E324D5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3344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44825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2FC6DC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4CDF2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D2534B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7D20D7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A2E080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18548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5B4E8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5A0D4A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62060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12A4C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0B807C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24274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434DF3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3175F9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15D93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57BDA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71D9F338">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63762C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057F3F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59F78C06">
      <w:pPr>
        <w:autoSpaceDN w:val="0"/>
        <w:rPr>
          <w:rFonts w:hint="eastAsia" w:ascii="宋体" w:hAnsi="宋体" w:eastAsia="宋体" w:cs="宋体"/>
          <w:color w:val="auto"/>
          <w:sz w:val="22"/>
          <w:highlight w:val="none"/>
        </w:rPr>
      </w:pPr>
    </w:p>
    <w:p w14:paraId="225115A0">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7B4A32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3D6A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408D3D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4D6A942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08E7EA9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4097D20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1484EC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2AF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E7BBA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7DA1BD8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396951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659E35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50FA4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B83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F7D63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048238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70CBD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2BD085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837734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B14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DE0B4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915FDA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E7A32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3F12E7C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284565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725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24AD6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10EAFE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C1F4A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77512DA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881DE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77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5CD503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E36F8C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E2456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01FEA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375B4D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A25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43EF41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5A7DA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14E60C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3450A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6BDDE4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7EF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D6D3C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A799A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FAA06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FD596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6D7BD5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C38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18D5FB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202288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D5BFC5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E2A71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C88957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1FF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FC83D3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60BB52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02B8A2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217153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907FF4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AF1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DA4E2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ACD0E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8B16E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2389C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284FFD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672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12B888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AF0FC6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7FE4D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2A51954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E06E6F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79AED3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4FFD8ECD">
      <w:pPr>
        <w:autoSpaceDN w:val="0"/>
        <w:rPr>
          <w:rFonts w:hint="eastAsia" w:ascii="宋体" w:hAnsi="宋体" w:eastAsia="宋体" w:cs="宋体"/>
          <w:color w:val="auto"/>
          <w:sz w:val="24"/>
          <w:szCs w:val="24"/>
          <w:highlight w:val="none"/>
        </w:rPr>
      </w:pPr>
    </w:p>
    <w:p w14:paraId="01AFC6E2">
      <w:pPr>
        <w:autoSpaceDN w:val="0"/>
        <w:rPr>
          <w:rFonts w:hint="eastAsia" w:ascii="宋体" w:hAnsi="宋体" w:eastAsia="宋体" w:cs="宋体"/>
          <w:color w:val="auto"/>
          <w:sz w:val="24"/>
          <w:szCs w:val="24"/>
          <w:highlight w:val="none"/>
        </w:rPr>
      </w:pPr>
    </w:p>
    <w:p w14:paraId="40B0B91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698DBA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246BA6A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0BE6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22DD0A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0860D3E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0EF7682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1C79EAA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110B9F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21D03B4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36C11C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44F6151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1EC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42B8C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336169A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FFEB22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0D2DFD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0ED4DA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1CFC2C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CA7915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2F56C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591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A35CE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3BD27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6FAF8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2EF8F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E66F4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02C675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A64E3A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AEAD1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76F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C0AB17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E23F5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E140D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3E603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46E44B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A63B11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9A211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B5C1E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01D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9CFEA2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F945C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30FE6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D45F2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4AC93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330EE6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F9146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84B0E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38F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0DE020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AF762C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B4A64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F24C8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C649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0FC53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EAC4B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100FB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8E4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281C0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642128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7C9DE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25E3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6B6B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FBE5B1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7352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4614E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1BD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9F7400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6F5DAB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9B128D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C35B5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1A8CE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75CA2BF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154E1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0EC31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F9A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1A25F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18E0E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389741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C1E313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EE689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B5FED7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16992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73C2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328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63CB95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E93F7A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84C137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5E688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4F7B40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EDA54B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5B0BD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DA1E8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04E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082C14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EFC2B5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23A892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AC99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90CE90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BF78FE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AF57B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A97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44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5C58D1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8DC510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AB7A5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6D29D8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3367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DCD89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144C0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5DB70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7DE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0C6A5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72CC69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2EDA12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35E5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2CFFC9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FF15D5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7E8F4C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3339FC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356CA1A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2F55C0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2379A13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4351B15A">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32F85B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18D51AB9">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769A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0C3CF8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260C172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161A71C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6A4F00B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016958E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E4E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7C8C3A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28E7091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4C425B8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0B5BA06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BF24E7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8BC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F2356D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0DA57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6A8A6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A381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EF83D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FBA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B906D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56E15F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1CF95A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44AFA7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975A5D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73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1B90B0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26F17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860BD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79A00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D21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EBA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50D5AE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280EF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6F1EE4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ED743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15FFD3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E00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5870B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009BB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C0DF3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D0E28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54B10C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F4E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EAF7E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0D69E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A50826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BE37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A2820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63E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05E4C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BEB2BA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F0F05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C3F7B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C9A2E6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401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376C64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B11D8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F8617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663AC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72C4E6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B06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EBF5D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EB302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8F970A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8B314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938AE3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A5D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0DCBAC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EB785D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4C4F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EE47A1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2232A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0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65659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17053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A7C8F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51A7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F2921C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02D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F6E93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480FF8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36AA05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A2C5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70B854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0F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898B46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8171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F9BC0C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820EE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F09AD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4FE4C40C">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3900DEF9">
      <w:pPr>
        <w:autoSpaceDN w:val="0"/>
        <w:rPr>
          <w:rFonts w:hint="eastAsia" w:ascii="宋体" w:hAnsi="宋体" w:eastAsia="宋体" w:cs="宋体"/>
          <w:color w:val="auto"/>
          <w:sz w:val="22"/>
          <w:highlight w:val="none"/>
        </w:rPr>
      </w:pPr>
    </w:p>
    <w:p w14:paraId="0F51B643">
      <w:pPr>
        <w:autoSpaceDN w:val="0"/>
        <w:rPr>
          <w:rFonts w:hint="eastAsia" w:ascii="宋体" w:hAnsi="宋体" w:eastAsia="宋体" w:cs="宋体"/>
          <w:color w:val="auto"/>
          <w:sz w:val="22"/>
          <w:highlight w:val="none"/>
        </w:rPr>
      </w:pPr>
    </w:p>
    <w:p w14:paraId="5F730D1A">
      <w:pPr>
        <w:autoSpaceDN w:val="0"/>
        <w:rPr>
          <w:rFonts w:hint="eastAsia" w:ascii="宋体" w:hAnsi="宋体" w:eastAsia="宋体" w:cs="宋体"/>
          <w:color w:val="auto"/>
          <w:sz w:val="22"/>
          <w:highlight w:val="none"/>
        </w:rPr>
      </w:pPr>
    </w:p>
    <w:p w14:paraId="61C89848">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27890B3">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63B4C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5486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73CF113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348DAB3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62F742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6A7CB5D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225D0BF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329A835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08BB7BFE">
            <w:pPr>
              <w:keepNext w:val="0"/>
              <w:keepLines w:val="0"/>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3E1F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C926E2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1AA879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4BFE3A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25AC67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F922D9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5C0028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68EDFBE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2964264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D5897D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08922AE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252DF73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34BEECC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6E9CE2A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1E09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3AD6ED4E">
            <w:pPr>
              <w:keepNext w:val="0"/>
              <w:keepLines w:val="0"/>
              <w:widowControl/>
              <w:suppressLineNumbers w:val="0"/>
              <w:tabs>
                <w:tab w:val="center" w:pos="4755"/>
                <w:tab w:val="right" w:pos="9070"/>
              </w:tabs>
              <w:autoSpaceDN w:val="0"/>
              <w:spacing w:before="100" w:beforeAutospacing="1" w:after="100" w:afterAutospacing="1"/>
              <w:ind w:left="0" w:right="0"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53F3356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28BB7EF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1B6CD37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7FB550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7794798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19DDAB6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44AF43C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7783427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26FE936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5275D28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7DA5BFCC">
            <w:pPr>
              <w:keepNext w:val="0"/>
              <w:keepLines w:val="0"/>
              <w:widowControl/>
              <w:suppressLineNumbers w:val="0"/>
              <w:tabs>
                <w:tab w:val="center" w:pos="4755"/>
                <w:tab w:val="right" w:pos="9070"/>
              </w:tabs>
              <w:autoSpaceDN w:val="0"/>
              <w:spacing w:before="100" w:beforeAutospacing="1" w:after="100" w:afterAutospacing="1"/>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5415621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5EBE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D7C06F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72B651A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2A9C350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30ED88C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669AEB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93BDD6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B0956F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D0289B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3B1D1E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15486C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FE6840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A132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D8F887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586F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C4699B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C179B8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846F67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21F696E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3DE0A5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7C0892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8965C5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23E276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8BD597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3304E1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5125279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6DFE9A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6FC974E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6DBB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6AF8CEA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7855935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71193D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0D36A01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8E30E1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FE1C7D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C6FCC0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3E26D2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EA8E1D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8A9883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0321DF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0AB4BA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70CFB0A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3518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8D5604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D069C3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27784D6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7B22E4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9E1DFD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F3E296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A4F93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D89604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473577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D3D3C5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C26659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BD3C4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55289C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0006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73112A5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7C6E552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6A47DA8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6027D8A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D69F08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5287CE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1B0EB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A0B79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B68036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6D4E32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3C4ACC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679EE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3254C4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2274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DE7499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0A0FCEB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4CDCF56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0A56E6E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22C631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6B730D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E911F9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9F8C46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93DF35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94966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07490DB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80BFCD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7887A7C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0B21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40AE428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65EFFCD4">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0BE7A07F">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481D82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360201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1A78B0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65EE104E">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2C03089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50AB1AA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C00B0E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032D1A7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1A163771">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0C4C619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33B1494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0558C8A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1FB762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CC120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07F1686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806428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2F05DE7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21F1F91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43B4CAD">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4835FF11">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3ABA95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C310537">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3D065B5F">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30A911E9">
            <w:pPr>
              <w:keepNext w:val="0"/>
              <w:keepLines w:val="0"/>
              <w:suppressLineNumbers w:val="0"/>
              <w:tabs>
                <w:tab w:val="left" w:pos="3780"/>
              </w:tabs>
              <w:autoSpaceDN w:val="0"/>
              <w:spacing w:before="0" w:beforeAutospacing="0" w:after="0" w:afterAutospacing="0" w:line="2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3ECBBB71">
            <w:pPr>
              <w:keepNext w:val="0"/>
              <w:keepLines w:val="0"/>
              <w:suppressLineNumbers w:val="0"/>
              <w:tabs>
                <w:tab w:val="left" w:pos="3780"/>
              </w:tabs>
              <w:autoSpaceDN w:val="0"/>
              <w:spacing w:before="0" w:beforeAutospacing="0" w:after="0" w:afterAutospacing="0" w:line="2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2F3E861F">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23F1293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7B4D4D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2469382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C51E2A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090C7CC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FBFDC9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396F6E7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62733AD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4B7244A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5E777A7E">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35BF1E86">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23E4E734">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40D4DA9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3D5D4EEE">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3A10E2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1C281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7F502E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187A3FA0">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3D89EBB">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51AC25D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5FAB485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476009B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BA921C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72F03EC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07D0F56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7C6855E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478ECF9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782E7F9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02A5016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1BB221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021BD91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A6D01CD">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81757D6">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78AEC0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657CAC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86DC13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4CFF7A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1A5BAA0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310CBE1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26005DE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067C4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026FE48">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58C0B03F">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00EE43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4528997">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0D3C89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6C825C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4D9A46A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53812C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29B52C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2195888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3553CB9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4AB6A2F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4ED411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E7F36C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275546D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0F9F03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72FF6B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3134C9A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EB214B">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EABDC7">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14F25AE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23EFC9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F2E520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0F8D39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6FFA51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06D2830F">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264AC81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6241784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9AF3E0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05A8C7F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24A401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2042D41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7648DFEB">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5382254E">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2D69CE5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2340F1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FC16D6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648FBF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AAF668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3129368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033AC396">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BD4974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3B1D178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1B3A4A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2685E6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7068498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4B362C5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AFBD91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305C893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538519C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0FE3DA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C72E1F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3C07A28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0B50D68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555F15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C18900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A1BA20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06B979B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19C48C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4A5B16A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FF89ED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bl>
    <w:p w14:paraId="6D90EC95">
      <w:pPr>
        <w:widowControl/>
        <w:tabs>
          <w:tab w:val="center" w:pos="4755"/>
          <w:tab w:val="right" w:pos="9070"/>
        </w:tabs>
        <w:autoSpaceDN w:val="0"/>
        <w:rPr>
          <w:rFonts w:hint="eastAsia" w:ascii="宋体" w:hAnsi="宋体" w:eastAsia="宋体" w:cs="宋体"/>
          <w:color w:val="auto"/>
          <w:sz w:val="24"/>
          <w:szCs w:val="24"/>
          <w:highlight w:val="none"/>
        </w:rPr>
      </w:pPr>
    </w:p>
    <w:p w14:paraId="331D389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3E456DA0">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DF5CC4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0E07D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54313A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7272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40971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54C9DD8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5F2BA9E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4CB8918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2001694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16E5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14CA7E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2EB474D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3318751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1F250A5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48B96C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7DC27DF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1AEB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FCAEB54">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CA122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7C28B5F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37AB50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CEC2C9B">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A78266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2D47720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86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BB965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35C9959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286224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644B11C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29D786A6">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B54DAA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72622D0">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9F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3B2E46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78D9C69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DA8EED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3B46397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6ACE694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59D37C44">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1F0924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A22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D31CB5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D89226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277E3C69">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4EC2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26B1E1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5DAFB5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2642C5B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06BF5584">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C3D1C4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5131FD5">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112B095">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8CB77A3">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D45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D95998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76CCC7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45940530">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39E8F59">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9474FF3">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58B6B7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ECDEBCC">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25B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6B7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6EDD1D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DC8C11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32E43EF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187853D">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A3B19E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9CE844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69E5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BBDB97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BBCABA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22B23F1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F40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086018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490836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434AFDC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735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5027FF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265C43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712CB1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2790BC4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3F39CD0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8D9149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7A4EE8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26A7BF9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3199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764131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30C478C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2A3788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0C7AFD4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6642B3F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D277BA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3ED9336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E24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8E575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8926B2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B12B2D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BC9262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7A31A5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F96246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096EC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090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71CBC4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EEF8E9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74FCB21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086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2E537F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371671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141A02B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7BAD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61DED8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8D33DF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65205DA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3CDE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43FB5C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089384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13F7AF0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389A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B0F793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AAF9FB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3724E524">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AD1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939741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EE2787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2031092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6A10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95EB9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D0E196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4CA7A00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bl>
    <w:p w14:paraId="566B5331">
      <w:pPr>
        <w:widowControl/>
        <w:tabs>
          <w:tab w:val="center" w:pos="4755"/>
          <w:tab w:val="right" w:pos="9070"/>
        </w:tabs>
        <w:autoSpaceDN w:val="0"/>
        <w:jc w:val="left"/>
        <w:rPr>
          <w:rFonts w:hint="eastAsia" w:ascii="宋体" w:hAnsi="宋体" w:eastAsia="宋体" w:cs="宋体"/>
          <w:color w:val="auto"/>
          <w:sz w:val="24"/>
          <w:szCs w:val="24"/>
          <w:highlight w:val="none"/>
        </w:rPr>
      </w:pPr>
    </w:p>
    <w:p w14:paraId="1F2932B0">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5DDE3FC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6ED5064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49AF960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0A3F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CC35B6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08A5FE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3A3EAA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5DB9F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79B5534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73C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355574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2DAF5A5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6201131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2442FD3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E5C195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6E22821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22BD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6F0BAC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56C3D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31506A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4F80B8E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66807B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75FFCF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59D4E0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121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1DCF6C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34EEBF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618E1E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D5FB1F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8C4D2E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D8275E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BA054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27A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AEC90D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1A0C8B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BA5C69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41114D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9370C5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B1D0AF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109FE2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5B3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D7F8763">
            <w:pPr>
              <w:keepNext w:val="0"/>
              <w:keepLines w:val="0"/>
              <w:widowControl/>
              <w:suppressLineNumbers w:val="0"/>
              <w:tabs>
                <w:tab w:val="center" w:pos="4755"/>
                <w:tab w:val="right" w:pos="9070"/>
              </w:tabs>
              <w:autoSpaceDN w:val="0"/>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FFDFF8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4376D77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CB3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2DE451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BF3B7F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6343D38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E9005B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BA073F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EF8B6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74BFBC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3CA0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D6CE01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6AB4BBF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9763B6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1CF697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36D2DA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30DA43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772FF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06B6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4A9F9E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68241DD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E2019C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D2E576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A4CD71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C05CF9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D1F77A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5A20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9E8EDD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27F04C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4FDBD24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6E84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4C50047">
            <w:pPr>
              <w:keepNext w:val="0"/>
              <w:keepLines w:val="0"/>
              <w:widowControl/>
              <w:suppressLineNumbers w:val="0"/>
              <w:tabs>
                <w:tab w:val="center" w:pos="4755"/>
                <w:tab w:val="right" w:pos="9070"/>
              </w:tabs>
              <w:autoSpaceDN w:val="0"/>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6875C6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09685DA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183B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64374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8CCB7F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710C271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D19AAE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EB5AC8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A3F551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1C8416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4E24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240F80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F7EA2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15D0F1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8E9309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6E081F4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953322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05A85C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1190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D1C09F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055DA3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47A784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00302C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5A0F25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1DD8A1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F339A5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544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7B8165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C653BE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6D5D718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E5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EA182E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E8CCDD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4C0FECA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94C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DE5B7F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054108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26FED3F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0DE3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FA310C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702470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4E028A9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5959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B94562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1E031A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5AD8B96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BA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91D4C3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2ED36B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3B1189E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500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46A276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404C0E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2292704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34AE492E">
      <w:pPr>
        <w:widowControl/>
        <w:tabs>
          <w:tab w:val="center" w:pos="4755"/>
          <w:tab w:val="right" w:pos="9070"/>
        </w:tabs>
        <w:autoSpaceDN w:val="0"/>
        <w:jc w:val="left"/>
        <w:rPr>
          <w:rFonts w:hint="eastAsia" w:ascii="宋体" w:hAnsi="宋体" w:eastAsia="宋体" w:cs="宋体"/>
          <w:color w:val="auto"/>
          <w:sz w:val="24"/>
          <w:szCs w:val="24"/>
          <w:highlight w:val="none"/>
        </w:rPr>
      </w:pPr>
    </w:p>
    <w:p w14:paraId="7EBFE52D">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66F57CF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6E54F4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91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527F7A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0122E83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1DC7EE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3E31A8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30C122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675C019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1812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7DDF212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25D238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6FA81CB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749F56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E3A24D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8559DF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E47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2AFEA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60C7A9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6F719A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886E9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F6A0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D60A9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BFB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597F3DB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2E05B55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28A317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48F68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6E073F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F13FF1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58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04A2EE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813A6C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4E3E3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548E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3EF4C2A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1A26EE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FCE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5BC5779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5C7069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F25648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070BF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215CA8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1310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CC0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4FA7CA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6D638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9ECB1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7E4625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BFECD3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1BDD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CD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E1609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7DBC67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462DD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B4B60B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338AA3F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DF889B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2A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66A806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640637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4747E3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0E64E6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52DA0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701A85E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6CA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F971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18FAF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47B37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C25B94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C3E7E5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83FBE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719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D1ADB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F8460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D9EC4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8BA4DF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EDCBE0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B402EA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829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9E4BB4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0EEC5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2D2847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E613F5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D772BA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7C43B84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75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693101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734B2B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218374B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4989D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4E8A0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02B1A8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98A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E2D19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71FC493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4DC81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3EAC5B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95D0A4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EA41D4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63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100804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F039B4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7B1174D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713B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65530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4CD47E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31FB4D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427DA18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4308040">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3C18D8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597E2A">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873F018">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1F7CE639">
      <w:pPr>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br w:type="page"/>
      </w:r>
    </w:p>
    <w:p w14:paraId="16138B95">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208" w:name="_Hlk101259491"/>
      <w:r>
        <w:rPr>
          <w:rFonts w:hint="eastAsia" w:ascii="宋体" w:hAnsi="宋体" w:eastAsia="宋体" w:cs="宋体"/>
          <w:color w:val="auto"/>
          <w:sz w:val="32"/>
          <w:szCs w:val="32"/>
        </w:rPr>
        <w:t>（如果有）</w:t>
      </w:r>
      <w:bookmarkEnd w:id="208"/>
    </w:p>
    <w:p w14:paraId="49B59395">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w:t>
      </w:r>
    </w:p>
    <w:p w14:paraId="47F93E47">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1E1E914F">
      <w:pPr>
        <w:spacing w:line="360" w:lineRule="auto"/>
        <w:jc w:val="center"/>
        <w:rPr>
          <w:rFonts w:hint="eastAsia" w:ascii="宋体" w:hAnsi="宋体" w:eastAsia="宋体" w:cs="宋体"/>
          <w:b/>
          <w:color w:val="auto"/>
          <w:spacing w:val="6"/>
          <w:sz w:val="32"/>
          <w:szCs w:val="32"/>
        </w:rPr>
      </w:pPr>
      <w:bookmarkStart w:id="209" w:name="OLE_LINK13"/>
      <w:bookmarkStart w:id="210" w:name="OLE_LINK14"/>
      <w:r>
        <w:rPr>
          <w:rFonts w:hint="eastAsia" w:ascii="宋体" w:hAnsi="宋体" w:eastAsia="宋体" w:cs="宋体"/>
          <w:b/>
          <w:color w:val="auto"/>
          <w:spacing w:val="6"/>
          <w:sz w:val="32"/>
          <w:szCs w:val="32"/>
        </w:rPr>
        <w:t>残疾人福利性单位声明函</w:t>
      </w:r>
    </w:p>
    <w:bookmarkEnd w:id="209"/>
    <w:bookmarkEnd w:id="210"/>
    <w:p w14:paraId="31FF179E">
      <w:pPr>
        <w:spacing w:line="360" w:lineRule="auto"/>
        <w:rPr>
          <w:rFonts w:hint="eastAsia" w:ascii="宋体" w:hAnsi="宋体" w:eastAsia="宋体" w:cs="宋体"/>
          <w:b/>
          <w:color w:val="auto"/>
          <w:spacing w:val="6"/>
          <w:sz w:val="30"/>
          <w:szCs w:val="30"/>
        </w:rPr>
      </w:pPr>
    </w:p>
    <w:p w14:paraId="33777B5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2012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BEA913A">
      <w:pPr>
        <w:spacing w:line="360" w:lineRule="auto"/>
        <w:ind w:firstLine="480" w:firstLineChars="200"/>
        <w:rPr>
          <w:rFonts w:hint="eastAsia" w:ascii="宋体" w:hAnsi="宋体" w:eastAsia="宋体" w:cs="宋体"/>
          <w:color w:val="auto"/>
          <w:sz w:val="24"/>
        </w:rPr>
      </w:pPr>
    </w:p>
    <w:p w14:paraId="016B0C1F">
      <w:pPr>
        <w:spacing w:line="360" w:lineRule="auto"/>
        <w:ind w:firstLine="480" w:firstLineChars="200"/>
        <w:rPr>
          <w:rFonts w:hint="eastAsia" w:ascii="宋体" w:hAnsi="宋体" w:eastAsia="宋体" w:cs="宋体"/>
          <w:color w:val="auto"/>
          <w:sz w:val="24"/>
        </w:rPr>
      </w:pPr>
    </w:p>
    <w:p w14:paraId="5E61D561">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供应商名称（电子签名）</w:t>
      </w:r>
      <w:r>
        <w:rPr>
          <w:rFonts w:hint="eastAsia" w:ascii="宋体" w:hAnsi="宋体" w:eastAsia="宋体" w:cs="宋体"/>
          <w:color w:val="auto"/>
          <w:sz w:val="24"/>
        </w:rPr>
        <w:t>：</w:t>
      </w:r>
    </w:p>
    <w:p w14:paraId="52215F43">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37FA0372">
      <w:pPr>
        <w:spacing w:line="360" w:lineRule="auto"/>
        <w:ind w:firstLine="480" w:firstLineChars="200"/>
        <w:rPr>
          <w:rFonts w:hint="eastAsia" w:ascii="宋体" w:hAnsi="宋体" w:eastAsia="宋体" w:cs="宋体"/>
          <w:color w:val="auto"/>
          <w:sz w:val="24"/>
        </w:rPr>
      </w:pPr>
    </w:p>
    <w:p w14:paraId="118C79FE">
      <w:pPr>
        <w:spacing w:line="360" w:lineRule="auto"/>
        <w:ind w:firstLine="420" w:firstLineChars="200"/>
        <w:rPr>
          <w:rFonts w:hint="eastAsia" w:ascii="宋体" w:hAnsi="宋体" w:eastAsia="宋体" w:cs="宋体"/>
          <w:color w:val="auto"/>
        </w:rPr>
      </w:pPr>
    </w:p>
    <w:p w14:paraId="4BDFBC6C">
      <w:pPr>
        <w:spacing w:line="360" w:lineRule="auto"/>
        <w:ind w:firstLine="420" w:firstLineChars="200"/>
        <w:rPr>
          <w:rFonts w:hint="eastAsia" w:ascii="宋体" w:hAnsi="宋体" w:eastAsia="宋体" w:cs="宋体"/>
          <w:color w:val="auto"/>
        </w:rPr>
      </w:pPr>
    </w:p>
    <w:p w14:paraId="6CE1A859">
      <w:pPr>
        <w:spacing w:line="360" w:lineRule="auto"/>
        <w:ind w:firstLine="420" w:firstLineChars="200"/>
        <w:rPr>
          <w:rFonts w:hint="eastAsia" w:ascii="宋体" w:hAnsi="宋体" w:eastAsia="宋体" w:cs="宋体"/>
          <w:color w:val="auto"/>
        </w:rPr>
      </w:pPr>
    </w:p>
    <w:p w14:paraId="22F9123F">
      <w:pPr>
        <w:spacing w:line="360" w:lineRule="auto"/>
        <w:ind w:firstLine="420" w:firstLineChars="200"/>
        <w:rPr>
          <w:rFonts w:hint="eastAsia" w:ascii="宋体" w:hAnsi="宋体" w:eastAsia="宋体" w:cs="宋体"/>
          <w:color w:val="auto"/>
        </w:rPr>
      </w:pPr>
    </w:p>
    <w:p w14:paraId="06B3DB92">
      <w:pPr>
        <w:spacing w:line="360" w:lineRule="auto"/>
        <w:rPr>
          <w:rFonts w:hint="eastAsia" w:ascii="宋体" w:hAnsi="宋体" w:eastAsia="宋体" w:cs="宋体"/>
          <w:b/>
          <w:color w:val="auto"/>
          <w:sz w:val="24"/>
        </w:rPr>
      </w:pPr>
    </w:p>
    <w:p w14:paraId="26380B4E">
      <w:pPr>
        <w:spacing w:line="360" w:lineRule="auto"/>
        <w:rPr>
          <w:rFonts w:hint="eastAsia" w:ascii="宋体" w:hAnsi="宋体" w:eastAsia="宋体" w:cs="宋体"/>
          <w:b/>
          <w:color w:val="auto"/>
          <w:sz w:val="24"/>
        </w:rPr>
      </w:pPr>
    </w:p>
    <w:p w14:paraId="46ECCB83">
      <w:pPr>
        <w:spacing w:line="360" w:lineRule="auto"/>
        <w:rPr>
          <w:rFonts w:hint="eastAsia" w:ascii="宋体" w:hAnsi="宋体" w:eastAsia="宋体" w:cs="宋体"/>
          <w:b/>
          <w:color w:val="auto"/>
          <w:sz w:val="24"/>
        </w:rPr>
      </w:pPr>
    </w:p>
    <w:p w14:paraId="58EAE82D">
      <w:pPr>
        <w:spacing w:line="360" w:lineRule="auto"/>
        <w:rPr>
          <w:rFonts w:hint="eastAsia" w:ascii="宋体" w:hAnsi="宋体" w:eastAsia="宋体" w:cs="宋体"/>
          <w:b/>
          <w:color w:val="auto"/>
          <w:sz w:val="24"/>
        </w:rPr>
      </w:pPr>
    </w:p>
    <w:p w14:paraId="625CAE96">
      <w:pPr>
        <w:spacing w:line="360" w:lineRule="auto"/>
        <w:rPr>
          <w:rFonts w:hint="eastAsia" w:ascii="宋体" w:hAnsi="宋体" w:eastAsia="宋体" w:cs="宋体"/>
          <w:b/>
          <w:color w:val="auto"/>
          <w:sz w:val="24"/>
        </w:rPr>
      </w:pPr>
    </w:p>
    <w:p w14:paraId="5D76B731">
      <w:pPr>
        <w:spacing w:line="360" w:lineRule="auto"/>
        <w:rPr>
          <w:rFonts w:hint="eastAsia" w:ascii="宋体" w:hAnsi="宋体" w:eastAsia="宋体" w:cs="宋体"/>
          <w:b/>
          <w:color w:val="auto"/>
          <w:sz w:val="24"/>
        </w:rPr>
      </w:pPr>
    </w:p>
    <w:p w14:paraId="52421957">
      <w:pPr>
        <w:spacing w:line="360" w:lineRule="auto"/>
        <w:rPr>
          <w:rFonts w:hint="eastAsia" w:ascii="宋体" w:hAnsi="宋体" w:eastAsia="宋体" w:cs="宋体"/>
          <w:b/>
          <w:color w:val="auto"/>
          <w:sz w:val="24"/>
        </w:rPr>
      </w:pPr>
    </w:p>
    <w:p w14:paraId="2C16BDA4">
      <w:pPr>
        <w:autoSpaceDE w:val="0"/>
        <w:autoSpaceDN w:val="0"/>
        <w:jc w:val="center"/>
        <w:rPr>
          <w:rFonts w:hint="eastAsia" w:ascii="宋体" w:hAnsi="宋体" w:eastAsia="宋体" w:cs="宋体"/>
          <w:b/>
          <w:color w:val="auto"/>
          <w:spacing w:val="6"/>
          <w:sz w:val="32"/>
          <w:szCs w:val="32"/>
        </w:rPr>
      </w:pPr>
    </w:p>
    <w:p w14:paraId="6CED8C1E">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2</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28118CC9">
      <w:pPr>
        <w:spacing w:line="360" w:lineRule="auto"/>
        <w:rPr>
          <w:rFonts w:hint="eastAsia" w:ascii="宋体" w:hAnsi="宋体" w:eastAsia="宋体" w:cs="宋体"/>
          <w:color w:val="auto"/>
          <w:sz w:val="24"/>
          <w:u w:val="single"/>
        </w:rPr>
      </w:pPr>
    </w:p>
    <w:p w14:paraId="206244F1">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281CF1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(供应商全称)是中华人民共和国依法登记注册的合法企业，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你方组织的（项目名称）项目【项目编号：（采购编号）】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576D32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257B8600">
      <w:pPr>
        <w:spacing w:line="360" w:lineRule="auto"/>
        <w:ind w:firstLine="494"/>
        <w:rPr>
          <w:rFonts w:hint="eastAsia" w:ascii="宋体" w:hAnsi="宋体" w:eastAsia="宋体" w:cs="宋体"/>
          <w:color w:val="auto"/>
          <w:sz w:val="24"/>
        </w:rPr>
      </w:pPr>
    </w:p>
    <w:p w14:paraId="3BCECDCA">
      <w:pPr>
        <w:spacing w:line="360" w:lineRule="auto"/>
        <w:ind w:firstLine="494"/>
        <w:rPr>
          <w:rFonts w:hint="eastAsia" w:ascii="宋体" w:hAnsi="宋体" w:eastAsia="宋体" w:cs="宋体"/>
          <w:color w:val="auto"/>
          <w:sz w:val="24"/>
        </w:rPr>
      </w:pPr>
    </w:p>
    <w:p w14:paraId="02A19938">
      <w:pPr>
        <w:spacing w:line="360" w:lineRule="auto"/>
        <w:ind w:firstLine="494"/>
        <w:rPr>
          <w:rFonts w:hint="eastAsia" w:ascii="宋体" w:hAnsi="宋体" w:eastAsia="宋体" w:cs="宋体"/>
          <w:color w:val="auto"/>
          <w:sz w:val="24"/>
        </w:rPr>
      </w:pPr>
    </w:p>
    <w:p w14:paraId="0033812E">
      <w:pPr>
        <w:spacing w:line="360" w:lineRule="auto"/>
        <w:ind w:firstLine="494"/>
        <w:rPr>
          <w:rFonts w:hint="eastAsia" w:ascii="宋体" w:hAnsi="宋体" w:eastAsia="宋体" w:cs="宋体"/>
          <w:color w:val="auto"/>
          <w:sz w:val="24"/>
        </w:rPr>
      </w:pPr>
    </w:p>
    <w:p w14:paraId="7DF906FA">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供应商（法定名称章）：</w:t>
      </w:r>
    </w:p>
    <w:p w14:paraId="4A1E1BFE">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2D3F3F5A">
      <w:pPr>
        <w:rPr>
          <w:rFonts w:hint="eastAsia" w:ascii="宋体" w:hAnsi="宋体" w:eastAsia="宋体" w:cs="宋体"/>
          <w:color w:val="auto"/>
          <w:sz w:val="24"/>
        </w:rPr>
      </w:pPr>
      <w:r>
        <w:rPr>
          <w:rFonts w:hint="eastAsia" w:ascii="宋体" w:hAnsi="宋体" w:eastAsia="宋体" w:cs="宋体"/>
          <w:b/>
          <w:bCs/>
          <w:color w:val="auto"/>
          <w:sz w:val="24"/>
        </w:rPr>
        <w:t>附：</w:t>
      </w:r>
    </w:p>
    <w:p w14:paraId="20606D70">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w:t>供应商</w:t>
      </w:r>
      <w:r>
        <w:rPr>
          <w:rFonts w:hint="eastAsia" w:ascii="宋体" w:hAnsi="宋体" w:eastAsia="宋体" w:cs="宋体"/>
          <w:color w:val="auto"/>
          <w:sz w:val="24"/>
        </w:rPr>
        <w:t>法定名称章（印模）                供应商“XX专用章”（印模）</w:t>
      </w:r>
    </w:p>
    <w:p w14:paraId="729FDC1F">
      <w:pPr>
        <w:autoSpaceDE w:val="0"/>
        <w:autoSpaceDN w:val="0"/>
        <w:jc w:val="center"/>
        <w:rPr>
          <w:rFonts w:hint="eastAsia" w:ascii="宋体" w:hAnsi="宋体" w:eastAsia="宋体" w:cs="宋体"/>
          <w:b/>
          <w:color w:val="auto"/>
          <w:spacing w:val="6"/>
          <w:sz w:val="32"/>
          <w:szCs w:val="32"/>
        </w:rPr>
      </w:pPr>
    </w:p>
    <w:p w14:paraId="0377D32A">
      <w:pPr>
        <w:autoSpaceDE w:val="0"/>
        <w:autoSpaceDN w:val="0"/>
        <w:jc w:val="center"/>
        <w:rPr>
          <w:rFonts w:hint="eastAsia" w:ascii="宋体" w:hAnsi="宋体" w:eastAsia="宋体" w:cs="宋体"/>
          <w:b/>
          <w:color w:val="auto"/>
          <w:spacing w:val="6"/>
          <w:sz w:val="32"/>
          <w:szCs w:val="32"/>
        </w:rPr>
      </w:pPr>
    </w:p>
    <w:p w14:paraId="27910172">
      <w:pPr>
        <w:autoSpaceDE w:val="0"/>
        <w:autoSpaceDN w:val="0"/>
        <w:jc w:val="center"/>
        <w:rPr>
          <w:rFonts w:hint="eastAsia" w:ascii="宋体" w:hAnsi="宋体" w:eastAsia="宋体" w:cs="宋体"/>
          <w:b/>
          <w:color w:val="auto"/>
          <w:spacing w:val="6"/>
          <w:sz w:val="32"/>
          <w:szCs w:val="32"/>
        </w:rPr>
      </w:pPr>
    </w:p>
    <w:p w14:paraId="0EE33719">
      <w:pPr>
        <w:autoSpaceDE w:val="0"/>
        <w:autoSpaceDN w:val="0"/>
        <w:jc w:val="center"/>
        <w:rPr>
          <w:rFonts w:hint="eastAsia" w:ascii="宋体" w:hAnsi="宋体" w:eastAsia="宋体" w:cs="宋体"/>
          <w:b/>
          <w:color w:val="auto"/>
          <w:spacing w:val="6"/>
          <w:sz w:val="32"/>
          <w:szCs w:val="32"/>
        </w:rPr>
      </w:pPr>
    </w:p>
    <w:p w14:paraId="6BA1F483">
      <w:pPr>
        <w:autoSpaceDE w:val="0"/>
        <w:autoSpaceDN w:val="0"/>
        <w:jc w:val="center"/>
        <w:rPr>
          <w:rFonts w:hint="eastAsia" w:ascii="宋体" w:hAnsi="宋体" w:eastAsia="宋体" w:cs="宋体"/>
          <w:b/>
          <w:color w:val="auto"/>
          <w:spacing w:val="6"/>
          <w:sz w:val="32"/>
          <w:szCs w:val="32"/>
        </w:rPr>
      </w:pPr>
    </w:p>
    <w:p w14:paraId="04088B2C">
      <w:pPr>
        <w:autoSpaceDE w:val="0"/>
        <w:autoSpaceDN w:val="0"/>
        <w:jc w:val="center"/>
        <w:rPr>
          <w:rFonts w:hint="eastAsia" w:ascii="宋体" w:hAnsi="宋体" w:eastAsia="宋体" w:cs="宋体"/>
          <w:b/>
          <w:color w:val="auto"/>
          <w:spacing w:val="6"/>
          <w:sz w:val="32"/>
          <w:szCs w:val="32"/>
        </w:rPr>
      </w:pPr>
    </w:p>
    <w:p w14:paraId="2D4D8123">
      <w:pPr>
        <w:autoSpaceDE w:val="0"/>
        <w:autoSpaceDN w:val="0"/>
        <w:jc w:val="center"/>
        <w:rPr>
          <w:rFonts w:hint="eastAsia" w:ascii="宋体" w:hAnsi="宋体" w:eastAsia="宋体" w:cs="宋体"/>
          <w:b/>
          <w:color w:val="auto"/>
          <w:spacing w:val="6"/>
          <w:sz w:val="32"/>
          <w:szCs w:val="32"/>
        </w:rPr>
      </w:pPr>
    </w:p>
    <w:p w14:paraId="7C3958CF">
      <w:pPr>
        <w:autoSpaceDE w:val="0"/>
        <w:autoSpaceDN w:val="0"/>
        <w:jc w:val="center"/>
        <w:rPr>
          <w:rFonts w:hint="eastAsia" w:ascii="宋体" w:hAnsi="宋体" w:eastAsia="宋体" w:cs="宋体"/>
          <w:b/>
          <w:color w:val="auto"/>
          <w:spacing w:val="6"/>
          <w:sz w:val="32"/>
          <w:szCs w:val="32"/>
        </w:rPr>
      </w:pPr>
    </w:p>
    <w:p w14:paraId="53E50F18">
      <w:pPr>
        <w:autoSpaceDE w:val="0"/>
        <w:autoSpaceDN w:val="0"/>
        <w:jc w:val="center"/>
        <w:rPr>
          <w:rFonts w:hint="eastAsia" w:ascii="宋体" w:hAnsi="宋体" w:eastAsia="宋体" w:cs="宋体"/>
          <w:b/>
          <w:color w:val="auto"/>
          <w:spacing w:val="6"/>
          <w:sz w:val="32"/>
          <w:szCs w:val="32"/>
        </w:rPr>
      </w:pPr>
    </w:p>
    <w:p w14:paraId="26A003F8">
      <w:pPr>
        <w:autoSpaceDE w:val="0"/>
        <w:autoSpaceDN w:val="0"/>
        <w:jc w:val="center"/>
        <w:rPr>
          <w:rFonts w:hint="eastAsia" w:ascii="宋体" w:hAnsi="宋体" w:eastAsia="宋体" w:cs="宋体"/>
          <w:b/>
          <w:color w:val="auto"/>
          <w:spacing w:val="6"/>
          <w:sz w:val="32"/>
          <w:szCs w:val="32"/>
        </w:rPr>
      </w:pPr>
    </w:p>
    <w:p w14:paraId="5CB35ABC">
      <w:pPr>
        <w:autoSpaceDE w:val="0"/>
        <w:autoSpaceDN w:val="0"/>
        <w:jc w:val="center"/>
        <w:rPr>
          <w:rFonts w:hint="eastAsia" w:ascii="宋体" w:hAnsi="宋体" w:eastAsia="宋体" w:cs="宋体"/>
          <w:b/>
          <w:color w:val="auto"/>
          <w:spacing w:val="6"/>
          <w:sz w:val="32"/>
          <w:szCs w:val="32"/>
        </w:rPr>
      </w:pPr>
    </w:p>
    <w:p w14:paraId="384B4A3D">
      <w:pPr>
        <w:autoSpaceDE w:val="0"/>
        <w:autoSpaceDN w:val="0"/>
        <w:jc w:val="center"/>
        <w:rPr>
          <w:rFonts w:hint="eastAsia" w:ascii="宋体" w:hAnsi="宋体" w:eastAsia="宋体" w:cs="宋体"/>
          <w:b/>
          <w:color w:val="auto"/>
          <w:spacing w:val="6"/>
          <w:sz w:val="32"/>
          <w:szCs w:val="32"/>
        </w:rPr>
      </w:pPr>
    </w:p>
    <w:p w14:paraId="2BFBA59E">
      <w:pPr>
        <w:autoSpaceDE w:val="0"/>
        <w:autoSpaceDN w:val="0"/>
        <w:jc w:val="center"/>
        <w:rPr>
          <w:rFonts w:hint="eastAsia" w:ascii="宋体" w:hAnsi="宋体" w:eastAsia="宋体" w:cs="宋体"/>
          <w:b/>
          <w:color w:val="auto"/>
          <w:spacing w:val="6"/>
          <w:sz w:val="32"/>
          <w:szCs w:val="32"/>
        </w:rPr>
      </w:pPr>
    </w:p>
    <w:p w14:paraId="397CDAF0">
      <w:pPr>
        <w:autoSpaceDE w:val="0"/>
        <w:autoSpaceDN w:val="0"/>
        <w:jc w:val="center"/>
        <w:rPr>
          <w:rFonts w:hint="eastAsia" w:ascii="宋体" w:hAnsi="宋体" w:eastAsia="宋体" w:cs="宋体"/>
          <w:b/>
          <w:color w:val="auto"/>
          <w:spacing w:val="6"/>
          <w:sz w:val="32"/>
          <w:szCs w:val="32"/>
        </w:rPr>
      </w:pPr>
    </w:p>
    <w:p w14:paraId="774A900E">
      <w:pPr>
        <w:autoSpaceDE w:val="0"/>
        <w:autoSpaceDN w:val="0"/>
        <w:jc w:val="center"/>
        <w:rPr>
          <w:rFonts w:hint="eastAsia" w:ascii="宋体" w:hAnsi="宋体" w:eastAsia="宋体" w:cs="宋体"/>
          <w:b/>
          <w:color w:val="auto"/>
          <w:spacing w:val="6"/>
          <w:sz w:val="32"/>
          <w:szCs w:val="32"/>
        </w:rPr>
      </w:pPr>
    </w:p>
    <w:p w14:paraId="58E43199">
      <w:pPr>
        <w:autoSpaceDE w:val="0"/>
        <w:autoSpaceDN w:val="0"/>
        <w:jc w:val="center"/>
        <w:rPr>
          <w:rFonts w:hint="eastAsia" w:ascii="宋体" w:hAnsi="宋体" w:eastAsia="宋体" w:cs="宋体"/>
          <w:b/>
          <w:color w:val="auto"/>
          <w:spacing w:val="6"/>
          <w:sz w:val="32"/>
          <w:szCs w:val="32"/>
        </w:rPr>
      </w:pPr>
    </w:p>
    <w:p w14:paraId="3FC172AE">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color w:val="auto"/>
          <w:kern w:val="0"/>
          <w:sz w:val="32"/>
          <w:szCs w:val="32"/>
          <w:lang w:val="zh-CN"/>
        </w:rPr>
        <w:t>联合协议</w:t>
      </w:r>
    </w:p>
    <w:p w14:paraId="7941DECC">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（以联合体形式参与的，提供联合协议；本项目不接受联合体或者供应商不以联合体形式参与的，则不需要提供）</w:t>
      </w:r>
    </w:p>
    <w:p w14:paraId="22A9B92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组成一个联合体，以一个供应商的身份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rPr>
        <w:t>响应</w:t>
      </w:r>
      <w:r>
        <w:rPr>
          <w:rFonts w:hint="eastAsia" w:ascii="宋体" w:hAnsi="宋体" w:eastAsia="宋体" w:cs="宋体"/>
          <w:color w:val="auto"/>
          <w:kern w:val="0"/>
          <w:sz w:val="24"/>
          <w:lang w:val="zh-CN"/>
        </w:rPr>
        <w:t xml:space="preserve">。 </w:t>
      </w:r>
    </w:p>
    <w:p w14:paraId="1BFD90E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5E70B5F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授权代表根据采购文件规定及</w:t>
      </w:r>
      <w:r>
        <w:rPr>
          <w:rFonts w:hint="eastAsia" w:ascii="宋体" w:hAnsi="宋体" w:eastAsia="宋体" w:cs="宋体"/>
          <w:color w:val="auto"/>
          <w:kern w:val="0"/>
          <w:sz w:val="24"/>
        </w:rPr>
        <w:t>响应内容</w:t>
      </w:r>
      <w:r>
        <w:rPr>
          <w:rFonts w:hint="eastAsia" w:ascii="宋体" w:hAnsi="宋体" w:eastAsia="宋体" w:cs="宋体"/>
          <w:color w:val="auto"/>
          <w:kern w:val="0"/>
          <w:sz w:val="24"/>
          <w:lang w:val="zh-CN"/>
        </w:rPr>
        <w:t>而对采购人、采购代理机构所作的任何合法承诺，包括书面澄清及相应等均对联合投标各方产生约束力。</w:t>
      </w:r>
    </w:p>
    <w:p w14:paraId="10FC45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w:t>
      </w:r>
      <w:r>
        <w:rPr>
          <w:rFonts w:hint="eastAsia" w:ascii="宋体" w:hAnsi="宋体" w:eastAsia="宋体" w:cs="宋体"/>
          <w:color w:val="auto"/>
          <w:kern w:val="0"/>
          <w:sz w:val="24"/>
        </w:rPr>
        <w:t>响应</w:t>
      </w:r>
      <w:r>
        <w:rPr>
          <w:rFonts w:hint="eastAsia" w:ascii="宋体" w:hAnsi="宋体" w:eastAsia="宋体" w:cs="宋体"/>
          <w:color w:val="auto"/>
          <w:kern w:val="0"/>
          <w:sz w:val="24"/>
          <w:lang w:val="zh-CN"/>
        </w:rPr>
        <w:t>中，分工如下：</w:t>
      </w:r>
    </w:p>
    <w:p w14:paraId="3405948F">
      <w:pPr>
        <w:snapToGrid w:val="0"/>
        <w:spacing w:line="360" w:lineRule="auto"/>
        <w:ind w:firstLine="576"/>
        <w:rPr>
          <w:rFonts w:hint="eastAsia" w:ascii="宋体" w:hAnsi="宋体" w:eastAsia="宋体" w:cs="宋体"/>
          <w:color w:val="auto"/>
          <w:kern w:val="0"/>
          <w:sz w:val="24"/>
          <w:lang w:val="zh-CN"/>
        </w:rPr>
      </w:pPr>
      <w:bookmarkStart w:id="211"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C71368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A8EC8B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211"/>
    <w:p w14:paraId="0A7A143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58574EB6">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提供的全部工程由小微企业承建，其合同份额占到合同总金额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w:t>
      </w:r>
      <w:r>
        <w:rPr>
          <w:rFonts w:hint="eastAsia" w:ascii="宋体" w:hAnsi="宋体" w:eastAsia="宋体" w:cs="宋体"/>
          <w:b/>
          <w:color w:val="auto"/>
          <w:kern w:val="0"/>
          <w:sz w:val="24"/>
        </w:rPr>
        <w:t>磋商</w:t>
      </w:r>
      <w:r>
        <w:rPr>
          <w:rFonts w:hint="eastAsia" w:ascii="宋体" w:hAnsi="宋体" w:eastAsia="宋体" w:cs="宋体"/>
          <w:b/>
          <w:color w:val="auto"/>
          <w:kern w:val="0"/>
          <w:sz w:val="24"/>
          <w:lang w:val="zh-CN"/>
        </w:rPr>
        <w:t>的，联合协议约定小微企业的合同份额占到合同总金额30%以上的，对联合体报价给予</w:t>
      </w:r>
      <w:r>
        <w:rPr>
          <w:rFonts w:hint="eastAsia" w:ascii="宋体" w:hAnsi="宋体" w:eastAsia="宋体" w:cs="宋体"/>
          <w:b/>
          <w:color w:val="auto"/>
          <w:kern w:val="0"/>
          <w:sz w:val="24"/>
        </w:rPr>
        <w:t>2</w:t>
      </w:r>
      <w:r>
        <w:rPr>
          <w:rFonts w:hint="eastAsia" w:ascii="宋体" w:hAnsi="宋体" w:eastAsia="宋体" w:cs="宋体"/>
          <w:b/>
          <w:color w:val="auto"/>
          <w:kern w:val="0"/>
          <w:sz w:val="24"/>
          <w:lang w:val="zh-CN"/>
        </w:rPr>
        <w:t>%的扣除。供应商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E92764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6A7D978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五、如果成交，</w:t>
      </w:r>
      <w:r>
        <w:rPr>
          <w:rFonts w:hint="eastAsia" w:ascii="宋体" w:hAnsi="宋体" w:eastAsia="宋体" w:cs="宋体"/>
          <w:color w:val="auto"/>
          <w:sz w:val="24"/>
        </w:rPr>
        <w:t>联合体各成员方共同与采购人签订合同，并就采购合同约定的事项对采购人承担连带责任。</w:t>
      </w:r>
    </w:p>
    <w:p w14:paraId="5CA11B8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w:t>
      </w:r>
      <w:r>
        <w:rPr>
          <w:rFonts w:hint="eastAsia" w:ascii="宋体" w:hAnsi="宋体" w:eastAsia="宋体" w:cs="宋体"/>
          <w:color w:val="auto"/>
          <w:kern w:val="0"/>
          <w:sz w:val="24"/>
        </w:rPr>
        <w:t>响应</w:t>
      </w:r>
      <w:r>
        <w:rPr>
          <w:rFonts w:hint="eastAsia" w:ascii="宋体" w:hAnsi="宋体" w:eastAsia="宋体" w:cs="宋体"/>
          <w:color w:val="auto"/>
          <w:kern w:val="0"/>
          <w:sz w:val="24"/>
          <w:lang w:val="zh-CN"/>
        </w:rPr>
        <w:t>的其他事宜：</w:t>
      </w:r>
    </w:p>
    <w:p w14:paraId="3815992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718D5B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778325B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2E6E8C1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3FB0A605">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5E2A98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FD52FE6">
      <w:pPr>
        <w:autoSpaceDE w:val="0"/>
        <w:autoSpaceDN w:val="0"/>
        <w:jc w:val="center"/>
        <w:rPr>
          <w:rFonts w:hint="eastAsia" w:ascii="宋体" w:hAnsi="宋体" w:eastAsia="宋体" w:cs="宋体"/>
          <w:b/>
          <w:color w:val="auto"/>
          <w:spacing w:val="6"/>
          <w:sz w:val="32"/>
          <w:szCs w:val="32"/>
        </w:rPr>
        <w:sectPr>
          <w:footerReference r:id="rId12" w:type="first"/>
          <w:headerReference r:id="rId10" w:type="default"/>
          <w:footerReference r:id="rId11" w:type="default"/>
          <w:pgSz w:w="11905" w:h="16838"/>
          <w:pgMar w:top="1417" w:right="1417" w:bottom="1417" w:left="1417" w:header="851" w:footer="992" w:gutter="0"/>
          <w:cols w:space="0" w:num="1"/>
          <w:titlePg/>
          <w:rtlGutter w:val="0"/>
          <w:docGrid w:linePitch="312" w:charSpace="0"/>
        </w:sectPr>
      </w:pPr>
    </w:p>
    <w:p w14:paraId="7FDFF2DC">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4</w:t>
      </w:r>
      <w:r>
        <w:rPr>
          <w:rFonts w:hint="eastAsia" w:ascii="宋体" w:hAnsi="宋体" w:eastAsia="宋体" w:cs="宋体"/>
          <w:b/>
          <w:color w:val="auto"/>
          <w:spacing w:val="6"/>
          <w:sz w:val="32"/>
          <w:szCs w:val="32"/>
        </w:rPr>
        <w:t>：</w:t>
      </w:r>
      <w:r>
        <w:rPr>
          <w:rFonts w:hint="eastAsia" w:ascii="宋体" w:hAnsi="宋体" w:eastAsia="宋体" w:cs="宋体"/>
          <w:b/>
          <w:color w:val="auto"/>
          <w:kern w:val="0"/>
          <w:sz w:val="32"/>
          <w:szCs w:val="32"/>
        </w:rPr>
        <w:t>分包意向协议</w:t>
      </w:r>
    </w:p>
    <w:p w14:paraId="6461D101">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75D74F58">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10562CE">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C45C28E">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0898C6D">
      <w:pPr>
        <w:pStyle w:val="4"/>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212" w:name="_Toc14762"/>
      <w:r>
        <w:rPr>
          <w:rFonts w:hint="eastAsia" w:ascii="宋体" w:hAnsi="宋体" w:eastAsia="宋体" w:cs="宋体"/>
          <w:color w:val="auto"/>
          <w:kern w:val="0"/>
          <w:sz w:val="24"/>
          <w:szCs w:val="24"/>
          <w:highlight w:val="none"/>
        </w:rPr>
        <w:t>……</w:t>
      </w:r>
      <w:bookmarkEnd w:id="212"/>
    </w:p>
    <w:p w14:paraId="7EF6BC35">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DFC7E44">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w:t>
      </w:r>
      <w:r>
        <w:rPr>
          <w:rFonts w:hint="eastAsia" w:ascii="宋体" w:hAnsi="宋体" w:eastAsia="宋体" w:cs="宋体"/>
          <w:b/>
          <w:color w:val="auto"/>
          <w:kern w:val="0"/>
          <w:sz w:val="24"/>
          <w:lang w:val="zh-CN"/>
        </w:rPr>
        <w:t>分采购包，允许分包的，分包意向协议约定小微企业的合同份额占到合同总金额30%以上的，对大中型企业的报价给予</w:t>
      </w:r>
      <w:r>
        <w:rPr>
          <w:rFonts w:hint="eastAsia" w:ascii="宋体" w:hAnsi="宋体" w:eastAsia="宋体" w:cs="宋体"/>
          <w:b/>
          <w:color w:val="auto"/>
          <w:kern w:val="0"/>
          <w:sz w:val="24"/>
        </w:rPr>
        <w:t>2</w:t>
      </w:r>
      <w:r>
        <w:rPr>
          <w:rFonts w:hint="eastAsia" w:ascii="宋体" w:hAnsi="宋体" w:eastAsia="宋体" w:cs="宋体"/>
          <w:b/>
          <w:color w:val="auto"/>
          <w:kern w:val="0"/>
          <w:sz w:val="24"/>
          <w:lang w:val="zh-CN"/>
        </w:rPr>
        <w:t>%的扣除。供应商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1CCA852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213"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213"/>
    </w:p>
    <w:p w14:paraId="7FF2F26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6FFB712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u w:val="single"/>
        </w:rPr>
      </w:pPr>
      <w:r>
        <w:rPr>
          <w:rFonts w:hint="eastAsia" w:ascii="宋体" w:hAnsi="宋体" w:eastAsia="宋体" w:cs="宋体"/>
          <w:color w:val="auto"/>
          <w:u w:val="single"/>
        </w:rPr>
        <w:t xml:space="preserve">                                                                                  </w:t>
      </w:r>
    </w:p>
    <w:p w14:paraId="37C7DB3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39E3B30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4C3F3EFA">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22AC6A36">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125CC664">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5EA1D82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797C765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4F2929B6">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3BAAFD3">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供应商名称(电子签名)：</w:t>
      </w:r>
    </w:p>
    <w:p w14:paraId="350673DB">
      <w:pPr>
        <w:snapToGrid w:val="0"/>
        <w:spacing w:line="360" w:lineRule="auto"/>
        <w:ind w:firstLine="5640" w:firstLineChars="235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w:t>
      </w:r>
    </w:p>
    <w:p w14:paraId="13B44A1C">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76BE5653">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0AF6B17">
      <w:pPr>
        <w:autoSpaceDE w:val="0"/>
        <w:autoSpaceDN w:val="0"/>
        <w:jc w:val="center"/>
        <w:rPr>
          <w:rFonts w:hint="eastAsia" w:ascii="宋体" w:hAnsi="宋体" w:eastAsia="宋体" w:cs="宋体"/>
          <w:b/>
          <w:color w:val="auto"/>
          <w:spacing w:val="6"/>
          <w:sz w:val="32"/>
          <w:szCs w:val="32"/>
        </w:rPr>
      </w:pPr>
    </w:p>
    <w:p w14:paraId="11B5AAE7">
      <w:pPr>
        <w:autoSpaceDE w:val="0"/>
        <w:autoSpaceDN w:val="0"/>
        <w:jc w:val="center"/>
        <w:rPr>
          <w:rFonts w:hint="eastAsia" w:ascii="宋体" w:hAnsi="宋体" w:eastAsia="宋体" w:cs="宋体"/>
          <w:b/>
          <w:color w:val="auto"/>
          <w:spacing w:val="6"/>
          <w:sz w:val="32"/>
          <w:szCs w:val="32"/>
        </w:rPr>
        <w:sectPr>
          <w:pgSz w:w="11905" w:h="16838"/>
          <w:pgMar w:top="1417" w:right="1417" w:bottom="1417" w:left="1417" w:header="851" w:footer="992" w:gutter="0"/>
          <w:cols w:space="0" w:num="1"/>
          <w:titlePg/>
          <w:rtlGutter w:val="0"/>
          <w:docGrid w:linePitch="312" w:charSpace="0"/>
        </w:sectPr>
      </w:pPr>
    </w:p>
    <w:p w14:paraId="5C0D8B0F">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5</w:t>
      </w:r>
      <w:r>
        <w:rPr>
          <w:rFonts w:hint="eastAsia" w:ascii="宋体" w:hAnsi="宋体" w:eastAsia="宋体" w:cs="宋体"/>
          <w:b/>
          <w:color w:val="auto"/>
          <w:spacing w:val="6"/>
          <w:sz w:val="32"/>
          <w:szCs w:val="32"/>
        </w:rPr>
        <w:t>：</w:t>
      </w:r>
      <w:r>
        <w:rPr>
          <w:rFonts w:hint="eastAsia" w:ascii="宋体" w:hAnsi="宋体" w:eastAsia="宋体" w:cs="宋体"/>
          <w:b/>
          <w:color w:val="auto"/>
          <w:sz w:val="32"/>
          <w:szCs w:val="32"/>
        </w:rPr>
        <w:t>中小企业声明函</w:t>
      </w:r>
    </w:p>
    <w:p w14:paraId="647FCA6B">
      <w:pPr>
        <w:spacing w:line="360" w:lineRule="auto"/>
        <w:jc w:val="center"/>
        <w:rPr>
          <w:rFonts w:hint="eastAsia" w:ascii="宋体" w:hAnsi="宋体" w:eastAsia="宋体" w:cs="宋体"/>
          <w:color w:val="auto"/>
          <w:sz w:val="24"/>
          <w:u w:val="single"/>
        </w:rPr>
      </w:pPr>
    </w:p>
    <w:p w14:paraId="47ACC38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中小企业声明函（工程）</w:t>
      </w:r>
    </w:p>
    <w:p w14:paraId="7DD3F0F7">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rPr>
        <w:t>本公司（联合体）郑重声明，根</w:t>
      </w:r>
      <w:r>
        <w:rPr>
          <w:rFonts w:hint="eastAsia" w:ascii="宋体" w:hAnsi="宋体" w:eastAsia="宋体" w:cs="宋体"/>
          <w:color w:val="auto"/>
          <w:sz w:val="24"/>
          <w:highlight w:val="none"/>
        </w:rPr>
        <w:t xml:space="preserve">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BFB5F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 xml:space="preserve">浙江警察学院滨江校区战训楼屋面修缮项目 </w:t>
      </w:r>
      <w:r>
        <w:rPr>
          <w:rFonts w:hint="eastAsia" w:ascii="宋体" w:hAnsi="宋体" w:eastAsia="宋体" w:cs="宋体"/>
          <w:color w:val="auto"/>
          <w:sz w:val="24"/>
          <w:u w:val="single"/>
        </w:rPr>
        <w:t>）</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（建筑业）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17D50C8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3516682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71A793C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4499C0F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67317A5A">
      <w:pPr>
        <w:spacing w:line="360" w:lineRule="auto"/>
        <w:ind w:firstLine="480" w:firstLineChars="200"/>
        <w:rPr>
          <w:rFonts w:hint="eastAsia" w:ascii="宋体" w:hAnsi="宋体" w:eastAsia="宋体" w:cs="宋体"/>
          <w:color w:val="auto"/>
          <w:sz w:val="24"/>
        </w:rPr>
      </w:pPr>
    </w:p>
    <w:p w14:paraId="0F66D3D5">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供应商名称(电子签名)：</w:t>
      </w:r>
    </w:p>
    <w:p w14:paraId="1127840C">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30A8045E">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0C6D7B47">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3681FA4D">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1、从业人员、营业收入、资产总额填报上一年度数据，无上一年度数据的新成立企业可不填报</w:t>
      </w:r>
      <w:r>
        <w:rPr>
          <w:rFonts w:hint="eastAsia" w:ascii="宋体" w:hAnsi="宋体" w:eastAsia="宋体" w:cs="宋体"/>
          <w:color w:val="auto"/>
          <w:sz w:val="24"/>
          <w:lang w:eastAsia="zh-CN"/>
        </w:rPr>
        <w:t>。②</w:t>
      </w:r>
      <w:r>
        <w:rPr>
          <w:rFonts w:hint="eastAsia" w:ascii="宋体" w:hAnsi="宋体" w:eastAsia="宋体" w:cs="宋体"/>
          <w:color w:val="auto"/>
          <w:sz w:val="24"/>
        </w:rPr>
        <w:t>《中小企业声明函》中“标的名称”、“采购文件中明确的所属行业”依据招标文件第二部分</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须知前附表中“采购标的及其对应的中小企业划分标准所属行业”的指引，逐一填写，不得缺漏。</w:t>
      </w:r>
    </w:p>
    <w:p w14:paraId="22701A6D">
      <w:pPr>
        <w:autoSpaceDN w:val="0"/>
        <w:spacing w:line="360" w:lineRule="auto"/>
        <w:ind w:firstLine="442" w:firstLineChars="200"/>
        <w:rPr>
          <w:rFonts w:hint="eastAsia" w:ascii="宋体" w:hAnsi="宋体" w:eastAsia="宋体" w:cs="宋体"/>
          <w:b/>
          <w:bCs/>
          <w:color w:val="auto"/>
          <w:sz w:val="22"/>
          <w:highlight w:val="none"/>
        </w:rPr>
      </w:pPr>
    </w:p>
    <w:p w14:paraId="7F6DEDB6">
      <w:pPr>
        <w:autoSpaceDN w:val="0"/>
        <w:spacing w:line="200" w:lineRule="exact"/>
        <w:ind w:firstLine="301"/>
        <w:rPr>
          <w:rFonts w:hint="eastAsia" w:ascii="宋体" w:hAnsi="宋体" w:eastAsia="宋体" w:cs="宋体"/>
          <w:color w:val="auto"/>
          <w:spacing w:val="-4"/>
          <w:kern w:val="0"/>
          <w:sz w:val="18"/>
          <w:szCs w:val="20"/>
          <w:highlight w:val="none"/>
        </w:rPr>
      </w:pPr>
    </w:p>
    <w:p w14:paraId="1AA302BD">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214" w:name="_Toc8007005"/>
      <w:bookmarkStart w:id="215" w:name="_Toc24471818"/>
      <w:bookmarkStart w:id="216" w:name="_Toc25765010"/>
      <w:bookmarkStart w:id="217" w:name="_Toc7574705"/>
      <w:bookmarkStart w:id="218" w:name="_Toc17428349"/>
      <w:bookmarkStart w:id="219" w:name="_Toc7668950"/>
      <w:bookmarkStart w:id="220" w:name="_Toc17428254"/>
      <w:bookmarkStart w:id="221" w:name="_Toc7542916"/>
      <w:bookmarkStart w:id="222" w:name="_Toc20358292"/>
      <w:bookmarkStart w:id="223" w:name="_Toc10432458"/>
      <w:bookmarkStart w:id="224" w:name="_Toc7664197"/>
      <w:bookmarkStart w:id="225" w:name="_Toc7988421"/>
      <w:bookmarkStart w:id="226" w:name="_Toc7988475"/>
      <w:bookmarkStart w:id="227" w:name="_Toc7492528"/>
      <w:bookmarkStart w:id="228" w:name="_Toc7993641"/>
      <w:bookmarkStart w:id="229" w:name="_Toc7663597"/>
      <w:bookmarkStart w:id="230" w:name="_Toc7488759"/>
      <w:bookmarkStart w:id="231" w:name="_Toc2002574"/>
      <w:bookmarkStart w:id="232" w:name="_Toc522417531"/>
      <w:bookmarkStart w:id="233" w:name="_Toc522830351"/>
      <w:bookmarkStart w:id="234" w:name="_Toc532440701"/>
      <w:bookmarkStart w:id="235" w:name="_Toc4649580"/>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8D25BF8">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1C63616E">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50A70B21">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0E1A29EC">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110091B2">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22DF271">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78782F2E">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5BA7EC7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1AE6DD7E">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08F250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5B3D1B5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0DF00B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40A5E8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3305935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0E785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1789BEBE">
            <w:pPr>
              <w:keepNext w:val="0"/>
              <w:keepLines w:val="0"/>
              <w:widowControl/>
              <w:suppressLineNumbers w:val="0"/>
              <w:spacing w:before="0" w:beforeAutospacing="0" w:after="0" w:afterAutospacing="0"/>
              <w:ind w:left="0" w:right="0"/>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26D846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736A4B4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61E074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4044C96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51E4CAF8">
            <w:pPr>
              <w:keepNext w:val="0"/>
              <w:keepLines w:val="0"/>
              <w:widowControl/>
              <w:suppressLineNumbers w:val="0"/>
              <w:spacing w:before="0" w:beforeAutospacing="0" w:after="0" w:afterAutospacing="0"/>
              <w:ind w:left="0" w:right="0"/>
              <w:jc w:val="left"/>
              <w:rPr>
                <w:rFonts w:hint="eastAsia" w:ascii="宋体" w:hAnsi="宋体" w:eastAsia="宋体" w:cs="宋体"/>
                <w:b/>
                <w:color w:val="auto"/>
                <w:w w:val="90"/>
                <w:kern w:val="0"/>
                <w:sz w:val="24"/>
                <w:szCs w:val="24"/>
                <w:highlight w:val="none"/>
              </w:rPr>
            </w:pPr>
          </w:p>
        </w:tc>
      </w:tr>
      <w:tr w14:paraId="5C6678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68112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7DD92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6C4C1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D011B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B4DE5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1FAD07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7C7864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60B4F1F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35560FE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A64C7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3913C7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2B08AC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20B469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A6DBC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E2DF33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FC6188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58C2A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99FAB5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352D5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E0DF34C">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D444F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5B8A89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EB321C7">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7A81E8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48EEB6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52BE2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B55B1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EA3CD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4247E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71094C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2064E8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516CB9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2C7225">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E46188C">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66BD3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13B16F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2E966D7">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3FA7AE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2FB1FE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E6E5FFA">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2225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D2C04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7F423D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1229E67">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5A68A5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1CB2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34A0D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3DCE91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F3FEE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2486F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5DBA55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461C0E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E3E31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80D0C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71A7B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ADD1F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FEDF6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B68B55">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132DA5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238D6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BA652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D4AA9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599F7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824FE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E675EC">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F17EDF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CCB298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441CB3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B05CC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0D665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CAE9E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337DB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63A73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5AD5B6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0881EB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23567B0E">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17ABD2E2">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36B9FE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7874F4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CF3E126">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68721C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29D9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32261B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C58B98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3A2D2A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0683266">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3E3B03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EFC38FA">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8A577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B9F672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5E0FF7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6C29D6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E3D16E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BE31C3A">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BEF9BE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26747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76A790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EFDC27C">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26BEA8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BB9EE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8BED7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1B2D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10AF4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AAFE1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CE9FE5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6BFF82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6022A324">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66CEF43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1A6164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D7EC2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D4421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7330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6D1C0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98254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75FBAD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345018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6BB6EC8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BFF0B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8541F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BFEE5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E336C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06AA5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5EB80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AE24E55">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2917E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3DFE6F1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61BA3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4B1D6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8EE65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E35E0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72AA5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CEDFB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D55518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3EC4309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1FA5F19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0301C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B2CDCD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67125F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5FEDC5D">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EC862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ABFC28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6DA9E3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6C0DD7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6FCEE5CC">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7EB758C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701879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8FB12D7">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1B4F07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DB73FF">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9834F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4F3EC1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062A66F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BE5622">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672E559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177AF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B2B098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BAB7BF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103AAF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6979A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E2C7DA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650EA6FE">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1F17CE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286FFCD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2FECEB3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5145F7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69B3E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2F5E4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46343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68700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CB638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411B13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3CF94A4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57A5139">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364EAD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C4839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96E18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E268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7D2E8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1D667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5967B3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18D14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30AD043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72DD12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D4888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C0E7C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71A2D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EE5D0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4DE11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97A67B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0168E7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6671C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EA7A5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69CD5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2613F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A9ED0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9C9AC89">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1FF7229">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634F399E">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2BB82F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D201B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EA8C9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02484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147634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01021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4A3FF09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FA5359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7539DD0E">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77584B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B239D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CE8BF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A890E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F555C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733C5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744A1F7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079EB6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CF519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F5F3A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178FA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4C043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C01D5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389EA2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1E463A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4B8E97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7DF7A9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6EB6E5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EC0883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A6521D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27A3545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bl>
    <w:p w14:paraId="5033E27E">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0FA2C1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1E938B0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27BD52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466A080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3A09A4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51CC09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582F8C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5959E74">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44C8622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7BD3EB7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39A2050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231"/>
      <w:bookmarkEnd w:id="232"/>
      <w:bookmarkEnd w:id="233"/>
      <w:bookmarkEnd w:id="234"/>
      <w:bookmarkEnd w:id="235"/>
    </w:tbl>
    <w:p w14:paraId="6590ED93">
      <w:pPr>
        <w:autoSpaceDN w:val="0"/>
        <w:rPr>
          <w:rFonts w:hint="eastAsia" w:ascii="宋体" w:hAnsi="宋体" w:eastAsia="宋体" w:cs="宋体"/>
          <w:b/>
          <w:bCs/>
          <w:color w:val="auto"/>
          <w:sz w:val="24"/>
          <w:szCs w:val="24"/>
          <w:highlight w:val="none"/>
        </w:rPr>
      </w:pPr>
    </w:p>
    <w:p w14:paraId="678115F9">
      <w:pPr>
        <w:rPr>
          <w:rFonts w:hint="eastAsia" w:ascii="宋体" w:hAnsi="宋体" w:eastAsia="宋体" w:cs="宋体"/>
          <w:color w:val="auto"/>
          <w:szCs w:val="24"/>
          <w:highlight w:val="none"/>
        </w:rPr>
      </w:pPr>
    </w:p>
    <w:p w14:paraId="461B339B">
      <w:pPr>
        <w:rPr>
          <w:rFonts w:hint="eastAsia" w:ascii="宋体" w:hAnsi="宋体" w:eastAsia="宋体" w:cs="宋体"/>
          <w:color w:val="auto"/>
          <w:szCs w:val="24"/>
          <w:highlight w:val="none"/>
        </w:rPr>
      </w:pPr>
    </w:p>
    <w:bookmarkEnd w:id="0"/>
    <w:p w14:paraId="5EF2D7FE">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Microsoft YaHei UI Light"/>
    <w:panose1 w:val="020F0702030404030204"/>
    <w:charset w:val="00"/>
    <w:family w:val="roman"/>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Microsoft YaHei UI"/>
    <w:panose1 w:val="02040803050406030204"/>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0A27">
    <w:pPr>
      <w:pStyle w:val="37"/>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C2198">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DC2198">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4D81">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083BC">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1083BC">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D4CC">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60CD9">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D60CD9">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19DD9E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6067">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EBBE">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54EBBE">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ACB4D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9E0F">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C7ED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52C7ED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444">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17BB1">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C17BB1">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0BDB">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07A2">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B707A2">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CB7">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28F7">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678F">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multilevel"/>
    <w:tmpl w:val="CB6FD4E4"/>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25FB3801"/>
    <w:multiLevelType w:val="multilevel"/>
    <w:tmpl w:val="25FB3801"/>
    <w:lvl w:ilvl="0" w:tentative="0">
      <w:start w:val="1"/>
      <w:numFmt w:val="decimal"/>
      <w:suff w:val="nothing"/>
      <w:lvlText w:val="（%1）"/>
      <w:lvlJc w:val="left"/>
    </w:lvl>
    <w:lvl w:ilvl="1" w:tentative="0">
      <w:start w:val="1"/>
      <w:numFmt w:val="lowerLetter"/>
      <w:lvlText w:val="%2)"/>
      <w:lvlJc w:val="left"/>
      <w:pPr>
        <w:ind w:left="2170" w:hanging="420"/>
      </w:pPr>
    </w:lvl>
    <w:lvl w:ilvl="2" w:tentative="0">
      <w:start w:val="1"/>
      <w:numFmt w:val="lowerRoman"/>
      <w:lvlText w:val="%3."/>
      <w:lvlJc w:val="right"/>
      <w:pPr>
        <w:ind w:left="2590" w:hanging="420"/>
      </w:pPr>
    </w:lvl>
    <w:lvl w:ilvl="3" w:tentative="0">
      <w:start w:val="1"/>
      <w:numFmt w:val="decimal"/>
      <w:lvlText w:val="%4."/>
      <w:lvlJc w:val="left"/>
      <w:pPr>
        <w:ind w:left="3010" w:hanging="420"/>
      </w:pPr>
    </w:lvl>
    <w:lvl w:ilvl="4" w:tentative="0">
      <w:start w:val="1"/>
      <w:numFmt w:val="lowerLetter"/>
      <w:lvlText w:val="%5)"/>
      <w:lvlJc w:val="left"/>
      <w:pPr>
        <w:ind w:left="3430" w:hanging="420"/>
      </w:pPr>
    </w:lvl>
    <w:lvl w:ilvl="5" w:tentative="0">
      <w:start w:val="1"/>
      <w:numFmt w:val="lowerRoman"/>
      <w:lvlText w:val="%6."/>
      <w:lvlJc w:val="right"/>
      <w:pPr>
        <w:ind w:left="3850" w:hanging="420"/>
      </w:pPr>
    </w:lvl>
    <w:lvl w:ilvl="6" w:tentative="0">
      <w:start w:val="1"/>
      <w:numFmt w:val="decimal"/>
      <w:lvlText w:val="%7."/>
      <w:lvlJc w:val="left"/>
      <w:pPr>
        <w:ind w:left="4270" w:hanging="420"/>
      </w:pPr>
    </w:lvl>
    <w:lvl w:ilvl="7" w:tentative="0">
      <w:start w:val="1"/>
      <w:numFmt w:val="lowerLetter"/>
      <w:lvlText w:val="%8)"/>
      <w:lvlJc w:val="left"/>
      <w:pPr>
        <w:ind w:left="4690" w:hanging="420"/>
      </w:pPr>
    </w:lvl>
    <w:lvl w:ilvl="8" w:tentative="0">
      <w:start w:val="1"/>
      <w:numFmt w:val="lowerRoman"/>
      <w:lvlText w:val="%9."/>
      <w:lvlJc w:val="right"/>
      <w:pPr>
        <w:ind w:left="5110" w:hanging="420"/>
      </w:pPr>
    </w:lvl>
  </w:abstractNum>
  <w:abstractNum w:abstractNumId="6">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ZjAyNDc1M2ZiZmQ4NzQwYWRhZTgxYTU1Zjk3N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7722F"/>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7CD"/>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A55318"/>
    <w:rsid w:val="02B96468"/>
    <w:rsid w:val="02D14342"/>
    <w:rsid w:val="02DC0A16"/>
    <w:rsid w:val="030B374D"/>
    <w:rsid w:val="0326440A"/>
    <w:rsid w:val="03443858"/>
    <w:rsid w:val="035C0EAD"/>
    <w:rsid w:val="035F5214"/>
    <w:rsid w:val="0369158A"/>
    <w:rsid w:val="03CF75C5"/>
    <w:rsid w:val="041D6583"/>
    <w:rsid w:val="0471297E"/>
    <w:rsid w:val="048E122E"/>
    <w:rsid w:val="04904FA7"/>
    <w:rsid w:val="04E23328"/>
    <w:rsid w:val="04E7163B"/>
    <w:rsid w:val="05065269"/>
    <w:rsid w:val="05137986"/>
    <w:rsid w:val="052D36E5"/>
    <w:rsid w:val="0591547A"/>
    <w:rsid w:val="05C438E3"/>
    <w:rsid w:val="05EF03F3"/>
    <w:rsid w:val="0610493F"/>
    <w:rsid w:val="06147E59"/>
    <w:rsid w:val="062F6624"/>
    <w:rsid w:val="06541A9E"/>
    <w:rsid w:val="06982838"/>
    <w:rsid w:val="069F7DB0"/>
    <w:rsid w:val="06E4782C"/>
    <w:rsid w:val="06F07F7E"/>
    <w:rsid w:val="06F2019A"/>
    <w:rsid w:val="06F86E33"/>
    <w:rsid w:val="06FC2DC7"/>
    <w:rsid w:val="07057522"/>
    <w:rsid w:val="07162747"/>
    <w:rsid w:val="071B5392"/>
    <w:rsid w:val="07224AC8"/>
    <w:rsid w:val="07304CD1"/>
    <w:rsid w:val="07746E01"/>
    <w:rsid w:val="07807554"/>
    <w:rsid w:val="079925E1"/>
    <w:rsid w:val="07AF3996"/>
    <w:rsid w:val="07B54E60"/>
    <w:rsid w:val="07D94EB6"/>
    <w:rsid w:val="0818141E"/>
    <w:rsid w:val="084F5179"/>
    <w:rsid w:val="08B52B24"/>
    <w:rsid w:val="08F17D67"/>
    <w:rsid w:val="08FF6B9F"/>
    <w:rsid w:val="0949606C"/>
    <w:rsid w:val="094D790A"/>
    <w:rsid w:val="096D3B08"/>
    <w:rsid w:val="097D4EE0"/>
    <w:rsid w:val="098502D3"/>
    <w:rsid w:val="09BE4C65"/>
    <w:rsid w:val="09C52956"/>
    <w:rsid w:val="09D27A29"/>
    <w:rsid w:val="09D85B61"/>
    <w:rsid w:val="09DC0C8E"/>
    <w:rsid w:val="0A16757C"/>
    <w:rsid w:val="0A2833CF"/>
    <w:rsid w:val="0A3E36F7"/>
    <w:rsid w:val="0A674CCF"/>
    <w:rsid w:val="0A780FD3"/>
    <w:rsid w:val="0ADB7197"/>
    <w:rsid w:val="0AF3628F"/>
    <w:rsid w:val="0B064214"/>
    <w:rsid w:val="0B304DED"/>
    <w:rsid w:val="0B333FAA"/>
    <w:rsid w:val="0B364B1B"/>
    <w:rsid w:val="0B3C7C36"/>
    <w:rsid w:val="0BBC0505"/>
    <w:rsid w:val="0BE43E2A"/>
    <w:rsid w:val="0C250048"/>
    <w:rsid w:val="0C6812D0"/>
    <w:rsid w:val="0C851169"/>
    <w:rsid w:val="0D2D0EC8"/>
    <w:rsid w:val="0D3E56CD"/>
    <w:rsid w:val="0D4E1EA3"/>
    <w:rsid w:val="0D646FD0"/>
    <w:rsid w:val="0DD979BE"/>
    <w:rsid w:val="0E48092C"/>
    <w:rsid w:val="0E545297"/>
    <w:rsid w:val="0E8010F9"/>
    <w:rsid w:val="0E9B1118"/>
    <w:rsid w:val="0EEB2A4C"/>
    <w:rsid w:val="0EF645A0"/>
    <w:rsid w:val="0F6E05DA"/>
    <w:rsid w:val="0F713C26"/>
    <w:rsid w:val="0F737150"/>
    <w:rsid w:val="0F9A0092"/>
    <w:rsid w:val="0FBC4D56"/>
    <w:rsid w:val="101A2510"/>
    <w:rsid w:val="104B091B"/>
    <w:rsid w:val="10613C9B"/>
    <w:rsid w:val="1084221D"/>
    <w:rsid w:val="10855BDB"/>
    <w:rsid w:val="10B72A0C"/>
    <w:rsid w:val="10BB15FD"/>
    <w:rsid w:val="1102547E"/>
    <w:rsid w:val="112C0073"/>
    <w:rsid w:val="1152290F"/>
    <w:rsid w:val="1178361C"/>
    <w:rsid w:val="117A1879"/>
    <w:rsid w:val="118C512A"/>
    <w:rsid w:val="11B03C20"/>
    <w:rsid w:val="11CC713F"/>
    <w:rsid w:val="11F078CC"/>
    <w:rsid w:val="11F74311"/>
    <w:rsid w:val="121B4BF4"/>
    <w:rsid w:val="12211934"/>
    <w:rsid w:val="129F0AAB"/>
    <w:rsid w:val="12AB56BA"/>
    <w:rsid w:val="13223BB5"/>
    <w:rsid w:val="132E255A"/>
    <w:rsid w:val="133B6A25"/>
    <w:rsid w:val="13460BA8"/>
    <w:rsid w:val="136F5004"/>
    <w:rsid w:val="137141F5"/>
    <w:rsid w:val="13731A92"/>
    <w:rsid w:val="13B567D8"/>
    <w:rsid w:val="13BD7245"/>
    <w:rsid w:val="140E478F"/>
    <w:rsid w:val="144D4C62"/>
    <w:rsid w:val="14550A82"/>
    <w:rsid w:val="14884E2D"/>
    <w:rsid w:val="14A97F23"/>
    <w:rsid w:val="14BB6070"/>
    <w:rsid w:val="14D56A06"/>
    <w:rsid w:val="14EF3F6B"/>
    <w:rsid w:val="151856A7"/>
    <w:rsid w:val="15454D0E"/>
    <w:rsid w:val="15712BD2"/>
    <w:rsid w:val="15806B32"/>
    <w:rsid w:val="158F12AA"/>
    <w:rsid w:val="162D6DB3"/>
    <w:rsid w:val="16414353"/>
    <w:rsid w:val="16687A24"/>
    <w:rsid w:val="168E215B"/>
    <w:rsid w:val="16900FD2"/>
    <w:rsid w:val="16AC12CB"/>
    <w:rsid w:val="17455FEB"/>
    <w:rsid w:val="17481711"/>
    <w:rsid w:val="1767603B"/>
    <w:rsid w:val="17925102"/>
    <w:rsid w:val="18131D1F"/>
    <w:rsid w:val="181628F9"/>
    <w:rsid w:val="182F0E04"/>
    <w:rsid w:val="1840688C"/>
    <w:rsid w:val="18673E19"/>
    <w:rsid w:val="1890511D"/>
    <w:rsid w:val="18C748B7"/>
    <w:rsid w:val="18C80D5B"/>
    <w:rsid w:val="18CE20EA"/>
    <w:rsid w:val="18DA283C"/>
    <w:rsid w:val="193208CA"/>
    <w:rsid w:val="19566367"/>
    <w:rsid w:val="19575C3B"/>
    <w:rsid w:val="196F11D7"/>
    <w:rsid w:val="19834C82"/>
    <w:rsid w:val="19894F54"/>
    <w:rsid w:val="19991019"/>
    <w:rsid w:val="199E1ABC"/>
    <w:rsid w:val="19A30E80"/>
    <w:rsid w:val="19BB441C"/>
    <w:rsid w:val="19C40040"/>
    <w:rsid w:val="19D52777"/>
    <w:rsid w:val="19FF69FF"/>
    <w:rsid w:val="1A212966"/>
    <w:rsid w:val="1A4C776A"/>
    <w:rsid w:val="1AB53561"/>
    <w:rsid w:val="1AC6751C"/>
    <w:rsid w:val="1ADC289C"/>
    <w:rsid w:val="1AF1649A"/>
    <w:rsid w:val="1AF916A0"/>
    <w:rsid w:val="1AFC6E58"/>
    <w:rsid w:val="1B0818E3"/>
    <w:rsid w:val="1B123520"/>
    <w:rsid w:val="1B214753"/>
    <w:rsid w:val="1BD45299"/>
    <w:rsid w:val="1BE20386"/>
    <w:rsid w:val="1BEA2178"/>
    <w:rsid w:val="1BEE6D2B"/>
    <w:rsid w:val="1C281B11"/>
    <w:rsid w:val="1C2C7DBA"/>
    <w:rsid w:val="1C7E5859"/>
    <w:rsid w:val="1CE7377A"/>
    <w:rsid w:val="1CEB14BC"/>
    <w:rsid w:val="1D040DAB"/>
    <w:rsid w:val="1D1C168E"/>
    <w:rsid w:val="1D212D0A"/>
    <w:rsid w:val="1D33076D"/>
    <w:rsid w:val="1D4604F3"/>
    <w:rsid w:val="1D585312"/>
    <w:rsid w:val="1D766A29"/>
    <w:rsid w:val="1D7C655F"/>
    <w:rsid w:val="1DF20628"/>
    <w:rsid w:val="1E0839A8"/>
    <w:rsid w:val="1E0F2F88"/>
    <w:rsid w:val="1E16082F"/>
    <w:rsid w:val="1E1E36A6"/>
    <w:rsid w:val="1E21302E"/>
    <w:rsid w:val="1E311151"/>
    <w:rsid w:val="1E4F5A7B"/>
    <w:rsid w:val="1E761FB4"/>
    <w:rsid w:val="1EA01E32"/>
    <w:rsid w:val="1EAC07D7"/>
    <w:rsid w:val="1EB87665"/>
    <w:rsid w:val="1ECA6EAF"/>
    <w:rsid w:val="1EDD6BE3"/>
    <w:rsid w:val="1EEF1298"/>
    <w:rsid w:val="1F0B19A2"/>
    <w:rsid w:val="1F15637C"/>
    <w:rsid w:val="1F371E52"/>
    <w:rsid w:val="1F427E7B"/>
    <w:rsid w:val="1F974FE3"/>
    <w:rsid w:val="1FAE731F"/>
    <w:rsid w:val="1FF64A1D"/>
    <w:rsid w:val="20362A4E"/>
    <w:rsid w:val="20482782"/>
    <w:rsid w:val="2059498F"/>
    <w:rsid w:val="207B66B3"/>
    <w:rsid w:val="207D68CF"/>
    <w:rsid w:val="20904E15"/>
    <w:rsid w:val="210112AE"/>
    <w:rsid w:val="21333432"/>
    <w:rsid w:val="21385966"/>
    <w:rsid w:val="21627DB3"/>
    <w:rsid w:val="217E4766"/>
    <w:rsid w:val="21A8172A"/>
    <w:rsid w:val="21D00C81"/>
    <w:rsid w:val="21D20555"/>
    <w:rsid w:val="21E8421C"/>
    <w:rsid w:val="22066484"/>
    <w:rsid w:val="223D3B7A"/>
    <w:rsid w:val="225C65BA"/>
    <w:rsid w:val="226E008B"/>
    <w:rsid w:val="22D958E1"/>
    <w:rsid w:val="22E83DA8"/>
    <w:rsid w:val="22FC115A"/>
    <w:rsid w:val="231E77CA"/>
    <w:rsid w:val="233D5EA2"/>
    <w:rsid w:val="2353600E"/>
    <w:rsid w:val="23775858"/>
    <w:rsid w:val="238B1783"/>
    <w:rsid w:val="239F5281"/>
    <w:rsid w:val="23CD2307"/>
    <w:rsid w:val="2423778D"/>
    <w:rsid w:val="242C042C"/>
    <w:rsid w:val="2432177F"/>
    <w:rsid w:val="248F1CB6"/>
    <w:rsid w:val="24AF1021"/>
    <w:rsid w:val="24C83E91"/>
    <w:rsid w:val="24E76A0D"/>
    <w:rsid w:val="257767F1"/>
    <w:rsid w:val="25CA2314"/>
    <w:rsid w:val="25E43998"/>
    <w:rsid w:val="25F413E1"/>
    <w:rsid w:val="26105AEF"/>
    <w:rsid w:val="26120DB9"/>
    <w:rsid w:val="262301D1"/>
    <w:rsid w:val="2634179D"/>
    <w:rsid w:val="264C26B9"/>
    <w:rsid w:val="265D4703"/>
    <w:rsid w:val="26704BBE"/>
    <w:rsid w:val="26B648E9"/>
    <w:rsid w:val="26C64400"/>
    <w:rsid w:val="26E33204"/>
    <w:rsid w:val="26EF2BC4"/>
    <w:rsid w:val="26F1147D"/>
    <w:rsid w:val="27271343"/>
    <w:rsid w:val="27455C6D"/>
    <w:rsid w:val="2747754D"/>
    <w:rsid w:val="27572D81"/>
    <w:rsid w:val="27987C58"/>
    <w:rsid w:val="27B33F58"/>
    <w:rsid w:val="27B8643F"/>
    <w:rsid w:val="27EA2BD9"/>
    <w:rsid w:val="27FA7609"/>
    <w:rsid w:val="28127A77"/>
    <w:rsid w:val="28133675"/>
    <w:rsid w:val="283E1BE5"/>
    <w:rsid w:val="285048C9"/>
    <w:rsid w:val="285C501C"/>
    <w:rsid w:val="285E4472"/>
    <w:rsid w:val="28996270"/>
    <w:rsid w:val="28A67820"/>
    <w:rsid w:val="28B92995"/>
    <w:rsid w:val="28C055AB"/>
    <w:rsid w:val="290A5ABA"/>
    <w:rsid w:val="29493E47"/>
    <w:rsid w:val="29534B10"/>
    <w:rsid w:val="2A3049B2"/>
    <w:rsid w:val="2A391AB9"/>
    <w:rsid w:val="2A4B17EC"/>
    <w:rsid w:val="2A5E7C93"/>
    <w:rsid w:val="2A685EFA"/>
    <w:rsid w:val="2AAC2B7C"/>
    <w:rsid w:val="2ACB0237"/>
    <w:rsid w:val="2B326508"/>
    <w:rsid w:val="2B856638"/>
    <w:rsid w:val="2BDE1B3D"/>
    <w:rsid w:val="2BEB1605"/>
    <w:rsid w:val="2C2C73FB"/>
    <w:rsid w:val="2C4D184B"/>
    <w:rsid w:val="2C5F157F"/>
    <w:rsid w:val="2C6B4AC3"/>
    <w:rsid w:val="2C730B86"/>
    <w:rsid w:val="2CA174A1"/>
    <w:rsid w:val="2CCB6BEF"/>
    <w:rsid w:val="2CD226C8"/>
    <w:rsid w:val="2D0839C4"/>
    <w:rsid w:val="2D23435A"/>
    <w:rsid w:val="2D7626DC"/>
    <w:rsid w:val="2D79220F"/>
    <w:rsid w:val="2DD4370C"/>
    <w:rsid w:val="2DD438A6"/>
    <w:rsid w:val="2DE367A5"/>
    <w:rsid w:val="2DFE26D1"/>
    <w:rsid w:val="2E422F06"/>
    <w:rsid w:val="2E600853"/>
    <w:rsid w:val="2E724ECC"/>
    <w:rsid w:val="2ED4493C"/>
    <w:rsid w:val="2EE43FBD"/>
    <w:rsid w:val="2F0D6A6E"/>
    <w:rsid w:val="2F2A5E74"/>
    <w:rsid w:val="2F454A5C"/>
    <w:rsid w:val="2F5729E1"/>
    <w:rsid w:val="2F6F7D2B"/>
    <w:rsid w:val="2F741AF9"/>
    <w:rsid w:val="2F8F1E1A"/>
    <w:rsid w:val="2FA96B3D"/>
    <w:rsid w:val="2FB054D4"/>
    <w:rsid w:val="30313232"/>
    <w:rsid w:val="3058256D"/>
    <w:rsid w:val="306929CC"/>
    <w:rsid w:val="306D4751"/>
    <w:rsid w:val="30712EAA"/>
    <w:rsid w:val="311F12DD"/>
    <w:rsid w:val="314C7B56"/>
    <w:rsid w:val="31501496"/>
    <w:rsid w:val="3150593A"/>
    <w:rsid w:val="31AA32FC"/>
    <w:rsid w:val="31BA3142"/>
    <w:rsid w:val="31C14142"/>
    <w:rsid w:val="31D976DD"/>
    <w:rsid w:val="31ED3189"/>
    <w:rsid w:val="32270449"/>
    <w:rsid w:val="32335040"/>
    <w:rsid w:val="326A2A2B"/>
    <w:rsid w:val="32861A63"/>
    <w:rsid w:val="3291399D"/>
    <w:rsid w:val="3293373B"/>
    <w:rsid w:val="329B4993"/>
    <w:rsid w:val="32B5693F"/>
    <w:rsid w:val="332C1A8F"/>
    <w:rsid w:val="333F5C66"/>
    <w:rsid w:val="33524AF4"/>
    <w:rsid w:val="33604C3F"/>
    <w:rsid w:val="343E1A7A"/>
    <w:rsid w:val="34425A0E"/>
    <w:rsid w:val="34441786"/>
    <w:rsid w:val="34A00986"/>
    <w:rsid w:val="34BD790F"/>
    <w:rsid w:val="350C7DCA"/>
    <w:rsid w:val="350E5DAF"/>
    <w:rsid w:val="352E1AEE"/>
    <w:rsid w:val="352F3FB1"/>
    <w:rsid w:val="355879C5"/>
    <w:rsid w:val="35B30245"/>
    <w:rsid w:val="35B77D36"/>
    <w:rsid w:val="35CC6F22"/>
    <w:rsid w:val="35DE52C2"/>
    <w:rsid w:val="36015455"/>
    <w:rsid w:val="360B24B9"/>
    <w:rsid w:val="36127662"/>
    <w:rsid w:val="36335B90"/>
    <w:rsid w:val="364D6772"/>
    <w:rsid w:val="3666792F"/>
    <w:rsid w:val="36781311"/>
    <w:rsid w:val="367E6AA5"/>
    <w:rsid w:val="36857E34"/>
    <w:rsid w:val="36E24E08"/>
    <w:rsid w:val="36ED02CA"/>
    <w:rsid w:val="375B28B0"/>
    <w:rsid w:val="379A346B"/>
    <w:rsid w:val="379B25D7"/>
    <w:rsid w:val="37B025A2"/>
    <w:rsid w:val="37ED5C00"/>
    <w:rsid w:val="37F76B0F"/>
    <w:rsid w:val="38170F5F"/>
    <w:rsid w:val="384004B6"/>
    <w:rsid w:val="387D5266"/>
    <w:rsid w:val="389425B0"/>
    <w:rsid w:val="389D2E4B"/>
    <w:rsid w:val="38CE7F0A"/>
    <w:rsid w:val="390B6245"/>
    <w:rsid w:val="39152225"/>
    <w:rsid w:val="392B06F0"/>
    <w:rsid w:val="395D3A1B"/>
    <w:rsid w:val="396B70C2"/>
    <w:rsid w:val="397B72CC"/>
    <w:rsid w:val="397F500E"/>
    <w:rsid w:val="3995213C"/>
    <w:rsid w:val="39964C0C"/>
    <w:rsid w:val="39FF09DB"/>
    <w:rsid w:val="3A231E3E"/>
    <w:rsid w:val="3A2C1FD8"/>
    <w:rsid w:val="3A2F2590"/>
    <w:rsid w:val="3A661C7E"/>
    <w:rsid w:val="3A824DB6"/>
    <w:rsid w:val="3AD870A0"/>
    <w:rsid w:val="3B2346F1"/>
    <w:rsid w:val="3B2A2D58"/>
    <w:rsid w:val="3B464036"/>
    <w:rsid w:val="3B5068F7"/>
    <w:rsid w:val="3B7010B2"/>
    <w:rsid w:val="3B7A5A8D"/>
    <w:rsid w:val="3B842468"/>
    <w:rsid w:val="3B8701AA"/>
    <w:rsid w:val="3B887743"/>
    <w:rsid w:val="3B921D33"/>
    <w:rsid w:val="3B9C1EA7"/>
    <w:rsid w:val="3B9F3746"/>
    <w:rsid w:val="3C2B135B"/>
    <w:rsid w:val="3C502C92"/>
    <w:rsid w:val="3C5A336A"/>
    <w:rsid w:val="3C5F4C83"/>
    <w:rsid w:val="3C7857D4"/>
    <w:rsid w:val="3CA2062E"/>
    <w:rsid w:val="3CC233F6"/>
    <w:rsid w:val="3CDB69FF"/>
    <w:rsid w:val="3CE52DAF"/>
    <w:rsid w:val="3CF47AC1"/>
    <w:rsid w:val="3D113ED7"/>
    <w:rsid w:val="3D791D75"/>
    <w:rsid w:val="3DD26D7F"/>
    <w:rsid w:val="3DEB4A20"/>
    <w:rsid w:val="3DF31B27"/>
    <w:rsid w:val="3DFE0BF8"/>
    <w:rsid w:val="3E2148E6"/>
    <w:rsid w:val="3E541694"/>
    <w:rsid w:val="3E64615F"/>
    <w:rsid w:val="3E6F7DAB"/>
    <w:rsid w:val="3E8804C1"/>
    <w:rsid w:val="3E970704"/>
    <w:rsid w:val="3E98746E"/>
    <w:rsid w:val="3E9C3F6D"/>
    <w:rsid w:val="3EC104C1"/>
    <w:rsid w:val="3EEB27FE"/>
    <w:rsid w:val="3F2475BE"/>
    <w:rsid w:val="3F4F7231"/>
    <w:rsid w:val="3F921CFD"/>
    <w:rsid w:val="3FA7706D"/>
    <w:rsid w:val="3FEC4311"/>
    <w:rsid w:val="3FF73B50"/>
    <w:rsid w:val="40167D4F"/>
    <w:rsid w:val="40185F30"/>
    <w:rsid w:val="403A1C8F"/>
    <w:rsid w:val="40750F19"/>
    <w:rsid w:val="408E74F7"/>
    <w:rsid w:val="40A47108"/>
    <w:rsid w:val="40DC19D3"/>
    <w:rsid w:val="4100775E"/>
    <w:rsid w:val="410706BB"/>
    <w:rsid w:val="412A5860"/>
    <w:rsid w:val="41313092"/>
    <w:rsid w:val="415154E2"/>
    <w:rsid w:val="41753E74"/>
    <w:rsid w:val="41AE6491"/>
    <w:rsid w:val="41FD4D22"/>
    <w:rsid w:val="42022339"/>
    <w:rsid w:val="42204EB5"/>
    <w:rsid w:val="424E1A22"/>
    <w:rsid w:val="4259773D"/>
    <w:rsid w:val="426B77AA"/>
    <w:rsid w:val="42843695"/>
    <w:rsid w:val="43252782"/>
    <w:rsid w:val="442742D8"/>
    <w:rsid w:val="44354C47"/>
    <w:rsid w:val="447119F7"/>
    <w:rsid w:val="44832FFF"/>
    <w:rsid w:val="44B034E0"/>
    <w:rsid w:val="44E06E90"/>
    <w:rsid w:val="44E4666D"/>
    <w:rsid w:val="44E623E5"/>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1C0E02"/>
    <w:rsid w:val="47512AB9"/>
    <w:rsid w:val="47527A52"/>
    <w:rsid w:val="47743CD8"/>
    <w:rsid w:val="47865812"/>
    <w:rsid w:val="478B5BE9"/>
    <w:rsid w:val="479F09BE"/>
    <w:rsid w:val="47AB0071"/>
    <w:rsid w:val="48074B4D"/>
    <w:rsid w:val="486C75C8"/>
    <w:rsid w:val="488A581A"/>
    <w:rsid w:val="48945CB4"/>
    <w:rsid w:val="48D72771"/>
    <w:rsid w:val="48DB3AEF"/>
    <w:rsid w:val="48ED216D"/>
    <w:rsid w:val="491579CC"/>
    <w:rsid w:val="493A1961"/>
    <w:rsid w:val="49435655"/>
    <w:rsid w:val="49A62143"/>
    <w:rsid w:val="49D7054F"/>
    <w:rsid w:val="4A547DF1"/>
    <w:rsid w:val="4A677B24"/>
    <w:rsid w:val="4A8174A6"/>
    <w:rsid w:val="4ABB5C20"/>
    <w:rsid w:val="4AF52B27"/>
    <w:rsid w:val="4AFD2237"/>
    <w:rsid w:val="4B0C2851"/>
    <w:rsid w:val="4B3A44A1"/>
    <w:rsid w:val="4B5A2102"/>
    <w:rsid w:val="4B712EE6"/>
    <w:rsid w:val="4B885FA4"/>
    <w:rsid w:val="4BB171F6"/>
    <w:rsid w:val="4BB8681F"/>
    <w:rsid w:val="4BD05870"/>
    <w:rsid w:val="4BE807F1"/>
    <w:rsid w:val="4C0B2731"/>
    <w:rsid w:val="4C272D43"/>
    <w:rsid w:val="4C5D54F5"/>
    <w:rsid w:val="4C653BF0"/>
    <w:rsid w:val="4C79261D"/>
    <w:rsid w:val="4C8F3363"/>
    <w:rsid w:val="4C984320"/>
    <w:rsid w:val="4C9B1D07"/>
    <w:rsid w:val="4CE54214"/>
    <w:rsid w:val="4D043409"/>
    <w:rsid w:val="4D074245"/>
    <w:rsid w:val="4D0B0C3B"/>
    <w:rsid w:val="4D2B317E"/>
    <w:rsid w:val="4D6E2F78"/>
    <w:rsid w:val="4D730019"/>
    <w:rsid w:val="4D7B4228"/>
    <w:rsid w:val="4DBC0187"/>
    <w:rsid w:val="4DED0341"/>
    <w:rsid w:val="4ED93C8A"/>
    <w:rsid w:val="4F0A0A7E"/>
    <w:rsid w:val="4F245FE4"/>
    <w:rsid w:val="4F552641"/>
    <w:rsid w:val="4F555807"/>
    <w:rsid w:val="4FEB4D54"/>
    <w:rsid w:val="4FEE76AD"/>
    <w:rsid w:val="4FF04118"/>
    <w:rsid w:val="4FF57980"/>
    <w:rsid w:val="5023629C"/>
    <w:rsid w:val="502D4DCB"/>
    <w:rsid w:val="503B1F28"/>
    <w:rsid w:val="503D78E7"/>
    <w:rsid w:val="50483F54"/>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AD5468"/>
    <w:rsid w:val="52B24DB9"/>
    <w:rsid w:val="52B4142D"/>
    <w:rsid w:val="52E837CD"/>
    <w:rsid w:val="52FF3229"/>
    <w:rsid w:val="53220A8C"/>
    <w:rsid w:val="532742F5"/>
    <w:rsid w:val="53514ECE"/>
    <w:rsid w:val="535B7AFB"/>
    <w:rsid w:val="537B5277"/>
    <w:rsid w:val="537C5EA5"/>
    <w:rsid w:val="537F7C8D"/>
    <w:rsid w:val="53806B14"/>
    <w:rsid w:val="53B81B75"/>
    <w:rsid w:val="53B8319F"/>
    <w:rsid w:val="540006A2"/>
    <w:rsid w:val="543F741C"/>
    <w:rsid w:val="548B0CEB"/>
    <w:rsid w:val="54E81862"/>
    <w:rsid w:val="54F209D1"/>
    <w:rsid w:val="55164621"/>
    <w:rsid w:val="555111B5"/>
    <w:rsid w:val="55A31CC2"/>
    <w:rsid w:val="55E62245"/>
    <w:rsid w:val="561A3BFF"/>
    <w:rsid w:val="565A63C6"/>
    <w:rsid w:val="56644F18"/>
    <w:rsid w:val="567A72D5"/>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8FC62F2"/>
    <w:rsid w:val="59314366"/>
    <w:rsid w:val="59525C4D"/>
    <w:rsid w:val="59545718"/>
    <w:rsid w:val="59815DE1"/>
    <w:rsid w:val="59CC1752"/>
    <w:rsid w:val="59CF44A0"/>
    <w:rsid w:val="5A48414F"/>
    <w:rsid w:val="5A4F2D01"/>
    <w:rsid w:val="5A5C0D28"/>
    <w:rsid w:val="5A6E7A28"/>
    <w:rsid w:val="5AF03C74"/>
    <w:rsid w:val="5AF076C2"/>
    <w:rsid w:val="5B1D3A19"/>
    <w:rsid w:val="5B3A6B8F"/>
    <w:rsid w:val="5B3D3F8A"/>
    <w:rsid w:val="5B7F45A2"/>
    <w:rsid w:val="5B9A0D03"/>
    <w:rsid w:val="5B9C33A6"/>
    <w:rsid w:val="5BA81D4B"/>
    <w:rsid w:val="5BBA55DA"/>
    <w:rsid w:val="5BBB1A7E"/>
    <w:rsid w:val="5BFB1E7B"/>
    <w:rsid w:val="5C190553"/>
    <w:rsid w:val="5C367B35"/>
    <w:rsid w:val="5C500B28"/>
    <w:rsid w:val="5C7C039B"/>
    <w:rsid w:val="5CF81C6E"/>
    <w:rsid w:val="5D1C19D8"/>
    <w:rsid w:val="5D256B55"/>
    <w:rsid w:val="5D706898"/>
    <w:rsid w:val="5DCE5957"/>
    <w:rsid w:val="5DD40BD5"/>
    <w:rsid w:val="5DE057CC"/>
    <w:rsid w:val="5DED58A9"/>
    <w:rsid w:val="5E0F60B1"/>
    <w:rsid w:val="5E1B2CA8"/>
    <w:rsid w:val="5E1D19E0"/>
    <w:rsid w:val="5E40270F"/>
    <w:rsid w:val="5E5134AD"/>
    <w:rsid w:val="5E552C6A"/>
    <w:rsid w:val="5E783C56"/>
    <w:rsid w:val="5EEC45AB"/>
    <w:rsid w:val="5F2E07B9"/>
    <w:rsid w:val="5F437D21"/>
    <w:rsid w:val="5F5E475F"/>
    <w:rsid w:val="5F867F04"/>
    <w:rsid w:val="5F877CC0"/>
    <w:rsid w:val="5FB24F46"/>
    <w:rsid w:val="5FDB5835"/>
    <w:rsid w:val="602274B0"/>
    <w:rsid w:val="60363DC9"/>
    <w:rsid w:val="604C0EF7"/>
    <w:rsid w:val="605B5D36"/>
    <w:rsid w:val="60A30D33"/>
    <w:rsid w:val="60A76A75"/>
    <w:rsid w:val="60B44CEE"/>
    <w:rsid w:val="60D12EC9"/>
    <w:rsid w:val="610950CA"/>
    <w:rsid w:val="61176BE7"/>
    <w:rsid w:val="61700C3D"/>
    <w:rsid w:val="618D36C0"/>
    <w:rsid w:val="619349A8"/>
    <w:rsid w:val="61AE5BE1"/>
    <w:rsid w:val="61C80A51"/>
    <w:rsid w:val="61E82EA1"/>
    <w:rsid w:val="62481B92"/>
    <w:rsid w:val="62A72D5C"/>
    <w:rsid w:val="62BA151E"/>
    <w:rsid w:val="62C40459"/>
    <w:rsid w:val="62E10A89"/>
    <w:rsid w:val="63000BBC"/>
    <w:rsid w:val="633D0FCB"/>
    <w:rsid w:val="63A728E8"/>
    <w:rsid w:val="63CD05A1"/>
    <w:rsid w:val="63F26259"/>
    <w:rsid w:val="64267CB1"/>
    <w:rsid w:val="642B3B0B"/>
    <w:rsid w:val="64430863"/>
    <w:rsid w:val="6458643A"/>
    <w:rsid w:val="646063F6"/>
    <w:rsid w:val="64680C55"/>
    <w:rsid w:val="646C600B"/>
    <w:rsid w:val="64B17EC2"/>
    <w:rsid w:val="65254792"/>
    <w:rsid w:val="65295CAB"/>
    <w:rsid w:val="652C12F7"/>
    <w:rsid w:val="652D0651"/>
    <w:rsid w:val="65870C23"/>
    <w:rsid w:val="65C50B86"/>
    <w:rsid w:val="65C60DEB"/>
    <w:rsid w:val="65C71020"/>
    <w:rsid w:val="65D234D2"/>
    <w:rsid w:val="664A412A"/>
    <w:rsid w:val="67492C4F"/>
    <w:rsid w:val="674E1D56"/>
    <w:rsid w:val="6751773B"/>
    <w:rsid w:val="675635B6"/>
    <w:rsid w:val="67670D0C"/>
    <w:rsid w:val="676A4358"/>
    <w:rsid w:val="67803B7C"/>
    <w:rsid w:val="67AD4D09"/>
    <w:rsid w:val="67FB3202"/>
    <w:rsid w:val="68833924"/>
    <w:rsid w:val="68E71007"/>
    <w:rsid w:val="691602F4"/>
    <w:rsid w:val="69403C83"/>
    <w:rsid w:val="695F7AC2"/>
    <w:rsid w:val="696F0688"/>
    <w:rsid w:val="697469DA"/>
    <w:rsid w:val="69C73E13"/>
    <w:rsid w:val="6A5F5CCB"/>
    <w:rsid w:val="6A94006A"/>
    <w:rsid w:val="6AB04778"/>
    <w:rsid w:val="6B00125C"/>
    <w:rsid w:val="6B0D24B4"/>
    <w:rsid w:val="6B2667E8"/>
    <w:rsid w:val="6BCF0398"/>
    <w:rsid w:val="6BEA35FD"/>
    <w:rsid w:val="6BF3491C"/>
    <w:rsid w:val="6C8B0FF9"/>
    <w:rsid w:val="6C91288D"/>
    <w:rsid w:val="6CE8198E"/>
    <w:rsid w:val="6CEB5F3B"/>
    <w:rsid w:val="6CF46B9E"/>
    <w:rsid w:val="6D0D53A0"/>
    <w:rsid w:val="6D1159A2"/>
    <w:rsid w:val="6D14184B"/>
    <w:rsid w:val="6D2F407A"/>
    <w:rsid w:val="6D4C69DA"/>
    <w:rsid w:val="6D8758DA"/>
    <w:rsid w:val="6D9E29F3"/>
    <w:rsid w:val="6DA71E62"/>
    <w:rsid w:val="6E0E1EE1"/>
    <w:rsid w:val="6E146DCC"/>
    <w:rsid w:val="6E3418AC"/>
    <w:rsid w:val="6E4219E4"/>
    <w:rsid w:val="6E966AF8"/>
    <w:rsid w:val="6EBC193D"/>
    <w:rsid w:val="6F002C34"/>
    <w:rsid w:val="6F2F65B3"/>
    <w:rsid w:val="6F360946"/>
    <w:rsid w:val="6F4638FD"/>
    <w:rsid w:val="6F647FD2"/>
    <w:rsid w:val="6F9603E0"/>
    <w:rsid w:val="6FFB46E7"/>
    <w:rsid w:val="701E43E7"/>
    <w:rsid w:val="702A2EE5"/>
    <w:rsid w:val="7082629A"/>
    <w:rsid w:val="70A82003"/>
    <w:rsid w:val="7105409D"/>
    <w:rsid w:val="715916C6"/>
    <w:rsid w:val="717A78A8"/>
    <w:rsid w:val="71AF7A24"/>
    <w:rsid w:val="71C11019"/>
    <w:rsid w:val="71E240D0"/>
    <w:rsid w:val="72516841"/>
    <w:rsid w:val="728403F0"/>
    <w:rsid w:val="72895FDA"/>
    <w:rsid w:val="72E72D01"/>
    <w:rsid w:val="72F464CC"/>
    <w:rsid w:val="731665BB"/>
    <w:rsid w:val="73335F46"/>
    <w:rsid w:val="73774085"/>
    <w:rsid w:val="73AA2C22"/>
    <w:rsid w:val="73CF2113"/>
    <w:rsid w:val="73EF6311"/>
    <w:rsid w:val="74387CB8"/>
    <w:rsid w:val="74411194"/>
    <w:rsid w:val="744A543C"/>
    <w:rsid w:val="746A3BEA"/>
    <w:rsid w:val="74AF4B88"/>
    <w:rsid w:val="74B44E65"/>
    <w:rsid w:val="74FD6465"/>
    <w:rsid w:val="751007EA"/>
    <w:rsid w:val="752F27EE"/>
    <w:rsid w:val="7531025A"/>
    <w:rsid w:val="7551712E"/>
    <w:rsid w:val="758E71FE"/>
    <w:rsid w:val="75A74EDD"/>
    <w:rsid w:val="75BD235C"/>
    <w:rsid w:val="75D141C0"/>
    <w:rsid w:val="75E17EDC"/>
    <w:rsid w:val="761A49D3"/>
    <w:rsid w:val="76511F78"/>
    <w:rsid w:val="76557EC3"/>
    <w:rsid w:val="765C3ABF"/>
    <w:rsid w:val="76EA2DC0"/>
    <w:rsid w:val="771816DB"/>
    <w:rsid w:val="772269FE"/>
    <w:rsid w:val="77297D8C"/>
    <w:rsid w:val="773724A9"/>
    <w:rsid w:val="77390BA8"/>
    <w:rsid w:val="77493F8A"/>
    <w:rsid w:val="776F1462"/>
    <w:rsid w:val="779416A9"/>
    <w:rsid w:val="7797037B"/>
    <w:rsid w:val="77E84A4C"/>
    <w:rsid w:val="78172511"/>
    <w:rsid w:val="781A1483"/>
    <w:rsid w:val="78324A1E"/>
    <w:rsid w:val="78342545"/>
    <w:rsid w:val="7880578A"/>
    <w:rsid w:val="789F75AD"/>
    <w:rsid w:val="78C049FB"/>
    <w:rsid w:val="78E734DC"/>
    <w:rsid w:val="78F47F26"/>
    <w:rsid w:val="78FA1106"/>
    <w:rsid w:val="78FF0DA4"/>
    <w:rsid w:val="79A56C45"/>
    <w:rsid w:val="79C24C70"/>
    <w:rsid w:val="79E47F9A"/>
    <w:rsid w:val="79F71A7C"/>
    <w:rsid w:val="7A5E2B5E"/>
    <w:rsid w:val="7AC0574F"/>
    <w:rsid w:val="7AF63774"/>
    <w:rsid w:val="7B0D52CF"/>
    <w:rsid w:val="7B1526FE"/>
    <w:rsid w:val="7B152B67"/>
    <w:rsid w:val="7B3B1E3C"/>
    <w:rsid w:val="7B6E00A7"/>
    <w:rsid w:val="7B7D7929"/>
    <w:rsid w:val="7BD04C7A"/>
    <w:rsid w:val="7BE92F62"/>
    <w:rsid w:val="7BFD3595"/>
    <w:rsid w:val="7C140119"/>
    <w:rsid w:val="7C217284"/>
    <w:rsid w:val="7C2211FF"/>
    <w:rsid w:val="7C3D41A1"/>
    <w:rsid w:val="7C502461"/>
    <w:rsid w:val="7C661E10"/>
    <w:rsid w:val="7CA0464C"/>
    <w:rsid w:val="7CC960C9"/>
    <w:rsid w:val="7CE72622"/>
    <w:rsid w:val="7D7A6BA6"/>
    <w:rsid w:val="7DA71C68"/>
    <w:rsid w:val="7DBA7990"/>
    <w:rsid w:val="7DD547CA"/>
    <w:rsid w:val="7DDB4957"/>
    <w:rsid w:val="7E0866D3"/>
    <w:rsid w:val="7E1C41A7"/>
    <w:rsid w:val="7E247389"/>
    <w:rsid w:val="7E723DC7"/>
    <w:rsid w:val="7E953F59"/>
    <w:rsid w:val="7E983DB4"/>
    <w:rsid w:val="7EA30424"/>
    <w:rsid w:val="7EC93128"/>
    <w:rsid w:val="7EE84089"/>
    <w:rsid w:val="7F5434CC"/>
    <w:rsid w:val="7F65392B"/>
    <w:rsid w:val="7FD309BB"/>
    <w:rsid w:val="7FE85121"/>
    <w:rsid w:val="7FEC5323"/>
    <w:rsid w:val="7FF8479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25"/>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5"/>
    <w:link w:val="81"/>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6">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Plain Text"/>
    <w:basedOn w:val="1"/>
    <w:link w:val="109"/>
    <w:unhideWhenUsed/>
    <w:qFormat/>
    <w:uiPriority w:val="99"/>
    <w:pPr>
      <w:spacing w:beforeLines="50" w:afterLines="50" w:line="400" w:lineRule="exact"/>
    </w:pPr>
    <w:rPr>
      <w:rFonts w:ascii="宋体" w:hAnsi="Courier New" w:eastAsia="宋体" w:cs="Times New Roman"/>
      <w:kern w:val="0"/>
      <w:sz w:val="24"/>
      <w:szCs w:val="24"/>
    </w:rPr>
  </w:style>
  <w:style w:type="paragraph" w:styleId="13">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semiHidden/>
    <w:unhideWhenUsed/>
    <w:qFormat/>
    <w:uiPriority w:val="0"/>
    <w:pPr>
      <w:ind w:firstLine="420"/>
    </w:pPr>
  </w:style>
  <w:style w:type="paragraph" w:styleId="17">
    <w:name w:val="caption"/>
    <w:basedOn w:val="1"/>
    <w:next w:val="1"/>
    <w:semiHidden/>
    <w:unhideWhenUsed/>
    <w:qFormat/>
    <w:uiPriority w:val="99"/>
    <w:pPr>
      <w:spacing w:before="152" w:after="160"/>
    </w:pPr>
    <w:rPr>
      <w:rFonts w:ascii="Arial" w:hAnsi="Arial" w:eastAsia="黑体" w:cs="Arial"/>
      <w:sz w:val="20"/>
      <w:szCs w:val="20"/>
    </w:rPr>
  </w:style>
  <w:style w:type="paragraph" w:styleId="18">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semiHidden/>
    <w:unhideWhenUsed/>
    <w:qFormat/>
    <w:uiPriority w:val="99"/>
    <w:pPr>
      <w:spacing w:after="120"/>
    </w:pPr>
    <w:rPr>
      <w:rFonts w:ascii="Times New Roman" w:hAnsi="Times New Roman" w:eastAsia="宋体" w:cs="Times New Roman"/>
      <w:kern w:val="0"/>
      <w:sz w:val="28"/>
      <w:szCs w:val="24"/>
    </w:rPr>
  </w:style>
  <w:style w:type="paragraph" w:styleId="24">
    <w:name w:val="Body Text Indent"/>
    <w:basedOn w:val="1"/>
    <w:next w:val="1"/>
    <w:link w:val="100"/>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5">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6">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7">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8">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9">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30">
    <w:name w:val="toc 3"/>
    <w:basedOn w:val="1"/>
    <w:next w:val="1"/>
    <w:semiHidden/>
    <w:unhideWhenUsed/>
    <w:qFormat/>
    <w:uiPriority w:val="39"/>
    <w:pPr>
      <w:ind w:left="840" w:leftChars="400"/>
    </w:pPr>
    <w:rPr>
      <w:rFonts w:ascii="Calibri" w:hAnsi="Calibri" w:eastAsia="宋体" w:cs="Times New Roman"/>
    </w:rPr>
  </w:style>
  <w:style w:type="paragraph" w:styleId="31">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semiHidden/>
    <w:unhideWhenUsed/>
    <w:qFormat/>
    <w:uiPriority w:val="99"/>
    <w:rPr>
      <w:rFonts w:ascii="Times New Roman" w:hAnsi="Times New Roman" w:eastAsia="宋体" w:cs="Times New Roman"/>
      <w:kern w:val="0"/>
      <w:sz w:val="18"/>
      <w:szCs w:val="18"/>
    </w:rPr>
  </w:style>
  <w:style w:type="paragraph" w:styleId="37">
    <w:name w:val="footer"/>
    <w:basedOn w:val="1"/>
    <w:link w:val="95"/>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unhideWhenUsed/>
    <w:qFormat/>
    <w:uiPriority w:val="39"/>
    <w:rPr>
      <w:rFonts w:ascii="Times New Roman" w:hAnsi="Times New Roman" w:eastAsia="宋体" w:cs="Times New Roman"/>
      <w:szCs w:val="24"/>
    </w:rPr>
  </w:style>
  <w:style w:type="paragraph" w:styleId="41">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semiHidden/>
    <w:unhideWhenUsed/>
    <w:qFormat/>
    <w:uiPriority w:val="99"/>
    <w:pPr>
      <w:wordWrap w:val="0"/>
      <w:ind w:left="1700"/>
    </w:pPr>
    <w:rPr>
      <w:rFonts w:ascii="Times New Roman" w:hAnsi="Times New Roman" w:eastAsia="宋体" w:cs="Times New Roman"/>
    </w:rPr>
  </w:style>
  <w:style w:type="paragraph" w:styleId="46">
    <w:name w:val="List 5"/>
    <w:basedOn w:val="1"/>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qFormat/>
    <w:uiPriority w:val="0"/>
    <w:pPr>
      <w:ind w:left="1200" w:leftChars="1200"/>
    </w:pPr>
  </w:style>
  <w:style w:type="paragraph" w:styleId="49">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unhideWhenUsed/>
    <w:qFormat/>
    <w:uiPriority w:val="39"/>
    <w:pPr>
      <w:ind w:left="420" w:leftChars="200"/>
    </w:pPr>
    <w:rPr>
      <w:rFonts w:ascii="Calibri" w:hAnsi="Calibri" w:eastAsia="宋体" w:cs="Times New Roman"/>
    </w:rPr>
  </w:style>
  <w:style w:type="paragraph" w:styleId="51">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semiHidden/>
    <w:unhideWhenUsed/>
    <w:qFormat/>
    <w:uiPriority w:val="99"/>
    <w:rPr>
      <w:b/>
      <w:bCs/>
      <w:szCs w:val="20"/>
    </w:rPr>
  </w:style>
  <w:style w:type="paragraph" w:styleId="60">
    <w:name w:val="Body Text First Indent"/>
    <w:basedOn w:val="23"/>
    <w:next w:val="45"/>
    <w:link w:val="103"/>
    <w:semiHidden/>
    <w:unhideWhenUsed/>
    <w:qFormat/>
    <w:uiPriority w:val="99"/>
    <w:pPr>
      <w:ind w:firstLine="420" w:firstLineChars="100"/>
    </w:pPr>
    <w:rPr>
      <w:rFonts w:ascii="Calibri" w:hAnsi="Calibri"/>
      <w:sz w:val="21"/>
    </w:rPr>
  </w:style>
  <w:style w:type="paragraph" w:styleId="61">
    <w:name w:val="Body Text First Indent 2"/>
    <w:basedOn w:val="24"/>
    <w:qFormat/>
    <w:uiPriority w:val="0"/>
    <w:pPr>
      <w:spacing w:after="120" w:line="240" w:lineRule="auto"/>
      <w:ind w:left="420" w:leftChars="200" w:firstLine="420" w:firstLineChars="200"/>
    </w:pPr>
    <w:rPr>
      <w:rFonts w:ascii="Times New Roman" w:hAnsi="Times New Roman"/>
      <w:spacing w:val="0"/>
      <w:sz w:val="21"/>
      <w:szCs w:val="24"/>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Classic 1"/>
    <w:basedOn w:val="62"/>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12" w:space="0"/>
        <w:bottom w:val="single" w:color="000000" w:sz="12" w:space="0"/>
      </w:tblBorders>
      <w:tblCellMar>
        <w:top w:w="0" w:type="dxa"/>
        <w:left w:w="108" w:type="dxa"/>
        <w:bottom w:w="0" w:type="dxa"/>
        <w:right w:w="108" w:type="dxa"/>
      </w:tblCellMar>
    </w:tblPr>
    <w:tcPr>
      <w:tcBorders>
        <w:top w:val="single" w:color="000000" w:sz="12" w:space="0"/>
        <w:left w:val="nil"/>
        <w:bottom w:val="single" w:color="000000" w:sz="12" w:space="0"/>
        <w:right w:val="nil"/>
      </w:tcBorders>
    </w:tcPr>
    <w:tblStylePr w:type="firstRow">
      <w:rPr>
        <w:i/>
        <w:iCs/>
      </w:rPr>
      <w:tblPr/>
      <w:tcPr>
        <w:tcBorders>
          <w:top w:val="nil"/>
          <w:left w:val="nil"/>
          <w:bottom w:val="single" w:color="000000" w:sz="6" w:space="0"/>
          <w:right w:val="nil"/>
          <w:tl2br w:val="nil"/>
          <w:tr2bl w:val="nil"/>
        </w:tcBorders>
      </w:tcPr>
    </w:tblStylePr>
    <w:tblStylePr w:type="lastRow">
      <w:rPr>
        <w:color w:val="auto"/>
      </w:rPr>
      <w:tblPr/>
      <w:tcPr>
        <w:tcBorders>
          <w:top w:val="single" w:color="000000" w:sz="6" w:space="0"/>
          <w:left w:val="nil"/>
          <w:bottom w:val="nil"/>
          <w:right w:val="nil"/>
          <w:tl2br w:val="nil"/>
          <w:tr2bl w:val="nil"/>
        </w:tcBorders>
      </w:tcPr>
    </w:tblStylePr>
    <w:tblStylePr w:type="firstCol">
      <w:tblPr/>
      <w:tcPr>
        <w:tcBorders>
          <w:top w:val="nil"/>
          <w:left w:val="nil"/>
          <w:bottom w:val="nil"/>
          <w:right w:val="single" w:color="000000" w:sz="6" w:space="0"/>
          <w:tl2br w:val="nil"/>
          <w:tr2bl w:val="nil"/>
        </w:tcBorders>
      </w:tcPr>
    </w:tblStylePr>
    <w:tblStylePr w:type="neCell">
      <w:rPr>
        <w:b/>
      </w:rPr>
      <w:tblPr/>
      <w:tcPr>
        <w:tcBorders>
          <w:top w:val="nil"/>
          <w:left w:val="nil"/>
          <w:bottom w:val="nil"/>
          <w:right w:val="nil"/>
          <w:tl2br w:val="nil"/>
          <w:tr2bl w:val="nil"/>
        </w:tcBorders>
      </w:tcPr>
    </w:tblStylePr>
    <w:tblStylePr w:type="swCell">
      <w:rPr>
        <w:b/>
      </w:rPr>
      <w:tblPr/>
      <w:tcPr>
        <w:tcBorders>
          <w:top w:val="nil"/>
          <w:left w:val="nil"/>
          <w:bottom w:val="nil"/>
          <w:right w:val="nil"/>
          <w:tl2br w:val="nil"/>
          <w:tr2bl w:val="nil"/>
        </w:tcBorders>
      </w:tcPr>
    </w:tblStylePr>
  </w:style>
  <w:style w:type="character" w:styleId="67">
    <w:name w:val="Strong"/>
    <w:qFormat/>
    <w:uiPriority w:val="22"/>
    <w:rPr>
      <w:rFonts w:hint="eastAsia" w:ascii="宋体" w:hAnsi="宋体" w:eastAsia="宋体"/>
      <w:b/>
      <w:bCs/>
      <w:kern w:val="2"/>
      <w:sz w:val="24"/>
      <w:szCs w:val="24"/>
      <w:lang w:val="en-US" w:eastAsia="zh-CN" w:bidi="ar-SA"/>
    </w:rPr>
  </w:style>
  <w:style w:type="character" w:styleId="68">
    <w:name w:val="endnote reference"/>
    <w:semiHidden/>
    <w:unhideWhenUsed/>
    <w:qFormat/>
    <w:uiPriority w:val="0"/>
    <w:rPr>
      <w:vertAlign w:val="superscript"/>
    </w:rPr>
  </w:style>
  <w:style w:type="character" w:styleId="69">
    <w:name w:val="page number"/>
    <w:basedOn w:val="66"/>
    <w:qFormat/>
    <w:uiPriority w:val="0"/>
  </w:style>
  <w:style w:type="character" w:styleId="70">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71">
    <w:name w:val="Emphasis"/>
    <w:qFormat/>
    <w:uiPriority w:val="20"/>
    <w:rPr>
      <w:i/>
      <w:sz w:val="21"/>
    </w:rPr>
  </w:style>
  <w:style w:type="character" w:styleId="72">
    <w:name w:val="Hyperlink"/>
    <w:unhideWhenUsed/>
    <w:qFormat/>
    <w:uiPriority w:val="99"/>
    <w:rPr>
      <w:color w:val="0000FF"/>
      <w:u w:val="single"/>
    </w:rPr>
  </w:style>
  <w:style w:type="character" w:styleId="73">
    <w:name w:val="annotation reference"/>
    <w:semiHidden/>
    <w:unhideWhenUsed/>
    <w:qFormat/>
    <w:uiPriority w:val="0"/>
    <w:rPr>
      <w:rFonts w:hint="eastAsia" w:ascii="宋体" w:hAnsi="宋体" w:eastAsia="宋体"/>
      <w:kern w:val="2"/>
      <w:sz w:val="21"/>
      <w:szCs w:val="21"/>
      <w:lang w:val="en-US" w:eastAsia="zh-CN" w:bidi="ar-SA"/>
    </w:rPr>
  </w:style>
  <w:style w:type="character" w:styleId="74">
    <w:name w:val="footnote reference"/>
    <w:semiHidden/>
    <w:unhideWhenUsed/>
    <w:qFormat/>
    <w:uiPriority w:val="0"/>
    <w:rPr>
      <w:vertAlign w:val="superscript"/>
    </w:rPr>
  </w:style>
  <w:style w:type="character" w:styleId="75">
    <w:name w:val="HTML Sample"/>
    <w:basedOn w:val="66"/>
    <w:semiHidden/>
    <w:unhideWhenUsed/>
    <w:qFormat/>
    <w:uiPriority w:val="99"/>
    <w:rPr>
      <w:rFonts w:ascii="Courier New" w:hAnsi="Courier New" w:eastAsia="Times New Roman" w:cs="Times New Roman"/>
    </w:rPr>
  </w:style>
  <w:style w:type="character" w:customStyle="1" w:styleId="76">
    <w:name w:val="标题 2 Char"/>
    <w:qFormat/>
    <w:uiPriority w:val="0"/>
    <w:rPr>
      <w:rFonts w:hint="default" w:ascii="Cambria" w:hAnsi="Cambria" w:eastAsia="宋体"/>
      <w:b/>
      <w:bCs/>
      <w:kern w:val="2"/>
      <w:sz w:val="32"/>
      <w:szCs w:val="32"/>
      <w:lang w:val="en-US" w:eastAsia="zh-CN" w:bidi="ar-SA"/>
    </w:rPr>
  </w:style>
  <w:style w:type="paragraph" w:customStyle="1" w:styleId="77">
    <w:name w:val="样式2"/>
    <w:basedOn w:val="40"/>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qFormat/>
    <w:uiPriority w:val="0"/>
    <w:pPr>
      <w:spacing w:line="360" w:lineRule="auto"/>
      <w:ind w:left="454" w:hanging="227"/>
    </w:pPr>
    <w:rPr>
      <w:rFonts w:ascii="宋体" w:hAnsi="宋体" w:eastAsia="宋体"/>
      <w:sz w:val="24"/>
      <w:szCs w:val="24"/>
    </w:rPr>
  </w:style>
  <w:style w:type="paragraph" w:customStyle="1" w:styleId="79">
    <w:name w:val="正文缩进1"/>
    <w:basedOn w:val="1"/>
    <w:qFormat/>
    <w:uiPriority w:val="99"/>
    <w:pPr>
      <w:ind w:firstLine="420"/>
    </w:pPr>
    <w:rPr>
      <w:rFonts w:ascii="Times New Roman" w:hAnsi="Times New Roman" w:eastAsia="宋体" w:cs="Times New Roman"/>
      <w:kern w:val="0"/>
      <w:szCs w:val="20"/>
    </w:rPr>
  </w:style>
  <w:style w:type="character" w:customStyle="1" w:styleId="80">
    <w:name w:val="标题 1 字符"/>
    <w:basedOn w:val="66"/>
    <w:link w:val="3"/>
    <w:qFormat/>
    <w:uiPriority w:val="0"/>
    <w:rPr>
      <w:rFonts w:ascii="Times New Roman" w:hAnsi="Times New Roman" w:eastAsia="宋体" w:cs="Times New Roman"/>
      <w:b/>
      <w:bCs/>
      <w:kern w:val="0"/>
      <w:sz w:val="24"/>
      <w:szCs w:val="24"/>
    </w:rPr>
  </w:style>
  <w:style w:type="character" w:customStyle="1" w:styleId="81">
    <w:name w:val="标题 2 字符"/>
    <w:basedOn w:val="66"/>
    <w:link w:val="4"/>
    <w:semiHidden/>
    <w:qFormat/>
    <w:uiPriority w:val="0"/>
    <w:rPr>
      <w:rFonts w:ascii="等线 Light" w:hAnsi="等线 Light" w:eastAsia="等线 Light" w:cs="Times New Roman"/>
      <w:b/>
      <w:bCs/>
      <w:sz w:val="32"/>
      <w:szCs w:val="32"/>
    </w:rPr>
  </w:style>
  <w:style w:type="character" w:customStyle="1" w:styleId="82">
    <w:name w:val="标题 3 字符"/>
    <w:basedOn w:val="66"/>
    <w:link w:val="6"/>
    <w:semiHidden/>
    <w:qFormat/>
    <w:uiPriority w:val="0"/>
    <w:rPr>
      <w:rFonts w:ascii="Times New Roman" w:hAnsi="Times New Roman" w:eastAsia="宋体" w:cs="Times New Roman"/>
      <w:b/>
      <w:bCs/>
      <w:kern w:val="0"/>
      <w:sz w:val="32"/>
      <w:szCs w:val="32"/>
    </w:rPr>
  </w:style>
  <w:style w:type="character" w:customStyle="1" w:styleId="83">
    <w:name w:val="标题 4 字符"/>
    <w:basedOn w:val="66"/>
    <w:link w:val="7"/>
    <w:semiHidden/>
    <w:qFormat/>
    <w:uiPriority w:val="0"/>
    <w:rPr>
      <w:rFonts w:ascii="Arial" w:hAnsi="Arial" w:eastAsia="黑体" w:cs="Times New Roman"/>
      <w:b/>
      <w:bCs/>
      <w:kern w:val="0"/>
      <w:sz w:val="28"/>
      <w:szCs w:val="28"/>
    </w:rPr>
  </w:style>
  <w:style w:type="character" w:customStyle="1" w:styleId="84">
    <w:name w:val="标题 5 字符"/>
    <w:basedOn w:val="66"/>
    <w:link w:val="8"/>
    <w:semiHidden/>
    <w:qFormat/>
    <w:uiPriority w:val="0"/>
    <w:rPr>
      <w:rFonts w:ascii="Times New Roman" w:hAnsi="Times New Roman" w:eastAsia="宋体" w:cs="Times New Roman"/>
      <w:b/>
      <w:bCs/>
      <w:kern w:val="0"/>
      <w:sz w:val="28"/>
      <w:szCs w:val="28"/>
    </w:rPr>
  </w:style>
  <w:style w:type="character" w:customStyle="1" w:styleId="85">
    <w:name w:val="标题 6 字符"/>
    <w:basedOn w:val="66"/>
    <w:link w:val="9"/>
    <w:semiHidden/>
    <w:qFormat/>
    <w:uiPriority w:val="0"/>
    <w:rPr>
      <w:rFonts w:ascii="Times New Roman" w:hAnsi="Times New Roman" w:eastAsia="宋体" w:cs="Times New Roman"/>
      <w:b/>
      <w:kern w:val="0"/>
      <w:szCs w:val="20"/>
    </w:rPr>
  </w:style>
  <w:style w:type="character" w:customStyle="1" w:styleId="86">
    <w:name w:val="标题 7 字符"/>
    <w:basedOn w:val="66"/>
    <w:link w:val="10"/>
    <w:semiHidden/>
    <w:qFormat/>
    <w:uiPriority w:val="99"/>
    <w:rPr>
      <w:rFonts w:ascii="Times New Roman" w:hAnsi="Times New Roman" w:eastAsia="宋体" w:cs="Times New Roman"/>
      <w:kern w:val="0"/>
      <w:szCs w:val="20"/>
    </w:rPr>
  </w:style>
  <w:style w:type="character" w:customStyle="1" w:styleId="87">
    <w:name w:val="标题 8 字符"/>
    <w:basedOn w:val="66"/>
    <w:link w:val="11"/>
    <w:semiHidden/>
    <w:qFormat/>
    <w:uiPriority w:val="99"/>
    <w:rPr>
      <w:rFonts w:ascii="Times New Roman" w:hAnsi="Times New Roman" w:eastAsia="宋体" w:cs="Times New Roman"/>
      <w:kern w:val="0"/>
      <w:szCs w:val="20"/>
    </w:rPr>
  </w:style>
  <w:style w:type="character" w:customStyle="1" w:styleId="88">
    <w:name w:val="标题 9 字符"/>
    <w:basedOn w:val="66"/>
    <w:link w:val="12"/>
    <w:semiHidden/>
    <w:qFormat/>
    <w:uiPriority w:val="99"/>
    <w:rPr>
      <w:rFonts w:ascii="Arial" w:hAnsi="Arial" w:eastAsia="黑体" w:cs="Times New Roman"/>
      <w:kern w:val="0"/>
      <w:sz w:val="20"/>
      <w:szCs w:val="20"/>
    </w:rPr>
  </w:style>
  <w:style w:type="character" w:customStyle="1" w:styleId="89">
    <w:name w:val="HTML 预设格式 字符"/>
    <w:basedOn w:val="66"/>
    <w:link w:val="54"/>
    <w:semiHidden/>
    <w:qFormat/>
    <w:uiPriority w:val="0"/>
    <w:rPr>
      <w:rFonts w:ascii="宋体" w:hAnsi="宋体" w:eastAsia="宋体" w:cs="Times New Roman"/>
      <w:kern w:val="0"/>
      <w:sz w:val="24"/>
      <w:szCs w:val="24"/>
    </w:rPr>
  </w:style>
  <w:style w:type="paragraph" w:customStyle="1" w:styleId="90">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semiHidden/>
    <w:qFormat/>
    <w:locked/>
    <w:uiPriority w:val="0"/>
  </w:style>
  <w:style w:type="character" w:customStyle="1" w:styleId="92">
    <w:name w:val="脚注文本 字符"/>
    <w:basedOn w:val="66"/>
    <w:link w:val="44"/>
    <w:semiHidden/>
    <w:qFormat/>
    <w:uiPriority w:val="99"/>
    <w:rPr>
      <w:rFonts w:ascii="Calibri" w:hAnsi="Calibri" w:eastAsia="宋体" w:cs="Times New Roman"/>
      <w:sz w:val="18"/>
      <w:szCs w:val="20"/>
    </w:rPr>
  </w:style>
  <w:style w:type="character" w:customStyle="1" w:styleId="93">
    <w:name w:val="批注文字 字符"/>
    <w:basedOn w:val="66"/>
    <w:semiHidden/>
    <w:qFormat/>
    <w:uiPriority w:val="0"/>
  </w:style>
  <w:style w:type="character" w:customStyle="1" w:styleId="94">
    <w:name w:val="页眉 字符"/>
    <w:basedOn w:val="66"/>
    <w:link w:val="38"/>
    <w:qFormat/>
    <w:uiPriority w:val="99"/>
    <w:rPr>
      <w:rFonts w:ascii="Times New Roman" w:hAnsi="Times New Roman" w:eastAsia="仿宋_GB2312" w:cs="Times New Roman"/>
      <w:kern w:val="0"/>
      <w:sz w:val="18"/>
      <w:szCs w:val="20"/>
    </w:rPr>
  </w:style>
  <w:style w:type="character" w:customStyle="1" w:styleId="95">
    <w:name w:val="页脚 字符"/>
    <w:basedOn w:val="66"/>
    <w:link w:val="37"/>
    <w:qFormat/>
    <w:uiPriority w:val="99"/>
    <w:rPr>
      <w:rFonts w:ascii="Times New Roman" w:hAnsi="Times New Roman" w:eastAsia="黑体" w:cs="Times New Roman"/>
      <w:kern w:val="0"/>
      <w:sz w:val="18"/>
      <w:szCs w:val="18"/>
    </w:rPr>
  </w:style>
  <w:style w:type="character" w:customStyle="1" w:styleId="96">
    <w:name w:val="尾注文本 字符"/>
    <w:basedOn w:val="66"/>
    <w:link w:val="35"/>
    <w:semiHidden/>
    <w:qFormat/>
    <w:uiPriority w:val="99"/>
    <w:rPr>
      <w:rFonts w:ascii="Calibri" w:hAnsi="Calibri" w:eastAsia="宋体" w:cs="Times New Roman"/>
      <w:szCs w:val="20"/>
    </w:rPr>
  </w:style>
  <w:style w:type="character" w:customStyle="1" w:styleId="97">
    <w:name w:val="标题 字符"/>
    <w:basedOn w:val="66"/>
    <w:link w:val="58"/>
    <w:qFormat/>
    <w:uiPriority w:val="99"/>
    <w:rPr>
      <w:rFonts w:ascii="Cambria" w:hAnsi="Cambria" w:eastAsia="宋体" w:cs="Times New Roman"/>
      <w:b/>
      <w:bCs/>
      <w:kern w:val="0"/>
      <w:sz w:val="28"/>
      <w:szCs w:val="32"/>
    </w:rPr>
  </w:style>
  <w:style w:type="character" w:customStyle="1" w:styleId="98">
    <w:name w:val="签名 字符"/>
    <w:basedOn w:val="66"/>
    <w:link w:val="39"/>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6"/>
    <w:link w:val="23"/>
    <w:semiHidden/>
    <w:qFormat/>
    <w:uiPriority w:val="99"/>
    <w:rPr>
      <w:rFonts w:ascii="Times New Roman" w:hAnsi="Times New Roman" w:eastAsia="宋体" w:cs="Times New Roman"/>
      <w:kern w:val="0"/>
      <w:sz w:val="28"/>
      <w:szCs w:val="24"/>
    </w:rPr>
  </w:style>
  <w:style w:type="character" w:customStyle="1" w:styleId="100">
    <w:name w:val="正文文本缩进 字符"/>
    <w:basedOn w:val="66"/>
    <w:link w:val="24"/>
    <w:semiHidden/>
    <w:qFormat/>
    <w:uiPriority w:val="99"/>
    <w:rPr>
      <w:rFonts w:ascii="宋体" w:hAnsi="Courier New" w:eastAsia="宋体" w:cs="Times New Roman"/>
      <w:spacing w:val="-4"/>
      <w:kern w:val="0"/>
      <w:sz w:val="18"/>
      <w:szCs w:val="20"/>
    </w:rPr>
  </w:style>
  <w:style w:type="character" w:customStyle="1" w:styleId="101">
    <w:name w:val="副标题 字符"/>
    <w:basedOn w:val="66"/>
    <w:link w:val="42"/>
    <w:qFormat/>
    <w:uiPriority w:val="99"/>
    <w:rPr>
      <w:rFonts w:ascii="Times New Roman" w:hAnsi="Times New Roman" w:eastAsia="宋体" w:cs="Times New Roman"/>
      <w:kern w:val="0"/>
      <w:sz w:val="24"/>
      <w:szCs w:val="20"/>
    </w:rPr>
  </w:style>
  <w:style w:type="character" w:customStyle="1" w:styleId="102">
    <w:name w:val="日期 字符"/>
    <w:basedOn w:val="66"/>
    <w:link w:val="33"/>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semiHidden/>
    <w:qFormat/>
    <w:uiPriority w:val="99"/>
    <w:rPr>
      <w:rFonts w:ascii="Calibri" w:hAnsi="Calibri" w:eastAsia="宋体" w:cs="Times New Roman"/>
      <w:kern w:val="0"/>
      <w:sz w:val="28"/>
      <w:szCs w:val="24"/>
    </w:rPr>
  </w:style>
  <w:style w:type="character" w:customStyle="1" w:styleId="104">
    <w:name w:val="正文文本 2 字符"/>
    <w:basedOn w:val="66"/>
    <w:link w:val="52"/>
    <w:semiHidden/>
    <w:qFormat/>
    <w:uiPriority w:val="99"/>
    <w:rPr>
      <w:rFonts w:ascii="宋体" w:hAnsi="宋体" w:eastAsia="宋体" w:cs="Times New Roman"/>
      <w:color w:val="000000"/>
      <w:kern w:val="0"/>
      <w:sz w:val="24"/>
      <w:szCs w:val="24"/>
    </w:rPr>
  </w:style>
  <w:style w:type="character" w:customStyle="1" w:styleId="105">
    <w:name w:val="正文文本 3 字符"/>
    <w:basedOn w:val="66"/>
    <w:link w:val="22"/>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6"/>
    <w:link w:val="34"/>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6"/>
    <w:link w:val="47"/>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6"/>
    <w:link w:val="19"/>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6"/>
    <w:link w:val="5"/>
    <w:semiHidden/>
    <w:qFormat/>
    <w:uiPriority w:val="99"/>
    <w:rPr>
      <w:rFonts w:ascii="宋体" w:hAnsi="Courier New" w:eastAsia="宋体" w:cs="Times New Roman"/>
      <w:kern w:val="0"/>
      <w:sz w:val="24"/>
      <w:szCs w:val="24"/>
    </w:rPr>
  </w:style>
  <w:style w:type="character" w:customStyle="1" w:styleId="110">
    <w:name w:val="批注主题 字符"/>
    <w:basedOn w:val="93"/>
    <w:link w:val="59"/>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6"/>
    <w:link w:val="36"/>
    <w:semiHidden/>
    <w:qFormat/>
    <w:uiPriority w:val="99"/>
    <w:rPr>
      <w:rFonts w:ascii="Times New Roman" w:hAnsi="Times New Roman" w:eastAsia="宋体" w:cs="Times New Roman"/>
      <w:kern w:val="0"/>
      <w:sz w:val="18"/>
      <w:szCs w:val="18"/>
    </w:rPr>
  </w:style>
  <w:style w:type="paragraph" w:styleId="112">
    <w:name w:val="No Spacing"/>
    <w:qFormat/>
    <w:uiPriority w:val="99"/>
    <w:rPr>
      <w:rFonts w:ascii="Calibri" w:hAnsi="Calibri" w:eastAsia="Times New Roman" w:cs="Times New Roman"/>
      <w:kern w:val="2"/>
      <w:sz w:val="22"/>
      <w:szCs w:val="22"/>
      <w:lang w:val="en-US" w:eastAsia="zh-CN" w:bidi="ar-SA"/>
    </w:rPr>
  </w:style>
  <w:style w:type="paragraph" w:customStyle="1" w:styleId="113">
    <w:name w:val="修订1"/>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6"/>
    <w:link w:val="115"/>
    <w:qFormat/>
    <w:uiPriority w:val="99"/>
    <w:rPr>
      <w:rFonts w:ascii="Times New Roman" w:hAnsi="Times New Roman" w:eastAsia="宋体" w:cs="Times New Roman"/>
      <w:i/>
      <w:kern w:val="0"/>
      <w:szCs w:val="20"/>
    </w:rPr>
  </w:style>
  <w:style w:type="paragraph" w:styleId="117">
    <w:name w:val="Intense Quote"/>
    <w:next w:val="1"/>
    <w:link w:val="118"/>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6"/>
    <w:link w:val="117"/>
    <w:qFormat/>
    <w:uiPriority w:val="99"/>
    <w:rPr>
      <w:rFonts w:ascii="Times New Roman" w:hAnsi="Times New Roman" w:eastAsia="宋体" w:cs="Times New Roman"/>
      <w:i/>
      <w:kern w:val="0"/>
      <w:szCs w:val="20"/>
    </w:rPr>
  </w:style>
  <w:style w:type="paragraph" w:customStyle="1" w:styleId="119">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qFormat/>
    <w:locked/>
    <w:uiPriority w:val="0"/>
    <w:rPr>
      <w:szCs w:val="24"/>
    </w:rPr>
  </w:style>
  <w:style w:type="paragraph" w:customStyle="1" w:styleId="121">
    <w:name w:val="列表段落1"/>
    <w:basedOn w:val="1"/>
    <w:link w:val="120"/>
    <w:qFormat/>
    <w:uiPriority w:val="0"/>
    <w:pPr>
      <w:ind w:firstLine="420" w:firstLineChars="200"/>
    </w:pPr>
    <w:rPr>
      <w:szCs w:val="24"/>
    </w:rPr>
  </w:style>
  <w:style w:type="character" w:customStyle="1" w:styleId="122">
    <w:name w:val="目录3 Char"/>
    <w:link w:val="123"/>
    <w:qFormat/>
    <w:locked/>
    <w:uiPriority w:val="99"/>
    <w:rPr>
      <w:rFonts w:ascii="宋体" w:hAnsi="宋体" w:eastAsia="宋体"/>
      <w:b/>
      <w:sz w:val="24"/>
    </w:rPr>
  </w:style>
  <w:style w:type="paragraph" w:customStyle="1" w:styleId="123">
    <w:name w:val="目录3"/>
    <w:basedOn w:val="1"/>
    <w:link w:val="122"/>
    <w:qFormat/>
    <w:uiPriority w:val="99"/>
    <w:pPr>
      <w:adjustRightInd w:val="0"/>
      <w:snapToGrid w:val="0"/>
      <w:jc w:val="left"/>
    </w:pPr>
    <w:rPr>
      <w:rFonts w:ascii="宋体" w:hAnsi="宋体" w:eastAsia="宋体"/>
      <w:b/>
      <w:sz w:val="24"/>
    </w:rPr>
  </w:style>
  <w:style w:type="paragraph" w:customStyle="1" w:styleId="124">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qFormat/>
    <w:locked/>
    <w:uiPriority w:val="0"/>
    <w:rPr>
      <w:rFonts w:ascii="Times New Roman" w:hAnsi="Times New Roman" w:eastAsia="Times New Roman" w:cs="Times New Roman"/>
      <w:szCs w:val="24"/>
    </w:rPr>
  </w:style>
  <w:style w:type="paragraph" w:customStyle="1" w:styleId="127">
    <w:name w:val="无间隔1"/>
    <w:link w:val="126"/>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qFormat/>
    <w:locked/>
    <w:uiPriority w:val="0"/>
    <w:rPr>
      <w:rFonts w:ascii="Arial Unicode MS" w:hAnsi="Arial Unicode MS" w:eastAsia="ヒラギノ角ゴ Pro W3"/>
      <w:color w:val="000000"/>
    </w:rPr>
  </w:style>
  <w:style w:type="paragraph" w:customStyle="1" w:styleId="129">
    <w:name w:val="纯文本_0"/>
    <w:link w:val="128"/>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qFormat/>
    <w:locked/>
    <w:uiPriority w:val="0"/>
    <w:rPr>
      <w:rFonts w:ascii="宋体" w:hAnsi="宋体" w:eastAsia="宋体"/>
      <w:b/>
      <w:sz w:val="24"/>
    </w:rPr>
  </w:style>
  <w:style w:type="paragraph" w:customStyle="1" w:styleId="131">
    <w:name w:val="样式1"/>
    <w:basedOn w:val="1"/>
    <w:link w:val="130"/>
    <w:qFormat/>
    <w:uiPriority w:val="0"/>
    <w:pPr>
      <w:spacing w:before="120" w:after="120" w:line="300" w:lineRule="auto"/>
    </w:pPr>
    <w:rPr>
      <w:rFonts w:ascii="宋体" w:hAnsi="宋体" w:eastAsia="宋体"/>
      <w:b/>
      <w:sz w:val="24"/>
    </w:rPr>
  </w:style>
  <w:style w:type="paragraph" w:customStyle="1" w:styleId="13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qFormat/>
    <w:locked/>
    <w:uiPriority w:val="0"/>
    <w:rPr>
      <w:rFonts w:ascii="宋体" w:hAnsi="宋体" w:eastAsia="ヒラギノ角ゴ Pro W3"/>
      <w:color w:val="000000"/>
    </w:rPr>
  </w:style>
  <w:style w:type="paragraph" w:customStyle="1" w:styleId="134">
    <w:name w:val="纯文本_1"/>
    <w:link w:val="133"/>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qFormat/>
    <w:locked/>
    <w:uiPriority w:val="0"/>
    <w:rPr>
      <w:i/>
      <w:iCs/>
      <w:color w:val="000000"/>
    </w:rPr>
  </w:style>
  <w:style w:type="paragraph" w:customStyle="1" w:styleId="137">
    <w:name w:val="彩色网格 - 强调文字颜色 11"/>
    <w:basedOn w:val="1"/>
    <w:next w:val="1"/>
    <w:link w:val="136"/>
    <w:qFormat/>
    <w:uiPriority w:val="0"/>
    <w:rPr>
      <w:i/>
      <w:iCs/>
      <w:color w:val="000000"/>
    </w:rPr>
  </w:style>
  <w:style w:type="character" w:customStyle="1" w:styleId="138">
    <w:name w:val="样式 纯文本普通文字 Char纯文本 Char Char普通文字纯文本 Char Char Char Char Char...6 Char Char"/>
    <w:link w:val="139"/>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5"/>
    <w:link w:val="138"/>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qFormat/>
    <w:locked/>
    <w:uiPriority w:val="0"/>
    <w:rPr>
      <w:i/>
      <w:iCs/>
      <w:color w:val="000000"/>
      <w:szCs w:val="24"/>
    </w:rPr>
  </w:style>
  <w:style w:type="paragraph" w:customStyle="1" w:styleId="141">
    <w:name w:val="引用1"/>
    <w:basedOn w:val="1"/>
    <w:next w:val="1"/>
    <w:link w:val="140"/>
    <w:qFormat/>
    <w:uiPriority w:val="0"/>
    <w:rPr>
      <w:i/>
      <w:iCs/>
      <w:color w:val="000000"/>
      <w:szCs w:val="24"/>
    </w:rPr>
  </w:style>
  <w:style w:type="character" w:customStyle="1" w:styleId="142">
    <w:name w:val="标题4 Char Char"/>
    <w:link w:val="143"/>
    <w:qFormat/>
    <w:locked/>
    <w:uiPriority w:val="0"/>
    <w:rPr>
      <w:rFonts w:ascii="Arial" w:hAnsi="Arial" w:cs="Arial"/>
      <w:b/>
      <w:bCs/>
      <w:sz w:val="24"/>
      <w:szCs w:val="32"/>
    </w:rPr>
  </w:style>
  <w:style w:type="paragraph" w:customStyle="1" w:styleId="143">
    <w:name w:val="标题4"/>
    <w:basedOn w:val="1"/>
    <w:link w:val="142"/>
    <w:qFormat/>
    <w:uiPriority w:val="0"/>
    <w:rPr>
      <w:rFonts w:ascii="Arial" w:hAnsi="Arial" w:cs="Arial"/>
      <w:b/>
      <w:bCs/>
      <w:sz w:val="24"/>
      <w:szCs w:val="32"/>
    </w:rPr>
  </w:style>
  <w:style w:type="character" w:customStyle="1" w:styleId="144">
    <w:name w:val="明显引用 Char1"/>
    <w:link w:val="145"/>
    <w:qFormat/>
    <w:locked/>
    <w:uiPriority w:val="0"/>
    <w:rPr>
      <w:b/>
      <w:bCs/>
      <w:i/>
      <w:iCs/>
      <w:color w:val="4F81BD"/>
      <w:szCs w:val="24"/>
    </w:rPr>
  </w:style>
  <w:style w:type="paragraph" w:customStyle="1" w:styleId="145">
    <w:name w:val="Intense Quote1"/>
    <w:basedOn w:val="1"/>
    <w:next w:val="1"/>
    <w:link w:val="144"/>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qFormat/>
    <w:locked/>
    <w:uiPriority w:val="0"/>
    <w:rPr>
      <w:rFonts w:ascii="Arial" w:hAnsi="Arial" w:cs="Arial"/>
      <w:b/>
      <w:bCs/>
      <w:sz w:val="24"/>
      <w:szCs w:val="32"/>
    </w:rPr>
  </w:style>
  <w:style w:type="paragraph" w:customStyle="1" w:styleId="148">
    <w:name w:val="标题5"/>
    <w:basedOn w:val="6"/>
    <w:link w:val="147"/>
    <w:qFormat/>
    <w:uiPriority w:val="0"/>
    <w:pPr>
      <w:spacing w:line="412" w:lineRule="auto"/>
    </w:pPr>
    <w:rPr>
      <w:rFonts w:ascii="Arial" w:hAnsi="Arial" w:cs="Arial" w:eastAsiaTheme="minorEastAsia"/>
      <w:kern w:val="2"/>
      <w:sz w:val="24"/>
    </w:rPr>
  </w:style>
  <w:style w:type="character" w:customStyle="1" w:styleId="149">
    <w:name w:val="正文文字4 Char1_0"/>
    <w:link w:val="150"/>
    <w:qFormat/>
    <w:locked/>
    <w:uiPriority w:val="0"/>
  </w:style>
  <w:style w:type="paragraph" w:customStyle="1" w:styleId="150">
    <w:name w:val="正文文本缩进_0"/>
    <w:basedOn w:val="135"/>
    <w:link w:val="149"/>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qFormat/>
    <w:locked/>
    <w:uiPriority w:val="0"/>
    <w:rPr>
      <w:rFonts w:ascii="Arial" w:hAnsi="Arial" w:eastAsia="Times New Roman" w:cs="Arial"/>
      <w:szCs w:val="24"/>
    </w:rPr>
  </w:style>
  <w:style w:type="paragraph" w:customStyle="1" w:styleId="152">
    <w:name w:val="内文"/>
    <w:link w:val="151"/>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qFormat/>
    <w:locked/>
    <w:uiPriority w:val="0"/>
    <w:rPr>
      <w:rFonts w:ascii="宋体" w:hAnsi="Courier New" w:eastAsia="宋体"/>
      <w:szCs w:val="21"/>
    </w:rPr>
  </w:style>
  <w:style w:type="paragraph" w:customStyle="1" w:styleId="155">
    <w:name w:val="纯文本_1_0"/>
    <w:basedOn w:val="146"/>
    <w:link w:val="154"/>
    <w:qFormat/>
    <w:uiPriority w:val="0"/>
    <w:rPr>
      <w:rFonts w:ascii="宋体" w:hAnsi="Courier New" w:cstheme="minorBidi"/>
      <w:szCs w:val="21"/>
    </w:rPr>
  </w:style>
  <w:style w:type="paragraph" w:customStyle="1" w:styleId="156">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qFormat/>
    <w:locked/>
    <w:uiPriority w:val="0"/>
    <w:rPr>
      <w:rFonts w:ascii="Arial" w:hAnsi="Arial" w:cs="Arial"/>
      <w:color w:val="000000"/>
    </w:rPr>
  </w:style>
  <w:style w:type="paragraph" w:customStyle="1" w:styleId="158">
    <w:name w:val="样式 正文文本"/>
    <w:basedOn w:val="1"/>
    <w:link w:val="157"/>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qFormat/>
    <w:locked/>
    <w:uiPriority w:val="0"/>
    <w:rPr>
      <w:b/>
      <w:bCs/>
      <w:i/>
      <w:iCs/>
      <w:color w:val="4F81BD"/>
    </w:rPr>
  </w:style>
  <w:style w:type="paragraph" w:customStyle="1" w:styleId="160">
    <w:name w:val="浅色底纹 - 强调文字颜色 21"/>
    <w:basedOn w:val="1"/>
    <w:next w:val="1"/>
    <w:link w:val="159"/>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qFormat/>
    <w:locked/>
    <w:uiPriority w:val="0"/>
    <w:rPr>
      <w:b/>
      <w:i/>
      <w:color w:val="4F81BD"/>
      <w:sz w:val="22"/>
    </w:rPr>
  </w:style>
  <w:style w:type="paragraph" w:customStyle="1" w:styleId="162">
    <w:name w:val="明显引用1"/>
    <w:basedOn w:val="1"/>
    <w:next w:val="1"/>
    <w:link w:val="161"/>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qFormat/>
    <w:locked/>
    <w:uiPriority w:val="0"/>
    <w:rPr>
      <w:rFonts w:ascii="..ì." w:hAnsi="..ì." w:eastAsia="..ì." w:cs="..ì."/>
      <w:color w:val="000000"/>
      <w:sz w:val="24"/>
      <w:szCs w:val="24"/>
    </w:rPr>
  </w:style>
  <w:style w:type="paragraph" w:customStyle="1" w:styleId="164">
    <w:name w:val="Default"/>
    <w:link w:val="163"/>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qFormat/>
    <w:locked/>
    <w:uiPriority w:val="0"/>
    <w:rPr>
      <w:i/>
      <w:color w:val="000000"/>
      <w:sz w:val="22"/>
    </w:rPr>
  </w:style>
  <w:style w:type="paragraph" w:customStyle="1" w:styleId="166">
    <w:name w:val="引用11"/>
    <w:basedOn w:val="1"/>
    <w:next w:val="1"/>
    <w:link w:val="165"/>
    <w:qFormat/>
    <w:uiPriority w:val="0"/>
    <w:rPr>
      <w:i/>
      <w:color w:val="000000"/>
      <w:sz w:val="22"/>
    </w:rPr>
  </w:style>
  <w:style w:type="character" w:customStyle="1" w:styleId="167">
    <w:name w:val="明显引用 Char"/>
    <w:link w:val="168"/>
    <w:qFormat/>
    <w:locked/>
    <w:uiPriority w:val="0"/>
    <w:rPr>
      <w:b/>
      <w:bCs/>
      <w:i/>
      <w:iCs/>
      <w:color w:val="4F81BD"/>
    </w:rPr>
  </w:style>
  <w:style w:type="paragraph" w:customStyle="1" w:styleId="168">
    <w:name w:val="明显引用2"/>
    <w:basedOn w:val="1"/>
    <w:next w:val="1"/>
    <w:link w:val="167"/>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qFormat/>
    <w:uiPriority w:val="99"/>
    <w:pPr>
      <w:widowControl/>
      <w:jc w:val="left"/>
    </w:pPr>
    <w:rPr>
      <w:rFonts w:ascii="宋体" w:hAnsi="宋体" w:eastAsia="宋体" w:cs="宋体"/>
      <w:color w:val="FF0000"/>
      <w:kern w:val="0"/>
      <w:szCs w:val="21"/>
    </w:rPr>
  </w:style>
  <w:style w:type="paragraph" w:customStyle="1" w:styleId="172">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qFormat/>
    <w:uiPriority w:val="99"/>
    <w:pPr>
      <w:widowControl/>
      <w:spacing w:line="280" w:lineRule="atLeast"/>
      <w:jc w:val="left"/>
    </w:pPr>
    <w:rPr>
      <w:rFonts w:ascii="宋体" w:hAnsi="宋体" w:eastAsia="宋体" w:cs="宋体"/>
      <w:kern w:val="0"/>
      <w:sz w:val="24"/>
    </w:rPr>
  </w:style>
  <w:style w:type="paragraph" w:customStyle="1" w:styleId="177">
    <w:name w:val="p0"/>
    <w:basedOn w:val="1"/>
    <w:qFormat/>
    <w:uiPriority w:val="99"/>
    <w:pPr>
      <w:widowControl/>
    </w:pPr>
    <w:rPr>
      <w:rFonts w:ascii="Times New Roman" w:hAnsi="Times New Roman" w:eastAsia="宋体" w:cs="Times New Roman"/>
      <w:kern w:val="0"/>
      <w:szCs w:val="21"/>
    </w:rPr>
  </w:style>
  <w:style w:type="paragraph" w:customStyle="1" w:styleId="178">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qFormat/>
    <w:uiPriority w:val="99"/>
    <w:pPr>
      <w:widowControl/>
      <w:spacing w:line="300" w:lineRule="atLeast"/>
    </w:pPr>
    <w:rPr>
      <w:rFonts w:ascii="宋体" w:hAnsi="宋体" w:eastAsia="宋体" w:cs="宋体"/>
      <w:kern w:val="0"/>
      <w:sz w:val="24"/>
    </w:rPr>
  </w:style>
  <w:style w:type="paragraph" w:customStyle="1" w:styleId="182">
    <w:name w:val="投标标题 2"/>
    <w:basedOn w:val="17"/>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qFormat/>
    <w:uiPriority w:val="99"/>
    <w:rPr>
      <w:rFonts w:ascii="Calibri" w:hAnsi="Calibri" w:eastAsia="宋体" w:cs="Times New Roman"/>
    </w:rPr>
  </w:style>
  <w:style w:type="paragraph" w:customStyle="1" w:styleId="185">
    <w:name w:val="pa-43"/>
    <w:basedOn w:val="1"/>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qFormat/>
    <w:locked/>
    <w:uiPriority w:val="0"/>
    <w:rPr>
      <w:rFonts w:ascii="宋体" w:hAnsi="???|CS?o｡ﾀ?" w:eastAsia="宋体"/>
      <w:szCs w:val="28"/>
    </w:rPr>
  </w:style>
  <w:style w:type="paragraph" w:customStyle="1" w:styleId="187">
    <w:name w:val="内文正文"/>
    <w:basedOn w:val="5"/>
    <w:link w:val="186"/>
    <w:qFormat/>
    <w:uiPriority w:val="0"/>
    <w:pPr>
      <w:autoSpaceDE w:val="0"/>
      <w:autoSpaceDN w:val="0"/>
      <w:ind w:firstLine="200" w:firstLineChars="200"/>
    </w:pPr>
    <w:rPr>
      <w:rFonts w:hAnsi="???|CS?o｡ﾀ?" w:cstheme="minorBidi"/>
      <w:kern w:val="2"/>
      <w:sz w:val="21"/>
      <w:szCs w:val="28"/>
    </w:rPr>
  </w:style>
  <w:style w:type="paragraph" w:customStyle="1" w:styleId="188">
    <w:name w:val="Normal_21"/>
    <w:qFormat/>
    <w:uiPriority w:val="99"/>
    <w:rPr>
      <w:rFonts w:ascii="黑体" w:hAnsi="黑体" w:eastAsia="黑体" w:cs="Times New Roman"/>
      <w:b/>
      <w:sz w:val="32"/>
      <w:szCs w:val="24"/>
      <w:lang w:val="en-US" w:eastAsia="zh-CN" w:bidi="ar-SA"/>
    </w:rPr>
  </w:style>
  <w:style w:type="paragraph" w:customStyle="1" w:styleId="189">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qFormat/>
    <w:uiPriority w:val="99"/>
    <w:pPr>
      <w:widowControl/>
      <w:spacing w:line="280" w:lineRule="atLeast"/>
    </w:pPr>
    <w:rPr>
      <w:rFonts w:ascii="宋体" w:hAnsi="宋体" w:eastAsia="宋体" w:cs="宋体"/>
      <w:kern w:val="0"/>
      <w:sz w:val="24"/>
    </w:rPr>
  </w:style>
  <w:style w:type="paragraph" w:customStyle="1" w:styleId="192">
    <w:name w:val="pa-97"/>
    <w:basedOn w:val="1"/>
    <w:qFormat/>
    <w:uiPriority w:val="99"/>
    <w:pPr>
      <w:widowControl/>
      <w:spacing w:line="720" w:lineRule="atLeast"/>
    </w:pPr>
    <w:rPr>
      <w:rFonts w:ascii="宋体" w:hAnsi="宋体" w:eastAsia="宋体" w:cs="宋体"/>
      <w:kern w:val="0"/>
      <w:sz w:val="24"/>
    </w:rPr>
  </w:style>
  <w:style w:type="paragraph" w:customStyle="1" w:styleId="193">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qFormat/>
    <w:uiPriority w:val="99"/>
    <w:rPr>
      <w:rFonts w:ascii="黑体" w:hAnsi="黑体" w:eastAsia="黑体" w:cs="Times New Roman"/>
      <w:b/>
      <w:sz w:val="32"/>
      <w:szCs w:val="24"/>
      <w:lang w:val="en-US" w:eastAsia="zh-CN" w:bidi="ar-SA"/>
    </w:rPr>
  </w:style>
  <w:style w:type="paragraph" w:customStyle="1" w:styleId="198">
    <w:name w:val="pa-82"/>
    <w:basedOn w:val="1"/>
    <w:qFormat/>
    <w:uiPriority w:val="99"/>
    <w:pPr>
      <w:widowControl/>
      <w:spacing w:line="480" w:lineRule="atLeast"/>
      <w:jc w:val="center"/>
    </w:pPr>
    <w:rPr>
      <w:rFonts w:ascii="宋体" w:hAnsi="宋体" w:eastAsia="宋体" w:cs="宋体"/>
      <w:kern w:val="0"/>
      <w:sz w:val="24"/>
    </w:rPr>
  </w:style>
  <w:style w:type="paragraph" w:customStyle="1" w:styleId="199">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202">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qFormat/>
    <w:uiPriority w:val="99"/>
    <w:pPr>
      <w:widowControl/>
      <w:spacing w:line="280" w:lineRule="atLeast"/>
    </w:pPr>
    <w:rPr>
      <w:rFonts w:ascii="宋体" w:hAnsi="宋体" w:eastAsia="宋体" w:cs="宋体"/>
      <w:kern w:val="0"/>
      <w:sz w:val="24"/>
    </w:rPr>
  </w:style>
  <w:style w:type="paragraph" w:customStyle="1" w:styleId="211">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qFormat/>
    <w:uiPriority w:val="99"/>
    <w:pPr>
      <w:widowControl/>
      <w:spacing w:line="340" w:lineRule="atLeast"/>
    </w:pPr>
    <w:rPr>
      <w:rFonts w:ascii="宋体" w:hAnsi="宋体" w:eastAsia="宋体" w:cs="宋体"/>
      <w:kern w:val="0"/>
      <w:sz w:val="24"/>
    </w:rPr>
  </w:style>
  <w:style w:type="paragraph" w:customStyle="1" w:styleId="213">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qFormat/>
    <w:uiPriority w:val="99"/>
    <w:pPr>
      <w:widowControl/>
      <w:spacing w:line="760" w:lineRule="atLeast"/>
    </w:pPr>
    <w:rPr>
      <w:rFonts w:ascii="宋体" w:hAnsi="宋体" w:eastAsia="宋体" w:cs="宋体"/>
      <w:kern w:val="0"/>
      <w:sz w:val="24"/>
    </w:rPr>
  </w:style>
  <w:style w:type="paragraph" w:customStyle="1" w:styleId="215">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16">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4"/>
    <w:next w:val="6"/>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qFormat/>
    <w:uiPriority w:val="99"/>
    <w:rPr>
      <w:rFonts w:ascii="黑体" w:hAnsi="黑体" w:eastAsia="黑体" w:cs="Times New Roman"/>
      <w:b/>
      <w:sz w:val="32"/>
      <w:szCs w:val="24"/>
      <w:lang w:val="en-US" w:eastAsia="zh-CN" w:bidi="ar-SA"/>
    </w:rPr>
  </w:style>
  <w:style w:type="paragraph" w:customStyle="1" w:styleId="220">
    <w:name w:val="pa-17"/>
    <w:basedOn w:val="1"/>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qFormat/>
    <w:uiPriority w:val="99"/>
    <w:pPr>
      <w:widowControl/>
      <w:spacing w:line="360" w:lineRule="atLeast"/>
    </w:pPr>
    <w:rPr>
      <w:rFonts w:ascii="宋体" w:hAnsi="宋体" w:eastAsia="宋体" w:cs="宋体"/>
      <w:kern w:val="0"/>
      <w:sz w:val="24"/>
    </w:rPr>
  </w:style>
  <w:style w:type="paragraph" w:customStyle="1" w:styleId="222">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3"/>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qFormat/>
    <w:uiPriority w:val="99"/>
    <w:pPr>
      <w:widowControl/>
      <w:spacing w:line="240" w:lineRule="atLeast"/>
    </w:pPr>
    <w:rPr>
      <w:rFonts w:ascii="宋体" w:hAnsi="宋体" w:eastAsia="宋体" w:cs="宋体"/>
      <w:kern w:val="0"/>
      <w:sz w:val="24"/>
    </w:rPr>
  </w:style>
  <w:style w:type="paragraph" w:customStyle="1" w:styleId="232">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34">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qFormat/>
    <w:uiPriority w:val="99"/>
    <w:pPr>
      <w:widowControl/>
      <w:spacing w:line="480" w:lineRule="atLeast"/>
    </w:pPr>
    <w:rPr>
      <w:rFonts w:ascii="宋体" w:hAnsi="宋体" w:eastAsia="宋体" w:cs="宋体"/>
      <w:kern w:val="0"/>
      <w:sz w:val="24"/>
    </w:rPr>
  </w:style>
  <w:style w:type="paragraph" w:customStyle="1" w:styleId="236">
    <w:name w:val="ca-14"/>
    <w:basedOn w:val="1"/>
    <w:qFormat/>
    <w:uiPriority w:val="99"/>
    <w:pPr>
      <w:widowControl/>
      <w:jc w:val="left"/>
    </w:pPr>
    <w:rPr>
      <w:rFonts w:ascii="Calibri" w:hAnsi="Calibri" w:eastAsia="宋体" w:cs="Times New Roman"/>
      <w:color w:val="000000"/>
      <w:kern w:val="0"/>
      <w:sz w:val="24"/>
    </w:rPr>
  </w:style>
  <w:style w:type="paragraph" w:customStyle="1" w:styleId="237">
    <w:name w:val="Normal_8"/>
    <w:qFormat/>
    <w:uiPriority w:val="99"/>
    <w:rPr>
      <w:rFonts w:ascii="黑体" w:hAnsi="黑体" w:eastAsia="黑体" w:cs="Times New Roman"/>
      <w:b/>
      <w:sz w:val="32"/>
      <w:szCs w:val="24"/>
      <w:lang w:val="en-US" w:eastAsia="zh-CN" w:bidi="ar-SA"/>
    </w:rPr>
  </w:style>
  <w:style w:type="paragraph" w:customStyle="1" w:styleId="238">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qFormat/>
    <w:uiPriority w:val="99"/>
    <w:rPr>
      <w:rFonts w:ascii="黑体" w:hAnsi="黑体" w:eastAsia="黑体" w:cs="Times New Roman"/>
      <w:b/>
      <w:sz w:val="32"/>
      <w:szCs w:val="24"/>
      <w:lang w:val="en-US" w:eastAsia="zh-CN" w:bidi="ar-SA"/>
    </w:rPr>
  </w:style>
  <w:style w:type="paragraph" w:customStyle="1" w:styleId="241">
    <w:name w:val="ca-21"/>
    <w:basedOn w:val="1"/>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4"/>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qFormat/>
    <w:uiPriority w:val="99"/>
    <w:rPr>
      <w:rFonts w:ascii="黑体" w:hAnsi="黑体" w:eastAsia="黑体" w:cs="Times New Roman"/>
      <w:b/>
      <w:sz w:val="32"/>
      <w:szCs w:val="24"/>
      <w:lang w:val="en-US" w:eastAsia="zh-CN" w:bidi="ar-SA"/>
    </w:rPr>
  </w:style>
  <w:style w:type="paragraph" w:customStyle="1" w:styleId="244">
    <w:name w:val="Normal_23"/>
    <w:qFormat/>
    <w:uiPriority w:val="99"/>
    <w:rPr>
      <w:rFonts w:ascii="黑体" w:hAnsi="黑体" w:eastAsia="黑体" w:cs="Times New Roman"/>
      <w:b/>
      <w:sz w:val="32"/>
      <w:szCs w:val="24"/>
      <w:lang w:val="en-US" w:eastAsia="zh-CN" w:bidi="ar-SA"/>
    </w:rPr>
  </w:style>
  <w:style w:type="paragraph" w:customStyle="1" w:styleId="245">
    <w:name w:val="pa-83"/>
    <w:basedOn w:val="1"/>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qFormat/>
    <w:uiPriority w:val="99"/>
    <w:rPr>
      <w:rFonts w:ascii="Calibri" w:hAnsi="Calibri" w:eastAsia="宋体" w:cs="Times New Roman"/>
    </w:rPr>
  </w:style>
  <w:style w:type="paragraph" w:customStyle="1" w:styleId="247">
    <w:name w:val="Normal_4"/>
    <w:qFormat/>
    <w:uiPriority w:val="99"/>
    <w:rPr>
      <w:rFonts w:ascii="黑体" w:hAnsi="黑体" w:eastAsia="黑体" w:cs="Times New Roman"/>
      <w:b/>
      <w:sz w:val="32"/>
      <w:szCs w:val="24"/>
      <w:lang w:val="en-US" w:eastAsia="zh-CN" w:bidi="ar-SA"/>
    </w:rPr>
  </w:style>
  <w:style w:type="paragraph" w:customStyle="1" w:styleId="248">
    <w:name w:val="pa-84"/>
    <w:basedOn w:val="1"/>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qFormat/>
    <w:uiPriority w:val="99"/>
    <w:rPr>
      <w:rFonts w:ascii="黑体" w:hAnsi="黑体" w:eastAsia="黑体" w:cs="Times New Roman"/>
      <w:b/>
      <w:sz w:val="32"/>
      <w:szCs w:val="24"/>
      <w:lang w:val="en-US" w:eastAsia="zh-CN" w:bidi="ar-SA"/>
    </w:rPr>
  </w:style>
  <w:style w:type="paragraph" w:customStyle="1" w:styleId="252">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4"/>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qFormat/>
    <w:uiPriority w:val="99"/>
    <w:pPr>
      <w:widowControl/>
      <w:jc w:val="left"/>
    </w:pPr>
    <w:rPr>
      <w:rFonts w:ascii="??" w:hAnsi="??" w:eastAsia="宋体" w:cs="宋体"/>
      <w:color w:val="002060"/>
      <w:kern w:val="0"/>
      <w:szCs w:val="21"/>
    </w:rPr>
  </w:style>
  <w:style w:type="paragraph" w:customStyle="1" w:styleId="255">
    <w:name w:val="pa-13"/>
    <w:basedOn w:val="1"/>
    <w:qFormat/>
    <w:uiPriority w:val="99"/>
    <w:pPr>
      <w:widowControl/>
      <w:spacing w:line="360" w:lineRule="atLeast"/>
    </w:pPr>
    <w:rPr>
      <w:rFonts w:ascii="宋体" w:hAnsi="宋体" w:eastAsia="宋体" w:cs="宋体"/>
      <w:kern w:val="0"/>
      <w:sz w:val="24"/>
    </w:rPr>
  </w:style>
  <w:style w:type="paragraph" w:customStyle="1" w:styleId="256">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qFormat/>
    <w:uiPriority w:val="99"/>
    <w:rPr>
      <w:rFonts w:ascii="仿宋_GB2312" w:hAnsi="Times New Roman" w:eastAsia="仿宋_GB2312" w:cs="Times New Roman"/>
      <w:b/>
      <w:sz w:val="32"/>
      <w:szCs w:val="32"/>
    </w:rPr>
  </w:style>
  <w:style w:type="paragraph" w:customStyle="1" w:styleId="259">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qFormat/>
    <w:uiPriority w:val="99"/>
    <w:pPr>
      <w:widowControl/>
      <w:jc w:val="left"/>
    </w:pPr>
    <w:rPr>
      <w:rFonts w:ascii="宋体" w:hAnsi="宋体" w:eastAsia="宋体" w:cs="宋体"/>
      <w:color w:val="7030A0"/>
      <w:kern w:val="0"/>
      <w:szCs w:val="21"/>
    </w:rPr>
  </w:style>
  <w:style w:type="paragraph" w:customStyle="1" w:styleId="261">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qFormat/>
    <w:uiPriority w:val="99"/>
    <w:pPr>
      <w:spacing w:before="360" w:after="120" w:line="360" w:lineRule="auto"/>
      <w:jc w:val="center"/>
    </w:pPr>
    <w:rPr>
      <w:rFonts w:ascii="宋体" w:hAnsi="宋体"/>
      <w:bCs w:val="0"/>
      <w:sz w:val="28"/>
      <w:szCs w:val="20"/>
    </w:rPr>
  </w:style>
  <w:style w:type="paragraph" w:customStyle="1" w:styleId="265">
    <w:name w:val="pa-141"/>
    <w:basedOn w:val="1"/>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3"/>
    <w:qFormat/>
    <w:uiPriority w:val="99"/>
    <w:pPr>
      <w:keepLines/>
      <w:adjustRightInd w:val="0"/>
      <w:spacing w:before="100" w:beforeAutospacing="1" w:after="60"/>
    </w:pPr>
    <w:rPr>
      <w:rFonts w:ascii="Arial" w:hAnsi="Arial"/>
      <w:kern w:val="44"/>
      <w:sz w:val="28"/>
      <w:szCs w:val="44"/>
    </w:rPr>
  </w:style>
  <w:style w:type="paragraph" w:customStyle="1" w:styleId="268">
    <w:name w:val="Normal_19"/>
    <w:qFormat/>
    <w:uiPriority w:val="99"/>
    <w:rPr>
      <w:rFonts w:ascii="黑体" w:hAnsi="黑体" w:eastAsia="黑体" w:cs="Times New Roman"/>
      <w:b/>
      <w:sz w:val="32"/>
      <w:szCs w:val="24"/>
      <w:lang w:val="en-US" w:eastAsia="zh-CN" w:bidi="ar-SA"/>
    </w:rPr>
  </w:style>
  <w:style w:type="paragraph" w:customStyle="1" w:styleId="269">
    <w:name w:val="纯文本_2"/>
    <w:basedOn w:val="1"/>
    <w:qFormat/>
    <w:uiPriority w:val="99"/>
    <w:rPr>
      <w:rFonts w:ascii="宋体" w:hAnsi="Courier New" w:eastAsia="宋体" w:cs="Times New Roman"/>
      <w:szCs w:val="21"/>
    </w:rPr>
  </w:style>
  <w:style w:type="paragraph" w:customStyle="1" w:styleId="270">
    <w:name w:val="pa-80"/>
    <w:basedOn w:val="1"/>
    <w:qFormat/>
    <w:uiPriority w:val="99"/>
    <w:pPr>
      <w:widowControl/>
      <w:spacing w:line="360" w:lineRule="atLeast"/>
    </w:pPr>
    <w:rPr>
      <w:rFonts w:ascii="宋体" w:hAnsi="宋体" w:eastAsia="宋体" w:cs="宋体"/>
      <w:kern w:val="0"/>
      <w:sz w:val="24"/>
    </w:rPr>
  </w:style>
  <w:style w:type="paragraph" w:customStyle="1" w:styleId="271">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qFormat/>
    <w:uiPriority w:val="99"/>
    <w:pPr>
      <w:widowControl/>
      <w:jc w:val="left"/>
    </w:pPr>
    <w:rPr>
      <w:rFonts w:ascii="宋体" w:hAnsi="宋体" w:eastAsia="宋体" w:cs="宋体"/>
      <w:color w:val="000000"/>
      <w:kern w:val="0"/>
      <w:sz w:val="32"/>
      <w:szCs w:val="32"/>
    </w:rPr>
  </w:style>
  <w:style w:type="paragraph" w:customStyle="1" w:styleId="274">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qFormat/>
    <w:uiPriority w:val="99"/>
    <w:rPr>
      <w:rFonts w:ascii="Tahoma" w:hAnsi="Tahoma" w:eastAsia="宋体" w:cs="Times New Roman"/>
      <w:sz w:val="24"/>
      <w:szCs w:val="20"/>
    </w:rPr>
  </w:style>
  <w:style w:type="paragraph" w:customStyle="1" w:styleId="277">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qFormat/>
    <w:uiPriority w:val="99"/>
    <w:pPr>
      <w:widowControl/>
      <w:spacing w:line="300" w:lineRule="atLeast"/>
    </w:pPr>
    <w:rPr>
      <w:rFonts w:ascii="宋体" w:hAnsi="宋体" w:eastAsia="宋体" w:cs="宋体"/>
      <w:kern w:val="0"/>
      <w:sz w:val="24"/>
    </w:rPr>
  </w:style>
  <w:style w:type="paragraph" w:customStyle="1" w:styleId="279">
    <w:name w:val="ca-49"/>
    <w:basedOn w:val="1"/>
    <w:qFormat/>
    <w:uiPriority w:val="99"/>
    <w:pPr>
      <w:widowControl/>
      <w:jc w:val="left"/>
    </w:pPr>
    <w:rPr>
      <w:rFonts w:ascii="宋体" w:hAnsi="宋体" w:eastAsia="宋体" w:cs="宋体"/>
      <w:kern w:val="0"/>
      <w:sz w:val="32"/>
      <w:szCs w:val="32"/>
    </w:rPr>
  </w:style>
  <w:style w:type="character" w:customStyle="1" w:styleId="280">
    <w:name w:val="Blockquote Char"/>
    <w:link w:val="281"/>
    <w:qFormat/>
    <w:locked/>
    <w:uiPriority w:val="0"/>
    <w:rPr>
      <w:rFonts w:ascii="Calibri" w:hAnsi="Calibri" w:cs="Calibri"/>
      <w:sz w:val="24"/>
    </w:rPr>
  </w:style>
  <w:style w:type="paragraph" w:customStyle="1" w:styleId="281">
    <w:name w:val="Blockquote"/>
    <w:basedOn w:val="1"/>
    <w:link w:val="280"/>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qFormat/>
    <w:uiPriority w:val="99"/>
    <w:rPr>
      <w:rFonts w:ascii="Times New Roman" w:hAnsi="Times New Roman" w:eastAsia="ヒラギノ角ゴ Pro W3" w:cs="Times New Roman"/>
      <w:color w:val="000000"/>
      <w:lang w:val="en-US" w:eastAsia="zh-CN" w:bidi="ar-SA"/>
    </w:rPr>
  </w:style>
  <w:style w:type="paragraph" w:customStyle="1" w:styleId="284">
    <w:name w:val="Normal_15"/>
    <w:qFormat/>
    <w:uiPriority w:val="99"/>
    <w:rPr>
      <w:rFonts w:ascii="黑体" w:hAnsi="黑体" w:eastAsia="黑体" w:cs="Times New Roman"/>
      <w:b/>
      <w:sz w:val="32"/>
      <w:szCs w:val="24"/>
      <w:lang w:val="en-US" w:eastAsia="zh-CN" w:bidi="ar-SA"/>
    </w:rPr>
  </w:style>
  <w:style w:type="paragraph" w:customStyle="1" w:styleId="285">
    <w:name w:val="ca-45"/>
    <w:basedOn w:val="1"/>
    <w:qFormat/>
    <w:uiPriority w:val="99"/>
    <w:pPr>
      <w:widowControl/>
      <w:jc w:val="left"/>
    </w:pPr>
    <w:rPr>
      <w:rFonts w:ascii="宋体" w:hAnsi="宋体" w:eastAsia="宋体" w:cs="宋体"/>
      <w:color w:val="000000"/>
      <w:kern w:val="0"/>
      <w:sz w:val="72"/>
      <w:szCs w:val="72"/>
    </w:rPr>
  </w:style>
  <w:style w:type="paragraph" w:customStyle="1" w:styleId="286">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qFormat/>
    <w:uiPriority w:val="99"/>
    <w:pPr>
      <w:widowControl/>
      <w:spacing w:line="280" w:lineRule="atLeast"/>
    </w:pPr>
    <w:rPr>
      <w:rFonts w:ascii="宋体" w:hAnsi="宋体" w:eastAsia="宋体" w:cs="宋体"/>
      <w:kern w:val="0"/>
      <w:sz w:val="24"/>
    </w:rPr>
  </w:style>
  <w:style w:type="paragraph" w:customStyle="1" w:styleId="288">
    <w:name w:val="cjk"/>
    <w:basedOn w:val="1"/>
    <w:qFormat/>
    <w:uiPriority w:val="99"/>
    <w:pPr>
      <w:widowControl/>
      <w:spacing w:line="480" w:lineRule="auto"/>
      <w:jc w:val="left"/>
    </w:pPr>
    <w:rPr>
      <w:rFonts w:ascii="宋体" w:hAnsi="宋体" w:eastAsia="宋体" w:cs="宋体"/>
      <w:kern w:val="0"/>
      <w:sz w:val="24"/>
    </w:rPr>
  </w:style>
  <w:style w:type="paragraph" w:customStyle="1" w:styleId="289">
    <w:name w:val="pa-2"/>
    <w:basedOn w:val="1"/>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qFormat/>
    <w:uiPriority w:val="99"/>
    <w:pPr>
      <w:widowControl/>
      <w:spacing w:line="280" w:lineRule="atLeast"/>
    </w:pPr>
    <w:rPr>
      <w:rFonts w:ascii="宋体" w:hAnsi="宋体" w:eastAsia="宋体" w:cs="宋体"/>
      <w:kern w:val="0"/>
      <w:sz w:val="24"/>
    </w:rPr>
  </w:style>
  <w:style w:type="paragraph" w:customStyle="1" w:styleId="291">
    <w:name w:val="pa-108"/>
    <w:basedOn w:val="1"/>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qFormat/>
    <w:uiPriority w:val="99"/>
    <w:pPr>
      <w:widowControl/>
      <w:jc w:val="left"/>
    </w:pPr>
    <w:rPr>
      <w:rFonts w:ascii="宋体" w:hAnsi="宋体" w:eastAsia="宋体" w:cs="宋体"/>
      <w:color w:val="000000"/>
      <w:kern w:val="0"/>
      <w:sz w:val="36"/>
      <w:szCs w:val="36"/>
    </w:rPr>
  </w:style>
  <w:style w:type="paragraph" w:customStyle="1" w:styleId="297">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qFormat/>
    <w:uiPriority w:val="99"/>
    <w:rPr>
      <w:rFonts w:ascii="Calibri" w:hAnsi="Calibri" w:eastAsia="宋体" w:cs="Times New Roman"/>
    </w:rPr>
  </w:style>
  <w:style w:type="paragraph" w:customStyle="1" w:styleId="299">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qFormat/>
    <w:uiPriority w:val="99"/>
    <w:pPr>
      <w:widowControl/>
      <w:jc w:val="left"/>
    </w:pPr>
    <w:rPr>
      <w:rFonts w:ascii="宋体" w:hAnsi="宋体" w:eastAsia="宋体" w:cs="宋体"/>
      <w:color w:val="000000"/>
      <w:kern w:val="0"/>
      <w:sz w:val="52"/>
      <w:szCs w:val="52"/>
    </w:rPr>
  </w:style>
  <w:style w:type="paragraph" w:customStyle="1" w:styleId="303">
    <w:name w:val="段"/>
    <w:next w:val="1"/>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qFormat/>
    <w:uiPriority w:val="99"/>
    <w:pPr>
      <w:widowControl/>
      <w:jc w:val="left"/>
    </w:pPr>
    <w:rPr>
      <w:rFonts w:ascii="Calibri" w:hAnsi="Calibri" w:eastAsia="宋体" w:cs="Times New Roman"/>
      <w:kern w:val="0"/>
      <w:sz w:val="10"/>
      <w:szCs w:val="10"/>
    </w:rPr>
  </w:style>
  <w:style w:type="paragraph" w:customStyle="1" w:styleId="306">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qFormat/>
    <w:uiPriority w:val="99"/>
    <w:pPr>
      <w:widowControl/>
      <w:jc w:val="left"/>
    </w:pPr>
    <w:rPr>
      <w:rFonts w:ascii="宋体" w:hAnsi="宋体" w:eastAsia="宋体" w:cs="宋体"/>
      <w:color w:val="000000"/>
      <w:kern w:val="0"/>
      <w:sz w:val="44"/>
      <w:szCs w:val="44"/>
    </w:rPr>
  </w:style>
  <w:style w:type="paragraph" w:customStyle="1" w:styleId="311">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13">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3"/>
    <w:qFormat/>
    <w:uiPriority w:val="99"/>
    <w:pPr>
      <w:keepLines/>
      <w:spacing w:before="1560" w:after="240" w:line="360" w:lineRule="auto"/>
    </w:pPr>
    <w:rPr>
      <w:rFonts w:ascii="宋体" w:hAnsi="宋体"/>
      <w:b w:val="0"/>
      <w:bCs w:val="0"/>
      <w:sz w:val="36"/>
      <w:szCs w:val="20"/>
    </w:rPr>
  </w:style>
  <w:style w:type="paragraph" w:customStyle="1" w:styleId="318">
    <w:name w:val="ca-24"/>
    <w:basedOn w:val="1"/>
    <w:qFormat/>
    <w:uiPriority w:val="99"/>
    <w:pPr>
      <w:widowControl/>
      <w:jc w:val="left"/>
    </w:pPr>
    <w:rPr>
      <w:rFonts w:ascii="宋体" w:hAnsi="宋体" w:eastAsia="宋体" w:cs="宋体"/>
      <w:kern w:val="0"/>
      <w:sz w:val="24"/>
    </w:rPr>
  </w:style>
  <w:style w:type="paragraph" w:customStyle="1" w:styleId="319">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qFormat/>
    <w:uiPriority w:val="99"/>
    <w:pPr>
      <w:widowControl/>
      <w:spacing w:line="360" w:lineRule="atLeast"/>
      <w:jc w:val="left"/>
    </w:pPr>
    <w:rPr>
      <w:rFonts w:ascii="宋体" w:hAnsi="宋体" w:eastAsia="宋体" w:cs="宋体"/>
      <w:kern w:val="0"/>
      <w:sz w:val="24"/>
    </w:rPr>
  </w:style>
  <w:style w:type="paragraph" w:customStyle="1" w:styleId="323">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qFormat/>
    <w:uiPriority w:val="99"/>
    <w:pPr>
      <w:widowControl/>
      <w:jc w:val="center"/>
    </w:pPr>
    <w:rPr>
      <w:rFonts w:ascii="宋体" w:hAnsi="Calibri" w:eastAsia="宋体" w:cs="Times New Roman"/>
      <w:b/>
      <w:kern w:val="0"/>
      <w:sz w:val="36"/>
      <w:szCs w:val="20"/>
    </w:rPr>
  </w:style>
  <w:style w:type="paragraph" w:customStyle="1" w:styleId="329">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qFormat/>
    <w:uiPriority w:val="99"/>
    <w:pPr>
      <w:widowControl/>
      <w:jc w:val="left"/>
    </w:pPr>
    <w:rPr>
      <w:rFonts w:ascii="宋体" w:hAnsi="宋体" w:eastAsia="宋体" w:cs="宋体"/>
      <w:caps/>
      <w:color w:val="000000"/>
      <w:kern w:val="0"/>
      <w:sz w:val="24"/>
    </w:rPr>
  </w:style>
  <w:style w:type="paragraph" w:customStyle="1" w:styleId="341">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45">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qFormat/>
    <w:uiPriority w:val="99"/>
    <w:pPr>
      <w:widowControl/>
      <w:jc w:val="left"/>
    </w:pPr>
    <w:rPr>
      <w:rFonts w:ascii="??" w:hAnsi="??" w:eastAsia="宋体" w:cs="宋体"/>
      <w:color w:val="000000"/>
      <w:kern w:val="0"/>
      <w:sz w:val="18"/>
      <w:szCs w:val="18"/>
    </w:rPr>
  </w:style>
  <w:style w:type="paragraph" w:customStyle="1" w:styleId="349">
    <w:name w:val="Normal_10"/>
    <w:qFormat/>
    <w:uiPriority w:val="99"/>
    <w:rPr>
      <w:rFonts w:ascii="黑体" w:hAnsi="黑体" w:eastAsia="黑体" w:cs="Times New Roman"/>
      <w:b/>
      <w:sz w:val="32"/>
      <w:szCs w:val="24"/>
      <w:lang w:val="en-US" w:eastAsia="zh-CN" w:bidi="ar-SA"/>
    </w:rPr>
  </w:style>
  <w:style w:type="paragraph" w:customStyle="1" w:styleId="350">
    <w:name w:val="ca-48"/>
    <w:basedOn w:val="1"/>
    <w:qFormat/>
    <w:uiPriority w:val="99"/>
    <w:pPr>
      <w:widowControl/>
      <w:jc w:val="left"/>
    </w:pPr>
    <w:rPr>
      <w:rFonts w:ascii="宋体" w:hAnsi="宋体" w:eastAsia="宋体" w:cs="宋体"/>
      <w:color w:val="000000"/>
      <w:kern w:val="0"/>
      <w:sz w:val="26"/>
      <w:szCs w:val="26"/>
    </w:rPr>
  </w:style>
  <w:style w:type="paragraph" w:customStyle="1" w:styleId="351">
    <w:name w:val="pa-137"/>
    <w:basedOn w:val="1"/>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qFormat/>
    <w:uiPriority w:val="99"/>
    <w:pPr>
      <w:widowControl/>
      <w:jc w:val="left"/>
    </w:pPr>
    <w:rPr>
      <w:rFonts w:ascii="宋体" w:hAnsi="宋体" w:eastAsia="宋体" w:cs="宋体"/>
      <w:kern w:val="0"/>
      <w:sz w:val="24"/>
    </w:rPr>
  </w:style>
  <w:style w:type="character" w:customStyle="1" w:styleId="355">
    <w:name w:val="正文2 Char Char"/>
    <w:link w:val="356"/>
    <w:qFormat/>
    <w:locked/>
    <w:uiPriority w:val="0"/>
    <w:rPr>
      <w:rFonts w:ascii="Arial" w:hAnsi="Arial" w:cs="宋体"/>
      <w:sz w:val="24"/>
    </w:rPr>
  </w:style>
  <w:style w:type="paragraph" w:customStyle="1" w:styleId="356">
    <w:name w:val="正文2"/>
    <w:basedOn w:val="1"/>
    <w:link w:val="355"/>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5"/>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60">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qFormat/>
    <w:uiPriority w:val="99"/>
    <w:rPr>
      <w:rFonts w:ascii="黑体" w:hAnsi="黑体" w:eastAsia="黑体" w:cs="Times New Roman"/>
      <w:b/>
      <w:sz w:val="32"/>
      <w:szCs w:val="24"/>
      <w:lang w:val="en-US" w:eastAsia="zh-CN" w:bidi="ar-SA"/>
    </w:rPr>
  </w:style>
  <w:style w:type="paragraph" w:customStyle="1" w:styleId="362">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qFormat/>
    <w:uiPriority w:val="99"/>
    <w:rPr>
      <w:rFonts w:ascii="黑体" w:hAnsi="黑体" w:eastAsia="黑体" w:cs="Times New Roman"/>
      <w:b/>
      <w:sz w:val="32"/>
      <w:szCs w:val="24"/>
      <w:lang w:val="en-US" w:eastAsia="zh-CN" w:bidi="ar-SA"/>
    </w:rPr>
  </w:style>
  <w:style w:type="paragraph" w:customStyle="1" w:styleId="365">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qFormat/>
    <w:uiPriority w:val="99"/>
    <w:rPr>
      <w:rFonts w:ascii="仿宋_GB2312" w:hAnsi="Times New Roman" w:eastAsia="仿宋_GB2312" w:cs="Times New Roman"/>
      <w:b/>
      <w:sz w:val="32"/>
      <w:szCs w:val="32"/>
    </w:rPr>
  </w:style>
  <w:style w:type="paragraph" w:customStyle="1" w:styleId="367">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qFormat/>
    <w:uiPriority w:val="99"/>
    <w:rPr>
      <w:rFonts w:ascii="黑体" w:hAnsi="黑体" w:eastAsia="黑体" w:cs="Times New Roman"/>
      <w:b/>
      <w:sz w:val="32"/>
      <w:szCs w:val="24"/>
      <w:lang w:val="en-US" w:eastAsia="zh-CN" w:bidi="ar-SA"/>
    </w:rPr>
  </w:style>
  <w:style w:type="paragraph" w:customStyle="1" w:styleId="372">
    <w:name w:val="pa-119"/>
    <w:basedOn w:val="1"/>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8">
    <w:name w:val="Normal_7"/>
    <w:qFormat/>
    <w:uiPriority w:val="99"/>
    <w:rPr>
      <w:rFonts w:ascii="黑体" w:hAnsi="黑体" w:eastAsia="黑体" w:cs="Times New Roman"/>
      <w:b/>
      <w:sz w:val="32"/>
      <w:szCs w:val="24"/>
      <w:lang w:val="en-US" w:eastAsia="zh-CN" w:bidi="ar-SA"/>
    </w:rPr>
  </w:style>
  <w:style w:type="paragraph" w:customStyle="1" w:styleId="379">
    <w:name w:val="pa-3"/>
    <w:basedOn w:val="1"/>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qFormat/>
    <w:uiPriority w:val="99"/>
    <w:pPr>
      <w:widowControl/>
      <w:jc w:val="left"/>
    </w:pPr>
    <w:rPr>
      <w:rFonts w:ascii="宋体" w:hAnsi="宋体" w:eastAsia="宋体" w:cs="宋体"/>
      <w:color w:val="000000"/>
      <w:kern w:val="0"/>
      <w:sz w:val="20"/>
      <w:szCs w:val="20"/>
    </w:rPr>
  </w:style>
  <w:style w:type="paragraph" w:customStyle="1" w:styleId="382">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83">
    <w:name w:val="Normal_24"/>
    <w:qFormat/>
    <w:uiPriority w:val="99"/>
    <w:rPr>
      <w:rFonts w:ascii="黑体" w:hAnsi="黑体" w:eastAsia="黑体" w:cs="Times New Roman"/>
      <w:b/>
      <w:sz w:val="32"/>
      <w:szCs w:val="24"/>
      <w:lang w:val="en-US" w:eastAsia="zh-CN" w:bidi="ar-SA"/>
    </w:rPr>
  </w:style>
  <w:style w:type="paragraph" w:customStyle="1" w:styleId="384">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87">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90">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qFormat/>
    <w:uiPriority w:val="99"/>
    <w:pPr>
      <w:widowControl/>
      <w:jc w:val="left"/>
    </w:pPr>
    <w:rPr>
      <w:rFonts w:ascii="宋体" w:hAnsi="宋体" w:eastAsia="宋体" w:cs="宋体"/>
      <w:color w:val="000000"/>
      <w:kern w:val="0"/>
      <w:sz w:val="28"/>
      <w:szCs w:val="28"/>
    </w:rPr>
  </w:style>
  <w:style w:type="paragraph" w:customStyle="1" w:styleId="393">
    <w:name w:val="ca-17"/>
    <w:basedOn w:val="1"/>
    <w:qFormat/>
    <w:uiPriority w:val="99"/>
    <w:pPr>
      <w:widowControl/>
      <w:jc w:val="left"/>
    </w:pPr>
    <w:rPr>
      <w:rFonts w:ascii="Calibri" w:hAnsi="Calibri" w:eastAsia="宋体" w:cs="Times New Roman"/>
      <w:b/>
      <w:bCs/>
      <w:spacing w:val="-20"/>
      <w:kern w:val="0"/>
      <w:sz w:val="24"/>
    </w:rPr>
  </w:style>
  <w:style w:type="paragraph" w:customStyle="1" w:styleId="394">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qFormat/>
    <w:uiPriority w:val="99"/>
    <w:pPr>
      <w:widowControl/>
      <w:spacing w:line="276" w:lineRule="atLeast"/>
      <w:jc w:val="center"/>
    </w:pPr>
    <w:rPr>
      <w:rFonts w:ascii="宋体" w:hAnsi="宋体" w:eastAsia="宋体" w:cs="宋体"/>
      <w:kern w:val="0"/>
      <w:sz w:val="24"/>
    </w:rPr>
  </w:style>
  <w:style w:type="paragraph" w:customStyle="1" w:styleId="396">
    <w:name w:val="Normal_12"/>
    <w:qFormat/>
    <w:uiPriority w:val="99"/>
    <w:rPr>
      <w:rFonts w:ascii="黑体" w:hAnsi="黑体" w:eastAsia="黑体" w:cs="Times New Roman"/>
      <w:b/>
      <w:sz w:val="32"/>
      <w:szCs w:val="24"/>
      <w:lang w:val="en-US" w:eastAsia="zh-CN" w:bidi="ar-SA"/>
    </w:rPr>
  </w:style>
  <w:style w:type="paragraph" w:customStyle="1" w:styleId="397">
    <w:name w:val="Normal_5"/>
    <w:qFormat/>
    <w:uiPriority w:val="99"/>
    <w:rPr>
      <w:rFonts w:ascii="黑体" w:hAnsi="黑体" w:eastAsia="黑体" w:cs="Times New Roman"/>
      <w:b/>
      <w:sz w:val="32"/>
      <w:szCs w:val="24"/>
      <w:lang w:val="en-US" w:eastAsia="zh-CN" w:bidi="ar-SA"/>
    </w:rPr>
  </w:style>
  <w:style w:type="paragraph" w:customStyle="1" w:styleId="398">
    <w:name w:val="pa-115"/>
    <w:basedOn w:val="1"/>
    <w:qFormat/>
    <w:uiPriority w:val="99"/>
    <w:pPr>
      <w:widowControl/>
      <w:spacing w:line="480" w:lineRule="atLeast"/>
    </w:pPr>
    <w:rPr>
      <w:rFonts w:ascii="宋体" w:hAnsi="宋体" w:eastAsia="宋体" w:cs="宋体"/>
      <w:kern w:val="0"/>
      <w:sz w:val="24"/>
    </w:rPr>
  </w:style>
  <w:style w:type="paragraph" w:customStyle="1" w:styleId="399">
    <w:name w:val="ca-18"/>
    <w:basedOn w:val="1"/>
    <w:qFormat/>
    <w:uiPriority w:val="99"/>
    <w:pPr>
      <w:widowControl/>
      <w:jc w:val="left"/>
    </w:pPr>
    <w:rPr>
      <w:rFonts w:ascii="宋体" w:hAnsi="宋体" w:eastAsia="宋体" w:cs="宋体"/>
      <w:color w:val="000000"/>
      <w:kern w:val="0"/>
      <w:sz w:val="18"/>
      <w:szCs w:val="18"/>
    </w:rPr>
  </w:style>
  <w:style w:type="paragraph" w:customStyle="1" w:styleId="400">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qFormat/>
    <w:uiPriority w:val="99"/>
    <w:pPr>
      <w:widowControl/>
      <w:spacing w:line="360" w:lineRule="atLeast"/>
    </w:pPr>
    <w:rPr>
      <w:rFonts w:ascii="宋体" w:hAnsi="宋体" w:eastAsia="宋体" w:cs="宋体"/>
      <w:kern w:val="0"/>
      <w:sz w:val="24"/>
    </w:rPr>
  </w:style>
  <w:style w:type="paragraph" w:customStyle="1" w:styleId="403">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qFormat/>
    <w:uiPriority w:val="99"/>
    <w:pPr>
      <w:jc w:val="center"/>
    </w:pPr>
    <w:rPr>
      <w:rFonts w:ascii="华文细黑" w:hAnsi="华文细黑" w:eastAsia="宋体" w:cs="Times New Roman"/>
      <w:kern w:val="0"/>
      <w:szCs w:val="20"/>
    </w:rPr>
  </w:style>
  <w:style w:type="paragraph" w:customStyle="1" w:styleId="405">
    <w:name w:val="Divn"/>
    <w:qFormat/>
    <w:uiPriority w:val="99"/>
    <w:pPr>
      <w:spacing w:line="360" w:lineRule="auto"/>
    </w:pPr>
    <w:rPr>
      <w:rFonts w:ascii="Arial" w:hAnsi="Arial" w:eastAsia="宋体" w:cs="Arial"/>
      <w:b/>
      <w:caps/>
      <w:u w:val="single"/>
      <w:lang w:val="en-US" w:eastAsia="zh-CN" w:bidi="ar-SA"/>
    </w:rPr>
  </w:style>
  <w:style w:type="paragraph" w:customStyle="1" w:styleId="406">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qFormat/>
    <w:uiPriority w:val="99"/>
    <w:pPr>
      <w:widowControl/>
      <w:jc w:val="left"/>
    </w:pPr>
    <w:rPr>
      <w:rFonts w:ascii="宋体" w:hAnsi="宋体" w:eastAsia="宋体" w:cs="宋体"/>
      <w:color w:val="000000"/>
      <w:kern w:val="0"/>
      <w:szCs w:val="21"/>
    </w:rPr>
  </w:style>
  <w:style w:type="paragraph" w:customStyle="1" w:styleId="414">
    <w:name w:val="ca-26"/>
    <w:basedOn w:val="1"/>
    <w:qFormat/>
    <w:uiPriority w:val="99"/>
    <w:pPr>
      <w:widowControl/>
      <w:jc w:val="left"/>
    </w:pPr>
    <w:rPr>
      <w:rFonts w:ascii="宋体" w:hAnsi="宋体" w:eastAsia="宋体" w:cs="宋体"/>
      <w:color w:val="002060"/>
      <w:kern w:val="0"/>
      <w:szCs w:val="21"/>
    </w:rPr>
  </w:style>
  <w:style w:type="paragraph" w:customStyle="1" w:styleId="415">
    <w:name w:val="pa-54"/>
    <w:basedOn w:val="1"/>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4"/>
    <w:qFormat/>
    <w:uiPriority w:val="99"/>
    <w:pPr>
      <w:spacing w:line="240" w:lineRule="auto"/>
      <w:ind w:firstLine="570"/>
    </w:pPr>
    <w:rPr>
      <w:rFonts w:ascii="Times New Roman" w:hAnsi="Times New Roman"/>
      <w:spacing w:val="0"/>
      <w:sz w:val="28"/>
    </w:rPr>
  </w:style>
  <w:style w:type="paragraph" w:customStyle="1" w:styleId="417">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qFormat/>
    <w:uiPriority w:val="99"/>
    <w:pPr>
      <w:widowControl/>
      <w:spacing w:line="400" w:lineRule="atLeast"/>
    </w:pPr>
    <w:rPr>
      <w:rFonts w:ascii="宋体" w:hAnsi="宋体" w:eastAsia="宋体" w:cs="宋体"/>
      <w:kern w:val="0"/>
      <w:sz w:val="24"/>
    </w:rPr>
  </w:style>
  <w:style w:type="paragraph" w:customStyle="1" w:styleId="419">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31">
    <w:name w:val="Normal_20"/>
    <w:qFormat/>
    <w:uiPriority w:val="99"/>
    <w:rPr>
      <w:rFonts w:ascii="黑体" w:hAnsi="黑体" w:eastAsia="黑体" w:cs="Times New Roman"/>
      <w:b/>
      <w:sz w:val="32"/>
      <w:szCs w:val="24"/>
      <w:lang w:val="en-US" w:eastAsia="zh-CN" w:bidi="ar-SA"/>
    </w:rPr>
  </w:style>
  <w:style w:type="paragraph" w:customStyle="1" w:styleId="432">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34">
    <w:name w:val="pa-133"/>
    <w:basedOn w:val="1"/>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8">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qFormat/>
    <w:uiPriority w:val="99"/>
    <w:rPr>
      <w:rFonts w:ascii="Calibri" w:hAnsi="Calibri" w:eastAsia="宋体" w:cs="Times New Roman"/>
    </w:rPr>
  </w:style>
  <w:style w:type="paragraph" w:customStyle="1" w:styleId="447">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9">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qFormat/>
    <w:uiPriority w:val="99"/>
    <w:pPr>
      <w:widowControl/>
      <w:jc w:val="left"/>
    </w:pPr>
    <w:rPr>
      <w:rFonts w:ascii="宋体" w:hAnsi="Courier New"/>
    </w:rPr>
  </w:style>
  <w:style w:type="paragraph" w:customStyle="1" w:styleId="453">
    <w:name w:val="pa-6"/>
    <w:basedOn w:val="1"/>
    <w:qFormat/>
    <w:uiPriority w:val="99"/>
    <w:pPr>
      <w:widowControl/>
      <w:spacing w:line="560" w:lineRule="atLeast"/>
    </w:pPr>
    <w:rPr>
      <w:rFonts w:ascii="宋体" w:hAnsi="宋体" w:eastAsia="宋体" w:cs="宋体"/>
      <w:kern w:val="0"/>
      <w:sz w:val="24"/>
    </w:rPr>
  </w:style>
  <w:style w:type="paragraph" w:customStyle="1" w:styleId="454">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qFormat/>
    <w:uiPriority w:val="99"/>
    <w:pPr>
      <w:widowControl/>
      <w:spacing w:line="360" w:lineRule="atLeast"/>
    </w:pPr>
    <w:rPr>
      <w:rFonts w:ascii="宋体" w:hAnsi="宋体" w:eastAsia="宋体" w:cs="宋体"/>
      <w:kern w:val="0"/>
      <w:sz w:val="24"/>
    </w:rPr>
  </w:style>
  <w:style w:type="paragraph" w:customStyle="1" w:styleId="457">
    <w:name w:val="ca-22"/>
    <w:basedOn w:val="1"/>
    <w:qFormat/>
    <w:uiPriority w:val="99"/>
    <w:pPr>
      <w:widowControl/>
      <w:jc w:val="left"/>
    </w:pPr>
    <w:rPr>
      <w:rFonts w:ascii="宋体" w:hAnsi="宋体" w:eastAsia="宋体" w:cs="宋体"/>
      <w:kern w:val="0"/>
      <w:szCs w:val="21"/>
    </w:rPr>
  </w:style>
  <w:style w:type="paragraph" w:customStyle="1" w:styleId="458">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qFormat/>
    <w:uiPriority w:val="99"/>
    <w:pPr>
      <w:widowControl/>
      <w:jc w:val="left"/>
    </w:pPr>
    <w:rPr>
      <w:rFonts w:ascii="Calibri" w:hAnsi="Calibri" w:eastAsia="宋体" w:cs="Times New Roman"/>
      <w:kern w:val="0"/>
      <w:szCs w:val="21"/>
    </w:rPr>
  </w:style>
  <w:style w:type="paragraph" w:customStyle="1" w:styleId="464">
    <w:name w:val="标题B"/>
    <w:basedOn w:val="4"/>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qFormat/>
    <w:uiPriority w:val="99"/>
    <w:pPr>
      <w:widowControl/>
      <w:spacing w:line="440" w:lineRule="atLeast"/>
      <w:jc w:val="center"/>
    </w:pPr>
    <w:rPr>
      <w:rFonts w:ascii="宋体" w:hAnsi="宋体" w:eastAsia="宋体" w:cs="宋体"/>
      <w:kern w:val="0"/>
      <w:sz w:val="24"/>
    </w:rPr>
  </w:style>
  <w:style w:type="paragraph" w:customStyle="1" w:styleId="46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qFormat/>
    <w:uiPriority w:val="99"/>
    <w:pPr>
      <w:widowControl/>
      <w:spacing w:line="720" w:lineRule="atLeast"/>
    </w:pPr>
    <w:rPr>
      <w:rFonts w:ascii="宋体" w:hAnsi="宋体" w:eastAsia="宋体" w:cs="宋体"/>
      <w:kern w:val="0"/>
      <w:sz w:val="24"/>
    </w:rPr>
  </w:style>
  <w:style w:type="paragraph" w:customStyle="1" w:styleId="470">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qFormat/>
    <w:uiPriority w:val="99"/>
    <w:rPr>
      <w:rFonts w:ascii="Calibri" w:hAnsi="Calibri" w:eastAsia="宋体" w:cs="Times New Roman"/>
      <w:szCs w:val="20"/>
    </w:rPr>
  </w:style>
  <w:style w:type="paragraph" w:customStyle="1" w:styleId="474">
    <w:name w:val="ca-40"/>
    <w:basedOn w:val="1"/>
    <w:qFormat/>
    <w:uiPriority w:val="99"/>
    <w:pPr>
      <w:widowControl/>
      <w:jc w:val="left"/>
    </w:pPr>
    <w:rPr>
      <w:rFonts w:ascii="Calibri" w:hAnsi="Calibri" w:eastAsia="宋体" w:cs="Times New Roman"/>
      <w:kern w:val="0"/>
      <w:sz w:val="20"/>
      <w:szCs w:val="20"/>
    </w:rPr>
  </w:style>
  <w:style w:type="paragraph" w:customStyle="1" w:styleId="475">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qFormat/>
    <w:locked/>
    <w:uiPriority w:val="0"/>
    <w:rPr>
      <w:rFonts w:ascii="Calibri" w:hAnsi="Calibri" w:cs="Calibri"/>
    </w:rPr>
  </w:style>
  <w:style w:type="paragraph" w:customStyle="1" w:styleId="477">
    <w:name w:val="列出段落1"/>
    <w:basedOn w:val="1"/>
    <w:link w:val="476"/>
    <w:qFormat/>
    <w:uiPriority w:val="0"/>
    <w:pPr>
      <w:ind w:firstLine="420" w:firstLineChars="200"/>
    </w:pPr>
    <w:rPr>
      <w:rFonts w:ascii="Calibri" w:hAnsi="Calibri" w:cs="Calibri"/>
    </w:rPr>
  </w:style>
  <w:style w:type="paragraph" w:customStyle="1" w:styleId="478">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qFormat/>
    <w:uiPriority w:val="99"/>
    <w:pPr>
      <w:widowControl/>
      <w:spacing w:line="360" w:lineRule="atLeast"/>
      <w:jc w:val="left"/>
    </w:pPr>
    <w:rPr>
      <w:rFonts w:ascii="宋体" w:hAnsi="宋体" w:eastAsia="宋体" w:cs="宋体"/>
      <w:kern w:val="0"/>
      <w:sz w:val="24"/>
    </w:rPr>
  </w:style>
  <w:style w:type="paragraph" w:customStyle="1" w:styleId="482">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qFormat/>
    <w:uiPriority w:val="99"/>
    <w:pPr>
      <w:widowControl/>
      <w:jc w:val="left"/>
    </w:pPr>
    <w:rPr>
      <w:rFonts w:ascii="宋体" w:hAnsi="宋体" w:eastAsia="宋体" w:cs="宋体"/>
      <w:color w:val="000000"/>
      <w:kern w:val="0"/>
      <w:sz w:val="48"/>
      <w:szCs w:val="48"/>
    </w:rPr>
  </w:style>
  <w:style w:type="paragraph" w:customStyle="1" w:styleId="484">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87">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qFormat/>
    <w:uiPriority w:val="99"/>
    <w:pPr>
      <w:widowControl/>
      <w:jc w:val="left"/>
    </w:pPr>
    <w:rPr>
      <w:rFonts w:ascii="宋体" w:hAnsi="宋体" w:eastAsia="宋体" w:cs="宋体"/>
      <w:color w:val="000000"/>
      <w:kern w:val="0"/>
      <w:sz w:val="30"/>
      <w:szCs w:val="30"/>
    </w:rPr>
  </w:style>
  <w:style w:type="paragraph" w:customStyle="1" w:styleId="489">
    <w:name w:val="pa-89"/>
    <w:basedOn w:val="1"/>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9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95">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501">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qFormat/>
    <w:uiPriority w:val="99"/>
    <w:pPr>
      <w:widowControl/>
      <w:jc w:val="left"/>
    </w:pPr>
    <w:rPr>
      <w:rFonts w:ascii="宋体" w:hAnsi="宋体" w:eastAsia="宋体" w:cs="宋体"/>
      <w:kern w:val="0"/>
      <w:sz w:val="24"/>
    </w:rPr>
  </w:style>
  <w:style w:type="paragraph" w:customStyle="1" w:styleId="505">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qFormat/>
    <w:uiPriority w:val="99"/>
    <w:rPr>
      <w:rFonts w:ascii="Calibri" w:hAnsi="Calibri" w:eastAsia="宋体" w:cs="Times New Roman"/>
    </w:rPr>
  </w:style>
  <w:style w:type="paragraph" w:customStyle="1" w:styleId="509">
    <w:name w:val="TOC 标题111"/>
    <w:next w:val="1"/>
    <w:qFormat/>
    <w:uiPriority w:val="99"/>
    <w:pPr>
      <w:wordWrap w:val="0"/>
    </w:pPr>
    <w:rPr>
      <w:rFonts w:ascii="宋体" w:hAnsi="宋体" w:eastAsia="宋体" w:cs="宋体"/>
      <w:sz w:val="32"/>
      <w:lang w:val="en-US" w:eastAsia="zh-CN" w:bidi="ar-SA"/>
    </w:rPr>
  </w:style>
  <w:style w:type="paragraph" w:customStyle="1" w:styleId="510">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qFormat/>
    <w:uiPriority w:val="99"/>
    <w:pPr>
      <w:widowControl/>
      <w:spacing w:line="960" w:lineRule="atLeast"/>
    </w:pPr>
    <w:rPr>
      <w:rFonts w:ascii="宋体" w:hAnsi="宋体" w:eastAsia="宋体" w:cs="宋体"/>
      <w:kern w:val="0"/>
      <w:sz w:val="24"/>
    </w:rPr>
  </w:style>
  <w:style w:type="paragraph" w:customStyle="1" w:styleId="512">
    <w:name w:val="ca-23"/>
    <w:basedOn w:val="1"/>
    <w:qFormat/>
    <w:uiPriority w:val="99"/>
    <w:pPr>
      <w:widowControl/>
      <w:jc w:val="left"/>
    </w:pPr>
    <w:rPr>
      <w:rFonts w:ascii="Calibri" w:hAnsi="Calibri" w:eastAsia="宋体" w:cs="Times New Roman"/>
      <w:kern w:val="0"/>
      <w:szCs w:val="21"/>
    </w:rPr>
  </w:style>
  <w:style w:type="paragraph" w:customStyle="1" w:styleId="513">
    <w:name w:val="pa-120"/>
    <w:basedOn w:val="1"/>
    <w:qFormat/>
    <w:uiPriority w:val="99"/>
    <w:pPr>
      <w:widowControl/>
      <w:spacing w:line="280" w:lineRule="atLeast"/>
      <w:jc w:val="right"/>
    </w:pPr>
    <w:rPr>
      <w:rFonts w:ascii="宋体" w:hAnsi="宋体" w:eastAsia="宋体" w:cs="宋体"/>
      <w:kern w:val="0"/>
      <w:sz w:val="24"/>
    </w:rPr>
  </w:style>
  <w:style w:type="paragraph" w:customStyle="1" w:styleId="514">
    <w:name w:val="Normal_9"/>
    <w:qFormat/>
    <w:uiPriority w:val="99"/>
    <w:rPr>
      <w:rFonts w:ascii="黑体" w:hAnsi="黑体" w:eastAsia="黑体" w:cs="Times New Roman"/>
      <w:b/>
      <w:sz w:val="32"/>
      <w:szCs w:val="24"/>
      <w:lang w:val="en-US" w:eastAsia="zh-CN" w:bidi="ar-SA"/>
    </w:rPr>
  </w:style>
  <w:style w:type="paragraph" w:customStyle="1" w:styleId="515">
    <w:name w:val="Normal_16"/>
    <w:qFormat/>
    <w:uiPriority w:val="99"/>
    <w:rPr>
      <w:rFonts w:ascii="黑体" w:hAnsi="黑体" w:eastAsia="黑体" w:cs="Times New Roman"/>
      <w:b/>
      <w:sz w:val="32"/>
      <w:szCs w:val="24"/>
      <w:lang w:val="en-US" w:eastAsia="zh-CN" w:bidi="ar-SA"/>
    </w:rPr>
  </w:style>
  <w:style w:type="paragraph" w:customStyle="1" w:styleId="516">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qFormat/>
    <w:uiPriority w:val="99"/>
    <w:pPr>
      <w:widowControl/>
      <w:spacing w:line="280" w:lineRule="atLeast"/>
    </w:pPr>
    <w:rPr>
      <w:rFonts w:ascii="宋体" w:hAnsi="宋体" w:eastAsia="宋体" w:cs="宋体"/>
      <w:kern w:val="0"/>
      <w:sz w:val="24"/>
    </w:rPr>
  </w:style>
  <w:style w:type="paragraph" w:customStyle="1" w:styleId="520">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3"/>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qFormat/>
    <w:uiPriority w:val="99"/>
    <w:rPr>
      <w:rFonts w:ascii="Tahoma" w:hAnsi="Tahoma" w:eastAsia="宋体" w:cs="Times New Roman"/>
      <w:sz w:val="24"/>
      <w:szCs w:val="20"/>
    </w:rPr>
  </w:style>
  <w:style w:type="paragraph" w:customStyle="1" w:styleId="532">
    <w:name w:val="pa-85"/>
    <w:basedOn w:val="1"/>
    <w:qFormat/>
    <w:uiPriority w:val="99"/>
    <w:pPr>
      <w:widowControl/>
      <w:spacing w:line="760" w:lineRule="atLeast"/>
      <w:jc w:val="center"/>
    </w:pPr>
    <w:rPr>
      <w:rFonts w:ascii="宋体" w:hAnsi="宋体" w:eastAsia="宋体" w:cs="宋体"/>
      <w:kern w:val="0"/>
      <w:sz w:val="24"/>
    </w:rPr>
  </w:style>
  <w:style w:type="paragraph" w:customStyle="1" w:styleId="533">
    <w:name w:val="Normal_1"/>
    <w:qFormat/>
    <w:uiPriority w:val="99"/>
    <w:rPr>
      <w:rFonts w:ascii="黑体" w:hAnsi="黑体" w:eastAsia="黑体" w:cs="Times New Roman"/>
      <w:b/>
      <w:sz w:val="32"/>
      <w:szCs w:val="24"/>
      <w:lang w:val="en-US" w:eastAsia="zh-CN" w:bidi="ar-SA"/>
    </w:rPr>
  </w:style>
  <w:style w:type="paragraph" w:customStyle="1" w:styleId="534">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qFormat/>
    <w:uiPriority w:val="99"/>
    <w:pPr>
      <w:widowControl/>
      <w:spacing w:line="240" w:lineRule="atLeast"/>
      <w:jc w:val="left"/>
    </w:pPr>
    <w:rPr>
      <w:rFonts w:ascii="宋体" w:hAnsi="宋体" w:eastAsia="宋体" w:cs="宋体"/>
      <w:kern w:val="0"/>
      <w:sz w:val="24"/>
    </w:rPr>
  </w:style>
  <w:style w:type="paragraph" w:customStyle="1" w:styleId="537">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41">
    <w:name w:val="Normal_3"/>
    <w:qFormat/>
    <w:uiPriority w:val="99"/>
    <w:rPr>
      <w:rFonts w:ascii="黑体" w:hAnsi="黑体" w:eastAsia="黑体" w:cs="Times New Roman"/>
      <w:b/>
      <w:sz w:val="32"/>
      <w:szCs w:val="24"/>
      <w:lang w:val="en-US" w:eastAsia="zh-CN" w:bidi="ar-SA"/>
    </w:rPr>
  </w:style>
  <w:style w:type="paragraph" w:customStyle="1" w:styleId="542">
    <w:name w:val="Char Char Char_0"/>
    <w:basedOn w:val="1"/>
    <w:qFormat/>
    <w:uiPriority w:val="99"/>
    <w:rPr>
      <w:rFonts w:ascii="Tahoma" w:hAnsi="Tahoma" w:eastAsia="宋体" w:cs="Times New Roman"/>
      <w:sz w:val="24"/>
      <w:szCs w:val="20"/>
    </w:rPr>
  </w:style>
  <w:style w:type="paragraph" w:customStyle="1" w:styleId="543">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qFormat/>
    <w:uiPriority w:val="99"/>
    <w:rPr>
      <w:rFonts w:ascii="Calibri" w:hAnsi="Calibri" w:eastAsia="宋体" w:cs="Times New Roman"/>
    </w:rPr>
  </w:style>
  <w:style w:type="paragraph" w:customStyle="1" w:styleId="545">
    <w:name w:val="pa-65"/>
    <w:basedOn w:val="1"/>
    <w:qFormat/>
    <w:uiPriority w:val="99"/>
    <w:pPr>
      <w:widowControl/>
      <w:spacing w:line="360" w:lineRule="atLeast"/>
    </w:pPr>
    <w:rPr>
      <w:rFonts w:ascii="宋体" w:hAnsi="宋体" w:eastAsia="宋体" w:cs="宋体"/>
      <w:kern w:val="0"/>
      <w:sz w:val="24"/>
    </w:rPr>
  </w:style>
  <w:style w:type="paragraph" w:customStyle="1" w:styleId="546">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qFormat/>
    <w:uiPriority w:val="99"/>
    <w:pPr>
      <w:widowControl/>
      <w:spacing w:line="360" w:lineRule="atLeast"/>
    </w:pPr>
    <w:rPr>
      <w:rFonts w:ascii="宋体" w:hAnsi="宋体" w:eastAsia="宋体" w:cs="宋体"/>
      <w:kern w:val="0"/>
      <w:sz w:val="24"/>
    </w:rPr>
  </w:style>
  <w:style w:type="paragraph" w:customStyle="1" w:styleId="55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qFormat/>
    <w:uiPriority w:val="99"/>
    <w:rPr>
      <w:rFonts w:ascii="黑体" w:hAnsi="黑体" w:eastAsia="黑体" w:cs="Times New Roman"/>
      <w:b/>
      <w:sz w:val="32"/>
      <w:szCs w:val="24"/>
      <w:lang w:val="en-US" w:eastAsia="zh-CN" w:bidi="ar-SA"/>
    </w:rPr>
  </w:style>
  <w:style w:type="paragraph" w:customStyle="1" w:styleId="554">
    <w:name w:val="pa-76"/>
    <w:basedOn w:val="1"/>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qFormat/>
    <w:uiPriority w:val="99"/>
    <w:pPr>
      <w:widowControl/>
      <w:jc w:val="left"/>
    </w:pPr>
    <w:rPr>
      <w:rFonts w:ascii="宋体" w:hAnsi="宋体" w:eastAsia="宋体" w:cs="宋体"/>
      <w:b/>
      <w:bCs/>
      <w:spacing w:val="-20"/>
      <w:kern w:val="0"/>
      <w:szCs w:val="21"/>
    </w:rPr>
  </w:style>
  <w:style w:type="paragraph" w:customStyle="1" w:styleId="557">
    <w:name w:val="pa-123"/>
    <w:basedOn w:val="1"/>
    <w:qFormat/>
    <w:uiPriority w:val="99"/>
    <w:pPr>
      <w:widowControl/>
      <w:spacing w:line="360" w:lineRule="atLeast"/>
    </w:pPr>
    <w:rPr>
      <w:rFonts w:ascii="宋体" w:hAnsi="宋体" w:eastAsia="宋体" w:cs="宋体"/>
      <w:kern w:val="0"/>
      <w:sz w:val="24"/>
    </w:rPr>
  </w:style>
  <w:style w:type="paragraph" w:customStyle="1" w:styleId="558">
    <w:name w:val="ca-31"/>
    <w:basedOn w:val="1"/>
    <w:qFormat/>
    <w:uiPriority w:val="99"/>
    <w:pPr>
      <w:widowControl/>
      <w:jc w:val="left"/>
    </w:pPr>
    <w:rPr>
      <w:rFonts w:ascii="??" w:hAnsi="??" w:eastAsia="宋体" w:cs="宋体"/>
      <w:color w:val="000000"/>
      <w:kern w:val="0"/>
      <w:szCs w:val="21"/>
    </w:rPr>
  </w:style>
  <w:style w:type="paragraph" w:customStyle="1" w:styleId="559">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qFormat/>
    <w:uiPriority w:val="99"/>
    <w:rPr>
      <w:rFonts w:ascii="仿宋" w:eastAsia="仿宋" w:cs="Times New Roman"/>
      <w:color w:val="auto"/>
    </w:rPr>
  </w:style>
  <w:style w:type="paragraph" w:customStyle="1" w:styleId="575">
    <w:name w:val="CM11"/>
    <w:basedOn w:val="164"/>
    <w:next w:val="164"/>
    <w:qFormat/>
    <w:uiPriority w:val="99"/>
    <w:pPr>
      <w:spacing w:line="520" w:lineRule="atLeast"/>
    </w:pPr>
    <w:rPr>
      <w:rFonts w:ascii="仿宋" w:eastAsia="仿宋" w:cs="Times New Roman"/>
      <w:color w:val="auto"/>
    </w:rPr>
  </w:style>
  <w:style w:type="paragraph" w:customStyle="1" w:styleId="576">
    <w:name w:val="CM13"/>
    <w:basedOn w:val="164"/>
    <w:next w:val="164"/>
    <w:qFormat/>
    <w:uiPriority w:val="99"/>
    <w:pPr>
      <w:spacing w:line="520" w:lineRule="atLeast"/>
    </w:pPr>
    <w:rPr>
      <w:rFonts w:ascii="仿宋" w:eastAsia="仿宋" w:cs="Times New Roman"/>
      <w:color w:val="auto"/>
    </w:rPr>
  </w:style>
  <w:style w:type="paragraph" w:customStyle="1" w:styleId="577">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qFormat/>
    <w:locked/>
    <w:uiPriority w:val="0"/>
    <w:rPr>
      <w:rFonts w:ascii="宋体" w:hAnsi="宋体" w:eastAsia="宋体"/>
      <w:sz w:val="24"/>
      <w:szCs w:val="24"/>
    </w:rPr>
  </w:style>
  <w:style w:type="character" w:customStyle="1" w:styleId="605">
    <w:name w:val="样式 样式 首行缩进:  2.25 字符 + 首行缩进:  2.25 字符 Char"/>
    <w:link w:val="606"/>
    <w:qFormat/>
    <w:locked/>
    <w:uiPriority w:val="0"/>
    <w:rPr>
      <w:rFonts w:ascii="宋体" w:hAnsi="宋体" w:eastAsia="宋体"/>
      <w:szCs w:val="21"/>
    </w:rPr>
  </w:style>
  <w:style w:type="paragraph" w:customStyle="1" w:styleId="606">
    <w:name w:val="样式 样式 首行缩进:  2.25 字符 + 首行缩进:  2.25 字符"/>
    <w:basedOn w:val="1"/>
    <w:link w:val="605"/>
    <w:qFormat/>
    <w:uiPriority w:val="0"/>
    <w:pPr>
      <w:spacing w:line="360" w:lineRule="auto"/>
      <w:ind w:firstLine="420" w:firstLineChars="200"/>
    </w:pPr>
    <w:rPr>
      <w:rFonts w:ascii="宋体" w:hAnsi="宋体" w:eastAsia="宋体"/>
      <w:szCs w:val="21"/>
    </w:rPr>
  </w:style>
  <w:style w:type="character" w:customStyle="1" w:styleId="607">
    <w:name w:val="Char Char25"/>
    <w:link w:val="608"/>
    <w:qFormat/>
    <w:locked/>
    <w:uiPriority w:val="0"/>
    <w:rPr>
      <w:rFonts w:ascii="Tahoma" w:hAnsi="Tahoma" w:cs="Tahoma"/>
      <w:sz w:val="24"/>
    </w:rPr>
  </w:style>
  <w:style w:type="paragraph" w:customStyle="1" w:styleId="608">
    <w:name w:val="Char3"/>
    <w:basedOn w:val="1"/>
    <w:link w:val="607"/>
    <w:qFormat/>
    <w:uiPriority w:val="0"/>
    <w:rPr>
      <w:rFonts w:ascii="Tahoma" w:hAnsi="Tahoma" w:cs="Tahoma"/>
      <w:sz w:val="24"/>
    </w:rPr>
  </w:style>
  <w:style w:type="paragraph" w:customStyle="1" w:styleId="609">
    <w:name w:val="CM14"/>
    <w:basedOn w:val="164"/>
    <w:next w:val="164"/>
    <w:qFormat/>
    <w:uiPriority w:val="99"/>
    <w:pPr>
      <w:spacing w:line="546" w:lineRule="atLeast"/>
    </w:pPr>
    <w:rPr>
      <w:rFonts w:ascii="仿宋" w:eastAsia="仿宋" w:cs="Times New Roman"/>
      <w:color w:val="auto"/>
    </w:rPr>
  </w:style>
  <w:style w:type="paragraph" w:customStyle="1" w:styleId="610">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3"/>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qFormat/>
    <w:uiPriority w:val="99"/>
    <w:rPr>
      <w:rFonts w:ascii="Times New Roman" w:hAnsi="Times New Roman" w:eastAsia="宋体" w:cs="Times New Roman"/>
      <w:szCs w:val="24"/>
    </w:rPr>
  </w:style>
  <w:style w:type="paragraph" w:customStyle="1" w:styleId="614">
    <w:name w:val="Char11"/>
    <w:basedOn w:val="1"/>
    <w:qFormat/>
    <w:uiPriority w:val="99"/>
    <w:rPr>
      <w:rFonts w:ascii="Times New Roman" w:hAnsi="Times New Roman" w:eastAsia="宋体" w:cs="Times New Roman"/>
      <w:szCs w:val="20"/>
    </w:rPr>
  </w:style>
  <w:style w:type="paragraph" w:customStyle="1" w:styleId="615">
    <w:name w:val="Char1 Char Char Char Char Char Char"/>
    <w:basedOn w:val="1"/>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qFormat/>
    <w:uiPriority w:val="99"/>
    <w:pPr>
      <w:spacing w:line="412" w:lineRule="auto"/>
      <w:ind w:left="720" w:hanging="720"/>
    </w:pPr>
    <w:rPr>
      <w:rFonts w:eastAsia="Arial"/>
      <w:kern w:val="2"/>
    </w:rPr>
  </w:style>
  <w:style w:type="paragraph" w:customStyle="1" w:styleId="622">
    <w:name w:val="引用2"/>
    <w:basedOn w:val="1"/>
    <w:next w:val="1"/>
    <w:qFormat/>
    <w:uiPriority w:val="99"/>
    <w:rPr>
      <w:rFonts w:ascii="Times New Roman" w:hAnsi="Times New Roman" w:eastAsia="Times New Roman" w:cs="Times New Roman"/>
      <w:i/>
      <w:color w:val="000000"/>
      <w:sz w:val="22"/>
      <w:szCs w:val="20"/>
    </w:rPr>
  </w:style>
  <w:style w:type="paragraph" w:customStyle="1" w:styleId="623">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qFormat/>
    <w:uiPriority w:val="99"/>
    <w:rPr>
      <w:rFonts w:ascii="Times New Roman" w:hAnsi="Times New Roman" w:eastAsia="宋体" w:cs="Times New Roman"/>
      <w:szCs w:val="24"/>
    </w:rPr>
  </w:style>
  <w:style w:type="paragraph" w:customStyle="1" w:styleId="625">
    <w:name w:val="菲页(卷)"/>
    <w:basedOn w:val="3"/>
    <w:next w:val="527"/>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qFormat/>
    <w:uiPriority w:val="99"/>
    <w:rPr>
      <w:rFonts w:ascii="Times New Roman" w:hAnsi="Times New Roman" w:eastAsia="宋体" w:cs="Times New Roman"/>
      <w:szCs w:val="24"/>
    </w:rPr>
  </w:style>
  <w:style w:type="paragraph" w:customStyle="1" w:styleId="630">
    <w:name w:val="菲页1"/>
    <w:basedOn w:val="4"/>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4"/>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qFormat/>
    <w:uiPriority w:val="99"/>
    <w:rPr>
      <w:rFonts w:ascii="Times New Roman" w:hAnsi="Times New Roman" w:eastAsia="宋体" w:cs="Times New Roman"/>
      <w:szCs w:val="20"/>
    </w:rPr>
  </w:style>
  <w:style w:type="paragraph" w:customStyle="1" w:styleId="650">
    <w:name w:val="样式 标题 3 + Calibri 加粗 左侧:  0 厘米"/>
    <w:basedOn w:val="6"/>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3"/>
    <w:next w:val="3"/>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qFormat/>
    <w:uiPriority w:val="99"/>
    <w:pPr>
      <w:spacing w:line="360" w:lineRule="auto"/>
    </w:pPr>
    <w:rPr>
      <w:rFonts w:ascii="宋体" w:hAnsi="宋体" w:eastAsia="宋体" w:cs="Times New Roman"/>
      <w:sz w:val="24"/>
      <w:szCs w:val="24"/>
    </w:rPr>
  </w:style>
  <w:style w:type="paragraph" w:customStyle="1" w:styleId="655">
    <w:name w:val="样式 标题 3 + 小三"/>
    <w:basedOn w:val="6"/>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qFormat/>
    <w:uiPriority w:val="99"/>
    <w:rPr>
      <w:rFonts w:ascii="Times New Roman" w:hAnsi="Times New Roman" w:eastAsia="宋体" w:cs="Times New Roman"/>
      <w:szCs w:val="20"/>
    </w:rPr>
  </w:style>
  <w:style w:type="paragraph" w:customStyle="1" w:styleId="657">
    <w:name w:val="Char41"/>
    <w:basedOn w:val="16"/>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qFormat/>
    <w:locked/>
    <w:uiPriority w:val="0"/>
    <w:rPr>
      <w:rFonts w:ascii="宋体" w:hAnsi="宋体" w:eastAsia="微软雅黑"/>
      <w:b/>
      <w:sz w:val="36"/>
    </w:rPr>
  </w:style>
  <w:style w:type="paragraph" w:customStyle="1" w:styleId="659">
    <w:name w:val="样式 标题 2 + 小四"/>
    <w:basedOn w:val="4"/>
    <w:link w:val="658"/>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qFormat/>
    <w:uiPriority w:val="99"/>
    <w:pPr>
      <w:widowControl/>
      <w:jc w:val="left"/>
    </w:pPr>
    <w:rPr>
      <w:rFonts w:ascii="ˎ̥" w:hAnsi="ˎ̥" w:eastAsia="宋体" w:cs="宋体"/>
      <w:color w:val="000000"/>
      <w:kern w:val="0"/>
      <w:sz w:val="13"/>
      <w:szCs w:val="13"/>
    </w:rPr>
  </w:style>
  <w:style w:type="character" w:customStyle="1" w:styleId="664">
    <w:name w:val="无间隔 字符"/>
    <w:link w:val="665"/>
    <w:qFormat/>
    <w:locked/>
    <w:uiPriority w:val="0"/>
    <w:rPr>
      <w:rFonts w:ascii="Calibri" w:hAnsi="Calibri" w:eastAsia="微软雅黑" w:cs="Calibri"/>
    </w:rPr>
  </w:style>
  <w:style w:type="paragraph" w:customStyle="1" w:styleId="665">
    <w:name w:val="无间隔11"/>
    <w:link w:val="664"/>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qFormat/>
    <w:uiPriority w:val="99"/>
    <w:rPr>
      <w:rFonts w:ascii="Tahoma" w:hAnsi="Tahoma" w:eastAsia="宋体" w:cs="Times New Roman"/>
      <w:sz w:val="24"/>
      <w:szCs w:val="20"/>
    </w:rPr>
  </w:style>
  <w:style w:type="paragraph" w:customStyle="1" w:styleId="668">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4"/>
    <w:next w:val="4"/>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qFormat/>
    <w:locked/>
    <w:uiPriority w:val="0"/>
    <w:rPr>
      <w:rFonts w:ascii="Calibri" w:hAnsi="Calibri" w:eastAsia="微软雅黑" w:cs="Calibri"/>
      <w:szCs w:val="24"/>
    </w:rPr>
  </w:style>
  <w:style w:type="paragraph" w:customStyle="1" w:styleId="672">
    <w:name w:val="彩色列表 - 强调文字颜色 11"/>
    <w:basedOn w:val="1"/>
    <w:link w:val="671"/>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3"/>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qFormat/>
    <w:uiPriority w:val="99"/>
    <w:rPr>
      <w:rFonts w:ascii="仿宋_GB2312" w:hAnsi="Times New Roman" w:eastAsia="仿宋_GB2312" w:cs="Times New Roman"/>
      <w:b/>
      <w:sz w:val="32"/>
      <w:szCs w:val="32"/>
    </w:rPr>
  </w:style>
  <w:style w:type="paragraph" w:customStyle="1" w:styleId="686">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qFormat/>
    <w:uiPriority w:val="99"/>
    <w:pPr>
      <w:adjustRightInd w:val="0"/>
    </w:pPr>
    <w:rPr>
      <w:rFonts w:ascii="宋体" w:hAnsi="Courier New" w:eastAsia="宋体" w:cs="Times New Roman"/>
      <w:szCs w:val="20"/>
    </w:rPr>
  </w:style>
  <w:style w:type="paragraph" w:customStyle="1" w:styleId="698">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qFormat/>
    <w:uiPriority w:val="99"/>
    <w:rPr>
      <w:rFonts w:ascii="Tahoma" w:hAnsi="Tahoma" w:eastAsia="宋体" w:cs="Times New Roman"/>
      <w:sz w:val="24"/>
      <w:szCs w:val="20"/>
    </w:rPr>
  </w:style>
  <w:style w:type="paragraph" w:customStyle="1" w:styleId="703">
    <w:name w:val="_Style 175"/>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qFormat/>
    <w:uiPriority w:val="99"/>
    <w:pPr>
      <w:ind w:left="420" w:leftChars="200"/>
    </w:pPr>
    <w:rPr>
      <w:rFonts w:ascii="Times New Roman" w:hAnsi="Times New Roman" w:eastAsia="宋体" w:cs="Times New Roman"/>
    </w:rPr>
  </w:style>
  <w:style w:type="paragraph" w:customStyle="1" w:styleId="705">
    <w:name w:val="修订11"/>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3"/>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qFormat/>
    <w:uiPriority w:val="0"/>
    <w:rPr>
      <w:i/>
      <w:color w:val="auto"/>
      <w:sz w:val="21"/>
    </w:rPr>
  </w:style>
  <w:style w:type="character" w:customStyle="1" w:styleId="708">
    <w:name w:val="明显强调1"/>
    <w:qFormat/>
    <w:uiPriority w:val="0"/>
    <w:rPr>
      <w:i/>
      <w:color w:val="auto"/>
      <w:sz w:val="21"/>
    </w:rPr>
  </w:style>
  <w:style w:type="character" w:customStyle="1" w:styleId="709">
    <w:name w:val="不明显参考1"/>
    <w:qFormat/>
    <w:uiPriority w:val="0"/>
    <w:rPr>
      <w:color w:val="auto"/>
      <w:sz w:val="21"/>
    </w:rPr>
  </w:style>
  <w:style w:type="character" w:customStyle="1" w:styleId="710">
    <w:name w:val="明显参考1"/>
    <w:qFormat/>
    <w:uiPriority w:val="0"/>
    <w:rPr>
      <w:b/>
      <w:color w:val="auto"/>
      <w:sz w:val="21"/>
    </w:rPr>
  </w:style>
  <w:style w:type="character" w:customStyle="1" w:styleId="711">
    <w:name w:val="书籍标题1"/>
    <w:qFormat/>
    <w:uiPriority w:val="0"/>
    <w:rPr>
      <w:b/>
      <w:i/>
      <w:sz w:val="21"/>
    </w:rPr>
  </w:style>
  <w:style w:type="character" w:customStyle="1" w:styleId="712">
    <w:name w:val="批注文字 字符2"/>
    <w:link w:val="21"/>
    <w:semiHidden/>
    <w:qFormat/>
    <w:locked/>
    <w:uiPriority w:val="99"/>
    <w:rPr>
      <w:rFonts w:ascii="Times New Roman" w:hAnsi="Times New Roman" w:eastAsia="宋体" w:cs="Times New Roman"/>
      <w:kern w:val="0"/>
      <w:sz w:val="20"/>
      <w:szCs w:val="24"/>
    </w:rPr>
  </w:style>
  <w:style w:type="character" w:customStyle="1" w:styleId="713">
    <w:name w:val="标题 Char1"/>
    <w:qFormat/>
    <w:uiPriority w:val="0"/>
    <w:rPr>
      <w:rFonts w:hint="default" w:ascii="Cambria" w:hAnsi="Cambria" w:cs="Times New Roman"/>
      <w:b/>
      <w:bCs/>
      <w:sz w:val="32"/>
      <w:szCs w:val="32"/>
    </w:rPr>
  </w:style>
  <w:style w:type="character" w:customStyle="1" w:styleId="714">
    <w:name w:val="hui121"/>
    <w:qFormat/>
    <w:uiPriority w:val="0"/>
    <w:rPr>
      <w:rFonts w:hint="eastAsia" w:ascii="宋体" w:hAnsi="宋体" w:eastAsia="宋体"/>
      <w:color w:val="333333"/>
      <w:kern w:val="2"/>
      <w:sz w:val="18"/>
      <w:szCs w:val="18"/>
      <w:lang w:val="en-US" w:eastAsia="zh-CN" w:bidi="ar-SA"/>
    </w:rPr>
  </w:style>
  <w:style w:type="character" w:customStyle="1" w:styleId="715">
    <w:name w:val="纯文本 Char"/>
    <w:qFormat/>
    <w:uiPriority w:val="0"/>
    <w:rPr>
      <w:rFonts w:hint="eastAsia" w:ascii="宋体" w:hAnsi="Courier New" w:eastAsia="宋体" w:cs="Courier New"/>
      <w:szCs w:val="21"/>
    </w:rPr>
  </w:style>
  <w:style w:type="character" w:customStyle="1" w:styleId="716">
    <w:name w:val="class4"/>
    <w:qFormat/>
    <w:uiPriority w:val="0"/>
  </w:style>
  <w:style w:type="character" w:customStyle="1" w:styleId="717">
    <w:name w:val="标准文本 Char"/>
    <w:qFormat/>
    <w:uiPriority w:val="0"/>
    <w:rPr>
      <w:sz w:val="20"/>
    </w:rPr>
  </w:style>
  <w:style w:type="character" w:customStyle="1" w:styleId="718">
    <w:name w:val="列出段落 Char"/>
    <w:qFormat/>
    <w:uiPriority w:val="0"/>
    <w:rPr>
      <w:sz w:val="20"/>
    </w:rPr>
  </w:style>
  <w:style w:type="character" w:customStyle="1" w:styleId="719">
    <w:name w:val="纯文本 Char1"/>
    <w:qFormat/>
    <w:uiPriority w:val="0"/>
    <w:rPr>
      <w:sz w:val="20"/>
    </w:rPr>
  </w:style>
  <w:style w:type="character" w:customStyle="1" w:styleId="720">
    <w:name w:val="封面日期 Char Char"/>
    <w:qFormat/>
    <w:uiPriority w:val="0"/>
    <w:rPr>
      <w:sz w:val="20"/>
    </w:rPr>
  </w:style>
  <w:style w:type="character" w:customStyle="1" w:styleId="721">
    <w:name w:val="ca-3"/>
    <w:qFormat/>
    <w:uiPriority w:val="0"/>
    <w:rPr>
      <w:rFonts w:hint="eastAsia" w:ascii="宋体" w:hAnsi="宋体" w:eastAsia="宋体"/>
      <w:kern w:val="2"/>
      <w:sz w:val="24"/>
      <w:szCs w:val="24"/>
      <w:lang w:val="en-US" w:eastAsia="zh-CN" w:bidi="ar-SA"/>
    </w:rPr>
  </w:style>
  <w:style w:type="character" w:customStyle="1" w:styleId="722">
    <w:name w:val="class3"/>
    <w:qFormat/>
    <w:uiPriority w:val="0"/>
  </w:style>
  <w:style w:type="character" w:customStyle="1" w:styleId="723">
    <w:name w:val="style41"/>
    <w:qFormat/>
    <w:uiPriority w:val="0"/>
    <w:rPr>
      <w:sz w:val="18"/>
      <w:szCs w:val="18"/>
    </w:rPr>
  </w:style>
  <w:style w:type="character" w:customStyle="1" w:styleId="724">
    <w:name w:val="label_list1"/>
    <w:qFormat/>
    <w:uiPriority w:val="0"/>
  </w:style>
  <w:style w:type="character" w:customStyle="1" w:styleId="725">
    <w:name w:val="普通文字 Char Char1"/>
    <w:qFormat/>
    <w:uiPriority w:val="0"/>
    <w:rPr>
      <w:rFonts w:hint="eastAsia" w:ascii="宋体" w:hAnsi="Courier New" w:eastAsia="宋体"/>
      <w:kern w:val="2"/>
      <w:sz w:val="24"/>
      <w:szCs w:val="24"/>
    </w:rPr>
  </w:style>
  <w:style w:type="character" w:customStyle="1" w:styleId="726">
    <w:name w:val="zbggmain style9"/>
    <w:qFormat/>
    <w:uiPriority w:val="0"/>
    <w:rPr>
      <w:sz w:val="20"/>
    </w:rPr>
  </w:style>
  <w:style w:type="character" w:customStyle="1" w:styleId="727">
    <w:name w:val="Body Text(ch) Char Char"/>
    <w:qFormat/>
    <w:uiPriority w:val="0"/>
    <w:rPr>
      <w:sz w:val="20"/>
    </w:rPr>
  </w:style>
  <w:style w:type="character" w:customStyle="1" w:styleId="728">
    <w:name w:val="op-map-singlepoint-info-right1"/>
    <w:qFormat/>
    <w:uiPriority w:val="0"/>
    <w:rPr>
      <w:sz w:val="20"/>
    </w:rPr>
  </w:style>
  <w:style w:type="character" w:customStyle="1" w:styleId="729">
    <w:name w:val="ca-451"/>
    <w:qFormat/>
    <w:uiPriority w:val="0"/>
    <w:rPr>
      <w:rFonts w:hint="eastAsia" w:ascii="宋体" w:hAnsi="宋体" w:eastAsia="宋体"/>
      <w:color w:val="000000"/>
      <w:sz w:val="72"/>
      <w:szCs w:val="72"/>
    </w:rPr>
  </w:style>
  <w:style w:type="character" w:customStyle="1" w:styleId="730">
    <w:name w:val="Char Char39"/>
    <w:qFormat/>
    <w:uiPriority w:val="0"/>
    <w:rPr>
      <w:rFonts w:hint="default" w:ascii="Times New Roman" w:hAnsi="Times New Roman" w:eastAsia="宋体" w:cs="Times New Roman"/>
      <w:b/>
      <w:bCs/>
      <w:sz w:val="28"/>
      <w:szCs w:val="28"/>
    </w:rPr>
  </w:style>
  <w:style w:type="character" w:customStyle="1" w:styleId="731">
    <w:name w:val="Char Char40"/>
    <w:qFormat/>
    <w:uiPriority w:val="0"/>
    <w:rPr>
      <w:rFonts w:hint="default" w:ascii="Arial" w:hAnsi="Arial" w:eastAsia="黑体" w:cs="Times New Roman"/>
      <w:b/>
      <w:bCs/>
      <w:sz w:val="28"/>
      <w:szCs w:val="28"/>
    </w:rPr>
  </w:style>
  <w:style w:type="character" w:customStyle="1" w:styleId="732">
    <w:name w:val="Char Char42"/>
    <w:qFormat/>
    <w:uiPriority w:val="0"/>
    <w:rPr>
      <w:rFonts w:hint="default" w:ascii="Arial" w:hAnsi="Arial" w:eastAsia="黑体" w:cs="Times New Roman"/>
      <w:b/>
      <w:bCs/>
      <w:sz w:val="32"/>
      <w:szCs w:val="32"/>
    </w:rPr>
  </w:style>
  <w:style w:type="character" w:customStyle="1" w:styleId="733">
    <w:name w:val="Char Char43"/>
    <w:qFormat/>
    <w:uiPriority w:val="0"/>
    <w:rPr>
      <w:rFonts w:hint="default" w:ascii="Times New Roman" w:hAnsi="Times New Roman" w:eastAsia="宋体" w:cs="Times New Roman"/>
      <w:b/>
      <w:bCs/>
      <w:sz w:val="24"/>
      <w:szCs w:val="24"/>
    </w:rPr>
  </w:style>
  <w:style w:type="character" w:customStyle="1" w:styleId="734">
    <w:name w:val="Char Char41"/>
    <w:qFormat/>
    <w:uiPriority w:val="0"/>
    <w:rPr>
      <w:rFonts w:hint="default" w:ascii="Times New Roman" w:hAnsi="Times New Roman" w:eastAsia="宋体" w:cs="Times New Roman"/>
      <w:b/>
      <w:bCs/>
      <w:sz w:val="32"/>
      <w:szCs w:val="32"/>
    </w:rPr>
  </w:style>
  <w:style w:type="character" w:customStyle="1" w:styleId="735">
    <w:name w:val="Char Char38"/>
    <w:qFormat/>
    <w:uiPriority w:val="0"/>
    <w:rPr>
      <w:rFonts w:hint="default" w:ascii="Arial" w:hAnsi="Arial" w:eastAsia="黑体" w:cs="Arial"/>
      <w:b/>
      <w:bCs/>
      <w:sz w:val="24"/>
      <w:szCs w:val="24"/>
    </w:rPr>
  </w:style>
  <w:style w:type="character" w:customStyle="1" w:styleId="736">
    <w:name w:val="Char Char35"/>
    <w:qFormat/>
    <w:uiPriority w:val="0"/>
    <w:rPr>
      <w:rFonts w:hint="default" w:ascii="Arial" w:hAnsi="Arial" w:eastAsia="黑体" w:cs="Times New Roman"/>
    </w:rPr>
  </w:style>
  <w:style w:type="character" w:customStyle="1" w:styleId="737">
    <w:name w:val="Char Char Char Char Char"/>
    <w:qFormat/>
    <w:uiPriority w:val="0"/>
    <w:rPr>
      <w:rFonts w:hint="default" w:ascii="Arial" w:hAnsi="Arial" w:eastAsia="黑体" w:cs="Arial"/>
      <w:b/>
      <w:bCs/>
      <w:kern w:val="2"/>
      <w:sz w:val="32"/>
      <w:szCs w:val="32"/>
      <w:lang w:val="en-US" w:eastAsia="zh-CN" w:bidi="ar-SA"/>
    </w:rPr>
  </w:style>
  <w:style w:type="character" w:customStyle="1" w:styleId="738">
    <w:name w:val="正文文本 Char2"/>
    <w:qFormat/>
    <w:locked/>
    <w:uiPriority w:val="0"/>
    <w:rPr>
      <w:rFonts w:hint="eastAsia" w:ascii="宋体" w:hAnsi="宋体" w:eastAsia="宋体"/>
      <w:kern w:val="2"/>
      <w:sz w:val="28"/>
      <w:szCs w:val="24"/>
      <w:lang w:val="en-US" w:eastAsia="zh-CN" w:bidi="ar-SA"/>
    </w:rPr>
  </w:style>
  <w:style w:type="character" w:customStyle="1" w:styleId="739">
    <w:name w:val="标题 2 Char1"/>
    <w:qFormat/>
    <w:uiPriority w:val="0"/>
    <w:rPr>
      <w:rFonts w:hint="default" w:ascii="Arial" w:hAnsi="Arial" w:eastAsia="黑体" w:cs="Arial"/>
      <w:b/>
      <w:bCs/>
      <w:kern w:val="2"/>
      <w:sz w:val="32"/>
      <w:szCs w:val="32"/>
      <w:lang w:val="en-US" w:eastAsia="zh-CN" w:bidi="ar-SA"/>
    </w:rPr>
  </w:style>
  <w:style w:type="character" w:customStyle="1" w:styleId="740">
    <w:name w:val="ca-61"/>
    <w:qFormat/>
    <w:uiPriority w:val="0"/>
    <w:rPr>
      <w:rFonts w:hint="eastAsia" w:ascii="宋体" w:hAnsi="宋体" w:eastAsia="宋体"/>
      <w:color w:val="000000"/>
      <w:sz w:val="30"/>
      <w:szCs w:val="30"/>
    </w:rPr>
  </w:style>
  <w:style w:type="character" w:customStyle="1" w:styleId="741">
    <w:name w:val="ca-161"/>
    <w:qFormat/>
    <w:uiPriority w:val="0"/>
    <w:rPr>
      <w:rFonts w:hint="eastAsia" w:ascii="宋体" w:hAnsi="宋体" w:eastAsia="宋体"/>
      <w:sz w:val="24"/>
      <w:szCs w:val="24"/>
    </w:rPr>
  </w:style>
  <w:style w:type="character" w:customStyle="1" w:styleId="742">
    <w:name w:val="textcontents"/>
    <w:qFormat/>
    <w:uiPriority w:val="0"/>
    <w:rPr>
      <w:rFonts w:hint="default" w:ascii="Times New Roman" w:hAnsi="Times New Roman" w:cs="Times New Roman"/>
    </w:rPr>
  </w:style>
  <w:style w:type="character" w:customStyle="1" w:styleId="743">
    <w:name w:val="ca-401"/>
    <w:qFormat/>
    <w:uiPriority w:val="0"/>
    <w:rPr>
      <w:rFonts w:hint="default" w:ascii="Times New Roman" w:hAnsi="Times New Roman" w:cs="Times New Roman"/>
      <w:sz w:val="20"/>
      <w:szCs w:val="20"/>
    </w:rPr>
  </w:style>
  <w:style w:type="character" w:customStyle="1" w:styleId="744">
    <w:name w:val="ca-231"/>
    <w:qFormat/>
    <w:uiPriority w:val="0"/>
    <w:rPr>
      <w:rFonts w:hint="default" w:ascii="Times New Roman" w:hAnsi="Times New Roman" w:cs="Times New Roman"/>
      <w:sz w:val="21"/>
      <w:szCs w:val="21"/>
    </w:rPr>
  </w:style>
  <w:style w:type="character" w:customStyle="1" w:styleId="745">
    <w:name w:val="ca-331"/>
    <w:qFormat/>
    <w:uiPriority w:val="0"/>
    <w:rPr>
      <w:rFonts w:hint="eastAsia" w:ascii="宋体" w:hAnsi="宋体" w:eastAsia="宋体"/>
      <w:b/>
      <w:bCs/>
      <w:color w:val="002060"/>
      <w:spacing w:val="-20"/>
      <w:sz w:val="20"/>
      <w:szCs w:val="20"/>
    </w:rPr>
  </w:style>
  <w:style w:type="character" w:customStyle="1" w:styleId="746">
    <w:name w:val="ca-201"/>
    <w:qFormat/>
    <w:uiPriority w:val="0"/>
    <w:rPr>
      <w:rFonts w:hint="default" w:ascii="??" w:hAnsi="??"/>
      <w:color w:val="000000"/>
      <w:sz w:val="18"/>
      <w:szCs w:val="18"/>
    </w:rPr>
  </w:style>
  <w:style w:type="character" w:customStyle="1" w:styleId="747">
    <w:name w:val="ca-191"/>
    <w:qFormat/>
    <w:uiPriority w:val="0"/>
    <w:rPr>
      <w:rFonts w:hint="default" w:ascii="Times New Roman" w:hAnsi="Times New Roman" w:cs="Times New Roman"/>
      <w:sz w:val="18"/>
      <w:szCs w:val="18"/>
    </w:rPr>
  </w:style>
  <w:style w:type="character" w:customStyle="1" w:styleId="748">
    <w:name w:val="CPara--- Char Char"/>
    <w:qFormat/>
    <w:uiPriority w:val="0"/>
    <w:rPr>
      <w:rFonts w:hint="default" w:ascii="Arial" w:hAnsi="Arial" w:eastAsia="宋体" w:cs="Arial"/>
      <w:lang w:val="en-US" w:eastAsia="en-US" w:bidi="ar-SA"/>
    </w:rPr>
  </w:style>
  <w:style w:type="character" w:customStyle="1" w:styleId="749">
    <w:name w:val="标题 5 Char1"/>
    <w:qFormat/>
    <w:uiPriority w:val="0"/>
    <w:rPr>
      <w:rFonts w:hint="eastAsia" w:ascii="宋体" w:hAnsi="宋体" w:eastAsia="宋体"/>
      <w:b/>
      <w:bCs/>
      <w:kern w:val="2"/>
      <w:sz w:val="28"/>
      <w:szCs w:val="28"/>
      <w:lang w:val="en-US" w:eastAsia="zh-CN" w:bidi="ar-SA"/>
    </w:rPr>
  </w:style>
  <w:style w:type="character" w:customStyle="1" w:styleId="750">
    <w:name w:val="ca-81"/>
    <w:qFormat/>
    <w:uiPriority w:val="0"/>
    <w:rPr>
      <w:rFonts w:hint="eastAsia" w:ascii="宋体" w:hAnsi="宋体" w:eastAsia="宋体"/>
      <w:color w:val="000000"/>
      <w:sz w:val="28"/>
      <w:szCs w:val="28"/>
    </w:rPr>
  </w:style>
  <w:style w:type="character" w:customStyle="1" w:styleId="751">
    <w:name w:val="ca-461"/>
    <w:qFormat/>
    <w:uiPriority w:val="0"/>
    <w:rPr>
      <w:rFonts w:hint="eastAsia" w:ascii="宋体" w:hAnsi="宋体" w:eastAsia="宋体"/>
      <w:color w:val="000000"/>
      <w:spacing w:val="-20"/>
      <w:sz w:val="28"/>
      <w:szCs w:val="28"/>
    </w:rPr>
  </w:style>
  <w:style w:type="character" w:customStyle="1" w:styleId="752">
    <w:name w:val="ca-501"/>
    <w:qFormat/>
    <w:uiPriority w:val="0"/>
    <w:rPr>
      <w:rFonts w:hint="eastAsia" w:ascii="宋体" w:hAnsi="宋体" w:eastAsia="宋体"/>
      <w:spacing w:val="0"/>
      <w:sz w:val="24"/>
      <w:szCs w:val="24"/>
    </w:rPr>
  </w:style>
  <w:style w:type="character" w:customStyle="1" w:styleId="753">
    <w:name w:val="2nd level Char1"/>
    <w:qFormat/>
    <w:uiPriority w:val="0"/>
    <w:rPr>
      <w:rFonts w:hint="default" w:ascii="Arial" w:hAnsi="Arial" w:eastAsia="宋体" w:cs="Arial"/>
      <w:b/>
      <w:bCs/>
      <w:kern w:val="2"/>
      <w:sz w:val="24"/>
      <w:szCs w:val="32"/>
      <w:lang w:val="en-US" w:eastAsia="zh-CN" w:bidi="ar-SA"/>
    </w:rPr>
  </w:style>
  <w:style w:type="character" w:customStyle="1" w:styleId="754">
    <w:name w:val="日期 Char1"/>
    <w:qFormat/>
    <w:uiPriority w:val="0"/>
    <w:rPr>
      <w:kern w:val="2"/>
      <w:sz w:val="21"/>
      <w:szCs w:val="22"/>
    </w:rPr>
  </w:style>
  <w:style w:type="character" w:customStyle="1" w:styleId="755">
    <w:name w:val="ca-210"/>
    <w:qFormat/>
    <w:uiPriority w:val="0"/>
    <w:rPr>
      <w:rFonts w:hint="default" w:ascii="Times New Roman" w:hAnsi="Times New Roman" w:cs="Times New Roman"/>
      <w:color w:val="000000"/>
      <w:sz w:val="36"/>
      <w:szCs w:val="36"/>
    </w:rPr>
  </w:style>
  <w:style w:type="character" w:customStyle="1" w:styleId="756">
    <w:name w:val="页眉 Char Char"/>
    <w:qFormat/>
    <w:uiPriority w:val="0"/>
    <w:rPr>
      <w:rFonts w:hint="default" w:ascii="Times New Roman" w:hAnsi="Times New Roman" w:eastAsia="宋体" w:cs="Times New Roman"/>
      <w:sz w:val="18"/>
      <w:szCs w:val="18"/>
    </w:rPr>
  </w:style>
  <w:style w:type="character" w:customStyle="1" w:styleId="757">
    <w:name w:val="页脚 Char1"/>
    <w:qFormat/>
    <w:uiPriority w:val="0"/>
    <w:rPr>
      <w:rFonts w:hint="eastAsia" w:ascii="黑体" w:hAnsi="黑体" w:eastAsia="黑体"/>
      <w:snapToGrid w:val="0"/>
      <w:sz w:val="18"/>
      <w:szCs w:val="18"/>
      <w:lang w:val="en-US" w:eastAsia="zh-CN" w:bidi="ar-SA"/>
    </w:rPr>
  </w:style>
  <w:style w:type="character" w:customStyle="1" w:styleId="758">
    <w:name w:val="日期 Char2"/>
    <w:qFormat/>
    <w:uiPriority w:val="0"/>
    <w:rPr>
      <w:rFonts w:hint="eastAsia" w:ascii="楷体_GB2312" w:eastAsia="楷体_GB2312"/>
      <w:kern w:val="2"/>
      <w:sz w:val="32"/>
      <w:lang w:val="en-US" w:eastAsia="zh-CN" w:bidi="ar-SA"/>
    </w:rPr>
  </w:style>
  <w:style w:type="character" w:customStyle="1" w:styleId="759">
    <w:name w:val="style11"/>
    <w:qFormat/>
    <w:uiPriority w:val="0"/>
    <w:rPr>
      <w:sz w:val="27"/>
      <w:szCs w:val="27"/>
    </w:rPr>
  </w:style>
  <w:style w:type="character" w:customStyle="1" w:styleId="760">
    <w:name w:val="文档结构图 Char1"/>
    <w:qFormat/>
    <w:uiPriority w:val="0"/>
    <w:rPr>
      <w:rFonts w:hint="eastAsia" w:ascii="宋体" w:hAnsi="宋体" w:eastAsia="宋体"/>
      <w:kern w:val="2"/>
      <w:sz w:val="18"/>
      <w:szCs w:val="18"/>
    </w:rPr>
  </w:style>
  <w:style w:type="character" w:customStyle="1" w:styleId="761">
    <w:name w:val="批注文字 Char1"/>
    <w:semiHidden/>
    <w:qFormat/>
    <w:uiPriority w:val="0"/>
    <w:rPr>
      <w:rFonts w:hint="eastAsia" w:ascii="宋体" w:hAnsi="宋体" w:eastAsia="宋体"/>
      <w:kern w:val="2"/>
      <w:sz w:val="21"/>
      <w:szCs w:val="24"/>
      <w:lang w:val="en-US" w:eastAsia="zh-CN" w:bidi="ar-SA"/>
    </w:rPr>
  </w:style>
  <w:style w:type="character" w:customStyle="1" w:styleId="762">
    <w:name w:val="Char Char22"/>
    <w:qFormat/>
    <w:uiPriority w:val="0"/>
    <w:rPr>
      <w:rFonts w:hint="eastAsia" w:ascii="宋体" w:hAnsi="宋体" w:eastAsia="宋体"/>
      <w:b/>
      <w:bCs/>
      <w:kern w:val="44"/>
      <w:sz w:val="44"/>
      <w:szCs w:val="44"/>
    </w:rPr>
  </w:style>
  <w:style w:type="character" w:customStyle="1" w:styleId="763">
    <w:name w:val="正文文字4 Char"/>
    <w:qFormat/>
    <w:uiPriority w:val="0"/>
    <w:rPr>
      <w:rFonts w:hint="eastAsia" w:ascii="宋体" w:hAnsi="宋体" w:eastAsia="宋体"/>
      <w:kern w:val="2"/>
      <w:sz w:val="21"/>
      <w:szCs w:val="24"/>
      <w:lang w:val="en-US" w:eastAsia="zh-CN" w:bidi="ar-SA"/>
    </w:rPr>
  </w:style>
  <w:style w:type="character" w:customStyle="1" w:styleId="764">
    <w:name w:val="ca-410"/>
    <w:qFormat/>
    <w:uiPriority w:val="0"/>
    <w:rPr>
      <w:rFonts w:hint="eastAsia" w:ascii="宋体" w:hAnsi="宋体" w:eastAsia="宋体"/>
      <w:b/>
      <w:bCs/>
      <w:color w:val="000000"/>
      <w:spacing w:val="-20"/>
      <w:sz w:val="48"/>
      <w:szCs w:val="48"/>
    </w:rPr>
  </w:style>
  <w:style w:type="character" w:customStyle="1" w:styleId="765">
    <w:name w:val="ca-101"/>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qFormat/>
    <w:locked/>
    <w:uiPriority w:val="0"/>
    <w:rPr>
      <w:rFonts w:ascii="Times New Roman" w:hAnsi="Times New Roman" w:eastAsia="宋体" w:cs="Times New Roman"/>
      <w:b/>
      <w:bCs/>
      <w:sz w:val="32"/>
      <w:szCs w:val="32"/>
    </w:rPr>
  </w:style>
  <w:style w:type="character" w:customStyle="1" w:styleId="768">
    <w:name w:val="ca-361"/>
    <w:qFormat/>
    <w:uiPriority w:val="0"/>
    <w:rPr>
      <w:rFonts w:hint="eastAsia" w:ascii="宋体" w:hAnsi="宋体" w:eastAsia="宋体"/>
      <w:b/>
      <w:bCs/>
      <w:spacing w:val="-20"/>
      <w:sz w:val="21"/>
      <w:szCs w:val="21"/>
    </w:rPr>
  </w:style>
  <w:style w:type="character" w:customStyle="1" w:styleId="769">
    <w:name w:val="标题 3 Char1"/>
    <w:qFormat/>
    <w:uiPriority w:val="0"/>
    <w:rPr>
      <w:rFonts w:hint="eastAsia" w:ascii="宋体" w:hAnsi="宋体" w:eastAsia="宋体"/>
      <w:b/>
      <w:bCs/>
      <w:kern w:val="2"/>
      <w:sz w:val="32"/>
      <w:szCs w:val="32"/>
      <w:lang w:val="en-US" w:eastAsia="zh-CN" w:bidi="ar-SA"/>
    </w:rPr>
  </w:style>
  <w:style w:type="character" w:customStyle="1" w:styleId="770">
    <w:name w:val="ca-301"/>
    <w:qFormat/>
    <w:uiPriority w:val="0"/>
    <w:rPr>
      <w:rFonts w:hint="default" w:ascii="??" w:hAnsi="??"/>
      <w:color w:val="002060"/>
      <w:sz w:val="21"/>
      <w:szCs w:val="21"/>
    </w:rPr>
  </w:style>
  <w:style w:type="character" w:customStyle="1" w:styleId="771">
    <w:name w:val="标题 Char Char"/>
    <w:qFormat/>
    <w:uiPriority w:val="0"/>
    <w:rPr>
      <w:rFonts w:hint="default" w:ascii="Arial" w:hAnsi="Arial" w:eastAsia="宋体" w:cs="Arial"/>
      <w:b/>
      <w:kern w:val="2"/>
      <w:sz w:val="44"/>
      <w:lang w:val="en-US" w:eastAsia="zh-CN"/>
    </w:rPr>
  </w:style>
  <w:style w:type="character" w:customStyle="1" w:styleId="772">
    <w:name w:val="ca-381"/>
    <w:qFormat/>
    <w:uiPriority w:val="0"/>
    <w:rPr>
      <w:rFonts w:hint="default" w:ascii="Times New Roman" w:hAnsi="Times New Roman" w:cs="Times New Roman"/>
      <w:b/>
      <w:bCs/>
      <w:spacing w:val="-20"/>
      <w:sz w:val="21"/>
      <w:szCs w:val="21"/>
    </w:rPr>
  </w:style>
  <w:style w:type="character" w:customStyle="1" w:styleId="773">
    <w:name w:val="文档结构图 Char2"/>
    <w:qFormat/>
    <w:uiPriority w:val="0"/>
    <w:rPr>
      <w:kern w:val="2"/>
      <w:sz w:val="21"/>
      <w:szCs w:val="24"/>
      <w:shd w:val="clear" w:color="auto" w:fill="000080"/>
    </w:rPr>
  </w:style>
  <w:style w:type="character" w:customStyle="1" w:styleId="774">
    <w:name w:val="ca-241"/>
    <w:qFormat/>
    <w:uiPriority w:val="0"/>
    <w:rPr>
      <w:rFonts w:hint="eastAsia" w:ascii="宋体" w:hAnsi="宋体" w:eastAsia="宋体"/>
      <w:sz w:val="24"/>
      <w:szCs w:val="24"/>
    </w:rPr>
  </w:style>
  <w:style w:type="character" w:customStyle="1" w:styleId="775">
    <w:name w:val="Char Char30"/>
    <w:qFormat/>
    <w:uiPriority w:val="0"/>
    <w:rPr>
      <w:rFonts w:hint="default" w:ascii="Arial" w:hAnsi="Arial" w:eastAsia="黑体" w:cs="Times New Roman"/>
      <w:b/>
      <w:bCs/>
      <w:sz w:val="32"/>
      <w:szCs w:val="32"/>
    </w:rPr>
  </w:style>
  <w:style w:type="character" w:customStyle="1" w:styleId="776">
    <w:name w:val="表正文 Char1"/>
    <w:qFormat/>
    <w:uiPriority w:val="0"/>
    <w:rPr>
      <w:rFonts w:hint="eastAsia" w:ascii="宋体" w:hAnsi="宋体" w:eastAsia="宋体"/>
      <w:kern w:val="2"/>
      <w:sz w:val="21"/>
      <w:szCs w:val="24"/>
      <w:lang w:val="en-US" w:eastAsia="zh-CN" w:bidi="ar-SA"/>
    </w:rPr>
  </w:style>
  <w:style w:type="character" w:customStyle="1" w:styleId="777">
    <w:name w:val="ca-171"/>
    <w:qFormat/>
    <w:uiPriority w:val="0"/>
    <w:rPr>
      <w:rFonts w:hint="default" w:ascii="Times New Roman" w:hAnsi="Times New Roman" w:cs="Times New Roman"/>
      <w:b/>
      <w:bCs/>
      <w:spacing w:val="-20"/>
      <w:sz w:val="24"/>
      <w:szCs w:val="24"/>
    </w:rPr>
  </w:style>
  <w:style w:type="character" w:customStyle="1" w:styleId="778">
    <w:name w:val="Char Char23"/>
    <w:qFormat/>
    <w:uiPriority w:val="0"/>
    <w:rPr>
      <w:rFonts w:hint="default" w:ascii="Times New Roman" w:hAnsi="Times New Roman" w:eastAsia="宋体" w:cs="Times New Roman"/>
      <w:b/>
      <w:bCs/>
      <w:sz w:val="32"/>
      <w:szCs w:val="32"/>
    </w:rPr>
  </w:style>
  <w:style w:type="character" w:customStyle="1" w:styleId="779">
    <w:name w:val="ca-511"/>
    <w:qFormat/>
    <w:uiPriority w:val="0"/>
    <w:rPr>
      <w:rFonts w:hint="default" w:ascii="Times New Roman" w:hAnsi="Times New Roman" w:cs="Times New Roman"/>
      <w:b/>
      <w:bCs/>
      <w:color w:val="000000"/>
      <w:spacing w:val="-20"/>
      <w:sz w:val="32"/>
      <w:szCs w:val="32"/>
    </w:rPr>
  </w:style>
  <w:style w:type="character" w:customStyle="1" w:styleId="780">
    <w:name w:val="Heading 3 - old Char1"/>
    <w:qFormat/>
    <w:uiPriority w:val="0"/>
    <w:rPr>
      <w:rFonts w:hint="eastAsia" w:ascii="宋体" w:hAnsi="宋体" w:eastAsia="宋体"/>
      <w:b/>
      <w:bCs/>
      <w:kern w:val="2"/>
      <w:sz w:val="21"/>
      <w:szCs w:val="32"/>
      <w:lang w:val="en-US" w:eastAsia="zh-CN" w:bidi="ar-SA"/>
    </w:rPr>
  </w:style>
  <w:style w:type="character" w:customStyle="1" w:styleId="781">
    <w:name w:val="Char Char21"/>
    <w:qFormat/>
    <w:uiPriority w:val="0"/>
    <w:rPr>
      <w:rFonts w:hint="default" w:ascii="Arial" w:hAnsi="Arial" w:eastAsia="黑体" w:cs="Arial"/>
      <w:b/>
      <w:bCs/>
      <w:kern w:val="2"/>
      <w:sz w:val="28"/>
      <w:szCs w:val="28"/>
      <w:lang w:val="en-US" w:eastAsia="zh-CN" w:bidi="ar-SA"/>
    </w:rPr>
  </w:style>
  <w:style w:type="character" w:customStyle="1" w:styleId="782">
    <w:name w:val="ca-471"/>
    <w:qFormat/>
    <w:uiPriority w:val="0"/>
    <w:rPr>
      <w:rFonts w:hint="eastAsia" w:ascii="宋体" w:hAnsi="宋体" w:eastAsia="宋体"/>
      <w:b/>
      <w:bCs/>
      <w:color w:val="000000"/>
      <w:spacing w:val="-20"/>
      <w:sz w:val="24"/>
      <w:szCs w:val="24"/>
    </w:rPr>
  </w:style>
  <w:style w:type="character" w:customStyle="1" w:styleId="783">
    <w:name w:val="zbggtop11 style5"/>
    <w:qFormat/>
    <w:uiPriority w:val="0"/>
  </w:style>
  <w:style w:type="paragraph" w:customStyle="1" w:styleId="784">
    <w:name w:val="标题 3_0_0"/>
    <w:basedOn w:val="125"/>
    <w:next w:val="125"/>
    <w:link w:val="785"/>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qFormat/>
    <w:locked/>
    <w:uiPriority w:val="0"/>
    <w:rPr>
      <w:rFonts w:ascii="Times New Roman" w:hAnsi="Times New Roman" w:eastAsia="宋体" w:cs="Times New Roman"/>
      <w:b/>
      <w:bCs/>
      <w:sz w:val="32"/>
      <w:szCs w:val="32"/>
    </w:rPr>
  </w:style>
  <w:style w:type="character" w:customStyle="1" w:styleId="786">
    <w:name w:val="Char Char32"/>
    <w:qFormat/>
    <w:uiPriority w:val="0"/>
    <w:rPr>
      <w:rFonts w:hint="eastAsia" w:ascii="仿宋_GB2312" w:hAnsi="宋体" w:eastAsia="宋体" w:cs="Arial"/>
      <w:b/>
      <w:bCs/>
      <w:color w:val="000000"/>
      <w:sz w:val="24"/>
      <w:szCs w:val="24"/>
    </w:rPr>
  </w:style>
  <w:style w:type="character" w:customStyle="1" w:styleId="787">
    <w:name w:val="Para- Char Char"/>
    <w:qFormat/>
    <w:uiPriority w:val="0"/>
    <w:rPr>
      <w:rFonts w:hint="default" w:ascii="Arial" w:hAnsi="Arial" w:eastAsia="宋体" w:cs="Arial"/>
      <w:lang w:val="en-US" w:eastAsia="en-US" w:bidi="ar-SA"/>
    </w:rPr>
  </w:style>
  <w:style w:type="character" w:customStyle="1" w:styleId="788">
    <w:name w:val="不明显强调111"/>
    <w:qFormat/>
    <w:uiPriority w:val="0"/>
    <w:rPr>
      <w:i/>
      <w:iCs/>
      <w:color w:val="808080"/>
    </w:rPr>
  </w:style>
  <w:style w:type="character" w:customStyle="1" w:styleId="789">
    <w:name w:val="页脚 Char Char"/>
    <w:qFormat/>
    <w:uiPriority w:val="0"/>
    <w:rPr>
      <w:kern w:val="2"/>
      <w:sz w:val="18"/>
      <w:szCs w:val="18"/>
    </w:rPr>
  </w:style>
  <w:style w:type="character" w:customStyle="1" w:styleId="790">
    <w:name w:val="Char Char33"/>
    <w:qFormat/>
    <w:uiPriority w:val="0"/>
    <w:rPr>
      <w:rFonts w:hint="default" w:ascii="Times New Roman" w:hAnsi="Times New Roman" w:eastAsia="宋体" w:cs="Times New Roman"/>
      <w:sz w:val="18"/>
      <w:szCs w:val="18"/>
    </w:rPr>
  </w:style>
  <w:style w:type="paragraph" w:customStyle="1" w:styleId="791">
    <w:name w:val="批注文字_0"/>
    <w:basedOn w:val="132"/>
    <w:link w:val="792"/>
    <w:qFormat/>
    <w:uiPriority w:val="0"/>
    <w:pPr>
      <w:jc w:val="left"/>
    </w:pPr>
    <w:rPr>
      <w:szCs w:val="22"/>
    </w:rPr>
  </w:style>
  <w:style w:type="character" w:customStyle="1" w:styleId="792">
    <w:name w:val="批注文字 Char_0"/>
    <w:link w:val="791"/>
    <w:qFormat/>
    <w:locked/>
    <w:uiPriority w:val="0"/>
    <w:rPr>
      <w:rFonts w:ascii="Times New Roman" w:hAnsi="Times New Roman" w:eastAsia="宋体" w:cs="Times New Roman"/>
    </w:rPr>
  </w:style>
  <w:style w:type="character" w:customStyle="1" w:styleId="793">
    <w:name w:val="正文文本缩进 2 Char Char"/>
    <w:qFormat/>
    <w:uiPriority w:val="0"/>
    <w:rPr>
      <w:rFonts w:hint="default" w:ascii="Times New Roman" w:hAnsi="Times New Roman" w:eastAsia="宋体" w:cs="Times New Roman"/>
      <w:szCs w:val="24"/>
    </w:rPr>
  </w:style>
  <w:style w:type="character" w:customStyle="1" w:styleId="794">
    <w:name w:val="by jerry Char Char"/>
    <w:qFormat/>
    <w:uiPriority w:val="0"/>
    <w:rPr>
      <w:rFonts w:hint="eastAsia" w:ascii="宋体" w:hAnsi="宋体" w:eastAsia="宋体"/>
      <w:b/>
      <w:bCs/>
      <w:kern w:val="44"/>
      <w:sz w:val="44"/>
      <w:szCs w:val="44"/>
      <w:lang w:val="en-US" w:eastAsia="zh-CN" w:bidi="ar-SA"/>
    </w:rPr>
  </w:style>
  <w:style w:type="character" w:customStyle="1" w:styleId="795">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qFormat/>
    <w:uiPriority w:val="0"/>
    <w:rPr>
      <w:rFonts w:hint="eastAsia" w:ascii="宋体" w:hAnsi="宋体" w:eastAsia="宋体"/>
      <w:b/>
      <w:bCs/>
      <w:color w:val="C00000"/>
      <w:spacing w:val="-20"/>
      <w:sz w:val="21"/>
      <w:szCs w:val="21"/>
    </w:rPr>
  </w:style>
  <w:style w:type="character" w:customStyle="1" w:styleId="797">
    <w:name w:val="ca-310"/>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qFormat/>
    <w:uiPriority w:val="0"/>
    <w:pPr>
      <w:ind w:firstLine="420" w:firstLineChars="200"/>
    </w:pPr>
    <w:rPr>
      <w:rFonts w:ascii="Times New Roman" w:hAnsi="Times New Roman"/>
    </w:rPr>
  </w:style>
  <w:style w:type="character" w:customStyle="1" w:styleId="799">
    <w:name w:val="署名 Char1"/>
    <w:link w:val="798"/>
    <w:qFormat/>
    <w:locked/>
    <w:uiPriority w:val="0"/>
    <w:rPr>
      <w:rFonts w:ascii="Times New Roman" w:hAnsi="Times New Roman" w:eastAsia="宋体" w:cs="Times New Roman"/>
    </w:rPr>
  </w:style>
  <w:style w:type="character" w:customStyle="1" w:styleId="800">
    <w:name w:val="ca-411"/>
    <w:qFormat/>
    <w:uiPriority w:val="0"/>
    <w:rPr>
      <w:rFonts w:hint="eastAsia" w:ascii="宋体" w:hAnsi="宋体" w:eastAsia="宋体"/>
      <w:b/>
      <w:bCs/>
      <w:color w:val="000000"/>
      <w:spacing w:val="-20"/>
      <w:sz w:val="32"/>
      <w:szCs w:val="32"/>
    </w:rPr>
  </w:style>
  <w:style w:type="character" w:customStyle="1" w:styleId="801">
    <w:name w:val="ca-71"/>
    <w:qFormat/>
    <w:uiPriority w:val="0"/>
    <w:rPr>
      <w:rFonts w:hint="default" w:ascii="Times New Roman" w:hAnsi="Times New Roman" w:cs="Times New Roman"/>
      <w:color w:val="000000"/>
      <w:sz w:val="28"/>
      <w:szCs w:val="28"/>
    </w:rPr>
  </w:style>
  <w:style w:type="character" w:customStyle="1" w:styleId="802">
    <w:name w:val="ca-531"/>
    <w:qFormat/>
    <w:uiPriority w:val="0"/>
    <w:rPr>
      <w:rFonts w:hint="default" w:ascii="Times New Roman" w:hAnsi="Times New Roman" w:cs="Times New Roman"/>
      <w:b/>
      <w:bCs/>
      <w:spacing w:val="-20"/>
      <w:sz w:val="36"/>
      <w:szCs w:val="36"/>
    </w:rPr>
  </w:style>
  <w:style w:type="character" w:customStyle="1" w:styleId="803">
    <w:name w:val="ca-311"/>
    <w:qFormat/>
    <w:uiPriority w:val="0"/>
    <w:rPr>
      <w:rFonts w:hint="default" w:ascii="??" w:hAnsi="??"/>
      <w:color w:val="000000"/>
      <w:sz w:val="21"/>
      <w:szCs w:val="21"/>
    </w:rPr>
  </w:style>
  <w:style w:type="character" w:customStyle="1" w:styleId="804">
    <w:name w:val="2nd level Char2"/>
    <w:qFormat/>
    <w:uiPriority w:val="0"/>
    <w:rPr>
      <w:rFonts w:hint="default" w:ascii="Arial" w:hAnsi="Arial" w:eastAsia="宋体" w:cs="Arial"/>
      <w:b/>
      <w:bCs/>
      <w:kern w:val="2"/>
      <w:sz w:val="24"/>
      <w:szCs w:val="32"/>
      <w:lang w:val="en-US" w:eastAsia="zh-CN" w:bidi="ar-SA"/>
    </w:rPr>
  </w:style>
  <w:style w:type="character" w:customStyle="1" w:styleId="805">
    <w:name w:val="Footer-Even Char"/>
    <w:qFormat/>
    <w:uiPriority w:val="0"/>
    <w:rPr>
      <w:rFonts w:hint="eastAsia" w:ascii="宋体" w:hAnsi="宋体" w:eastAsia="宋体"/>
      <w:kern w:val="2"/>
      <w:sz w:val="18"/>
      <w:szCs w:val="18"/>
      <w:lang w:val="en-US" w:eastAsia="zh-CN" w:bidi="ar-SA"/>
    </w:rPr>
  </w:style>
  <w:style w:type="character" w:customStyle="1" w:styleId="806">
    <w:name w:val="日期 Char Char"/>
    <w:qFormat/>
    <w:uiPriority w:val="0"/>
    <w:rPr>
      <w:rFonts w:hint="default" w:ascii="Times New Roman" w:hAnsi="Times New Roman" w:cs="Times New Roman"/>
      <w:kern w:val="2"/>
      <w:sz w:val="21"/>
      <w:szCs w:val="24"/>
    </w:rPr>
  </w:style>
  <w:style w:type="character" w:customStyle="1" w:styleId="807">
    <w:name w:val="批注文字 Char Char"/>
    <w:qFormat/>
    <w:uiPriority w:val="0"/>
    <w:rPr>
      <w:rFonts w:hint="default" w:ascii="Times New Roman" w:hAnsi="Times New Roman" w:eastAsia="宋体" w:cs="Times New Roman"/>
      <w:szCs w:val="24"/>
    </w:rPr>
  </w:style>
  <w:style w:type="character" w:customStyle="1" w:styleId="808">
    <w:name w:val="apple-style-span"/>
    <w:qFormat/>
    <w:uiPriority w:val="0"/>
  </w:style>
  <w:style w:type="character" w:customStyle="1" w:styleId="809">
    <w:name w:val="书籍标题111"/>
    <w:qFormat/>
    <w:uiPriority w:val="0"/>
    <w:rPr>
      <w:b/>
      <w:bCs/>
      <w:smallCaps/>
      <w:spacing w:val="5"/>
    </w:rPr>
  </w:style>
  <w:style w:type="character" w:customStyle="1" w:styleId="810">
    <w:name w:val="ca-221"/>
    <w:qFormat/>
    <w:uiPriority w:val="0"/>
    <w:rPr>
      <w:rFonts w:hint="eastAsia" w:ascii="宋体" w:hAnsi="宋体" w:eastAsia="宋体"/>
      <w:sz w:val="21"/>
      <w:szCs w:val="21"/>
    </w:rPr>
  </w:style>
  <w:style w:type="character" w:customStyle="1" w:styleId="811">
    <w:name w:val="Heading 3 - old Char2"/>
    <w:qFormat/>
    <w:uiPriority w:val="0"/>
    <w:rPr>
      <w:rFonts w:hint="eastAsia" w:ascii="宋体" w:hAnsi="宋体" w:eastAsia="宋体"/>
      <w:b/>
      <w:bCs/>
      <w:kern w:val="2"/>
      <w:sz w:val="21"/>
      <w:szCs w:val="32"/>
      <w:lang w:val="en-US" w:eastAsia="zh-CN" w:bidi="ar-SA"/>
    </w:rPr>
  </w:style>
  <w:style w:type="character" w:customStyle="1" w:styleId="812">
    <w:name w:val="标题 1 Char Char"/>
    <w:qFormat/>
    <w:uiPriority w:val="0"/>
    <w:rPr>
      <w:rFonts w:hint="default" w:ascii="Times New Roman" w:hAnsi="Times New Roman" w:cs="Times New Roman"/>
      <w:b/>
      <w:bCs/>
      <w:kern w:val="44"/>
      <w:sz w:val="44"/>
      <w:szCs w:val="44"/>
    </w:rPr>
  </w:style>
  <w:style w:type="character" w:customStyle="1" w:styleId="813">
    <w:name w:val="ca-261"/>
    <w:qFormat/>
    <w:uiPriority w:val="0"/>
    <w:rPr>
      <w:rFonts w:hint="eastAsia" w:ascii="宋体" w:hAnsi="宋体" w:eastAsia="宋体"/>
      <w:color w:val="002060"/>
      <w:sz w:val="21"/>
      <w:szCs w:val="21"/>
    </w:rPr>
  </w:style>
  <w:style w:type="character" w:customStyle="1" w:styleId="814">
    <w:name w:val="批注主题 Char1"/>
    <w:qFormat/>
    <w:uiPriority w:val="0"/>
    <w:rPr>
      <w:b/>
      <w:bCs/>
      <w:kern w:val="2"/>
      <w:sz w:val="21"/>
      <w:szCs w:val="22"/>
    </w:rPr>
  </w:style>
  <w:style w:type="character" w:customStyle="1" w:styleId="815">
    <w:name w:val="ca-341"/>
    <w:qFormat/>
    <w:uiPriority w:val="0"/>
    <w:rPr>
      <w:rFonts w:hint="eastAsia" w:ascii="宋体" w:hAnsi="宋体" w:eastAsia="宋体"/>
      <w:color w:val="000000"/>
      <w:sz w:val="20"/>
      <w:szCs w:val="20"/>
    </w:rPr>
  </w:style>
  <w:style w:type="character" w:customStyle="1" w:styleId="816">
    <w:name w:val="font161"/>
    <w:qFormat/>
    <w:uiPriority w:val="0"/>
    <w:rPr>
      <w:b/>
      <w:bCs/>
      <w:sz w:val="32"/>
      <w:szCs w:val="32"/>
    </w:rPr>
  </w:style>
  <w:style w:type="character" w:customStyle="1" w:styleId="817">
    <w:name w:val="ca-421"/>
    <w:qFormat/>
    <w:uiPriority w:val="0"/>
    <w:rPr>
      <w:rFonts w:hint="eastAsia" w:ascii="宋体" w:hAnsi="宋体" w:eastAsia="宋体"/>
      <w:color w:val="000000"/>
      <w:sz w:val="36"/>
      <w:szCs w:val="36"/>
    </w:rPr>
  </w:style>
  <w:style w:type="character" w:customStyle="1" w:styleId="818">
    <w:name w:val="Footer-Even Char2"/>
    <w:qFormat/>
    <w:uiPriority w:val="0"/>
    <w:rPr>
      <w:rFonts w:hint="eastAsia" w:ascii="宋体" w:hAnsi="宋体" w:eastAsia="宋体"/>
      <w:kern w:val="2"/>
      <w:sz w:val="18"/>
      <w:szCs w:val="18"/>
      <w:lang w:val="en-US" w:eastAsia="zh-CN" w:bidi="ar-SA"/>
    </w:rPr>
  </w:style>
  <w:style w:type="character" w:customStyle="1" w:styleId="819">
    <w:name w:val="ca-211"/>
    <w:qFormat/>
    <w:uiPriority w:val="0"/>
    <w:rPr>
      <w:rFonts w:hint="eastAsia" w:ascii="宋体" w:hAnsi="宋体" w:eastAsia="宋体"/>
      <w:color w:val="000000"/>
      <w:sz w:val="21"/>
      <w:szCs w:val="21"/>
    </w:rPr>
  </w:style>
  <w:style w:type="character" w:customStyle="1" w:styleId="820">
    <w:name w:val="ca-181"/>
    <w:qFormat/>
    <w:uiPriority w:val="0"/>
    <w:rPr>
      <w:rFonts w:hint="eastAsia" w:ascii="宋体" w:hAnsi="宋体" w:eastAsia="宋体"/>
      <w:color w:val="000000"/>
      <w:sz w:val="18"/>
      <w:szCs w:val="18"/>
    </w:rPr>
  </w:style>
  <w:style w:type="character" w:customStyle="1" w:styleId="821">
    <w:name w:val="ca-54"/>
    <w:qFormat/>
    <w:uiPriority w:val="0"/>
    <w:rPr>
      <w:rFonts w:hint="eastAsia" w:ascii="宋体" w:hAnsi="宋体" w:eastAsia="宋体"/>
      <w:b/>
      <w:bCs/>
      <w:color w:val="000000"/>
      <w:spacing w:val="40"/>
      <w:sz w:val="48"/>
      <w:szCs w:val="48"/>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441"/>
    <w:qFormat/>
    <w:uiPriority w:val="0"/>
    <w:rPr>
      <w:rFonts w:hint="eastAsia" w:ascii="宋体" w:hAnsi="宋体" w:eastAsia="宋体"/>
      <w:color w:val="000000"/>
      <w:sz w:val="52"/>
      <w:szCs w:val="52"/>
    </w:rPr>
  </w:style>
  <w:style w:type="character" w:customStyle="1" w:styleId="824">
    <w:name w:val="文档结构图 Char"/>
    <w:qFormat/>
    <w:uiPriority w:val="0"/>
    <w:rPr>
      <w:szCs w:val="24"/>
      <w:shd w:val="clear" w:color="auto" w:fill="000080"/>
      <w:lang w:bidi="ar-SA"/>
    </w:rPr>
  </w:style>
  <w:style w:type="character" w:customStyle="1" w:styleId="825">
    <w:name w:val="ca-121"/>
    <w:qFormat/>
    <w:uiPriority w:val="0"/>
    <w:rPr>
      <w:rFonts w:hint="default" w:ascii="Times New Roman" w:hAnsi="Times New Roman" w:cs="Times New Roman"/>
      <w:color w:val="000000"/>
      <w:sz w:val="32"/>
      <w:szCs w:val="32"/>
    </w:rPr>
  </w:style>
  <w:style w:type="character" w:customStyle="1" w:styleId="826">
    <w:name w:val="ca-251"/>
    <w:qFormat/>
    <w:uiPriority w:val="0"/>
    <w:rPr>
      <w:rFonts w:hint="default" w:ascii="Times New Roman" w:hAnsi="Times New Roman" w:cs="Times New Roman"/>
      <w:sz w:val="21"/>
      <w:szCs w:val="21"/>
    </w:rPr>
  </w:style>
  <w:style w:type="character" w:customStyle="1" w:styleId="827">
    <w:name w:val="正文文本 Char1"/>
    <w:qFormat/>
    <w:uiPriority w:val="0"/>
    <w:rPr>
      <w:kern w:val="2"/>
      <w:sz w:val="21"/>
      <w:szCs w:val="22"/>
    </w:rPr>
  </w:style>
  <w:style w:type="character" w:customStyle="1" w:styleId="828">
    <w:name w:val="明显参考111"/>
    <w:qFormat/>
    <w:uiPriority w:val="0"/>
    <w:rPr>
      <w:b/>
      <w:bCs/>
      <w:smallCaps/>
      <w:color w:val="C0504D"/>
      <w:spacing w:val="5"/>
      <w:u w:val="single"/>
    </w:rPr>
  </w:style>
  <w:style w:type="character" w:customStyle="1" w:styleId="829">
    <w:name w:val="明显强调111"/>
    <w:qFormat/>
    <w:uiPriority w:val="0"/>
    <w:rPr>
      <w:b/>
      <w:bCs/>
      <w:i/>
      <w:iCs/>
      <w:color w:val="4F81BD"/>
    </w:rPr>
  </w:style>
  <w:style w:type="character" w:customStyle="1" w:styleId="830">
    <w:name w:val="Footer-Even Char1"/>
    <w:qFormat/>
    <w:uiPriority w:val="0"/>
    <w:rPr>
      <w:rFonts w:hint="eastAsia" w:ascii="宋体" w:hAnsi="宋体" w:eastAsia="宋体"/>
      <w:kern w:val="2"/>
      <w:sz w:val="18"/>
      <w:szCs w:val="18"/>
      <w:lang w:val="en-US" w:eastAsia="zh-CN" w:bidi="ar-SA"/>
    </w:rPr>
  </w:style>
  <w:style w:type="character" w:customStyle="1" w:styleId="831">
    <w:name w:val="Char Char28"/>
    <w:qFormat/>
    <w:uiPriority w:val="0"/>
    <w:rPr>
      <w:rFonts w:hint="eastAsia" w:ascii="宋体" w:hAnsi="宋体" w:eastAsia="宋体"/>
      <w:kern w:val="2"/>
      <w:sz w:val="18"/>
      <w:lang w:val="en-US" w:eastAsia="zh-CN" w:bidi="ar-SA"/>
    </w:rPr>
  </w:style>
  <w:style w:type="character" w:customStyle="1" w:styleId="832">
    <w:name w:val="Char Char34"/>
    <w:qFormat/>
    <w:uiPriority w:val="0"/>
    <w:rPr>
      <w:rFonts w:hint="default" w:ascii="Cambria" w:hAnsi="Cambria" w:eastAsia="宋体" w:cs="Times New Roman"/>
      <w:b/>
      <w:bCs/>
      <w:sz w:val="28"/>
      <w:szCs w:val="32"/>
    </w:rPr>
  </w:style>
  <w:style w:type="character" w:customStyle="1" w:styleId="833">
    <w:name w:val="正文首行缩进 Char Char"/>
    <w:qFormat/>
    <w:uiPriority w:val="0"/>
    <w:rPr>
      <w:rFonts w:hint="eastAsia" w:ascii="宋体" w:hAnsi="宋体" w:eastAsia="宋体"/>
      <w:kern w:val="2"/>
      <w:sz w:val="21"/>
      <w:szCs w:val="24"/>
      <w:lang w:val="en-US" w:eastAsia="zh-CN" w:bidi="ar-SA"/>
    </w:rPr>
  </w:style>
  <w:style w:type="character" w:customStyle="1" w:styleId="834">
    <w:name w:val="by jerry Char1"/>
    <w:qFormat/>
    <w:uiPriority w:val="0"/>
    <w:rPr>
      <w:rFonts w:hint="eastAsia" w:ascii="宋体" w:hAnsi="宋体" w:eastAsia="宋体"/>
      <w:b/>
      <w:bCs/>
      <w:kern w:val="44"/>
      <w:sz w:val="32"/>
      <w:szCs w:val="44"/>
      <w:lang w:val="en-US" w:eastAsia="zh-CN" w:bidi="ar-SA"/>
    </w:rPr>
  </w:style>
  <w:style w:type="character" w:customStyle="1" w:styleId="835">
    <w:name w:val="标题 1 Char1"/>
    <w:qFormat/>
    <w:uiPriority w:val="0"/>
    <w:rPr>
      <w:rFonts w:hint="eastAsia" w:ascii="宋体" w:hAnsi="宋体" w:eastAsia="宋体"/>
      <w:b/>
      <w:bCs/>
      <w:kern w:val="2"/>
      <w:sz w:val="24"/>
      <w:szCs w:val="24"/>
      <w:lang w:val="en-US" w:eastAsia="zh-CN" w:bidi="ar-SA"/>
    </w:rPr>
  </w:style>
  <w:style w:type="character" w:customStyle="1" w:styleId="836">
    <w:name w:val="Char Char19"/>
    <w:qFormat/>
    <w:uiPriority w:val="0"/>
    <w:rPr>
      <w:rFonts w:hint="default" w:ascii="Cambria" w:hAnsi="Cambria"/>
      <w:b/>
      <w:bCs/>
      <w:kern w:val="2"/>
      <w:sz w:val="28"/>
      <w:szCs w:val="28"/>
    </w:rPr>
  </w:style>
  <w:style w:type="character" w:customStyle="1" w:styleId="837">
    <w:name w:val="ca-481"/>
    <w:qFormat/>
    <w:uiPriority w:val="0"/>
    <w:rPr>
      <w:rFonts w:hint="eastAsia" w:ascii="宋体" w:hAnsi="宋体" w:eastAsia="宋体"/>
      <w:color w:val="000000"/>
      <w:sz w:val="26"/>
      <w:szCs w:val="26"/>
    </w:rPr>
  </w:style>
  <w:style w:type="paragraph" w:customStyle="1" w:styleId="838">
    <w:name w:val="正文文本缩进_1"/>
    <w:basedOn w:val="146"/>
    <w:link w:val="839"/>
    <w:qFormat/>
    <w:uiPriority w:val="0"/>
    <w:pPr>
      <w:spacing w:after="120"/>
      <w:ind w:left="420" w:leftChars="200"/>
    </w:pPr>
    <w:rPr>
      <w:rFonts w:ascii="Times New Roman" w:hAnsi="Times New Roman"/>
    </w:rPr>
  </w:style>
  <w:style w:type="character" w:customStyle="1" w:styleId="839">
    <w:name w:val="正文文字4 Char1_1"/>
    <w:link w:val="838"/>
    <w:qFormat/>
    <w:locked/>
    <w:uiPriority w:val="0"/>
    <w:rPr>
      <w:rFonts w:ascii="Times New Roman" w:hAnsi="Times New Roman" w:eastAsia="宋体" w:cs="Times New Roman"/>
    </w:rPr>
  </w:style>
  <w:style w:type="character" w:customStyle="1" w:styleId="840">
    <w:name w:val="ca-91"/>
    <w:qFormat/>
    <w:uiPriority w:val="0"/>
    <w:rPr>
      <w:rFonts w:hint="eastAsia" w:ascii="楷体_GB2312" w:eastAsia="楷体_GB2312"/>
      <w:color w:val="000000"/>
      <w:spacing w:val="20"/>
      <w:sz w:val="96"/>
      <w:szCs w:val="96"/>
    </w:rPr>
  </w:style>
  <w:style w:type="character" w:customStyle="1" w:styleId="841">
    <w:name w:val="Char Char26"/>
    <w:qFormat/>
    <w:uiPriority w:val="0"/>
    <w:rPr>
      <w:rFonts w:hint="default" w:ascii="Arial" w:hAnsi="Arial" w:eastAsia="宋体" w:cs="Times New Roman"/>
      <w:bCs/>
      <w:kern w:val="2"/>
      <w:sz w:val="24"/>
      <w:szCs w:val="28"/>
    </w:rPr>
  </w:style>
  <w:style w:type="character" w:customStyle="1" w:styleId="842">
    <w:name w:val="标题 7 Char"/>
    <w:qFormat/>
    <w:uiPriority w:val="0"/>
    <w:rPr>
      <w:rFonts w:hint="default" w:ascii="Times New Roman" w:hAnsi="Times New Roman" w:cs="Times New Roman"/>
      <w:b/>
      <w:bCs/>
      <w:kern w:val="2"/>
      <w:sz w:val="24"/>
      <w:szCs w:val="24"/>
    </w:rPr>
  </w:style>
  <w:style w:type="character" w:customStyle="1" w:styleId="843">
    <w:name w:val="正文文字4 Char1"/>
    <w:qFormat/>
    <w:uiPriority w:val="0"/>
    <w:rPr>
      <w:rFonts w:hint="eastAsia" w:ascii="宋体" w:hAnsi="宋体" w:eastAsia="宋体"/>
      <w:kern w:val="2"/>
      <w:sz w:val="21"/>
      <w:szCs w:val="24"/>
      <w:lang w:val="en-US" w:eastAsia="zh-CN" w:bidi="ar-SA"/>
    </w:rPr>
  </w:style>
  <w:style w:type="character" w:customStyle="1" w:styleId="844">
    <w:name w:val="标题 4 Char1"/>
    <w:qFormat/>
    <w:uiPriority w:val="0"/>
    <w:rPr>
      <w:rFonts w:hint="default" w:ascii="Arial" w:hAnsi="Arial" w:eastAsia="黑体" w:cs="Arial"/>
      <w:b/>
      <w:bCs/>
      <w:kern w:val="2"/>
      <w:sz w:val="28"/>
      <w:szCs w:val="28"/>
      <w:lang w:val="en-US" w:eastAsia="zh-CN" w:bidi="ar-SA"/>
    </w:rPr>
  </w:style>
  <w:style w:type="character" w:customStyle="1" w:styleId="845">
    <w:name w:val="引用 字符2"/>
    <w:qFormat/>
    <w:locked/>
    <w:uiPriority w:val="0"/>
    <w:rPr>
      <w:i/>
      <w:sz w:val="21"/>
    </w:rPr>
  </w:style>
  <w:style w:type="character" w:customStyle="1" w:styleId="846">
    <w:name w:val="Char Char27"/>
    <w:qFormat/>
    <w:uiPriority w:val="0"/>
    <w:rPr>
      <w:rFonts w:hint="default" w:ascii="Calibri" w:hAnsi="Calibri" w:eastAsia="宋体" w:cs="Times New Roman"/>
      <w:b/>
      <w:bCs/>
      <w:kern w:val="2"/>
      <w:sz w:val="24"/>
      <w:szCs w:val="32"/>
    </w:rPr>
  </w:style>
  <w:style w:type="character" w:customStyle="1" w:styleId="847">
    <w:name w:val="ca-351"/>
    <w:qFormat/>
    <w:uiPriority w:val="0"/>
    <w:rPr>
      <w:rFonts w:hint="default" w:ascii="Times New Roman" w:hAnsi="Times New Roman" w:cs="Times New Roman"/>
      <w:sz w:val="10"/>
      <w:szCs w:val="10"/>
    </w:rPr>
  </w:style>
  <w:style w:type="character" w:customStyle="1" w:styleId="848">
    <w:name w:val="ca-131"/>
    <w:qFormat/>
    <w:uiPriority w:val="0"/>
    <w:rPr>
      <w:rFonts w:hint="eastAsia" w:ascii="宋体" w:hAnsi="宋体" w:eastAsia="宋体"/>
      <w:color w:val="000000"/>
      <w:sz w:val="32"/>
      <w:szCs w:val="32"/>
    </w:rPr>
  </w:style>
  <w:style w:type="character" w:customStyle="1" w:styleId="849">
    <w:name w:val="页眉 Char1"/>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qFormat/>
    <w:locked/>
    <w:uiPriority w:val="0"/>
    <w:rPr>
      <w:rFonts w:ascii="Cambria" w:hAnsi="Cambria" w:eastAsia="宋体" w:cs="Times New Roman"/>
      <w:b/>
      <w:bCs/>
      <w:sz w:val="32"/>
      <w:szCs w:val="32"/>
    </w:rPr>
  </w:style>
  <w:style w:type="character" w:customStyle="1" w:styleId="852">
    <w:name w:val="手改 Char Char2"/>
    <w:qFormat/>
    <w:uiPriority w:val="0"/>
    <w:rPr>
      <w:rFonts w:hint="eastAsia" w:ascii="宋体" w:hAnsi="宋体" w:eastAsia="宋体"/>
      <w:kern w:val="2"/>
      <w:sz w:val="21"/>
      <w:szCs w:val="24"/>
      <w:lang w:val="en-US" w:eastAsia="zh-CN" w:bidi="ar-SA"/>
    </w:rPr>
  </w:style>
  <w:style w:type="character" w:customStyle="1" w:styleId="853">
    <w:name w:val="Char Char31"/>
    <w:qFormat/>
    <w:uiPriority w:val="0"/>
    <w:rPr>
      <w:rFonts w:hint="default" w:ascii="Arial" w:hAnsi="Arial" w:eastAsia="宋体" w:cs="Arial"/>
      <w:b/>
      <w:bCs/>
      <w:kern w:val="2"/>
      <w:sz w:val="21"/>
      <w:szCs w:val="32"/>
      <w:lang w:val="en-US" w:eastAsia="zh-CN" w:bidi="ar-SA"/>
    </w:rPr>
  </w:style>
  <w:style w:type="character" w:customStyle="1" w:styleId="854">
    <w:name w:val="样式1 Char"/>
    <w:qFormat/>
    <w:uiPriority w:val="0"/>
    <w:rPr>
      <w:rFonts w:hint="eastAsia" w:ascii="宋体" w:hAnsi="宋体" w:eastAsia="宋体"/>
      <w:kern w:val="2"/>
      <w:sz w:val="24"/>
      <w:szCs w:val="24"/>
      <w:lang w:val="en-US" w:eastAsia="zh-CN" w:bidi="ar-SA"/>
    </w:rPr>
  </w:style>
  <w:style w:type="character" w:customStyle="1" w:styleId="855">
    <w:name w:val="ca-281"/>
    <w:qFormat/>
    <w:uiPriority w:val="0"/>
    <w:rPr>
      <w:rFonts w:hint="eastAsia" w:ascii="宋体" w:hAnsi="宋体" w:eastAsia="宋体"/>
      <w:color w:val="FF0000"/>
      <w:sz w:val="21"/>
      <w:szCs w:val="21"/>
    </w:rPr>
  </w:style>
  <w:style w:type="character" w:customStyle="1" w:styleId="856">
    <w:name w:val="ca-521"/>
    <w:qFormat/>
    <w:uiPriority w:val="0"/>
    <w:rPr>
      <w:rFonts w:hint="eastAsia" w:ascii="宋体" w:hAnsi="宋体" w:eastAsia="宋体"/>
      <w:b/>
      <w:bCs/>
      <w:spacing w:val="-20"/>
      <w:sz w:val="36"/>
      <w:szCs w:val="36"/>
    </w:rPr>
  </w:style>
  <w:style w:type="character" w:customStyle="1" w:styleId="857">
    <w:name w:val="CPara- Char Char"/>
    <w:qFormat/>
    <w:uiPriority w:val="0"/>
    <w:rPr>
      <w:rFonts w:hint="eastAsia" w:ascii="宋体" w:hAnsi="宋体" w:eastAsia="宋体"/>
      <w:lang w:val="en-US" w:eastAsia="en-US" w:bidi="ar-SA"/>
    </w:rPr>
  </w:style>
  <w:style w:type="character" w:customStyle="1" w:styleId="858">
    <w:name w:val="ca-491"/>
    <w:qFormat/>
    <w:uiPriority w:val="0"/>
    <w:rPr>
      <w:rFonts w:hint="eastAsia" w:ascii="宋体" w:hAnsi="宋体" w:eastAsia="宋体"/>
      <w:spacing w:val="0"/>
      <w:sz w:val="32"/>
      <w:szCs w:val="32"/>
    </w:rPr>
  </w:style>
  <w:style w:type="character" w:customStyle="1" w:styleId="859">
    <w:name w:val="ca-431"/>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61">
    <w:name w:val="Char Char29"/>
    <w:qFormat/>
    <w:uiPriority w:val="0"/>
    <w:rPr>
      <w:rFonts w:hint="eastAsia" w:ascii="宋体" w:hAnsi="宋体" w:eastAsia="宋体"/>
      <w:b/>
      <w:bCs/>
      <w:kern w:val="44"/>
      <w:sz w:val="44"/>
      <w:szCs w:val="44"/>
      <w:lang w:val="en-US" w:eastAsia="zh-CN" w:bidi="ar-SA"/>
    </w:rPr>
  </w:style>
  <w:style w:type="character" w:customStyle="1" w:styleId="862">
    <w:name w:val="批注框文本 Char1"/>
    <w:qFormat/>
    <w:uiPriority w:val="0"/>
    <w:rPr>
      <w:kern w:val="2"/>
      <w:sz w:val="18"/>
      <w:szCs w:val="18"/>
    </w:rPr>
  </w:style>
  <w:style w:type="character" w:customStyle="1" w:styleId="863">
    <w:name w:val="ca-111"/>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qFormat/>
    <w:locked/>
    <w:uiPriority w:val="0"/>
    <w:rPr>
      <w:rFonts w:ascii="Times New Roman" w:hAnsi="Times New Roman" w:eastAsia="宋体" w:cs="Times New Roman"/>
      <w:b/>
      <w:bCs/>
      <w:kern w:val="44"/>
      <w:sz w:val="32"/>
      <w:szCs w:val="44"/>
    </w:rPr>
  </w:style>
  <w:style w:type="character" w:customStyle="1" w:styleId="866">
    <w:name w:val="手改 Char Char1"/>
    <w:qFormat/>
    <w:uiPriority w:val="0"/>
    <w:rPr>
      <w:rFonts w:hint="eastAsia" w:ascii="宋体" w:hAnsi="宋体" w:eastAsia="宋体"/>
      <w:kern w:val="2"/>
      <w:sz w:val="21"/>
      <w:szCs w:val="24"/>
      <w:lang w:val="en-US" w:eastAsia="zh-CN" w:bidi="ar-SA"/>
    </w:rPr>
  </w:style>
  <w:style w:type="character" w:customStyle="1" w:styleId="867">
    <w:name w:val="标题 8 Char"/>
    <w:qFormat/>
    <w:uiPriority w:val="0"/>
    <w:rPr>
      <w:rFonts w:hint="default" w:ascii="Cambria" w:hAnsi="Cambria" w:eastAsia="宋体" w:cs="Times New Roman"/>
      <w:kern w:val="2"/>
      <w:sz w:val="24"/>
      <w:szCs w:val="24"/>
    </w:rPr>
  </w:style>
  <w:style w:type="character" w:customStyle="1" w:styleId="868">
    <w:name w:val="ca-151"/>
    <w:qFormat/>
    <w:uiPriority w:val="0"/>
    <w:rPr>
      <w:rFonts w:hint="eastAsia" w:ascii="宋体" w:hAnsi="宋体" w:eastAsia="宋体"/>
      <w:caps/>
      <w:color w:val="000000"/>
      <w:sz w:val="24"/>
      <w:szCs w:val="24"/>
    </w:rPr>
  </w:style>
  <w:style w:type="character" w:customStyle="1" w:styleId="869">
    <w:name w:val="ca-291"/>
    <w:qFormat/>
    <w:uiPriority w:val="0"/>
    <w:rPr>
      <w:rFonts w:hint="eastAsia" w:ascii="宋体" w:hAnsi="宋体" w:eastAsia="宋体"/>
      <w:color w:val="7030A0"/>
      <w:sz w:val="21"/>
      <w:szCs w:val="21"/>
    </w:rPr>
  </w:style>
  <w:style w:type="character" w:customStyle="1" w:styleId="870">
    <w:name w:val="ca-371"/>
    <w:qFormat/>
    <w:uiPriority w:val="0"/>
    <w:rPr>
      <w:rFonts w:hint="eastAsia" w:ascii="宋体" w:hAnsi="宋体" w:eastAsia="宋体"/>
      <w:color w:val="000000"/>
      <w:spacing w:val="0"/>
      <w:sz w:val="21"/>
      <w:szCs w:val="21"/>
    </w:rPr>
  </w:style>
  <w:style w:type="character" w:customStyle="1" w:styleId="871">
    <w:name w:val="标题 9 Char1"/>
    <w:qFormat/>
    <w:uiPriority w:val="0"/>
    <w:rPr>
      <w:rFonts w:hint="default" w:ascii="Arial" w:hAnsi="Arial" w:eastAsia="黑体" w:cs="Arial"/>
      <w:kern w:val="2"/>
      <w:sz w:val="21"/>
      <w:szCs w:val="22"/>
      <w:lang w:val="en-US" w:eastAsia="zh-CN" w:bidi="ar-SA"/>
    </w:rPr>
  </w:style>
  <w:style w:type="character" w:customStyle="1" w:styleId="872">
    <w:name w:val="正文首行缩进 Char"/>
    <w:qFormat/>
    <w:uiPriority w:val="0"/>
    <w:rPr>
      <w:kern w:val="2"/>
      <w:sz w:val="21"/>
      <w:szCs w:val="24"/>
    </w:rPr>
  </w:style>
  <w:style w:type="character" w:customStyle="1" w:styleId="873">
    <w:name w:val="ca-141"/>
    <w:qFormat/>
    <w:uiPriority w:val="0"/>
    <w:rPr>
      <w:rFonts w:hint="default" w:ascii="Times New Roman" w:hAnsi="Times New Roman" w:cs="Times New Roman"/>
      <w:color w:val="000000"/>
      <w:sz w:val="24"/>
      <w:szCs w:val="24"/>
    </w:rPr>
  </w:style>
  <w:style w:type="character" w:customStyle="1" w:styleId="874">
    <w:name w:val="批注主题 Char2"/>
    <w:qFormat/>
    <w:uiPriority w:val="0"/>
    <w:rPr>
      <w:rFonts w:hint="eastAsia" w:ascii="宋体" w:hAnsi="宋体" w:eastAsia="宋体"/>
      <w:b/>
      <w:bCs/>
      <w:kern w:val="2"/>
      <w:sz w:val="21"/>
      <w:lang w:val="en-US" w:eastAsia="zh-CN" w:bidi="ar-SA"/>
    </w:rPr>
  </w:style>
  <w:style w:type="character" w:customStyle="1" w:styleId="875">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6">
    <w:name w:val="ca-391"/>
    <w:qFormat/>
    <w:uiPriority w:val="0"/>
    <w:rPr>
      <w:rFonts w:hint="eastAsia" w:ascii="宋体" w:hAnsi="宋体" w:eastAsia="宋体"/>
      <w:b/>
      <w:bCs/>
      <w:color w:val="000000"/>
      <w:spacing w:val="-20"/>
      <w:sz w:val="28"/>
      <w:szCs w:val="28"/>
    </w:rPr>
  </w:style>
  <w:style w:type="character" w:customStyle="1" w:styleId="877">
    <w:name w:val="不明显参考111"/>
    <w:qFormat/>
    <w:uiPriority w:val="0"/>
    <w:rPr>
      <w:smallCaps/>
      <w:color w:val="C0504D"/>
      <w:u w:val="single"/>
    </w:rPr>
  </w:style>
  <w:style w:type="character" w:customStyle="1" w:styleId="878">
    <w:name w:val="批注主题 Char Char"/>
    <w:qFormat/>
    <w:uiPriority w:val="0"/>
    <w:rPr>
      <w:rFonts w:hint="default" w:ascii="Times New Roman" w:hAnsi="Times New Roman" w:eastAsia="宋体" w:cs="Times New Roman"/>
      <w:b/>
      <w:bCs/>
      <w:kern w:val="2"/>
      <w:sz w:val="21"/>
      <w:szCs w:val="24"/>
    </w:rPr>
  </w:style>
  <w:style w:type="character" w:customStyle="1" w:styleId="879">
    <w:name w:val="by jerry Char"/>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81">
    <w:name w:val="样式 正文文本 Char"/>
    <w:qFormat/>
    <w:locked/>
    <w:uiPriority w:val="0"/>
    <w:rPr>
      <w:rFonts w:hint="default" w:ascii="Arial" w:hAnsi="Arial" w:eastAsia="宋体" w:cs="宋体"/>
      <w:color w:val="000000"/>
    </w:rPr>
  </w:style>
  <w:style w:type="character" w:customStyle="1" w:styleId="882">
    <w:name w:val="内文 Char"/>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qFormat/>
    <w:locked/>
    <w:uiPriority w:val="0"/>
    <w:rPr>
      <w:i/>
      <w:sz w:val="21"/>
    </w:rPr>
  </w:style>
  <w:style w:type="character" w:customStyle="1" w:styleId="884">
    <w:name w:val="引用 Char2"/>
    <w:qFormat/>
    <w:uiPriority w:val="0"/>
    <w:rPr>
      <w:rFonts w:hint="default" w:ascii="Times New Roman" w:hAnsi="Times New Roman" w:cs="Times New Roman"/>
      <w:i/>
      <w:iCs/>
      <w:color w:val="000000"/>
      <w:kern w:val="2"/>
      <w:sz w:val="21"/>
      <w:szCs w:val="24"/>
    </w:rPr>
  </w:style>
  <w:style w:type="character" w:customStyle="1" w:styleId="885">
    <w:name w:val="font91"/>
    <w:qFormat/>
    <w:uiPriority w:val="0"/>
    <w:rPr>
      <w:rFonts w:hint="eastAsia" w:ascii="宋体" w:hAnsi="宋体" w:eastAsia="宋体"/>
      <w:color w:val="000000"/>
      <w:sz w:val="18"/>
      <w:szCs w:val="18"/>
      <w:u w:val="none"/>
    </w:rPr>
  </w:style>
  <w:style w:type="character" w:customStyle="1" w:styleId="886">
    <w:name w:val="font81"/>
    <w:qFormat/>
    <w:uiPriority w:val="0"/>
    <w:rPr>
      <w:rFonts w:hint="default" w:ascii="Arial" w:hAnsi="Arial" w:cs="Arial"/>
      <w:color w:val="000000"/>
      <w:sz w:val="18"/>
      <w:szCs w:val="18"/>
      <w:u w:val="none"/>
    </w:rPr>
  </w:style>
  <w:style w:type="character" w:customStyle="1" w:styleId="887">
    <w:name w:val="font101"/>
    <w:qFormat/>
    <w:uiPriority w:val="0"/>
    <w:rPr>
      <w:rFonts w:hint="default" w:ascii="Arial" w:hAnsi="Arial" w:cs="Arial"/>
      <w:color w:val="000000"/>
      <w:sz w:val="20"/>
      <w:szCs w:val="20"/>
      <w:u w:val="none"/>
    </w:rPr>
  </w:style>
  <w:style w:type="character" w:customStyle="1" w:styleId="888">
    <w:name w:val="font31"/>
    <w:qFormat/>
    <w:uiPriority w:val="0"/>
    <w:rPr>
      <w:rFonts w:hint="eastAsia" w:ascii="宋体" w:hAnsi="宋体" w:eastAsia="宋体"/>
      <w:color w:val="000000"/>
      <w:sz w:val="20"/>
      <w:szCs w:val="20"/>
      <w:u w:val="none"/>
    </w:rPr>
  </w:style>
  <w:style w:type="character" w:customStyle="1" w:styleId="889">
    <w:name w:val="Heading 6 Char"/>
    <w:qFormat/>
    <w:locked/>
    <w:uiPriority w:val="0"/>
    <w:rPr>
      <w:rFonts w:hint="default" w:ascii="Arial" w:hAnsi="Arial" w:eastAsia="黑体" w:cs="Arial"/>
      <w:b/>
      <w:bCs/>
      <w:sz w:val="24"/>
      <w:szCs w:val="24"/>
      <w:lang w:val="en-US" w:eastAsia="zh-CN" w:bidi="ar-SA"/>
    </w:rPr>
  </w:style>
  <w:style w:type="character" w:customStyle="1" w:styleId="890">
    <w:name w:val="正文2 Char"/>
    <w:qFormat/>
    <w:uiPriority w:val="0"/>
    <w:rPr>
      <w:rFonts w:hint="eastAsia" w:ascii="宋体" w:hAnsi="宋体" w:eastAsia="宋体"/>
      <w:kern w:val="2"/>
      <w:sz w:val="24"/>
      <w:lang w:val="en-US" w:eastAsia="zh-CN" w:bidi="ar-SA"/>
    </w:rPr>
  </w:style>
  <w:style w:type="character" w:customStyle="1" w:styleId="891">
    <w:name w:val="Heading 4 Char"/>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qFormat/>
    <w:uiPriority w:val="0"/>
    <w:rPr>
      <w:rFonts w:hint="default" w:ascii="Cambria" w:hAnsi="Cambria" w:cs="Times New Roman"/>
      <w:b/>
      <w:bCs/>
      <w:kern w:val="28"/>
      <w:sz w:val="32"/>
      <w:szCs w:val="32"/>
    </w:rPr>
  </w:style>
  <w:style w:type="character" w:customStyle="1" w:styleId="893">
    <w:name w:val="Comment Subject Char"/>
    <w:qFormat/>
    <w:locked/>
    <w:uiPriority w:val="0"/>
    <w:rPr>
      <w:rFonts w:hint="eastAsia" w:ascii="宋体" w:hAnsi="宋体" w:eastAsia="宋体"/>
      <w:b/>
      <w:bCs/>
      <w:kern w:val="2"/>
      <w:sz w:val="21"/>
      <w:szCs w:val="24"/>
      <w:lang w:val="en-US" w:eastAsia="zh-CN" w:bidi="ar-SA"/>
    </w:rPr>
  </w:style>
  <w:style w:type="character" w:customStyle="1" w:styleId="894">
    <w:name w:val="Heading 3 - old Char"/>
    <w:qFormat/>
    <w:uiPriority w:val="0"/>
    <w:rPr>
      <w:rFonts w:hint="eastAsia" w:ascii="宋体" w:hAnsi="宋体" w:eastAsia="宋体"/>
      <w:b/>
      <w:bCs/>
      <w:kern w:val="2"/>
      <w:sz w:val="21"/>
      <w:szCs w:val="32"/>
      <w:lang w:val="en-US" w:eastAsia="zh-CN" w:bidi="ar-SA"/>
    </w:rPr>
  </w:style>
  <w:style w:type="character" w:customStyle="1" w:styleId="895">
    <w:name w:val="Heading 3 Char"/>
    <w:qFormat/>
    <w:locked/>
    <w:uiPriority w:val="0"/>
    <w:rPr>
      <w:rFonts w:hint="eastAsia" w:ascii="宋体" w:hAnsi="宋体" w:eastAsia="宋体"/>
      <w:b/>
      <w:bCs/>
      <w:kern w:val="2"/>
      <w:sz w:val="32"/>
      <w:szCs w:val="32"/>
      <w:lang w:val="en-US" w:eastAsia="zh-CN" w:bidi="ar-SA"/>
    </w:rPr>
  </w:style>
  <w:style w:type="character" w:customStyle="1" w:styleId="896">
    <w:name w:val="Char Char"/>
    <w:qFormat/>
    <w:uiPriority w:val="0"/>
    <w:rPr>
      <w:rFonts w:hint="default" w:ascii="Arial" w:hAnsi="Arial" w:eastAsia="黑体" w:cs="Arial"/>
      <w:b/>
      <w:bCs/>
      <w:kern w:val="2"/>
      <w:sz w:val="32"/>
      <w:szCs w:val="32"/>
      <w:lang w:val="en-US" w:eastAsia="zh-CN" w:bidi="ar-SA"/>
    </w:rPr>
  </w:style>
  <w:style w:type="character" w:customStyle="1" w:styleId="897">
    <w:name w:val="Body Text Char"/>
    <w:qFormat/>
    <w:locked/>
    <w:uiPriority w:val="0"/>
    <w:rPr>
      <w:rFonts w:hint="eastAsia" w:ascii="宋体" w:hAnsi="宋体" w:eastAsia="宋体"/>
      <w:kern w:val="2"/>
      <w:sz w:val="21"/>
      <w:szCs w:val="24"/>
      <w:lang w:val="en-US" w:eastAsia="zh-CN" w:bidi="ar-SA"/>
    </w:rPr>
  </w:style>
  <w:style w:type="character" w:customStyle="1" w:styleId="898">
    <w:name w:val="正文文字4 Char Char1"/>
    <w:qFormat/>
    <w:uiPriority w:val="0"/>
    <w:rPr>
      <w:rFonts w:hint="eastAsia" w:ascii="宋体" w:hAnsi="宋体" w:eastAsia="宋体"/>
      <w:kern w:val="2"/>
      <w:sz w:val="24"/>
      <w:szCs w:val="24"/>
      <w:lang w:val="en-US" w:eastAsia="zh-CN" w:bidi="ar-SA"/>
    </w:rPr>
  </w:style>
  <w:style w:type="character" w:customStyle="1" w:styleId="899">
    <w:name w:val="country-name"/>
    <w:qFormat/>
    <w:uiPriority w:val="0"/>
  </w:style>
  <w:style w:type="character" w:customStyle="1" w:styleId="900">
    <w:name w:val="Title Char"/>
    <w:qFormat/>
    <w:locked/>
    <w:uiPriority w:val="0"/>
    <w:rPr>
      <w:rFonts w:hint="default" w:ascii="Arial" w:hAnsi="Arial" w:eastAsia="宋体" w:cs="Arial"/>
      <w:b/>
      <w:sz w:val="32"/>
      <w:lang w:val="en-US" w:eastAsia="zh-CN" w:bidi="ar-SA"/>
    </w:rPr>
  </w:style>
  <w:style w:type="character" w:customStyle="1" w:styleId="901">
    <w:name w:val="Heading 8 Char"/>
    <w:qFormat/>
    <w:locked/>
    <w:uiPriority w:val="0"/>
    <w:rPr>
      <w:rFonts w:hint="default" w:ascii="Arial" w:hAnsi="Arial" w:eastAsia="黑体" w:cs="Arial"/>
      <w:sz w:val="24"/>
      <w:szCs w:val="24"/>
      <w:lang w:val="en-US" w:eastAsia="zh-CN" w:bidi="ar-SA"/>
    </w:rPr>
  </w:style>
  <w:style w:type="character" w:customStyle="1" w:styleId="902">
    <w:name w:val="Balloon Text Char"/>
    <w:qFormat/>
    <w:locked/>
    <w:uiPriority w:val="0"/>
    <w:rPr>
      <w:rFonts w:hint="eastAsia" w:ascii="宋体" w:hAnsi="宋体" w:eastAsia="宋体"/>
      <w:kern w:val="2"/>
      <w:sz w:val="18"/>
      <w:szCs w:val="18"/>
      <w:lang w:val="en-US" w:eastAsia="zh-CN" w:bidi="ar-SA"/>
    </w:rPr>
  </w:style>
  <w:style w:type="character" w:customStyle="1" w:styleId="903">
    <w:name w:val="手改 Char Char"/>
    <w:qFormat/>
    <w:uiPriority w:val="0"/>
    <w:rPr>
      <w:rFonts w:hint="eastAsia" w:ascii="宋体" w:hAnsi="宋体" w:eastAsia="宋体"/>
      <w:kern w:val="2"/>
      <w:sz w:val="21"/>
      <w:szCs w:val="24"/>
      <w:lang w:val="en-US" w:eastAsia="zh-CN" w:bidi="ar-SA"/>
    </w:rPr>
  </w:style>
  <w:style w:type="character" w:customStyle="1" w:styleId="904">
    <w:name w:val="Para head"/>
    <w:qFormat/>
    <w:uiPriority w:val="0"/>
    <w:rPr>
      <w:rFonts w:hint="default" w:ascii="Arial" w:hAnsi="Arial" w:eastAsia="Times New Roman" w:cs="Arial"/>
      <w:sz w:val="20"/>
    </w:rPr>
  </w:style>
  <w:style w:type="character" w:customStyle="1" w:styleId="905">
    <w:name w:val="正文文字4 Char Char2"/>
    <w:qFormat/>
    <w:uiPriority w:val="0"/>
    <w:rPr>
      <w:rFonts w:hint="eastAsia" w:ascii="宋体" w:hAnsi="宋体" w:eastAsia="宋体"/>
      <w:kern w:val="2"/>
      <w:sz w:val="24"/>
      <w:szCs w:val="24"/>
      <w:lang w:val="en-US" w:eastAsia="zh-CN" w:bidi="ar-SA"/>
    </w:rPr>
  </w:style>
  <w:style w:type="character" w:customStyle="1" w:styleId="906">
    <w:name w:val="Char Char7"/>
    <w:qFormat/>
    <w:uiPriority w:val="0"/>
    <w:rPr>
      <w:rFonts w:hint="default" w:ascii="Arial" w:hAnsi="Arial" w:eastAsia="黑体" w:cs="Arial"/>
      <w:b/>
      <w:bCs/>
      <w:kern w:val="2"/>
      <w:sz w:val="32"/>
      <w:szCs w:val="32"/>
      <w:lang w:val="en-US" w:eastAsia="zh-CN" w:bidi="ar-SA"/>
    </w:rPr>
  </w:style>
  <w:style w:type="character" w:customStyle="1" w:styleId="907">
    <w:name w:val="署名 Char2"/>
    <w:qFormat/>
    <w:uiPriority w:val="0"/>
    <w:rPr>
      <w:rFonts w:hint="eastAsia" w:ascii="宋体" w:hAnsi="宋体" w:eastAsia="宋体"/>
      <w:snapToGrid w:val="0"/>
      <w:color w:val="000000"/>
      <w:kern w:val="28"/>
      <w:sz w:val="28"/>
      <w:lang w:val="en-US" w:eastAsia="zh-CN" w:bidi="ar-SA"/>
    </w:rPr>
  </w:style>
  <w:style w:type="character" w:customStyle="1" w:styleId="908">
    <w:name w:val="Char Char2"/>
    <w:qFormat/>
    <w:uiPriority w:val="0"/>
    <w:rPr>
      <w:rFonts w:hint="eastAsia" w:ascii="宋体" w:hAnsi="宋体" w:eastAsia="宋体"/>
      <w:kern w:val="2"/>
      <w:sz w:val="21"/>
      <w:szCs w:val="24"/>
      <w:lang w:val="en-US" w:eastAsia="zh-CN" w:bidi="ar-SA"/>
    </w:rPr>
  </w:style>
  <w:style w:type="character" w:customStyle="1" w:styleId="909">
    <w:name w:val="Char Char1"/>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qFormat/>
    <w:uiPriority w:val="0"/>
    <w:rPr>
      <w:rFonts w:hint="eastAsia" w:ascii="宋体" w:hAnsi="宋体" w:eastAsia="宋体"/>
      <w:kern w:val="2"/>
      <w:sz w:val="21"/>
      <w:szCs w:val="24"/>
      <w:lang w:val="en-US" w:eastAsia="zh-CN" w:bidi="ar-SA"/>
    </w:rPr>
  </w:style>
  <w:style w:type="character" w:customStyle="1" w:styleId="911">
    <w:name w:val="个人撰写风格"/>
    <w:qFormat/>
    <w:uiPriority w:val="0"/>
    <w:rPr>
      <w:rFonts w:hint="default" w:ascii="Arial" w:hAnsi="Arial" w:eastAsia="宋体" w:cs="Arial"/>
      <w:color w:val="auto"/>
      <w:sz w:val="20"/>
    </w:rPr>
  </w:style>
  <w:style w:type="character" w:customStyle="1" w:styleId="912">
    <w:name w:val="Header Char"/>
    <w:qFormat/>
    <w:locked/>
    <w:uiPriority w:val="0"/>
    <w:rPr>
      <w:rFonts w:hint="eastAsia" w:ascii="宋体" w:hAnsi="宋体" w:eastAsia="宋体"/>
      <w:kern w:val="2"/>
      <w:sz w:val="18"/>
      <w:szCs w:val="18"/>
      <w:lang w:val="en-US" w:eastAsia="zh-CN" w:bidi="ar-SA"/>
    </w:rPr>
  </w:style>
  <w:style w:type="character" w:customStyle="1" w:styleId="913">
    <w:name w:val="locality"/>
    <w:qFormat/>
    <w:uiPriority w:val="0"/>
  </w:style>
  <w:style w:type="character" w:customStyle="1" w:styleId="914">
    <w:name w:val="text"/>
    <w:qFormat/>
    <w:uiPriority w:val="0"/>
  </w:style>
  <w:style w:type="character" w:customStyle="1" w:styleId="915">
    <w:name w:val="Char Char9"/>
    <w:qFormat/>
    <w:uiPriority w:val="0"/>
    <w:rPr>
      <w:rFonts w:hint="eastAsia" w:ascii="宋体" w:hAnsi="宋体" w:eastAsia="宋体"/>
      <w:color w:val="000000"/>
      <w:kern w:val="2"/>
      <w:sz w:val="24"/>
      <w:lang w:val="en-US" w:eastAsia="zh-CN" w:bidi="ar-SA"/>
    </w:rPr>
  </w:style>
  <w:style w:type="character" w:customStyle="1" w:styleId="916">
    <w:name w:val="正文文本缩进 2 Char1"/>
    <w:qFormat/>
    <w:uiPriority w:val="0"/>
    <w:rPr>
      <w:rFonts w:hint="eastAsia" w:ascii="宋体" w:hAnsi="宋体" w:eastAsia="宋体"/>
      <w:szCs w:val="24"/>
    </w:rPr>
  </w:style>
  <w:style w:type="character" w:customStyle="1" w:styleId="917">
    <w:name w:val="标题 Char3"/>
    <w:qFormat/>
    <w:uiPriority w:val="0"/>
    <w:rPr>
      <w:rFonts w:hint="default" w:ascii="Cambria" w:hAnsi="Cambria" w:eastAsia="宋体" w:cs="Times New Roman"/>
      <w:b/>
      <w:bCs/>
      <w:sz w:val="32"/>
      <w:szCs w:val="32"/>
    </w:rPr>
  </w:style>
  <w:style w:type="character" w:customStyle="1" w:styleId="918">
    <w:name w:val="bookmark-item"/>
    <w:qFormat/>
    <w:uiPriority w:val="0"/>
  </w:style>
  <w:style w:type="character" w:customStyle="1" w:styleId="919">
    <w:name w:val="正文首行缩进 Char1"/>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21">
    <w:name w:val="2nd level Char"/>
    <w:qFormat/>
    <w:uiPriority w:val="0"/>
    <w:rPr>
      <w:rFonts w:hint="default" w:ascii="Arial" w:hAnsi="Arial" w:eastAsia="宋体" w:cs="Arial"/>
      <w:b/>
      <w:bCs/>
      <w:kern w:val="2"/>
      <w:sz w:val="24"/>
      <w:szCs w:val="32"/>
      <w:lang w:val="en-US" w:eastAsia="zh-CN" w:bidi="ar-SA"/>
    </w:rPr>
  </w:style>
  <w:style w:type="character" w:customStyle="1" w:styleId="922">
    <w:name w:val="明显引用 Char2"/>
    <w:qFormat/>
    <w:uiPriority w:val="0"/>
    <w:rPr>
      <w:rFonts w:hint="default" w:ascii="Times New Roman" w:hAnsi="Times New Roman" w:eastAsia="宋体" w:cs="Times New Roman"/>
      <w:b/>
      <w:bCs/>
      <w:i/>
      <w:iCs/>
      <w:color w:val="4F81BD"/>
      <w:szCs w:val="24"/>
    </w:rPr>
  </w:style>
  <w:style w:type="character" w:customStyle="1" w:styleId="923">
    <w:name w:val="页眉 Char2"/>
    <w:qFormat/>
    <w:uiPriority w:val="0"/>
    <w:rPr>
      <w:rFonts w:hint="eastAsia" w:ascii="宋体" w:hAnsi="宋体" w:eastAsia="宋体"/>
      <w:kern w:val="2"/>
      <w:sz w:val="18"/>
      <w:szCs w:val="18"/>
      <w:lang w:val="en-US" w:eastAsia="zh-CN" w:bidi="ar-SA"/>
    </w:rPr>
  </w:style>
  <w:style w:type="character" w:customStyle="1" w:styleId="924">
    <w:name w:val="Date Char"/>
    <w:qFormat/>
    <w:locked/>
    <w:uiPriority w:val="0"/>
    <w:rPr>
      <w:rFonts w:hint="eastAsia" w:ascii="宋体" w:hAnsi="宋体" w:eastAsia="宋体"/>
      <w:kern w:val="2"/>
      <w:sz w:val="24"/>
      <w:lang w:val="en-US" w:eastAsia="zh-CN" w:bidi="ar-SA"/>
    </w:rPr>
  </w:style>
  <w:style w:type="character" w:customStyle="1" w:styleId="925">
    <w:name w:val="Char Char121"/>
    <w:qFormat/>
    <w:uiPriority w:val="0"/>
    <w:rPr>
      <w:rFonts w:hint="default" w:ascii="Arial" w:hAnsi="Arial" w:eastAsia="宋体" w:cs="Arial"/>
      <w:b/>
      <w:sz w:val="32"/>
      <w:lang w:val="en-US" w:eastAsia="zh-CN" w:bidi="ar-SA"/>
    </w:rPr>
  </w:style>
  <w:style w:type="character" w:customStyle="1" w:styleId="926">
    <w:name w:val="Heading 5 Char"/>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8">
    <w:name w:val="日期 Char"/>
    <w:qFormat/>
    <w:uiPriority w:val="0"/>
    <w:rPr>
      <w:rFonts w:hint="eastAsia" w:ascii="宋体" w:hAnsi="宋体" w:eastAsia="宋体"/>
      <w:sz w:val="28"/>
      <w:lang w:bidi="ar-SA"/>
    </w:rPr>
  </w:style>
  <w:style w:type="character" w:customStyle="1" w:styleId="929">
    <w:name w:val="正文文本 Char"/>
    <w:qFormat/>
    <w:uiPriority w:val="0"/>
    <w:rPr>
      <w:lang w:bidi="ar-SA"/>
    </w:rPr>
  </w:style>
  <w:style w:type="character" w:customStyle="1" w:styleId="930">
    <w:name w:val="标题 6 Char"/>
    <w:qFormat/>
    <w:uiPriority w:val="0"/>
    <w:rPr>
      <w:rFonts w:hint="default" w:ascii="Cambria" w:hAnsi="Cambria" w:eastAsia="宋体"/>
      <w:b/>
      <w:bCs/>
      <w:kern w:val="2"/>
      <w:sz w:val="24"/>
      <w:szCs w:val="24"/>
      <w:lang w:val="en-US" w:eastAsia="zh-CN" w:bidi="ar-SA"/>
    </w:rPr>
  </w:style>
  <w:style w:type="character" w:customStyle="1" w:styleId="931">
    <w:name w:val="页脚 Char"/>
    <w:qFormat/>
    <w:uiPriority w:val="99"/>
    <w:rPr>
      <w:kern w:val="2"/>
      <w:sz w:val="18"/>
      <w:szCs w:val="18"/>
      <w:lang w:bidi="ar-SA"/>
    </w:rPr>
  </w:style>
  <w:style w:type="character" w:customStyle="1" w:styleId="932">
    <w:name w:val="批注框文本 Char"/>
    <w:qFormat/>
    <w:uiPriority w:val="0"/>
    <w:rPr>
      <w:rFonts w:hint="eastAsia" w:ascii="宋体" w:hAnsi="宋体" w:eastAsia="宋体"/>
      <w:sz w:val="18"/>
      <w:szCs w:val="18"/>
      <w:lang w:bidi="ar-SA"/>
    </w:rPr>
  </w:style>
  <w:style w:type="character" w:customStyle="1" w:styleId="933">
    <w:name w:val="标题 3 Char"/>
    <w:qFormat/>
    <w:uiPriority w:val="0"/>
    <w:rPr>
      <w:rFonts w:hint="default" w:ascii="Calibri" w:hAnsi="Calibri" w:eastAsia="宋体" w:cs="Calibri"/>
      <w:b/>
      <w:bCs/>
      <w:kern w:val="2"/>
      <w:sz w:val="32"/>
      <w:szCs w:val="32"/>
      <w:lang w:val="en-US" w:eastAsia="zh-CN" w:bidi="ar-SA"/>
    </w:rPr>
  </w:style>
  <w:style w:type="character" w:customStyle="1" w:styleId="934">
    <w:name w:val="日期 Char3"/>
    <w:qFormat/>
    <w:uiPriority w:val="0"/>
    <w:rPr>
      <w:rFonts w:hint="eastAsia" w:ascii="仿宋_GB2312" w:eastAsia="仿宋_GB2312"/>
      <w:kern w:val="2"/>
      <w:sz w:val="28"/>
      <w:lang w:val="en-US" w:eastAsia="zh-CN" w:bidi="ar-SA"/>
    </w:rPr>
  </w:style>
  <w:style w:type="character" w:customStyle="1" w:styleId="935">
    <w:name w:val="批注主题 Char3"/>
    <w:qFormat/>
    <w:uiPriority w:val="0"/>
    <w:rPr>
      <w:rFonts w:hint="eastAsia" w:ascii="宋体" w:hAnsi="宋体" w:eastAsia="宋体"/>
      <w:b/>
      <w:bCs/>
      <w:kern w:val="2"/>
      <w:sz w:val="21"/>
      <w:szCs w:val="24"/>
      <w:lang w:val="en-US" w:eastAsia="zh-CN" w:bidi="ar-SA"/>
    </w:rPr>
  </w:style>
  <w:style w:type="character" w:customStyle="1" w:styleId="936">
    <w:name w:val="chs1"/>
    <w:qFormat/>
    <w:uiPriority w:val="0"/>
    <w:rPr>
      <w:rFonts w:hint="default"/>
      <w:sz w:val="18"/>
      <w:szCs w:val="18"/>
    </w:rPr>
  </w:style>
  <w:style w:type="character" w:customStyle="1" w:styleId="937">
    <w:name w:val="个人答复风格"/>
    <w:qFormat/>
    <w:uiPriority w:val="0"/>
    <w:rPr>
      <w:rFonts w:hint="default" w:ascii="Arial" w:hAnsi="Arial" w:eastAsia="宋体" w:cs="Arial"/>
      <w:color w:val="auto"/>
      <w:sz w:val="20"/>
    </w:rPr>
  </w:style>
  <w:style w:type="character" w:customStyle="1" w:styleId="938">
    <w:name w:val="htd01"/>
    <w:qFormat/>
    <w:uiPriority w:val="0"/>
  </w:style>
  <w:style w:type="character" w:customStyle="1" w:styleId="939">
    <w:name w:val="标题 Char"/>
    <w:qFormat/>
    <w:uiPriority w:val="0"/>
    <w:rPr>
      <w:rFonts w:hint="default" w:ascii="Cambria" w:hAnsi="Cambria"/>
      <w:b/>
      <w:bCs/>
      <w:kern w:val="2"/>
      <w:sz w:val="32"/>
      <w:szCs w:val="32"/>
      <w:lang w:bidi="ar-SA"/>
    </w:rPr>
  </w:style>
  <w:style w:type="character" w:customStyle="1" w:styleId="940">
    <w:name w:val="标题 1 Char"/>
    <w:qFormat/>
    <w:uiPriority w:val="9"/>
    <w:rPr>
      <w:rFonts w:hint="default" w:ascii="Calibri" w:hAnsi="Calibri" w:eastAsia="宋体" w:cs="Calibri"/>
      <w:b/>
      <w:bCs/>
      <w:kern w:val="44"/>
      <w:sz w:val="44"/>
      <w:szCs w:val="44"/>
      <w:lang w:val="en-US" w:eastAsia="zh-CN" w:bidi="ar-SA"/>
    </w:rPr>
  </w:style>
  <w:style w:type="character" w:customStyle="1" w:styleId="941">
    <w:name w:val="页眉 Char"/>
    <w:qFormat/>
    <w:uiPriority w:val="99"/>
    <w:rPr>
      <w:kern w:val="2"/>
      <w:sz w:val="18"/>
      <w:szCs w:val="18"/>
      <w:lang w:bidi="ar-SA"/>
    </w:rPr>
  </w:style>
  <w:style w:type="character" w:customStyle="1" w:styleId="942">
    <w:name w:val="批注文字 Char"/>
    <w:qFormat/>
    <w:uiPriority w:val="0"/>
    <w:rPr>
      <w:rFonts w:hint="default" w:ascii="Calibri" w:hAnsi="Calibri" w:eastAsia="宋体" w:cs="Calibri"/>
      <w:kern w:val="2"/>
      <w:sz w:val="21"/>
      <w:szCs w:val="22"/>
      <w:lang w:val="en-US" w:eastAsia="zh-CN" w:bidi="ar-SA"/>
    </w:rPr>
  </w:style>
  <w:style w:type="character" w:customStyle="1" w:styleId="943">
    <w:name w:val="标题 4 Char"/>
    <w:qFormat/>
    <w:uiPriority w:val="0"/>
    <w:rPr>
      <w:rFonts w:hint="default" w:ascii="Cambria" w:hAnsi="Cambria" w:eastAsia="宋体"/>
      <w:b/>
      <w:bCs/>
      <w:kern w:val="2"/>
      <w:sz w:val="28"/>
      <w:szCs w:val="28"/>
      <w:lang w:val="en-US" w:eastAsia="zh-CN" w:bidi="ar-SA"/>
    </w:rPr>
  </w:style>
  <w:style w:type="character" w:customStyle="1" w:styleId="944">
    <w:name w:val="标题 5 Char"/>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qFormat/>
    <w:uiPriority w:val="0"/>
  </w:style>
  <w:style w:type="character" w:customStyle="1" w:styleId="946">
    <w:name w:val="by jerry Char2"/>
    <w:qFormat/>
    <w:uiPriority w:val="0"/>
    <w:rPr>
      <w:b/>
      <w:bCs/>
      <w:kern w:val="44"/>
      <w:sz w:val="44"/>
      <w:szCs w:val="44"/>
    </w:rPr>
  </w:style>
  <w:style w:type="character" w:customStyle="1" w:styleId="947">
    <w:name w:val="标题 9 Char"/>
    <w:qFormat/>
    <w:uiPriority w:val="0"/>
    <w:rPr>
      <w:rFonts w:hint="default" w:ascii="Cambria" w:hAnsi="Cambria" w:eastAsia="宋体"/>
      <w:kern w:val="2"/>
      <w:sz w:val="21"/>
      <w:szCs w:val="21"/>
      <w:lang w:val="en-US" w:eastAsia="zh-CN" w:bidi="ar-SA"/>
    </w:rPr>
  </w:style>
  <w:style w:type="character" w:customStyle="1" w:styleId="948">
    <w:name w:val="H4 Char"/>
    <w:qFormat/>
    <w:locked/>
    <w:uiPriority w:val="0"/>
    <w:rPr>
      <w:rFonts w:hint="default" w:ascii="Arial" w:hAnsi="Arial" w:eastAsia="黑体" w:cs="Arial"/>
      <w:b/>
      <w:bCs/>
      <w:kern w:val="2"/>
      <w:sz w:val="28"/>
      <w:szCs w:val="28"/>
      <w:lang w:val="zh-CN"/>
    </w:rPr>
  </w:style>
  <w:style w:type="character" w:customStyle="1" w:styleId="949">
    <w:name w:val="style13"/>
    <w:qFormat/>
    <w:uiPriority w:val="0"/>
  </w:style>
  <w:style w:type="character" w:customStyle="1" w:styleId="950">
    <w:name w:val="Char Char8"/>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qFormat/>
    <w:uiPriority w:val="0"/>
    <w:rPr>
      <w:rFonts w:hint="eastAsia" w:ascii="宋体" w:hAnsi="Courier New" w:eastAsia="宋体"/>
      <w:kern w:val="2"/>
      <w:sz w:val="21"/>
      <w:lang w:val="en-US" w:eastAsia="zh-CN" w:bidi="ar-SA"/>
    </w:rPr>
  </w:style>
  <w:style w:type="character" w:customStyle="1" w:styleId="952">
    <w:name w:val="Heading 9 Char"/>
    <w:qFormat/>
    <w:locked/>
    <w:uiPriority w:val="0"/>
    <w:rPr>
      <w:rFonts w:hint="default" w:ascii="Arial" w:hAnsi="Arial" w:eastAsia="黑体" w:cs="Arial"/>
      <w:sz w:val="21"/>
      <w:szCs w:val="21"/>
      <w:lang w:val="en-US" w:eastAsia="zh-CN" w:bidi="ar-SA"/>
    </w:rPr>
  </w:style>
  <w:style w:type="character" w:customStyle="1" w:styleId="953">
    <w:name w:val="Footer Char"/>
    <w:qFormat/>
    <w:locked/>
    <w:uiPriority w:val="0"/>
    <w:rPr>
      <w:rFonts w:hint="eastAsia" w:ascii="宋体" w:hAnsi="宋体" w:eastAsia="宋体"/>
      <w:kern w:val="2"/>
      <w:sz w:val="18"/>
      <w:szCs w:val="18"/>
      <w:lang w:val="en-US" w:eastAsia="zh-CN" w:bidi="ar-SA"/>
    </w:rPr>
  </w:style>
  <w:style w:type="character" w:customStyle="1" w:styleId="954">
    <w:name w:val="标题 Char2"/>
    <w:qFormat/>
    <w:uiPriority w:val="0"/>
    <w:rPr>
      <w:rFonts w:hint="default" w:ascii="Arial" w:hAnsi="Arial" w:eastAsia="宋体" w:cs="Arial"/>
      <w:b/>
      <w:sz w:val="32"/>
      <w:lang w:val="en-US" w:eastAsia="zh-CN" w:bidi="ar-SA"/>
    </w:rPr>
  </w:style>
  <w:style w:type="character" w:customStyle="1" w:styleId="955">
    <w:name w:val="引用 Char"/>
    <w:qFormat/>
    <w:uiPriority w:val="0"/>
    <w:rPr>
      <w:i/>
      <w:iCs/>
      <w:color w:val="000000"/>
      <w:kern w:val="2"/>
      <w:sz w:val="21"/>
      <w:szCs w:val="22"/>
      <w:lang w:bidi="ar-SA"/>
    </w:rPr>
  </w:style>
  <w:style w:type="character" w:customStyle="1" w:styleId="956">
    <w:name w:val="批注主题 Char"/>
    <w:qFormat/>
    <w:uiPriority w:val="0"/>
    <w:rPr>
      <w:rFonts w:hint="eastAsia" w:ascii="宋体" w:hAnsi="宋体" w:eastAsia="宋体"/>
      <w:b/>
      <w:bCs/>
      <w:sz w:val="28"/>
      <w:lang w:bidi="ar-SA"/>
    </w:rPr>
  </w:style>
  <w:style w:type="character" w:customStyle="1" w:styleId="957">
    <w:name w:val="street-address"/>
    <w:qFormat/>
    <w:uiPriority w:val="0"/>
  </w:style>
  <w:style w:type="character" w:customStyle="1" w:styleId="958">
    <w:name w:val="by jerry Char3"/>
    <w:qFormat/>
    <w:uiPriority w:val="0"/>
    <w:rPr>
      <w:b/>
      <w:bCs/>
      <w:kern w:val="44"/>
      <w:sz w:val="44"/>
      <w:szCs w:val="44"/>
    </w:rPr>
  </w:style>
  <w:style w:type="character" w:customStyle="1" w:styleId="959">
    <w:name w:val="Document Map Char"/>
    <w:qFormat/>
    <w:locked/>
    <w:uiPriority w:val="0"/>
    <w:rPr>
      <w:rFonts w:hint="eastAsia" w:ascii="宋体" w:hAnsi="宋体" w:eastAsia="宋体"/>
      <w:kern w:val="2"/>
      <w:sz w:val="21"/>
      <w:szCs w:val="24"/>
      <w:lang w:val="en-US" w:eastAsia="zh-CN" w:bidi="ar-SA"/>
    </w:rPr>
  </w:style>
  <w:style w:type="character" w:customStyle="1" w:styleId="960">
    <w:name w:val="Char Char12"/>
    <w:qFormat/>
    <w:uiPriority w:val="0"/>
    <w:rPr>
      <w:rFonts w:hint="default" w:ascii="Courier New" w:hAnsi="Courier New" w:eastAsia="宋体" w:cs="Courier New"/>
      <w:kern w:val="2"/>
      <w:sz w:val="21"/>
      <w:lang w:val="en-US" w:eastAsia="zh-CN" w:bidi="ar-SA"/>
    </w:rPr>
  </w:style>
  <w:style w:type="character" w:customStyle="1" w:styleId="961">
    <w:name w:val="Heading 7 Char"/>
    <w:qFormat/>
    <w:locked/>
    <w:uiPriority w:val="0"/>
    <w:rPr>
      <w:rFonts w:hint="eastAsia" w:ascii="宋体" w:hAnsi="宋体" w:eastAsia="宋体"/>
      <w:b/>
      <w:bCs/>
      <w:sz w:val="24"/>
      <w:szCs w:val="24"/>
      <w:lang w:val="en-US" w:eastAsia="zh-CN" w:bidi="ar-SA"/>
    </w:rPr>
  </w:style>
  <w:style w:type="character" w:customStyle="1" w:styleId="962">
    <w:name w:val="批注文字 Char2"/>
    <w:qFormat/>
    <w:uiPriority w:val="0"/>
    <w:rPr>
      <w:rFonts w:hint="eastAsia" w:ascii="宋体" w:hAnsi="宋体" w:eastAsia="宋体"/>
      <w:kern w:val="2"/>
      <w:sz w:val="21"/>
      <w:szCs w:val="24"/>
      <w:lang w:val="en-US" w:eastAsia="zh-CN" w:bidi="ar-SA"/>
    </w:rPr>
  </w:style>
  <w:style w:type="character" w:customStyle="1" w:styleId="963">
    <w:name w:val="正文文本缩进 Char1"/>
    <w:qFormat/>
    <w:uiPriority w:val="0"/>
    <w:rPr>
      <w:rFonts w:hint="eastAsia" w:ascii="宋体" w:hAnsi="Courier New" w:eastAsia="宋体" w:cs="Times New Roman"/>
      <w:spacing w:val="-4"/>
      <w:sz w:val="18"/>
      <w:szCs w:val="20"/>
    </w:rPr>
  </w:style>
  <w:style w:type="character" w:customStyle="1" w:styleId="964">
    <w:name w:val="font121"/>
    <w:qFormat/>
    <w:uiPriority w:val="0"/>
    <w:rPr>
      <w:rFonts w:hint="default" w:ascii="Times New Roman" w:hAnsi="Times New Roman" w:cs="Times New Roman"/>
      <w:color w:val="000000"/>
      <w:sz w:val="24"/>
      <w:szCs w:val="24"/>
      <w:u w:val="none"/>
    </w:rPr>
  </w:style>
  <w:style w:type="character" w:customStyle="1" w:styleId="965">
    <w:name w:val="Default Char"/>
    <w:qFormat/>
    <w:uiPriority w:val="0"/>
    <w:rPr>
      <w:rFonts w:hint="eastAsia" w:ascii="宋体" w:hAnsi="宋体" w:eastAsia="宋体"/>
      <w:color w:val="000000"/>
      <w:sz w:val="24"/>
      <w:szCs w:val="24"/>
      <w:lang w:val="en-US" w:eastAsia="zh-CN" w:bidi="ar-SA"/>
    </w:rPr>
  </w:style>
  <w:style w:type="character" w:customStyle="1" w:styleId="966">
    <w:name w:val="Char Char3"/>
    <w:qFormat/>
    <w:uiPriority w:val="0"/>
    <w:rPr>
      <w:rFonts w:hint="eastAsia" w:ascii="宋体" w:hAnsi="宋体" w:eastAsia="宋体"/>
      <w:kern w:val="2"/>
      <w:sz w:val="18"/>
      <w:szCs w:val="18"/>
      <w:lang w:val="en-US" w:eastAsia="zh-CN" w:bidi="ar-SA"/>
    </w:rPr>
  </w:style>
  <w:style w:type="character" w:customStyle="1" w:styleId="967">
    <w:name w:val="Char Char5"/>
    <w:qFormat/>
    <w:uiPriority w:val="0"/>
    <w:rPr>
      <w:rFonts w:hint="eastAsia" w:ascii="宋体" w:hAnsi="宋体" w:eastAsia="宋体"/>
      <w:sz w:val="28"/>
      <w:szCs w:val="28"/>
      <w:lang w:bidi="ar-SA"/>
    </w:rPr>
  </w:style>
  <w:style w:type="character" w:customStyle="1" w:styleId="968">
    <w:name w:val="内文正文 Char Char"/>
    <w:qFormat/>
    <w:uiPriority w:val="0"/>
    <w:rPr>
      <w:rFonts w:hint="eastAsia" w:ascii="宋体" w:hAnsi="???|CS?o｡ﾀ?" w:eastAsia="宋体"/>
      <w:sz w:val="21"/>
      <w:szCs w:val="28"/>
      <w:lang w:val="en-US" w:eastAsia="zh-CN" w:bidi="ar-SA"/>
    </w:rPr>
  </w:style>
  <w:style w:type="character" w:customStyle="1" w:styleId="969">
    <w:name w:val="Char Char18"/>
    <w:qFormat/>
    <w:uiPriority w:val="0"/>
    <w:rPr>
      <w:rFonts w:hint="default" w:ascii="Calibri" w:hAnsi="Calibri" w:cs="Calibri"/>
      <w:b/>
      <w:bCs/>
      <w:kern w:val="2"/>
      <w:sz w:val="28"/>
      <w:szCs w:val="28"/>
    </w:rPr>
  </w:style>
  <w:style w:type="character" w:customStyle="1" w:styleId="970">
    <w:name w:val="_Style 196"/>
    <w:qFormat/>
    <w:uiPriority w:val="0"/>
    <w:rPr>
      <w:b/>
      <w:bCs/>
      <w:smallCaps/>
      <w:color w:val="C0504D"/>
      <w:spacing w:val="5"/>
      <w:u w:val="single"/>
    </w:rPr>
  </w:style>
  <w:style w:type="character" w:customStyle="1" w:styleId="971">
    <w:name w:val="Char Char10"/>
    <w:qFormat/>
    <w:uiPriority w:val="0"/>
    <w:rPr>
      <w:rFonts w:hint="default" w:ascii="Arial" w:hAnsi="Arial" w:eastAsia="黑体" w:cs="Arial"/>
      <w:b/>
      <w:bCs/>
      <w:kern w:val="2"/>
      <w:sz w:val="28"/>
      <w:szCs w:val="28"/>
    </w:rPr>
  </w:style>
  <w:style w:type="character" w:customStyle="1" w:styleId="972">
    <w:name w:val="_Style 201"/>
    <w:qFormat/>
    <w:uiPriority w:val="0"/>
    <w:rPr>
      <w:b/>
      <w:bCs/>
      <w:smallCaps/>
      <w:spacing w:val="5"/>
    </w:rPr>
  </w:style>
  <w:style w:type="character" w:customStyle="1" w:styleId="973">
    <w:name w:val="unnamed51"/>
    <w:qFormat/>
    <w:uiPriority w:val="0"/>
    <w:rPr>
      <w:sz w:val="22"/>
      <w:szCs w:val="22"/>
    </w:rPr>
  </w:style>
  <w:style w:type="character" w:customStyle="1" w:styleId="974">
    <w:name w:val="Char Char101"/>
    <w:qFormat/>
    <w:uiPriority w:val="0"/>
    <w:rPr>
      <w:rFonts w:hint="default" w:ascii="Arial" w:hAnsi="Arial" w:eastAsia="黑体" w:cs="Arial"/>
      <w:b/>
      <w:bCs/>
      <w:kern w:val="2"/>
      <w:sz w:val="28"/>
      <w:szCs w:val="28"/>
    </w:rPr>
  </w:style>
  <w:style w:type="character" w:customStyle="1" w:styleId="975">
    <w:name w:val="dz1"/>
    <w:qFormat/>
    <w:uiPriority w:val="0"/>
  </w:style>
  <w:style w:type="character" w:customStyle="1" w:styleId="976">
    <w:name w:val="font141"/>
    <w:qFormat/>
    <w:uiPriority w:val="0"/>
    <w:rPr>
      <w:rFonts w:hint="default" w:ascii="Tahoma" w:hAnsi="Tahoma" w:eastAsia="Tahoma" w:cs="Tahoma"/>
      <w:color w:val="000000"/>
      <w:sz w:val="24"/>
      <w:szCs w:val="24"/>
      <w:u w:val="none"/>
    </w:rPr>
  </w:style>
  <w:style w:type="character" w:customStyle="1" w:styleId="977">
    <w:name w:val="font112"/>
    <w:qFormat/>
    <w:uiPriority w:val="0"/>
    <w:rPr>
      <w:rFonts w:hint="default" w:ascii="Times New Roman" w:hAnsi="Times New Roman" w:cs="Times New Roman"/>
      <w:color w:val="000000"/>
      <w:sz w:val="24"/>
      <w:szCs w:val="24"/>
      <w:u w:val="none"/>
    </w:rPr>
  </w:style>
  <w:style w:type="character" w:customStyle="1" w:styleId="978">
    <w:name w:val="_Style 225"/>
    <w:qFormat/>
    <w:uiPriority w:val="0"/>
    <w:rPr>
      <w:b/>
      <w:bCs/>
      <w:i/>
      <w:iCs/>
      <w:color w:val="4F81BD"/>
    </w:rPr>
  </w:style>
  <w:style w:type="character" w:customStyle="1" w:styleId="979">
    <w:name w:val="apple-converted-space"/>
    <w:qFormat/>
    <w:uiPriority w:val="0"/>
  </w:style>
  <w:style w:type="character" w:customStyle="1" w:styleId="980">
    <w:name w:val="Char Char20"/>
    <w:qFormat/>
    <w:uiPriority w:val="0"/>
    <w:rPr>
      <w:bCs/>
      <w:kern w:val="2"/>
      <w:sz w:val="24"/>
      <w:szCs w:val="21"/>
    </w:rPr>
  </w:style>
  <w:style w:type="character" w:customStyle="1" w:styleId="981">
    <w:name w:val="Char Char81"/>
    <w:qFormat/>
    <w:uiPriority w:val="0"/>
    <w:rPr>
      <w:rFonts w:hint="eastAsia" w:ascii="宋体" w:hAnsi="宋体" w:eastAsia="宋体"/>
      <w:kern w:val="2"/>
      <w:sz w:val="18"/>
      <w:szCs w:val="18"/>
      <w:lang w:val="en-US" w:eastAsia="zh-CN" w:bidi="ar-SA"/>
    </w:rPr>
  </w:style>
  <w:style w:type="character" w:customStyle="1" w:styleId="982">
    <w:name w:val="font131"/>
    <w:qFormat/>
    <w:uiPriority w:val="0"/>
    <w:rPr>
      <w:rFonts w:hint="default" w:ascii="Calibri" w:hAnsi="Calibri" w:cs="Calibri"/>
      <w:color w:val="000000"/>
      <w:sz w:val="24"/>
      <w:szCs w:val="24"/>
      <w:u w:val="none"/>
    </w:rPr>
  </w:style>
  <w:style w:type="character" w:customStyle="1" w:styleId="983">
    <w:name w:val="font01"/>
    <w:qFormat/>
    <w:uiPriority w:val="0"/>
    <w:rPr>
      <w:rFonts w:hint="eastAsia" w:ascii="宋体" w:hAnsi="宋体" w:eastAsia="宋体" w:cs="宋体"/>
      <w:color w:val="000000"/>
      <w:sz w:val="24"/>
      <w:szCs w:val="24"/>
      <w:u w:val="none"/>
    </w:rPr>
  </w:style>
  <w:style w:type="character" w:customStyle="1" w:styleId="984">
    <w:name w:val="EmailStyle161"/>
    <w:qFormat/>
    <w:uiPriority w:val="0"/>
    <w:rPr>
      <w:rFonts w:hint="default" w:ascii="Arial" w:hAnsi="Arial" w:eastAsia="宋体" w:cs="Arial"/>
      <w:color w:val="auto"/>
      <w:sz w:val="20"/>
    </w:rPr>
  </w:style>
  <w:style w:type="character" w:customStyle="1" w:styleId="985">
    <w:name w:val="样式1 Char Char Char"/>
    <w:qFormat/>
    <w:uiPriority w:val="0"/>
    <w:rPr>
      <w:rFonts w:hint="default" w:ascii="Arial" w:hAnsi="Arial" w:eastAsia="宋体" w:cs="Arial"/>
      <w:kern w:val="2"/>
      <w:sz w:val="21"/>
      <w:szCs w:val="24"/>
      <w:lang w:val="en-US" w:eastAsia="zh-CN" w:bidi="ar-SA"/>
    </w:rPr>
  </w:style>
  <w:style w:type="character" w:customStyle="1" w:styleId="986">
    <w:name w:val="EmailStyle151"/>
    <w:qFormat/>
    <w:uiPriority w:val="0"/>
    <w:rPr>
      <w:rFonts w:hint="default" w:ascii="Arial" w:hAnsi="Arial" w:eastAsia="宋体" w:cs="Arial"/>
      <w:color w:val="auto"/>
      <w:sz w:val="20"/>
    </w:rPr>
  </w:style>
  <w:style w:type="character" w:customStyle="1" w:styleId="987">
    <w:name w:val="Char Char11"/>
    <w:qFormat/>
    <w:uiPriority w:val="0"/>
    <w:rPr>
      <w:bCs/>
      <w:kern w:val="2"/>
      <w:sz w:val="24"/>
      <w:szCs w:val="21"/>
    </w:rPr>
  </w:style>
  <w:style w:type="character" w:customStyle="1" w:styleId="988">
    <w:name w:val="Char Char13"/>
    <w:qFormat/>
    <w:uiPriority w:val="0"/>
    <w:rPr>
      <w:rFonts w:hint="eastAsia" w:ascii="宋体" w:hAnsi="宋体" w:eastAsia="宋体"/>
      <w:kern w:val="2"/>
      <w:sz w:val="18"/>
      <w:szCs w:val="18"/>
    </w:rPr>
  </w:style>
  <w:style w:type="character" w:customStyle="1" w:styleId="989">
    <w:name w:val="_Style 267"/>
    <w:qFormat/>
    <w:uiPriority w:val="0"/>
    <w:rPr>
      <w:i/>
      <w:iCs/>
      <w:color w:val="808080"/>
    </w:rPr>
  </w:style>
  <w:style w:type="character" w:customStyle="1" w:styleId="990">
    <w:name w:val="Char Char71"/>
    <w:qFormat/>
    <w:uiPriority w:val="0"/>
    <w:rPr>
      <w:rFonts w:hint="eastAsia" w:ascii="宋体" w:hAnsi="宋体" w:eastAsia="宋体"/>
      <w:sz w:val="24"/>
      <w:szCs w:val="28"/>
      <w:lang w:val="en-US" w:eastAsia="zh-CN" w:bidi="ar-SA"/>
    </w:rPr>
  </w:style>
  <w:style w:type="character" w:customStyle="1" w:styleId="991">
    <w:name w:val="font41"/>
    <w:qFormat/>
    <w:uiPriority w:val="0"/>
    <w:rPr>
      <w:rFonts w:hint="eastAsia" w:ascii="宋体" w:hAnsi="宋体" w:eastAsia="宋体" w:cs="宋体"/>
      <w:color w:val="000000"/>
      <w:sz w:val="24"/>
      <w:szCs w:val="24"/>
      <w:u w:val="none"/>
    </w:rPr>
  </w:style>
  <w:style w:type="character" w:customStyle="1" w:styleId="992">
    <w:name w:val="Char Char16"/>
    <w:qFormat/>
    <w:uiPriority w:val="0"/>
    <w:rPr>
      <w:rFonts w:hint="eastAsia" w:ascii="宋体" w:hAnsi="宋体" w:eastAsia="宋体"/>
      <w:b/>
      <w:bCs/>
      <w:kern w:val="2"/>
      <w:sz w:val="28"/>
      <w:szCs w:val="28"/>
      <w:lang w:val="en-US" w:eastAsia="zh-CN" w:bidi="ar-SA"/>
    </w:rPr>
  </w:style>
  <w:style w:type="character" w:customStyle="1" w:styleId="993">
    <w:name w:val="未处理的提及1"/>
    <w:qFormat/>
    <w:uiPriority w:val="99"/>
    <w:rPr>
      <w:color w:val="605E5C"/>
      <w:shd w:val="clear" w:color="auto" w:fill="E1DFDD"/>
    </w:rPr>
  </w:style>
  <w:style w:type="character" w:customStyle="1" w:styleId="994">
    <w:name w:val="_Style 282"/>
    <w:qFormat/>
    <w:uiPriority w:val="0"/>
    <w:rPr>
      <w:smallCaps/>
      <w:color w:val="C0504D"/>
      <w:u w:val="single"/>
    </w:rPr>
  </w:style>
  <w:style w:type="character" w:customStyle="1" w:styleId="995">
    <w:name w:val="Char Char111"/>
    <w:qFormat/>
    <w:uiPriority w:val="0"/>
    <w:rPr>
      <w:bCs/>
      <w:kern w:val="2"/>
      <w:sz w:val="24"/>
      <w:szCs w:val="21"/>
    </w:rPr>
  </w:style>
  <w:style w:type="character" w:customStyle="1" w:styleId="996">
    <w:name w:val="font11"/>
    <w:qFormat/>
    <w:uiPriority w:val="0"/>
    <w:rPr>
      <w:rFonts w:hint="eastAsia" w:ascii="宋体" w:hAnsi="宋体" w:eastAsia="宋体" w:cs="宋体"/>
      <w:color w:val="000000"/>
      <w:sz w:val="24"/>
      <w:szCs w:val="24"/>
      <w:u w:val="none"/>
    </w:rPr>
  </w:style>
  <w:style w:type="character" w:customStyle="1" w:styleId="997">
    <w:name w:val="明显引用 字符1"/>
    <w:qFormat/>
    <w:uiPriority w:val="99"/>
    <w:rPr>
      <w:i/>
      <w:iCs/>
      <w:color w:val="4F81BD"/>
      <w:kern w:val="2"/>
      <w:sz w:val="21"/>
      <w:szCs w:val="24"/>
    </w:rPr>
  </w:style>
  <w:style w:type="character" w:customStyle="1" w:styleId="998">
    <w:name w:val="书籍标题11"/>
    <w:qFormat/>
    <w:uiPriority w:val="0"/>
    <w:rPr>
      <w:b/>
      <w:bCs/>
      <w:smallCaps/>
      <w:spacing w:val="5"/>
    </w:rPr>
  </w:style>
  <w:style w:type="character" w:customStyle="1" w:styleId="999">
    <w:name w:val="明显强调11"/>
    <w:qFormat/>
    <w:uiPriority w:val="0"/>
    <w:rPr>
      <w:b/>
      <w:bCs/>
      <w:i/>
      <w:iCs/>
      <w:color w:val="4F81BD"/>
    </w:rPr>
  </w:style>
  <w:style w:type="character" w:customStyle="1" w:styleId="1000">
    <w:name w:val="不明显强调11"/>
    <w:qFormat/>
    <w:uiPriority w:val="0"/>
    <w:rPr>
      <w:i/>
      <w:iCs/>
      <w:color w:val="808080"/>
    </w:rPr>
  </w:style>
  <w:style w:type="character" w:customStyle="1" w:styleId="1001">
    <w:name w:val="不明显参考11"/>
    <w:qFormat/>
    <w:uiPriority w:val="0"/>
    <w:rPr>
      <w:smallCaps/>
      <w:color w:val="C0504D"/>
      <w:u w:val="single"/>
    </w:rPr>
  </w:style>
  <w:style w:type="character" w:customStyle="1" w:styleId="1002">
    <w:name w:val="明显参考11"/>
    <w:qFormat/>
    <w:uiPriority w:val="0"/>
    <w:rPr>
      <w:b/>
      <w:bCs/>
      <w:smallCaps/>
      <w:color w:val="C0504D"/>
      <w:spacing w:val="5"/>
      <w:u w:val="single"/>
    </w:rPr>
  </w:style>
  <w:style w:type="character" w:customStyle="1" w:styleId="1003">
    <w:name w:val="引用 字符1"/>
    <w:qFormat/>
    <w:uiPriority w:val="99"/>
    <w:rPr>
      <w:i/>
      <w:iCs/>
      <w:color w:val="404040"/>
      <w:kern w:val="2"/>
      <w:sz w:val="21"/>
      <w:szCs w:val="24"/>
    </w:rPr>
  </w:style>
  <w:style w:type="character" w:customStyle="1" w:styleId="1004">
    <w:name w:val="批注文字 字符1"/>
    <w:semiHidden/>
    <w:qFormat/>
    <w:uiPriority w:val="99"/>
    <w:rPr>
      <w:rFonts w:hint="default" w:ascii="Calibri" w:hAnsi="Calibri" w:eastAsia="宋体" w:cs="Times New Roman"/>
      <w:kern w:val="2"/>
      <w:sz w:val="21"/>
      <w:szCs w:val="22"/>
    </w:rPr>
  </w:style>
  <w:style w:type="character" w:customStyle="1" w:styleId="1005">
    <w:name w:val="副标题 字符1"/>
    <w:qFormat/>
    <w:uiPriority w:val="11"/>
    <w:rPr>
      <w:rFonts w:hint="default" w:ascii="Calibri" w:hAnsi="Calibri" w:eastAsia="宋体" w:cs="Times New Roman"/>
      <w:b/>
      <w:bCs/>
      <w:kern w:val="28"/>
      <w:sz w:val="32"/>
      <w:szCs w:val="32"/>
    </w:rPr>
  </w:style>
  <w:style w:type="character" w:customStyle="1" w:styleId="1006">
    <w:name w:val="标题 字符1"/>
    <w:qFormat/>
    <w:uiPriority w:val="10"/>
    <w:rPr>
      <w:rFonts w:hint="default" w:ascii="Cambria" w:hAnsi="Cambria" w:eastAsia="宋体" w:cs="Times New Roman"/>
      <w:b/>
      <w:bCs/>
      <w:kern w:val="2"/>
      <w:sz w:val="32"/>
      <w:szCs w:val="32"/>
    </w:rPr>
  </w:style>
  <w:style w:type="character" w:customStyle="1" w:styleId="1007">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semiHidden/>
    <w:qFormat/>
    <w:uiPriority w:val="99"/>
    <w:rPr>
      <w:rFonts w:hint="default" w:ascii="Calibri" w:hAnsi="Calibri" w:eastAsia="宋体" w:cs="Times New Roman"/>
      <w:kern w:val="2"/>
      <w:sz w:val="21"/>
      <w:szCs w:val="22"/>
    </w:rPr>
  </w:style>
  <w:style w:type="character" w:customStyle="1" w:styleId="1009">
    <w:name w:val="批注主题 字符1"/>
    <w:semiHidden/>
    <w:qFormat/>
    <w:uiPriority w:val="99"/>
    <w:rPr>
      <w:rFonts w:hint="default" w:ascii="Calibri" w:hAnsi="Calibri" w:eastAsia="宋体" w:cs="Times New Roman"/>
      <w:b/>
      <w:bCs/>
      <w:kern w:val="2"/>
      <w:sz w:val="21"/>
      <w:szCs w:val="22"/>
    </w:rPr>
  </w:style>
  <w:style w:type="character" w:customStyle="1" w:styleId="1010">
    <w:name w:val="日期 字符1"/>
    <w:semiHidden/>
    <w:qFormat/>
    <w:uiPriority w:val="99"/>
    <w:rPr>
      <w:rFonts w:hint="default" w:ascii="Calibri" w:hAnsi="Calibri" w:eastAsia="宋体" w:cs="Times New Roman"/>
      <w:kern w:val="2"/>
      <w:sz w:val="21"/>
      <w:szCs w:val="22"/>
    </w:rPr>
  </w:style>
  <w:style w:type="character" w:customStyle="1" w:styleId="1011">
    <w:name w:val="批注框文本 字符1"/>
    <w:semiHidden/>
    <w:qFormat/>
    <w:uiPriority w:val="99"/>
    <w:rPr>
      <w:rFonts w:hint="default" w:ascii="Calibri" w:hAnsi="Calibri" w:eastAsia="宋体" w:cs="Times New Roman"/>
      <w:kern w:val="2"/>
      <w:sz w:val="18"/>
      <w:szCs w:val="18"/>
    </w:rPr>
  </w:style>
  <w:style w:type="character" w:customStyle="1" w:styleId="1012">
    <w:name w:val="doc_title"/>
    <w:qFormat/>
    <w:uiPriority w:val="0"/>
  </w:style>
  <w:style w:type="character" w:customStyle="1" w:styleId="1013">
    <w:name w:val="未处理的提及2"/>
    <w:qFormat/>
    <w:uiPriority w:val="99"/>
    <w:rPr>
      <w:color w:val="605E5C"/>
      <w:shd w:val="clear" w:color="auto" w:fill="E1DFDD"/>
    </w:rPr>
  </w:style>
  <w:style w:type="table" w:customStyle="1" w:styleId="1014">
    <w:name w:val="网格型1"/>
    <w:basedOn w:val="62"/>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qFormat/>
    <w:uiPriority w:val="0"/>
    <w:pPr>
      <w:spacing w:beforeLines="100"/>
    </w:pPr>
    <w:rPr>
      <w:color w:val="000000"/>
    </w:rPr>
  </w:style>
  <w:style w:type="paragraph" w:customStyle="1" w:styleId="102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semiHidden/>
    <w:qFormat/>
    <w:uiPriority w:val="0"/>
  </w:style>
  <w:style w:type="paragraph" w:customStyle="1" w:styleId="1023">
    <w:name w:val="一级条标题"/>
    <w:basedOn w:val="1024"/>
    <w:next w:val="303"/>
    <w:unhideWhenUsed/>
    <w:qFormat/>
    <w:uiPriority w:val="0"/>
    <w:pPr>
      <w:spacing w:line="240" w:lineRule="auto"/>
      <w:ind w:left="420"/>
      <w:outlineLvl w:val="2"/>
    </w:pPr>
  </w:style>
  <w:style w:type="paragraph" w:customStyle="1" w:styleId="1024">
    <w:name w:val="章标题"/>
    <w:next w:val="1"/>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3"/>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 w:type="character" w:customStyle="1" w:styleId="1030">
    <w:name w:val="Heading 4 Char_42a2b935-48fd-4a0c-a01b-ad203dac9d3f"/>
    <w:basedOn w:val="66"/>
    <w:qFormat/>
    <w:uiPriority w:val="0"/>
    <w:rPr>
      <w:rFonts w:hint="default" w:ascii="Arial" w:hAnsi="Arial" w:eastAsia="黑体" w:cs="Arial"/>
      <w:b/>
      <w:bCs/>
      <w:kern w:val="2"/>
      <w:sz w:val="28"/>
      <w:szCs w:val="28"/>
      <w:lang w:val="en-US" w:eastAsia="zh-CN" w:bidi="ar"/>
    </w:rPr>
  </w:style>
  <w:style w:type="character" w:customStyle="1" w:styleId="1031">
    <w:name w:val="Intense Quote Char_b30c0cb2-2ece-4483-bbea-9acdbacb2947"/>
    <w:basedOn w:val="66"/>
    <w:uiPriority w:val="0"/>
    <w:rPr>
      <w:b/>
      <w:i/>
      <w:color w:val="4F81BD"/>
      <w:sz w:val="22"/>
    </w:rPr>
  </w:style>
  <w:style w:type="character" w:customStyle="1" w:styleId="1032">
    <w:name w:val="Quote Char_c701db2b-8d05-4799-9b39-8a672100a08f"/>
    <w:basedOn w:val="66"/>
    <w:uiPriority w:val="0"/>
    <w:rPr>
      <w:i/>
      <w:color w:val="000000"/>
      <w:sz w:val="22"/>
    </w:rPr>
  </w:style>
  <w:style w:type="character" w:customStyle="1" w:styleId="1033">
    <w:name w:val="正文文本首行缩进 2 字符"/>
    <w:uiPriority w:val="0"/>
    <w:rPr>
      <w:rFonts w:hint="eastAsia" w:ascii="宋体" w:hAnsi="Courier New" w:eastAsia="宋体" w:cs="宋体"/>
      <w:spacing w:val="-4"/>
      <w:sz w:val="21"/>
      <w:szCs w:val="24"/>
    </w:rPr>
  </w:style>
  <w:style w:type="character" w:customStyle="1" w:styleId="1034">
    <w:name w:val="Heading 5 Char_43bbf028-4b34-4b90-a1dc-c89ae35abedc"/>
    <w:basedOn w:val="66"/>
    <w:uiPriority w:val="0"/>
    <w:rPr>
      <w:rFonts w:hint="eastAsia" w:ascii="宋体" w:hAnsi="宋体" w:eastAsia="宋体" w:cs="宋体"/>
      <w:b/>
      <w:bCs/>
      <w:kern w:val="2"/>
      <w:sz w:val="28"/>
      <w:szCs w:val="28"/>
      <w:lang w:val="en-US" w:eastAsia="zh-CN" w:bidi="ar"/>
    </w:rPr>
  </w:style>
  <w:style w:type="character" w:customStyle="1" w:styleId="1035">
    <w:name w:val="Heading 6 Char_393216d7-3442-4672-b02b-2bb2b5a31c54"/>
    <w:basedOn w:val="66"/>
    <w:uiPriority w:val="0"/>
    <w:rPr>
      <w:rFonts w:hint="default" w:ascii="Arial" w:hAnsi="Arial" w:eastAsia="黑体" w:cs="Arial"/>
      <w:b/>
      <w:bCs/>
      <w:sz w:val="24"/>
      <w:szCs w:val="24"/>
      <w:lang w:val="en-US" w:eastAsia="zh-CN" w:bidi="ar"/>
    </w:rPr>
  </w:style>
  <w:style w:type="character" w:customStyle="1" w:styleId="1036">
    <w:name w:val="Header Char_7adb8c8c-4aa5-41ae-8645-e8f1f18a0b7a"/>
    <w:basedOn w:val="66"/>
    <w:uiPriority w:val="0"/>
    <w:rPr>
      <w:rFonts w:hint="eastAsia" w:ascii="宋体" w:hAnsi="宋体" w:eastAsia="宋体" w:cs="宋体"/>
      <w:kern w:val="2"/>
      <w:sz w:val="18"/>
      <w:szCs w:val="18"/>
      <w:lang w:val="en-US" w:eastAsia="zh-CN" w:bidi="ar"/>
    </w:rPr>
  </w:style>
  <w:style w:type="character" w:customStyle="1" w:styleId="1037">
    <w:name w:val="Heading 3 Char_bb9a6c73-aab1-4f33-a802-3a0f9bffd2bb"/>
    <w:basedOn w:val="66"/>
    <w:uiPriority w:val="0"/>
    <w:rPr>
      <w:rFonts w:hint="eastAsia" w:ascii="宋体" w:hAnsi="宋体" w:eastAsia="宋体" w:cs="宋体"/>
      <w:b/>
      <w:bCs/>
      <w:kern w:val="2"/>
      <w:sz w:val="32"/>
      <w:szCs w:val="32"/>
      <w:lang w:val="en-US" w:eastAsia="zh-CN" w:bidi="ar"/>
    </w:rPr>
  </w:style>
  <w:style w:type="character" w:customStyle="1" w:styleId="1038">
    <w:name w:val="Heading 9 Char_43a721c6-5fa4-4338-8883-17a4710c3ffd"/>
    <w:basedOn w:val="66"/>
    <w:uiPriority w:val="0"/>
    <w:rPr>
      <w:rFonts w:hint="default" w:ascii="Arial" w:hAnsi="Arial" w:eastAsia="黑体" w:cs="Arial"/>
      <w:sz w:val="21"/>
      <w:szCs w:val="21"/>
      <w:lang w:val="en-US" w:eastAsia="zh-CN" w:bidi="ar"/>
    </w:rPr>
  </w:style>
  <w:style w:type="character" w:customStyle="1" w:styleId="1039">
    <w:name w:val="Heading 7 Char_6954c0a0-3b8c-4634-98f4-fc640340c778"/>
    <w:basedOn w:val="66"/>
    <w:uiPriority w:val="0"/>
    <w:rPr>
      <w:rFonts w:hint="eastAsia" w:ascii="宋体" w:hAnsi="宋体" w:eastAsia="宋体" w:cs="宋体"/>
      <w:b/>
      <w:bCs/>
      <w:sz w:val="24"/>
      <w:szCs w:val="24"/>
      <w:lang w:val="en-US" w:eastAsia="zh-CN" w:bidi="ar"/>
    </w:rPr>
  </w:style>
  <w:style w:type="character" w:customStyle="1" w:styleId="1040">
    <w:name w:val="Title Char_a7916fb8-762f-4a09-ac06-898f08cc48fb"/>
    <w:basedOn w:val="66"/>
    <w:qFormat/>
    <w:uiPriority w:val="0"/>
    <w:rPr>
      <w:rFonts w:hint="default" w:ascii="Arial" w:hAnsi="Arial" w:eastAsia="宋体" w:cs="Arial"/>
      <w:b/>
      <w:sz w:val="32"/>
      <w:lang w:val="en-US" w:eastAsia="zh-CN" w:bidi="ar"/>
    </w:rPr>
  </w:style>
  <w:style w:type="character" w:customStyle="1" w:styleId="1041">
    <w:name w:val="Heading 8 Char_31623710-67ac-4216-bcfe-242f10bcbde4"/>
    <w:basedOn w:val="66"/>
    <w:uiPriority w:val="0"/>
    <w:rPr>
      <w:rFonts w:hint="default" w:ascii="Arial" w:hAnsi="Arial" w:eastAsia="黑体" w:cs="Arial"/>
      <w:sz w:val="24"/>
      <w:szCs w:val="24"/>
      <w:lang w:val="en-US" w:eastAsia="zh-CN" w:bidi="ar"/>
    </w:rPr>
  </w:style>
  <w:style w:type="character" w:customStyle="1" w:styleId="1042">
    <w:name w:val="Footer Char_733971c4-39c3-479b-b4ec-cf9c6ab9b55b"/>
    <w:basedOn w:val="66"/>
    <w:qFormat/>
    <w:uiPriority w:val="0"/>
    <w:rPr>
      <w:rFonts w:hint="eastAsia" w:ascii="宋体" w:hAnsi="宋体" w:eastAsia="宋体" w:cs="宋体"/>
      <w:kern w:val="2"/>
      <w:sz w:val="18"/>
      <w:szCs w:val="18"/>
      <w:lang w:val="en-US" w:eastAsia="zh-CN" w:bidi="ar"/>
    </w:rPr>
  </w:style>
  <w:style w:type="character" w:customStyle="1" w:styleId="1043">
    <w:name w:val="纯文本 字符1"/>
    <w:basedOn w:val="66"/>
    <w:uiPriority w:val="0"/>
    <w:rPr>
      <w:rFonts w:hint="eastAsia" w:ascii="宋体" w:hAnsi="Courier New" w:eastAsia="宋体" w:cs="Arial"/>
      <w:snapToGrid/>
      <w:kern w:val="2"/>
      <w:sz w:val="21"/>
      <w:szCs w:val="21"/>
      <w:lang w:val="en-US" w:eastAsia="zh-CN" w:bidi="ar"/>
    </w:rPr>
  </w:style>
  <w:style w:type="character" w:customStyle="1" w:styleId="1044">
    <w:name w:val="未处理的提及3"/>
    <w:basedOn w:val="66"/>
    <w:qFormat/>
    <w:uiPriority w:val="0"/>
    <w:rPr>
      <w:color w:val="605E5C"/>
      <w:shd w:val="clear"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20085</Words>
  <Characters>21852</Characters>
  <Lines>711</Lines>
  <Paragraphs>200</Paragraphs>
  <TotalTime>4</TotalTime>
  <ScaleCrop>false</ScaleCrop>
  <LinksUpToDate>false</LinksUpToDate>
  <CharactersWithSpaces>22080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2025-03-27T12:02:37Z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53BA9097C12E49D993FEDD1FE3341C45_13</vt:lpwstr>
  </property>
  <property fmtid="{D5CDD505-2E9C-101B-9397-08002B2CF9AE}" pid="4" name="KSOTemplateDocerSaveRecord">
    <vt:lpwstr>eyJoZGlkIjoiMWZmZDRmNTU0NjViOTE1ZTgyYTQyYzgxZjQxZjc0N2QiLCJ1c2VySWQiOiI0MzQyMzM3NDkifQ==</vt:lpwstr>
  </property>
</Properties>
</file>