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春蕾中学两校区维修工程</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竞争性磋商文件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（电子交易）</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编号:HSZB-2024-291</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杭州市春蕾中学</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浙江豪圣建设项目管理有限公司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2"/>
          <w:szCs w:val="32"/>
          <w:highlight w:val="none"/>
          <w:lang w:val="en-US" w:eastAsia="zh-CN"/>
        </w:rPr>
        <w:t>六</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十六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竞争性磋商公告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供应商须知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评审办法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1280" w:firstLineChars="400"/>
        <w:rPr>
          <w:rFonts w:ascii="宋体" w:hAnsi="宋体" w:cs="宋体"/>
          <w:color w:val="auto"/>
          <w:sz w:val="32"/>
          <w:szCs w:val="32"/>
          <w:highlight w:val="none"/>
        </w:rPr>
      </w:pP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春蕾中学两校区维修工程</w:t>
      </w:r>
      <w:r>
        <w:rPr>
          <w:rFonts w:hint="eastAsia" w:ascii="宋体" w:hAnsi="宋体" w:cs="宋体"/>
          <w:color w:val="auto"/>
          <w:sz w:val="24"/>
          <w:highlight w:val="none"/>
        </w:rPr>
        <w:t>采购项目的潜在供应商应在政采云平台（</w:t>
      </w:r>
      <w:r>
        <w:rPr>
          <w:color w:val="auto"/>
          <w:highlight w:val="none"/>
        </w:rPr>
        <w:fldChar w:fldCharType="begin"/>
      </w:r>
      <w:r>
        <w:rPr>
          <w:color w:val="auto"/>
          <w:highlight w:val="none"/>
        </w:rPr>
        <w:instrText xml:space="preserve"> HYPERLINK "https://www.zcygov.cn/）获取（下载）采购文件，并于2024年%20月%20日%20点%20分00秒" </w:instrText>
      </w:r>
      <w:r>
        <w:rPr>
          <w:color w:val="auto"/>
          <w:highlight w:val="none"/>
        </w:rPr>
        <w:fldChar w:fldCharType="separate"/>
      </w:r>
      <w:r>
        <w:rPr>
          <w:rStyle w:val="79"/>
          <w:rFonts w:hint="eastAsia" w:ascii="宋体" w:hAnsi="宋体" w:eastAsia="宋体" w:cs="宋体"/>
          <w:snapToGrid/>
          <w:color w:val="auto"/>
          <w:kern w:val="2"/>
          <w:sz w:val="24"/>
          <w:szCs w:val="24"/>
          <w:highlight w:val="none"/>
        </w:rPr>
        <w:t>https://www.zcygov.cn/）获取（下载）采购文件，并于2024年</w:t>
      </w:r>
      <w:r>
        <w:rPr>
          <w:rStyle w:val="79"/>
          <w:rFonts w:hint="eastAsia" w:ascii="宋体" w:hAnsi="宋体" w:cs="宋体"/>
          <w:snapToGrid/>
          <w:color w:val="auto"/>
          <w:kern w:val="2"/>
          <w:sz w:val="24"/>
          <w:szCs w:val="24"/>
          <w:highlight w:val="none"/>
          <w:lang w:val="en-US" w:eastAsia="zh-CN"/>
        </w:rPr>
        <w:t>06</w:t>
      </w:r>
      <w:r>
        <w:rPr>
          <w:rStyle w:val="79"/>
          <w:rFonts w:hint="eastAsia" w:ascii="宋体" w:hAnsi="宋体" w:eastAsia="宋体" w:cs="宋体"/>
          <w:snapToGrid/>
          <w:color w:val="auto"/>
          <w:kern w:val="2"/>
          <w:sz w:val="24"/>
          <w:szCs w:val="24"/>
          <w:highlight w:val="none"/>
        </w:rPr>
        <w:t>月</w:t>
      </w:r>
      <w:r>
        <w:rPr>
          <w:rStyle w:val="79"/>
          <w:rFonts w:hint="eastAsia" w:ascii="宋体" w:hAnsi="宋体" w:cs="宋体"/>
          <w:snapToGrid/>
          <w:color w:val="auto"/>
          <w:kern w:val="2"/>
          <w:sz w:val="24"/>
          <w:szCs w:val="24"/>
          <w:highlight w:val="none"/>
          <w:lang w:val="en-US" w:eastAsia="zh-CN"/>
        </w:rPr>
        <w:t>27</w:t>
      </w:r>
      <w:r>
        <w:rPr>
          <w:rStyle w:val="79"/>
          <w:rFonts w:hint="eastAsia" w:ascii="宋体" w:hAnsi="宋体" w:eastAsia="宋体" w:cs="宋体"/>
          <w:snapToGrid/>
          <w:color w:val="auto"/>
          <w:kern w:val="2"/>
          <w:sz w:val="24"/>
          <w:szCs w:val="24"/>
          <w:highlight w:val="none"/>
        </w:rPr>
        <w:t>日</w:t>
      </w:r>
      <w:r>
        <w:rPr>
          <w:rStyle w:val="79"/>
          <w:rFonts w:hint="eastAsia" w:ascii="宋体" w:hAnsi="宋体" w:cs="宋体"/>
          <w:snapToGrid/>
          <w:color w:val="auto"/>
          <w:kern w:val="2"/>
          <w:sz w:val="24"/>
          <w:szCs w:val="24"/>
          <w:highlight w:val="none"/>
          <w:lang w:val="en-US" w:eastAsia="zh-CN"/>
        </w:rPr>
        <w:t>09</w:t>
      </w:r>
      <w:r>
        <w:rPr>
          <w:rStyle w:val="79"/>
          <w:rFonts w:hint="eastAsia" w:ascii="宋体" w:hAnsi="宋体" w:eastAsia="宋体" w:cs="宋体"/>
          <w:snapToGrid/>
          <w:color w:val="auto"/>
          <w:kern w:val="2"/>
          <w:sz w:val="24"/>
          <w:szCs w:val="24"/>
          <w:highlight w:val="none"/>
        </w:rPr>
        <w:t>点</w:t>
      </w:r>
      <w:r>
        <w:rPr>
          <w:rStyle w:val="79"/>
          <w:rFonts w:hint="eastAsia" w:ascii="宋体" w:hAnsi="宋体" w:cs="宋体"/>
          <w:snapToGrid/>
          <w:color w:val="auto"/>
          <w:kern w:val="2"/>
          <w:sz w:val="24"/>
          <w:szCs w:val="24"/>
          <w:highlight w:val="none"/>
          <w:lang w:val="en-US" w:eastAsia="zh-CN"/>
        </w:rPr>
        <w:t>00</w:t>
      </w:r>
      <w:r>
        <w:rPr>
          <w:rStyle w:val="79"/>
          <w:rFonts w:hint="eastAsia" w:ascii="宋体" w:hAnsi="宋体" w:eastAsia="宋体" w:cs="宋体"/>
          <w:snapToGrid/>
          <w:color w:val="auto"/>
          <w:kern w:val="2"/>
          <w:sz w:val="24"/>
          <w:szCs w:val="24"/>
          <w:highlight w:val="none"/>
        </w:rPr>
        <w:t>分</w:t>
      </w:r>
      <w:r>
        <w:rPr>
          <w:rStyle w:val="79"/>
          <w:rFonts w:hint="eastAsia" w:ascii="宋体" w:hAnsi="宋体" w:eastAsia="宋体" w:cs="宋体"/>
          <w:bCs/>
          <w:snapToGrid/>
          <w:color w:val="auto"/>
          <w:kern w:val="2"/>
          <w:sz w:val="24"/>
          <w:szCs w:val="24"/>
          <w:highlight w:val="none"/>
        </w:rPr>
        <w:t>00秒</w:t>
      </w:r>
      <w:r>
        <w:rPr>
          <w:rStyle w:val="79"/>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提交（上传）响应文件。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rPr>
        <w:t>HSZB-2024-291</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春蕾中学两校区维修工程</w:t>
      </w:r>
    </w:p>
    <w:p>
      <w:pPr>
        <w:snapToGrid w:val="0"/>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预算金额（元）：</w:t>
      </w:r>
      <w:r>
        <w:rPr>
          <w:rFonts w:hint="eastAsia" w:ascii="宋体" w:hAnsi="宋体" w:cs="宋体"/>
          <w:color w:val="auto"/>
          <w:sz w:val="24"/>
          <w:highlight w:val="none"/>
          <w:lang w:eastAsia="zh-CN"/>
        </w:rPr>
        <w:t>920000.00</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highlight w:val="none"/>
          <w:lang w:eastAsia="zh-CN"/>
        </w:rPr>
        <w:t>901708.00</w:t>
      </w:r>
    </w:p>
    <w:p>
      <w:pPr>
        <w:pStyle w:val="7"/>
        <w:spacing w:line="360" w:lineRule="auto"/>
        <w:ind w:firstLine="482" w:firstLineChars="20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rPr>
        <w:t>春蕾中学两校区维修工程主要内容：春蕾中学两校区维修工程。详见采购文件第三部分采购需求。</w:t>
      </w:r>
    </w:p>
    <w:p>
      <w:pPr>
        <w:pStyle w:val="132"/>
        <w:snapToGrid w:val="0"/>
        <w:spacing w:before="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Cs/>
          <w:color w:val="auto"/>
          <w:highlight w:val="none"/>
        </w:rPr>
        <w:t>2024年7月5日至2024年8月15日</w:t>
      </w:r>
    </w:p>
    <w:p>
      <w:pPr>
        <w:pStyle w:val="7"/>
        <w:spacing w:line="360" w:lineRule="auto"/>
        <w:ind w:firstLine="482" w:firstLineChars="200"/>
        <w:rPr>
          <w:rFonts w:hAnsi="宋体" w:cs="宋体"/>
          <w:b/>
          <w:color w:val="auto"/>
          <w:sz w:val="24"/>
          <w:highlight w:val="none"/>
        </w:rPr>
      </w:pPr>
      <w:r>
        <w:rPr>
          <w:rFonts w:hint="eastAsia" w:hAnsi="宋体" w:cs="宋体"/>
          <w:b/>
          <w:color w:val="auto"/>
          <w:sz w:val="24"/>
          <w:highlight w:val="none"/>
        </w:rPr>
        <w:t>本项目接受联合体：</w:t>
      </w:r>
    </w:p>
    <w:p>
      <w:pPr>
        <w:pStyle w:val="7"/>
        <w:spacing w:line="360" w:lineRule="auto"/>
        <w:ind w:firstLine="480" w:firstLineChars="200"/>
        <w:rPr>
          <w:rFonts w:hAnsi="宋体" w:cs="宋体"/>
          <w:color w:val="auto"/>
          <w:sz w:val="24"/>
          <w:highlight w:val="none"/>
        </w:rPr>
      </w:pP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color w:val="auto"/>
          <w:sz w:val="24"/>
          <w:highlight w:val="none"/>
        </w:rPr>
        <w:t>是；</w:t>
      </w:r>
    </w:p>
    <w:p>
      <w:pPr>
        <w:pStyle w:val="7"/>
        <w:spacing w:line="360" w:lineRule="auto"/>
        <w:ind w:firstLine="480" w:firstLineChars="200"/>
        <w:rPr>
          <w:rFonts w:hAnsi="宋体" w:cs="宋体"/>
          <w:color w:val="auto"/>
          <w:kern w:val="0"/>
          <w:sz w:val="24"/>
          <w:highlight w:val="none"/>
        </w:rPr>
      </w:pP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t>☐</w:t>
          </w:r>
        </w:sdtContent>
      </w:sdt>
      <w:r>
        <w:rPr>
          <w:rFonts w:hint="eastAsia" w:hAnsi="宋体" w:cs="宋体"/>
          <w:color w:val="auto"/>
          <w:sz w:val="24"/>
          <w:highlight w:val="none"/>
        </w:rPr>
        <w:t>否</w:t>
      </w:r>
      <w:r>
        <w:rPr>
          <w:rFonts w:hint="eastAsia" w:hAnsi="宋体" w:cs="宋体"/>
          <w:color w:val="auto"/>
          <w:kern w:val="0"/>
          <w:sz w:val="24"/>
          <w:highlight w:val="none"/>
        </w:rPr>
        <w:t>，不接受联合体理由：</w:t>
      </w:r>
      <w:r>
        <w:rPr>
          <w:rFonts w:hAnsi="宋体" w:cs="宋体"/>
          <w:color w:val="auto"/>
          <w:kern w:val="0"/>
          <w:sz w:val="24"/>
          <w:highlight w:val="none"/>
          <w:u w:val="single"/>
        </w:rPr>
        <w:t xml:space="preserve">              </w:t>
      </w:r>
      <w:r>
        <w:rPr>
          <w:rFonts w:hint="eastAsia" w:hAnsi="宋体" w:cs="宋体"/>
          <w:color w:val="auto"/>
          <w:kern w:val="0"/>
          <w:sz w:val="24"/>
          <w:highlight w:val="none"/>
        </w:rPr>
        <w:t>。</w:t>
      </w:r>
    </w:p>
    <w:p>
      <w:pPr>
        <w:pStyle w:val="132"/>
        <w:snapToGrid w:val="0"/>
        <w:spacing w:before="0"/>
        <w:ind w:firstLine="482"/>
        <w:outlineLvl w:val="2"/>
        <w:rPr>
          <w:rFonts w:ascii="宋体" w:hAnsi="宋体" w:cs="宋体"/>
          <w:b/>
          <w:color w:val="auto"/>
          <w:highlight w:val="none"/>
        </w:rPr>
      </w:pPr>
      <w:r>
        <w:rPr>
          <w:rFonts w:hint="eastAsia" w:ascii="宋体" w:hAnsi="宋体" w:cs="宋体"/>
          <w:b/>
          <w:color w:val="auto"/>
          <w:highlight w:val="none"/>
        </w:rPr>
        <w:t>注：不得限制大中型企业与小微企业组成联合体参与。</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以联合体形式参与的，提供联合协议(本项目不接受联合体或者供应商不以联合体形式参与的，则不需要提供)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工程全部由符合政策要求的中小企业承建，提供中小企业声明函；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工程全部由符合政策要求的小微企业承建，提供中小企业声明函；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b/>
          <w:bCs/>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b/>
          <w:bCs/>
          <w:color w:val="auto"/>
          <w:sz w:val="24"/>
          <w:highlight w:val="none"/>
        </w:rPr>
        <w:t>具备</w:t>
      </w:r>
      <w:r>
        <w:rPr>
          <w:rFonts w:hint="eastAsia" w:ascii="宋体" w:hAnsi="宋体" w:cs="宋体"/>
          <w:b/>
          <w:bCs/>
          <w:color w:val="auto"/>
          <w:sz w:val="24"/>
          <w:highlight w:val="none"/>
          <w:lang w:eastAsia="zh-CN"/>
        </w:rPr>
        <w:t>建筑工程施工总承包三级</w:t>
      </w:r>
      <w:r>
        <w:rPr>
          <w:rFonts w:hint="eastAsia" w:ascii="宋体" w:hAnsi="宋体" w:cs="宋体"/>
          <w:b/>
          <w:bCs/>
          <w:color w:val="auto"/>
          <w:sz w:val="24"/>
          <w:highlight w:val="none"/>
        </w:rPr>
        <w:t>及以上，且具有有效的《安全生产许可证》；</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四、响应文件提交（上传）</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截止时间：</w:t>
      </w:r>
      <w:r>
        <w:rPr>
          <w:rFonts w:hint="eastAsia" w:ascii="宋体" w:hAnsi="宋体" w:cs="宋体"/>
          <w:color w:val="auto"/>
          <w:sz w:val="24"/>
          <w:highlight w:val="none"/>
          <w:u w:val="single"/>
        </w:rPr>
        <w:t xml:space="preserve"> 2024年</w:t>
      </w:r>
      <w:r>
        <w:rPr>
          <w:rFonts w:hint="eastAsia" w:ascii="宋体" w:hAnsi="宋体" w:cs="宋体"/>
          <w:color w:val="auto"/>
          <w:sz w:val="24"/>
          <w:highlight w:val="none"/>
          <w:u w:val="single"/>
          <w:lang w:val="en-US" w:eastAsia="zh-CN"/>
        </w:rPr>
        <w:t>06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五、响应文件开启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开启时间：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自本公告发布之日起3个工作日。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w:t>
      </w:r>
      <w:r>
        <w:rPr>
          <w:rFonts w:ascii="华文中宋" w:hAnsi="华文中宋" w:eastAsia="华文中宋" w:cs="华文中宋"/>
          <w:color w:val="auto"/>
          <w:sz w:val="24"/>
          <w:highlight w:val="none"/>
          <w:shd w:val="clear" w:color="auto" w:fill="FFFFFF"/>
        </w:rPr>
        <w:t>浙江省财政厅关于进一步加大政府采购 支持中小企业力度 助力扎实稳住经济 的通知</w:t>
      </w:r>
      <w:r>
        <w:rPr>
          <w:rFonts w:hint="eastAsia" w:ascii="华文中宋" w:hAnsi="华文中宋" w:eastAsia="华文中宋" w:cs="华文中宋"/>
          <w:color w:val="auto"/>
          <w:sz w:val="24"/>
          <w:highlight w:val="none"/>
          <w:shd w:val="clear" w:color="auto" w:fill="FFFFFF"/>
        </w:rPr>
        <w:t>》（浙财采监〔2022〕8号）</w:t>
      </w:r>
      <w:r>
        <w:rPr>
          <w:rFonts w:hint="eastAsia" w:ascii="宋体" w:hAnsi="宋体" w:cs="宋体"/>
          <w:color w:val="auto"/>
          <w:sz w:val="24"/>
          <w:highlight w:val="none"/>
        </w:rPr>
        <w:t>已分别于2022年1月29日、2022年2月1日和2022年7月1日开始实施，此前有关规定与上述文件内容不一致的，按上述文件要求执行。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名    称：杭州市春蕾中学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址：杭州市拱墅区仙林直街82号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项目联系人（询问）：朱志龙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w:t>
      </w:r>
      <w:r>
        <w:rPr>
          <w:rFonts w:ascii="宋体" w:hAnsi="宋体" w:cs="宋体"/>
          <w:color w:val="auto"/>
          <w:sz w:val="24"/>
          <w:highlight w:val="none"/>
        </w:rPr>
        <w:t>0571-87912708</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质疑联系人：俞伟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w:t>
      </w:r>
      <w:r>
        <w:rPr>
          <w:rFonts w:ascii="宋体" w:hAnsi="宋体" w:cs="宋体"/>
          <w:color w:val="auto"/>
          <w:sz w:val="24"/>
          <w:highlight w:val="none"/>
        </w:rPr>
        <w:t>0571-86525816</w:t>
      </w:r>
      <w:r>
        <w:rPr>
          <w:rFonts w:hint="eastAsia" w:ascii="宋体" w:hAnsi="宋体" w:cs="宋体"/>
          <w:color w:val="auto"/>
          <w:sz w:val="24"/>
          <w:highlight w:val="none"/>
        </w:rPr>
        <w:t xml:space="preserve">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称：浙江豪圣建设项目管理有限公司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址：杭州市拱墅区大关路179号远洋国际中心A座17楼1706室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传    真：/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项目联系人（询问）：徐华卿、曹</w:t>
      </w:r>
      <w:r>
        <w:rPr>
          <w:rFonts w:hint="eastAsia" w:ascii="宋体" w:hAnsi="宋体" w:cs="宋体"/>
          <w:color w:val="auto"/>
          <w:sz w:val="24"/>
          <w:highlight w:val="none"/>
          <w:lang w:val="en-US" w:eastAsia="zh-CN"/>
        </w:rPr>
        <w:t>剑</w:t>
      </w:r>
      <w:r>
        <w:rPr>
          <w:rFonts w:hint="eastAsia" w:ascii="宋体" w:hAnsi="宋体" w:cs="宋体"/>
          <w:color w:val="auto"/>
          <w:sz w:val="24"/>
          <w:highlight w:val="none"/>
        </w:rPr>
        <w:t xml:space="preserve">斌、陈敏娇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项目联系方式（询问）：0571-87981527</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质疑联系人：桑国坚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质疑联系方式：0571-56386096</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olor w:val="auto"/>
          <w:sz w:val="24"/>
          <w:highlight w:val="none"/>
        </w:rPr>
        <w:t>95763</w:t>
      </w:r>
      <w:r>
        <w:rPr>
          <w:rFonts w:hint="eastAsia" w:ascii="宋体" w:hAnsi="宋体" w:cs="宋体"/>
          <w:color w:val="auto"/>
          <w:sz w:val="24"/>
          <w:highlight w:val="none"/>
        </w:rPr>
        <w:t>获取热线服务帮助。</w:t>
      </w:r>
    </w:p>
    <w:p>
      <w:pPr>
        <w:snapToGrid w:val="0"/>
        <w:spacing w:line="360" w:lineRule="auto"/>
        <w:ind w:firstLine="480" w:firstLineChars="200"/>
        <w:rPr>
          <w:rFonts w:ascii="宋体" w:hAnsi="宋体" w:cs="宋体"/>
          <w:color w:val="auto"/>
          <w:sz w:val="24"/>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color w:val="auto"/>
          <w:sz w:val="24"/>
          <w:highlight w:val="none"/>
        </w:rPr>
        <w:t>CA问题联系电话（人工）：汇信CA 400-888-4636；天谷CA 400-087-8198。</w:t>
      </w:r>
    </w:p>
    <w:p>
      <w:pPr>
        <w:pStyle w:val="37"/>
        <w:spacing w:line="360" w:lineRule="auto"/>
        <w:jc w:val="center"/>
        <w:rPr>
          <w:rFonts w:hAnsi="宋体" w:cs="宋体"/>
          <w:b/>
          <w:snapToGrid/>
          <w:color w:val="auto"/>
          <w:sz w:val="36"/>
          <w:szCs w:val="20"/>
          <w:highlight w:val="none"/>
        </w:rPr>
      </w:pPr>
      <w:r>
        <w:rPr>
          <w:rFonts w:hint="eastAsia" w:hAnsi="宋体" w:cs="宋体"/>
          <w:b/>
          <w:snapToGrid/>
          <w:color w:val="auto"/>
          <w:sz w:val="36"/>
          <w:szCs w:val="20"/>
          <w:highlight w:val="none"/>
        </w:rPr>
        <w:t>第二部分</w:t>
      </w:r>
      <w:bookmarkEnd w:id="8"/>
      <w:r>
        <w:rPr>
          <w:rFonts w:hint="eastAsia" w:hAnsi="宋体" w:cs="宋体"/>
          <w:b/>
          <w:snapToGrid/>
          <w:color w:val="auto"/>
          <w:sz w:val="36"/>
          <w:szCs w:val="20"/>
          <w:highlight w:val="none"/>
        </w:rPr>
        <w:t xml:space="preserve"> 供应商须知</w:t>
      </w:r>
      <w:bookmarkEnd w:id="9"/>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5"/>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927"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工程</w:t>
            </w:r>
            <w:r>
              <w:rPr>
                <w:rFonts w:hint="eastAsia" w:ascii="宋体" w:hAnsi="宋体" w:cs="宋体"/>
                <w:color w:val="auto"/>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27" w:type="dxa"/>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春蕾中学两校区维修工程</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建筑业 </w:t>
            </w:r>
            <w:r>
              <w:rPr>
                <w:rFonts w:hint="eastAsia" w:ascii="宋体" w:hAnsi="宋体" w:cs="宋体"/>
                <w:color w:val="auto"/>
                <w:kern w:val="0"/>
                <w:sz w:val="24"/>
                <w:highlight w:val="none"/>
              </w:rPr>
              <w:t>行业；</w:t>
            </w:r>
          </w:p>
          <w:p>
            <w:pPr>
              <w:pStyle w:val="5"/>
              <w:rPr>
                <w:rFonts w:ascii="宋体" w:hAnsi="宋体" w:eastAsia="宋体" w:cs="宋体"/>
                <w:color w:val="auto"/>
                <w:highlight w:val="none"/>
                <w:lang w:val="en-US"/>
              </w:rPr>
            </w:pPr>
            <w:r>
              <w:rPr>
                <w:rFonts w:hint="eastAsia" w:ascii="宋体" w:hAnsi="宋体" w:eastAsia="宋体" w:cs="宋体"/>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27" w:type="dxa"/>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分包</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劳务</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不同意分包，具体理由：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磋商前答疑会或现场考察</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评审办法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成交供应商提供的样品，采购人、采购代理机构将通知未成交供应商在规定的时间内取回，逾期未取回的，采购人、采购代理机构不负保管义务；对于成交供应商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2093" w:type="dxa"/>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（1）在评审时安排每个供应商进行方案讲解演示。每个供应商时间不超过</w:t>
            </w:r>
            <w:r>
              <w:rPr>
                <w:rFonts w:hint="eastAsia" w:ascii="宋体" w:hAnsi="宋体" w:cs="宋体"/>
                <w:color w:val="auto"/>
                <w:kern w:val="0"/>
                <w:sz w:val="24"/>
                <w:highlight w:val="none"/>
                <w:u w:val="single"/>
              </w:rPr>
              <w:t>20（编制时可根据项目情况进行调整）</w:t>
            </w:r>
            <w:r>
              <w:rPr>
                <w:rFonts w:hint="eastAsia" w:ascii="宋体" w:hAnsi="宋体" w:cs="宋体"/>
                <w:color w:val="auto"/>
                <w:kern w:val="0"/>
                <w:sz w:val="24"/>
                <w:highlight w:val="none"/>
              </w:rPr>
              <w:t>分钟，讲解次序以响应文件解密时间先后次序为准，讲解演示人员不超过</w:t>
            </w:r>
            <w:r>
              <w:rPr>
                <w:rFonts w:hint="eastAsia" w:ascii="宋体" w:hAnsi="宋体" w:cs="宋体"/>
                <w:color w:val="auto"/>
                <w:kern w:val="0"/>
                <w:sz w:val="24"/>
                <w:highlight w:val="none"/>
                <w:u w:val="single"/>
              </w:rPr>
              <w:t>3（编制时可根据项目情况进行调整）</w:t>
            </w:r>
            <w:r>
              <w:rPr>
                <w:rFonts w:hint="eastAsia" w:ascii="宋体" w:hAnsi="宋体" w:cs="宋体"/>
                <w:color w:val="auto"/>
                <w:kern w:val="0"/>
                <w:sz w:val="24"/>
                <w:highlight w:val="none"/>
              </w:rPr>
              <w:t>人。讲解演示结束后按要求解答磋商小组提问。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2093" w:type="dxa"/>
            <w:vMerge w:val="restart"/>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供应商应当提供的资格、资信证明文件</w:t>
            </w: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（1）资格证明文件：见采购文件第二部分11.1。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snapToGrid w:val="0"/>
              <w:spacing w:line="360" w:lineRule="auto"/>
              <w:jc w:val="center"/>
              <w:rPr>
                <w:rFonts w:ascii="宋体" w:hAnsi="宋体" w:cs="宋体"/>
                <w:color w:val="auto"/>
                <w:sz w:val="24"/>
                <w:highlight w:val="none"/>
              </w:rPr>
            </w:pPr>
          </w:p>
        </w:tc>
        <w:tc>
          <w:tcPr>
            <w:tcW w:w="2093" w:type="dxa"/>
            <w:vMerge w:val="continue"/>
            <w:vAlign w:val="center"/>
          </w:tcPr>
          <w:p>
            <w:pPr>
              <w:snapToGrid w:val="0"/>
              <w:spacing w:line="360" w:lineRule="auto"/>
              <w:jc w:val="center"/>
              <w:rPr>
                <w:rFonts w:ascii="宋体" w:hAnsi="宋体" w:cs="宋体"/>
                <w:b/>
                <w:color w:val="auto"/>
                <w:sz w:val="24"/>
                <w:highlight w:val="none"/>
              </w:rPr>
            </w:pP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27" w:type="dxa"/>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927" w:type="dxa"/>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报价单是报价的唯一载体</w:t>
            </w:r>
            <w:r>
              <w:rPr>
                <w:rFonts w:hint="eastAsia" w:ascii="宋体" w:hAnsi="宋体" w:cs="宋体"/>
                <w:color w:val="auto"/>
                <w:kern w:val="0"/>
                <w:sz w:val="24"/>
                <w:highlight w:val="none"/>
                <w:lang w:val="zh-CN"/>
              </w:rPr>
              <w:t>。响应文件中价格全部采用人民币报价。采购文件未列明，而供应商认为必需的费用也需列入报价。</w:t>
            </w:r>
            <w:r>
              <w:rPr>
                <w:rFonts w:hint="eastAsia" w:ascii="宋体" w:hAnsi="宋体" w:cs="宋体"/>
                <w:b/>
                <w:color w:val="auto"/>
                <w:kern w:val="0"/>
                <w:sz w:val="24"/>
                <w:highlight w:val="none"/>
                <w:lang w:val="zh-CN"/>
              </w:rPr>
              <w:t>提醒：验收时检测费用由采购人承担，不包含在总价中。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最后报价出现下列情形的，响应文件无效：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响应文件出现不是唯一的、有选择性最后报价的；</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最后报价超过采购文件中规定的预算金额或者最高限价的;</w:t>
            </w:r>
          </w:p>
          <w:p>
            <w:pPr>
              <w:pStyle w:val="5"/>
              <w:rPr>
                <w:color w:val="auto"/>
                <w:highlight w:val="none"/>
              </w:rPr>
            </w:pP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供应商对根据修正原则修正后的报价不确认的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4"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927" w:type="dxa"/>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备份响应文件送达地点和签收人员</w:t>
            </w:r>
          </w:p>
        </w:tc>
        <w:tc>
          <w:tcPr>
            <w:tcW w:w="6927" w:type="dxa"/>
            <w:vAlign w:val="center"/>
          </w:tcPr>
          <w:p>
            <w:pPr>
              <w:pStyle w:val="37"/>
              <w:spacing w:line="360" w:lineRule="auto"/>
              <w:rPr>
                <w:rFonts w:hAnsi="宋体" w:cs="宋体"/>
                <w:color w:val="auto"/>
                <w:kern w:val="28"/>
                <w:sz w:val="24"/>
                <w:szCs w:val="24"/>
                <w:highlight w:val="none"/>
              </w:rPr>
            </w:pPr>
            <w:r>
              <w:rPr>
                <w:rFonts w:hint="eastAsia" w:hAnsi="宋体" w:cs="宋体"/>
                <w:color w:val="auto"/>
                <w:kern w:val="28"/>
                <w:sz w:val="24"/>
                <w:szCs w:val="24"/>
                <w:highlight w:val="none"/>
              </w:rPr>
              <w:t>备份响应文件送达地点：</w:t>
            </w:r>
            <w:r>
              <w:rPr>
                <w:rFonts w:hint="eastAsia" w:hAnsi="宋体" w:cs="宋体"/>
                <w:color w:val="auto"/>
                <w:sz w:val="24"/>
                <w:highlight w:val="none"/>
                <w:u w:val="single"/>
              </w:rPr>
              <w:t>杭州市拱墅区大关路179号远洋国际中心A座17楼1706室</w:t>
            </w:r>
            <w:r>
              <w:rPr>
                <w:rFonts w:hint="eastAsia" w:hAnsi="宋体" w:cs="宋体"/>
                <w:color w:val="auto"/>
                <w:kern w:val="28"/>
                <w:sz w:val="24"/>
                <w:szCs w:val="24"/>
                <w:highlight w:val="none"/>
              </w:rPr>
              <w:t>；</w:t>
            </w:r>
          </w:p>
          <w:p>
            <w:pPr>
              <w:pStyle w:val="37"/>
              <w:spacing w:line="360" w:lineRule="auto"/>
              <w:rPr>
                <w:rFonts w:hAnsi="宋体" w:cs="宋体"/>
                <w:color w:val="auto"/>
                <w:sz w:val="24"/>
                <w:szCs w:val="24"/>
                <w:highlight w:val="none"/>
              </w:rPr>
            </w:pPr>
            <w:r>
              <w:rPr>
                <w:rFonts w:hint="eastAsia" w:hAnsi="宋体" w:cs="宋体"/>
                <w:color w:val="auto"/>
                <w:kern w:val="28"/>
                <w:sz w:val="24"/>
                <w:szCs w:val="24"/>
                <w:highlight w:val="none"/>
              </w:rPr>
              <w:t>备份响应文件签收人员联系电话：</w:t>
            </w:r>
            <w:r>
              <w:rPr>
                <w:rFonts w:hint="eastAsia" w:hAnsi="宋体" w:cs="宋体"/>
                <w:color w:val="auto"/>
                <w:sz w:val="24"/>
                <w:highlight w:val="none"/>
                <w:u w:val="single"/>
              </w:rPr>
              <w:t>徐华卿，0571-87981527</w:t>
            </w:r>
            <w:r>
              <w:rPr>
                <w:rFonts w:hint="eastAsia" w:hAnsi="宋体" w:cs="宋体"/>
                <w:color w:val="auto"/>
                <w:sz w:val="24"/>
                <w:szCs w:val="24"/>
                <w:highlight w:val="none"/>
              </w:rPr>
              <w:t>。</w:t>
            </w:r>
          </w:p>
          <w:p>
            <w:pPr>
              <w:pStyle w:val="37"/>
              <w:spacing w:line="360" w:lineRule="auto"/>
              <w:rPr>
                <w:rFonts w:hAnsi="宋体" w:cs="宋体"/>
                <w:color w:val="auto"/>
                <w:kern w:val="28"/>
                <w:sz w:val="24"/>
                <w:highlight w:val="none"/>
              </w:rPr>
            </w:pPr>
            <w:r>
              <w:rPr>
                <w:rFonts w:hint="eastAsia" w:hAnsi="宋体" w:cs="宋体"/>
                <w:b/>
                <w:color w:val="auto"/>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其它说明</w:t>
            </w:r>
          </w:p>
        </w:tc>
        <w:tc>
          <w:tcPr>
            <w:tcW w:w="6927" w:type="dxa"/>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6927" w:type="dxa"/>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招标代理费按国家文件标准（发改价格[2011]534号），以工程中标价为基数下浮20%收费；工程造价咨询费用根据采用《浙价服[2009]84号》文件标准，以工程招标控制价为基数下浮50%收费（若低于最低收费2000元标准的则按2000元计费）。</w:t>
            </w:r>
          </w:p>
        </w:tc>
      </w:tr>
      <w:bookmarkEnd w:id="10"/>
    </w:tbl>
    <w:p>
      <w:pPr>
        <w:widowControl/>
        <w:adjustRightInd/>
        <w:jc w:val="left"/>
        <w:rPr>
          <w:rFonts w:ascii="宋体" w:hAnsi="宋体" w:cs="宋体"/>
          <w:b/>
          <w:color w:val="auto"/>
          <w:sz w:val="32"/>
          <w:szCs w:val="20"/>
          <w:highlight w:val="none"/>
        </w:rPr>
      </w:pPr>
      <w:bookmarkStart w:id="13" w:name="_Toc164416483"/>
      <w:bookmarkStart w:id="14" w:name="第三部分"/>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2.定义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“采购人”系指竞争性磋商公告中载明的本项目的采购人。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“采购代理机构”系指竞争性磋商公告中载明的本项目的采购代理机构。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“供应商”系指是指提交响应文件和报价、参与竞争性磋商采购活动的法人、其他组织或者自然人。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系指不适用本项目的要求，“※”系指磋商过程中可能实质性变动的内容。</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5"/>
        <w:tabs>
          <w:tab w:val="left" w:pos="0"/>
          <w:tab w:val="clear" w:pos="432"/>
        </w:tabs>
        <w:ind w:left="0" w:firstLine="480" w:firstLineChars="200"/>
        <w:rPr>
          <w:color w:val="auto"/>
          <w:highlight w:val="none"/>
          <w:lang w:val="en-US"/>
        </w:rPr>
      </w:pPr>
      <w:r>
        <w:rPr>
          <w:rFonts w:ascii="宋体" w:hAnsi="宋体" w:eastAsia="宋体" w:cs="宋体"/>
          <w:b w:val="0"/>
          <w:bCs w:val="0"/>
          <w:color w:val="auto"/>
          <w:sz w:val="24"/>
          <w:szCs w:val="24"/>
          <w:highlight w:val="none"/>
          <w:lang w:val="en-US"/>
        </w:rPr>
        <w:t xml:space="preserve">3.2.4 </w:t>
      </w:r>
      <w:r>
        <w:rPr>
          <w:rFonts w:hint="eastAsia" w:ascii="宋体" w:hAnsi="宋体" w:eastAsia="宋体" w:cs="宋体"/>
          <w:b w:val="0"/>
          <w:bCs w:val="0"/>
          <w:color w:val="auto"/>
          <w:sz w:val="24"/>
          <w:szCs w:val="24"/>
          <w:highlight w:val="none"/>
          <w:lang w:val="en-US"/>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在政府采购活动中，供应商提供的工程符合下列情形的，享受中小企业扶持政策：</w:t>
      </w:r>
      <w:r>
        <w:rPr>
          <w:rFonts w:ascii="宋体" w:hAnsi="宋体" w:cs="宋体"/>
          <w:color w:val="auto"/>
          <w:sz w:val="24"/>
          <w:highlight w:val="none"/>
        </w:rPr>
        <w:t>在工程采购项目中，工程由中小企业承建，即工程施工单位为中小企业</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5" w:name="_Hlk101132181"/>
      <w:r>
        <w:rPr>
          <w:rFonts w:hint="eastAsia" w:ascii="宋体" w:hAnsi="宋体" w:cs="宋体"/>
          <w:color w:val="auto"/>
          <w:sz w:val="24"/>
          <w:highlight w:val="none"/>
        </w:rPr>
        <w:t>联合协议或者分包意向协议约定小微企业的合同份额占到合同总金额30%以上的</w:t>
      </w:r>
      <w:bookmarkEnd w:id="15"/>
      <w:r>
        <w:rPr>
          <w:rFonts w:hint="eastAsia" w:ascii="宋体" w:hAnsi="宋体" w:cs="宋体"/>
          <w:color w:val="auto"/>
          <w:sz w:val="24"/>
          <w:highlight w:val="none"/>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5"/>
        <w:adjustRightInd w:val="0"/>
        <w:ind w:left="0" w:firstLine="480" w:firstLineChars="200"/>
        <w:rPr>
          <w:color w:val="auto"/>
          <w:highlight w:val="none"/>
        </w:rPr>
      </w:pPr>
      <w:r>
        <w:rPr>
          <w:rFonts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rPr>
        <w:t>采购人应当贯彻落实知识产权保护相关法律法规，应当采购使用正版软件。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4.1在线询问、质疑、投诉</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7"/>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.1提出质疑的供应商应当是参与所质疑项目采购活动的供应商。潜在供应商已依法获取其可质疑的采购文件的，可以对该文件提出质疑。</w:t>
      </w:r>
    </w:p>
    <w:p>
      <w:pPr>
        <w:pStyle w:val="37"/>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4.3.2.1对采购文件提出质疑的，质疑期限为供应商获得采购文件之日或者采购文件公告期限届满之日起计算。</w:t>
      </w:r>
    </w:p>
    <w:p>
      <w:pPr>
        <w:pStyle w:val="37"/>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w:t>
      </w:r>
    </w:p>
    <w:p>
      <w:pPr>
        <w:pStyle w:val="37"/>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4.3.2.3对采购结果提出质疑的，质疑期限自采购结果公告期限届满之日起计算。</w:t>
      </w:r>
    </w:p>
    <w:p>
      <w:pPr>
        <w:pStyle w:val="37"/>
        <w:snapToGrid w:val="0"/>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4.3.3.1供应商的姓名或者名称、地址、邮编、联系人及联系电话；</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4.3.3.2质疑项目的名称、编号；</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4.3.3.3具体、明确的质疑事项和与质疑事项相关的请求；</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4.3.3.4事实依据；</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4.3.3.5必要的法律依据；</w:t>
      </w:r>
    </w:p>
    <w:p>
      <w:pPr>
        <w:pStyle w:val="37"/>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质疑函范本及制作说明详见附件2。</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4.3.4对同一采购程序环节的质疑，供应商须在法定质疑期内一次性提出。</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80" w:firstLineChars="200"/>
        <w:contextualSpacing/>
        <w:rPr>
          <w:color w:val="auto"/>
          <w:highlight w:val="none"/>
        </w:rPr>
      </w:pPr>
      <w:r>
        <w:rPr>
          <w:rFonts w:hint="eastAsia" w:asciiTheme="minorEastAsia" w:hAnsiTheme="minorEastAsia" w:eastAsiaTheme="minorEastAsia"/>
          <w:color w:val="auto"/>
          <w:highlight w:val="none"/>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napToGrid w:val="0"/>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 xml:space="preserve">4.5 </w:t>
      </w:r>
      <w:r>
        <w:rPr>
          <w:rFonts w:hint="eastAsia" w:ascii="宋体" w:hAnsi="宋体" w:cs="仿宋"/>
          <w:color w:val="auto"/>
          <w:sz w:val="24"/>
          <w:highlight w:val="none"/>
        </w:rPr>
        <w:t>补偿救济</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90"/>
        <w:shd w:val="clear" w:color="auto" w:fill="FFFFFF"/>
        <w:snapToGrid w:val="0"/>
        <w:spacing w:after="240" w:afterAutospacing="0" w:line="360" w:lineRule="auto"/>
        <w:contextualSpacing/>
        <w:rPr>
          <w:color w:val="auto"/>
          <w:highlight w:val="none"/>
        </w:rPr>
      </w:pP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投诉书范本及制作说明详见附件3。</w:t>
      </w:r>
    </w:p>
    <w:p>
      <w:pPr>
        <w:pStyle w:val="132"/>
        <w:snapToGrid w:val="0"/>
        <w:spacing w:before="0"/>
        <w:ind w:firstLine="360"/>
        <w:rPr>
          <w:rFonts w:ascii="宋体" w:hAnsi="宋体" w:cs="宋体"/>
          <w:color w:val="auto"/>
          <w:sz w:val="18"/>
          <w:szCs w:val="18"/>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二、采购文件的构成、澄清、修改</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5．采购文件的构成</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采购文件包括下列文件及附件：</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5.1.1竞争性磋商公告；</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5.1.2供应商须知；</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5.1.4评审办法；</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澄清或者修改的内容为采购文件的组成部分</w:t>
      </w:r>
      <w:r>
        <w:rPr>
          <w:rFonts w:hint="eastAsia" w:ascii="宋体" w:hAnsi="宋体" w:cs="宋体"/>
          <w:color w:val="auto"/>
          <w:sz w:val="24"/>
          <w:highlight w:val="none"/>
        </w:rPr>
        <w:t>。</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6. 采购文件的澄清、修改</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6.1已获取采购文件的潜在供应商，若有问题需要澄清，应于响应文件提交（上传）截止时间前，以书面形式向采购代理机构提出。</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6"/>
        <w:rPr>
          <w:rFonts w:hAnsi="宋体" w:cs="宋体"/>
          <w:color w:val="auto"/>
          <w:sz w:val="18"/>
          <w:szCs w:val="18"/>
          <w:highlight w:val="none"/>
          <w:lang w:val="en-US"/>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三、提交响应文件</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7. 采购文件的获取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详见竞争性磋商公告中获取采购文件的时间期限、地点、方式及采购文件售价。</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8.磋商前答疑会或现场考察</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采购人组织潜在供应商现场考察或者召开磋商前答疑会的，潜在供应商按第二部分供应商须知前附表的规定参加现场考察或者磋商前答疑会。</w:t>
      </w:r>
    </w:p>
    <w:p>
      <w:pPr>
        <w:pStyle w:val="37"/>
        <w:spacing w:line="360" w:lineRule="auto"/>
        <w:rPr>
          <w:rFonts w:hAnsi="宋体" w:cs="宋体"/>
          <w:b/>
          <w:color w:val="auto"/>
          <w:szCs w:val="24"/>
          <w:highlight w:val="none"/>
        </w:rPr>
      </w:pPr>
      <w:r>
        <w:rPr>
          <w:rFonts w:hint="eastAsia" w:hAnsi="宋体" w:cs="宋体"/>
          <w:b/>
          <w:color w:val="auto"/>
          <w:kern w:val="28"/>
          <w:sz w:val="24"/>
          <w:szCs w:val="24"/>
          <w:highlight w:val="none"/>
        </w:rPr>
        <w:t>9.磋商保证金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本项目不需缴纳磋商保证金。</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10. 响应文件的语言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响应文件及供应商与采购有关的来往通知、函件和文件均应使用中文。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11. 响应文件的组成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6" w:name="_Hlk101259339"/>
      <w:r>
        <w:rPr>
          <w:rFonts w:hint="eastAsia" w:ascii="宋体" w:hAnsi="宋体" w:cs="宋体"/>
          <w:snapToGrid w:val="0"/>
          <w:color w:val="auto"/>
          <w:kern w:val="28"/>
          <w:sz w:val="24"/>
          <w:szCs w:val="20"/>
          <w:highlight w:val="none"/>
        </w:rPr>
        <w:t>联合协议</w:t>
      </w:r>
      <w:bookmarkStart w:id="17" w:name="_Hlk101257010"/>
      <w:r>
        <w:rPr>
          <w:rFonts w:hint="eastAsia" w:ascii="宋体" w:hAnsi="宋体" w:cs="宋体"/>
          <w:snapToGrid w:val="0"/>
          <w:color w:val="auto"/>
          <w:kern w:val="28"/>
          <w:sz w:val="24"/>
          <w:szCs w:val="20"/>
          <w:highlight w:val="none"/>
        </w:rPr>
        <w:t>（如果有)</w:t>
      </w:r>
      <w:bookmarkEnd w:id="16"/>
      <w:bookmarkEnd w:id="17"/>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color w:val="auto"/>
          <w:highlight w:val="none"/>
        </w:rPr>
      </w:pPr>
      <w:r>
        <w:rPr>
          <w:rFonts w:hint="eastAsia" w:ascii="宋体" w:hAnsi="宋体" w:cs="宋体"/>
          <w:color w:val="auto"/>
          <w:sz w:val="24"/>
          <w:highlight w:val="none"/>
        </w:rPr>
        <w:t>11.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中小企业声明函。</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11.2.1响应函；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11.2.3分包意向协议（如果有)；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11.2.5评审标准相应的商务技术资料；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11.3.1报价单；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11.3.2已标价工程量清单；</w:t>
      </w:r>
    </w:p>
    <w:p>
      <w:pPr>
        <w:pStyle w:val="5"/>
        <w:adjustRightInd w:val="0"/>
        <w:ind w:left="0" w:firstLine="960" w:firstLineChars="400"/>
        <w:rPr>
          <w:color w:val="auto"/>
          <w:highlight w:val="none"/>
        </w:rPr>
      </w:pPr>
      <w:r>
        <w:rPr>
          <w:rFonts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3</w:t>
      </w:r>
      <w:r>
        <w:rPr>
          <w:rFonts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响应文件含有采购人不能接受的附加条件的，响应文件无效；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供应商提供虚假材料的，响应文件无效。</w:t>
      </w:r>
    </w:p>
    <w:p>
      <w:pPr>
        <w:spacing w:line="360" w:lineRule="auto"/>
        <w:ind w:firstLine="720" w:firstLineChars="300"/>
        <w:rPr>
          <w:color w:val="auto"/>
          <w:highlight w:val="none"/>
        </w:rPr>
      </w:pPr>
      <w:r>
        <w:rPr>
          <w:rFonts w:hint="eastAsia"/>
          <w:color w:val="auto"/>
          <w:sz w:val="24"/>
          <w:highlight w:val="none"/>
          <w:shd w:val="clear" w:color="auto" w:fill="FFFFFF"/>
        </w:rPr>
        <w:t>供应商应对响应文件中材料的真实性、合法性负责。</w:t>
      </w:r>
    </w:p>
    <w:p>
      <w:pPr>
        <w:pStyle w:val="132"/>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响应文件的编制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13.响应文件的签署、盖章</w:t>
      </w:r>
    </w:p>
    <w:p>
      <w:pPr>
        <w:pStyle w:val="132"/>
        <w:snapToGrid w:val="0"/>
        <w:spacing w:before="0"/>
        <w:ind w:firstLine="480"/>
        <w:rPr>
          <w:rFonts w:ascii="宋体" w:hAnsi="宋体" w:cs="宋体"/>
          <w:b/>
          <w:color w:val="auto"/>
          <w:highlight w:val="none"/>
        </w:rPr>
      </w:pPr>
      <w:r>
        <w:rPr>
          <w:rFonts w:hint="eastAsia" w:ascii="宋体" w:hAnsi="宋体" w:cs="宋体"/>
          <w:color w:val="auto"/>
          <w:szCs w:val="24"/>
          <w:highlight w:val="none"/>
        </w:rPr>
        <w:t>13.1响应文件按照采购文件第六部分格式要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▲供应商的响应文件未按照采购文件要求签署、盖章的，其响应文件无效</w:t>
      </w:r>
      <w:r>
        <w:rPr>
          <w:rFonts w:hint="eastAsia" w:ascii="宋体" w:hAnsi="宋体" w:cs="宋体"/>
          <w:color w:val="auto"/>
          <w:szCs w:val="24"/>
          <w:highlight w:val="none"/>
        </w:rPr>
        <w:t>。</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13.2为确保网上操作合法、有效和安全，供应商应当在响应文件提交（上传）截止时间前完成在“政府采购云平台”的身份认证，确保在电子投标过程中能够对相关数据电文进行加密和使用电子签名。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color w:val="auto"/>
          <w:szCs w:val="24"/>
          <w:highlight w:val="none"/>
        </w:rPr>
      </w:pPr>
      <w:r>
        <w:rPr>
          <w:rFonts w:hint="eastAsia" w:ascii="宋体" w:hAnsi="宋体" w:cs="宋体"/>
          <w:color w:val="auto"/>
          <w:highlight w:val="none"/>
        </w:rPr>
        <w:t>13.3采购文件对响应文件签署、盖章的要求适用于电子签名。</w:t>
      </w:r>
    </w:p>
    <w:p>
      <w:pPr>
        <w:pStyle w:val="132"/>
        <w:snapToGrid w:val="0"/>
        <w:spacing w:before="0"/>
        <w:ind w:firstLine="0" w:firstLineChars="0"/>
        <w:rPr>
          <w:rFonts w:ascii="宋体" w:hAnsi="宋体" w:cs="宋体"/>
          <w:b/>
          <w:color w:val="auto"/>
          <w:szCs w:val="24"/>
          <w:highlight w:val="none"/>
        </w:rPr>
      </w:pP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响应文件的提交、补充、修改、撤回</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响应文件提交的截止时间。在上述情况下，采购代理机构与供应商以前在响应文件提交截止时间方面的全部权利、责任和义务，将适用于延长至新的响应文件提交截止时间。</w:t>
      </w:r>
    </w:p>
    <w:p>
      <w:pPr>
        <w:pStyle w:val="37"/>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15.备份响应文件</w:t>
      </w:r>
    </w:p>
    <w:p>
      <w:pPr>
        <w:pStyle w:val="37"/>
        <w:snapToGrid w:val="0"/>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15.1供应商在电子交易平台传输递交响应文件后，还可以在响应文件提交（上传）截止时间前直接提交或者以邮政快递方式递交备份响应文件1份，</w:t>
      </w:r>
      <w:r>
        <w:rPr>
          <w:rFonts w:hint="eastAsia" w:hAnsi="宋体" w:cs="宋体"/>
          <w:b/>
          <w:color w:val="auto"/>
          <w:sz w:val="24"/>
          <w:szCs w:val="24"/>
          <w:highlight w:val="none"/>
        </w:rPr>
        <w:t>但采购人、采购代理机构不强制或变相强制供应商提交备份响应文件。</w:t>
      </w:r>
    </w:p>
    <w:p>
      <w:pPr>
        <w:pStyle w:val="37"/>
        <w:snapToGrid w:val="0"/>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15.2备份响应文件须在“政采云投标客户端”制作生成，并储存在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存储、密封规定的备份响应文件将被视为无效或者被拒绝接收。</w:t>
      </w:r>
    </w:p>
    <w:p>
      <w:pPr>
        <w:pStyle w:val="37"/>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响应文件的，供应商应于响应文件提交（上传）截止时间前在竞争性磋商公告中载明的响应文件开启地点将备份响应文件提交给采购代理机构，采购代理机构将拒绝接受逾期送达的备份响应文件。</w:t>
      </w:r>
    </w:p>
    <w:p>
      <w:pPr>
        <w:pStyle w:val="37"/>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color w:val="auto"/>
          <w:sz w:val="24"/>
          <w:szCs w:val="24"/>
          <w:highlight w:val="none"/>
        </w:rPr>
        <w:t>采购文件第二部分供应商须知前附表规定的备份响应文件送达地点；</w:t>
      </w:r>
      <w:r>
        <w:rPr>
          <w:rFonts w:hint="eastAsia" w:hAnsi="宋体" w:cs="宋体"/>
          <w:color w:val="auto"/>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7"/>
        <w:snapToGrid w:val="0"/>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15.5供应商仅提交备份响应文件，未在电子交易平台传输递交响应文件的，响应文件无效。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16.响应文件的无效处理</w:t>
      </w:r>
    </w:p>
    <w:p>
      <w:pPr>
        <w:pStyle w:val="29"/>
        <w:spacing w:line="360" w:lineRule="auto"/>
        <w:ind w:firstLine="360" w:firstLineChars="150"/>
        <w:rPr>
          <w:rFonts w:cs="宋体"/>
          <w:color w:val="auto"/>
          <w:szCs w:val="21"/>
          <w:highlight w:val="none"/>
        </w:rPr>
      </w:pPr>
      <w:r>
        <w:rPr>
          <w:rFonts w:hint="eastAsia" w:cs="宋体"/>
          <w:color w:val="auto"/>
          <w:szCs w:val="21"/>
          <w:highlight w:val="none"/>
        </w:rPr>
        <w:t>有采购文件第四部分</w:t>
      </w:r>
      <w:r>
        <w:rPr>
          <w:rFonts w:hint="eastAsia" w:cs="宋体"/>
          <w:color w:val="auto"/>
          <w:highlight w:val="none"/>
        </w:rPr>
        <w:t>4.2规定</w:t>
      </w:r>
      <w:r>
        <w:rPr>
          <w:rFonts w:hint="eastAsia" w:cs="宋体"/>
          <w:color w:val="auto"/>
          <w:szCs w:val="21"/>
          <w:highlight w:val="none"/>
        </w:rPr>
        <w:t>的情形之一的，响应文件无效：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17.响应文件有效期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17.1响应文件有效期为从提交响应文件的截止之日起90天。▲</w:t>
      </w:r>
      <w:r>
        <w:rPr>
          <w:rFonts w:hint="eastAsia" w:ascii="宋体" w:hAnsi="宋体" w:cs="宋体"/>
          <w:b/>
          <w:color w:val="auto"/>
          <w:sz w:val="24"/>
          <w:szCs w:val="20"/>
          <w:highlight w:val="none"/>
        </w:rPr>
        <w:t>供应商的响应文件中承</w:t>
      </w:r>
      <w:r>
        <w:rPr>
          <w:rFonts w:hint="eastAsia" w:ascii="宋体" w:hAnsi="宋体" w:cs="宋体"/>
          <w:b/>
          <w:color w:val="auto"/>
          <w:sz w:val="24"/>
          <w:szCs w:val="21"/>
          <w:highlight w:val="none"/>
        </w:rPr>
        <w:t>诺的响应文件有效期少于采购文件中载明的响应文件有效期的，响应文件无效。</w:t>
      </w:r>
    </w:p>
    <w:p>
      <w:pPr>
        <w:pStyle w:val="132"/>
        <w:spacing w:before="0"/>
        <w:ind w:firstLine="480"/>
        <w:rPr>
          <w:rFonts w:ascii="宋体" w:hAnsi="宋体" w:cs="宋体"/>
          <w:color w:val="auto"/>
          <w:highlight w:val="none"/>
        </w:rPr>
      </w:pPr>
      <w:r>
        <w:rPr>
          <w:rFonts w:hint="eastAsia" w:ascii="宋体" w:hAnsi="宋体" w:cs="宋体"/>
          <w:color w:val="auto"/>
          <w:highlight w:val="none"/>
        </w:rPr>
        <w:t>17.2响应文件合格投递后，自响应文件提交截止时间起，在响应文件有效期内有效。</w:t>
      </w:r>
    </w:p>
    <w:p>
      <w:pPr>
        <w:pStyle w:val="132"/>
        <w:spacing w:before="0"/>
        <w:ind w:firstLine="480"/>
        <w:rPr>
          <w:rFonts w:ascii="宋体" w:hAnsi="宋体" w:cs="宋体"/>
          <w:color w:val="auto"/>
          <w:highlight w:val="none"/>
        </w:rPr>
      </w:pPr>
      <w:r>
        <w:rPr>
          <w:rFonts w:hint="eastAsia" w:ascii="宋体" w:hAnsi="宋体" w:cs="宋体"/>
          <w:color w:val="auto"/>
          <w:highlight w:val="none"/>
        </w:rPr>
        <w:t>17.3在原定响应文件有效期满之前，如果出现特殊情况，采购代理机构可以以书面形式通知供应商延长响应文件有效期。供应商同意延长的，不得要求或被允许修改其响应文件，供应商拒绝延长的，其响应文件无效。</w:t>
      </w:r>
    </w:p>
    <w:p>
      <w:pPr>
        <w:pStyle w:val="132"/>
        <w:spacing w:before="0"/>
        <w:ind w:firstLine="643"/>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四、响应文件开启、资格审查与信用信息查询</w:t>
      </w:r>
    </w:p>
    <w:p>
      <w:pPr>
        <w:pStyle w:val="558"/>
        <w:spacing w:before="0" w:line="360" w:lineRule="auto"/>
        <w:ind w:left="0" w:firstLine="0"/>
        <w:contextualSpacing/>
        <w:rPr>
          <w:rFonts w:ascii="宋体" w:hAnsi="宋体" w:cs="宋体"/>
          <w:color w:val="auto"/>
          <w:sz w:val="24"/>
          <w:highlight w:val="none"/>
        </w:rPr>
      </w:pPr>
      <w:r>
        <w:rPr>
          <w:rFonts w:hint="eastAsia" w:ascii="宋体" w:hAnsi="宋体" w:cs="宋体"/>
          <w:b/>
          <w:color w:val="auto"/>
          <w:sz w:val="24"/>
          <w:szCs w:val="24"/>
          <w:highlight w:val="none"/>
        </w:rPr>
        <w:t>18.响应文件开启</w:t>
      </w:r>
      <w:r>
        <w:rPr>
          <w:rFonts w:hint="eastAsia" w:ascii="宋体" w:hAnsi="宋体" w:cs="宋体"/>
          <w:color w:val="auto"/>
          <w:sz w:val="24"/>
          <w:highlight w:val="none"/>
        </w:rPr>
        <w:t xml:space="preserve"> </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18.1采购代理机构按照采购文件规定的时间通过电子交易平台组织响应文件开启，所有供应商均应当准时在线参加。供应商不足3家的，不得开启。</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18.2响应文件开启时，电子交易平台按响应文件开启时间自动提取所有响应文件。采购代理机构依托电子交易平台发起开始解密指令，供应商按照平台提示和采购文件的规定在半小时内完成在线解密。</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18.3</w:t>
      </w:r>
      <w:r>
        <w:rPr>
          <w:rFonts w:hint="eastAsia" w:ascii="宋体" w:hAnsi="宋体" w:cs="宋体"/>
          <w:b/>
          <w:bCs/>
          <w:color w:val="auto"/>
          <w:sz w:val="24"/>
          <w:highlight w:val="none"/>
        </w:rPr>
        <w:t>响应文件未按时解密，供应商提供了备份响应文件的，以备份响应文件作为依据，否则视为响应文件撤回。响应文件已按时解密的，备份响应文件自动失效。</w:t>
      </w:r>
    </w:p>
    <w:p>
      <w:pPr>
        <w:pStyle w:val="558"/>
        <w:spacing w:before="0" w:line="360" w:lineRule="auto"/>
        <w:ind w:left="0" w:firstLine="0"/>
        <w:contextualSpacing/>
        <w:rPr>
          <w:rFonts w:ascii="宋体" w:hAnsi="宋体" w:cs="宋体"/>
          <w:b/>
          <w:color w:val="auto"/>
          <w:sz w:val="24"/>
          <w:szCs w:val="24"/>
          <w:highlight w:val="none"/>
        </w:rPr>
      </w:pPr>
      <w:r>
        <w:rPr>
          <w:rFonts w:hint="eastAsia" w:ascii="宋体" w:hAnsi="宋体" w:cs="宋体"/>
          <w:b/>
          <w:color w:val="auto"/>
          <w:sz w:val="24"/>
          <w:szCs w:val="24"/>
          <w:highlight w:val="none"/>
        </w:rPr>
        <w:t>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采购人、采购代理机构或磋商小组依据法律法规和采购文件的规定，对供应商的资格进行审查。</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19.2供应商未按照采购文件要求提供与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供应商不具备采购文件中规定的资格要求，其响应文件无效。</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3对未通过资格审查的供应商，采购人或采购代理机构告知其未通过的原因。</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4合格供应商不足3家的，不再评审。</w:t>
      </w:r>
    </w:p>
    <w:p>
      <w:pPr>
        <w:pStyle w:val="132"/>
        <w:snapToGrid w:val="0"/>
        <w:spacing w:before="0"/>
        <w:ind w:firstLine="480"/>
        <w:rPr>
          <w:rFonts w:ascii="宋体" w:hAnsi="宋体" w:cs="宋体"/>
          <w:color w:val="auto"/>
          <w:highlight w:val="none"/>
        </w:rPr>
      </w:pPr>
      <w:r>
        <w:rPr>
          <w:rFonts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20.1信用信息查询渠道及截止时间：采购代理机构将在资格审查时通过“信用中国”网站(www.creditchina.gov.cn)、中国政府采购网(www.ccgp.gov.cn)渠道查询供应商接受资格审查时的信用记录。</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20.2信用信息查询记录和证据留存的具体方式：现场查询的供应商的信用记录、查询结果经确认后将与采购文件一起存档。</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2"/>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五、评审</w:t>
      </w:r>
    </w:p>
    <w:p>
      <w:pPr>
        <w:spacing w:line="360" w:lineRule="auto"/>
        <w:rPr>
          <w:rFonts w:ascii="宋体" w:hAnsi="宋体" w:cs="宋体"/>
          <w:b/>
          <w:color w:val="auto"/>
          <w:sz w:val="24"/>
          <w:highlight w:val="none"/>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color w:val="auto"/>
          <w:sz w:val="24"/>
          <w:highlight w:val="none"/>
        </w:rPr>
        <w:t>详见采购文件第四部分评审办法。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六、成交供应商确定</w:t>
      </w:r>
    </w:p>
    <w:p>
      <w:pPr>
        <w:pStyle w:val="29"/>
        <w:spacing w:line="360" w:lineRule="auto"/>
        <w:ind w:left="479" w:hanging="479" w:hangingChars="199"/>
        <w:rPr>
          <w:rFonts w:cs="宋体"/>
          <w:b/>
          <w:color w:val="auto"/>
          <w:highlight w:val="none"/>
        </w:rPr>
      </w:pPr>
      <w:r>
        <w:rPr>
          <w:rFonts w:hint="eastAsia" w:cs="宋体"/>
          <w:b/>
          <w:color w:val="auto"/>
          <w:highlight w:val="none"/>
        </w:rPr>
        <w:t>22. 确定成交供应商</w:t>
      </w:r>
    </w:p>
    <w:p>
      <w:pPr>
        <w:pStyle w:val="132"/>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成交通知与成交结果公告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23.1自成交供应商确定之日起1个工作日内，采购代理机构通过电子交易平台向成交供应商发出成交通知书，同时编制发布采购结果公告。采购代理机构也可以以纸质形式进行成交通知。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成交结果公告内容包括采购人及其委托的采购代理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widowControl/>
        <w:shd w:val="clear" w:color="auto" w:fill="FFFFFF"/>
        <w:spacing w:line="360" w:lineRule="auto"/>
        <w:ind w:firstLine="480"/>
        <w:rPr>
          <w:rFonts w:ascii="宋体" w:hAnsi="宋体" w:cs="宋体"/>
          <w:color w:val="auto"/>
          <w:sz w:val="24"/>
          <w:highlight w:val="none"/>
        </w:rPr>
      </w:pPr>
      <w:r>
        <w:rPr>
          <w:rFonts w:ascii="宋体" w:hAnsi="宋体" w:cs="宋体"/>
          <w:bCs/>
          <w:color w:val="auto"/>
          <w:sz w:val="24"/>
          <w:highlight w:val="none"/>
        </w:rPr>
        <w:t>23.4</w:t>
      </w:r>
      <w:r>
        <w:rPr>
          <w:rFonts w:hint="eastAsia" w:ascii="宋体" w:hAnsi="宋体" w:cs="宋体"/>
          <w:bCs/>
          <w:color w:val="auto"/>
          <w:sz w:val="24"/>
          <w:highlight w:val="none"/>
        </w:rPr>
        <w:t>由于成交供应商原因导致重新采购的，应当承担支付代理费和专家评审费等费用在内的赔偿责任。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七、合同授予</w:t>
      </w:r>
    </w:p>
    <w:p>
      <w:pPr>
        <w:pStyle w:val="29"/>
        <w:snapToGrid w:val="0"/>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9"/>
        <w:snapToGrid w:val="0"/>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2"/>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25.5采购合同由采购人与成交供应商根据采购文件、响应文件等内容通过政府采购电子交易平台在线签订，自动备案。</w:t>
      </w:r>
    </w:p>
    <w:p>
      <w:pPr>
        <w:pStyle w:val="29"/>
        <w:snapToGrid w:val="0"/>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napToGrid w:val="0"/>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cs="宋体"/>
          <w:color w:val="auto"/>
          <w:sz w:val="24"/>
          <w:highlight w:val="none"/>
        </w:rPr>
        <w:t>。杭州市政府采购网公布的供应商履约评价为满分的供应商，采购单位应当免收履约保证金。确需收取履约保证金的，履约保证金缴纳最高比例由不超过合同金额的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，鼓励根据项目特点、供应商诚信等因素免收履约保证金或降低缴纳比例。采购单位鼓励供应商采取履约保函形式提供信用保证；供应商提供保函的，采购单位不得拒收。项目验收结束后应及时退还，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snapToGrid w:val="0"/>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八、电子交易活动的中止</w:t>
      </w:r>
    </w:p>
    <w:p>
      <w:pPr>
        <w:pStyle w:val="132"/>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九、验收</w:t>
      </w:r>
    </w:p>
    <w:p>
      <w:pPr>
        <w:pStyle w:val="29"/>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pStyle w:val="5"/>
        <w:adjustRightInd w:val="0"/>
        <w:snapToGrid w:val="0"/>
        <w:ind w:left="0" w:firstLine="480" w:firstLineChars="200"/>
        <w:rPr>
          <w:rFonts w:ascii="宋体" w:hAnsi="宋体" w:eastAsia="宋体" w:cs="宋体"/>
          <w:b w:val="0"/>
          <w:bCs w:val="0"/>
          <w:color w:val="auto"/>
          <w:kern w:val="0"/>
          <w:sz w:val="24"/>
          <w:szCs w:val="24"/>
          <w:highlight w:val="none"/>
          <w:lang w:val="en-US"/>
        </w:rPr>
      </w:pPr>
      <w:bookmarkStart w:id="19" w:name="_Hlt68057669"/>
      <w:bookmarkEnd w:id="19"/>
      <w:bookmarkStart w:id="20" w:name="_Hlt74707468"/>
      <w:bookmarkEnd w:id="20"/>
      <w:bookmarkStart w:id="21" w:name="_Hlt74714665"/>
      <w:bookmarkEnd w:id="21"/>
      <w:bookmarkStart w:id="22" w:name="_Hlt75236011"/>
      <w:bookmarkEnd w:id="22"/>
      <w:bookmarkStart w:id="23" w:name="_Hlt68403820"/>
      <w:bookmarkEnd w:id="23"/>
      <w:bookmarkStart w:id="24" w:name="_Hlt74729768"/>
      <w:bookmarkEnd w:id="24"/>
      <w:bookmarkStart w:id="25" w:name="_Hlt68072990"/>
      <w:bookmarkEnd w:id="25"/>
      <w:bookmarkStart w:id="26" w:name="_Hlt68072998"/>
      <w:bookmarkEnd w:id="26"/>
      <w:bookmarkStart w:id="27" w:name="_Hlt75236290"/>
      <w:bookmarkEnd w:id="27"/>
      <w:bookmarkStart w:id="28" w:name="_Hlt74730295"/>
      <w:bookmarkEnd w:id="28"/>
      <w:bookmarkStart w:id="29" w:name="_Hlt68073093"/>
      <w:bookmarkEnd w:id="29"/>
      <w:bookmarkStart w:id="30" w:name="_Hlt75236101"/>
      <w:bookmarkEnd w:id="30"/>
      <w:r>
        <w:rPr>
          <w:rFonts w:ascii="宋体" w:hAnsi="宋体" w:eastAsia="宋体" w:cs="宋体"/>
          <w:b w:val="0"/>
          <w:bCs w:val="0"/>
          <w:color w:val="auto"/>
          <w:kern w:val="0"/>
          <w:sz w:val="24"/>
          <w:szCs w:val="24"/>
          <w:highlight w:val="none"/>
          <w:lang w:val="en-US"/>
        </w:rPr>
        <w:t xml:space="preserve">30.5 </w:t>
      </w:r>
      <w:r>
        <w:rPr>
          <w:rFonts w:hint="eastAsia" w:ascii="宋体" w:hAnsi="宋体" w:eastAsia="宋体" w:cs="宋体"/>
          <w:b w:val="0"/>
          <w:bCs w:val="0"/>
          <w:color w:val="auto"/>
          <w:kern w:val="0"/>
          <w:sz w:val="24"/>
          <w:szCs w:val="24"/>
          <w:highlight w:val="none"/>
          <w:lang w:val="en-US"/>
        </w:rPr>
        <w:t>对于满足合同约定的采购资金支付条件的，供应商可通过政采云平台提起在线支付申请、查询支付结果，路径为政采云</w:t>
      </w:r>
      <w:r>
        <w:rPr>
          <w:rFonts w:ascii="宋体" w:hAnsi="宋体" w:eastAsia="宋体" w:cs="宋体"/>
          <w:b w:val="0"/>
          <w:bCs w:val="0"/>
          <w:color w:val="auto"/>
          <w:kern w:val="0"/>
          <w:sz w:val="24"/>
          <w:szCs w:val="24"/>
          <w:highlight w:val="none"/>
          <w:lang w:val="en-US"/>
        </w:rPr>
        <w:t>-我的工作台-</w:t>
      </w:r>
      <w:r>
        <w:rPr>
          <w:rFonts w:hint="eastAsia" w:ascii="宋体" w:hAnsi="宋体" w:eastAsia="宋体" w:cs="宋体"/>
          <w:b w:val="0"/>
          <w:bCs w:val="0"/>
          <w:color w:val="auto"/>
          <w:kern w:val="0"/>
          <w:sz w:val="24"/>
          <w:szCs w:val="24"/>
          <w:highlight w:val="none"/>
          <w:lang w:val="en-US"/>
        </w:rPr>
        <w:t>合同管理</w:t>
      </w:r>
      <w:r>
        <w:rPr>
          <w:rFonts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rPr>
        <w:t>人应当按规定做好审核并完成支付。</w:t>
      </w:r>
    </w:p>
    <w:p>
      <w:pPr>
        <w:pStyle w:val="2"/>
        <w:rPr>
          <w:color w:val="auto"/>
          <w:highlight w:val="none"/>
        </w:rPr>
        <w:sectPr>
          <w:pgSz w:w="11906" w:h="16838"/>
          <w:pgMar w:top="1440" w:right="1080" w:bottom="1440" w:left="1080" w:header="851" w:footer="992" w:gutter="0"/>
          <w:cols w:space="720" w:num="1"/>
          <w:titlePg/>
          <w:docGrid w:linePitch="312" w:charSpace="0"/>
        </w:sectPr>
      </w:pPr>
    </w:p>
    <w:bookmarkEnd w:id="13"/>
    <w:bookmarkEnd w:id="14"/>
    <w:p>
      <w:pPr>
        <w:pStyle w:val="37"/>
        <w:spacing w:line="360" w:lineRule="auto"/>
        <w:jc w:val="center"/>
        <w:rPr>
          <w:rFonts w:hAnsi="宋体" w:cs="宋体"/>
          <w:b/>
          <w:snapToGrid/>
          <w:color w:val="auto"/>
          <w:sz w:val="36"/>
          <w:szCs w:val="20"/>
          <w:highlight w:val="none"/>
        </w:rPr>
      </w:pPr>
      <w:bookmarkStart w:id="31" w:name="第四部分"/>
      <w:r>
        <w:rPr>
          <w:rFonts w:hint="eastAsia" w:hAnsi="宋体" w:cs="宋体"/>
          <w:b/>
          <w:snapToGrid/>
          <w:color w:val="auto"/>
          <w:sz w:val="36"/>
          <w:szCs w:val="20"/>
          <w:highlight w:val="none"/>
        </w:rPr>
        <w:t>第三部分 采购需求</w:t>
      </w:r>
    </w:p>
    <w:p>
      <w:pPr>
        <w:spacing w:line="360" w:lineRule="auto"/>
        <w:jc w:val="left"/>
        <w:rPr>
          <w:rFonts w:ascii="宋体" w:hAnsi="宋体" w:cs="仿宋_GB2312"/>
          <w:b/>
          <w:bCs/>
          <w:color w:val="auto"/>
          <w:sz w:val="24"/>
          <w:highlight w:val="none"/>
        </w:rPr>
      </w:pPr>
      <w:r>
        <w:rPr>
          <w:rFonts w:hint="eastAsia" w:ascii="宋体" w:hAnsi="宋体" w:cs="仿宋_GB2312"/>
          <w:b/>
          <w:bCs/>
          <w:color w:val="auto"/>
          <w:sz w:val="24"/>
          <w:highlight w:val="none"/>
        </w:rPr>
        <w:t>一、工程概况</w:t>
      </w:r>
    </w:p>
    <w:p>
      <w:pPr>
        <w:spacing w:line="360" w:lineRule="auto"/>
        <w:ind w:firstLine="480" w:firstLineChars="200"/>
        <w:rPr>
          <w:rFonts w:ascii="宋体" w:hAnsi="宋体" w:cs="仿宋_GB2312"/>
          <w:color w:val="auto"/>
          <w:sz w:val="24"/>
          <w:highlight w:val="none"/>
          <w:lang w:val="zh-CN"/>
        </w:rPr>
      </w:pPr>
      <w:r>
        <w:rPr>
          <w:rFonts w:hint="eastAsia" w:ascii="宋体" w:hAnsi="宋体" w:cs="仿宋_GB2312"/>
          <w:color w:val="auto"/>
          <w:sz w:val="24"/>
          <w:highlight w:val="none"/>
        </w:rPr>
        <w:t>1.项目预算：</w:t>
      </w:r>
      <w:r>
        <w:rPr>
          <w:rFonts w:hint="eastAsia" w:ascii="宋体" w:hAnsi="宋体" w:cs="仿宋_GB2312"/>
          <w:color w:val="auto"/>
          <w:sz w:val="24"/>
          <w:highlight w:val="none"/>
          <w:lang w:val="en-US" w:eastAsia="zh-CN"/>
        </w:rPr>
        <w:t>92</w:t>
      </w:r>
      <w:bookmarkStart w:id="497" w:name="_GoBack"/>
      <w:bookmarkEnd w:id="497"/>
      <w:r>
        <w:rPr>
          <w:rFonts w:hint="eastAsia" w:ascii="宋体" w:hAnsi="宋体" w:cs="仿宋_GB2312"/>
          <w:color w:val="auto"/>
          <w:sz w:val="24"/>
          <w:highlight w:val="none"/>
        </w:rPr>
        <w:t>万元，最高限价</w:t>
      </w:r>
      <w:r>
        <w:rPr>
          <w:rFonts w:ascii="宋体" w:hAnsi="宋体" w:cs="仿宋_GB2312"/>
          <w:color w:val="auto"/>
          <w:sz w:val="24"/>
          <w:highlight w:val="none"/>
        </w:rPr>
        <w:t>90</w:t>
      </w:r>
      <w:r>
        <w:rPr>
          <w:rFonts w:hint="eastAsia" w:ascii="宋体" w:hAnsi="宋体" w:cs="仿宋_GB2312"/>
          <w:color w:val="auto"/>
          <w:sz w:val="24"/>
          <w:highlight w:val="none"/>
        </w:rPr>
        <w:t>.</w:t>
      </w:r>
      <w:r>
        <w:rPr>
          <w:rFonts w:ascii="宋体" w:hAnsi="宋体" w:cs="仿宋_GB2312"/>
          <w:color w:val="auto"/>
          <w:sz w:val="24"/>
          <w:highlight w:val="none"/>
        </w:rPr>
        <w:t>1708</w:t>
      </w:r>
      <w:r>
        <w:rPr>
          <w:rFonts w:hint="eastAsia" w:ascii="宋体" w:hAnsi="宋体" w:cs="仿宋_GB2312"/>
          <w:color w:val="auto"/>
          <w:sz w:val="24"/>
          <w:highlight w:val="none"/>
        </w:rPr>
        <w:t>万元。</w:t>
      </w:r>
    </w:p>
    <w:p>
      <w:pPr>
        <w:pStyle w:val="970"/>
        <w:spacing w:line="360" w:lineRule="auto"/>
        <w:ind w:firstLine="480" w:firstLineChars="200"/>
        <w:jc w:val="both"/>
        <w:rPr>
          <w:color w:val="auto"/>
          <w:highlight w:val="none"/>
        </w:rPr>
      </w:pPr>
      <w:r>
        <w:rPr>
          <w:rFonts w:hint="eastAsia" w:hAnsi="宋体"/>
          <w:color w:val="auto"/>
          <w:highlight w:val="none"/>
        </w:rPr>
        <w:t>2.</w:t>
      </w:r>
      <w:r>
        <w:rPr>
          <w:rFonts w:hint="eastAsia" w:ascii="微软雅黑" w:hAnsi="微软雅黑" w:eastAsia="微软雅黑" w:cs="微软雅黑"/>
          <w:color w:val="auto"/>
          <w:highlight w:val="none"/>
        </w:rPr>
        <w:t>▲</w:t>
      </w:r>
      <w:r>
        <w:rPr>
          <w:rFonts w:hint="eastAsia" w:hAnsi="宋体"/>
          <w:b/>
          <w:bCs/>
          <w:color w:val="auto"/>
          <w:highlight w:val="none"/>
        </w:rPr>
        <w:t>拟派建造师（项目经理）具有建筑工程专业贰级及以上建造师资格，且具有有效的三类人员B类证书；</w:t>
      </w:r>
    </w:p>
    <w:p>
      <w:pPr>
        <w:spacing w:line="360" w:lineRule="auto"/>
        <w:jc w:val="left"/>
        <w:rPr>
          <w:rFonts w:ascii="宋体" w:hAnsi="宋体" w:cs="仿宋_GB2312"/>
          <w:color w:val="auto"/>
          <w:sz w:val="24"/>
          <w:highlight w:val="none"/>
        </w:rPr>
      </w:pPr>
      <w:r>
        <w:rPr>
          <w:rFonts w:hint="eastAsia" w:ascii="宋体" w:hAnsi="宋体" w:cs="仿宋_GB2312"/>
          <w:b/>
          <w:bCs/>
          <w:color w:val="auto"/>
          <w:sz w:val="24"/>
          <w:highlight w:val="none"/>
        </w:rPr>
        <w:t xml:space="preserve">二、工程内容 </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1.工程名称</w:t>
      </w:r>
    </w:p>
    <w:p>
      <w:pPr>
        <w:spacing w:line="360" w:lineRule="auto"/>
        <w:ind w:left="210" w:leftChars="100" w:firstLine="240" w:firstLineChars="100"/>
        <w:jc w:val="left"/>
        <w:rPr>
          <w:rFonts w:ascii="宋体" w:hAnsi="宋体"/>
          <w:color w:val="auto"/>
          <w:sz w:val="24"/>
          <w:highlight w:val="none"/>
        </w:rPr>
      </w:pPr>
      <w:r>
        <w:rPr>
          <w:rFonts w:hint="eastAsia" w:ascii="宋体" w:hAnsi="宋体"/>
          <w:color w:val="auto"/>
          <w:sz w:val="24"/>
          <w:highlight w:val="none"/>
        </w:rPr>
        <w:t>春蕾中学两校区维修工程。</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2.现场条件</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已具备施工条件</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3.工程承包范围</w:t>
      </w:r>
    </w:p>
    <w:p>
      <w:pPr>
        <w:spacing w:line="360" w:lineRule="auto"/>
        <w:ind w:firstLine="482" w:firstLineChars="200"/>
        <w:jc w:val="left"/>
        <w:rPr>
          <w:rFonts w:ascii="宋体" w:hAnsi="宋体" w:cs="仿宋_GB2312"/>
          <w:b/>
          <w:bCs/>
          <w:color w:val="auto"/>
          <w:sz w:val="24"/>
          <w:highlight w:val="none"/>
        </w:rPr>
      </w:pPr>
      <w:r>
        <w:rPr>
          <w:rFonts w:hint="eastAsia" w:ascii="宋体" w:hAnsi="宋体" w:cs="仿宋_GB2312"/>
          <w:b/>
          <w:bCs/>
          <w:color w:val="auto"/>
          <w:sz w:val="24"/>
          <w:highlight w:val="none"/>
        </w:rPr>
        <w:t>两校区维修，施工内容包含舞蹈室改造、屋面改造等工程，具体内容详见工程量清单。</w:t>
      </w:r>
    </w:p>
    <w:p>
      <w:pPr>
        <w:spacing w:line="360" w:lineRule="auto"/>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施工图、工程量清单及其编制说明、竞争性磋商文件中明确的内容为准，可能出现的施工图设计变更及根据发包人明确指令需在施工图范围外增加的工程量及施工图范围内减少的工程量。</w:t>
      </w:r>
    </w:p>
    <w:p>
      <w:pPr>
        <w:spacing w:line="360" w:lineRule="auto"/>
        <w:ind w:left="210" w:leftChars="100" w:firstLine="240" w:firstLineChars="100"/>
        <w:jc w:val="left"/>
        <w:rPr>
          <w:rFonts w:ascii="宋体" w:hAnsi="宋体" w:cs="仿宋_GB2312"/>
          <w:color w:val="auto"/>
          <w:sz w:val="24"/>
          <w:highlight w:val="none"/>
        </w:rPr>
      </w:pPr>
      <w:r>
        <w:rPr>
          <w:rFonts w:hint="eastAsia" w:ascii="宋体" w:hAnsi="宋体" w:cs="仿宋_GB2312"/>
          <w:color w:val="auto"/>
          <w:sz w:val="24"/>
          <w:highlight w:val="none"/>
        </w:rPr>
        <w:t>4.工程质量标准</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工程施工中的所有材料、设备和施工质量均应符合下列技术规范的要求：</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4.1本工程采用的技术规范</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（1）国家现行的设计规范。</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（2）国家现行的施工规范。</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（3）国家现行的验收规范。</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（4）国家现行的质量验评标准。</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（5）国家及地方现行施工验收及施工安全技术规范。</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4.2规范的获得由承包人自行解决。</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4.3在合同履行期间，若上述标准或规范有修改或重新颁布，承包人应遵照执行。</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5.工程施工要求</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5.1本工程施工严格按照规范要求进行施工，达到各项拟定的设计指标；</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5.2所有材料设备必须在检验合格经采购人同意后，方可用于本工程；</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5.3隐蔽工程必须经采购人检查、验收后，方可进行下一道工序；</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5.4在免费保修期内，成交人对有缺陷的部位必须无偿地给予修理与更换，并承担一切由此引起的对采购人或第三者的直接损失，除非该缺陷是由于人为破坏或合同规定的不可抗因素造成的损坏。</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5.5成交人必须对所承包的工程的质量负全部责任，其责任不因其他材料生产商提供的保证书而减轻或更改。</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5.6施工时注意做好必要的劳动保护工作。</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6.工程管理要求</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6.1本工程发包范围内的工程项目，未经采购人同意一律不得分包。一经发现立即取消承包资格，作违约处理，并承担由此引起的一切经济损失。</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6.2成交人应严格按已确认施工技术方案组织施工，并无条件地接受采购人代表对施工质量的监督和管理。</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6.3成交人在工程施工全过程中要认真做好产品保护。因失窃或失火造成的损失均由承包方负责，凡由此而损及采购人利益时，采购人将向成交人索赔。</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 xml:space="preserve">7.工程主要材料（设备）要求  </w:t>
      </w:r>
    </w:p>
    <w:p>
      <w:pPr>
        <w:spacing w:line="360" w:lineRule="auto"/>
        <w:ind w:firstLine="480" w:firstLineChars="200"/>
        <w:rPr>
          <w:rFonts w:ascii="宋体" w:hAnsi="宋体"/>
          <w:color w:val="auto"/>
          <w:sz w:val="24"/>
          <w:highlight w:val="none"/>
        </w:rPr>
      </w:pPr>
      <w:bookmarkStart w:id="32" w:name="_Toc66769197"/>
      <w:r>
        <w:rPr>
          <w:rFonts w:hint="eastAsia" w:ascii="宋体" w:hAnsi="宋体"/>
          <w:color w:val="auto"/>
          <w:sz w:val="24"/>
          <w:highlight w:val="none"/>
        </w:rPr>
        <w:t>7.1材料选择</w:t>
      </w:r>
      <w:bookmarkEnd w:id="3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本工程使用的原材料必须符合设计要求和施工规范的规定。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实际施工过程中，发包人将严格检查验收进场原材料的合格证及质保书，如发现实样与质保书不符，应立即取样进行复查，对不合格的材料严禁用于本工程。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工程涉及的主要材料及零星材料，各磋商供应商须根据采购人要求及规范进行选材并报价，所有材料要求采用在行业内有一定知名度的品牌，材料生产厂家必须通过ISO质量认证，并符合环保要求，严禁选择不合设计要求的低档材料进行磋商报价及组织施工实施。</w:t>
      </w:r>
    </w:p>
    <w:p>
      <w:pPr>
        <w:spacing w:line="360" w:lineRule="auto"/>
        <w:ind w:firstLine="480" w:firstLineChars="200"/>
        <w:rPr>
          <w:rFonts w:ascii="宋体" w:hAnsi="宋体" w:cs="宋体"/>
          <w:color w:val="auto"/>
          <w:sz w:val="24"/>
          <w:highlight w:val="none"/>
        </w:rPr>
      </w:pPr>
      <w:bookmarkStart w:id="33" w:name="_Toc66769198"/>
      <w:r>
        <w:rPr>
          <w:rFonts w:hint="eastAsia" w:ascii="宋体" w:hAnsi="宋体" w:cs="宋体"/>
          <w:color w:val="auto"/>
          <w:sz w:val="24"/>
          <w:highlight w:val="none"/>
        </w:rPr>
        <w:t>7.2设备材料选择</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（1）所用各类设备材料须经发包人认可后方可使用。发包人保留在备选品牌之外选择设备材料的权力。</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（2）所用各类设备材料都应符合设计和国家规定的相关技术规范标准要求。</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（3）所用各类设备材料均有质量合格证书。</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7.3设备材料的质量保证</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（1）在施工期间内，承包人对有缺陷的部位必须无偿地给予修正，并承担一切由此引起的对发包人或第三者的直接损失，除非该缺陷是由于人为破坏或合同规定的不可抗因素造成的损坏。</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bookmarkEnd w:id="33"/>
    </w:p>
    <w:p>
      <w:pPr>
        <w:spacing w:line="360" w:lineRule="auto"/>
        <w:ind w:firstLine="480" w:firstLineChars="200"/>
        <w:rPr>
          <w:rFonts w:ascii="宋体" w:hAnsi="宋体" w:cs="仿宋_GB2312"/>
          <w:b/>
          <w:bCs/>
          <w:color w:val="auto"/>
          <w:sz w:val="24"/>
          <w:highlight w:val="none"/>
        </w:rPr>
      </w:pPr>
      <w:r>
        <w:rPr>
          <w:rFonts w:hint="eastAsia" w:ascii="宋体" w:hAnsi="宋体"/>
          <w:color w:val="auto"/>
          <w:sz w:val="24"/>
          <w:highlight w:val="none"/>
        </w:rPr>
        <w:t>7.4磋商供应商应按“主要材料（设备）推荐品牌”要求磋商报价，并在工程量清单报价“表1-6主要材料价格表”的备注一栏里明确品牌、规格、型号、单位、单价等。如磋商供应商没有按竞争性磋商文件要求进行选择，或没有明确注明，或所选材料设备的材质、规格、档次与竞争性磋商文件要求的存在明显差别，或虽按竞争性磋商文件推荐的材料品牌选择但该材料因某种原因停产或其他原因而不能供应的，或虽注明品牌未注明型号、规格的，则实际施工过程中采购人有权在竞争性磋商文件推荐的材料品牌范围内自行确定品牌和规格，且磋商价格不予调整。</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 xml:space="preserve">  </w:t>
      </w:r>
    </w:p>
    <w:p>
      <w:pPr>
        <w:spacing w:line="360" w:lineRule="auto"/>
        <w:jc w:val="left"/>
        <w:rPr>
          <w:rFonts w:ascii="宋体" w:hAnsi="宋体" w:cs="仿宋_GB2312"/>
          <w:b/>
          <w:bCs/>
          <w:color w:val="auto"/>
          <w:sz w:val="24"/>
          <w:highlight w:val="none"/>
        </w:rPr>
      </w:pPr>
      <w:r>
        <w:rPr>
          <w:rFonts w:hint="eastAsia" w:ascii="宋体" w:hAnsi="宋体" w:cs="仿宋_GB2312"/>
          <w:b/>
          <w:bCs/>
          <w:color w:val="auto"/>
          <w:sz w:val="24"/>
          <w:highlight w:val="none"/>
        </w:rPr>
        <w:t>三、商务要求</w:t>
      </w:r>
    </w:p>
    <w:p>
      <w:pPr>
        <w:ind w:left="210" w:leftChars="100"/>
        <w:jc w:val="left"/>
        <w:rPr>
          <w:rFonts w:ascii="宋体" w:hAnsi="宋体" w:cs="仿宋_GB2312"/>
          <w:color w:val="auto"/>
          <w:sz w:val="24"/>
          <w:highlight w:val="none"/>
          <w:u w:val="single"/>
        </w:rPr>
      </w:pPr>
      <w:r>
        <w:rPr>
          <w:rFonts w:hint="eastAsia" w:ascii="宋体" w:hAnsi="宋体" w:cs="仿宋_GB2312"/>
          <w:color w:val="auto"/>
          <w:sz w:val="24"/>
          <w:highlight w:val="none"/>
        </w:rPr>
        <w:t>1.工期要求：</w:t>
      </w:r>
      <w:r>
        <w:rPr>
          <w:rFonts w:hint="eastAsia" w:ascii="宋体" w:hAnsi="宋体" w:cs="仿宋_GB2312"/>
          <w:color w:val="auto"/>
          <w:sz w:val="24"/>
          <w:highlight w:val="none"/>
          <w:u w:val="single"/>
        </w:rPr>
        <w:t>2024年7月5日至2024年8月15日</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2.工程地点：甲方指定地点</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3.付款条件（进度和方式）</w:t>
      </w:r>
    </w:p>
    <w:tbl>
      <w:tblPr>
        <w:tblStyle w:val="65"/>
        <w:tblW w:w="973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375"/>
        <w:gridCol w:w="2519"/>
        <w:gridCol w:w="584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1375" w:type="dxa"/>
            <w:shd w:val="clear" w:color="auto" w:fill="auto"/>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2519" w:type="dxa"/>
            <w:shd w:val="clear" w:color="auto" w:fill="auto"/>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付款比例（%）</w:t>
            </w:r>
          </w:p>
        </w:tc>
        <w:tc>
          <w:tcPr>
            <w:tcW w:w="5841" w:type="dxa"/>
            <w:shd w:val="clear" w:color="auto" w:fill="auto"/>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1375"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2519"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合同价的40%</w:t>
            </w:r>
          </w:p>
        </w:tc>
        <w:tc>
          <w:tcPr>
            <w:tcW w:w="5841" w:type="dxa"/>
            <w:shd w:val="clear" w:color="auto" w:fill="auto"/>
          </w:tcPr>
          <w:p>
            <w:pP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合同生效以及具备实施条件后5个工作日内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1375"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2519"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合同价（扣除预留金）的85%并支付到账</w:t>
            </w:r>
          </w:p>
        </w:tc>
        <w:tc>
          <w:tcPr>
            <w:tcW w:w="5841" w:type="dxa"/>
            <w:shd w:val="clear" w:color="auto" w:fill="auto"/>
          </w:tcPr>
          <w:p>
            <w:pP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工程竣工并上交完整的竣工资料、决算资料后，发包人收到承包人提供的同等金额的正规发票后5个工作日内</w:t>
            </w:r>
            <w:r>
              <w:rPr>
                <w:rFonts w:ascii="宋体" w:hAnsi="宋体" w:cs="仿宋_GB2312"/>
                <w:color w:val="auto"/>
                <w:sz w:val="24"/>
                <w:highlight w:val="none"/>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1375"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2519" w:type="dxa"/>
            <w:shd w:val="clear" w:color="auto" w:fill="auto"/>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 xml:space="preserve">结算总价的100% </w:t>
            </w:r>
          </w:p>
        </w:tc>
        <w:tc>
          <w:tcPr>
            <w:tcW w:w="5841" w:type="dxa"/>
            <w:shd w:val="clear" w:color="auto" w:fill="auto"/>
          </w:tcPr>
          <w:p>
            <w:pP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竣工验收合格、经结算审核确认（包括联系单的费用）后，发包人收到承包人提供的同等金额的正规发票后5个工作日内（</w:t>
            </w:r>
            <w:r>
              <w:rPr>
                <w:rFonts w:hint="eastAsia" w:ascii="宋体" w:hAnsi="宋体" w:cs="仿宋_GB2312"/>
                <w:color w:val="auto"/>
                <w:sz w:val="24"/>
                <w:highlight w:val="none"/>
                <w:lang w:val="en-US" w:eastAsia="zh-CN"/>
              </w:rPr>
              <w:t>同时乙方另行向甲方缴纳</w:t>
            </w:r>
            <w:r>
              <w:rPr>
                <w:rFonts w:hint="eastAsia" w:ascii="宋体" w:hAnsi="宋体" w:cs="仿宋_GB2312"/>
                <w:color w:val="auto"/>
                <w:sz w:val="24"/>
                <w:highlight w:val="none"/>
              </w:rPr>
              <w:t>质量保证金</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以</w:t>
            </w:r>
            <w:r>
              <w:rPr>
                <w:rFonts w:hint="eastAsia" w:ascii="宋体" w:hAnsi="宋体"/>
                <w:color w:val="auto"/>
                <w:sz w:val="24"/>
                <w:highlight w:val="none"/>
              </w:rPr>
              <w:t>银行转账</w:t>
            </w:r>
            <w:r>
              <w:rPr>
                <w:rFonts w:hint="eastAsia" w:ascii="宋体" w:hAnsi="宋体" w:cs="仿宋_GB2312"/>
                <w:color w:val="auto"/>
                <w:sz w:val="24"/>
                <w:highlight w:val="none"/>
              </w:rPr>
              <w:t>或保函形式，结算审核确认价的1.5%收取）</w:t>
            </w:r>
          </w:p>
        </w:tc>
      </w:tr>
    </w:tbl>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4.工程售后服务要求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详见采购合同</w:t>
      </w:r>
    </w:p>
    <w:p>
      <w:pPr>
        <w:spacing w:line="360" w:lineRule="auto"/>
        <w:ind w:firstLine="240" w:firstLineChars="100"/>
        <w:rPr>
          <w:rFonts w:ascii="宋体" w:hAnsi="宋体" w:cs="仿宋_GB2312"/>
          <w:color w:val="auto"/>
          <w:sz w:val="24"/>
          <w:highlight w:val="none"/>
        </w:rPr>
      </w:pPr>
      <w:r>
        <w:rPr>
          <w:rFonts w:hint="eastAsia" w:ascii="宋体" w:hAnsi="宋体" w:cs="仿宋_GB2312"/>
          <w:color w:val="auto"/>
          <w:sz w:val="24"/>
          <w:highlight w:val="none"/>
        </w:rPr>
        <w:t>5.履约担保</w:t>
      </w:r>
    </w:p>
    <w:p>
      <w:pPr>
        <w:spacing w:line="360" w:lineRule="auto"/>
        <w:ind w:firstLine="480" w:firstLineChars="200"/>
        <w:rPr>
          <w:color w:val="auto"/>
          <w:highlight w:val="none"/>
        </w:rPr>
      </w:pPr>
      <w:r>
        <w:rPr>
          <w:rFonts w:hint="eastAsia" w:ascii="宋体" w:hAnsi="宋体"/>
          <w:color w:val="auto"/>
          <w:sz w:val="24"/>
          <w:highlight w:val="none"/>
        </w:rPr>
        <w:t>承包人向发包人支付合同价</w:t>
      </w:r>
      <w:r>
        <w:rPr>
          <w:rFonts w:ascii="宋体" w:hAnsi="宋体"/>
          <w:color w:val="auto"/>
          <w:sz w:val="24"/>
          <w:highlight w:val="none"/>
        </w:rPr>
        <w:t>1</w:t>
      </w:r>
      <w:r>
        <w:rPr>
          <w:rFonts w:hint="eastAsia" w:ascii="宋体" w:hAnsi="宋体"/>
          <w:color w:val="auto"/>
          <w:sz w:val="24"/>
          <w:highlight w:val="none"/>
        </w:rPr>
        <w:t>%的履约保证金。履约保证金可以以银行转账、由银行或保险公司出具的保函等形式。</w:t>
      </w:r>
    </w:p>
    <w:p>
      <w:pP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6.其他商务要求（包装和运输、保险等）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详见采购合同 </w:t>
      </w:r>
    </w:p>
    <w:p>
      <w:pPr>
        <w:spacing w:line="360" w:lineRule="auto"/>
        <w:jc w:val="left"/>
        <w:rPr>
          <w:rFonts w:ascii="宋体" w:hAnsi="宋体" w:cs="仿宋_GB2312"/>
          <w:b/>
          <w:bCs/>
          <w:color w:val="auto"/>
          <w:sz w:val="24"/>
          <w:highlight w:val="none"/>
        </w:rPr>
      </w:pPr>
      <w:r>
        <w:rPr>
          <w:rFonts w:hint="eastAsia" w:ascii="宋体" w:hAnsi="宋体" w:cs="仿宋_GB2312"/>
          <w:b/>
          <w:bCs/>
          <w:color w:val="auto"/>
          <w:sz w:val="24"/>
          <w:highlight w:val="none"/>
        </w:rPr>
        <w:t>五、其他要求</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5.1针对本工程的特殊要求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招标人不另行提供招标图施工范围以外的临时设施用地，施工单位不得在施工范围内住宿，必须遵守施工所在地管理方的管理规定，并配合物业、招标人和所在地管理方的管理。施工单位须根据现场实际情况自行考虑及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（2）施工单位需服从招标人和监理单位的协调、指令与要求，负责装修开工申报等工作，过程中产生的费用（包含须交纳物业的相关费用），需在投标报价中充分考虑，中标后不予调整。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（3）本工程在装修工程中产生的建筑垃圾等外运所产生的费用，施工单位应在报价中充分考虑，中标后不予调整。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宋体" w:hAnsi="宋体" w:cs="宋体"/>
          <w:b/>
          <w:bCs/>
          <w:color w:val="auto"/>
          <w:sz w:val="24"/>
          <w:highlight w:val="none"/>
          <w:u w:val="single"/>
        </w:rPr>
        <w:t>场内施工用水、用电接管自行解决，水电费用按实际发生费用（装表计量）加损耗，由承包人自行向收费部门缴纳，或按照结算审定价的千分之五在结算时扣除</w:t>
      </w:r>
      <w:r>
        <w:rPr>
          <w:rFonts w:hint="eastAsia" w:ascii="宋体" w:hAnsi="宋体"/>
          <w:b/>
          <w:bCs/>
          <w:color w:val="auto"/>
          <w:sz w:val="24"/>
          <w:highlight w:val="none"/>
          <w:u w:val="singl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施工期间由于施工单位原因造成施工方案的更改，所增加的工程费用及工期一概不予调整，属施工技术组织措施失误造成的费用及延误工期均由施工单位承担。对施工组织设计的内容未在投标报价中体现的均视同优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（6）装修完成后施工单位须做好卫生清理保洁，开荒等工作，产生的费用，施工单位应在报价中充分考虑，中标后不予调整。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（7）凡招标文件中要求进入报价的费用若在施工单位的投标报价中不体现，均视同优惠或已进入投标总价。</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5.2推荐品牌</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（1）本项目主要材料品牌要求（如有）详见“工程量清单编制总说明”。除磋商文件明确的品牌外，欢迎其他能满足本项目技术需求且性能与所明确品牌、型号相当的产品参加。</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欢迎采购人推荐品牌同档次及以上品牌（如有）参与投标。供应商应在响应文件中写明各类主要材料（设备）的选用品牌、产地、规格、型号。如供应商没有按磋商文件要求进行选择，或没有明确注明，或所选材料设备的材质、规格、档次与磋商文件要求的存在明显差别，或虽按磋商文件推荐的材料品牌选择但该材料因某种原因停产或其他原因而不能供应的，或虽注明品牌未注明型号、规格的，则实际施工过程中采购人有权在磋商文件推荐的材料品牌范围内自行确定品牌和规格，且磋商价格不予调整。</w:t>
      </w:r>
    </w:p>
    <w:p>
      <w:pPr>
        <w:widowControl/>
        <w:ind w:firstLine="720" w:firstLineChars="300"/>
        <w:jc w:val="left"/>
        <w:rPr>
          <w:rFonts w:ascii="宋体" w:hAnsi="宋体" w:cs="宋体"/>
          <w:bCs/>
          <w:color w:val="auto"/>
          <w:sz w:val="24"/>
          <w:highlight w:val="none"/>
        </w:rPr>
      </w:pPr>
    </w:p>
    <w:p>
      <w:pPr>
        <w:snapToGrid w:val="0"/>
        <w:spacing w:line="360" w:lineRule="auto"/>
        <w:jc w:val="center"/>
        <w:rPr>
          <w:rFonts w:ascii="宋体" w:hAnsi="宋体" w:cs="宋体"/>
          <w:b/>
          <w:color w:val="auto"/>
          <w:sz w:val="36"/>
          <w:szCs w:val="20"/>
          <w:highlight w:val="none"/>
        </w:rPr>
      </w:pPr>
      <w:r>
        <w:rPr>
          <w:rFonts w:hint="eastAsia" w:ascii="宋体" w:hAnsi="宋体" w:cs="宋体"/>
          <w:b/>
          <w:color w:val="auto"/>
          <w:sz w:val="24"/>
          <w:highlight w:val="none"/>
        </w:rPr>
        <w:br w:type="page"/>
      </w:r>
      <w:r>
        <w:rPr>
          <w:rFonts w:hint="eastAsia" w:ascii="宋体" w:hAnsi="宋体" w:cs="宋体"/>
          <w:b/>
          <w:color w:val="auto"/>
          <w:sz w:val="36"/>
          <w:szCs w:val="20"/>
          <w:highlight w:val="none"/>
        </w:rPr>
        <w:t>第四部分</w:t>
      </w:r>
      <w:bookmarkStart w:id="34" w:name="_Toc184312123"/>
      <w:bookmarkEnd w:id="34"/>
      <w:bookmarkStart w:id="35" w:name="_Toc184314473"/>
      <w:bookmarkEnd w:id="35"/>
      <w:bookmarkStart w:id="36" w:name="_Toc184312076"/>
      <w:bookmarkEnd w:id="36"/>
      <w:bookmarkStart w:id="37" w:name="_Toc184310292"/>
      <w:bookmarkEnd w:id="37"/>
      <w:bookmarkStart w:id="38" w:name="_Toc184313298"/>
      <w:bookmarkEnd w:id="38"/>
      <w:bookmarkStart w:id="39" w:name="_Toc184308037"/>
      <w:bookmarkEnd w:id="39"/>
      <w:bookmarkStart w:id="40" w:name="_Toc184310279"/>
      <w:bookmarkEnd w:id="40"/>
      <w:bookmarkStart w:id="41" w:name="_Toc184310312"/>
      <w:bookmarkEnd w:id="41"/>
      <w:bookmarkStart w:id="42" w:name="_Toc184310287"/>
      <w:bookmarkEnd w:id="42"/>
      <w:bookmarkStart w:id="43" w:name="_Toc184308044"/>
      <w:bookmarkEnd w:id="43"/>
      <w:bookmarkStart w:id="44" w:name="_Toc184308041"/>
      <w:bookmarkEnd w:id="44"/>
      <w:bookmarkStart w:id="45" w:name="_Toc184310311"/>
      <w:bookmarkEnd w:id="45"/>
      <w:bookmarkStart w:id="46" w:name="_Toc184312083"/>
      <w:bookmarkEnd w:id="46"/>
      <w:bookmarkStart w:id="47" w:name="_Toc184312113"/>
      <w:bookmarkEnd w:id="47"/>
      <w:bookmarkStart w:id="48" w:name="_Toc184312137"/>
      <w:bookmarkEnd w:id="48"/>
      <w:bookmarkStart w:id="49" w:name="_Toc184308102"/>
      <w:bookmarkEnd w:id="49"/>
      <w:bookmarkStart w:id="50" w:name="_Toc184314452"/>
      <w:bookmarkEnd w:id="50"/>
      <w:bookmarkStart w:id="51" w:name="_Toc184314425"/>
      <w:bookmarkEnd w:id="51"/>
      <w:bookmarkStart w:id="52" w:name="_Toc184312139"/>
      <w:bookmarkEnd w:id="52"/>
      <w:bookmarkStart w:id="53" w:name="_Toc184308038"/>
      <w:bookmarkEnd w:id="53"/>
      <w:bookmarkStart w:id="54" w:name="_Toc184308048"/>
      <w:bookmarkEnd w:id="54"/>
      <w:bookmarkStart w:id="55" w:name="_Toc184310309"/>
      <w:bookmarkEnd w:id="55"/>
      <w:bookmarkStart w:id="56" w:name="_Toc184313295"/>
      <w:bookmarkEnd w:id="56"/>
      <w:bookmarkStart w:id="57" w:name="_Toc184314423"/>
      <w:bookmarkEnd w:id="57"/>
      <w:bookmarkStart w:id="58" w:name="_Toc184310276"/>
      <w:bookmarkEnd w:id="58"/>
      <w:bookmarkStart w:id="59" w:name="_Toc184314459"/>
      <w:bookmarkEnd w:id="59"/>
      <w:bookmarkStart w:id="60" w:name="_Toc184310295"/>
      <w:bookmarkEnd w:id="60"/>
      <w:bookmarkStart w:id="61" w:name="_Toc184310285"/>
      <w:bookmarkEnd w:id="61"/>
      <w:bookmarkStart w:id="62" w:name="_Toc184308073"/>
      <w:bookmarkEnd w:id="62"/>
      <w:bookmarkStart w:id="63" w:name="_Toc184310342"/>
      <w:bookmarkEnd w:id="63"/>
      <w:bookmarkStart w:id="64" w:name="_Toc184312093"/>
      <w:bookmarkEnd w:id="64"/>
      <w:bookmarkStart w:id="65" w:name="_Toc184310327"/>
      <w:bookmarkEnd w:id="65"/>
      <w:bookmarkStart w:id="66" w:name="_Toc184308106"/>
      <w:bookmarkEnd w:id="66"/>
      <w:bookmarkStart w:id="67" w:name="_Toc184312070"/>
      <w:bookmarkEnd w:id="67"/>
      <w:bookmarkStart w:id="68" w:name="_Toc184313310"/>
      <w:bookmarkEnd w:id="68"/>
      <w:bookmarkStart w:id="69" w:name="_Toc184308103"/>
      <w:bookmarkEnd w:id="69"/>
      <w:bookmarkStart w:id="70" w:name="_Toc184310329"/>
      <w:bookmarkEnd w:id="70"/>
      <w:bookmarkStart w:id="71" w:name="_Toc184314468"/>
      <w:bookmarkEnd w:id="71"/>
      <w:bookmarkStart w:id="72" w:name="_Toc184313252"/>
      <w:bookmarkEnd w:id="72"/>
      <w:bookmarkStart w:id="73" w:name="_Toc184314440"/>
      <w:bookmarkEnd w:id="73"/>
      <w:bookmarkStart w:id="74" w:name="_Toc184314462"/>
      <w:bookmarkEnd w:id="74"/>
      <w:bookmarkStart w:id="75" w:name="_Toc184313292"/>
      <w:bookmarkEnd w:id="75"/>
      <w:bookmarkStart w:id="76" w:name="_Toc184310337"/>
      <w:bookmarkEnd w:id="76"/>
      <w:bookmarkStart w:id="77" w:name="_Toc184314474"/>
      <w:bookmarkEnd w:id="77"/>
      <w:bookmarkStart w:id="78" w:name="_Toc184314421"/>
      <w:bookmarkEnd w:id="78"/>
      <w:bookmarkStart w:id="79" w:name="_Toc184310331"/>
      <w:bookmarkEnd w:id="79"/>
      <w:bookmarkStart w:id="80" w:name="_Toc184310334"/>
      <w:bookmarkEnd w:id="80"/>
      <w:bookmarkStart w:id="81" w:name="_Toc184313255"/>
      <w:bookmarkEnd w:id="81"/>
      <w:bookmarkStart w:id="82" w:name="_Toc184308099"/>
      <w:bookmarkEnd w:id="82"/>
      <w:bookmarkStart w:id="83" w:name="_Toc184312115"/>
      <w:bookmarkEnd w:id="83"/>
      <w:bookmarkStart w:id="84" w:name="_Toc184314470"/>
      <w:bookmarkEnd w:id="84"/>
      <w:bookmarkStart w:id="85" w:name="_Toc184310325"/>
      <w:bookmarkEnd w:id="85"/>
      <w:bookmarkStart w:id="86" w:name="_Toc184314467"/>
      <w:bookmarkEnd w:id="86"/>
      <w:bookmarkStart w:id="87" w:name="_Toc184308094"/>
      <w:bookmarkEnd w:id="87"/>
      <w:bookmarkStart w:id="88" w:name="_Toc184308040"/>
      <w:bookmarkEnd w:id="88"/>
      <w:bookmarkStart w:id="89" w:name="_Toc184308071"/>
      <w:bookmarkEnd w:id="89"/>
      <w:bookmarkStart w:id="90" w:name="_Toc184312122"/>
      <w:bookmarkEnd w:id="90"/>
      <w:bookmarkStart w:id="91" w:name="_Toc184310303"/>
      <w:bookmarkEnd w:id="91"/>
      <w:bookmarkStart w:id="92" w:name="_Toc184314439"/>
      <w:bookmarkEnd w:id="92"/>
      <w:bookmarkStart w:id="93" w:name="_Toc184310291"/>
      <w:bookmarkEnd w:id="93"/>
      <w:bookmarkStart w:id="94" w:name="_Toc184312095"/>
      <w:bookmarkEnd w:id="94"/>
      <w:bookmarkStart w:id="95" w:name="_Toc184310339"/>
      <w:bookmarkEnd w:id="95"/>
      <w:bookmarkStart w:id="96" w:name="_Toc184314477"/>
      <w:bookmarkEnd w:id="96"/>
      <w:bookmarkStart w:id="97" w:name="_Toc184314476"/>
      <w:bookmarkEnd w:id="97"/>
      <w:bookmarkStart w:id="98" w:name="_Toc184314426"/>
      <w:bookmarkEnd w:id="98"/>
      <w:bookmarkStart w:id="99" w:name="_Toc184312134"/>
      <w:bookmarkEnd w:id="99"/>
      <w:bookmarkStart w:id="100" w:name="_Toc184310340"/>
      <w:bookmarkEnd w:id="100"/>
      <w:bookmarkStart w:id="101" w:name="_Toc184314430"/>
      <w:bookmarkEnd w:id="101"/>
      <w:bookmarkStart w:id="102" w:name="_Toc184310326"/>
      <w:bookmarkEnd w:id="102"/>
      <w:bookmarkStart w:id="103" w:name="_Toc184312087"/>
      <w:bookmarkEnd w:id="103"/>
      <w:bookmarkStart w:id="104" w:name="_Toc184310294"/>
      <w:bookmarkEnd w:id="104"/>
      <w:bookmarkStart w:id="105" w:name="_Toc184314464"/>
      <w:bookmarkEnd w:id="105"/>
      <w:bookmarkStart w:id="106" w:name="_Toc184312077"/>
      <w:bookmarkEnd w:id="106"/>
      <w:bookmarkStart w:id="107" w:name="_Toc184314434"/>
      <w:bookmarkEnd w:id="107"/>
      <w:bookmarkStart w:id="108" w:name="_Toc184312072"/>
      <w:bookmarkEnd w:id="108"/>
      <w:bookmarkStart w:id="109" w:name="_Toc184310300"/>
      <w:bookmarkEnd w:id="109"/>
      <w:bookmarkStart w:id="110" w:name="_Toc184314458"/>
      <w:bookmarkEnd w:id="110"/>
      <w:bookmarkStart w:id="111" w:name="_Toc184310301"/>
      <w:bookmarkEnd w:id="111"/>
      <w:bookmarkStart w:id="112" w:name="_Toc184310324"/>
      <w:bookmarkEnd w:id="112"/>
      <w:bookmarkStart w:id="113" w:name="_Toc184310277"/>
      <w:bookmarkEnd w:id="113"/>
      <w:bookmarkStart w:id="114" w:name="_Toc184313264"/>
      <w:bookmarkEnd w:id="114"/>
      <w:bookmarkStart w:id="115" w:name="_Toc184312081"/>
      <w:bookmarkEnd w:id="115"/>
      <w:bookmarkStart w:id="116" w:name="_Toc184308049"/>
      <w:bookmarkEnd w:id="116"/>
      <w:bookmarkStart w:id="117" w:name="_Toc184310314"/>
      <w:bookmarkEnd w:id="117"/>
      <w:bookmarkStart w:id="118" w:name="_Toc184312107"/>
      <w:bookmarkEnd w:id="118"/>
      <w:bookmarkStart w:id="119" w:name="_Toc184312133"/>
      <w:bookmarkEnd w:id="119"/>
      <w:bookmarkStart w:id="120" w:name="_Toc184312105"/>
      <w:bookmarkEnd w:id="120"/>
      <w:bookmarkStart w:id="121" w:name="_Toc184308065"/>
      <w:bookmarkEnd w:id="121"/>
      <w:bookmarkStart w:id="122" w:name="_Toc184308095"/>
      <w:bookmarkEnd w:id="122"/>
      <w:bookmarkStart w:id="123" w:name="_Toc184313243"/>
      <w:bookmarkEnd w:id="123"/>
      <w:bookmarkStart w:id="124" w:name="_Toc184308077"/>
      <w:bookmarkEnd w:id="124"/>
      <w:bookmarkStart w:id="125" w:name="_Toc184310296"/>
      <w:bookmarkEnd w:id="125"/>
      <w:bookmarkStart w:id="126" w:name="_Toc184312131"/>
      <w:bookmarkEnd w:id="126"/>
      <w:bookmarkStart w:id="127" w:name="_Toc184310341"/>
      <w:bookmarkEnd w:id="127"/>
      <w:bookmarkStart w:id="128" w:name="_Toc184312094"/>
      <w:bookmarkEnd w:id="128"/>
      <w:bookmarkStart w:id="129" w:name="_Toc184310293"/>
      <w:bookmarkEnd w:id="129"/>
      <w:bookmarkStart w:id="130" w:name="_Toc184308067"/>
      <w:bookmarkEnd w:id="130"/>
      <w:bookmarkStart w:id="131" w:name="_Toc184313289"/>
      <w:bookmarkEnd w:id="131"/>
      <w:bookmarkStart w:id="132" w:name="_Toc184308053"/>
      <w:bookmarkEnd w:id="132"/>
      <w:bookmarkStart w:id="133" w:name="_Toc184312082"/>
      <w:bookmarkEnd w:id="133"/>
      <w:bookmarkStart w:id="134" w:name="_Toc184312103"/>
      <w:bookmarkEnd w:id="134"/>
      <w:bookmarkStart w:id="135" w:name="_Toc184308050"/>
      <w:bookmarkEnd w:id="135"/>
      <w:bookmarkStart w:id="136" w:name="_Toc184312128"/>
      <w:bookmarkEnd w:id="136"/>
      <w:bookmarkStart w:id="137" w:name="_Toc184313241"/>
      <w:bookmarkEnd w:id="137"/>
      <w:bookmarkStart w:id="138" w:name="_Toc184313307"/>
      <w:bookmarkEnd w:id="138"/>
      <w:bookmarkStart w:id="139" w:name="_Toc184314475"/>
      <w:bookmarkEnd w:id="139"/>
      <w:bookmarkStart w:id="140" w:name="_Toc184310274"/>
      <w:bookmarkEnd w:id="140"/>
      <w:bookmarkStart w:id="141" w:name="_Toc184310317"/>
      <w:bookmarkEnd w:id="141"/>
      <w:bookmarkStart w:id="142" w:name="_Toc184312117"/>
      <w:bookmarkEnd w:id="142"/>
      <w:bookmarkStart w:id="143" w:name="_Toc184313248"/>
      <w:bookmarkEnd w:id="143"/>
      <w:bookmarkStart w:id="144" w:name="_Toc184313239"/>
      <w:bookmarkEnd w:id="144"/>
      <w:bookmarkStart w:id="145" w:name="_Toc184313276"/>
      <w:bookmarkEnd w:id="145"/>
      <w:bookmarkStart w:id="146" w:name="_Toc184308043"/>
      <w:bookmarkEnd w:id="146"/>
      <w:bookmarkStart w:id="147" w:name="_Toc184313272"/>
      <w:bookmarkEnd w:id="147"/>
      <w:bookmarkStart w:id="148" w:name="_Toc184313267"/>
      <w:bookmarkEnd w:id="148"/>
      <w:bookmarkStart w:id="149" w:name="_Toc184312073"/>
      <w:bookmarkEnd w:id="149"/>
      <w:bookmarkStart w:id="150" w:name="_Toc184314427"/>
      <w:bookmarkEnd w:id="150"/>
      <w:bookmarkStart w:id="151" w:name="_Toc184313271"/>
      <w:bookmarkEnd w:id="151"/>
      <w:bookmarkStart w:id="152" w:name="_Toc184314429"/>
      <w:bookmarkEnd w:id="152"/>
      <w:bookmarkStart w:id="153" w:name="_Toc184313303"/>
      <w:bookmarkEnd w:id="153"/>
      <w:bookmarkStart w:id="154" w:name="_Toc184312091"/>
      <w:bookmarkEnd w:id="154"/>
      <w:bookmarkStart w:id="155" w:name="_Toc184313262"/>
      <w:bookmarkEnd w:id="155"/>
      <w:bookmarkStart w:id="156" w:name="_Toc184312104"/>
      <w:bookmarkEnd w:id="156"/>
      <w:bookmarkStart w:id="157" w:name="_Toc184313269"/>
      <w:bookmarkEnd w:id="157"/>
      <w:bookmarkStart w:id="158" w:name="_Toc184310319"/>
      <w:bookmarkEnd w:id="158"/>
      <w:bookmarkStart w:id="159" w:name="_Toc184314438"/>
      <w:bookmarkEnd w:id="159"/>
      <w:bookmarkStart w:id="160" w:name="_Toc184313256"/>
      <w:bookmarkEnd w:id="160"/>
      <w:bookmarkStart w:id="161" w:name="_Toc184310289"/>
      <w:bookmarkEnd w:id="161"/>
      <w:bookmarkStart w:id="162" w:name="_Toc184308108"/>
      <w:bookmarkEnd w:id="162"/>
      <w:bookmarkStart w:id="163" w:name="_Toc184313296"/>
      <w:bookmarkEnd w:id="163"/>
      <w:bookmarkStart w:id="164" w:name="_Toc184313251"/>
      <w:bookmarkEnd w:id="164"/>
      <w:bookmarkStart w:id="165" w:name="_Toc184312067"/>
      <w:bookmarkEnd w:id="165"/>
      <w:bookmarkStart w:id="166" w:name="_Toc184310273"/>
      <w:bookmarkEnd w:id="166"/>
      <w:bookmarkStart w:id="167" w:name="_Toc184314481"/>
      <w:bookmarkEnd w:id="167"/>
      <w:bookmarkStart w:id="168" w:name="_Toc184310328"/>
      <w:bookmarkEnd w:id="168"/>
      <w:bookmarkStart w:id="169" w:name="_Toc184312126"/>
      <w:bookmarkEnd w:id="169"/>
      <w:bookmarkStart w:id="170" w:name="_Toc184314417"/>
      <w:bookmarkEnd w:id="170"/>
      <w:bookmarkStart w:id="171" w:name="_Toc184312074"/>
      <w:bookmarkEnd w:id="171"/>
      <w:bookmarkStart w:id="172" w:name="_Toc184310283"/>
      <w:bookmarkEnd w:id="172"/>
      <w:bookmarkStart w:id="173" w:name="_Toc184310333"/>
      <w:bookmarkEnd w:id="173"/>
      <w:bookmarkStart w:id="174" w:name="_Toc184310307"/>
      <w:bookmarkEnd w:id="174"/>
      <w:bookmarkStart w:id="175" w:name="_Toc184313247"/>
      <w:bookmarkEnd w:id="175"/>
      <w:bookmarkStart w:id="176" w:name="_Toc184314437"/>
      <w:bookmarkEnd w:id="176"/>
      <w:bookmarkStart w:id="177" w:name="_Toc184308096"/>
      <w:bookmarkEnd w:id="177"/>
      <w:bookmarkStart w:id="178" w:name="_Toc184308105"/>
      <w:bookmarkEnd w:id="178"/>
      <w:bookmarkStart w:id="179" w:name="_Toc184312121"/>
      <w:bookmarkEnd w:id="179"/>
      <w:bookmarkStart w:id="180" w:name="_Toc184308046"/>
      <w:bookmarkEnd w:id="180"/>
      <w:bookmarkStart w:id="181" w:name="_Toc184308092"/>
      <w:bookmarkEnd w:id="181"/>
      <w:bookmarkStart w:id="182" w:name="_Toc184312112"/>
      <w:bookmarkEnd w:id="182"/>
      <w:bookmarkStart w:id="183" w:name="_Toc184313274"/>
      <w:bookmarkEnd w:id="183"/>
      <w:bookmarkStart w:id="184" w:name="_Toc184312120"/>
      <w:bookmarkEnd w:id="184"/>
      <w:bookmarkStart w:id="185" w:name="_Toc184312088"/>
      <w:bookmarkEnd w:id="185"/>
      <w:bookmarkStart w:id="186" w:name="_Toc184310282"/>
      <w:bookmarkEnd w:id="186"/>
      <w:bookmarkStart w:id="187" w:name="_Toc184314424"/>
      <w:bookmarkEnd w:id="187"/>
      <w:bookmarkStart w:id="188" w:name="_Toc184308057"/>
      <w:bookmarkEnd w:id="188"/>
      <w:bookmarkStart w:id="189" w:name="_Toc184313246"/>
      <w:bookmarkEnd w:id="189"/>
      <w:bookmarkStart w:id="190" w:name="_Toc184310281"/>
      <w:bookmarkEnd w:id="190"/>
      <w:bookmarkStart w:id="191" w:name="_Toc184313257"/>
      <w:bookmarkEnd w:id="191"/>
      <w:bookmarkStart w:id="192" w:name="_Toc184312090"/>
      <w:bookmarkEnd w:id="192"/>
      <w:bookmarkStart w:id="193" w:name="_Toc184314451"/>
      <w:bookmarkEnd w:id="193"/>
      <w:bookmarkStart w:id="194" w:name="_Toc184313293"/>
      <w:bookmarkEnd w:id="194"/>
      <w:bookmarkStart w:id="195" w:name="_Toc184312109"/>
      <w:bookmarkEnd w:id="195"/>
      <w:bookmarkStart w:id="196" w:name="_Toc184308088"/>
      <w:bookmarkEnd w:id="196"/>
      <w:bookmarkStart w:id="197" w:name="_Toc184312101"/>
      <w:bookmarkEnd w:id="197"/>
      <w:bookmarkStart w:id="198" w:name="_Toc184308055"/>
      <w:bookmarkEnd w:id="198"/>
      <w:bookmarkStart w:id="199" w:name="_Toc184313270"/>
      <w:bookmarkEnd w:id="199"/>
      <w:bookmarkStart w:id="200" w:name="_Toc184308080"/>
      <w:bookmarkEnd w:id="200"/>
      <w:bookmarkStart w:id="201" w:name="_Toc184312114"/>
      <w:bookmarkEnd w:id="201"/>
      <w:bookmarkStart w:id="202" w:name="_Toc184313244"/>
      <w:bookmarkEnd w:id="202"/>
      <w:bookmarkStart w:id="203" w:name="_Toc184312138"/>
      <w:bookmarkEnd w:id="203"/>
      <w:bookmarkStart w:id="204" w:name="_Toc184310322"/>
      <w:bookmarkEnd w:id="204"/>
      <w:bookmarkStart w:id="205" w:name="_Toc184312099"/>
      <w:bookmarkEnd w:id="205"/>
      <w:bookmarkStart w:id="206" w:name="_Toc184312102"/>
      <w:bookmarkEnd w:id="206"/>
      <w:bookmarkStart w:id="207" w:name="_Toc184314420"/>
      <w:bookmarkEnd w:id="207"/>
      <w:bookmarkStart w:id="208" w:name="_Toc184310316"/>
      <w:bookmarkEnd w:id="208"/>
      <w:bookmarkStart w:id="209" w:name="_Toc184308074"/>
      <w:bookmarkEnd w:id="209"/>
      <w:bookmarkStart w:id="210" w:name="_Toc184310306"/>
      <w:bookmarkEnd w:id="210"/>
      <w:bookmarkStart w:id="211" w:name="_Toc184313261"/>
      <w:bookmarkEnd w:id="211"/>
      <w:bookmarkStart w:id="212" w:name="_Toc184314431"/>
      <w:bookmarkEnd w:id="212"/>
      <w:bookmarkStart w:id="213" w:name="_Toc184314413"/>
      <w:bookmarkEnd w:id="213"/>
      <w:bookmarkStart w:id="214" w:name="_Toc184314454"/>
      <w:bookmarkEnd w:id="214"/>
      <w:bookmarkStart w:id="215" w:name="_Toc184308068"/>
      <w:bookmarkEnd w:id="215"/>
      <w:bookmarkStart w:id="216" w:name="_Toc184313304"/>
      <w:bookmarkEnd w:id="216"/>
      <w:bookmarkStart w:id="217" w:name="_Toc184314445"/>
      <w:bookmarkEnd w:id="217"/>
      <w:bookmarkStart w:id="218" w:name="_Toc184308098"/>
      <w:bookmarkEnd w:id="218"/>
      <w:bookmarkStart w:id="219" w:name="_Toc184313302"/>
      <w:bookmarkEnd w:id="219"/>
      <w:bookmarkStart w:id="220" w:name="_Toc184312092"/>
      <w:bookmarkEnd w:id="220"/>
      <w:bookmarkStart w:id="221" w:name="_Toc184310280"/>
      <w:bookmarkEnd w:id="221"/>
      <w:bookmarkStart w:id="222" w:name="_Toc184313281"/>
      <w:bookmarkEnd w:id="222"/>
      <w:bookmarkStart w:id="223" w:name="_Toc184308045"/>
      <w:bookmarkEnd w:id="223"/>
      <w:bookmarkStart w:id="224" w:name="_Toc184312089"/>
      <w:bookmarkEnd w:id="224"/>
      <w:bookmarkStart w:id="225" w:name="_Toc184314455"/>
      <w:bookmarkEnd w:id="225"/>
      <w:bookmarkStart w:id="226" w:name="_Toc184308087"/>
      <w:bookmarkEnd w:id="226"/>
      <w:bookmarkStart w:id="227" w:name="_Toc184310343"/>
      <w:bookmarkEnd w:id="227"/>
      <w:bookmarkStart w:id="228" w:name="_Toc184308083"/>
      <w:bookmarkEnd w:id="228"/>
      <w:bookmarkStart w:id="229" w:name="_Toc184314471"/>
      <w:bookmarkEnd w:id="229"/>
      <w:bookmarkStart w:id="230" w:name="_Toc184314472"/>
      <w:bookmarkEnd w:id="230"/>
      <w:bookmarkStart w:id="231" w:name="_Toc184310318"/>
      <w:bookmarkEnd w:id="231"/>
      <w:bookmarkStart w:id="232" w:name="_Toc184313283"/>
      <w:bookmarkEnd w:id="232"/>
      <w:bookmarkStart w:id="233" w:name="_Toc184308076"/>
      <w:bookmarkEnd w:id="233"/>
      <w:bookmarkStart w:id="234" w:name="_Toc184310335"/>
      <w:bookmarkEnd w:id="234"/>
      <w:bookmarkStart w:id="235" w:name="_Toc184313240"/>
      <w:bookmarkEnd w:id="235"/>
      <w:bookmarkStart w:id="236" w:name="_Toc184314449"/>
      <w:bookmarkEnd w:id="236"/>
      <w:bookmarkStart w:id="237" w:name="_Toc184314416"/>
      <w:bookmarkEnd w:id="237"/>
      <w:bookmarkStart w:id="238" w:name="_Toc184314479"/>
      <w:bookmarkEnd w:id="238"/>
      <w:bookmarkStart w:id="239" w:name="_Toc184314428"/>
      <w:bookmarkEnd w:id="239"/>
      <w:bookmarkStart w:id="240" w:name="_Toc184313265"/>
      <w:bookmarkEnd w:id="240"/>
      <w:bookmarkStart w:id="241" w:name="_Toc184313254"/>
      <w:bookmarkEnd w:id="241"/>
      <w:bookmarkStart w:id="242" w:name="_Toc184312096"/>
      <w:bookmarkEnd w:id="242"/>
      <w:bookmarkStart w:id="243" w:name="_Toc184308078"/>
      <w:bookmarkEnd w:id="243"/>
      <w:bookmarkStart w:id="244" w:name="_Toc184312080"/>
      <w:bookmarkEnd w:id="244"/>
      <w:bookmarkStart w:id="245" w:name="_Toc184308042"/>
      <w:bookmarkEnd w:id="245"/>
      <w:bookmarkStart w:id="246" w:name="_Toc184313278"/>
      <w:bookmarkEnd w:id="246"/>
      <w:bookmarkStart w:id="247" w:name="_Toc184313263"/>
      <w:bookmarkEnd w:id="247"/>
      <w:bookmarkStart w:id="248" w:name="_Toc184312135"/>
      <w:bookmarkEnd w:id="248"/>
      <w:bookmarkStart w:id="249" w:name="_Toc184313297"/>
      <w:bookmarkEnd w:id="249"/>
      <w:bookmarkStart w:id="250" w:name="_Toc184312068"/>
      <w:bookmarkEnd w:id="250"/>
      <w:bookmarkStart w:id="251" w:name="_Toc184312111"/>
      <w:bookmarkEnd w:id="251"/>
      <w:bookmarkStart w:id="252" w:name="_Toc184310338"/>
      <w:bookmarkEnd w:id="252"/>
      <w:bookmarkStart w:id="253" w:name="_Toc184314418"/>
      <w:bookmarkEnd w:id="253"/>
      <w:bookmarkStart w:id="254" w:name="_Toc184308047"/>
      <w:bookmarkEnd w:id="254"/>
      <w:bookmarkStart w:id="255" w:name="_Toc184314442"/>
      <w:bookmarkEnd w:id="255"/>
      <w:bookmarkStart w:id="256" w:name="_Toc184313284"/>
      <w:bookmarkEnd w:id="256"/>
      <w:bookmarkStart w:id="257" w:name="_Toc184310275"/>
      <w:bookmarkEnd w:id="257"/>
      <w:bookmarkStart w:id="258" w:name="_Toc184312108"/>
      <w:bookmarkEnd w:id="258"/>
      <w:bookmarkStart w:id="259" w:name="_Toc184314435"/>
      <w:bookmarkEnd w:id="259"/>
      <w:bookmarkStart w:id="260" w:name="_Toc184310302"/>
      <w:bookmarkEnd w:id="260"/>
      <w:bookmarkStart w:id="261" w:name="_Toc184314457"/>
      <w:bookmarkEnd w:id="261"/>
      <w:bookmarkStart w:id="262" w:name="_Toc184314415"/>
      <w:bookmarkEnd w:id="262"/>
      <w:bookmarkStart w:id="263" w:name="_Toc184308072"/>
      <w:bookmarkEnd w:id="263"/>
      <w:bookmarkStart w:id="264" w:name="_Toc184310299"/>
      <w:bookmarkEnd w:id="264"/>
      <w:bookmarkStart w:id="265" w:name="_Toc184310298"/>
      <w:bookmarkEnd w:id="265"/>
      <w:bookmarkStart w:id="266" w:name="_Toc184314453"/>
      <w:bookmarkEnd w:id="266"/>
      <w:bookmarkStart w:id="267" w:name="_Toc184313287"/>
      <w:bookmarkEnd w:id="267"/>
      <w:bookmarkStart w:id="268" w:name="_Toc184308079"/>
      <w:bookmarkEnd w:id="268"/>
      <w:bookmarkStart w:id="269" w:name="_Toc184314422"/>
      <w:bookmarkEnd w:id="269"/>
      <w:bookmarkStart w:id="270" w:name="_Toc184312130"/>
      <w:bookmarkEnd w:id="270"/>
      <w:bookmarkStart w:id="271" w:name="_Toc184312100"/>
      <w:bookmarkEnd w:id="271"/>
      <w:bookmarkStart w:id="272" w:name="_Toc184308059"/>
      <w:bookmarkEnd w:id="272"/>
      <w:bookmarkStart w:id="273" w:name="_Toc184313294"/>
      <w:bookmarkEnd w:id="273"/>
      <w:bookmarkStart w:id="274" w:name="_Toc184313277"/>
      <w:bookmarkEnd w:id="274"/>
      <w:bookmarkStart w:id="275" w:name="_Toc184314447"/>
      <w:bookmarkEnd w:id="275"/>
      <w:bookmarkStart w:id="276" w:name="_Toc184313253"/>
      <w:bookmarkEnd w:id="276"/>
      <w:bookmarkStart w:id="277" w:name="_Toc184310284"/>
      <w:bookmarkEnd w:id="277"/>
      <w:bookmarkStart w:id="278" w:name="_Toc184308070"/>
      <w:bookmarkEnd w:id="278"/>
      <w:bookmarkStart w:id="279" w:name="_Toc184312118"/>
      <w:bookmarkEnd w:id="279"/>
      <w:bookmarkStart w:id="280" w:name="_Toc184314444"/>
      <w:bookmarkEnd w:id="280"/>
      <w:bookmarkStart w:id="281" w:name="_Toc184314448"/>
      <w:bookmarkEnd w:id="281"/>
      <w:bookmarkStart w:id="282" w:name="_Toc184314450"/>
      <w:bookmarkEnd w:id="282"/>
      <w:bookmarkStart w:id="283" w:name="_Toc184310310"/>
      <w:bookmarkEnd w:id="283"/>
      <w:bookmarkStart w:id="284" w:name="_Toc184313288"/>
      <w:bookmarkEnd w:id="284"/>
      <w:bookmarkStart w:id="285" w:name="_Toc184312119"/>
      <w:bookmarkEnd w:id="285"/>
      <w:bookmarkStart w:id="286" w:name="_Toc184312086"/>
      <w:bookmarkEnd w:id="286"/>
      <w:bookmarkStart w:id="287" w:name="_Toc184310332"/>
      <w:bookmarkEnd w:id="287"/>
      <w:bookmarkStart w:id="288" w:name="_Toc184314412"/>
      <w:bookmarkEnd w:id="288"/>
      <w:bookmarkStart w:id="289" w:name="_Toc184310278"/>
      <w:bookmarkEnd w:id="289"/>
      <w:bookmarkStart w:id="290" w:name="_Toc184308066"/>
      <w:bookmarkEnd w:id="290"/>
      <w:bookmarkStart w:id="291" w:name="_Toc184312129"/>
      <w:bookmarkEnd w:id="291"/>
      <w:bookmarkStart w:id="292" w:name="_Toc184313273"/>
      <w:bookmarkEnd w:id="292"/>
      <w:bookmarkStart w:id="293" w:name="_Toc184310330"/>
      <w:bookmarkEnd w:id="293"/>
      <w:bookmarkStart w:id="294" w:name="_Toc184314480"/>
      <w:bookmarkEnd w:id="294"/>
      <w:bookmarkStart w:id="295" w:name="_Toc184308062"/>
      <w:bookmarkEnd w:id="295"/>
      <w:bookmarkStart w:id="296" w:name="_Toc184310288"/>
      <w:bookmarkEnd w:id="296"/>
      <w:bookmarkStart w:id="297" w:name="_Toc184313300"/>
      <w:bookmarkEnd w:id="297"/>
      <w:bookmarkStart w:id="298" w:name="_Toc184308100"/>
      <w:bookmarkEnd w:id="298"/>
      <w:bookmarkStart w:id="299" w:name="_Toc184308058"/>
      <w:bookmarkEnd w:id="299"/>
      <w:bookmarkStart w:id="300" w:name="_Toc184312079"/>
      <w:bookmarkEnd w:id="300"/>
      <w:bookmarkStart w:id="301" w:name="_Toc184313259"/>
      <w:bookmarkEnd w:id="301"/>
      <w:bookmarkStart w:id="302" w:name="_Toc184314466"/>
      <w:bookmarkEnd w:id="302"/>
      <w:bookmarkStart w:id="303" w:name="_Toc184310308"/>
      <w:bookmarkEnd w:id="303"/>
      <w:bookmarkStart w:id="304" w:name="_Toc184312084"/>
      <w:bookmarkEnd w:id="304"/>
      <w:bookmarkStart w:id="305" w:name="_Toc184308051"/>
      <w:bookmarkEnd w:id="305"/>
      <w:bookmarkStart w:id="306" w:name="_Toc184308089"/>
      <w:bookmarkEnd w:id="306"/>
      <w:bookmarkStart w:id="307" w:name="_Toc184313258"/>
      <w:bookmarkEnd w:id="307"/>
      <w:bookmarkStart w:id="308" w:name="_Toc184314414"/>
      <w:bookmarkEnd w:id="308"/>
      <w:bookmarkStart w:id="309" w:name="_Toc184308093"/>
      <w:bookmarkEnd w:id="309"/>
      <w:bookmarkStart w:id="310" w:name="_Toc184308091"/>
      <w:bookmarkEnd w:id="310"/>
      <w:bookmarkStart w:id="311" w:name="_Toc184310304"/>
      <w:bookmarkEnd w:id="311"/>
      <w:bookmarkStart w:id="312" w:name="_Toc184313249"/>
      <w:bookmarkEnd w:id="312"/>
      <w:bookmarkStart w:id="313" w:name="_Toc184308107"/>
      <w:bookmarkEnd w:id="313"/>
      <w:bookmarkStart w:id="314" w:name="_Toc184310272"/>
      <w:bookmarkEnd w:id="314"/>
      <w:bookmarkStart w:id="315" w:name="_Toc184313305"/>
      <w:bookmarkEnd w:id="315"/>
      <w:bookmarkStart w:id="316" w:name="_Toc184308064"/>
      <w:bookmarkEnd w:id="316"/>
      <w:bookmarkStart w:id="317" w:name="_Toc184312075"/>
      <w:bookmarkEnd w:id="317"/>
      <w:bookmarkStart w:id="318" w:name="_Toc184313306"/>
      <w:bookmarkEnd w:id="318"/>
      <w:bookmarkStart w:id="319" w:name="_Toc184310313"/>
      <w:bookmarkEnd w:id="319"/>
      <w:bookmarkStart w:id="320" w:name="_Toc184310290"/>
      <w:bookmarkEnd w:id="320"/>
      <w:bookmarkStart w:id="321" w:name="_Toc184314478"/>
      <w:bookmarkEnd w:id="321"/>
      <w:bookmarkStart w:id="322" w:name="_Toc184313266"/>
      <w:bookmarkEnd w:id="322"/>
      <w:bookmarkStart w:id="323" w:name="_Toc184314461"/>
      <w:bookmarkEnd w:id="323"/>
      <w:bookmarkStart w:id="324" w:name="_Toc184312069"/>
      <w:bookmarkEnd w:id="324"/>
      <w:bookmarkStart w:id="325" w:name="_Toc184308085"/>
      <w:bookmarkEnd w:id="325"/>
      <w:bookmarkStart w:id="326" w:name="_Toc184308086"/>
      <w:bookmarkEnd w:id="326"/>
      <w:bookmarkStart w:id="327" w:name="_Toc184313242"/>
      <w:bookmarkEnd w:id="327"/>
      <w:bookmarkStart w:id="328" w:name="_Toc184313290"/>
      <w:bookmarkEnd w:id="328"/>
      <w:bookmarkStart w:id="329" w:name="_Toc184313275"/>
      <w:bookmarkEnd w:id="329"/>
      <w:bookmarkStart w:id="330" w:name="_Toc184312078"/>
      <w:bookmarkEnd w:id="330"/>
      <w:bookmarkStart w:id="331" w:name="_Toc184313299"/>
      <w:bookmarkEnd w:id="331"/>
      <w:bookmarkStart w:id="332" w:name="_Toc184308036"/>
      <w:bookmarkEnd w:id="332"/>
      <w:bookmarkStart w:id="333" w:name="_Toc184314436"/>
      <w:bookmarkEnd w:id="333"/>
      <w:bookmarkStart w:id="334" w:name="_Toc184308069"/>
      <w:bookmarkEnd w:id="334"/>
      <w:bookmarkStart w:id="335" w:name="_Toc184313238"/>
      <w:bookmarkEnd w:id="335"/>
      <w:bookmarkStart w:id="336" w:name="_Toc184312136"/>
      <w:bookmarkEnd w:id="336"/>
      <w:bookmarkStart w:id="337" w:name="_Toc184310336"/>
      <w:bookmarkEnd w:id="337"/>
      <w:bookmarkStart w:id="338" w:name="_Toc184314463"/>
      <w:bookmarkEnd w:id="338"/>
      <w:bookmarkStart w:id="339" w:name="_Toc184313268"/>
      <w:bookmarkEnd w:id="339"/>
      <w:bookmarkStart w:id="340" w:name="_Toc184310320"/>
      <w:bookmarkEnd w:id="340"/>
      <w:bookmarkStart w:id="341" w:name="_Toc184314469"/>
      <w:bookmarkEnd w:id="341"/>
      <w:bookmarkStart w:id="342" w:name="_Toc184310305"/>
      <w:bookmarkEnd w:id="342"/>
      <w:bookmarkStart w:id="343" w:name="_Toc184312110"/>
      <w:bookmarkEnd w:id="343"/>
      <w:bookmarkStart w:id="344" w:name="_Toc184314456"/>
      <w:bookmarkEnd w:id="344"/>
      <w:bookmarkStart w:id="345" w:name="_Toc184312132"/>
      <w:bookmarkEnd w:id="345"/>
      <w:bookmarkStart w:id="346" w:name="_Toc184308052"/>
      <w:bookmarkEnd w:id="346"/>
      <w:bookmarkStart w:id="347" w:name="_Toc184312085"/>
      <w:bookmarkEnd w:id="347"/>
      <w:bookmarkStart w:id="348" w:name="_Toc184308075"/>
      <w:bookmarkEnd w:id="348"/>
      <w:bookmarkStart w:id="349" w:name="_Toc184314465"/>
      <w:bookmarkEnd w:id="349"/>
      <w:bookmarkStart w:id="350" w:name="_Toc184308104"/>
      <w:bookmarkEnd w:id="350"/>
      <w:bookmarkStart w:id="351" w:name="_Toc184308097"/>
      <w:bookmarkEnd w:id="351"/>
      <w:bookmarkStart w:id="352" w:name="_Toc184313280"/>
      <w:bookmarkEnd w:id="352"/>
      <w:bookmarkStart w:id="353" w:name="_Toc184308056"/>
      <w:bookmarkEnd w:id="353"/>
      <w:bookmarkStart w:id="354" w:name="_Toc184313285"/>
      <w:bookmarkEnd w:id="354"/>
      <w:bookmarkStart w:id="355" w:name="_Toc184314460"/>
      <w:bookmarkEnd w:id="355"/>
      <w:bookmarkStart w:id="356" w:name="_Toc184313279"/>
      <w:bookmarkEnd w:id="356"/>
      <w:bookmarkStart w:id="357" w:name="_Toc184308061"/>
      <w:bookmarkEnd w:id="357"/>
      <w:bookmarkStart w:id="358" w:name="_Toc184314446"/>
      <w:bookmarkEnd w:id="358"/>
      <w:bookmarkStart w:id="359" w:name="_Toc184308101"/>
      <w:bookmarkEnd w:id="359"/>
      <w:bookmarkStart w:id="360" w:name="_Toc184313250"/>
      <w:bookmarkEnd w:id="360"/>
      <w:bookmarkStart w:id="361" w:name="_Toc184313301"/>
      <w:bookmarkEnd w:id="361"/>
      <w:bookmarkStart w:id="362" w:name="_Toc184313282"/>
      <w:bookmarkEnd w:id="362"/>
      <w:bookmarkStart w:id="363" w:name="_Toc184313309"/>
      <w:bookmarkEnd w:id="363"/>
      <w:bookmarkStart w:id="364" w:name="_Toc184314443"/>
      <w:bookmarkEnd w:id="364"/>
      <w:bookmarkStart w:id="365" w:name="_Toc184313260"/>
      <w:bookmarkEnd w:id="365"/>
      <w:bookmarkStart w:id="366" w:name="_Toc184314410"/>
      <w:bookmarkEnd w:id="366"/>
      <w:bookmarkStart w:id="367" w:name="_Toc184313245"/>
      <w:bookmarkEnd w:id="367"/>
      <w:bookmarkStart w:id="368" w:name="_Toc184310315"/>
      <w:bookmarkEnd w:id="368"/>
      <w:bookmarkStart w:id="369" w:name="_Toc184314482"/>
      <w:bookmarkEnd w:id="369"/>
      <w:bookmarkStart w:id="370" w:name="_Toc184312116"/>
      <w:bookmarkEnd w:id="370"/>
      <w:bookmarkStart w:id="371" w:name="_Toc184312071"/>
      <w:bookmarkEnd w:id="371"/>
      <w:bookmarkStart w:id="372" w:name="_Toc184308081"/>
      <w:bookmarkEnd w:id="372"/>
      <w:bookmarkStart w:id="373" w:name="_Toc184308063"/>
      <w:bookmarkEnd w:id="373"/>
      <w:bookmarkStart w:id="374" w:name="_Toc184313308"/>
      <w:bookmarkEnd w:id="374"/>
      <w:bookmarkStart w:id="375" w:name="_Toc184308082"/>
      <w:bookmarkEnd w:id="375"/>
      <w:bookmarkStart w:id="376" w:name="_Toc184314411"/>
      <w:bookmarkEnd w:id="376"/>
      <w:bookmarkStart w:id="377" w:name="_Toc184314433"/>
      <w:bookmarkEnd w:id="377"/>
      <w:bookmarkStart w:id="378" w:name="_Toc184310321"/>
      <w:bookmarkEnd w:id="378"/>
      <w:bookmarkStart w:id="379" w:name="_Toc184310297"/>
      <w:bookmarkEnd w:id="379"/>
      <w:bookmarkStart w:id="380" w:name="_Toc184312098"/>
      <w:bookmarkEnd w:id="380"/>
      <w:bookmarkStart w:id="381" w:name="_Toc184312106"/>
      <w:bookmarkEnd w:id="381"/>
      <w:bookmarkStart w:id="382" w:name="_Toc184308060"/>
      <w:bookmarkEnd w:id="382"/>
      <w:bookmarkStart w:id="383" w:name="_Toc184308054"/>
      <w:bookmarkEnd w:id="383"/>
      <w:bookmarkStart w:id="384" w:name="_Toc184314419"/>
      <w:bookmarkEnd w:id="384"/>
      <w:bookmarkStart w:id="385" w:name="_Toc184308039"/>
      <w:bookmarkEnd w:id="385"/>
      <w:bookmarkStart w:id="386" w:name="_Toc184313291"/>
      <w:bookmarkEnd w:id="386"/>
      <w:bookmarkStart w:id="387" w:name="_Toc184310344"/>
      <w:bookmarkEnd w:id="387"/>
      <w:bookmarkStart w:id="388" w:name="_Toc184308084"/>
      <w:bookmarkEnd w:id="388"/>
      <w:bookmarkStart w:id="389" w:name="_Toc184314432"/>
      <w:bookmarkEnd w:id="389"/>
      <w:bookmarkStart w:id="390" w:name="_Toc184312124"/>
      <w:bookmarkEnd w:id="390"/>
      <w:bookmarkStart w:id="391" w:name="_Toc184314441"/>
      <w:bookmarkEnd w:id="391"/>
      <w:bookmarkStart w:id="392" w:name="_Toc184308090"/>
      <w:bookmarkEnd w:id="392"/>
      <w:bookmarkStart w:id="393" w:name="_Toc184310286"/>
      <w:bookmarkEnd w:id="393"/>
      <w:bookmarkStart w:id="394" w:name="_Toc184313286"/>
      <w:bookmarkEnd w:id="394"/>
      <w:bookmarkStart w:id="395" w:name="_Toc184310323"/>
      <w:bookmarkEnd w:id="395"/>
      <w:bookmarkStart w:id="396" w:name="_Toc184312127"/>
      <w:bookmarkEnd w:id="396"/>
      <w:bookmarkStart w:id="397" w:name="_Toc184312125"/>
      <w:bookmarkEnd w:id="397"/>
      <w:bookmarkStart w:id="398" w:name="_Toc184312097"/>
      <w:bookmarkEnd w:id="398"/>
      <w:r>
        <w:rPr>
          <w:rFonts w:hint="eastAsia" w:ascii="宋体" w:hAnsi="宋体" w:cs="宋体"/>
          <w:b/>
          <w:color w:val="auto"/>
          <w:sz w:val="36"/>
          <w:szCs w:val="20"/>
          <w:highlight w:val="none"/>
        </w:rPr>
        <w:t xml:space="preserve"> 评审办法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评审办法前附表</w:t>
      </w:r>
    </w:p>
    <w:tbl>
      <w:tblPr>
        <w:tblStyle w:val="65"/>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6491"/>
        <w:gridCol w:w="1407"/>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6491"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评审标准</w:t>
            </w:r>
          </w:p>
        </w:tc>
        <w:tc>
          <w:tcPr>
            <w:tcW w:w="1407"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1285" w:type="dxa"/>
          </w:tcPr>
          <w:p>
            <w:pPr>
              <w:snapToGrid w:val="0"/>
              <w:outlineLvl w:val="0"/>
              <w:rPr>
                <w:rFonts w:ascii="宋体" w:hAnsi="宋体" w:cs="宋体"/>
                <w:bCs/>
                <w:color w:val="auto"/>
                <w:sz w:val="24"/>
                <w:highlight w:val="none"/>
              </w:rPr>
            </w:pPr>
            <w:r>
              <w:rPr>
                <w:rFonts w:hint="eastAsia" w:ascii="宋体" w:hAnsi="宋体" w:cs="宋体"/>
                <w:bCs/>
                <w:color w:val="auto"/>
                <w:sz w:val="24"/>
                <w:highlight w:val="none"/>
              </w:rPr>
              <w:t>响应文件中评审标准相应的商务技术资料目录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1</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供应商自2021年1月1日以来（以合同签订时间为准）完成过类似项目的，每个得0.5分，最高1.5分。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【证明材料】合同扫描件加盖公章，施工业绩还须同时提供验收报告，否则不得分；证明材料须体现类似项目要求，若不能体现，还须提供业主证明材料。</w:t>
            </w:r>
          </w:p>
        </w:tc>
        <w:tc>
          <w:tcPr>
            <w:tcW w:w="1407" w:type="dxa"/>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1.5</w:t>
            </w:r>
          </w:p>
        </w:tc>
        <w:tc>
          <w:tcPr>
            <w:tcW w:w="1285" w:type="dxa"/>
            <w:vAlign w:val="center"/>
          </w:tcPr>
          <w:p>
            <w:pPr>
              <w:snapToGrid w:val="0"/>
              <w:jc w:val="center"/>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2</w:t>
            </w:r>
          </w:p>
        </w:tc>
        <w:tc>
          <w:tcPr>
            <w:tcW w:w="6491" w:type="dxa"/>
            <w:vAlign w:val="center"/>
          </w:tcPr>
          <w:p>
            <w:pPr>
              <w:snapToGrid w:val="0"/>
              <w:outlineLvl w:val="0"/>
              <w:rPr>
                <w:rFonts w:ascii="宋体" w:hAnsi="宋体" w:cs="宋体"/>
                <w:color w:val="auto"/>
                <w:sz w:val="24"/>
                <w:highlight w:val="none"/>
              </w:rPr>
            </w:pPr>
            <w:r>
              <w:rPr>
                <w:rFonts w:hint="eastAsia" w:asciiTheme="minorEastAsia" w:hAnsiTheme="minorEastAsia" w:eastAsiaTheme="minorEastAsia"/>
                <w:color w:val="auto"/>
                <w:sz w:val="24"/>
                <w:highlight w:val="none"/>
              </w:rPr>
              <w:t>投标人具有质量管理体系认证证书、环境认证体系认证证书和职业健康管理体系认证证书</w:t>
            </w:r>
            <w:r>
              <w:rPr>
                <w:rFonts w:hint="eastAsia" w:ascii="宋体" w:hAnsi="宋体" w:cs="宋体"/>
                <w:color w:val="auto"/>
                <w:sz w:val="24"/>
                <w:highlight w:val="none"/>
              </w:rPr>
              <w:t>。每个得0.5分，最高1.5分。（证明材料为证书复印件）</w:t>
            </w:r>
          </w:p>
        </w:tc>
        <w:tc>
          <w:tcPr>
            <w:tcW w:w="1407" w:type="dxa"/>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1.5</w:t>
            </w:r>
          </w:p>
        </w:tc>
        <w:tc>
          <w:tcPr>
            <w:tcW w:w="1285" w:type="dxa"/>
          </w:tcPr>
          <w:p>
            <w:pPr>
              <w:snapToGrid w:val="0"/>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3</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拟派项目经理具有中级工程师职称及以上的得 3 分，其余不得分。(证明材料为职称证书复印件)</w:t>
            </w:r>
          </w:p>
        </w:tc>
        <w:tc>
          <w:tcPr>
            <w:tcW w:w="1407" w:type="dxa"/>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3</w:t>
            </w:r>
          </w:p>
        </w:tc>
        <w:tc>
          <w:tcPr>
            <w:tcW w:w="1285" w:type="dxa"/>
          </w:tcPr>
          <w:p>
            <w:pPr>
              <w:snapToGrid w:val="0"/>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4</w:t>
            </w:r>
          </w:p>
        </w:tc>
        <w:tc>
          <w:tcPr>
            <w:tcW w:w="6491" w:type="dxa"/>
            <w:vAlign w:val="center"/>
          </w:tcPr>
          <w:p>
            <w:pPr>
              <w:rPr>
                <w:color w:val="auto"/>
                <w:sz w:val="24"/>
                <w:highlight w:val="none"/>
              </w:rPr>
            </w:pPr>
            <w:r>
              <w:rPr>
                <w:rFonts w:hint="eastAsia"/>
                <w:color w:val="auto"/>
                <w:sz w:val="24"/>
                <w:highlight w:val="none"/>
              </w:rPr>
              <w:t>主要分部施工方法是否符合本项目实际需求，工艺的可行性及合理性</w:t>
            </w:r>
          </w:p>
          <w:p>
            <w:pPr>
              <w:rPr>
                <w:color w:val="auto"/>
                <w:sz w:val="24"/>
                <w:highlight w:val="none"/>
              </w:rPr>
            </w:pPr>
            <w:r>
              <w:rPr>
                <w:rFonts w:hint="eastAsia"/>
                <w:color w:val="auto"/>
                <w:sz w:val="24"/>
                <w:highlight w:val="none"/>
              </w:rPr>
              <w:t>措施方法科学、合理、到位，</w:t>
            </w:r>
            <w:r>
              <w:rPr>
                <w:rFonts w:hint="eastAsia"/>
                <w:color w:val="auto"/>
                <w:sz w:val="24"/>
                <w:highlight w:val="none"/>
                <w:lang w:val="zh-CN"/>
              </w:rPr>
              <w:t>完整可行</w:t>
            </w:r>
            <w:r>
              <w:rPr>
                <w:rFonts w:hint="eastAsia"/>
                <w:color w:val="auto"/>
                <w:sz w:val="24"/>
                <w:highlight w:val="none"/>
              </w:rPr>
              <w:t>的得5分；</w:t>
            </w:r>
          </w:p>
          <w:p>
            <w:pPr>
              <w:rPr>
                <w:color w:val="auto"/>
                <w:sz w:val="24"/>
                <w:highlight w:val="none"/>
              </w:rPr>
            </w:pPr>
            <w:r>
              <w:rPr>
                <w:rFonts w:hint="eastAsia"/>
                <w:color w:val="auto"/>
                <w:sz w:val="24"/>
                <w:highlight w:val="none"/>
              </w:rPr>
              <w:t>措施方法较为科学、合理、到位，</w:t>
            </w:r>
            <w:r>
              <w:rPr>
                <w:rFonts w:hint="eastAsia"/>
                <w:color w:val="auto"/>
                <w:sz w:val="24"/>
                <w:highlight w:val="none"/>
                <w:lang w:val="zh-CN"/>
              </w:rPr>
              <w:t>较完整可行</w:t>
            </w:r>
            <w:r>
              <w:rPr>
                <w:rFonts w:hint="eastAsia"/>
                <w:color w:val="auto"/>
                <w:sz w:val="24"/>
                <w:highlight w:val="none"/>
              </w:rPr>
              <w:t>，得4分；</w:t>
            </w:r>
          </w:p>
          <w:p>
            <w:pPr>
              <w:rPr>
                <w:color w:val="auto"/>
                <w:sz w:val="24"/>
                <w:highlight w:val="none"/>
              </w:rPr>
            </w:pPr>
            <w:r>
              <w:rPr>
                <w:rFonts w:hint="eastAsia"/>
                <w:color w:val="auto"/>
                <w:sz w:val="24"/>
                <w:highlight w:val="none"/>
              </w:rPr>
              <w:t>措施方法基本科学、合理，</w:t>
            </w:r>
            <w:r>
              <w:rPr>
                <w:rFonts w:hint="eastAsia"/>
                <w:color w:val="auto"/>
                <w:sz w:val="24"/>
                <w:highlight w:val="none"/>
                <w:lang w:val="zh-CN"/>
              </w:rPr>
              <w:t>基本满足需求</w:t>
            </w:r>
            <w:r>
              <w:rPr>
                <w:rFonts w:hint="eastAsia"/>
                <w:color w:val="auto"/>
                <w:sz w:val="24"/>
                <w:highlight w:val="none"/>
              </w:rPr>
              <w:t>，得3分</w:t>
            </w:r>
          </w:p>
          <w:p>
            <w:pPr>
              <w:rPr>
                <w:color w:val="auto"/>
                <w:sz w:val="24"/>
                <w:highlight w:val="none"/>
              </w:rPr>
            </w:pPr>
            <w:r>
              <w:rPr>
                <w:rFonts w:hint="eastAsia"/>
                <w:color w:val="auto"/>
                <w:sz w:val="24"/>
                <w:highlight w:val="none"/>
              </w:rPr>
              <w:t>措施方法欠科学、欠合理，存在瑕疵，得2分；</w:t>
            </w:r>
          </w:p>
          <w:p>
            <w:pPr>
              <w:rPr>
                <w:color w:val="auto"/>
                <w:sz w:val="24"/>
                <w:highlight w:val="none"/>
              </w:rPr>
            </w:pPr>
            <w:r>
              <w:rPr>
                <w:rFonts w:hint="eastAsia"/>
                <w:color w:val="auto"/>
                <w:sz w:val="24"/>
                <w:highlight w:val="none"/>
              </w:rPr>
              <w:t>措施方法欠科学、欠合理、</w:t>
            </w:r>
            <w:r>
              <w:rPr>
                <w:rFonts w:hint="eastAsia"/>
                <w:color w:val="auto"/>
                <w:sz w:val="24"/>
                <w:highlight w:val="none"/>
                <w:lang w:val="zh-CN"/>
              </w:rPr>
              <w:t>措施缺陷较多</w:t>
            </w:r>
            <w:r>
              <w:rPr>
                <w:rFonts w:hint="eastAsia"/>
                <w:color w:val="auto"/>
                <w:sz w:val="24"/>
                <w:highlight w:val="none"/>
              </w:rPr>
              <w:t>，得1分；</w:t>
            </w:r>
          </w:p>
          <w:p>
            <w:pPr>
              <w:rPr>
                <w:color w:val="auto"/>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5</w:t>
            </w:r>
          </w:p>
        </w:tc>
        <w:tc>
          <w:tcPr>
            <w:tcW w:w="6491" w:type="dxa"/>
            <w:vAlign w:val="center"/>
          </w:tcPr>
          <w:p>
            <w:pPr>
              <w:snapToGrid w:val="0"/>
              <w:outlineLvl w:val="0"/>
              <w:rPr>
                <w:rFonts w:ascii="宋体" w:hAnsi="宋体" w:cs="宋体"/>
                <w:color w:val="auto"/>
                <w:kern w:val="0"/>
                <w:sz w:val="24"/>
                <w:highlight w:val="none"/>
              </w:rPr>
            </w:pPr>
            <w:r>
              <w:rPr>
                <w:rFonts w:hint="eastAsia" w:ascii="宋体" w:hAnsi="宋体" w:cs="宋体"/>
                <w:color w:val="auto"/>
                <w:kern w:val="0"/>
                <w:sz w:val="24"/>
                <w:highlight w:val="none"/>
              </w:rPr>
              <w:t>确保施工质量的方案、质量控制和检验手段的评价。</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方案细致合理、可行，充分考虑到了采购人实际需求的得5分；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方案较为合理、可行，基本考虑到了采购人实际需求的得4分；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方案内容简单，对采购人需求考虑有所疏漏的得3分；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方案部分满足采购文件要求，内容略有欠缺的得2分；</w:t>
            </w:r>
          </w:p>
          <w:p>
            <w:pPr>
              <w:pStyle w:val="27"/>
              <w:spacing w:line="240" w:lineRule="auto"/>
              <w:ind w:firstLine="0"/>
              <w:rPr>
                <w:rFonts w:hAnsi="宋体" w:cs="宋体"/>
                <w:color w:val="auto"/>
                <w:szCs w:val="24"/>
                <w:highlight w:val="none"/>
              </w:rPr>
            </w:pPr>
            <w:r>
              <w:rPr>
                <w:rFonts w:hint="eastAsia" w:hAnsi="宋体" w:cs="宋体"/>
                <w:color w:val="auto"/>
                <w:szCs w:val="24"/>
                <w:highlight w:val="none"/>
              </w:rPr>
              <w:t>方案不合理或内容混乱，内容缺失严重的得1分；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6</w:t>
            </w:r>
          </w:p>
        </w:tc>
        <w:tc>
          <w:tcPr>
            <w:tcW w:w="6491" w:type="dxa"/>
            <w:vAlign w:val="center"/>
          </w:tcPr>
          <w:p>
            <w:pPr>
              <w:widowControl/>
              <w:snapToGrid w:val="0"/>
              <w:jc w:val="left"/>
              <w:outlineLvl w:val="0"/>
              <w:rPr>
                <w:color w:val="auto"/>
                <w:sz w:val="24"/>
                <w:highlight w:val="none"/>
              </w:rPr>
            </w:pPr>
            <w:r>
              <w:rPr>
                <w:rFonts w:hint="eastAsia"/>
                <w:color w:val="auto"/>
                <w:sz w:val="24"/>
                <w:highlight w:val="none"/>
              </w:rPr>
              <w:t>关键工序、复杂环节的相应技术措施的全面性、可实施性和具有针对性</w:t>
            </w:r>
          </w:p>
          <w:p>
            <w:pPr>
              <w:snapToGrid w:val="0"/>
              <w:outlineLvl w:val="0"/>
              <w:rPr>
                <w:color w:val="auto"/>
                <w:sz w:val="24"/>
                <w:highlight w:val="none"/>
              </w:rPr>
            </w:pPr>
            <w:r>
              <w:rPr>
                <w:rFonts w:hint="eastAsia"/>
                <w:color w:val="auto"/>
                <w:sz w:val="24"/>
                <w:highlight w:val="none"/>
              </w:rPr>
              <w:t>措施科学、合理、到位，</w:t>
            </w:r>
            <w:r>
              <w:rPr>
                <w:rFonts w:hint="eastAsia"/>
                <w:color w:val="auto"/>
                <w:sz w:val="24"/>
                <w:highlight w:val="none"/>
                <w:lang w:val="zh-CN"/>
              </w:rPr>
              <w:t>完整可行</w:t>
            </w:r>
            <w:r>
              <w:rPr>
                <w:rFonts w:hint="eastAsia"/>
                <w:color w:val="auto"/>
                <w:sz w:val="24"/>
                <w:highlight w:val="none"/>
              </w:rPr>
              <w:t>的得5分；</w:t>
            </w:r>
          </w:p>
          <w:p>
            <w:pPr>
              <w:snapToGrid w:val="0"/>
              <w:outlineLvl w:val="0"/>
              <w:rPr>
                <w:color w:val="auto"/>
                <w:sz w:val="24"/>
                <w:highlight w:val="none"/>
              </w:rPr>
            </w:pPr>
            <w:r>
              <w:rPr>
                <w:rFonts w:hint="eastAsia"/>
                <w:color w:val="auto"/>
                <w:sz w:val="24"/>
                <w:highlight w:val="none"/>
              </w:rPr>
              <w:t>措施较为科学、合理、到位，</w:t>
            </w:r>
            <w:r>
              <w:rPr>
                <w:rFonts w:hint="eastAsia"/>
                <w:color w:val="auto"/>
                <w:sz w:val="24"/>
                <w:highlight w:val="none"/>
                <w:lang w:val="zh-CN"/>
              </w:rPr>
              <w:t>较完整可行</w:t>
            </w:r>
            <w:r>
              <w:rPr>
                <w:rFonts w:hint="eastAsia"/>
                <w:color w:val="auto"/>
                <w:sz w:val="24"/>
                <w:highlight w:val="none"/>
              </w:rPr>
              <w:t>，得4分；</w:t>
            </w:r>
          </w:p>
          <w:p>
            <w:pPr>
              <w:snapToGrid w:val="0"/>
              <w:outlineLvl w:val="0"/>
              <w:rPr>
                <w:color w:val="auto"/>
                <w:sz w:val="24"/>
                <w:highlight w:val="none"/>
              </w:rPr>
            </w:pPr>
            <w:r>
              <w:rPr>
                <w:rFonts w:hint="eastAsia"/>
                <w:color w:val="auto"/>
                <w:sz w:val="24"/>
                <w:highlight w:val="none"/>
              </w:rPr>
              <w:t>措施基本科学、合理，</w:t>
            </w:r>
            <w:r>
              <w:rPr>
                <w:rFonts w:hint="eastAsia"/>
                <w:color w:val="auto"/>
                <w:sz w:val="24"/>
                <w:highlight w:val="none"/>
                <w:lang w:val="zh-CN"/>
              </w:rPr>
              <w:t>基本满足需求</w:t>
            </w:r>
            <w:r>
              <w:rPr>
                <w:rFonts w:hint="eastAsia"/>
                <w:color w:val="auto"/>
                <w:sz w:val="24"/>
                <w:highlight w:val="none"/>
              </w:rPr>
              <w:t>，得3分</w:t>
            </w:r>
          </w:p>
          <w:p>
            <w:pPr>
              <w:snapToGrid w:val="0"/>
              <w:outlineLvl w:val="0"/>
              <w:rPr>
                <w:color w:val="auto"/>
                <w:sz w:val="24"/>
                <w:highlight w:val="none"/>
              </w:rPr>
            </w:pPr>
            <w:r>
              <w:rPr>
                <w:rFonts w:hint="eastAsia"/>
                <w:color w:val="auto"/>
                <w:sz w:val="24"/>
                <w:highlight w:val="none"/>
              </w:rPr>
              <w:t>措施欠科学、欠合理，存在瑕疵，得2分；</w:t>
            </w:r>
          </w:p>
          <w:p>
            <w:pPr>
              <w:snapToGrid w:val="0"/>
              <w:outlineLvl w:val="0"/>
              <w:rPr>
                <w:color w:val="auto"/>
                <w:sz w:val="24"/>
                <w:highlight w:val="none"/>
              </w:rPr>
            </w:pPr>
            <w:r>
              <w:rPr>
                <w:rFonts w:hint="eastAsia"/>
                <w:color w:val="auto"/>
                <w:sz w:val="24"/>
                <w:highlight w:val="none"/>
              </w:rPr>
              <w:t>措施欠科学、欠合理、</w:t>
            </w:r>
            <w:r>
              <w:rPr>
                <w:rFonts w:hint="eastAsia"/>
                <w:color w:val="auto"/>
                <w:sz w:val="24"/>
                <w:highlight w:val="none"/>
                <w:lang w:val="zh-CN"/>
              </w:rPr>
              <w:t>措施缺陷较多</w:t>
            </w:r>
            <w:r>
              <w:rPr>
                <w:rFonts w:hint="eastAsia"/>
                <w:color w:val="auto"/>
                <w:sz w:val="24"/>
                <w:highlight w:val="none"/>
              </w:rPr>
              <w:t>，得1分；</w:t>
            </w:r>
          </w:p>
          <w:p>
            <w:pPr>
              <w:pStyle w:val="21"/>
              <w:rPr>
                <w:color w:val="auto"/>
                <w:highlight w:val="none"/>
              </w:rPr>
            </w:pPr>
            <w:r>
              <w:rPr>
                <w:rFonts w:hint="eastAsia" w:ascii="宋体" w:hAnsi="宋体" w:cs="宋体"/>
                <w:color w:val="auto"/>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7</w:t>
            </w:r>
          </w:p>
        </w:tc>
        <w:tc>
          <w:tcPr>
            <w:tcW w:w="6491" w:type="dxa"/>
            <w:vAlign w:val="center"/>
          </w:tcPr>
          <w:p>
            <w:pPr>
              <w:widowControl/>
              <w:jc w:val="left"/>
              <w:rPr>
                <w:rFonts w:ascii="宋体" w:hAnsi="宋体" w:cs="宋体"/>
                <w:color w:val="auto"/>
                <w:sz w:val="24"/>
                <w:highlight w:val="none"/>
              </w:rPr>
            </w:pPr>
            <w:r>
              <w:rPr>
                <w:rFonts w:hint="eastAsia" w:ascii="宋体" w:hAnsi="宋体" w:cs="宋体"/>
                <w:color w:val="auto"/>
                <w:sz w:val="24"/>
                <w:highlight w:val="none"/>
              </w:rPr>
              <w:t>施工总进度计划安排完善合理，各主要施工工序应有详细周密的劳动力安排计划和材料进场计划;确保工程工期技术组织措施、科学合理。</w:t>
            </w:r>
          </w:p>
          <w:p>
            <w:pPr>
              <w:widowControl/>
              <w:jc w:val="left"/>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sz w:val="24"/>
                <w:highlight w:val="none"/>
              </w:rPr>
              <w:t>承诺有利于采购人及项目的实施，</w:t>
            </w:r>
            <w:r>
              <w:rPr>
                <w:rFonts w:hint="eastAsia" w:ascii="宋体" w:hAnsi="宋体" w:cs="宋体"/>
                <w:bCs/>
                <w:color w:val="auto"/>
                <w:kern w:val="0"/>
                <w:sz w:val="24"/>
                <w:highlight w:val="none"/>
              </w:rPr>
              <w:t>进度计划合理，</w:t>
            </w:r>
            <w:r>
              <w:rPr>
                <w:rFonts w:hint="eastAsia" w:ascii="宋体" w:hAnsi="宋体" w:cs="宋体"/>
                <w:bCs/>
                <w:color w:val="auto"/>
                <w:sz w:val="24"/>
                <w:highlight w:val="none"/>
              </w:rPr>
              <w:t>控制措施</w:t>
            </w:r>
            <w:r>
              <w:rPr>
                <w:rFonts w:hint="eastAsia" w:ascii="宋体" w:hAnsi="宋体" w:cs="宋体"/>
                <w:bCs/>
                <w:color w:val="auto"/>
                <w:kern w:val="0"/>
                <w:sz w:val="24"/>
                <w:highlight w:val="none"/>
              </w:rPr>
              <w:t>切实可行，得5分。</w:t>
            </w:r>
          </w:p>
          <w:p>
            <w:pPr>
              <w:widowControl/>
              <w:jc w:val="left"/>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sz w:val="24"/>
                <w:highlight w:val="none"/>
              </w:rPr>
              <w:t>承诺满足采购人及项目的实施，</w:t>
            </w:r>
            <w:r>
              <w:rPr>
                <w:rFonts w:hint="eastAsia" w:ascii="宋体" w:hAnsi="宋体" w:cs="宋体"/>
                <w:bCs/>
                <w:color w:val="auto"/>
                <w:kern w:val="0"/>
                <w:sz w:val="24"/>
                <w:highlight w:val="none"/>
              </w:rPr>
              <w:t>进度计划合理，</w:t>
            </w:r>
            <w:r>
              <w:rPr>
                <w:rFonts w:hint="eastAsia" w:ascii="宋体" w:hAnsi="宋体" w:cs="宋体"/>
                <w:bCs/>
                <w:color w:val="auto"/>
                <w:sz w:val="24"/>
                <w:highlight w:val="none"/>
              </w:rPr>
              <w:t>控制措施</w:t>
            </w:r>
            <w:r>
              <w:rPr>
                <w:rFonts w:hint="eastAsia" w:ascii="宋体" w:hAnsi="宋体" w:cs="宋体"/>
                <w:bCs/>
                <w:color w:val="auto"/>
                <w:kern w:val="0"/>
                <w:sz w:val="24"/>
                <w:highlight w:val="none"/>
              </w:rPr>
              <w:t>可行，得4分。</w:t>
            </w:r>
          </w:p>
          <w:p>
            <w:pPr>
              <w:widowControl/>
              <w:jc w:val="left"/>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sz w:val="24"/>
                <w:highlight w:val="none"/>
              </w:rPr>
              <w:t>承诺基本满足采购人及项目的实施，</w:t>
            </w:r>
            <w:r>
              <w:rPr>
                <w:rFonts w:hint="eastAsia" w:ascii="宋体" w:hAnsi="宋体" w:cs="宋体"/>
                <w:bCs/>
                <w:color w:val="auto"/>
                <w:kern w:val="0"/>
                <w:sz w:val="24"/>
                <w:highlight w:val="none"/>
              </w:rPr>
              <w:t>进度计划有一定合理性，</w:t>
            </w:r>
            <w:r>
              <w:rPr>
                <w:rFonts w:hint="eastAsia" w:ascii="宋体" w:hAnsi="宋体" w:cs="宋体"/>
                <w:bCs/>
                <w:color w:val="auto"/>
                <w:sz w:val="24"/>
                <w:highlight w:val="none"/>
              </w:rPr>
              <w:t>控制措施</w:t>
            </w:r>
            <w:r>
              <w:rPr>
                <w:rFonts w:hint="eastAsia" w:ascii="宋体" w:hAnsi="宋体" w:cs="宋体"/>
                <w:bCs/>
                <w:color w:val="auto"/>
                <w:kern w:val="0"/>
                <w:sz w:val="24"/>
                <w:highlight w:val="none"/>
              </w:rPr>
              <w:t>可行，得3分。</w:t>
            </w:r>
          </w:p>
          <w:p>
            <w:pPr>
              <w:widowControl/>
              <w:jc w:val="left"/>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sz w:val="24"/>
                <w:highlight w:val="none"/>
              </w:rPr>
              <w:t>承诺部分满足采购人及项目的实施，</w:t>
            </w:r>
            <w:r>
              <w:rPr>
                <w:rFonts w:hint="eastAsia" w:ascii="宋体" w:hAnsi="宋体" w:cs="宋体"/>
                <w:bCs/>
                <w:color w:val="auto"/>
                <w:kern w:val="0"/>
                <w:sz w:val="24"/>
                <w:highlight w:val="none"/>
              </w:rPr>
              <w:t>进度计划相对合理，</w:t>
            </w:r>
            <w:r>
              <w:rPr>
                <w:rFonts w:hint="eastAsia" w:ascii="宋体" w:hAnsi="宋体" w:cs="宋体"/>
                <w:bCs/>
                <w:color w:val="auto"/>
                <w:sz w:val="24"/>
                <w:highlight w:val="none"/>
              </w:rPr>
              <w:t>控制措施</w:t>
            </w:r>
            <w:r>
              <w:rPr>
                <w:rFonts w:hint="eastAsia" w:ascii="宋体" w:hAnsi="宋体" w:cs="宋体"/>
                <w:bCs/>
                <w:color w:val="auto"/>
                <w:kern w:val="0"/>
                <w:sz w:val="24"/>
                <w:highlight w:val="none"/>
              </w:rPr>
              <w:t>可行，得2分。</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sz w:val="24"/>
                <w:highlight w:val="none"/>
              </w:rPr>
              <w:t>承诺不有利于采购人及项目的实施，</w:t>
            </w:r>
            <w:r>
              <w:rPr>
                <w:rFonts w:hint="eastAsia" w:ascii="宋体" w:hAnsi="宋体" w:cs="宋体"/>
                <w:bCs/>
                <w:color w:val="auto"/>
                <w:kern w:val="0"/>
                <w:sz w:val="24"/>
                <w:highlight w:val="none"/>
              </w:rPr>
              <w:t>和进度计划不合理，</w:t>
            </w:r>
            <w:r>
              <w:rPr>
                <w:rFonts w:hint="eastAsia" w:ascii="宋体" w:hAnsi="宋体" w:cs="宋体"/>
                <w:bCs/>
                <w:color w:val="auto"/>
                <w:sz w:val="24"/>
                <w:highlight w:val="none"/>
              </w:rPr>
              <w:t>控制措施</w:t>
            </w:r>
            <w:r>
              <w:rPr>
                <w:rFonts w:hint="eastAsia" w:ascii="宋体" w:hAnsi="宋体" w:cs="宋体"/>
                <w:bCs/>
                <w:color w:val="auto"/>
                <w:kern w:val="0"/>
                <w:sz w:val="24"/>
                <w:highlight w:val="none"/>
              </w:rPr>
              <w:t>不可行，得1分。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8</w:t>
            </w:r>
          </w:p>
        </w:tc>
        <w:tc>
          <w:tcPr>
            <w:tcW w:w="6491" w:type="dxa"/>
            <w:vAlign w:val="center"/>
          </w:tcPr>
          <w:p>
            <w:pPr>
              <w:snapToGrid w:val="0"/>
              <w:jc w:val="left"/>
              <w:rPr>
                <w:rFonts w:ascii="宋体" w:hAnsi="宋体" w:cs="宋体"/>
                <w:bCs/>
                <w:color w:val="auto"/>
                <w:sz w:val="24"/>
                <w:highlight w:val="none"/>
              </w:rPr>
            </w:pPr>
            <w:r>
              <w:rPr>
                <w:rFonts w:hint="eastAsia" w:ascii="宋体" w:hAnsi="宋体" w:cs="宋体"/>
                <w:bCs/>
                <w:color w:val="auto"/>
                <w:sz w:val="24"/>
                <w:highlight w:val="none"/>
              </w:rPr>
              <w:t>拟派驻现场的项目组专业配置能否满足项目要求，组织机构是否合理，要求配置：施工员，质量员，安全员，材料员，资料员。每有一类得1分，最高得5分</w:t>
            </w:r>
          </w:p>
          <w:p>
            <w:pPr>
              <w:snapToGrid w:val="0"/>
              <w:outlineLvl w:val="0"/>
              <w:rPr>
                <w:rFonts w:ascii="宋体" w:hAnsi="宋体" w:cs="宋体"/>
                <w:color w:val="auto"/>
                <w:sz w:val="24"/>
                <w:highlight w:val="none"/>
              </w:rPr>
            </w:pPr>
            <w:r>
              <w:rPr>
                <w:rFonts w:hint="eastAsia" w:ascii="宋体" w:hAnsi="宋体" w:cs="宋体"/>
                <w:b/>
                <w:bCs/>
                <w:color w:val="auto"/>
                <w:sz w:val="24"/>
                <w:highlight w:val="none"/>
              </w:rPr>
              <w:t>（请提供具体人员配置清单及相关证书复印件，并加盖供应商公章，安全员不得兼任。）</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9</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各专业工种的配置和劳动力的投入情况，劳动力安排组织与管理措施：</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措施切实可行，职责明确，劳动力的配置和投入满足施工需求，得5分；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措施较为可行，职责较为明确，劳动力的配置和投入较为满足施工需求，得4分；</w:t>
            </w:r>
          </w:p>
          <w:p>
            <w:pPr>
              <w:pStyle w:val="47"/>
              <w:rPr>
                <w:rFonts w:ascii="宋体" w:hAnsi="宋体" w:cs="宋体"/>
                <w:color w:val="auto"/>
                <w:spacing w:val="-6"/>
                <w:sz w:val="24"/>
                <w:highlight w:val="none"/>
              </w:rPr>
            </w:pPr>
            <w:r>
              <w:rPr>
                <w:rFonts w:hint="eastAsia" w:ascii="宋体" w:hAnsi="宋体" w:cs="宋体"/>
                <w:color w:val="auto"/>
                <w:spacing w:val="-6"/>
                <w:sz w:val="24"/>
                <w:highlight w:val="none"/>
              </w:rPr>
              <w:t>措施基本可行，职责基本明确，劳动力的配置和投入基本满足施工需求，得3分；</w:t>
            </w:r>
          </w:p>
          <w:p>
            <w:pPr>
              <w:pStyle w:val="47"/>
              <w:rPr>
                <w:rFonts w:ascii="宋体" w:hAnsi="宋体" w:cs="宋体"/>
                <w:color w:val="auto"/>
                <w:spacing w:val="-6"/>
                <w:sz w:val="24"/>
                <w:highlight w:val="none"/>
              </w:rPr>
            </w:pPr>
            <w:r>
              <w:rPr>
                <w:rFonts w:hint="eastAsia" w:ascii="宋体" w:hAnsi="宋体" w:cs="宋体"/>
                <w:color w:val="auto"/>
                <w:spacing w:val="-6"/>
                <w:sz w:val="24"/>
                <w:highlight w:val="none"/>
              </w:rPr>
              <w:t>措施可行一般，职责欠明确，劳动力的配置和投入不能完全满足施工需求，得2分；</w:t>
            </w:r>
          </w:p>
          <w:p>
            <w:pPr>
              <w:rPr>
                <w:rFonts w:ascii="宋体" w:hAnsi="宋体" w:cs="宋体"/>
                <w:color w:val="auto"/>
                <w:sz w:val="24"/>
                <w:highlight w:val="none"/>
              </w:rPr>
            </w:pPr>
            <w:r>
              <w:rPr>
                <w:rFonts w:hint="eastAsia" w:ascii="宋体" w:hAnsi="宋体" w:cs="宋体"/>
                <w:color w:val="auto"/>
                <w:sz w:val="24"/>
                <w:highlight w:val="none"/>
              </w:rPr>
              <w:t>只提供了简单的措施及劳动力投入情况资料，基本不满足施工需求得1分</w:t>
            </w:r>
          </w:p>
          <w:p>
            <w:pPr>
              <w:snapToGrid w:val="0"/>
              <w:outlineLvl w:val="0"/>
              <w:rPr>
                <w:rFonts w:ascii="宋体" w:hAnsi="宋体" w:cs="宋体"/>
                <w:color w:val="auto"/>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10</w:t>
            </w:r>
          </w:p>
        </w:tc>
        <w:tc>
          <w:tcPr>
            <w:tcW w:w="6491" w:type="dxa"/>
            <w:vAlign w:val="center"/>
          </w:tcPr>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投入的施工机械设备和检测设备情况，施工机具进场计划安排和管理的保证措施的是否能够满足工程质量和进度的要求。</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施工机械设备充足且有先进性，保证措施全面，能完全满足工程质量和进度要求，对采购人有利的，得5分。</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施工机械设备数量充足，保证措施全面，能满足工程质量和进度要求，得4分。</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施工机械设备数量一般，保证措施基本全面，基本能满足工程质量和进度要求，得3分。</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施工机械设备数量较少，保证措施欠全面，不能完全满足工程质量和进度要求，得2分。</w:t>
            </w:r>
          </w:p>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施工机械设备数量不足，措施不能完全满足工程质量和进度要求，得1分。</w:t>
            </w:r>
          </w:p>
          <w:p>
            <w:pPr>
              <w:numPr>
                <w:ilvl w:val="255"/>
                <w:numId w:val="0"/>
              </w:numPr>
              <w:snapToGrid w:val="0"/>
              <w:outlineLvl w:val="0"/>
              <w:rPr>
                <w:rFonts w:ascii="宋体" w:hAnsi="宋体" w:cs="宋体"/>
                <w:bCs/>
                <w:color w:val="auto"/>
                <w:kern w:val="0"/>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11</w:t>
            </w:r>
          </w:p>
        </w:tc>
        <w:tc>
          <w:tcPr>
            <w:tcW w:w="6491" w:type="dxa"/>
            <w:vAlign w:val="center"/>
          </w:tcPr>
          <w:p>
            <w:pPr>
              <w:snapToGrid w:val="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安全文明施工的保障措施：</w:t>
            </w:r>
          </w:p>
          <w:p>
            <w:pPr>
              <w:ind w:right="-97" w:rightChars="-46"/>
              <w:jc w:val="left"/>
              <w:rPr>
                <w:rFonts w:ascii="宋体" w:hAnsi="宋体" w:cs="宋体"/>
                <w:color w:val="auto"/>
                <w:spacing w:val="-6"/>
                <w:sz w:val="24"/>
                <w:highlight w:val="none"/>
              </w:rPr>
            </w:pPr>
            <w:r>
              <w:rPr>
                <w:rFonts w:hint="eastAsia" w:ascii="宋体" w:hAnsi="宋体" w:cs="宋体"/>
                <w:bCs/>
                <w:color w:val="auto"/>
                <w:kern w:val="0"/>
                <w:sz w:val="24"/>
                <w:highlight w:val="none"/>
              </w:rPr>
              <w:t>安全文明施工（防尘、施工现在卫生管理）保障措施</w:t>
            </w:r>
            <w:r>
              <w:rPr>
                <w:rFonts w:hint="eastAsia" w:ascii="宋体" w:hAnsi="宋体" w:cs="宋体"/>
                <w:color w:val="auto"/>
                <w:spacing w:val="-6"/>
                <w:sz w:val="24"/>
                <w:highlight w:val="none"/>
              </w:rPr>
              <w:t>完善、</w:t>
            </w:r>
            <w:r>
              <w:rPr>
                <w:rFonts w:hint="eastAsia" w:ascii="宋体" w:hAnsi="宋体" w:cs="宋体"/>
                <w:color w:val="auto"/>
                <w:sz w:val="24"/>
                <w:highlight w:val="none"/>
                <w:lang w:val="zh-CN"/>
              </w:rPr>
              <w:t>可行</w:t>
            </w:r>
            <w:r>
              <w:rPr>
                <w:rFonts w:hint="eastAsia" w:ascii="宋体" w:hAnsi="宋体" w:cs="宋体"/>
                <w:color w:val="auto"/>
                <w:spacing w:val="-6"/>
                <w:sz w:val="24"/>
                <w:highlight w:val="none"/>
              </w:rPr>
              <w:t>，</w:t>
            </w:r>
            <w:r>
              <w:rPr>
                <w:rFonts w:hint="eastAsia" w:ascii="宋体" w:hAnsi="宋体" w:cs="宋体"/>
                <w:bCs/>
                <w:color w:val="auto"/>
                <w:kern w:val="0"/>
                <w:sz w:val="24"/>
                <w:highlight w:val="none"/>
              </w:rPr>
              <w:t>与项目实际情况符合的</w:t>
            </w:r>
            <w:r>
              <w:rPr>
                <w:rFonts w:hint="eastAsia" w:ascii="宋体" w:hAnsi="宋体" w:cs="宋体"/>
                <w:color w:val="auto"/>
                <w:spacing w:val="-6"/>
                <w:sz w:val="24"/>
                <w:highlight w:val="none"/>
              </w:rPr>
              <w:t>，4分；</w:t>
            </w:r>
          </w:p>
          <w:p>
            <w:pPr>
              <w:ind w:right="-97" w:rightChars="-46"/>
              <w:jc w:val="left"/>
              <w:rPr>
                <w:rFonts w:ascii="宋体" w:hAnsi="宋体" w:cs="宋体"/>
                <w:color w:val="auto"/>
                <w:spacing w:val="-6"/>
                <w:sz w:val="24"/>
                <w:highlight w:val="none"/>
              </w:rPr>
            </w:pPr>
            <w:r>
              <w:rPr>
                <w:rFonts w:hint="eastAsia" w:ascii="宋体" w:hAnsi="宋体" w:cs="宋体"/>
                <w:bCs/>
                <w:color w:val="auto"/>
                <w:kern w:val="0"/>
                <w:sz w:val="24"/>
                <w:highlight w:val="none"/>
              </w:rPr>
              <w:t>安全文明施工（防尘、施工现在卫生管理）保障措施</w:t>
            </w:r>
            <w:r>
              <w:rPr>
                <w:rFonts w:hint="eastAsia" w:ascii="宋体" w:hAnsi="宋体" w:cs="宋体"/>
                <w:color w:val="auto"/>
                <w:spacing w:val="-6"/>
                <w:sz w:val="24"/>
                <w:highlight w:val="none"/>
              </w:rPr>
              <w:t>基本完善，</w:t>
            </w:r>
            <w:r>
              <w:rPr>
                <w:rFonts w:hint="eastAsia" w:ascii="宋体" w:hAnsi="宋体" w:cs="宋体"/>
                <w:color w:val="auto"/>
                <w:sz w:val="24"/>
                <w:highlight w:val="none"/>
                <w:lang w:val="zh-CN"/>
              </w:rPr>
              <w:t>基本满足需求</w:t>
            </w:r>
            <w:r>
              <w:rPr>
                <w:rFonts w:hint="eastAsia" w:ascii="宋体" w:hAnsi="宋体" w:cs="宋体"/>
                <w:color w:val="auto"/>
                <w:spacing w:val="-6"/>
                <w:sz w:val="24"/>
                <w:highlight w:val="none"/>
              </w:rPr>
              <w:t>，</w:t>
            </w:r>
            <w:r>
              <w:rPr>
                <w:rFonts w:hint="eastAsia" w:ascii="宋体" w:hAnsi="宋体" w:cs="宋体"/>
                <w:bCs/>
                <w:color w:val="auto"/>
                <w:kern w:val="0"/>
                <w:sz w:val="24"/>
                <w:highlight w:val="none"/>
              </w:rPr>
              <w:t>与项目实际情况比较符合的</w:t>
            </w:r>
            <w:r>
              <w:rPr>
                <w:rFonts w:hint="eastAsia" w:ascii="宋体" w:hAnsi="宋体" w:cs="宋体"/>
                <w:color w:val="auto"/>
                <w:spacing w:val="-6"/>
                <w:sz w:val="24"/>
                <w:highlight w:val="none"/>
              </w:rPr>
              <w:t>，3分；</w:t>
            </w:r>
          </w:p>
          <w:p>
            <w:pPr>
              <w:ind w:right="-97" w:rightChars="-46"/>
              <w:jc w:val="left"/>
              <w:rPr>
                <w:rFonts w:ascii="宋体" w:hAnsi="宋体" w:cs="宋体"/>
                <w:color w:val="auto"/>
                <w:spacing w:val="-6"/>
                <w:sz w:val="24"/>
                <w:highlight w:val="none"/>
              </w:rPr>
            </w:pPr>
            <w:r>
              <w:rPr>
                <w:rFonts w:hint="eastAsia" w:ascii="宋体" w:hAnsi="宋体" w:cs="宋体"/>
                <w:bCs/>
                <w:color w:val="auto"/>
                <w:kern w:val="0"/>
                <w:sz w:val="24"/>
                <w:highlight w:val="none"/>
              </w:rPr>
              <w:t>安全文明施工（防尘、施工现在卫生管理）保障措施</w:t>
            </w:r>
            <w:r>
              <w:rPr>
                <w:rFonts w:hint="eastAsia" w:ascii="宋体" w:hAnsi="宋体" w:cs="宋体"/>
                <w:color w:val="auto"/>
                <w:spacing w:val="-6"/>
                <w:sz w:val="24"/>
                <w:highlight w:val="none"/>
              </w:rPr>
              <w:t>欠合理，存在瑕疵，2分；</w:t>
            </w:r>
          </w:p>
          <w:p>
            <w:pPr>
              <w:outlineLvl w:val="0"/>
              <w:rPr>
                <w:rFonts w:ascii="宋体" w:hAnsi="宋体" w:cs="宋体"/>
                <w:color w:val="auto"/>
                <w:spacing w:val="-6"/>
                <w:sz w:val="24"/>
                <w:highlight w:val="none"/>
              </w:rPr>
            </w:pPr>
            <w:r>
              <w:rPr>
                <w:rFonts w:hint="eastAsia" w:ascii="宋体" w:hAnsi="宋体" w:cs="宋体"/>
                <w:bCs/>
                <w:color w:val="auto"/>
                <w:kern w:val="0"/>
                <w:sz w:val="24"/>
                <w:highlight w:val="none"/>
              </w:rPr>
              <w:t>安全文明施工（防尘、施工现在卫生管理）保障措施</w:t>
            </w:r>
            <w:r>
              <w:rPr>
                <w:rFonts w:hint="eastAsia" w:ascii="宋体" w:hAnsi="宋体" w:cs="宋体"/>
                <w:color w:val="auto"/>
                <w:spacing w:val="-6"/>
                <w:sz w:val="24"/>
                <w:highlight w:val="none"/>
              </w:rPr>
              <w:t>不完善，</w:t>
            </w:r>
            <w:r>
              <w:rPr>
                <w:rFonts w:hint="eastAsia" w:ascii="宋体" w:hAnsi="宋体" w:cs="宋体"/>
                <w:color w:val="auto"/>
                <w:sz w:val="24"/>
                <w:highlight w:val="none"/>
                <w:lang w:val="zh-CN"/>
              </w:rPr>
              <w:t>缺陷较多</w:t>
            </w:r>
            <w:r>
              <w:rPr>
                <w:rFonts w:hint="eastAsia" w:ascii="宋体" w:hAnsi="宋体" w:cs="宋体"/>
                <w:color w:val="auto"/>
                <w:spacing w:val="-6"/>
                <w:sz w:val="24"/>
                <w:highlight w:val="none"/>
              </w:rPr>
              <w:t>，得1分；</w:t>
            </w:r>
          </w:p>
          <w:p>
            <w:pPr>
              <w:snapToGrid w:val="0"/>
              <w:outlineLvl w:val="0"/>
              <w:rPr>
                <w:rFonts w:ascii="宋体" w:hAnsi="宋体" w:cs="宋体"/>
                <w:bCs/>
                <w:color w:val="auto"/>
                <w:kern w:val="0"/>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ind w:firstLine="480" w:firstLineChars="20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4</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12</w:t>
            </w:r>
          </w:p>
        </w:tc>
        <w:tc>
          <w:tcPr>
            <w:tcW w:w="6491" w:type="dxa"/>
            <w:vAlign w:val="center"/>
          </w:tcPr>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教学工作保障方案：</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教学工作保障方案（保障学校工作有序进行，提供有噪声的工作安排及其他保障学校工作有序进行、不影响正常教学方案）完善、可行，4分；</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教学工作保障方案（保障学校工作有序进行，提供有噪声的工作安排及其他保障学校工作有序进行、不影响正常教学方案）基本完善，基本满足需求，3分；</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教学工作保障方案（保障学校工作有序进行，提供有噪声的工作安排及其他保障学校工作有序进行、不影响正常教学方案）欠合理，存在瑕疵，2分；</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教学工作保障方案（保障学校工作有序进行，提供有噪声的工作安排及其他保障学校工作有序进行、不影响正常教学方案）不完善，缺陷较多，得1分；</w:t>
            </w:r>
          </w:p>
          <w:p>
            <w:pPr>
              <w:outlineLvl w:val="0"/>
              <w:rPr>
                <w:rFonts w:ascii="宋体" w:hAnsi="宋体" w:cs="宋体"/>
                <w:bCs/>
                <w:color w:val="auto"/>
                <w:kern w:val="0"/>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ind w:firstLine="480" w:firstLineChars="200"/>
              <w:outlineLvl w:val="0"/>
              <w:rPr>
                <w:rFonts w:ascii="宋体" w:hAnsi="宋体" w:cs="宋体"/>
                <w:bCs/>
                <w:color w:val="auto"/>
                <w:kern w:val="0"/>
                <w:sz w:val="24"/>
                <w:highlight w:val="none"/>
              </w:rPr>
            </w:pPr>
            <w:r>
              <w:rPr>
                <w:rFonts w:hint="eastAsia" w:ascii="宋体" w:hAnsi="宋体" w:cs="宋体"/>
                <w:bCs/>
                <w:color w:val="auto"/>
                <w:kern w:val="0"/>
                <w:sz w:val="24"/>
                <w:highlight w:val="none"/>
              </w:rPr>
              <w:t>4</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13</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选用材料质量保证措施能否满足要求。</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材料的选用能完全满足项目的要求，供货计划能完全满足项目的进度要求，质量保证措施合理的，5分；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材料的选用能较好满足项目的要求，供货计划较好满足项目的进度要求，质量保证措施比较合理的4分；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材料的选用能基本满足项目的要求，供货计划基本满足项目的进度要求，质量保证措施比较合理的3分；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材料的选用、供货计划以及质量保证措施一般，存在瑕疵，得2分；</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材料的选用不能满足项目的要求，供货计划不能满足项目的进度要求，质量保证措施合理性一般的，1分；</w:t>
            </w:r>
          </w:p>
          <w:p>
            <w:pPr>
              <w:snapToGrid w:val="0"/>
              <w:outlineLvl w:val="0"/>
              <w:rPr>
                <w:rFonts w:ascii="宋体" w:hAnsi="宋体" w:cs="宋体"/>
                <w:color w:val="auto"/>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14</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服务保障方案（针对本项目保修期内服务人员安排情况、响应保障措施）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方案清晰、完整，完全吻合项目实际需求的得5分；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方案略有瑕疵，基本满足项目实际需求的得4分；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方案内容简单的得3分；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方案内容不清晰，内容缺失的得2分；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方案内容混乱，内容缺失严重的得1分；</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15</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项目实施过程中针对成品保护和现有环境的各项措施：</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施工成品和现有环境的保护措施完善、</w:t>
            </w:r>
            <w:r>
              <w:rPr>
                <w:rFonts w:hint="eastAsia" w:ascii="宋体" w:hAnsi="宋体" w:cs="宋体"/>
                <w:color w:val="auto"/>
                <w:sz w:val="24"/>
                <w:highlight w:val="none"/>
                <w:lang w:val="zh-CN"/>
              </w:rPr>
              <w:t>可行</w:t>
            </w:r>
            <w:r>
              <w:rPr>
                <w:rFonts w:hint="eastAsia" w:ascii="宋体" w:hAnsi="宋体" w:cs="宋体"/>
                <w:color w:val="auto"/>
                <w:spacing w:val="-6"/>
                <w:sz w:val="24"/>
                <w:highlight w:val="none"/>
              </w:rPr>
              <w:t>，得5分；</w:t>
            </w:r>
          </w:p>
          <w:p>
            <w:pPr>
              <w:pStyle w:val="47"/>
              <w:rPr>
                <w:rFonts w:ascii="宋体" w:hAnsi="宋体" w:cs="宋体"/>
                <w:color w:val="auto"/>
                <w:sz w:val="24"/>
                <w:highlight w:val="none"/>
              </w:rPr>
            </w:pPr>
            <w:r>
              <w:rPr>
                <w:rFonts w:hint="eastAsia" w:ascii="宋体" w:hAnsi="宋体" w:cs="宋体"/>
                <w:color w:val="auto"/>
                <w:spacing w:val="-6"/>
                <w:sz w:val="24"/>
                <w:highlight w:val="none"/>
              </w:rPr>
              <w:t>施工成品和现有环境的保护措施较完善，</w:t>
            </w:r>
            <w:r>
              <w:rPr>
                <w:rFonts w:hint="eastAsia" w:ascii="宋体" w:hAnsi="宋体" w:cs="宋体"/>
                <w:color w:val="auto"/>
                <w:sz w:val="24"/>
                <w:highlight w:val="none"/>
                <w:lang w:val="zh-CN"/>
              </w:rPr>
              <w:t>较完整可行</w:t>
            </w:r>
            <w:r>
              <w:rPr>
                <w:rFonts w:hint="eastAsia" w:ascii="宋体" w:hAnsi="宋体" w:cs="宋体"/>
                <w:color w:val="auto"/>
                <w:spacing w:val="-6"/>
                <w:sz w:val="24"/>
                <w:highlight w:val="none"/>
              </w:rPr>
              <w:t>，得4分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施工成品和现有环境的保护措施基本完善，</w:t>
            </w:r>
            <w:r>
              <w:rPr>
                <w:rFonts w:hint="eastAsia" w:ascii="宋体" w:hAnsi="宋体" w:cs="宋体"/>
                <w:color w:val="auto"/>
                <w:sz w:val="24"/>
                <w:highlight w:val="none"/>
                <w:lang w:val="zh-CN"/>
              </w:rPr>
              <w:t>基本满足需求</w:t>
            </w:r>
            <w:r>
              <w:rPr>
                <w:rFonts w:hint="eastAsia" w:ascii="宋体" w:hAnsi="宋体" w:cs="宋体"/>
                <w:color w:val="auto"/>
                <w:spacing w:val="-6"/>
                <w:sz w:val="24"/>
                <w:highlight w:val="none"/>
              </w:rPr>
              <w:t>，得3分；</w:t>
            </w:r>
          </w:p>
          <w:p>
            <w:pPr>
              <w:ind w:right="-97" w:rightChars="-46"/>
              <w:jc w:val="left"/>
              <w:rPr>
                <w:rFonts w:ascii="宋体" w:hAnsi="宋体" w:cs="宋体"/>
                <w:color w:val="auto"/>
                <w:spacing w:val="-6"/>
                <w:sz w:val="24"/>
                <w:highlight w:val="none"/>
              </w:rPr>
            </w:pPr>
            <w:r>
              <w:rPr>
                <w:rFonts w:hint="eastAsia" w:ascii="宋体" w:hAnsi="宋体" w:cs="宋体"/>
                <w:color w:val="auto"/>
                <w:spacing w:val="-6"/>
                <w:sz w:val="24"/>
                <w:highlight w:val="none"/>
              </w:rPr>
              <w:t>施工成品和现有环境的保护措施欠合理，存在瑕疵，得2分；</w:t>
            </w:r>
          </w:p>
          <w:p>
            <w:pPr>
              <w:outlineLvl w:val="0"/>
              <w:rPr>
                <w:rFonts w:ascii="宋体" w:hAnsi="宋体" w:cs="宋体"/>
                <w:color w:val="auto"/>
                <w:spacing w:val="-6"/>
                <w:sz w:val="24"/>
                <w:highlight w:val="none"/>
              </w:rPr>
            </w:pPr>
            <w:r>
              <w:rPr>
                <w:rFonts w:hint="eastAsia" w:ascii="宋体" w:hAnsi="宋体" w:cs="宋体"/>
                <w:color w:val="auto"/>
                <w:spacing w:val="-6"/>
                <w:sz w:val="24"/>
                <w:highlight w:val="none"/>
              </w:rPr>
              <w:t>施工成品和现有环境的保护措施不完善，</w:t>
            </w:r>
            <w:r>
              <w:rPr>
                <w:rFonts w:hint="eastAsia" w:ascii="宋体" w:hAnsi="宋体" w:cs="宋体"/>
                <w:color w:val="auto"/>
                <w:sz w:val="24"/>
                <w:highlight w:val="none"/>
                <w:lang w:val="zh-CN"/>
              </w:rPr>
              <w:t>缺陷较多</w:t>
            </w:r>
            <w:r>
              <w:rPr>
                <w:rFonts w:hint="eastAsia" w:ascii="宋体" w:hAnsi="宋体" w:cs="宋体"/>
                <w:color w:val="auto"/>
                <w:spacing w:val="-6"/>
                <w:sz w:val="24"/>
                <w:highlight w:val="none"/>
              </w:rPr>
              <w:t>，得1分；</w:t>
            </w:r>
          </w:p>
          <w:p>
            <w:pPr>
              <w:snapToGrid w:val="0"/>
              <w:outlineLvl w:val="0"/>
              <w:rPr>
                <w:rFonts w:ascii="宋体" w:hAnsi="宋体" w:cs="宋体"/>
                <w:color w:val="auto"/>
                <w:sz w:val="24"/>
                <w:highlight w:val="none"/>
              </w:rPr>
            </w:pPr>
            <w:r>
              <w:rPr>
                <w:rFonts w:hint="eastAsia" w:ascii="宋体" w:hAnsi="宋体" w:cs="宋体"/>
                <w:color w:val="auto"/>
                <w:spacing w:val="-6"/>
                <w:sz w:val="24"/>
                <w:highlight w:val="none"/>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16</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重点、难点分析及保障方案：</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方案清晰、完整，完全吻合项目实际需求的得4分；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方案内容简单的得3分；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 xml:space="preserve">方案内容不清晰，内容缺失的得2分； </w:t>
            </w:r>
          </w:p>
          <w:p>
            <w:pPr>
              <w:snapToGrid w:val="0"/>
              <w:outlineLvl w:val="0"/>
              <w:rPr>
                <w:rFonts w:ascii="宋体" w:hAnsi="宋体" w:cs="宋体"/>
                <w:color w:val="auto"/>
                <w:sz w:val="24"/>
                <w:highlight w:val="none"/>
              </w:rPr>
            </w:pPr>
            <w:r>
              <w:rPr>
                <w:rFonts w:hint="eastAsia" w:ascii="宋体" w:hAnsi="宋体" w:cs="宋体"/>
                <w:color w:val="auto"/>
                <w:sz w:val="24"/>
                <w:highlight w:val="none"/>
              </w:rPr>
              <w:t>方案内容混乱，内容缺失严重的得1分；</w:t>
            </w:r>
          </w:p>
          <w:p>
            <w:pPr>
              <w:pStyle w:val="5"/>
              <w:rPr>
                <w:b w:val="0"/>
                <w:bCs w:val="0"/>
                <w:color w:val="auto"/>
                <w:highlight w:val="none"/>
                <w:lang w:val="en-US"/>
              </w:rPr>
            </w:pPr>
            <w:r>
              <w:rPr>
                <w:rFonts w:hint="eastAsia" w:ascii="宋体" w:hAnsi="宋体" w:eastAsia="宋体" w:cs="宋体"/>
                <w:b w:val="0"/>
                <w:bCs w:val="0"/>
                <w:color w:val="auto"/>
                <w:sz w:val="24"/>
                <w:szCs w:val="24"/>
                <w:highlight w:val="none"/>
                <w:lang w:val="en-US"/>
              </w:rPr>
              <w:t>未提供不得分。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4</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17</w:t>
            </w:r>
          </w:p>
        </w:tc>
        <w:tc>
          <w:tcPr>
            <w:tcW w:w="6491" w:type="dxa"/>
            <w:vAlign w:val="center"/>
          </w:tcPr>
          <w:p>
            <w:pPr>
              <w:snapToGrid w:val="0"/>
              <w:outlineLvl w:val="0"/>
              <w:rPr>
                <w:rFonts w:ascii="宋体" w:hAnsi="宋体" w:cs="宋体"/>
                <w:color w:val="auto"/>
                <w:sz w:val="24"/>
                <w:highlight w:val="none"/>
              </w:rPr>
            </w:pPr>
            <w:r>
              <w:rPr>
                <w:rFonts w:hint="eastAsia" w:ascii="宋体" w:hAnsi="宋体" w:cs="宋体"/>
                <w:color w:val="auto"/>
                <w:sz w:val="24"/>
                <w:highlight w:val="none"/>
              </w:rPr>
              <w:t>所投材料列入政府采购节能产品、环境标志产品品目清单范围的，节能产品1分，环境标志产品1分。（根据最新政府采购节能产品、环境标志产品品目清单，信息查看中国政府采购网http：//www.ccgp.gov.cn进行评分，供应商应在投标文件中提供相关依据国家确定的认证机构出具的、处于有效期之内的节能产品、环境标志产品认证证书证明材料，否则不得分）</w:t>
            </w:r>
          </w:p>
        </w:tc>
        <w:tc>
          <w:tcPr>
            <w:tcW w:w="1407"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2</w:t>
            </w:r>
          </w:p>
        </w:tc>
        <w:tc>
          <w:tcPr>
            <w:tcW w:w="1285" w:type="dxa"/>
          </w:tcPr>
          <w:p>
            <w:pPr>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18</w:t>
            </w:r>
          </w:p>
        </w:tc>
        <w:tc>
          <w:tcPr>
            <w:tcW w:w="6491" w:type="dxa"/>
          </w:tcPr>
          <w:p>
            <w:pPr>
              <w:snapToGrid w:val="0"/>
              <w:outlineLvl w:val="0"/>
              <w:rPr>
                <w:rFonts w:ascii="宋体" w:hAnsi="宋体" w:cs="宋体"/>
                <w:color w:val="auto"/>
                <w:sz w:val="24"/>
                <w:highlight w:val="none"/>
              </w:rPr>
            </w:pPr>
            <w:r>
              <w:rPr>
                <w:rFonts w:hint="eastAsia" w:ascii="宋体" w:hAnsi="宋体" w:cs="宋体"/>
                <w:color w:val="auto"/>
                <w:sz w:val="24"/>
                <w:highlight w:val="none"/>
              </w:rPr>
              <w:t>有效最后报价的最低价作为评审基准价，其最低报价为满分；按［最后报价得分=（评审基准价/最后报价）*30］的计算公式计算。</w:t>
            </w:r>
          </w:p>
          <w:p>
            <w:pPr>
              <w:widowControl/>
              <w:shd w:val="clear" w:color="auto" w:fill="FFFFFF"/>
              <w:adjustRightInd/>
              <w:snapToGrid w:val="0"/>
              <w:jc w:val="left"/>
              <w:rPr>
                <w:rFonts w:ascii="宋体" w:hAnsi="宋体" w:cs="宋体"/>
                <w:color w:val="auto"/>
                <w:sz w:val="24"/>
                <w:highlight w:val="none"/>
              </w:rPr>
            </w:pPr>
            <w:r>
              <w:rPr>
                <w:rFonts w:hint="eastAsia" w:ascii="宋体" w:hAnsi="宋体" w:cs="宋体"/>
                <w:color w:val="auto"/>
                <w:sz w:val="24"/>
                <w:highlight w:val="none"/>
              </w:rPr>
              <w:t>评审过程中，不得去掉报价中的最高报价和最低报价。</w:t>
            </w:r>
          </w:p>
          <w:p>
            <w:pPr>
              <w:widowControl/>
              <w:shd w:val="clear" w:color="auto" w:fill="FFFFFF"/>
              <w:adjustRightInd/>
              <w:snapToGrid w:val="0"/>
              <w:jc w:val="left"/>
              <w:rPr>
                <w:rFonts w:ascii="宋体" w:hAnsi="宋体" w:cs="宋体"/>
                <w:color w:val="auto"/>
                <w:sz w:val="24"/>
                <w:highlight w:val="none"/>
              </w:rPr>
            </w:pPr>
            <w:r>
              <w:rPr>
                <w:rFonts w:hint="eastAsia" w:ascii="宋体" w:hAnsi="宋体" w:cs="宋体"/>
                <w:color w:val="auto"/>
                <w:sz w:val="24"/>
                <w:highlight w:val="none"/>
              </w:rPr>
              <w:t>因落实政府采购政策需要进行价格调整的，以调整后的价格计算评审基准价和最后报价。</w:t>
            </w:r>
          </w:p>
        </w:tc>
        <w:tc>
          <w:tcPr>
            <w:tcW w:w="1407"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30</w:t>
            </w:r>
          </w:p>
        </w:tc>
        <w:tc>
          <w:tcPr>
            <w:tcW w:w="1285" w:type="dxa"/>
            <w:vAlign w:val="center"/>
          </w:tcPr>
          <w:p>
            <w:pPr>
              <w:snapToGrid w:val="0"/>
              <w:jc w:val="center"/>
              <w:outlineLvl w:val="0"/>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snapToGrid w:val="0"/>
              <w:ind w:firstLine="240" w:firstLineChars="100"/>
              <w:outlineLvl w:val="0"/>
              <w:rPr>
                <w:rFonts w:ascii="宋体" w:hAnsi="宋体" w:cs="宋体"/>
                <w:color w:val="auto"/>
                <w:sz w:val="24"/>
                <w:highlight w:val="none"/>
              </w:rPr>
            </w:pPr>
          </w:p>
        </w:tc>
        <w:tc>
          <w:tcPr>
            <w:tcW w:w="6491" w:type="dxa"/>
          </w:tcPr>
          <w:p>
            <w:pPr>
              <w:widowControl/>
              <w:shd w:val="clear" w:color="auto" w:fill="FFFFFF"/>
              <w:adjustRightInd/>
              <w:snapToGrid w:val="0"/>
              <w:ind w:firstLine="420"/>
              <w:jc w:val="left"/>
              <w:rPr>
                <w:rFonts w:ascii="宋体" w:hAnsi="宋体" w:cs="宋体"/>
                <w:color w:val="auto"/>
                <w:sz w:val="24"/>
                <w:highlight w:val="none"/>
              </w:rPr>
            </w:pPr>
            <w:r>
              <w:rPr>
                <w:rFonts w:hint="eastAsia" w:ascii="宋体" w:hAnsi="宋体" w:cs="宋体"/>
                <w:color w:val="auto"/>
                <w:sz w:val="24"/>
                <w:highlight w:val="none"/>
              </w:rPr>
              <w:t>注意：不得以特定金额的业绩作为评审因素</w:t>
            </w:r>
          </w:p>
        </w:tc>
        <w:tc>
          <w:tcPr>
            <w:tcW w:w="1407" w:type="dxa"/>
            <w:vAlign w:val="center"/>
          </w:tcPr>
          <w:p>
            <w:pPr>
              <w:snapToGrid w:val="0"/>
              <w:ind w:firstLine="120" w:firstLineChars="50"/>
              <w:outlineLvl w:val="0"/>
              <w:rPr>
                <w:rFonts w:ascii="宋体" w:hAnsi="宋体" w:cs="宋体"/>
                <w:color w:val="auto"/>
                <w:sz w:val="24"/>
                <w:highlight w:val="none"/>
              </w:rPr>
            </w:pPr>
          </w:p>
        </w:tc>
        <w:tc>
          <w:tcPr>
            <w:tcW w:w="1285" w:type="dxa"/>
            <w:vAlign w:val="center"/>
          </w:tcPr>
          <w:p>
            <w:pPr>
              <w:snapToGrid w:val="0"/>
              <w:jc w:val="center"/>
              <w:outlineLvl w:val="0"/>
              <w:rPr>
                <w:rFonts w:ascii="宋体" w:hAnsi="宋体" w:cs="宋体"/>
                <w:color w:val="auto"/>
                <w:sz w:val="24"/>
                <w:highlight w:val="none"/>
              </w:rPr>
            </w:pP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供应商编制响应文件（商务技术文件部分）时，建议按此目录（序号和内容）提供评审标准相应的商务技术资料。 </w:t>
      </w:r>
    </w:p>
    <w:p>
      <w:pPr>
        <w:jc w:val="left"/>
        <w:rPr>
          <w:rFonts w:ascii="宋体" w:hAnsi="宋体" w:cs="宋体"/>
          <w:b/>
          <w:color w:val="auto"/>
          <w:sz w:val="32"/>
          <w:highlight w:val="none"/>
        </w:rPr>
      </w:pPr>
      <w:r>
        <w:rPr>
          <w:rFonts w:hint="eastAsia" w:ascii="宋体" w:hAnsi="宋体" w:cs="宋体"/>
          <w:b/>
          <w:color w:val="auto"/>
          <w:sz w:val="32"/>
          <w:highlight w:val="none"/>
        </w:rPr>
        <w:br w:type="page"/>
      </w: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32"/>
          <w:highlight w:val="none"/>
        </w:rPr>
        <w:t>一、评审方法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二、评审标准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评审标准：</w:t>
      </w:r>
      <w:r>
        <w:rPr>
          <w:rFonts w:hint="eastAsia" w:ascii="宋体" w:hAnsi="宋体" w:cs="宋体"/>
          <w:color w:val="auto"/>
          <w:kern w:val="0"/>
          <w:sz w:val="24"/>
          <w:highlight w:val="none"/>
        </w:rPr>
        <w:t>见评审办法前附表。</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三、评审程序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宋体" w:hAnsi="宋体" w:cs="宋体"/>
          <w:color w:val="auto"/>
          <w:sz w:val="24"/>
          <w:highlight w:val="none"/>
        </w:rPr>
      </w:pPr>
      <w:r>
        <w:rPr>
          <w:rFonts w:hint="eastAsia" w:ascii="宋体" w:hAnsi="宋体" w:cs="宋体"/>
          <w:b/>
          <w:color w:val="auto"/>
          <w:kern w:val="0"/>
          <w:sz w:val="24"/>
          <w:highlight w:val="none"/>
        </w:rPr>
        <w:t>3.2 磋商。</w:t>
      </w:r>
      <w:r>
        <w:rPr>
          <w:rFonts w:hint="eastAsia" w:ascii="宋体" w:hAnsi="宋体" w:cs="宋体"/>
          <w:color w:val="auto"/>
          <w:sz w:val="24"/>
          <w:highlight w:val="none"/>
        </w:rPr>
        <w:t>磋商小组将对确定为实质性响应本采购文件的响应文件进行详细评价和比较，主要就资信、服务方案内容、服务承诺等磋商小组认为与本次采购有关的因素与</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供应商逐一进行磋商。</w:t>
      </w:r>
    </w:p>
    <w:p>
      <w:pPr>
        <w:spacing w:line="360" w:lineRule="auto"/>
        <w:ind w:firstLine="470" w:firstLineChars="196"/>
        <w:rPr>
          <w:rFonts w:ascii="宋体" w:hAnsi="宋体" w:cs="宋体"/>
          <w:b/>
          <w:color w:val="auto"/>
          <w:sz w:val="24"/>
          <w:highlight w:val="none"/>
        </w:rPr>
      </w:pPr>
      <w:r>
        <w:rPr>
          <w:rFonts w:hint="eastAsia" w:ascii="宋体" w:hAnsi="宋体" w:cs="宋体"/>
          <w:bCs/>
          <w:color w:val="auto"/>
          <w:sz w:val="24"/>
          <w:highlight w:val="none"/>
        </w:rPr>
        <w:t xml:space="preserve">3.2.1 </w:t>
      </w:r>
      <w:r>
        <w:rPr>
          <w:rFonts w:hint="eastAsia" w:ascii="宋体" w:hAnsi="宋体" w:cs="宋体"/>
          <w:color w:val="auto"/>
          <w:sz w:val="24"/>
          <w:highlight w:val="none"/>
        </w:rPr>
        <w:t>供应商逐家回答磋商小组的提问；</w:t>
      </w:r>
      <w:r>
        <w:rPr>
          <w:rFonts w:hint="eastAsia" w:ascii="宋体" w:hAnsi="宋体" w:cs="宋体"/>
          <w:b/>
          <w:color w:val="auto"/>
          <w:sz w:val="24"/>
          <w:highlight w:val="none"/>
        </w:rPr>
        <w:t>逐家磋商一次为一个轮次，磋商轮次根据实际情况进行。</w:t>
      </w:r>
    </w:p>
    <w:p>
      <w:pPr>
        <w:spacing w:line="360" w:lineRule="auto"/>
        <w:ind w:firstLine="470" w:firstLineChars="196"/>
        <w:rPr>
          <w:rFonts w:ascii="宋体" w:hAnsi="宋体" w:cs="宋体"/>
          <w:color w:val="auto"/>
          <w:sz w:val="24"/>
          <w:highlight w:val="none"/>
        </w:rPr>
      </w:pPr>
      <w:r>
        <w:rPr>
          <w:rFonts w:hint="eastAsia" w:ascii="宋体" w:hAnsi="宋体" w:cs="宋体"/>
          <w:bCs/>
          <w:color w:val="auto"/>
          <w:sz w:val="24"/>
          <w:highlight w:val="none"/>
        </w:rPr>
        <w:t xml:space="preserve">3.2.2 </w:t>
      </w:r>
      <w:r>
        <w:rPr>
          <w:rFonts w:hint="eastAsia" w:ascii="宋体" w:hAnsi="宋体" w:cs="宋体"/>
          <w:color w:val="auto"/>
          <w:sz w:val="24"/>
          <w:highlight w:val="none"/>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宋体" w:hAnsi="宋体" w:cs="宋体"/>
          <w:bCs/>
          <w:color w:val="auto"/>
          <w:kern w:val="0"/>
          <w:sz w:val="24"/>
          <w:highlight w:val="none"/>
        </w:rPr>
      </w:pPr>
      <w:r>
        <w:rPr>
          <w:rFonts w:hint="eastAsia" w:ascii="宋体" w:hAnsi="宋体" w:cs="宋体"/>
          <w:color w:val="auto"/>
          <w:sz w:val="24"/>
          <w:highlight w:val="none"/>
        </w:rPr>
        <w:t xml:space="preserve">3.2.3 </w:t>
      </w:r>
      <w:r>
        <w:rPr>
          <w:rFonts w:hint="eastAsia" w:ascii="宋体" w:hAnsi="宋体" w:cs="宋体"/>
          <w:b/>
          <w:bCs/>
          <w:color w:val="auto"/>
          <w:sz w:val="24"/>
          <w:highlight w:val="none"/>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color w:val="auto"/>
          <w:sz w:val="24"/>
          <w:highlight w:val="none"/>
        </w:rPr>
        <w:t>实质性变动的内容，须经采购人代表确认。磋商文件有实质性变动的，磋商小组将以书面形式通知所有</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 xml:space="preserve">供应商。 </w:t>
      </w:r>
    </w:p>
    <w:p>
      <w:pPr>
        <w:spacing w:line="360" w:lineRule="auto"/>
        <w:ind w:firstLine="472" w:firstLineChars="196"/>
        <w:rPr>
          <w:rFonts w:ascii="宋体" w:hAnsi="宋体" w:cs="宋体"/>
          <w:b/>
          <w:bCs/>
          <w:color w:val="auto"/>
          <w:kern w:val="0"/>
          <w:sz w:val="24"/>
          <w:highlight w:val="none"/>
        </w:rPr>
      </w:pPr>
      <w:r>
        <w:rPr>
          <w:rFonts w:hint="eastAsia" w:ascii="宋体" w:hAnsi="宋体" w:cs="宋体"/>
          <w:b/>
          <w:bCs/>
          <w:color w:val="auto"/>
          <w:kern w:val="0"/>
          <w:sz w:val="24"/>
          <w:highlight w:val="none"/>
        </w:rPr>
        <w:t>3.3最后报价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3.3.3 已提交响应文件的供应商，在提交最后报价之前，可以根据磋商情况退出磋商(供应商在提交最后报价之前未提交最终报价的视作退出磋商)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3.4 综合评分。</w:t>
      </w:r>
      <w:r>
        <w:rPr>
          <w:rFonts w:hint="eastAsia" w:ascii="宋体" w:hAnsi="宋体" w:cs="宋体"/>
          <w:bCs/>
          <w:color w:val="auto"/>
          <w:kern w:val="0"/>
          <w:sz w:val="24"/>
          <w:highlight w:val="none"/>
        </w:rPr>
        <w:t>经磋商确定最终采购需求和提交最后报价的供应商后，</w:t>
      </w:r>
      <w:r>
        <w:rPr>
          <w:rFonts w:hint="eastAsia" w:ascii="宋体" w:hAnsi="宋体" w:cs="宋体"/>
          <w:color w:val="auto"/>
          <w:kern w:val="0"/>
          <w:sz w:val="24"/>
          <w:highlight w:val="none"/>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3.5汇总商务技术得分。</w:t>
      </w:r>
      <w:r>
        <w:rPr>
          <w:rFonts w:hint="eastAsia" w:ascii="宋体" w:hAnsi="宋体" w:cs="宋体"/>
          <w:color w:val="auto"/>
          <w:kern w:val="0"/>
          <w:sz w:val="24"/>
          <w:highlight w:val="none"/>
        </w:rPr>
        <w:t>磋商小组各成员应当独立对每个供应商的商务和技术文件进行评价，并汇总商务技术得分情况。磋商小组成员总评分偏离平均分30%以上的，以及个人主观打分偏离所有磋商小组成员主观打分平均值</w:t>
      </w:r>
      <w:r>
        <w:rPr>
          <w:rFonts w:ascii="宋体" w:hAnsi="宋体" w:cs="宋体"/>
          <w:color w:val="auto"/>
          <w:kern w:val="0"/>
          <w:sz w:val="24"/>
          <w:highlight w:val="none"/>
        </w:rPr>
        <w:t>30%以上的，由</w:t>
      </w:r>
      <w:r>
        <w:rPr>
          <w:rFonts w:hint="eastAsia" w:ascii="宋体" w:hAnsi="宋体" w:cs="宋体"/>
          <w:color w:val="auto"/>
          <w:kern w:val="0"/>
          <w:sz w:val="24"/>
          <w:highlight w:val="none"/>
        </w:rPr>
        <w:t>磋商小组</w:t>
      </w:r>
      <w:r>
        <w:rPr>
          <w:rFonts w:ascii="宋体" w:hAnsi="宋体" w:cs="宋体"/>
          <w:color w:val="auto"/>
          <w:kern w:val="0"/>
          <w:sz w:val="24"/>
          <w:highlight w:val="none"/>
        </w:rPr>
        <w:t>启动评分畸高、畸低行为认定程序</w:t>
      </w:r>
      <w:r>
        <w:rPr>
          <w:rFonts w:hint="eastAsia" w:ascii="宋体" w:hAnsi="宋体" w:cs="宋体"/>
          <w:color w:val="auto"/>
          <w:kern w:val="0"/>
          <w:sz w:val="24"/>
          <w:highlight w:val="none"/>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3.6报价评审。</w:t>
      </w:r>
    </w:p>
    <w:p>
      <w:pPr>
        <w:pStyle w:val="132"/>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3.6.1响应文件报价出现前后不一致的，按照下列规定修正：</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3.6.1.1响应文件中已标价工程量清单内容与响应文件中相应内容不一致的，以已标价工程量清单为准;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3.6.1.2大写金额和小写金额不一致的，以大写金额为准;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3.6.1.3单价金额小数点或者百分比有明显错位的，以已标价工程量清单的总价为准，并修改单价;</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3.6.1.4总价金额与按单价汇总金额不一致的，以单价金额计算结果为准。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3.6.1.5同时出现两种以上不一致的，按照3.6.1规定的顺序修正。修正后的报价经供应商确认后产生约束力。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3.6.2响应文件出现不是唯一的、有选择性最后报价的，响应文件无效。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3.6.3未在政采云系统规定时间内提交最终报价的。</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3.6.4最后报价超过采购文件中规定的预算金额或者最高限价的，响应文件无效。</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3.6.5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3.7排序与推荐。</w:t>
      </w:r>
      <w:r>
        <w:rPr>
          <w:rFonts w:hint="eastAsia" w:ascii="宋体" w:hAnsi="宋体" w:cs="宋体"/>
          <w:color w:val="auto"/>
          <w:kern w:val="0"/>
          <w:sz w:val="24"/>
          <w:highlight w:val="none"/>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3.8编写评审报告。</w:t>
      </w:r>
      <w:r>
        <w:rPr>
          <w:rFonts w:hint="eastAsia" w:ascii="宋体" w:hAnsi="宋体" w:cs="宋体"/>
          <w:color w:val="auto"/>
          <w:kern w:val="0"/>
          <w:sz w:val="24"/>
          <w:highlight w:val="none"/>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四、评审中的其他事项</w:t>
      </w:r>
    </w:p>
    <w:p>
      <w:pPr>
        <w:pStyle w:val="132"/>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4.1供应商澄清、说明或者补正。</w:t>
      </w:r>
      <w:r>
        <w:rPr>
          <w:rFonts w:hint="eastAsia" w:ascii="宋体" w:hAnsi="宋体" w:cs="宋体"/>
          <w:color w:val="auto"/>
          <w:kern w:val="0"/>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9"/>
        <w:spacing w:line="360" w:lineRule="auto"/>
        <w:ind w:left="954" w:leftChars="226" w:hanging="479" w:firstLineChars="0"/>
        <w:rPr>
          <w:rFonts w:cs="宋体"/>
          <w:color w:val="auto"/>
          <w:szCs w:val="21"/>
          <w:highlight w:val="none"/>
        </w:rPr>
      </w:pPr>
      <w:r>
        <w:rPr>
          <w:rFonts w:hint="eastAsia" w:cs="宋体"/>
          <w:b/>
          <w:color w:val="auto"/>
          <w:kern w:val="0"/>
          <w:highlight w:val="none"/>
        </w:rPr>
        <w:t>4.2响应文件无效。</w:t>
      </w:r>
      <w:r>
        <w:rPr>
          <w:rFonts w:hint="eastAsia" w:cs="宋体"/>
          <w:color w:val="auto"/>
          <w:szCs w:val="21"/>
          <w:highlight w:val="none"/>
        </w:rPr>
        <w:t>有下列情形之一的，响应文件无效：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4.2.2响应文件未按照采购文件要求签署、盖章的；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4.2.4响应文件含有采购人不能接受的附加条件的；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4.2.5响应文件中承诺的响应文件有效期少于采购文件中载明的响应文件有效期的；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4.2.6响应文件出现不是唯一的、有选择性最后报价的;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4.2.7未在政采云系统规定时间内提交最终报价的。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4.2.8最后报价超过采购文件中规定的预算金额或者最高限价的;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4.2.11供应商提供虚假材料响应的；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4.2.13供应商仅提交备份响应文件，未在电子交易平台传输递交响应文件的，响应文件无效；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4.2.14响应文件不满足采购文件的其它实质性要求的；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9"/>
        <w:snapToGrid w:val="0"/>
        <w:spacing w:line="360" w:lineRule="auto"/>
        <w:ind w:firstLine="472" w:firstLineChars="196"/>
        <w:rPr>
          <w:rFonts w:cs="宋体"/>
          <w:color w:val="auto"/>
          <w:highlight w:val="none"/>
        </w:rPr>
      </w:pPr>
      <w:r>
        <w:rPr>
          <w:rFonts w:hint="eastAsia" w:cs="宋体"/>
          <w:b/>
          <w:color w:val="auto"/>
          <w:highlight w:val="none"/>
        </w:rPr>
        <w:t>5.终止竞争性磋商采购活动。</w:t>
      </w:r>
      <w:r>
        <w:rPr>
          <w:rFonts w:hint="eastAsia" w:cs="宋体"/>
          <w:color w:val="auto"/>
          <w:highlight w:val="none"/>
        </w:rPr>
        <w:t>出现下列情形之一的，采购人或者采购代理机构应当终止竞争性磋商采购活动，发布项目终止公告并说明原因，重新开展采购活动：</w:t>
      </w:r>
    </w:p>
    <w:p>
      <w:pPr>
        <w:pStyle w:val="29"/>
        <w:snapToGrid w:val="0"/>
        <w:spacing w:line="360" w:lineRule="auto"/>
        <w:rPr>
          <w:rFonts w:cs="宋体"/>
          <w:color w:val="auto"/>
          <w:highlight w:val="none"/>
        </w:rPr>
      </w:pPr>
      <w:r>
        <w:rPr>
          <w:rFonts w:hint="eastAsia" w:cs="宋体"/>
          <w:color w:val="auto"/>
          <w:highlight w:val="none"/>
        </w:rPr>
        <w:t>5.1因情况变化，不再符合规定的竞争性磋商采购方式适用情形的；</w:t>
      </w:r>
    </w:p>
    <w:p>
      <w:pPr>
        <w:pStyle w:val="29"/>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9"/>
        <w:snapToGrid w:val="0"/>
        <w:spacing w:line="360" w:lineRule="auto"/>
        <w:rPr>
          <w:rFonts w:cs="宋体"/>
          <w:color w:val="auto"/>
          <w:highlight w:val="none"/>
        </w:rPr>
      </w:pPr>
      <w:r>
        <w:rPr>
          <w:rFonts w:hint="eastAsia" w:cs="宋体"/>
          <w:color w:val="auto"/>
          <w:highlight w:val="none"/>
        </w:rPr>
        <w:t>5.3除本办法第二十一条第三款规定的情形外，在采购过程中符合要求的供应商或者报价未超过采购预算的供应商不足3家的。</w:t>
      </w:r>
    </w:p>
    <w:p>
      <w:pPr>
        <w:pStyle w:val="29"/>
        <w:snapToGrid w:val="0"/>
        <w:spacing w:line="360" w:lineRule="auto"/>
        <w:rPr>
          <w:rFonts w:cs="宋体"/>
          <w:color w:val="auto"/>
          <w:highlight w:val="none"/>
        </w:rPr>
      </w:pPr>
      <w:r>
        <w:rPr>
          <w:rFonts w:hint="eastAsia" w:cs="宋体"/>
          <w:color w:val="auto"/>
          <w:highlight w:val="none"/>
        </w:rPr>
        <w:t>5.4在采购活动中因重大变故，采购任务取消的，采购人或者采购代理机构应当终止采购活动，通知所有参加采购活动的供应商，并将项目实施情况和采购任务取消原因报送本级财政部门。</w:t>
      </w:r>
    </w:p>
    <w:p>
      <w:pPr>
        <w:pStyle w:val="29"/>
        <w:snapToGrid w:val="0"/>
        <w:spacing w:line="360" w:lineRule="auto"/>
        <w:ind w:firstLine="482"/>
        <w:rPr>
          <w:rFonts w:cs="宋体"/>
          <w:color w:val="auto"/>
          <w:highlight w:val="none"/>
        </w:rPr>
      </w:pPr>
      <w:r>
        <w:rPr>
          <w:rFonts w:hint="eastAsia" w:cs="宋体"/>
          <w:b/>
          <w:color w:val="auto"/>
          <w:kern w:val="0"/>
          <w:highlight w:val="none"/>
        </w:rPr>
        <w:t>6.重新开展采购。</w:t>
      </w:r>
      <w:r>
        <w:rPr>
          <w:rFonts w:hint="eastAsia" w:cs="宋体"/>
          <w:color w:val="auto"/>
          <w:highlight w:val="none"/>
        </w:rPr>
        <w:t>有政府采购法第七十一条、第七十二条规定的违法行为之一，影响或者可能影响成交结果的，依照下列规定处理：</w:t>
      </w:r>
    </w:p>
    <w:p>
      <w:pPr>
        <w:pStyle w:val="29"/>
        <w:snapToGrid w:val="0"/>
        <w:spacing w:line="360" w:lineRule="auto"/>
        <w:rPr>
          <w:rFonts w:cs="宋体"/>
          <w:color w:val="auto"/>
          <w:highlight w:val="none"/>
        </w:rPr>
      </w:pPr>
      <w:r>
        <w:rPr>
          <w:rFonts w:hint="eastAsia" w:cs="宋体"/>
          <w:color w:val="auto"/>
          <w:highlight w:val="none"/>
        </w:rPr>
        <w:t>6.1未确定成交供应商的，终止本次政府采购活动，重新开展政府采购活动。</w:t>
      </w:r>
    </w:p>
    <w:p>
      <w:pPr>
        <w:pStyle w:val="29"/>
        <w:snapToGrid w:val="0"/>
        <w:spacing w:line="360" w:lineRule="auto"/>
        <w:rPr>
          <w:rFonts w:cs="宋体"/>
          <w:color w:val="auto"/>
          <w:highlight w:val="none"/>
        </w:rPr>
      </w:pPr>
      <w:r>
        <w:rPr>
          <w:rFonts w:hint="eastAsia" w:cs="宋体"/>
          <w:color w:val="auto"/>
          <w:highlight w:val="none"/>
        </w:rPr>
        <w:t>6.2已确定成交供应商但尚未签订政府采购合同的，成交结果无效，从合格的成交候选供应商中另行确定成交供应商；没有合格的成交候选供应商的，重新开展政府采购活动。</w:t>
      </w:r>
    </w:p>
    <w:p>
      <w:pPr>
        <w:pStyle w:val="29"/>
        <w:snapToGrid w:val="0"/>
        <w:spacing w:line="360" w:lineRule="auto"/>
        <w:rPr>
          <w:rFonts w:cs="宋体"/>
          <w:color w:val="auto"/>
          <w:highlight w:val="none"/>
        </w:rPr>
      </w:pPr>
      <w:r>
        <w:rPr>
          <w:rFonts w:hint="eastAsia" w:cs="宋体"/>
          <w:color w:val="auto"/>
          <w:highlight w:val="none"/>
        </w:rPr>
        <w:t>6.3政府采购合同已签订但尚未履行的，撤销合同，从合格的成交候选供应商中另行确定成交供应商；没有合格的成交候选供应商的，重新开展政府采购活动。</w:t>
      </w:r>
    </w:p>
    <w:p>
      <w:pPr>
        <w:pStyle w:val="29"/>
        <w:snapToGrid w:val="0"/>
        <w:spacing w:line="360" w:lineRule="auto"/>
        <w:rPr>
          <w:rFonts w:cs="宋体"/>
          <w:color w:val="auto"/>
          <w:highlight w:val="none"/>
        </w:rPr>
      </w:pPr>
      <w:r>
        <w:rPr>
          <w:rFonts w:hint="eastAsia" w:cs="宋体"/>
          <w:color w:val="auto"/>
          <w:highlight w:val="none"/>
        </w:rPr>
        <w:t>6.4政府采购合同已经履行，给采购人、供应商造成损失的，由责任人承担赔偿责任。</w:t>
      </w:r>
    </w:p>
    <w:p>
      <w:pPr>
        <w:pStyle w:val="29"/>
        <w:snapToGrid w:val="0"/>
        <w:spacing w:line="360" w:lineRule="auto"/>
        <w:rPr>
          <w:rFonts w:cs="宋体"/>
          <w:color w:val="auto"/>
          <w:highlight w:val="none"/>
        </w:rPr>
      </w:pPr>
      <w:r>
        <w:rPr>
          <w:rFonts w:hint="eastAsia" w:cs="宋体"/>
          <w:color w:val="auto"/>
          <w:highlight w:val="none"/>
        </w:rPr>
        <w:t>6.5政府采购当事人有其他违反政府采购法或者政府采购法实施条例等法律法规规定的行为，经改正后仍然影响或者可能影响成交结果或者依法被认定为成交无效的，依照6.1-6.4规定处理。</w:t>
      </w:r>
    </w:p>
    <w:p>
      <w:pPr>
        <w:pStyle w:val="29"/>
        <w:snapToGrid w:val="0"/>
        <w:spacing w:line="360" w:lineRule="auto"/>
        <w:ind w:firstLine="0" w:firstLineChars="0"/>
        <w:rPr>
          <w:rFonts w:cs="宋体"/>
          <w:color w:val="auto"/>
          <w:highlight w:val="none"/>
        </w:rPr>
        <w:sectPr>
          <w:pgSz w:w="11907" w:h="16840"/>
          <w:pgMar w:top="1440" w:right="1080" w:bottom="1440" w:left="1080" w:header="851" w:footer="851" w:gutter="0"/>
          <w:cols w:space="720" w:num="1"/>
        </w:sectPr>
      </w:pPr>
    </w:p>
    <w:bookmarkEnd w:id="31"/>
    <w:p>
      <w:pPr>
        <w:spacing w:line="360" w:lineRule="auto"/>
        <w:jc w:val="center"/>
        <w:outlineLvl w:val="0"/>
        <w:rPr>
          <w:rFonts w:ascii="宋体" w:hAnsi="宋体" w:cs="宋体"/>
          <w:b/>
          <w:color w:val="auto"/>
          <w:sz w:val="36"/>
          <w:szCs w:val="36"/>
          <w:highlight w:val="none"/>
        </w:rPr>
      </w:pPr>
      <w:bookmarkStart w:id="399" w:name="第五部分"/>
      <w:bookmarkStart w:id="400" w:name="_Toc86217003"/>
      <w:r>
        <w:rPr>
          <w:rFonts w:hint="eastAsia" w:ascii="宋体" w:hAnsi="宋体" w:cs="宋体"/>
          <w:b/>
          <w:color w:val="auto"/>
          <w:sz w:val="36"/>
          <w:szCs w:val="36"/>
          <w:highlight w:val="none"/>
        </w:rPr>
        <w:t>第五部分 拟签订的合同文本</w:t>
      </w:r>
    </w:p>
    <w:p>
      <w:pPr>
        <w:spacing w:line="400" w:lineRule="exact"/>
        <w:ind w:firstLine="480" w:firstLineChars="200"/>
        <w:jc w:val="left"/>
        <w:rPr>
          <w:rFonts w:ascii="宋体" w:hAnsi="宋体"/>
          <w:snapToGrid w:val="0"/>
          <w:color w:val="auto"/>
          <w:kern w:val="0"/>
          <w:sz w:val="24"/>
          <w:szCs w:val="20"/>
          <w:highlight w:val="none"/>
        </w:rPr>
      </w:pPr>
      <w:r>
        <w:rPr>
          <w:rFonts w:hint="eastAsia" w:ascii="宋体" w:hAnsi="宋体"/>
          <w:snapToGrid w:val="0"/>
          <w:color w:val="auto"/>
          <w:kern w:val="0"/>
          <w:sz w:val="24"/>
          <w:szCs w:val="20"/>
          <w:highlight w:val="none"/>
        </w:rPr>
        <w:t>参考住房城乡建设部、原国家工商行政管理总局制定的《建设工程施工合同（示范文本）》（GF-2017-0201）。</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第一部分  合同协议书</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发包人（全称）：</w:t>
      </w:r>
    </w:p>
    <w:p>
      <w:pPr>
        <w:snapToGrid w:val="0"/>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承包人（全称）：</w:t>
      </w:r>
      <w:r>
        <w:rPr>
          <w:rFonts w:hint="eastAsia" w:ascii="宋体" w:hAnsi="宋体" w:cs="宋体"/>
          <w:b/>
          <w:bCs/>
          <w:color w:val="auto"/>
          <w:sz w:val="24"/>
          <w:highlight w:val="none"/>
          <w:u w:val="single"/>
        </w:rPr>
        <w:t xml:space="preserve">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根据《中华人民共和国民法典》、《中华人民共和国建筑法》及有关法律规定，遵循平等、自愿、公平和诚实信用的原则，双方就</w:t>
      </w:r>
      <w:r>
        <w:rPr>
          <w:rFonts w:hint="eastAsia" w:ascii="宋体" w:hAnsi="宋体" w:cs="宋体"/>
          <w:color w:val="auto"/>
          <w:sz w:val="24"/>
          <w:highlight w:val="none"/>
          <w:u w:val="single"/>
        </w:rPr>
        <w:t xml:space="preserve">              项目</w:t>
      </w:r>
      <w:r>
        <w:rPr>
          <w:rFonts w:hint="eastAsia" w:ascii="宋体" w:hAnsi="宋体" w:cs="宋体"/>
          <w:color w:val="auto"/>
          <w:sz w:val="24"/>
          <w:highlight w:val="none"/>
        </w:rPr>
        <w:t>施工及有关事项协商一致，共同达成如下协议：</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一、工程概况</w:t>
      </w:r>
    </w:p>
    <w:p>
      <w:pPr>
        <w:snapToGrid w:val="0"/>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1.工程名称：</w:t>
      </w:r>
      <w:r>
        <w:rPr>
          <w:rFonts w:hint="eastAsia" w:ascii="宋体" w:hAnsi="宋体" w:cs="宋体"/>
          <w:color w:val="auto"/>
          <w:sz w:val="24"/>
          <w:highlight w:val="none"/>
          <w:u w:val="single"/>
        </w:rPr>
        <w:t xml:space="preserve">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2.工程地点：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3.工程立项批准文号：</w:t>
      </w:r>
      <w:r>
        <w:rPr>
          <w:rFonts w:hint="eastAsia" w:ascii="宋体" w:hAnsi="宋体" w:cs="宋体"/>
          <w:b/>
          <w:bCs/>
          <w:color w:val="auto"/>
          <w:sz w:val="24"/>
          <w:highlight w:val="none"/>
          <w:u w:val="single"/>
        </w:rPr>
        <w:t xml:space="preserve">   /   </w:t>
      </w:r>
    </w:p>
    <w:p>
      <w:pPr>
        <w:snapToGrid w:val="0"/>
        <w:spacing w:line="360" w:lineRule="auto"/>
        <w:ind w:firstLine="480" w:firstLineChars="200"/>
        <w:rPr>
          <w:rFonts w:ascii="宋体" w:hAnsi="宋体" w:cs="宋体"/>
          <w:strike/>
          <w:color w:val="auto"/>
          <w:sz w:val="24"/>
          <w:highlight w:val="none"/>
        </w:rPr>
      </w:pPr>
      <w:r>
        <w:rPr>
          <w:rFonts w:hint="eastAsia" w:ascii="宋体" w:hAnsi="宋体" w:cs="宋体"/>
          <w:color w:val="auto"/>
          <w:sz w:val="24"/>
          <w:highlight w:val="none"/>
        </w:rPr>
        <w:t>4.资金来源：</w:t>
      </w:r>
      <w:r>
        <w:rPr>
          <w:rFonts w:hint="eastAsia" w:ascii="宋体" w:hAnsi="宋体" w:cs="宋体"/>
          <w:b/>
          <w:bCs/>
          <w:color w:val="auto"/>
          <w:sz w:val="24"/>
          <w:highlight w:val="none"/>
          <w:u w:val="single"/>
        </w:rPr>
        <w:t xml:space="preserve"> 财政投资   </w:t>
      </w:r>
    </w:p>
    <w:p>
      <w:pPr>
        <w:snapToGrid w:val="0"/>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5.工程内容：</w:t>
      </w:r>
      <w:r>
        <w:rPr>
          <w:rFonts w:hint="eastAsia" w:ascii="宋体" w:hAnsi="宋体" w:cs="宋体"/>
          <w:b/>
          <w:bCs/>
          <w:color w:val="auto"/>
          <w:sz w:val="24"/>
          <w:highlight w:val="none"/>
          <w:u w:val="single"/>
        </w:rPr>
        <w:t>施工图范围内的维修工程，具体内容以施工图及工程量清单为准。</w:t>
      </w:r>
    </w:p>
    <w:p>
      <w:pPr>
        <w:snapToGrid w:val="0"/>
        <w:spacing w:line="360" w:lineRule="auto"/>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6.工程承包范围：</w:t>
      </w:r>
      <w:r>
        <w:rPr>
          <w:rFonts w:hint="eastAsia" w:ascii="宋体" w:hAnsi="宋体" w:cs="宋体"/>
          <w:b/>
          <w:color w:val="auto"/>
          <w:sz w:val="24"/>
          <w:highlight w:val="none"/>
          <w:u w:val="single"/>
        </w:rPr>
        <w:t>施工图、工程量清单及其编制说明、竞争性磋商文件中明确的内容为准，可能出现的施工图设计变更及根据发包人明确指令需在施工图范围外增加的工程量及施工图范围内减少的工程量。</w:t>
      </w:r>
    </w:p>
    <w:p>
      <w:pPr>
        <w:snapToGrid w:val="0"/>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二、合同工期</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计划开工日期：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   月   日。</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计划竣工日期：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   月   日。</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工期总日历天数：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天。工期总日历天数与根据前述计划开竣工日期计算的工期天数不一致的，以工期总日历天数为准。</w:t>
      </w:r>
    </w:p>
    <w:p>
      <w:pPr>
        <w:snapToGrid w:val="0"/>
        <w:spacing w:line="360" w:lineRule="auto"/>
        <w:ind w:firstLine="482" w:firstLineChars="200"/>
        <w:rPr>
          <w:rFonts w:ascii="宋体" w:hAnsi="宋体" w:cs="宋体"/>
          <w:color w:val="auto"/>
          <w:sz w:val="24"/>
          <w:highlight w:val="none"/>
          <w:u w:val="single"/>
        </w:rPr>
      </w:pPr>
      <w:r>
        <w:rPr>
          <w:rFonts w:hint="eastAsia" w:ascii="宋体" w:hAnsi="宋体" w:cs="宋体"/>
          <w:b/>
          <w:bCs/>
          <w:color w:val="auto"/>
          <w:sz w:val="24"/>
          <w:highlight w:val="none"/>
        </w:rPr>
        <w:t>三、质量标准</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工程质量符合</w:t>
      </w:r>
      <w:r>
        <w:rPr>
          <w:rFonts w:hint="eastAsia" w:ascii="宋体" w:hAnsi="宋体" w:cs="宋体"/>
          <w:b/>
          <w:bCs/>
          <w:color w:val="auto"/>
          <w:sz w:val="24"/>
          <w:highlight w:val="none"/>
          <w:u w:val="single"/>
        </w:rPr>
        <w:t>合格</w:t>
      </w:r>
      <w:r>
        <w:rPr>
          <w:rFonts w:hint="eastAsia" w:ascii="宋体" w:hAnsi="宋体" w:cs="宋体"/>
          <w:color w:val="auto"/>
          <w:sz w:val="24"/>
          <w:highlight w:val="none"/>
        </w:rPr>
        <w:t>标准。</w:t>
      </w:r>
    </w:p>
    <w:p>
      <w:pPr>
        <w:snapToGrid w:val="0"/>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四、签约合同价与合同价格形式</w:t>
      </w:r>
      <w:r>
        <w:rPr>
          <w:rFonts w:hint="eastAsia" w:ascii="宋体" w:hAnsi="宋体" w:cs="宋体"/>
          <w:b/>
          <w:bCs/>
          <w:color w:val="auto"/>
          <w:sz w:val="24"/>
          <w:highlight w:val="none"/>
        </w:rPr>
        <w:tab/>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1.签约合同价为：人民币（大写）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其中：（1）安全文明施工费：人民币（大写）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（2）材料和工程设备暂估价金额：人民币（大写）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（3）专业工程暂估价金额：人民币（大写）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（4）暂列金额：人民币（大写）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2.合同价格形式：</w:t>
      </w:r>
      <w:r>
        <w:rPr>
          <w:rFonts w:hint="eastAsia" w:ascii="宋体" w:hAnsi="宋体" w:cs="宋体"/>
          <w:b/>
          <w:bCs/>
          <w:color w:val="auto"/>
          <w:sz w:val="24"/>
          <w:highlight w:val="none"/>
          <w:u w:val="single"/>
        </w:rPr>
        <w:t>固定单价合同</w:t>
      </w:r>
      <w:r>
        <w:rPr>
          <w:rFonts w:hint="eastAsia" w:ascii="宋体" w:hAnsi="宋体" w:cs="宋体"/>
          <w:color w:val="auto"/>
          <w:sz w:val="24"/>
          <w:highlight w:val="none"/>
        </w:rPr>
        <w:t>。</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五、项目经理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承包人项目经理：</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六、合同文件构成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本协议书与下列文件一起构成合同文件：（1）中标通知书；（2）磋商函及其附录； （3）专用合同条款及其附件；（4）通用合同条款；（5）技术标准和要求；（6）图纸；（7）已标价工程量清单或预算书；（8）其他合同文件。</w:t>
      </w:r>
    </w:p>
    <w:p>
      <w:pPr>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在合同订立及履行过程中形成的与合同有关的文件均构成合同文件组成部分。</w:t>
      </w:r>
    </w:p>
    <w:p>
      <w:pPr>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七、承诺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1.发包人承诺按照法律规定履行项目审批手续、筹集工程建设资金并按照合同约定的期限和方式支付合同价款。</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3.发包人和承包人通过招磋商形式签订合同的，双方理解并承诺不再就同一工程另行签订与合同实质性内容相背离的协议。</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八、词语含义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本协议书中词语含义与第二部分通用合同条款中赋予的含义相同。</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九、签订时间及地点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日在</w:t>
      </w:r>
      <w:r>
        <w:rPr>
          <w:rFonts w:hint="eastAsia" w:ascii="宋体" w:hAnsi="宋体" w:cs="宋体"/>
          <w:color w:val="auto"/>
          <w:sz w:val="24"/>
          <w:highlight w:val="none"/>
          <w:u w:val="single"/>
        </w:rPr>
        <w:t xml:space="preserve">  杭州市  </w:t>
      </w:r>
      <w:r>
        <w:rPr>
          <w:rFonts w:hint="eastAsia" w:ascii="宋体" w:hAnsi="宋体" w:cs="宋体"/>
          <w:color w:val="auto"/>
          <w:sz w:val="24"/>
          <w:highlight w:val="none"/>
        </w:rPr>
        <w:t>签订。</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十、补充协议</w:t>
      </w:r>
    </w:p>
    <w:p>
      <w:pPr>
        <w:snapToGrid w:val="0"/>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合同未尽事宜，合同当事人另行签订补充协议，补充协议是合同的组成部分。</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十一、合同生效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本合同自</w:t>
      </w:r>
      <w:r>
        <w:rPr>
          <w:rFonts w:hint="eastAsia" w:ascii="宋体" w:hAnsi="宋体" w:cs="宋体"/>
          <w:color w:val="auto"/>
          <w:sz w:val="24"/>
          <w:highlight w:val="none"/>
          <w:u w:val="single"/>
        </w:rPr>
        <w:t xml:space="preserve">  签订之日  </w:t>
      </w:r>
      <w:r>
        <w:rPr>
          <w:rFonts w:hint="eastAsia" w:ascii="宋体" w:hAnsi="宋体" w:cs="宋体"/>
          <w:color w:val="auto"/>
          <w:sz w:val="24"/>
          <w:highlight w:val="none"/>
        </w:rPr>
        <w:t>生效。</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十二、合同份数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本合同正本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份，双方各执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份；副本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份，双方各执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份；如正本与副本有不一致处，以正本为准，均具有同等法律效力。</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  (公章)                              承包人：  (公章)</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法定代表人或其委托代理人：                    法定代表人或其委托代理人：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（签字或盖章）                                        （签字或盖章）</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统一社会信用代码：                           统一社会信用代码：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                                        地  址：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                                        传  真：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账  号：                                         账  号：   </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24"/>
          <w:highlight w:val="none"/>
        </w:rPr>
        <w:t>第二部分 通用合同条款（略）</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通用合同条款采用住房城乡建设部、国家工商行政管理总局制定的《建设工程施工合同（示范文本）》（GF-2017-0201）的通用合同条款。</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第三部分  专用合同条款</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1、一般约定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1.1词语定义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1.1.1合同</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kern w:val="0"/>
          <w:sz w:val="24"/>
          <w:highlight w:val="none"/>
        </w:rPr>
        <w:t>1.1.1.1其他合同文件包括：</w:t>
      </w:r>
      <w:r>
        <w:rPr>
          <w:rFonts w:hint="eastAsia" w:ascii="宋体" w:hAnsi="宋体" w:cs="宋体"/>
          <w:color w:val="auto"/>
          <w:kern w:val="0"/>
          <w:sz w:val="24"/>
          <w:highlight w:val="none"/>
          <w:u w:val="single"/>
        </w:rPr>
        <w:t xml:space="preserve"> </w:t>
      </w:r>
      <w:r>
        <w:rPr>
          <w:rFonts w:hint="eastAsia" w:ascii="宋体" w:hAnsi="宋体" w:cs="宋体"/>
          <w:b/>
          <w:bCs/>
          <w:color w:val="auto"/>
          <w:kern w:val="0"/>
          <w:sz w:val="24"/>
          <w:highlight w:val="none"/>
          <w:u w:val="single"/>
        </w:rPr>
        <w:t xml:space="preserve">施工组织设计，竞争性磋商文件及招标答疑。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1.1.2合同当事人及其他相关方：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1.1.2.1发包人代表：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身份证号：</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职    务：</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1.1.2.2承包人</w:t>
      </w:r>
      <w:r>
        <w:rPr>
          <w:rFonts w:hint="eastAsia" w:ascii="宋体" w:hAnsi="宋体" w:cs="宋体"/>
          <w:color w:val="auto"/>
          <w:sz w:val="24"/>
          <w:highlight w:val="none"/>
        </w:rPr>
        <w:t>项目经理：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身份证号：</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建造师执业资格等级：</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建造师注册证书号：</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建造师执业印章号：</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安全生产考核合格证书号：</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1.1.2.3监理人全称：</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总监理工程师：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身份证号：</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监理工程师执业资格证书号：</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1.1.2.4设计人全称：</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设计人代表：</w:t>
      </w:r>
      <w:r>
        <w:rPr>
          <w:rFonts w:hint="eastAsia" w:ascii="宋体" w:hAnsi="宋体" w:cs="宋体"/>
          <w:color w:val="auto"/>
          <w:sz w:val="24"/>
          <w:highlight w:val="none"/>
          <w:u w:val="single"/>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1.1.3工程和设备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1.1.3.7作为施工现场组成部分的其他场所包括：</w:t>
      </w:r>
      <w:r>
        <w:rPr>
          <w:rFonts w:hint="eastAsia" w:ascii="宋体" w:hAnsi="宋体" w:cs="宋体"/>
          <w:color w:val="auto"/>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1.1.3.9永久占地包括：</w:t>
      </w:r>
      <w:r>
        <w:rPr>
          <w:rFonts w:hint="eastAsia" w:ascii="宋体" w:hAnsi="宋体" w:cs="宋体"/>
          <w:color w:val="auto"/>
          <w:kern w:val="0"/>
          <w:sz w:val="24"/>
          <w:highlight w:val="none"/>
          <w:u w:val="single"/>
        </w:rPr>
        <w:t xml:space="preserve"> </w:t>
      </w:r>
      <w:r>
        <w:rPr>
          <w:rFonts w:hint="eastAsia" w:ascii="宋体" w:hAnsi="宋体" w:cs="宋体"/>
          <w:b/>
          <w:bCs/>
          <w:color w:val="auto"/>
          <w:sz w:val="24"/>
          <w:highlight w:val="none"/>
          <w:u w:val="single"/>
        </w:rPr>
        <w:t>实施工程需永久占用的土地</w:t>
      </w:r>
      <w:r>
        <w:rPr>
          <w:rFonts w:hint="eastAsia" w:ascii="宋体" w:hAnsi="宋体" w:cs="宋体"/>
          <w:color w:val="auto"/>
          <w:kern w:val="0"/>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1.1.3.10临时占地包括：</w:t>
      </w:r>
      <w:r>
        <w:rPr>
          <w:rFonts w:hint="eastAsia" w:ascii="宋体" w:hAnsi="宋体" w:cs="宋体"/>
          <w:color w:val="auto"/>
          <w:kern w:val="0"/>
          <w:sz w:val="24"/>
          <w:highlight w:val="none"/>
          <w:u w:val="single"/>
        </w:rPr>
        <w:t xml:space="preserve"> </w:t>
      </w:r>
      <w:r>
        <w:rPr>
          <w:rFonts w:hint="eastAsia" w:ascii="宋体" w:hAnsi="宋体" w:cs="宋体"/>
          <w:b/>
          <w:bCs/>
          <w:color w:val="auto"/>
          <w:sz w:val="24"/>
          <w:highlight w:val="none"/>
          <w:u w:val="single"/>
        </w:rPr>
        <w:t>为实施工程需临时占用的土地</w:t>
      </w:r>
      <w:r>
        <w:rPr>
          <w:rFonts w:hint="eastAsia" w:ascii="宋体" w:hAnsi="宋体" w:cs="宋体"/>
          <w:color w:val="auto"/>
          <w:kern w:val="0"/>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1.3法律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适用于合同的其他规范性文件：</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（1）关于印发《杭州市建设工程工程量清单计价实施细则》（2018年修订）的通知（杭建市发【2018】578号）</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u w:val="single"/>
        </w:rPr>
        <w:t xml:space="preserve">（2）《关于进一步加强建筑施工领域企业安全生产工作的实施意见》的通知 （杭建工发〔2011〕130号） </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u w:val="single"/>
        </w:rPr>
        <w:t>（3）《关于进一步加强建设工程安全质量物联网管理应用平台建设的通知》（</w:t>
      </w:r>
      <w:r>
        <w:rPr>
          <w:rFonts w:hint="eastAsia" w:ascii="宋体" w:hAnsi="宋体" w:cs="宋体"/>
          <w:b/>
          <w:bCs/>
          <w:color w:val="auto"/>
          <w:kern w:val="0"/>
          <w:sz w:val="24"/>
          <w:highlight w:val="none"/>
          <w:u w:val="single"/>
        </w:rPr>
        <w:t xml:space="preserve">杭建工发【2012】426号） </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kern w:val="0"/>
          <w:sz w:val="24"/>
          <w:highlight w:val="none"/>
          <w:u w:val="single"/>
        </w:rPr>
        <w:t xml:space="preserve">（4）《杭州市人民政府办公厅关于印发杭州市建设工程推广应用预拌砂浆管理办法的通知》（杭政办函（2011）32号） </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u w:val="single"/>
        </w:rPr>
        <w:t>（5）</w:t>
      </w:r>
      <w:r>
        <w:rPr>
          <w:rFonts w:hint="eastAsia" w:ascii="宋体" w:hAnsi="宋体" w:cs="宋体"/>
          <w:b/>
          <w:bCs/>
          <w:color w:val="auto"/>
          <w:kern w:val="0"/>
          <w:sz w:val="24"/>
          <w:highlight w:val="none"/>
          <w:u w:val="single"/>
        </w:rPr>
        <w:t>《关于落实建筑工棚安装空调事宜的通知》（</w:t>
      </w:r>
      <w:r>
        <w:rPr>
          <w:rFonts w:hint="eastAsia" w:ascii="宋体" w:hAnsi="宋体" w:cs="宋体"/>
          <w:b/>
          <w:bCs/>
          <w:color w:val="auto"/>
          <w:sz w:val="24"/>
          <w:highlight w:val="none"/>
          <w:u w:val="single"/>
        </w:rPr>
        <w:t xml:space="preserve">杭建工发【2011】237号） </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u w:val="single"/>
        </w:rPr>
        <w:t>（6）《关于进一步加强杭州市建设工程市场要素价格动态管理的指导意见》（杭建市发【2018】579号）</w:t>
      </w:r>
    </w:p>
    <w:p>
      <w:pPr>
        <w:spacing w:line="360" w:lineRule="auto"/>
        <w:ind w:firstLine="482" w:firstLineChars="200"/>
        <w:rPr>
          <w:rFonts w:ascii="宋体" w:hAnsi="宋体" w:cs="宋体"/>
          <w:color w:val="auto"/>
          <w:kern w:val="0"/>
          <w:sz w:val="24"/>
          <w:highlight w:val="none"/>
          <w:u w:val="single"/>
        </w:rPr>
      </w:pPr>
      <w:r>
        <w:rPr>
          <w:rFonts w:hint="eastAsia" w:ascii="宋体" w:hAnsi="宋体" w:cs="宋体"/>
          <w:b/>
          <w:bCs/>
          <w:color w:val="auto"/>
          <w:sz w:val="24"/>
          <w:highlight w:val="none"/>
          <w:u w:val="single"/>
        </w:rPr>
        <w:t>（7）新工艺、新技术的约定：</w:t>
      </w:r>
      <w:r>
        <w:rPr>
          <w:rFonts w:hint="eastAsia" w:ascii="宋体" w:hAnsi="宋体" w:cs="宋体"/>
          <w:color w:val="auto"/>
          <w:kern w:val="0"/>
          <w:sz w:val="24"/>
          <w:highlight w:val="none"/>
          <w:u w:val="single"/>
        </w:rPr>
        <w:t xml:space="preserve">    /   </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（8）其他：</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《杭州市建筑市场管理若干规定》（杭州市人民政府令第277号）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《杭州市建设工程文明施工管理规定》（杭州市人民政府令第278号）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《杭州市政府投资项目概算管理办法（试行）》（杭发改投资[2013]422号）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《杭州市政府投资项目工程变更管理暂行办法》（杭财建[2013]1246号）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《关于进一步明确本市政府投资项目工程结算审查费用管理相关事项的通知》（杭财基[2014]109号）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《杭州市拱墅区住房和城市建设局关于印发加强拱墅区政府投资项目工程总承包管理的实施意见的通知》（拱住建局【2016】101号）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《关于进一步规范区政府投资建设项目工程变更管理的通知（试行）》的通知（拱建管办[2021]1号）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（《杭州市拱墅区人民政府办公室关于印发拱墅区政府投资项目审计办法的通知》（拱政办发〔2018〕13号）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《关于在区城建系统各单位深化开展“廉政文化进工地”活动的通知》（拱驻建纪【2013】2号）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《拱墅区“平安工地”创建工作建设标准》</w:t>
      </w:r>
    </w:p>
    <w:p>
      <w:pPr>
        <w:pStyle w:val="971"/>
        <w:ind w:firstLine="422" w:firstLineChars="200"/>
        <w:rPr>
          <w:color w:val="auto"/>
          <w:highlight w:val="none"/>
        </w:rPr>
      </w:pPr>
      <w:r>
        <w:rPr>
          <w:rFonts w:hint="eastAsia" w:ascii="宋体" w:hAnsi="宋体" w:cs="宋体"/>
          <w:b/>
          <w:bCs/>
          <w:color w:val="auto"/>
          <w:szCs w:val="21"/>
          <w:highlight w:val="none"/>
          <w:u w:val="single"/>
        </w:rPr>
        <w:t>拱教局2023（6</w:t>
      </w:r>
      <w:r>
        <w:rPr>
          <w:rFonts w:ascii="宋体" w:hAnsi="宋体" w:cs="宋体"/>
          <w:b/>
          <w:bCs/>
          <w:color w:val="auto"/>
          <w:szCs w:val="21"/>
          <w:highlight w:val="none"/>
          <w:u w:val="single"/>
        </w:rPr>
        <w:t>7</w:t>
      </w:r>
      <w:r>
        <w:rPr>
          <w:rFonts w:hint="eastAsia" w:ascii="宋体" w:hAnsi="宋体" w:cs="宋体"/>
          <w:b/>
          <w:bCs/>
          <w:color w:val="auto"/>
          <w:szCs w:val="21"/>
          <w:highlight w:val="none"/>
          <w:u w:val="single"/>
        </w:rPr>
        <w:t>）号文件、拱教局2022（98）号文件</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《拱墅区2019年度大气污染综合整治工作方案》</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关于印发《拱墅区建设美丽杭州 打造“两美”浙江示范区建设工地环境专项整治行动方案》的通知（拱住建局〔2015〕36号）及后续文件规定以及关于印发《关于巩固G20 杭州峰会成果进一步提升杭州市建设工地文明施工管理的若干意见》的通知（杭建工发〔2017〕112 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 杭州市城乡建设委员会《关于开展建设领域保证金专项清理规范的通知》（杭建市发〔 2016 〕339 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浙江省人民政府办公厅《关于深化企业减负担降成本改革的若干意见》浙政办发【 2017 】 48号 ；</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《杭州市拱墅区人民政府关于进一步加强学校（幼儿园）建设的实施意见》（拱政发〔2014〕16号）</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《中小学合成材料面层运动场地》（GB36246-2018）。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1.4标准和规范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1.4.1适用于工程的标准规范包括：</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按通用条款；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1.4.2发包人提供国外标准、规范的名称：</w:t>
      </w:r>
      <w:r>
        <w:rPr>
          <w:rFonts w:hint="eastAsia" w:ascii="宋体" w:hAnsi="宋体" w:cs="宋体"/>
          <w:color w:val="auto"/>
          <w:kern w:val="0"/>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发包人提供国外标准、规范的份数：</w:t>
      </w:r>
      <w:r>
        <w:rPr>
          <w:rFonts w:hint="eastAsia" w:ascii="宋体" w:hAnsi="宋体" w:cs="宋体"/>
          <w:color w:val="auto"/>
          <w:kern w:val="0"/>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发包人提供国外标准、规范的名称：</w:t>
      </w:r>
      <w:r>
        <w:rPr>
          <w:rFonts w:hint="eastAsia" w:ascii="宋体" w:hAnsi="宋体" w:cs="宋体"/>
          <w:color w:val="auto"/>
          <w:kern w:val="0"/>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1.4.3发包人对工程的技术标准和功能要求的特殊要求：</w:t>
      </w:r>
      <w:r>
        <w:rPr>
          <w:rFonts w:hint="eastAsia" w:ascii="宋体" w:hAnsi="宋体" w:cs="宋体"/>
          <w:b/>
          <w:bCs/>
          <w:color w:val="auto"/>
          <w:sz w:val="24"/>
          <w:highlight w:val="none"/>
          <w:u w:val="single"/>
        </w:rPr>
        <w:t>国家或行业如有新的技术标准和功能要求，则要求从新</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1.5合同文件的优先顺序为：</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（1）合同协议书；</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（2）中标通知书（或项目发承包基本情况表）；</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（3）磋商函及其附录（如果有）；</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（4）专用合同条款及其附件；</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（5）通用合同条款；</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（6）技术标准和要求；</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（7）图纸；</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（8）已标价工程量清单或预算书；</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（9）其他合同文件：</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①施工组织设计；</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kern w:val="0"/>
          <w:sz w:val="24"/>
          <w:highlight w:val="none"/>
          <w:u w:val="single"/>
        </w:rPr>
        <w:t>②</w:t>
      </w:r>
      <w:r>
        <w:rPr>
          <w:rFonts w:hint="eastAsia" w:ascii="宋体" w:hAnsi="宋体" w:cs="宋体"/>
          <w:b/>
          <w:bCs/>
          <w:color w:val="auto"/>
          <w:sz w:val="24"/>
          <w:highlight w:val="none"/>
          <w:u w:val="single"/>
        </w:rPr>
        <w:t>竞争性磋商文件及招标答疑。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1.6图纸和承包人文件</w:t>
      </w:r>
      <w:r>
        <w:rPr>
          <w:rFonts w:hint="eastAsia" w:ascii="宋体" w:hAnsi="宋体" w:cs="宋体"/>
          <w:color w:val="auto"/>
          <w:sz w:val="24"/>
          <w:highlight w:val="none"/>
        </w:rPr>
        <w:tab/>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1.6.1图纸的提供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发包人向承包人提供图纸的期限：</w:t>
      </w:r>
      <w:r>
        <w:rPr>
          <w:rFonts w:hint="eastAsia" w:ascii="宋体" w:hAnsi="宋体" w:cs="宋体"/>
          <w:b/>
          <w:bCs/>
          <w:color w:val="auto"/>
          <w:sz w:val="24"/>
          <w:highlight w:val="none"/>
          <w:u w:val="single"/>
        </w:rPr>
        <w:t>开工前十五天；</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发包人向承包人提供图纸的数量：</w:t>
      </w:r>
      <w:r>
        <w:rPr>
          <w:rFonts w:hint="eastAsia" w:ascii="宋体" w:hAnsi="宋体" w:cs="宋体"/>
          <w:b/>
          <w:bCs/>
          <w:color w:val="auto"/>
          <w:sz w:val="24"/>
          <w:highlight w:val="none"/>
          <w:u w:val="single"/>
        </w:rPr>
        <w:t>陆套施工图纸(不包括竣工图)，如承包人额外需要提供施工图纸的，则额外增加的施工图纸的制作费由承包人承担</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发包人向承包人提供图纸的内容：</w:t>
      </w:r>
      <w:r>
        <w:rPr>
          <w:rFonts w:hint="eastAsia" w:ascii="宋体" w:hAnsi="宋体" w:cs="宋体"/>
          <w:b/>
          <w:bCs/>
          <w:color w:val="auto"/>
          <w:sz w:val="24"/>
          <w:highlight w:val="none"/>
          <w:u w:val="single"/>
        </w:rPr>
        <w:t>承包范围内的全套施工图纸、设计联系单等</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1.6.4承包人文件</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需要由承包人提供的文件，包括：</w:t>
      </w:r>
      <w:r>
        <w:rPr>
          <w:rFonts w:hint="eastAsia" w:ascii="宋体" w:hAnsi="宋体" w:cs="宋体"/>
          <w:b/>
          <w:bCs/>
          <w:color w:val="auto"/>
          <w:sz w:val="24"/>
          <w:highlight w:val="none"/>
          <w:u w:val="single"/>
        </w:rPr>
        <w:t>施工组织设计、进度计划等</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承包人提供的文件的期限为：</w:t>
      </w:r>
      <w:r>
        <w:rPr>
          <w:rFonts w:hint="eastAsia" w:ascii="宋体" w:hAnsi="宋体" w:cs="宋体"/>
          <w:b/>
          <w:bCs/>
          <w:color w:val="auto"/>
          <w:sz w:val="24"/>
          <w:highlight w:val="none"/>
          <w:u w:val="single"/>
        </w:rPr>
        <w:t>合同签订后五个工作日内</w:t>
      </w:r>
      <w:r>
        <w:rPr>
          <w:rFonts w:hint="eastAsia" w:ascii="宋体" w:hAnsi="宋体" w:cs="宋体"/>
          <w:color w:val="auto"/>
          <w:sz w:val="24"/>
          <w:highlight w:val="none"/>
          <w:u w:val="single"/>
        </w:rPr>
        <w:t>；</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承包人提供的文件的数量为：</w:t>
      </w:r>
      <w:r>
        <w:rPr>
          <w:rFonts w:hint="eastAsia" w:ascii="宋体" w:hAnsi="宋体" w:cs="宋体"/>
          <w:b/>
          <w:bCs/>
          <w:color w:val="auto"/>
          <w:sz w:val="24"/>
          <w:highlight w:val="none"/>
          <w:u w:val="single"/>
        </w:rPr>
        <w:t>一式三份</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承包人提供的文件的形式为：</w:t>
      </w:r>
      <w:r>
        <w:rPr>
          <w:rFonts w:hint="eastAsia" w:ascii="宋体" w:hAnsi="宋体" w:cs="宋体"/>
          <w:b/>
          <w:bCs/>
          <w:color w:val="auto"/>
          <w:sz w:val="24"/>
          <w:highlight w:val="none"/>
          <w:u w:val="single"/>
        </w:rPr>
        <w:t>书面形式</w:t>
      </w:r>
      <w:r>
        <w:rPr>
          <w:rFonts w:hint="eastAsia" w:ascii="宋体" w:hAnsi="宋体" w:cs="宋体"/>
          <w:color w:val="auto"/>
          <w:sz w:val="24"/>
          <w:highlight w:val="none"/>
          <w:u w:val="single"/>
        </w:rPr>
        <w:t>；</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发包人审批承包人文件的期限：</w:t>
      </w:r>
      <w:r>
        <w:rPr>
          <w:rFonts w:hint="eastAsia" w:ascii="宋体" w:hAnsi="宋体" w:cs="宋体"/>
          <w:b/>
          <w:bCs/>
          <w:color w:val="auto"/>
          <w:sz w:val="24"/>
          <w:highlight w:val="none"/>
          <w:u w:val="single"/>
        </w:rPr>
        <w:t>收到承包人齐全的文件资料后10个工作日内</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1.6.5现场图纸准备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关于现场图纸准备的约定：</w:t>
      </w:r>
      <w:r>
        <w:rPr>
          <w:rFonts w:hint="eastAsia" w:ascii="宋体" w:hAnsi="宋体" w:cs="宋体"/>
          <w:b/>
          <w:bCs/>
          <w:color w:val="auto"/>
          <w:sz w:val="24"/>
          <w:highlight w:val="none"/>
          <w:u w:val="single"/>
        </w:rPr>
        <w:t>承包人应在施工现场另外保存一套完整的图纸和承包人文件（与工程施工有关的一切必要文件，包括本工程适用的国家现行的设计规范、国家现行的施工规范、国家现行的验收规范、国家现行的质量验评标准、国家及地方现行施工验收及施工安全技术规范等），供发包人、监理人及有关人员进行工程检查时使用</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1.7联络</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1.7.1发包人和承包人应当在</w:t>
      </w:r>
      <w:r>
        <w:rPr>
          <w:rFonts w:hint="eastAsia" w:ascii="宋体" w:hAnsi="宋体" w:cs="宋体"/>
          <w:b/>
          <w:bCs/>
          <w:color w:val="auto"/>
          <w:sz w:val="24"/>
          <w:highlight w:val="none"/>
          <w:u w:val="single"/>
        </w:rPr>
        <w:t xml:space="preserve">3  </w:t>
      </w:r>
      <w:r>
        <w:rPr>
          <w:rFonts w:hint="eastAsia" w:ascii="宋体" w:hAnsi="宋体" w:cs="宋体"/>
          <w:color w:val="auto"/>
          <w:kern w:val="0"/>
          <w:sz w:val="24"/>
          <w:highlight w:val="none"/>
        </w:rPr>
        <w:t>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1.7.2 发包人、承包人及监理人接收文件的地点：</w:t>
      </w:r>
      <w:r>
        <w:rPr>
          <w:rFonts w:hint="eastAsia" w:ascii="宋体" w:hAnsi="宋体" w:cs="宋体"/>
          <w:color w:val="auto"/>
          <w:kern w:val="0"/>
          <w:sz w:val="24"/>
          <w:highlight w:val="none"/>
          <w:u w:val="single"/>
        </w:rPr>
        <w:t xml:space="preserve"> </w:t>
      </w:r>
      <w:r>
        <w:rPr>
          <w:rFonts w:hint="eastAsia" w:ascii="宋体" w:hAnsi="宋体" w:cs="宋体"/>
          <w:b/>
          <w:bCs/>
          <w:color w:val="auto"/>
          <w:sz w:val="24"/>
          <w:highlight w:val="none"/>
          <w:u w:val="single"/>
        </w:rPr>
        <w:t>施工现场办公室；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1.10交通运输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1.10.1出入现场的权利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关于出入现场的权利的约定：</w:t>
      </w:r>
      <w:r>
        <w:rPr>
          <w:rFonts w:hint="eastAsia" w:ascii="宋体" w:hAnsi="宋体" w:cs="宋体"/>
          <w:b/>
          <w:bCs/>
          <w:color w:val="auto"/>
          <w:sz w:val="24"/>
          <w:highlight w:val="none"/>
          <w:u w:val="single"/>
        </w:rPr>
        <w:t>按通用条款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1.10.3场内交通</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关于场外交通和场内交通的边界的约定：</w:t>
      </w:r>
      <w:r>
        <w:rPr>
          <w:rFonts w:hint="eastAsia" w:ascii="宋体" w:hAnsi="宋体" w:cs="宋体"/>
          <w:b/>
          <w:bCs/>
          <w:color w:val="auto"/>
          <w:sz w:val="24"/>
          <w:highlight w:val="none"/>
          <w:u w:val="single"/>
        </w:rPr>
        <w:t>由发包人根据现场条件划定，承包人无条件服从。</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关于发包人向承包人免费提供满足工程施工需要的场内道路和交通设施的约定：</w:t>
      </w:r>
      <w:r>
        <w:rPr>
          <w:rFonts w:hint="eastAsia" w:ascii="宋体" w:hAnsi="宋体" w:cs="宋体"/>
          <w:b/>
          <w:bCs/>
          <w:color w:val="auto"/>
          <w:sz w:val="24"/>
          <w:highlight w:val="none"/>
          <w:u w:val="single"/>
        </w:rPr>
        <w:t>按通用条款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1.10.4超大件和超重件的运输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运输超大件或超重件所需的道路和桥梁临时加固改造费用和其他有关费用由</w:t>
      </w:r>
      <w:r>
        <w:rPr>
          <w:rFonts w:hint="eastAsia" w:ascii="宋体" w:hAnsi="宋体" w:cs="宋体"/>
          <w:b/>
          <w:bCs/>
          <w:color w:val="auto"/>
          <w:sz w:val="24"/>
          <w:highlight w:val="none"/>
          <w:u w:val="single"/>
        </w:rPr>
        <w:t xml:space="preserve">承包人 </w:t>
      </w:r>
      <w:r>
        <w:rPr>
          <w:rFonts w:hint="eastAsia" w:ascii="宋体" w:hAnsi="宋体" w:cs="宋体"/>
          <w:color w:val="auto"/>
          <w:sz w:val="24"/>
          <w:highlight w:val="none"/>
        </w:rPr>
        <w:t>承担。</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本工程的超大件：</w:t>
      </w:r>
      <w:r>
        <w:rPr>
          <w:rFonts w:hint="eastAsia" w:ascii="宋体" w:hAnsi="宋体" w:cs="宋体"/>
          <w:color w:val="auto"/>
          <w:kern w:val="0"/>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本工程的超重件：</w:t>
      </w:r>
      <w:r>
        <w:rPr>
          <w:rFonts w:hint="eastAsia" w:ascii="宋体" w:hAnsi="宋体" w:cs="宋体"/>
          <w:color w:val="auto"/>
          <w:kern w:val="0"/>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1.11知识产权</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归发包人。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关于发包人提供的上述文件的使用限制的要求：</w:t>
      </w:r>
      <w:r>
        <w:rPr>
          <w:rFonts w:hint="eastAsia" w:ascii="宋体" w:hAnsi="宋体" w:cs="宋体"/>
          <w:b/>
          <w:bCs/>
          <w:color w:val="auto"/>
          <w:sz w:val="24"/>
          <w:highlight w:val="none"/>
          <w:u w:val="single"/>
        </w:rPr>
        <w:t>未经发包人同意，不得向他人提供，否则发包人有权解除合同并有权向承包人进行索赔。</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1.11.2 关于承包人为实施工程所编制文件的著作权的归属：</w:t>
      </w:r>
      <w:r>
        <w:rPr>
          <w:rFonts w:hint="eastAsia" w:ascii="宋体" w:hAnsi="宋体" w:cs="宋体"/>
          <w:b/>
          <w:bCs/>
          <w:color w:val="auto"/>
          <w:sz w:val="24"/>
          <w:highlight w:val="none"/>
          <w:u w:val="single"/>
        </w:rPr>
        <w:t xml:space="preserve">按通用条款。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关于承包人提供的上述文件的使用限制的要求：</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用于本工程。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1.11.4 承包人在施工过程中所采用的专利、专有技术、技术秘密的使用费的承担方式：</w:t>
      </w:r>
      <w:r>
        <w:rPr>
          <w:rFonts w:hint="eastAsia" w:ascii="宋体" w:hAnsi="宋体" w:cs="宋体"/>
          <w:b/>
          <w:bCs/>
          <w:color w:val="auto"/>
          <w:sz w:val="24"/>
          <w:highlight w:val="none"/>
          <w:u w:val="single"/>
        </w:rPr>
        <w:t>（除发包人指明外）承包人在施工过程中所采用的专利、专有技术、技术秘密的使用费包含在合同价款内。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1.13工程量清单错误的修正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出现工程量清单错误时，是否调整合同价格：</w:t>
      </w:r>
      <w:r>
        <w:rPr>
          <w:rFonts w:hint="eastAsia" w:ascii="宋体" w:hAnsi="宋体" w:cs="宋体"/>
          <w:b/>
          <w:bCs/>
          <w:color w:val="auto"/>
          <w:sz w:val="24"/>
          <w:highlight w:val="none"/>
          <w:u w:val="single"/>
        </w:rPr>
        <w:t xml:space="preserve">  是  </w:t>
      </w:r>
      <w:r>
        <w:rPr>
          <w:rFonts w:hint="eastAsia" w:ascii="宋体" w:hAnsi="宋体" w:cs="宋体"/>
          <w:b/>
          <w:bCs/>
          <w:color w:val="auto"/>
          <w:sz w:val="24"/>
          <w:highlight w:val="none"/>
        </w:rPr>
        <w:t>；</w:t>
      </w:r>
    </w:p>
    <w:p>
      <w:pPr>
        <w:spacing w:line="360" w:lineRule="auto"/>
        <w:ind w:firstLine="480" w:firstLineChars="200"/>
        <w:rPr>
          <w:rFonts w:ascii="宋体" w:hAnsi="宋体" w:cs="宋体"/>
          <w:strike/>
          <w:color w:val="auto"/>
          <w:sz w:val="24"/>
          <w:highlight w:val="none"/>
        </w:rPr>
      </w:pPr>
      <w:r>
        <w:rPr>
          <w:rFonts w:hint="eastAsia" w:ascii="宋体" w:hAnsi="宋体" w:cs="宋体"/>
          <w:color w:val="auto"/>
          <w:sz w:val="24"/>
          <w:highlight w:val="none"/>
        </w:rPr>
        <w:t>允许调整合同价格的工程量偏差范围：</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按本专用条款第10.4.1条执行；</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调整合同价格的修正时间：</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除本合同专用条款另有约定外，合同单价不调整，工程量清单在工程结算审核时调整。发包人在收到合同价调整报告所认定发生的事实，但并不一定认定合同价款的调整，合同价款调整需经第三方审计单位审价后确定。</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2、发包人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发包人应根据工程所需配备发包人代表，同时配备1-2名相关人员到岗履职。</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发包人对发包人代表的授权范围如下：</w:t>
      </w:r>
      <w:r>
        <w:rPr>
          <w:rFonts w:hint="eastAsia" w:ascii="宋体" w:hAnsi="宋体" w:cs="宋体"/>
          <w:b/>
          <w:color w:val="auto"/>
          <w:sz w:val="24"/>
          <w:highlight w:val="none"/>
          <w:u w:val="single"/>
        </w:rPr>
        <w:t>对质量、成本、安全、进度进行全面管理，但涉及合同价格变更、安全事故、质量事故等重大事项的处理须经发包人加盖公章方有效。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2.4施工现场、施工条件和基础资料的提供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2.4.1提供施工现场</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关于发包人移交施工现场的期限要求：</w:t>
      </w:r>
      <w:r>
        <w:rPr>
          <w:rFonts w:hint="eastAsia" w:ascii="宋体" w:hAnsi="宋体" w:cs="宋体"/>
          <w:b/>
          <w:bCs/>
          <w:color w:val="auto"/>
          <w:sz w:val="24"/>
          <w:highlight w:val="none"/>
          <w:u w:val="single"/>
        </w:rPr>
        <w:t xml:space="preserve"> 开工日期7天前移交。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2.4.2提供施工条件</w:t>
      </w:r>
    </w:p>
    <w:p>
      <w:pPr>
        <w:autoSpaceDE w:val="0"/>
        <w:autoSpaceDN w:val="0"/>
        <w:spacing w:line="360" w:lineRule="auto"/>
        <w:ind w:firstLine="480" w:firstLineChars="200"/>
        <w:rPr>
          <w:rFonts w:ascii="宋体" w:hAnsi="宋体" w:cs="宋体"/>
          <w:b/>
          <w:bCs/>
          <w:color w:val="auto"/>
          <w:kern w:val="0"/>
          <w:sz w:val="24"/>
          <w:highlight w:val="none"/>
        </w:rPr>
      </w:pPr>
      <w:r>
        <w:rPr>
          <w:rFonts w:hint="eastAsia" w:ascii="宋体" w:hAnsi="宋体" w:cs="宋体"/>
          <w:color w:val="auto"/>
          <w:sz w:val="24"/>
          <w:highlight w:val="none"/>
        </w:rPr>
        <w:t>关于发包人应负责提供施工所需要的条件，包括：</w:t>
      </w:r>
      <w:r>
        <w:rPr>
          <w:rFonts w:hint="eastAsia" w:ascii="宋体" w:hAnsi="宋体" w:cs="宋体"/>
          <w:b/>
          <w:bCs/>
          <w:color w:val="auto"/>
          <w:sz w:val="24"/>
          <w:highlight w:val="none"/>
          <w:u w:val="single"/>
        </w:rPr>
        <w:t xml:space="preserve">按通用条款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2.5资金来源证明及支付担保</w:t>
      </w:r>
    </w:p>
    <w:p>
      <w:pPr>
        <w:spacing w:line="360" w:lineRule="auto"/>
        <w:ind w:firstLine="480" w:firstLineChars="200"/>
        <w:rPr>
          <w:rFonts w:ascii="宋体" w:hAnsi="宋体" w:cs="宋体"/>
          <w:b/>
          <w:bCs/>
          <w:strike/>
          <w:color w:val="auto"/>
          <w:sz w:val="24"/>
          <w:highlight w:val="none"/>
          <w:u w:val="single"/>
        </w:rPr>
      </w:pPr>
      <w:r>
        <w:rPr>
          <w:rFonts w:hint="eastAsia" w:ascii="宋体" w:hAnsi="宋体" w:cs="宋体"/>
          <w:color w:val="auto"/>
          <w:sz w:val="24"/>
          <w:highlight w:val="none"/>
        </w:rPr>
        <w:t>发包人提供资金来源证明的期限要求：</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发包人是否提供支付担保：</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发包人提供支付担保的形式：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3、承包人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3.1承包人的一般义务</w:t>
      </w:r>
    </w:p>
    <w:p>
      <w:pPr>
        <w:spacing w:line="360" w:lineRule="auto"/>
        <w:ind w:firstLine="480" w:firstLineChars="200"/>
        <w:rPr>
          <w:rFonts w:ascii="宋体" w:hAnsi="宋体" w:cs="宋体"/>
          <w:strike/>
          <w:color w:val="auto"/>
          <w:sz w:val="24"/>
          <w:highlight w:val="none"/>
        </w:rPr>
      </w:pPr>
      <w:r>
        <w:rPr>
          <w:rFonts w:hint="eastAsia" w:ascii="宋体" w:hAnsi="宋体" w:cs="宋体"/>
          <w:color w:val="auto"/>
          <w:kern w:val="0"/>
          <w:sz w:val="24"/>
          <w:highlight w:val="none"/>
        </w:rPr>
        <w:t>（5）</w:t>
      </w:r>
      <w:r>
        <w:rPr>
          <w:rFonts w:hint="eastAsia" w:ascii="宋体" w:hAnsi="宋体" w:cs="宋体"/>
          <w:color w:val="auto"/>
          <w:sz w:val="24"/>
          <w:highlight w:val="none"/>
        </w:rPr>
        <w:t>承包人提交的竣工资料的内容：</w:t>
      </w:r>
      <w:r>
        <w:rPr>
          <w:rFonts w:hint="eastAsia" w:ascii="宋体" w:hAnsi="宋体" w:cs="宋体"/>
          <w:b/>
          <w:bCs/>
          <w:color w:val="auto"/>
          <w:sz w:val="24"/>
          <w:highlight w:val="none"/>
          <w:u w:val="single"/>
        </w:rPr>
        <w:t>竣工图纸和竣工资料（包括影像资料）、电子版竣工图光盘</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承包人需要提交的竣工资料套数：</w:t>
      </w:r>
      <w:r>
        <w:rPr>
          <w:rFonts w:hint="eastAsia" w:ascii="宋体" w:hAnsi="宋体" w:cs="宋体"/>
          <w:b/>
          <w:bCs/>
          <w:color w:val="auto"/>
          <w:sz w:val="24"/>
          <w:highlight w:val="none"/>
          <w:u w:val="single"/>
        </w:rPr>
        <w:t>陆套</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承包人提交的竣工资料的费用承担：</w:t>
      </w:r>
      <w:r>
        <w:rPr>
          <w:rFonts w:hint="eastAsia" w:ascii="宋体" w:hAnsi="宋体" w:cs="宋体"/>
          <w:b/>
          <w:bCs/>
          <w:color w:val="auto"/>
          <w:sz w:val="24"/>
          <w:highlight w:val="none"/>
          <w:u w:val="single"/>
        </w:rPr>
        <w:t>由承包人承担</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承包人提交的竣工资料移交时间：</w:t>
      </w:r>
      <w:r>
        <w:rPr>
          <w:rFonts w:hint="eastAsia" w:ascii="宋体" w:hAnsi="宋体" w:cs="宋体"/>
          <w:b/>
          <w:bCs/>
          <w:color w:val="auto"/>
          <w:sz w:val="24"/>
          <w:highlight w:val="none"/>
          <w:u w:val="single"/>
        </w:rPr>
        <w:t>工程竣工验收合格后10天内</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承包人提交的竣工资料形式要求：</w:t>
      </w:r>
      <w:r>
        <w:rPr>
          <w:rFonts w:hint="eastAsia" w:ascii="宋体" w:hAnsi="宋体" w:cs="宋体"/>
          <w:b/>
          <w:bCs/>
          <w:color w:val="auto"/>
          <w:sz w:val="24"/>
          <w:highlight w:val="none"/>
          <w:u w:val="single"/>
        </w:rPr>
        <w:t>符合城建档案管理部门相关规定的</w:t>
      </w:r>
      <w:r>
        <w:rPr>
          <w:rFonts w:hint="eastAsia" w:ascii="宋体" w:hAnsi="宋体" w:cs="宋体"/>
          <w:b/>
          <w:color w:val="auto"/>
          <w:sz w:val="24"/>
          <w:highlight w:val="none"/>
          <w:u w:val="single"/>
        </w:rPr>
        <w:t>纸质、电子文本</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（6）承包人应履行的其他义务：</w:t>
      </w:r>
      <w:r>
        <w:rPr>
          <w:rFonts w:hint="eastAsia" w:ascii="宋体" w:hAnsi="宋体" w:cs="宋体"/>
          <w:b/>
          <w:bCs/>
          <w:color w:val="auto"/>
          <w:sz w:val="24"/>
          <w:highlight w:val="none"/>
          <w:u w:val="single"/>
        </w:rPr>
        <w:t>场内施工用水、用电接管自行解决，水电费用按实际发生费用（装表计量）加损耗，由承包人自行向收费部门缴纳，或按照结算审定价的千分之五在结算时扣除</w:t>
      </w:r>
      <w:r>
        <w:rPr>
          <w:rFonts w:hint="eastAsia" w:ascii="宋体" w:hAnsi="宋体"/>
          <w:b/>
          <w:bCs/>
          <w:color w:val="auto"/>
          <w:sz w:val="24"/>
          <w:highlight w:val="none"/>
          <w:u w:val="single"/>
        </w:rPr>
        <w:t>。</w:t>
      </w:r>
      <w:r>
        <w:rPr>
          <w:rFonts w:hint="eastAsia" w:ascii="宋体" w:hAnsi="宋体" w:cs="宋体"/>
          <w:b/>
          <w:bCs/>
          <w:color w:val="auto"/>
          <w:sz w:val="24"/>
          <w:highlight w:val="none"/>
          <w:u w:val="single"/>
        </w:rPr>
        <w:t>工程竣工验收合格后3日内，承包人须将本工程范围内所有设施设备、设备基础、临时用房、硬化地坪、建筑垃圾、剩余建筑材料等全部拆除、清理出场，并撤出所有施工人员，费用由承包人自行承担，如承包人未在上述期限内及时清理的，发包人有权代为拆除、清理，所产生的费用及造成的损失由承包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3.2项目经理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承包人对项目经理的授权范围如下：</w:t>
      </w:r>
      <w:r>
        <w:rPr>
          <w:rFonts w:hint="eastAsia" w:ascii="宋体" w:hAnsi="宋体" w:cs="宋体"/>
          <w:b/>
          <w:bCs/>
          <w:color w:val="auto"/>
          <w:sz w:val="24"/>
          <w:highlight w:val="none"/>
          <w:u w:val="single"/>
        </w:rPr>
        <w:t>受承包人委托全面负责工程安全、质量、进度、投资四大控制要素，完善合同、信息、组织管理体系，做好安全监督，文明标准化现场工作。</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关于项目经理每月在施工现场的时间要求：</w:t>
      </w:r>
      <w:r>
        <w:rPr>
          <w:rFonts w:hint="eastAsia" w:ascii="宋体" w:hAnsi="宋体" w:cs="宋体"/>
          <w:b/>
          <w:bCs/>
          <w:color w:val="auto"/>
          <w:sz w:val="24"/>
          <w:highlight w:val="none"/>
          <w:u w:val="single"/>
        </w:rPr>
        <w:t>每月不少于22日历天。</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承包人未提交劳动合同，以及没有为项目经理缴纳社会保险证明的违约责任：</w:t>
      </w:r>
      <w:r>
        <w:rPr>
          <w:rFonts w:hint="eastAsia" w:ascii="宋体" w:hAnsi="宋体" w:cs="宋体"/>
          <w:b/>
          <w:bCs/>
          <w:color w:val="auto"/>
          <w:sz w:val="24"/>
          <w:highlight w:val="none"/>
          <w:u w:val="single"/>
        </w:rPr>
        <w:t>将被视为承包人违约，发包人将没收部分或全部履约保证金，直至单方面解除本施工合同。</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项目经理未经批准，擅自离开施工现场的违约责任：</w:t>
      </w:r>
      <w:r>
        <w:rPr>
          <w:rFonts w:hint="eastAsia" w:ascii="宋体" w:hAnsi="宋体" w:cs="宋体"/>
          <w:b/>
          <w:bCs/>
          <w:color w:val="auto"/>
          <w:sz w:val="24"/>
          <w:highlight w:val="none"/>
          <w:u w:val="single"/>
        </w:rPr>
        <w:t>擅自离开施工现场每一天，处罚人民币1000元/天，上述扣款在支付进度款中逐期扣除。</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3.2.3承包人擅自更换项目经理的违约责任：</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（1）</w:t>
      </w:r>
      <w:r>
        <w:rPr>
          <w:rFonts w:hint="eastAsia" w:ascii="宋体" w:hAnsi="宋体" w:cs="宋体"/>
          <w:b/>
          <w:bCs/>
          <w:color w:val="auto"/>
          <w:kern w:val="0"/>
          <w:sz w:val="24"/>
          <w:highlight w:val="none"/>
        </w:rPr>
        <w:t>承包人确需更换项目经理的，继任项目经理注册执业资格、管理经验的约定：</w:t>
      </w:r>
      <w:r>
        <w:rPr>
          <w:rFonts w:hint="eastAsia" w:ascii="宋体" w:hAnsi="宋体" w:cs="宋体"/>
          <w:b/>
          <w:bCs/>
          <w:color w:val="auto"/>
          <w:sz w:val="24"/>
          <w:highlight w:val="none"/>
          <w:u w:val="single"/>
        </w:rPr>
        <w:t>均要求等同于或高于被更换项目经理。</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sz w:val="24"/>
          <w:highlight w:val="none"/>
        </w:rPr>
        <w:t>承包人擅自更换项目经理的违约责任：</w:t>
      </w:r>
      <w:r>
        <w:rPr>
          <w:rFonts w:hint="eastAsia" w:ascii="宋体" w:hAnsi="宋体" w:cs="宋体"/>
          <w:b/>
          <w:bCs/>
          <w:color w:val="auto"/>
          <w:sz w:val="24"/>
          <w:highlight w:val="none"/>
          <w:u w:val="single"/>
        </w:rPr>
        <w:t>未经发包人及相关行政主管部门同意，擅自更换项目经理时，将被视为承包人违约，发包人将没收部分或全部履约保证金，直至单方面解除本施工合同。</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3.2.4承包人无正当理由拒绝更换项目经理的违约责任：</w:t>
      </w:r>
      <w:r>
        <w:rPr>
          <w:rFonts w:hint="eastAsia" w:ascii="宋体" w:hAnsi="宋体" w:cs="宋体"/>
          <w:b/>
          <w:bCs/>
          <w:color w:val="auto"/>
          <w:sz w:val="24"/>
          <w:highlight w:val="none"/>
          <w:u w:val="single"/>
        </w:rPr>
        <w:t>将被视为承包人违约，发包人将没收部分或全部履约保证金，直至单方面解除本施工合同。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3.3承包人人员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3.3.1承包人提交项目管理机构及施工现场管理人员安排报告的期限：</w:t>
      </w:r>
      <w:r>
        <w:rPr>
          <w:rFonts w:hint="eastAsia" w:ascii="宋体" w:hAnsi="宋体" w:cs="宋体"/>
          <w:b/>
          <w:bCs/>
          <w:color w:val="auto"/>
          <w:sz w:val="24"/>
          <w:highlight w:val="none"/>
          <w:u w:val="single"/>
        </w:rPr>
        <w:t>开工前七天</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3.3.2 承包人需更换主要施工管理人员的，继任人员的数量、注册执业资格、管理经验的约定：</w:t>
      </w:r>
      <w:r>
        <w:rPr>
          <w:rFonts w:hint="eastAsia" w:ascii="宋体" w:hAnsi="宋体" w:cs="宋体"/>
          <w:b/>
          <w:bCs/>
          <w:color w:val="auto"/>
          <w:sz w:val="24"/>
          <w:highlight w:val="none"/>
          <w:u w:val="single"/>
        </w:rPr>
        <w:t>均要求等同于或高于被更换主要施工管理人员。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3.3.3承包人无正当理由拒绝撤换主要施工管理人员的违约责任：</w:t>
      </w:r>
      <w:r>
        <w:rPr>
          <w:rFonts w:hint="eastAsia" w:ascii="宋体" w:hAnsi="宋体" w:cs="宋体"/>
          <w:b/>
          <w:bCs/>
          <w:color w:val="auto"/>
          <w:sz w:val="24"/>
          <w:highlight w:val="none"/>
          <w:u w:val="single"/>
        </w:rPr>
        <w:t>将被视为承包人违约，发包人将没收部分或全部履约保证金，直至单方面解除本施工合同。</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3.3.4 承包人主要施工管理人员离开施工现场的批准要求：</w:t>
      </w:r>
      <w:r>
        <w:rPr>
          <w:rFonts w:hint="eastAsia" w:ascii="宋体" w:hAnsi="宋体" w:cs="宋体"/>
          <w:b/>
          <w:bCs/>
          <w:color w:val="auto"/>
          <w:sz w:val="24"/>
          <w:highlight w:val="none"/>
          <w:u w:val="single"/>
        </w:rPr>
        <w:t>离开前向发包人代表提出书面报告，发包人代表同意后方可离开施工现场。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3.3.5承包人擅自更换主要施工管理人员的违约责任：</w:t>
      </w:r>
      <w:r>
        <w:rPr>
          <w:rFonts w:hint="eastAsia" w:ascii="宋体" w:hAnsi="宋体" w:cs="宋体"/>
          <w:b/>
          <w:bCs/>
          <w:color w:val="auto"/>
          <w:sz w:val="24"/>
          <w:highlight w:val="none"/>
          <w:u w:val="single"/>
        </w:rPr>
        <w:t>未经发包人及相关行政主管部门同意，擅自更换主要施工管理人员时，将被视为承包人违约，发包人将没收部分或全部履约保证金，直至单方面解除本施工合同。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承包人主要施工管理人员擅自离开施工现场的违约责任：</w:t>
      </w:r>
      <w:r>
        <w:rPr>
          <w:rFonts w:hint="eastAsia" w:ascii="宋体" w:hAnsi="宋体" w:cs="宋体"/>
          <w:b/>
          <w:bCs/>
          <w:color w:val="auto"/>
          <w:sz w:val="24"/>
          <w:highlight w:val="none"/>
          <w:u w:val="single"/>
        </w:rPr>
        <w:t>擅自离开施工现场每一天，处罚人民币400元/天，上述扣款在支付进度款中逐期扣除。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3.5分包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3.5.1分包的一般约定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禁止分包的工程包括：</w:t>
      </w:r>
      <w:r>
        <w:rPr>
          <w:rFonts w:hint="eastAsia" w:ascii="宋体" w:hAnsi="宋体" w:cs="宋体"/>
          <w:b/>
          <w:bCs/>
          <w:color w:val="auto"/>
          <w:sz w:val="24"/>
          <w:highlight w:val="none"/>
          <w:u w:val="single"/>
        </w:rPr>
        <w:t>主体结构、关键性工作等其他国家现行法律、法规明令禁止分包的内容。</w:t>
      </w:r>
      <w:r>
        <w:rPr>
          <w:rFonts w:hint="eastAsia" w:ascii="宋体" w:hAnsi="宋体" w:cs="宋体"/>
          <w:b/>
          <w:color w:val="auto"/>
          <w:sz w:val="24"/>
          <w:highlight w:val="none"/>
          <w:u w:val="single"/>
        </w:rPr>
        <w:t>未经发包人书面同意，不得分包。</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主体结构、关键性工作的范围：</w:t>
      </w:r>
      <w:r>
        <w:rPr>
          <w:rFonts w:hint="eastAsia" w:ascii="宋体" w:hAnsi="宋体" w:cs="宋体"/>
          <w:b/>
          <w:bCs/>
          <w:color w:val="auto"/>
          <w:sz w:val="24"/>
          <w:highlight w:val="none"/>
          <w:u w:val="single"/>
        </w:rPr>
        <w:t>按通用条款或国家现行法律、法规执行。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3.5.2分包的确定</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允许分包的专业工程包括：</w:t>
      </w:r>
      <w:r>
        <w:rPr>
          <w:rFonts w:hint="eastAsia" w:ascii="宋体" w:hAnsi="宋体" w:cs="宋体"/>
          <w:b/>
          <w:bCs/>
          <w:color w:val="auto"/>
          <w:sz w:val="24"/>
          <w:highlight w:val="none"/>
          <w:u w:val="single"/>
        </w:rPr>
        <w:t>合同签订时明确。</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其他关于分包的约定：</w:t>
      </w:r>
      <w:r>
        <w:rPr>
          <w:rFonts w:hint="eastAsia" w:ascii="宋体" w:hAnsi="宋体" w:cs="宋体"/>
          <w:b/>
          <w:bCs/>
          <w:color w:val="auto"/>
          <w:sz w:val="24"/>
          <w:highlight w:val="none"/>
          <w:u w:val="single"/>
        </w:rPr>
        <w:t>合同签订时明确。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3.5.4分包合同价款</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关于分包合同价款支付的约定：</w:t>
      </w:r>
      <w:r>
        <w:rPr>
          <w:rFonts w:hint="eastAsia" w:ascii="宋体" w:hAnsi="宋体" w:cs="宋体"/>
          <w:b/>
          <w:bCs/>
          <w:color w:val="auto"/>
          <w:sz w:val="24"/>
          <w:highlight w:val="none"/>
          <w:u w:val="single"/>
        </w:rPr>
        <w:t>合同签订时明确。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3.6工程照管与成品、半成品保护</w:t>
      </w:r>
    </w:p>
    <w:p>
      <w:pPr>
        <w:spacing w:line="360" w:lineRule="auto"/>
        <w:ind w:firstLine="480" w:firstLineChars="200"/>
        <w:rPr>
          <w:rFonts w:ascii="宋体" w:hAnsi="宋体" w:cs="宋体"/>
          <w:b/>
          <w:bCs/>
          <w:color w:val="auto"/>
          <w:kern w:val="0"/>
          <w:sz w:val="24"/>
          <w:highlight w:val="none"/>
          <w:u w:val="single"/>
        </w:rPr>
      </w:pPr>
      <w:r>
        <w:rPr>
          <w:rFonts w:hint="eastAsia" w:ascii="宋体" w:hAnsi="宋体" w:cs="宋体"/>
          <w:color w:val="auto"/>
          <w:kern w:val="0"/>
          <w:sz w:val="24"/>
          <w:highlight w:val="none"/>
        </w:rPr>
        <w:t>承包人负责照管工程及工程相关的材料、工程设备的起始时间：</w:t>
      </w:r>
      <w:r>
        <w:rPr>
          <w:rFonts w:hint="eastAsia" w:ascii="宋体" w:hAnsi="宋体" w:cs="宋体"/>
          <w:b/>
          <w:bCs/>
          <w:color w:val="auto"/>
          <w:sz w:val="24"/>
          <w:highlight w:val="none"/>
          <w:u w:val="single"/>
        </w:rPr>
        <w:t>按通用条款。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3.7履约担保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承包人是否提供履约担保：</w:t>
      </w:r>
      <w:r>
        <w:rPr>
          <w:rFonts w:hint="eastAsia" w:ascii="宋体" w:hAnsi="宋体" w:cs="宋体"/>
          <w:b/>
          <w:bCs/>
          <w:color w:val="auto"/>
          <w:sz w:val="24"/>
          <w:highlight w:val="none"/>
          <w:u w:val="single"/>
        </w:rPr>
        <w:t xml:space="preserve">   是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承包人提供履约担保的形式、金额及期限的：</w:t>
      </w:r>
      <w:r>
        <w:rPr>
          <w:rFonts w:hint="eastAsia" w:ascii="宋体" w:hAnsi="宋体"/>
          <w:color w:val="auto"/>
          <w:sz w:val="24"/>
          <w:highlight w:val="none"/>
          <w:u w:val="single"/>
        </w:rPr>
        <w:t>承包人向发包人支付合同价</w:t>
      </w:r>
      <w:r>
        <w:rPr>
          <w:rFonts w:ascii="宋体" w:hAnsi="宋体"/>
          <w:color w:val="auto"/>
          <w:sz w:val="24"/>
          <w:highlight w:val="none"/>
          <w:u w:val="single"/>
        </w:rPr>
        <w:t>1</w:t>
      </w:r>
      <w:r>
        <w:rPr>
          <w:rFonts w:hint="eastAsia" w:ascii="宋体" w:hAnsi="宋体"/>
          <w:color w:val="auto"/>
          <w:sz w:val="24"/>
          <w:highlight w:val="none"/>
          <w:u w:val="single"/>
        </w:rPr>
        <w:t>%的履约保证金。履约保证金可以以银行转账、由银行或保险公司出具的保函等形式。</w:t>
      </w:r>
      <w:r>
        <w:rPr>
          <w:rFonts w:hint="eastAsia" w:ascii="宋体" w:hAnsi="宋体" w:cs="宋体"/>
          <w:color w:val="auto"/>
          <w:sz w:val="24"/>
          <w:highlight w:val="none"/>
          <w:u w:val="single"/>
        </w:rPr>
        <w:t>验收合格后无息退还。</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4、监理人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4.1监理人的一般规定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关于监理人的监理内容：</w:t>
      </w:r>
      <w:r>
        <w:rPr>
          <w:rFonts w:hint="eastAsia" w:ascii="宋体" w:hAnsi="宋体" w:cs="宋体"/>
          <w:b/>
          <w:bCs/>
          <w:color w:val="auto"/>
          <w:sz w:val="24"/>
          <w:highlight w:val="none"/>
          <w:u w:val="single"/>
        </w:rPr>
        <w:t>本工程实施范围内的所有内容</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关于监理人的监理权限：</w:t>
      </w:r>
      <w:r>
        <w:rPr>
          <w:rFonts w:hint="eastAsia" w:ascii="宋体" w:hAnsi="宋体" w:cs="宋体"/>
          <w:b/>
          <w:bCs/>
          <w:color w:val="auto"/>
          <w:sz w:val="24"/>
          <w:highlight w:val="none"/>
          <w:u w:val="single"/>
        </w:rPr>
        <w:t>按本工程监理合同执行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关于监理人在施工现场的办公场所、生活场所的提供和费用承担的约定：</w:t>
      </w:r>
      <w:r>
        <w:rPr>
          <w:rFonts w:hint="eastAsia" w:ascii="宋体" w:hAnsi="宋体" w:cs="宋体"/>
          <w:b/>
          <w:bCs/>
          <w:color w:val="auto"/>
          <w:sz w:val="24"/>
          <w:highlight w:val="none"/>
          <w:u w:val="single"/>
        </w:rPr>
        <w:t>由承包人解决并承担相关费用。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4.2监理人员</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关于监理人的其他约定：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需要取得发包人批准才能行使的职权：</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A 涉及全局进度的工程暂停；</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B 变更的估价；</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C 部分工程分包；</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D 索赔的支付；</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E 有关暂列金额的使用；</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F 涉及改变原设计意图或影响原设计结构的补充图纸和指示。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5、工程质量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5.1质量要求</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5.1.1特殊质量标准和要求：</w:t>
      </w:r>
      <w:r>
        <w:rPr>
          <w:rFonts w:hint="eastAsia" w:ascii="宋体" w:hAnsi="宋体" w:cs="宋体"/>
          <w:b/>
          <w:bCs/>
          <w:color w:val="auto"/>
          <w:sz w:val="24"/>
          <w:highlight w:val="none"/>
          <w:u w:val="single"/>
        </w:rPr>
        <w:t>符合（工程施工质量验收规范）合格标准。</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关于工程奖项的约定：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5.3隐蔽工程检查</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5.3.2承包人提前通知监理人隐蔽工程检查的期限的约定：</w:t>
      </w:r>
      <w:r>
        <w:rPr>
          <w:rFonts w:hint="eastAsia" w:ascii="宋体" w:hAnsi="宋体" w:cs="宋体"/>
          <w:b/>
          <w:bCs/>
          <w:color w:val="auto"/>
          <w:sz w:val="24"/>
          <w:highlight w:val="none"/>
          <w:u w:val="single"/>
        </w:rPr>
        <w:t>由发包人跟踪验收，总体工程质量符合《工程施工质量验收规范GB50300-2001》标准。若隐蔽工程和中间验收存在质量问题，承包人未按要求进行及时整改，发包人可以不予支付当期进度款。承包人自检合格后在隐蔽工程和中间验收48小时前通知监理工程师和发包人代表参加。通知包括承包人自检记录、隐蔽和中间验收时间和地点。验收合格，监理工程师和发包人代表在记录上签字后方可进行隐蔽和继续施工。不合格的，承包人在限定期限内无条件整改后重新组织验收。对需验收而未验收就进入下一道工序的，发包人每次扣罚违约金1万元，上述扣款在工程进度款中逐期扣除。</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有防水要求的地方，均应进行防水试验，并通过验收；未进行防水验收即进入下一道工序的，除补充进行验收外，且发包人每次扣罚违约金1万元，上述扣款在工程进度款中逐期扣除。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监理人不能按时进行检查时，应提前</w:t>
      </w:r>
      <w:r>
        <w:rPr>
          <w:rFonts w:hint="eastAsia" w:ascii="宋体" w:hAnsi="宋体" w:cs="宋体"/>
          <w:b/>
          <w:bCs/>
          <w:color w:val="auto"/>
          <w:sz w:val="24"/>
          <w:highlight w:val="none"/>
          <w:u w:val="single"/>
        </w:rPr>
        <w:t xml:space="preserve"> 24 </w:t>
      </w:r>
      <w:r>
        <w:rPr>
          <w:rFonts w:hint="eastAsia" w:ascii="宋体" w:hAnsi="宋体" w:cs="宋体"/>
          <w:color w:val="auto"/>
          <w:sz w:val="24"/>
          <w:highlight w:val="none"/>
        </w:rPr>
        <w:t>小时提交书面延期要求。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关于延期最长不得超过：</w:t>
      </w:r>
      <w:r>
        <w:rPr>
          <w:rFonts w:hint="eastAsia" w:ascii="宋体" w:hAnsi="宋体" w:cs="宋体"/>
          <w:b/>
          <w:bCs/>
          <w:color w:val="auto"/>
          <w:sz w:val="24"/>
          <w:highlight w:val="none"/>
          <w:u w:val="single"/>
        </w:rPr>
        <w:t xml:space="preserve"> 48 </w:t>
      </w:r>
      <w:r>
        <w:rPr>
          <w:rFonts w:hint="eastAsia" w:ascii="宋体" w:hAnsi="宋体" w:cs="宋体"/>
          <w:color w:val="auto"/>
          <w:sz w:val="24"/>
          <w:highlight w:val="none"/>
        </w:rPr>
        <w:t>小时。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6、安全文明施工与环境保护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6.1安全文明施工</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6.1.1项目安全生产的达标目标及相应事项的约定：</w:t>
      </w:r>
      <w:r>
        <w:rPr>
          <w:rFonts w:hint="eastAsia" w:ascii="宋体" w:hAnsi="宋体" w:cs="宋体"/>
          <w:b/>
          <w:bCs/>
          <w:color w:val="auto"/>
          <w:sz w:val="24"/>
          <w:highlight w:val="none"/>
          <w:u w:val="single"/>
        </w:rPr>
        <w:t>施工现场按照《建筑施工安全检查标准》（JGJ59-2011）评定达到“合格”标准。</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6.1.4关于治安保卫的特别约定：</w:t>
      </w:r>
      <w:r>
        <w:rPr>
          <w:rFonts w:hint="eastAsia" w:ascii="宋体" w:hAnsi="宋体" w:cs="宋体"/>
          <w:b/>
          <w:bCs/>
          <w:color w:val="auto"/>
          <w:sz w:val="24"/>
          <w:highlight w:val="none"/>
          <w:u w:val="single"/>
        </w:rPr>
        <w:t>由承包人与当地公安部门协商，在现场建立治安管理机构或联防组织，统一管理施工场地的治安保卫事项，履行合同工程的治安保卫职责，发包人做好配合。</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关于编制施工场地治安管理计划的约定：</w:t>
      </w:r>
      <w:r>
        <w:rPr>
          <w:rFonts w:hint="eastAsia" w:ascii="宋体" w:hAnsi="宋体" w:cs="宋体"/>
          <w:b/>
          <w:bCs/>
          <w:color w:val="auto"/>
          <w:sz w:val="24"/>
          <w:highlight w:val="none"/>
          <w:u w:val="single"/>
        </w:rPr>
        <w:t>由承包人在开工后7日内编制施工场地治安管理计划，制定应对突发治安事件的紧急预案。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6.1.5文明施工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合同当事人对文明施工的要求：</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（1）遵守地方政府和有关部门对施工场地交通、环卫、安全和施工噪音等管理规定，并办理相关审批手续。</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（2）</w:t>
      </w:r>
      <w:r>
        <w:rPr>
          <w:rFonts w:hint="eastAsia" w:ascii="宋体" w:hAnsi="宋体" w:cs="宋体"/>
          <w:b/>
          <w:color w:val="auto"/>
          <w:sz w:val="24"/>
          <w:highlight w:val="none"/>
          <w:u w:val="single"/>
        </w:rPr>
        <w:t>施工时承包人应严格遵守施工现场管理规定，服从物业单位的管理，采取有效措施尽量减小尘土和噪音污染。</w:t>
      </w:r>
      <w:r>
        <w:rPr>
          <w:rFonts w:hint="eastAsia" w:ascii="宋体" w:hAnsi="宋体" w:cs="宋体"/>
          <w:b/>
          <w:bCs/>
          <w:color w:val="auto"/>
          <w:kern w:val="0"/>
          <w:sz w:val="24"/>
          <w:highlight w:val="none"/>
          <w:u w:val="single"/>
        </w:rPr>
        <w:t xml:space="preserve"> </w:t>
      </w:r>
    </w:p>
    <w:p>
      <w:pPr>
        <w:pStyle w:val="725"/>
        <w:spacing w:line="360" w:lineRule="auto"/>
        <w:ind w:firstLine="482" w:firstLineChars="200"/>
        <w:jc w:val="both"/>
        <w:rPr>
          <w:rFonts w:cs="宋体"/>
          <w:b/>
          <w:color w:val="auto"/>
          <w:kern w:val="2"/>
          <w:szCs w:val="24"/>
          <w:highlight w:val="none"/>
          <w:u w:val="single"/>
        </w:rPr>
      </w:pPr>
      <w:r>
        <w:rPr>
          <w:rFonts w:hint="eastAsia" w:cs="宋体"/>
          <w:b/>
          <w:color w:val="auto"/>
          <w:kern w:val="2"/>
          <w:szCs w:val="24"/>
          <w:highlight w:val="none"/>
          <w:u w:val="single"/>
        </w:rPr>
        <w:t>如发包人要求须暂停施工，承包人须无条件服从，并采取夜间加班等措施保证工程进度不拖延，加班等所需全部费用包含在合同报价中，不得以发包人要求暂停施工为由调整合同价格。</w:t>
      </w:r>
    </w:p>
    <w:p>
      <w:pPr>
        <w:pStyle w:val="725"/>
        <w:spacing w:line="360" w:lineRule="auto"/>
        <w:ind w:firstLine="482" w:firstLineChars="200"/>
        <w:jc w:val="both"/>
        <w:rPr>
          <w:rFonts w:cs="宋体"/>
          <w:b/>
          <w:color w:val="auto"/>
          <w:kern w:val="2"/>
          <w:szCs w:val="24"/>
          <w:highlight w:val="none"/>
          <w:u w:val="single"/>
        </w:rPr>
      </w:pPr>
      <w:r>
        <w:rPr>
          <w:rFonts w:hint="eastAsia" w:cs="宋体"/>
          <w:b/>
          <w:color w:val="auto"/>
          <w:kern w:val="2"/>
          <w:szCs w:val="24"/>
          <w:highlight w:val="none"/>
          <w:u w:val="single"/>
        </w:rPr>
        <w:t>如因发包人原因导致施工暂停时间较多通过夜间加班也无法确保工期的，工期延长时间须经发包人、监理人审核同意。</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（3）承包人应严格遵守工程建设安全文明施工的有关规定，认真落实各项安全保护措施，并随时接受发包人或监理工程师及有关部门的监督检查。承包人未按上述要求施工的，发包人有权扣除相应费用。</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（4）承包人应对进入施工现场的施工人员进行人员安全文明施工教育，配备必须的劳动保护用具，保证工程的施工安全和人身安全。</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（5）承包人由于违反安全操作规范，被政府有关部门处罚，如通报批评、警告和罚款等，承包人承担一切责任，并每被查处一次，发包人每次扣罚违约金5000元，</w:t>
      </w:r>
      <w:r>
        <w:rPr>
          <w:rFonts w:hint="eastAsia" w:ascii="宋体" w:hAnsi="宋体" w:cs="宋体"/>
          <w:b/>
          <w:bCs/>
          <w:color w:val="auto"/>
          <w:sz w:val="24"/>
          <w:highlight w:val="none"/>
          <w:u w:val="single"/>
        </w:rPr>
        <w:t>上述扣款在工程进度款中逐期扣除。</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（6）承包人应强化安全意识，抓好安全生产，杜绝事故发生，施工中若发生安全及人身事故均由承包人自行负责处理，承担一切责任包括全部费用。安全事故每发生一次，承包人向发包人支付1万元的违约金，</w:t>
      </w:r>
      <w:r>
        <w:rPr>
          <w:rFonts w:hint="eastAsia" w:ascii="宋体" w:hAnsi="宋体" w:cs="宋体"/>
          <w:b/>
          <w:bCs/>
          <w:color w:val="auto"/>
          <w:sz w:val="24"/>
          <w:highlight w:val="none"/>
          <w:u w:val="single"/>
        </w:rPr>
        <w:t>上述扣款在工程进度款中逐期扣除</w:t>
      </w:r>
      <w:r>
        <w:rPr>
          <w:rFonts w:hint="eastAsia" w:ascii="宋体" w:hAnsi="宋体" w:cs="宋体"/>
          <w:b/>
          <w:bCs/>
          <w:color w:val="auto"/>
          <w:kern w:val="0"/>
          <w:sz w:val="24"/>
          <w:highlight w:val="none"/>
          <w:u w:val="single"/>
        </w:rPr>
        <w:t>。</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（7）发包人或监理工程师有权对承包人的安全施工状况进行检查，发现有违反安全施工情况的，有权提出整改要求，承包人须按要求进行整改。</w:t>
      </w:r>
    </w:p>
    <w:p>
      <w:pPr>
        <w:pStyle w:val="2"/>
        <w:ind w:firstLine="482"/>
        <w:rPr>
          <w:rFonts w:ascii="宋体" w:hAnsi="宋体" w:eastAsia="宋体" w:cs="宋体"/>
          <w:b/>
          <w:bCs/>
          <w:color w:val="auto"/>
          <w:kern w:val="0"/>
          <w:sz w:val="24"/>
          <w:szCs w:val="24"/>
          <w:highlight w:val="none"/>
          <w:u w:val="single"/>
          <w:lang w:val="en-US"/>
        </w:rPr>
      </w:pPr>
      <w:r>
        <w:rPr>
          <w:rFonts w:hint="eastAsia" w:ascii="宋体" w:hAnsi="宋体" w:eastAsia="宋体" w:cs="宋体"/>
          <w:b/>
          <w:bCs/>
          <w:color w:val="auto"/>
          <w:kern w:val="0"/>
          <w:sz w:val="24"/>
          <w:szCs w:val="24"/>
          <w:highlight w:val="none"/>
          <w:u w:val="single"/>
          <w:lang w:val="en-US"/>
        </w:rPr>
        <w:t>（8）施工期间，控制施工噪音和制定车辆等进出方案等，因在市中心，请考虑综合因素，提前现场考察，避免投诉，文明安全施工，并制定施工预案。</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（8）上述手续办理费用约定如下： 由承包人承担。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6.1.6关于安全文明施工费支付比例和支付期限的约定，按以下</w:t>
      </w:r>
      <w:r>
        <w:rPr>
          <w:rFonts w:hint="eastAsia" w:ascii="宋体" w:hAnsi="宋体" w:cs="宋体"/>
          <w:color w:val="auto"/>
          <w:sz w:val="24"/>
          <w:highlight w:val="none"/>
          <w:u w:val="single"/>
        </w:rPr>
        <w:t>第（1）种方式</w:t>
      </w:r>
      <w:r>
        <w:rPr>
          <w:rFonts w:hint="eastAsia" w:ascii="宋体" w:hAnsi="宋体" w:cs="宋体"/>
          <w:color w:val="auto"/>
          <w:sz w:val="24"/>
          <w:highlight w:val="none"/>
        </w:rPr>
        <w:t>约定：</w:t>
      </w:r>
    </w:p>
    <w:p>
      <w:pPr>
        <w:spacing w:line="360" w:lineRule="auto"/>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u w:val="single"/>
        </w:rPr>
        <w:t>（1）安全文明施工费总额的60%包含在工程预付款中支付，剩余部分根据工程进度在进度款中支付</w:t>
      </w:r>
      <w:r>
        <w:rPr>
          <w:rFonts w:hint="eastAsia" w:ascii="宋体" w:hAnsi="宋体" w:cs="宋体"/>
          <w:b/>
          <w:bCs/>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（2）其他： / </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7、工期和进度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7.1施工组织设计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7.1.1合</w:t>
      </w:r>
      <w:r>
        <w:rPr>
          <w:rFonts w:hint="eastAsia" w:ascii="宋体" w:hAnsi="宋体" w:cs="宋体"/>
          <w:color w:val="auto"/>
          <w:kern w:val="0"/>
          <w:sz w:val="24"/>
          <w:highlight w:val="none"/>
        </w:rPr>
        <w:t>同当事人约定的施工组织设计应包括的其他内容：</w:t>
      </w:r>
      <w:r>
        <w:rPr>
          <w:rFonts w:hint="eastAsia" w:ascii="宋体" w:hAnsi="宋体" w:cs="宋体"/>
          <w:b/>
          <w:bCs/>
          <w:color w:val="auto"/>
          <w:sz w:val="24"/>
          <w:highlight w:val="none"/>
          <w:u w:val="single"/>
        </w:rPr>
        <w:t>按《通用合同条款》7.1.1条执行</w:t>
      </w:r>
      <w:r>
        <w:rPr>
          <w:rFonts w:hint="eastAsia" w:ascii="宋体" w:hAnsi="宋体" w:cs="宋体"/>
          <w:color w:val="auto"/>
          <w:sz w:val="24"/>
          <w:highlight w:val="none"/>
        </w:rPr>
        <w:t>。</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7.1.2</w:t>
      </w:r>
      <w:r>
        <w:rPr>
          <w:rFonts w:hint="eastAsia" w:ascii="宋体" w:hAnsi="宋体" w:cs="宋体"/>
          <w:color w:val="auto"/>
          <w:kern w:val="0"/>
          <w:sz w:val="24"/>
          <w:highlight w:val="none"/>
        </w:rPr>
        <w:t>施工组织设计的提交和修改</w:t>
      </w:r>
    </w:p>
    <w:p>
      <w:pPr>
        <w:autoSpaceDE w:val="0"/>
        <w:autoSpaceDN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承包人提交详细施工组织设计的期限的约定：</w:t>
      </w:r>
      <w:r>
        <w:rPr>
          <w:rFonts w:hint="eastAsia" w:ascii="宋体" w:hAnsi="宋体" w:cs="宋体"/>
          <w:b/>
          <w:bCs/>
          <w:color w:val="auto"/>
          <w:sz w:val="24"/>
          <w:highlight w:val="none"/>
          <w:u w:val="single"/>
        </w:rPr>
        <w:t>合同签订后5天内提供详细施工组织设计（施工方案）和进度计划。</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发包人和监理人在收到详细的施工组织设计后确认或提出修改意见的期限：</w:t>
      </w:r>
      <w:r>
        <w:rPr>
          <w:rFonts w:hint="eastAsia" w:ascii="宋体" w:hAnsi="宋体" w:cs="宋体"/>
          <w:b/>
          <w:bCs/>
          <w:color w:val="auto"/>
          <w:sz w:val="24"/>
          <w:highlight w:val="none"/>
          <w:u w:val="single"/>
        </w:rPr>
        <w:t>收到完整资料后7天内确认或提出修改意见。发包人、监理单位对施工组织设计方案的确认是对施工组织设计方案可行性的确认，并不是对所涉费用的确认，也不免除承包人对施工组织设计方案应承担的责任。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7.2施工进度计划</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7.2.2施工进度计划的修订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发包人和监理人在收到修订的施工进度计划后确认或提出修改意见的期限：</w:t>
      </w:r>
      <w:r>
        <w:rPr>
          <w:rFonts w:hint="eastAsia" w:ascii="宋体" w:hAnsi="宋体" w:cs="宋体"/>
          <w:b/>
          <w:bCs/>
          <w:color w:val="auto"/>
          <w:sz w:val="24"/>
          <w:highlight w:val="none"/>
          <w:u w:val="single"/>
        </w:rPr>
        <w:t>收到完整资料后7天内确认或提出修改意见。</w:t>
      </w:r>
      <w:r>
        <w:rPr>
          <w:rFonts w:hint="eastAsia" w:ascii="宋体" w:hAnsi="宋体" w:cs="宋体"/>
          <w:color w:val="auto"/>
          <w:sz w:val="24"/>
          <w:highlight w:val="none"/>
        </w:rPr>
        <w:t>发包人、监理单位对施工进度计划的确认是对施工进度计划可行性的确认，并不是对所涉费用的确认，也不免除承包人对施工进度计划应承担的责任。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7.3开工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7.3.1开工准备</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关于承包人提交</w:t>
      </w:r>
      <w:r>
        <w:rPr>
          <w:rFonts w:hint="eastAsia" w:ascii="宋体" w:hAnsi="宋体" w:cs="宋体"/>
          <w:color w:val="auto"/>
          <w:kern w:val="0"/>
          <w:sz w:val="24"/>
          <w:highlight w:val="none"/>
        </w:rPr>
        <w:t>工程开工报审表的期限：</w:t>
      </w:r>
      <w:r>
        <w:rPr>
          <w:rFonts w:hint="eastAsia" w:ascii="宋体" w:hAnsi="宋体" w:cs="宋体"/>
          <w:b/>
          <w:bCs/>
          <w:color w:val="auto"/>
          <w:sz w:val="24"/>
          <w:highlight w:val="none"/>
          <w:u w:val="single"/>
        </w:rPr>
        <w:t>开工日期前7天。</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关于发包人应完成的其他开工准备工作及期限：</w:t>
      </w:r>
      <w:r>
        <w:rPr>
          <w:rFonts w:hint="eastAsia" w:ascii="宋体" w:hAnsi="宋体" w:cs="宋体"/>
          <w:b/>
          <w:bCs/>
          <w:color w:val="auto"/>
          <w:sz w:val="24"/>
          <w:highlight w:val="none"/>
          <w:u w:val="single"/>
        </w:rPr>
        <w:t>开工日期前7天。</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关于承包人应完成的其他开工准备工作及期限：</w:t>
      </w:r>
      <w:r>
        <w:rPr>
          <w:rFonts w:hint="eastAsia" w:ascii="宋体" w:hAnsi="宋体" w:cs="宋体"/>
          <w:b/>
          <w:bCs/>
          <w:color w:val="auto"/>
          <w:sz w:val="24"/>
          <w:highlight w:val="none"/>
          <w:u w:val="single"/>
        </w:rPr>
        <w:t>开工日期前7天。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7.3.2开工通知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因发包人原因造成监理人未能在计划开工日期之日起</w:t>
      </w:r>
      <w:r>
        <w:rPr>
          <w:rFonts w:hint="eastAsia" w:ascii="宋体" w:hAnsi="宋体" w:cs="宋体"/>
          <w:b/>
          <w:bCs/>
          <w:color w:val="auto"/>
          <w:sz w:val="24"/>
          <w:highlight w:val="none"/>
          <w:u w:val="single"/>
        </w:rPr>
        <w:t xml:space="preserve"> 90 </w:t>
      </w:r>
      <w:r>
        <w:rPr>
          <w:rFonts w:hint="eastAsia" w:ascii="宋体" w:hAnsi="宋体" w:cs="宋体"/>
          <w:color w:val="auto"/>
          <w:sz w:val="24"/>
          <w:highlight w:val="none"/>
        </w:rPr>
        <w:t>天内发出开工通知的，承包人有权提出价格调整要求，或者解除合同。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7.4测量放线</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7.4.1发包人通过监理人向承包人提供测量基准点、基准线和水准点及其书面资料的期限：</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7.5工期延误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7.5.1因发包人原因导致工期延误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（7）因发包人原因导致工期延误的其他情形：</w:t>
      </w:r>
      <w:r>
        <w:rPr>
          <w:rFonts w:hint="eastAsia" w:ascii="宋体" w:hAnsi="宋体" w:cs="宋体"/>
          <w:color w:val="auto"/>
          <w:sz w:val="24"/>
          <w:highlight w:val="none"/>
          <w:u w:val="single"/>
        </w:rPr>
        <w:t xml:space="preserve"> /  </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①重大设计变更引起的工期延误；</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②其他：不可抗力。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7.5.2因承包人原因导致工期延误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因承包人原因造成工期延误，逾期竣工违约金的计算方法为：</w:t>
      </w:r>
      <w:r>
        <w:rPr>
          <w:rFonts w:hint="eastAsia" w:ascii="宋体" w:hAnsi="宋体" w:cs="宋体"/>
          <w:b/>
          <w:bCs/>
          <w:color w:val="auto"/>
          <w:sz w:val="24"/>
          <w:highlight w:val="none"/>
          <w:u w:val="single"/>
        </w:rPr>
        <w:t>因承包人原因造成延误工期每延误一天，扣罚2000元</w:t>
      </w:r>
      <w:r>
        <w:rPr>
          <w:rFonts w:hint="eastAsia" w:ascii="宋体" w:hAnsi="宋体" w:cs="宋体"/>
          <w:color w:val="auto"/>
          <w:sz w:val="24"/>
          <w:highlight w:val="none"/>
          <w:u w:val="single"/>
        </w:rPr>
        <w:t>。</w:t>
      </w:r>
      <w:r>
        <w:rPr>
          <w:rFonts w:hint="eastAsia" w:ascii="宋体" w:hAnsi="宋体" w:cs="宋体"/>
          <w:color w:val="auto"/>
          <w:sz w:val="24"/>
          <w:highlight w:val="none"/>
        </w:rPr>
        <w:t>如因承包人自身原因造成工期严重滞后（实际进度滞后经批准的进度计划30日历天以上的），又无明显改进措施的，发包人有权解除本合同并要求承包人无条件退场，并承担由此产生的一切损失，同时，发包人也有权安排其他施工队伍进场施工，费用经第三方审计单位审核后从承包人合同价款中扣除。承包人不得干扰其他施工单位进场施工，并应与新的施工单位办理交接，否则，由此造成的费用、损失由承包人承担，且发包人有权拒绝支付承包人已完工程的工程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因承包人原因造成工期延误，逾期竣工违约金的上限：</w:t>
      </w:r>
      <w:r>
        <w:rPr>
          <w:rFonts w:hint="eastAsia" w:ascii="宋体" w:hAnsi="宋体" w:cs="宋体"/>
          <w:b/>
          <w:bCs/>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7.6不利物质条件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不利物质条件的其他情形和有关约定：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 xml:space="preserve">（1）施工场地周围地下管线  </w:t>
      </w:r>
      <w:r>
        <w:rPr>
          <w:rFonts w:hint="eastAsia" w:ascii="宋体" w:hAnsi="宋体" w:cs="宋体"/>
          <w:b/>
          <w:bCs/>
          <w:color w:val="auto"/>
          <w:sz w:val="24"/>
          <w:highlight w:val="none"/>
        </w:rPr>
        <w:t>；</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 xml:space="preserve">（2）地下障碍物和污染物  </w:t>
      </w:r>
      <w:r>
        <w:rPr>
          <w:rFonts w:hint="eastAsia" w:ascii="宋体" w:hAnsi="宋体" w:cs="宋体"/>
          <w:b/>
          <w:bCs/>
          <w:color w:val="auto"/>
          <w:sz w:val="24"/>
          <w:highlight w:val="none"/>
        </w:rPr>
        <w:t>；</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 xml:space="preserve">（3）其他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7.7异常恶劣的气候条件</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发包人和承包人同意以下情形视为异常恶劣的气候条件：</w:t>
      </w:r>
      <w:r>
        <w:rPr>
          <w:rFonts w:hint="eastAsia" w:ascii="宋体" w:hAnsi="宋体" w:cs="宋体"/>
          <w:b/>
          <w:bCs/>
          <w:color w:val="auto"/>
          <w:sz w:val="24"/>
          <w:highlight w:val="none"/>
          <w:u w:val="single"/>
        </w:rPr>
        <w:t>持续半小时10级及10级以上的台风、3小时内降雨量达50毫米、6小时内降雪量达15毫米、日气温超过40度或低于零下10度</w:t>
      </w:r>
      <w:r>
        <w:rPr>
          <w:rFonts w:hint="eastAsia" w:ascii="宋体" w:hAnsi="宋体" w:cs="宋体"/>
          <w:b/>
          <w:bCs/>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7.8提前竣工的奖励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7.8.2提前竣工的奖励：</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8、材料与设备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8.4材料与工程设备的保管与使用</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8.4.1发包人供应的材料设备的保管费用的承担：</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8.6样品</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8.6.1样品的报送与封存</w:t>
      </w:r>
    </w:p>
    <w:p>
      <w:pPr>
        <w:autoSpaceDE w:val="0"/>
        <w:autoSpaceDN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需要承包人报送样品的材料或工程设备，样品的种类、名称、规格、数量要求：</w:t>
      </w:r>
      <w:r>
        <w:rPr>
          <w:rFonts w:hint="eastAsia" w:ascii="宋体" w:hAnsi="宋体" w:cs="宋体"/>
          <w:b/>
          <w:bCs/>
          <w:color w:val="auto"/>
          <w:sz w:val="24"/>
          <w:highlight w:val="none"/>
          <w:u w:val="single"/>
        </w:rPr>
        <w:t>在材料用于工程之前，承包人必须按发包人的选择和要求，提交有关的材料样品，以供检验，在采购前30天向发包人提供材料采购计划、材料资料和生产厂商资料，根据发包人和监理意见进行封样，经发包人、监理书面签证予以认可后，方可采购</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8.8施工设备和临时设施</w:t>
      </w:r>
    </w:p>
    <w:p>
      <w:pP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8.8.1承包人提供的施工设备和临时设施</w:t>
      </w:r>
    </w:p>
    <w:p>
      <w:pP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关于修建临时设施费用承担的约定：</w:t>
      </w:r>
      <w:r>
        <w:rPr>
          <w:rFonts w:hint="eastAsia" w:ascii="宋体" w:hAnsi="宋体" w:cs="宋体"/>
          <w:b/>
          <w:bCs/>
          <w:color w:val="auto"/>
          <w:sz w:val="24"/>
          <w:highlight w:val="none"/>
          <w:u w:val="single"/>
        </w:rPr>
        <w:t>由承包人自行考虑，相关费用计入报价。</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9、试验与检验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9.1试验设备与试验人员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9.1.2试验设备</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施工现场需要配置的试验场所：</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由承包人提供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施工现场需要配备的试验设备：</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由承包人提供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施工现场需要具备的其他试验条件：</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由承包人提供 </w:t>
      </w:r>
    </w:p>
    <w:p>
      <w:pPr>
        <w:spacing w:line="360" w:lineRule="auto"/>
        <w:ind w:firstLine="480" w:firstLineChars="200"/>
        <w:rPr>
          <w:rFonts w:ascii="宋体" w:hAnsi="宋体" w:cs="宋体"/>
          <w:b/>
          <w:bCs/>
          <w:color w:val="auto"/>
          <w:kern w:val="0"/>
          <w:sz w:val="24"/>
          <w:highlight w:val="none"/>
        </w:rPr>
      </w:pPr>
      <w:r>
        <w:rPr>
          <w:rFonts w:hint="eastAsia" w:ascii="宋体" w:hAnsi="宋体" w:cs="宋体"/>
          <w:color w:val="auto"/>
          <w:sz w:val="24"/>
          <w:highlight w:val="none"/>
        </w:rPr>
        <w:t>9.3</w:t>
      </w:r>
      <w:r>
        <w:rPr>
          <w:rFonts w:hint="eastAsia" w:ascii="宋体" w:hAnsi="宋体" w:cs="宋体"/>
          <w:color w:val="auto"/>
          <w:kern w:val="0"/>
          <w:sz w:val="24"/>
          <w:highlight w:val="none"/>
        </w:rPr>
        <w:t>材料、工程设备和工程的试验和检验</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kern w:val="0"/>
          <w:sz w:val="24"/>
          <w:highlight w:val="none"/>
        </w:rPr>
        <w:t>试验、检测单位资质条件约定：</w:t>
      </w:r>
      <w:r>
        <w:rPr>
          <w:rFonts w:hint="eastAsia" w:ascii="宋体" w:hAnsi="宋体" w:cs="宋体"/>
          <w:b/>
          <w:bCs/>
          <w:color w:val="auto"/>
          <w:sz w:val="24"/>
          <w:highlight w:val="none"/>
          <w:u w:val="single"/>
        </w:rPr>
        <w:t>按有关规定执行；</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kern w:val="0"/>
          <w:sz w:val="24"/>
          <w:highlight w:val="none"/>
        </w:rPr>
        <w:t>试验、检测单位选择约定：</w:t>
      </w:r>
      <w:r>
        <w:rPr>
          <w:rFonts w:hint="eastAsia" w:ascii="宋体" w:hAnsi="宋体" w:cs="宋体"/>
          <w:b/>
          <w:bCs/>
          <w:color w:val="auto"/>
          <w:sz w:val="24"/>
          <w:highlight w:val="none"/>
          <w:u w:val="single"/>
        </w:rPr>
        <w:t>报监理及发包人审核批准；</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试验、检测费用约定：</w:t>
      </w:r>
      <w:r>
        <w:rPr>
          <w:rFonts w:hint="eastAsia" w:ascii="宋体" w:hAnsi="宋体" w:cs="宋体"/>
          <w:b/>
          <w:bCs/>
          <w:color w:val="auto"/>
          <w:sz w:val="24"/>
          <w:highlight w:val="none"/>
          <w:u w:val="single"/>
        </w:rPr>
        <w:t xml:space="preserve"> 按有关规定执行。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9.4 现场工艺试验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现场工艺试验的有关约定：</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按通用条款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10、变更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10.1变更的范围</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关于变更的范围的约定：</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按通用条款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10.1.1关于变更范围的约定：按照《杭州市政府投资项目工程变更管理暂行办法》（杭财建[2013]1246号）中工程变更的相关规定。</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10.1.2因承包人擅自变更设计发生的费用和由此导致发包人的直接损失，由承包人承担，延误的工期不予顺延。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10.1.3承包人提出的合理化建议涉及到的工程变更，须经发包人同意并办理相关变更审查手续。未经同意擅自更改的，承包人承担由此产生的费用，并赔偿发包人的有关损失，延误的工期不予顺延。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10.4变更估价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10.4.1变更估价原则</w:t>
      </w:r>
    </w:p>
    <w:p>
      <w:pP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关于变更估价的约定: </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（1）已标价工程量清单或预算书有相同项目的，按照相同项目单价确定。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（2）已标价工程量清单或预算书中无相同项目，但有类似项目的，参照类似项目的单价确定。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①某种材料（包括半成品或成品）等级、标准发生变化的，清单组价子目不变，仅调整不同的材料编制期信息价的差价（计税金）：材料编制期信息价计价顺序依次为《杭州市造价信息》、《浙江省造价信息》正刊，对造价信息价正刊没有的材料，发包人将在充分市场询价的基础上，参照同期同类材料市场价格水平，按照相关规定审批程序签证确定其编制期信息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②清单项目某一特征或工程内容变化，不影响其他特征及工程内容价格的，其他特征组合标准不变，仅调整发生变化的组合子目价格。</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（3）已标价工程量清单或预算书中无相同项目及类似项目单价的，其单价的确定，按以下约定：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套用浙江省2018版预算定额和费用定额或现行相应专业定额，综合费用按相应类别工程费率的中限计取，规费、税金、农民工工伤保险按磋商口径执行；①材料价格有磋商价的执行磋商价；②材料价格无磋商价的执行合同工期前80%的信息价平均值，对当地信息价正刊没有公布的材料，发包人应在充分市场询价基础上，参照同期同类材料市场价格水平，按照相关规定审批程序签证确定；按照上述方法计算后乘以（1-承包人报价浮动率L）得出结算单价，承包人报价浮动率L=（1-中标价÷招标控制价）×100%（若项目含甲供材料/设备，中标价及招标控制价均扣除甲供材料/设备金额）③当零星工程发生签证台班数量，机械单价有磋商价的执行磋商价；④当零星工程发生签证台班数量，机械单价无磋商价的执行预算定额单价；按照上述方法计算后乘以（1-承包人报价浮动率L）得出结算单价，承包人报价浮动率L=（1-中标价÷招标控制价）×100%（若项目含甲供材料/设备，中标价及招标控制价均扣除甲供材料/设备金额）。</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4）工程量清单错误和（或）设计变更导致实际完成的工程量与已标价工程量清单或预算书中列明的该项目工程量的变化幅度超过以下情况的，其单价允许调整：凡合价金额占合同总价2%及以上的分部分项清单项目，其工程量增加或减少超过本项目工程数量15%及以上时，或者合价金额占合同总价不到2%的分部分项清单项目，但其工程量增加或减少超过本项目工程数量25%以上时。工程量偏差超过上述变化幅度之外变动部分的相应单价调整方法按以下方式约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按照《建设工程工程量清单计价规范》（GB50500-2013）9.6.2条规定，增加部分的工程量的综合单价应予调低，减少后剩余部分的工程量的综合单价应予调高，可按下列公式调整:</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凡合价金额占合同总价2%及以上的分部分项清单项目，</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①当Q1&gt;1.15Q0时:    S=1.15Q0×P0+（Q1-1.15 Q0）×P1</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②当Q1&lt;0.85Q0时:    S=Q1×P1</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凡合价金额占合同总价不到2%的分部分项清单项目，</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③当Q1&gt;1.25Q0时:    S=1.25Q0×P0+（Q1-1.25 Q0）×P1</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④当Q1&lt;0.75Q0时:    S=Q1×P1</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式中 S——调整后某一分部分项工程费结算价；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Q1——最终完成的工程量；</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Q0——招标工程量清单中列出的工程量；</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P0——承包人在已标价工程量清单中填报的综合单价</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P1——按照最终完成工程量重新调整后的综合单价，按本合同第10.4.1条（3）款计算结果和P0比较，在工程量增加时，若计算结果大于P0的,取 P1= P0，在工程量减少时，若计算结果小于P0的,取P1= P0。</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（5）其他：</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①工程量必须按照《建设工程工程量清单计价规范》（GB50500-2013）规定的工程量计算规则计算。工程量必须以承包人完成合同工程应予计量的工程量确定。最终结算工程量应首先报监理及发包人初审。</w:t>
      </w:r>
    </w:p>
    <w:p>
      <w:pPr>
        <w:pStyle w:val="971"/>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②工程变更管理按《杭州市政府投资项目工程变更管理暂行办法》（杭财建[2013]1246号）和拱教局2022（98）号文件执行，未履行规定程序的联系单，不得纳入工程结算。</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③本合同专用条款1.1.1.10中的“施工组织设计”是指承包人在磋商书中制定的相关技术、经济和施工组织的综合性文件。施工组织措施费、施工技术措施费在招标范围未发生变化情况下，按磋商报价包干。在招标范围发生重大变化或重大设计变更引起施工技术措施项目费增加或减少时，根据相关工程变更依据和建设行政主管部门的批复意见进行相应调整，原措施费项目清单中已有的措施项目，按原有措施费的组价方法或单价调整；原措施费项目清单中没有的措施项目，组价方法按前述第10.4.1条（3）约定执行。如有甩项工程，发包人将对承包人未实际投入的施工组织措施费和技术措施费按上述方法予以扣除。</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④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第10.4.1条（3）约定，结合磋商报价水平确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⑤现有管线、邻近建筑物、构筑物（含文物保护建筑）、古树名木等的保护费计算。招标时已明确的，其保护费用承包人应根据发包人提供的交底资料，结合现场探勘，充分考虑施工难度，计入报价，包干使用。实施过程中新发现的，其保护费用按实计算，计算口径按前述第10.4.1条（3）约定执行。</w:t>
      </w:r>
    </w:p>
    <w:p>
      <w:pPr>
        <w:spacing w:line="360" w:lineRule="auto"/>
        <w:ind w:firstLine="482" w:firstLineChars="200"/>
        <w:rPr>
          <w:rFonts w:ascii="宋体" w:hAnsi="宋体" w:cs="宋体"/>
          <w:color w:val="auto"/>
          <w:sz w:val="24"/>
          <w:highlight w:val="none"/>
          <w:u w:val="single"/>
        </w:rPr>
      </w:pPr>
      <w:r>
        <w:rPr>
          <w:rFonts w:hint="eastAsia" w:ascii="宋体" w:hAnsi="宋体" w:cs="宋体"/>
          <w:b/>
          <w:bCs/>
          <w:color w:val="auto"/>
          <w:sz w:val="24"/>
          <w:highlight w:val="none"/>
          <w:u w:val="single"/>
        </w:rPr>
        <w:t>⑥发包人与承包人在询标过程中，涉及到合同价款结算有须明确或澄清的事项包括：</w:t>
      </w:r>
      <w:r>
        <w:rPr>
          <w:rFonts w:hint="eastAsia" w:ascii="宋体" w:hAnsi="宋体" w:cs="宋体"/>
          <w:color w:val="auto"/>
          <w:sz w:val="24"/>
          <w:highlight w:val="none"/>
          <w:u w:val="single"/>
        </w:rPr>
        <w:t xml:space="preserve">   /   </w:t>
      </w:r>
    </w:p>
    <w:p>
      <w:pPr>
        <w:spacing w:line="360" w:lineRule="auto"/>
        <w:ind w:firstLine="482" w:firstLineChars="200"/>
        <w:rPr>
          <w:rFonts w:ascii="宋体" w:hAnsi="宋体" w:cs="宋体"/>
          <w:color w:val="auto"/>
          <w:sz w:val="24"/>
          <w:highlight w:val="none"/>
          <w:u w:val="single"/>
        </w:rPr>
      </w:pPr>
      <w:r>
        <w:rPr>
          <w:rFonts w:hint="eastAsia" w:ascii="宋体" w:hAnsi="宋体" w:cs="宋体"/>
          <w:b/>
          <w:color w:val="auto"/>
          <w:sz w:val="24"/>
          <w:highlight w:val="none"/>
          <w:u w:val="single"/>
        </w:rPr>
        <w:t>⑦本工程结算造价以国家审计或财政评审为准。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10.5承包人的合理化建议</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监理人审查承包人合理化建议的期限：</w:t>
      </w:r>
      <w:r>
        <w:rPr>
          <w:rFonts w:hint="eastAsia" w:ascii="宋体" w:hAnsi="宋体" w:cs="宋体"/>
          <w:b/>
          <w:bCs/>
          <w:color w:val="auto"/>
          <w:sz w:val="24"/>
          <w:highlight w:val="none"/>
          <w:u w:val="single"/>
        </w:rPr>
        <w:t xml:space="preserve">按通用条款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发包人审批承包人合理化建议的期限：</w:t>
      </w:r>
      <w:r>
        <w:rPr>
          <w:rFonts w:hint="eastAsia" w:ascii="宋体" w:hAnsi="宋体" w:cs="宋体"/>
          <w:b/>
          <w:bCs/>
          <w:color w:val="auto"/>
          <w:sz w:val="24"/>
          <w:highlight w:val="none"/>
          <w:u w:val="single"/>
        </w:rPr>
        <w:t xml:space="preserve">按通用条款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承包人提出的合理化建议降低了合同价格或者提高了工程经济效益的奖励的方法和金额为：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10.7暂估价</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暂估价材料和工程设备的明细详见附件11：《</w:t>
      </w:r>
      <w:r>
        <w:rPr>
          <w:rFonts w:hint="eastAsia" w:ascii="宋体" w:hAnsi="宋体" w:cs="宋体"/>
          <w:color w:val="auto"/>
          <w:sz w:val="24"/>
          <w:highlight w:val="none"/>
        </w:rPr>
        <w:t>暂估价一览表》</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10.7.1依法必须招标的暂估价项目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对于依法必须招标的暂估价项目的确认和批准采取第</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种方式确定。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10.7.2不属于依法必须招标的暂估价项目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对于不属于依法必须招标的暂估价项目的确认和批准采取第</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种方式确定。</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第3种方式：</w:t>
      </w:r>
      <w:r>
        <w:rPr>
          <w:rFonts w:hint="eastAsia" w:ascii="宋体" w:hAnsi="宋体" w:cs="宋体"/>
          <w:color w:val="auto"/>
          <w:kern w:val="0"/>
          <w:sz w:val="24"/>
          <w:highlight w:val="none"/>
        </w:rPr>
        <w:t>承包人直接实施的暂估价项目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承包人直接实施的暂估价项目的约定：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10.8暂列金额</w:t>
      </w:r>
    </w:p>
    <w:p>
      <w:pPr>
        <w:autoSpaceDE w:val="0"/>
        <w:autoSpaceDN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合同当事人关于暂列金额使用的约定：</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11、价格调整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11.1市场价格波动引起的调整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市场价格波动是否调整合同价格的约定：</w:t>
      </w:r>
      <w:r>
        <w:rPr>
          <w:rFonts w:hint="eastAsia" w:ascii="宋体" w:hAnsi="宋体" w:cs="宋体"/>
          <w:color w:val="auto"/>
          <w:kern w:val="0"/>
          <w:sz w:val="24"/>
          <w:highlight w:val="none"/>
          <w:u w:val="single"/>
        </w:rPr>
        <w:t>调整</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因市场价格波动调整合同价格，采用以下第</w:t>
      </w:r>
      <w:r>
        <w:rPr>
          <w:rFonts w:hint="eastAsia" w:ascii="宋体" w:hAnsi="宋体" w:cs="宋体"/>
          <w:b/>
          <w:bCs/>
          <w:color w:val="auto"/>
          <w:sz w:val="24"/>
          <w:highlight w:val="none"/>
          <w:u w:val="single"/>
        </w:rPr>
        <w:t xml:space="preserve">  3   </w:t>
      </w:r>
      <w:r>
        <w:rPr>
          <w:rFonts w:hint="eastAsia" w:ascii="宋体" w:hAnsi="宋体" w:cs="宋体"/>
          <w:color w:val="auto"/>
          <w:sz w:val="24"/>
          <w:highlight w:val="none"/>
        </w:rPr>
        <w:t>种方式对合同价格进行调整：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第1种方式：采用价格指数进行价格调整。</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关于各可调因子、定值和变值权重，以及基本价格指数及其来源的约定：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第2种方式：采用造价信息进行价格调整。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（2）关于基准价格的约定：。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第3种方式：</w:t>
      </w:r>
      <w:r>
        <w:rPr>
          <w:rFonts w:hint="eastAsia" w:ascii="宋体" w:hAnsi="宋体" w:cs="宋体"/>
          <w:b/>
          <w:bCs/>
          <w:color w:val="auto"/>
          <w:sz w:val="24"/>
          <w:highlight w:val="none"/>
          <w:u w:val="single"/>
        </w:rPr>
        <w:t>采用政策性文件进行价格调整</w:t>
      </w:r>
      <w:r>
        <w:rPr>
          <w:rFonts w:hint="eastAsia" w:ascii="宋体" w:hAnsi="宋体" w:cs="宋体"/>
          <w:b/>
          <w:bCs/>
          <w:color w:val="auto"/>
          <w:sz w:val="24"/>
          <w:highlight w:val="none"/>
        </w:rPr>
        <w:t>。</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政府投资工程因市场价格波动引起的调整：</w:t>
      </w:r>
      <w:r>
        <w:rPr>
          <w:rFonts w:hint="eastAsia" w:ascii="宋体" w:hAnsi="宋体" w:cs="宋体"/>
          <w:color w:val="auto"/>
          <w:kern w:val="0"/>
          <w:sz w:val="24"/>
          <w:highlight w:val="none"/>
          <w:u w:val="single"/>
        </w:rPr>
        <w:t>按《关于进一步加强杭州市建设工程市场要素价格动态管理的指导意见》(杭建市发〔2018）579号)文执行。</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其中：</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1、风险范围及幅度的约定：</w:t>
      </w:r>
    </w:p>
    <w:p>
      <w:pPr>
        <w:widowControl/>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（1）人工价格风险幅度为5%；</w:t>
      </w:r>
    </w:p>
    <w:p>
      <w:pPr>
        <w:widowControl/>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（2）单种规格材料价格风险幅度为5%；</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2、材料价款动态调整结算方式采用以下</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第（3）种方式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约定：</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（1）按时间进度分段结算： /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（2）按工程形象部位(目标)分段结算：/  。</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 xml:space="preserve">（3）竣工后一次性结算调价。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工程竣工后，根据合同工期内各期材料信息价格相对于编制期信息价的变动幅度以及材料的风险承担幅度进行计量和结算。合同工期内月份的计算按照日历月份计，遇有小数即进位取整数。风险幅度以外材料价差计算公式如下：</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①当单种规格材料价格上涨超过约定的风险幅度时，材料差价（正值）=〔合同工期内各月份信息价算术平均值-编制期信息价×（1+风险幅度）〕×单种规格材料用量。</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②当单种规格材料价格下跌超过约定的风险幅度时，材料差价（负值）=〔合同工期内各月份信息价算术平均值-编制期信息价×（1-风险幅度)〕×单种规格材料用量。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上述公式中的“单种规格材料”是指根据浙江省、杭州市信息价正刊发布的有单独序号或代码的原材料、构配件、半产品、辅助材料和零件，其中砼管桩、商品砼、预拌砂浆、沥青砼、预制构件等成品、半成品不予拆分，园钢、螺纹钢及Ⅲ级钢采用综合价。 “单种规格材料用量”，是指可调规格材料原合同用量与联系单变更用量之和，材料包括工程实施过程中耗用的原材料、构配件、半产品、辅助材料和零件。“编制期信息价”，是指由工程造价管理机构在磋商截止日前28日历天所在月份造价信息正刊发布的当期信息价。所在月份信息价如遇工程造价管理机构发布信息价格调整的，则该月信息价格按所发布信息价执行天数加权平均。）</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3、非承包人原因引起的延期，经发包人、监理单位审批同意顺延后，经批准的顺延工期可计入合同工期，未经审批同意，不得延长合同工期。</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4、承包人办理工程结算时必须向审核部门提供预算软件导出的带有计价软件格式的电子结算文件。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12、合同价格、计量与支付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12.1合同价格形式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1、单价合同。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综合单价包含的风险范围：</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 xml:space="preserve">（1）应由承包人承担的工、料、机在磋商编制期或预算书编制期与合同实施期间所发生的市场价格波动。 </w:t>
      </w:r>
    </w:p>
    <w:p>
      <w:pPr>
        <w:widowControl/>
        <w:spacing w:line="360" w:lineRule="auto"/>
        <w:ind w:firstLine="482" w:firstLineChars="200"/>
        <w:rPr>
          <w:rFonts w:ascii="宋体" w:hAnsi="宋体" w:cs="宋体"/>
          <w:color w:val="auto"/>
          <w:kern w:val="0"/>
          <w:sz w:val="24"/>
          <w:highlight w:val="none"/>
        </w:rPr>
      </w:pPr>
      <w:r>
        <w:rPr>
          <w:rFonts w:hint="eastAsia" w:ascii="宋体" w:hAnsi="宋体" w:cs="宋体"/>
          <w:b/>
          <w:bCs/>
          <w:color w:val="auto"/>
          <w:kern w:val="0"/>
          <w:sz w:val="24"/>
          <w:highlight w:val="none"/>
          <w:u w:val="single"/>
        </w:rPr>
        <w:t>（2）其他：按通用条款</w:t>
      </w:r>
    </w:p>
    <w:p>
      <w:pPr>
        <w:widowControl/>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风险费用的计算方法：</w:t>
      </w:r>
      <w:r>
        <w:rPr>
          <w:rFonts w:hint="eastAsia" w:ascii="宋体" w:hAnsi="宋体" w:cs="宋体"/>
          <w:b/>
          <w:bCs/>
          <w:color w:val="auto"/>
          <w:kern w:val="0"/>
          <w:sz w:val="24"/>
          <w:highlight w:val="none"/>
          <w:u w:val="single"/>
        </w:rPr>
        <w:t>风险因素范围内的风险费用不在合同价外另行计列及调整。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风险范围以外合同价格的调整方法：</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（1）市场价格波动引起的调整按本合同11.1约定计算。</w:t>
      </w:r>
    </w:p>
    <w:p>
      <w:pPr>
        <w:spacing w:line="360" w:lineRule="auto"/>
        <w:ind w:firstLine="482" w:firstLineChars="200"/>
        <w:rPr>
          <w:rFonts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 xml:space="preserve">（2）其他：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2、总价合同。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总价包含的风险范围：</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风险费用的计算方法：</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风险范围以外合同价格的调整方法：</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3、其他价格方式：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 预付款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12.2.1 预付款的支付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预付款支付比例或金额：</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 合同总价的40%</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预付款支付期限：</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合同生效以及具备实施条件后 5个工作日内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预付款扣回的方式：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12.2.2 预付款担保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承包人提交预付款担保的期限：</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预付款担保的形式为：</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12.3计量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12.3.1计量原则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工程量计算规则：</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（1）</w:t>
      </w:r>
      <w:r>
        <w:rPr>
          <w:rFonts w:hint="eastAsia" w:ascii="宋体" w:hAnsi="宋体" w:cs="宋体"/>
          <w:b/>
          <w:bCs/>
          <w:color w:val="auto"/>
          <w:sz w:val="24"/>
          <w:highlight w:val="none"/>
          <w:u w:val="single"/>
        </w:rPr>
        <w:t xml:space="preserve"> 实行工程量清单计价的工程项目，其工程量的计算规则应按国家标准工程量计算规范及省级行业主管部门颁布的补充规定执行。</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（2）</w:t>
      </w:r>
      <w:r>
        <w:rPr>
          <w:rFonts w:hint="eastAsia" w:ascii="宋体" w:hAnsi="宋体" w:cs="宋体"/>
          <w:b/>
          <w:bCs/>
          <w:color w:val="auto"/>
          <w:sz w:val="24"/>
          <w:highlight w:val="none"/>
          <w:u w:val="single"/>
        </w:rPr>
        <w:t>不实行工程量清单计价的工程项目，工程量的计算规则应按省、市行业主管部门颁布的各专业工程定额的工程量计算规则执行。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12.3.2计量周期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关于计量周期的约定：</w:t>
      </w:r>
      <w:r>
        <w:rPr>
          <w:rFonts w:hint="eastAsia" w:ascii="宋体" w:hAnsi="宋体" w:cs="宋体"/>
          <w:b/>
          <w:bCs/>
          <w:color w:val="auto"/>
          <w:sz w:val="24"/>
          <w:highlight w:val="none"/>
          <w:u w:val="single"/>
        </w:rPr>
        <w:t>每月25日前提交已完工程量报告</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12.3.3单价合同的计量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关于单价合同计量的约定：</w:t>
      </w:r>
      <w:r>
        <w:rPr>
          <w:rFonts w:hint="eastAsia" w:ascii="宋体" w:hAnsi="宋体" w:cs="宋体"/>
          <w:b/>
          <w:bCs/>
          <w:color w:val="auto"/>
          <w:sz w:val="24"/>
          <w:highlight w:val="none"/>
          <w:u w:val="single"/>
        </w:rPr>
        <w:t xml:space="preserve">按通用条款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12.3.4总价合同的计量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关于总价合同计量的约定：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12.3.5总价合同采用支付分解表计量支付的，是否适用第</w:t>
      </w:r>
      <w:r>
        <w:rPr>
          <w:rFonts w:hint="eastAsia" w:ascii="宋体" w:hAnsi="宋体" w:cs="宋体"/>
          <w:color w:val="auto"/>
          <w:kern w:val="0"/>
          <w:sz w:val="24"/>
          <w:highlight w:val="none"/>
        </w:rPr>
        <w:t xml:space="preserve">12.3.4 </w:t>
      </w:r>
      <w:r>
        <w:rPr>
          <w:rFonts w:hint="eastAsia" w:ascii="宋体" w:hAnsi="宋体" w:cs="宋体"/>
          <w:color w:val="auto"/>
          <w:sz w:val="24"/>
          <w:highlight w:val="none"/>
        </w:rPr>
        <w:t>项</w:t>
      </w:r>
      <w:r>
        <w:rPr>
          <w:rFonts w:hint="eastAsia" w:ascii="宋体" w:hAnsi="宋体" w:cs="宋体"/>
          <w:color w:val="auto"/>
          <w:kern w:val="0"/>
          <w:sz w:val="24"/>
          <w:highlight w:val="none"/>
        </w:rPr>
        <w:t>〔总价合同的计量〕</w:t>
      </w:r>
      <w:r>
        <w:rPr>
          <w:rFonts w:hint="eastAsia" w:ascii="宋体" w:hAnsi="宋体" w:cs="宋体"/>
          <w:color w:val="auto"/>
          <w:sz w:val="24"/>
          <w:highlight w:val="none"/>
        </w:rPr>
        <w:t>约定进行计量：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12.3.6其他价格形式合同的计量</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其他价格形式的计量方式和程序：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12.4工程进度款支付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12.4.1付款周期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关于付款周期的约定：</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（1）合同生效以及具备实施条件后，5个工作日，由发包方向承包人支付合同价的40%并支付到账；</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（2）工程竣工并上交完整的竣工资料、决算资料后，发包人收到承包人提供的同等金额的正规发票后5个工作日内，由发包方向承包人支付至合同价（扣除预留金）的85%并支付到账；</w:t>
      </w:r>
    </w:p>
    <w:p>
      <w:pPr>
        <w:spacing w:line="360" w:lineRule="auto"/>
        <w:ind w:firstLine="482" w:firstLineChars="200"/>
        <w:rPr>
          <w:rFonts w:hint="eastAsia" w:ascii="宋体" w:hAnsi="宋体" w:eastAsia="宋体" w:cs="宋体"/>
          <w:b/>
          <w:bCs/>
          <w:color w:val="auto"/>
          <w:sz w:val="24"/>
          <w:highlight w:val="none"/>
          <w:u w:val="single"/>
          <w:lang w:val="en-US" w:eastAsia="zh-CN"/>
        </w:rPr>
      </w:pPr>
      <w:r>
        <w:rPr>
          <w:rFonts w:hint="eastAsia" w:ascii="宋体" w:hAnsi="宋体" w:cs="宋体"/>
          <w:b/>
          <w:bCs/>
          <w:color w:val="auto"/>
          <w:sz w:val="24"/>
          <w:highlight w:val="none"/>
          <w:u w:val="single"/>
        </w:rPr>
        <w:t>（3）竣工验收合格、经结算审核确认（包括联系单的费用）后，发包人收到承包人提供的同等金额的正规发票后5个工作日内，由发包方向承包人支付至结算总价的100%并支付到账，</w:t>
      </w:r>
      <w:r>
        <w:rPr>
          <w:rFonts w:hint="eastAsia" w:ascii="宋体" w:hAnsi="宋体" w:cs="仿宋_GB2312"/>
          <w:b/>
          <w:bCs/>
          <w:color w:val="auto"/>
          <w:sz w:val="24"/>
          <w:highlight w:val="none"/>
          <w:u w:val="single"/>
          <w:lang w:val="en-US" w:eastAsia="zh-CN"/>
        </w:rPr>
        <w:t>同时乙方另行向甲方缴纳</w:t>
      </w:r>
      <w:r>
        <w:rPr>
          <w:rFonts w:hint="eastAsia" w:ascii="宋体" w:hAnsi="宋体" w:cs="仿宋_GB2312"/>
          <w:b/>
          <w:color w:val="auto"/>
          <w:sz w:val="24"/>
          <w:highlight w:val="none"/>
          <w:u w:val="single"/>
        </w:rPr>
        <w:t>结算审核确认价的1.5%收取质量保证金，以</w:t>
      </w:r>
      <w:r>
        <w:rPr>
          <w:rFonts w:hint="eastAsia" w:ascii="宋体" w:hAnsi="宋体"/>
          <w:b/>
          <w:color w:val="auto"/>
          <w:sz w:val="24"/>
          <w:highlight w:val="none"/>
          <w:u w:val="single"/>
        </w:rPr>
        <w:t>银行转账</w:t>
      </w:r>
      <w:r>
        <w:rPr>
          <w:rFonts w:hint="eastAsia" w:ascii="宋体" w:hAnsi="宋体" w:cs="仿宋_GB2312"/>
          <w:b/>
          <w:color w:val="auto"/>
          <w:sz w:val="24"/>
          <w:highlight w:val="none"/>
          <w:u w:val="single"/>
        </w:rPr>
        <w:t>或保函形式，</w:t>
      </w:r>
      <w:r>
        <w:rPr>
          <w:rFonts w:hint="eastAsia" w:ascii="宋体" w:hAnsi="宋体" w:cs="宋体"/>
          <w:b/>
          <w:bCs/>
          <w:color w:val="auto"/>
          <w:sz w:val="24"/>
          <w:highlight w:val="none"/>
          <w:u w:val="single"/>
        </w:rPr>
        <w:t>质量保证金待保修期满后</w:t>
      </w:r>
      <w:r>
        <w:rPr>
          <w:rFonts w:hint="eastAsia" w:ascii="宋体" w:hAnsi="宋体" w:cs="宋体"/>
          <w:b/>
          <w:bCs/>
          <w:color w:val="auto"/>
          <w:sz w:val="24"/>
          <w:highlight w:val="none"/>
          <w:u w:val="single"/>
          <w:lang w:val="en-US" w:eastAsia="zh-CN"/>
        </w:rPr>
        <w:t>退还</w:t>
      </w:r>
      <w:r>
        <w:rPr>
          <w:rFonts w:hint="eastAsia" w:ascii="宋体" w:hAnsi="宋体" w:cs="宋体"/>
          <w:b/>
          <w:bCs/>
          <w:color w:val="auto"/>
          <w:sz w:val="24"/>
          <w:highlight w:val="none"/>
          <w:u w:val="single"/>
        </w:rPr>
        <w:t>（无息）</w:t>
      </w:r>
      <w:r>
        <w:rPr>
          <w:rStyle w:val="81"/>
          <w:rFonts w:hint="eastAsia"/>
          <w:color w:val="auto"/>
          <w:highlight w:val="none"/>
          <w:lang w:val="en-US" w:eastAsia="zh-CN"/>
        </w:rPr>
        <w:t>；</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（4）工程承包人收取工程款时应开具符合税务部门要求的正式的建筑安装工程发票, 发包人凭票付款，承包人未提交发票的，发包人有权拒绝付款；</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（5）承包人清楚本工程为政府工程，如因支付审批流程致使付款延迟的，不视为发包人违约。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12.4.2进度付款申请单的编制</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关于进度付款申请单编制的约定：</w:t>
      </w:r>
      <w:r>
        <w:rPr>
          <w:rFonts w:hint="eastAsia" w:ascii="宋体" w:hAnsi="宋体" w:cs="宋体"/>
          <w:b/>
          <w:bCs/>
          <w:color w:val="auto"/>
          <w:sz w:val="24"/>
          <w:highlight w:val="none"/>
          <w:u w:val="single"/>
        </w:rPr>
        <w:t>不考虑因变更、索赔、合同约定应增加的金额。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12.4.3进度付款申请单的提交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（1）单价合同进度付款申请单提交的约定：</w:t>
      </w:r>
      <w:r>
        <w:rPr>
          <w:rFonts w:hint="eastAsia" w:ascii="宋体" w:hAnsi="宋体" w:cs="宋体"/>
          <w:b/>
          <w:bCs/>
          <w:color w:val="auto"/>
          <w:sz w:val="24"/>
          <w:highlight w:val="none"/>
          <w:u w:val="single"/>
        </w:rPr>
        <w:t>按通用条款。</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（2）总价合同进度付款申请单提交的约定：</w:t>
      </w:r>
      <w:r>
        <w:rPr>
          <w:rFonts w:hint="eastAsia" w:ascii="宋体" w:hAnsi="宋体" w:cs="宋体"/>
          <w:color w:val="auto"/>
          <w:sz w:val="24"/>
          <w:highlight w:val="none"/>
          <w:u w:val="single"/>
        </w:rPr>
        <w:t xml:space="preserve">      /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（3）其他价格形式合同进度付款申请单提交的约定：</w:t>
      </w:r>
      <w:r>
        <w:rPr>
          <w:rFonts w:hint="eastAsia" w:ascii="宋体" w:hAnsi="宋体" w:cs="宋体"/>
          <w:color w:val="auto"/>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12.4.4进度款审核和支付</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（1）监理人审查并报送发包人的期限：</w:t>
      </w:r>
      <w:r>
        <w:rPr>
          <w:rFonts w:hint="eastAsia" w:ascii="宋体" w:hAnsi="宋体" w:cs="宋体"/>
          <w:b/>
          <w:bCs/>
          <w:color w:val="auto"/>
          <w:sz w:val="24"/>
          <w:highlight w:val="none"/>
          <w:u w:val="single"/>
        </w:rPr>
        <w:t xml:space="preserve">按通用条款。 </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发包人完成审批并签发进度款支付证书的期限：</w:t>
      </w:r>
      <w:r>
        <w:rPr>
          <w:rFonts w:hint="eastAsia" w:ascii="宋体" w:hAnsi="宋体" w:cs="宋体"/>
          <w:b/>
          <w:bCs/>
          <w:color w:val="auto"/>
          <w:sz w:val="24"/>
          <w:highlight w:val="none"/>
          <w:u w:val="single"/>
        </w:rPr>
        <w:t>按通用条款。</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（2）发包人支付进度款的期限：</w:t>
      </w:r>
      <w:r>
        <w:rPr>
          <w:rFonts w:hint="eastAsia" w:ascii="宋体" w:hAnsi="宋体" w:cs="宋体"/>
          <w:b/>
          <w:bCs/>
          <w:color w:val="auto"/>
          <w:sz w:val="24"/>
          <w:highlight w:val="none"/>
          <w:u w:val="single"/>
        </w:rPr>
        <w:t xml:space="preserve">按通用条款。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发包人逾期支付进度款的违约金的计算方式：</w:t>
      </w:r>
      <w:r>
        <w:rPr>
          <w:rFonts w:hint="eastAsia" w:ascii="宋体" w:hAnsi="宋体" w:cs="宋体"/>
          <w:color w:val="auto"/>
          <w:sz w:val="24"/>
          <w:highlight w:val="none"/>
          <w:u w:val="singl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12.4.6支付分解表的编制</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2、总价合同支付分解表的编制与审批：</w:t>
      </w:r>
      <w:r>
        <w:rPr>
          <w:rFonts w:hint="eastAsia" w:ascii="宋体" w:hAnsi="宋体" w:cs="宋体"/>
          <w:color w:val="auto"/>
          <w:sz w:val="24"/>
          <w:highlight w:val="none"/>
          <w:u w:val="single"/>
        </w:rPr>
        <w:t xml:space="preserve">        /          </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3、单价合同的总价项目支付分解表的编制与审批：</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xml:space="preserve">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13、验收和工程试车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13.1分部分项工程验收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13.1.2监理人不能按时进行验收时，应提前</w:t>
      </w:r>
      <w:r>
        <w:rPr>
          <w:rFonts w:hint="eastAsia" w:ascii="宋体" w:hAnsi="宋体" w:cs="宋体"/>
          <w:color w:val="auto"/>
          <w:sz w:val="24"/>
          <w:highlight w:val="none"/>
          <w:u w:val="single"/>
        </w:rPr>
        <w:t>24</w:t>
      </w:r>
      <w:r>
        <w:rPr>
          <w:rFonts w:hint="eastAsia" w:ascii="宋体" w:hAnsi="宋体" w:cs="宋体"/>
          <w:color w:val="auto"/>
          <w:sz w:val="24"/>
          <w:highlight w:val="none"/>
        </w:rPr>
        <w:t>小时提交书面延期要求。</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关于延期最长不得超过：</w:t>
      </w:r>
      <w:r>
        <w:rPr>
          <w:rFonts w:hint="eastAsia" w:ascii="宋体" w:hAnsi="宋体" w:cs="宋体"/>
          <w:color w:val="auto"/>
          <w:sz w:val="24"/>
          <w:highlight w:val="none"/>
          <w:u w:val="single"/>
        </w:rPr>
        <w:t xml:space="preserve">48 </w:t>
      </w:r>
      <w:r>
        <w:rPr>
          <w:rFonts w:hint="eastAsia" w:ascii="宋体" w:hAnsi="宋体" w:cs="宋体"/>
          <w:color w:val="auto"/>
          <w:sz w:val="24"/>
          <w:highlight w:val="none"/>
        </w:rPr>
        <w:t>小时。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13.2竣工验收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13.2.2竣工验收程序</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关于竣工验收程序的约定：</w:t>
      </w:r>
      <w:r>
        <w:rPr>
          <w:rFonts w:hint="eastAsia" w:ascii="宋体" w:hAnsi="宋体" w:cs="宋体"/>
          <w:b/>
          <w:bCs/>
          <w:color w:val="auto"/>
          <w:sz w:val="24"/>
          <w:highlight w:val="none"/>
          <w:u w:val="single"/>
        </w:rPr>
        <w:t xml:space="preserve">按通用条款执行。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发包人不按照本项约定组织竣工验收、颁发工程接收证书的违约金的计算方法：</w:t>
      </w:r>
      <w:r>
        <w:rPr>
          <w:rFonts w:hint="eastAsia" w:ascii="宋体" w:hAnsi="宋体" w:cs="宋体"/>
          <w:color w:val="auto"/>
          <w:kern w:val="0"/>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13.2.5移交、接收全部与部分工程</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承包人向发包人移交工程的期限：</w:t>
      </w:r>
      <w:r>
        <w:rPr>
          <w:rFonts w:hint="eastAsia" w:ascii="宋体" w:hAnsi="宋体" w:cs="宋体"/>
          <w:b/>
          <w:bCs/>
          <w:color w:val="auto"/>
          <w:sz w:val="24"/>
          <w:highlight w:val="none"/>
          <w:u w:val="single"/>
        </w:rPr>
        <w:t xml:space="preserve">按通用条款执行。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发包人未按本合同约定接收全部或部分工程的，违约金的计算方法为：</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承包人未按时移交工程的，违约金的计算方法为：</w:t>
      </w:r>
      <w:r>
        <w:rPr>
          <w:rFonts w:hint="eastAsia" w:ascii="宋体" w:hAnsi="宋体" w:cs="宋体"/>
          <w:b/>
          <w:bCs/>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13.3工程试车</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13.3.1试车程序</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kern w:val="0"/>
          <w:sz w:val="24"/>
          <w:highlight w:val="none"/>
        </w:rPr>
        <w:t>工程试车内容：</w:t>
      </w:r>
      <w:r>
        <w:rPr>
          <w:rFonts w:hint="eastAsia" w:ascii="宋体" w:hAnsi="宋体" w:cs="宋体"/>
          <w:b/>
          <w:bCs/>
          <w:color w:val="auto"/>
          <w:sz w:val="24"/>
          <w:highlight w:val="none"/>
          <w:u w:val="single"/>
        </w:rPr>
        <w:t xml:space="preserve">所有试车费用承包人已在合同价中包干。 </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（1）单机无负荷试车费用由</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承担；</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（2）无负荷联动试车费用由</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承担。</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13.3.3投料试车</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关于投料试车相关事项的约定：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13.6竣工退场</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13.6.1竣工退场</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kern w:val="0"/>
          <w:sz w:val="24"/>
          <w:highlight w:val="none"/>
        </w:rPr>
        <w:t>承包人完成竣工退场的期限：</w:t>
      </w:r>
      <w:r>
        <w:rPr>
          <w:rFonts w:hint="eastAsia" w:ascii="宋体" w:hAnsi="宋体" w:cs="宋体"/>
          <w:b/>
          <w:bCs/>
          <w:color w:val="auto"/>
          <w:sz w:val="24"/>
          <w:highlight w:val="none"/>
          <w:u w:val="single"/>
        </w:rPr>
        <w:t xml:space="preserve">10天内。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14、竣工结算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14.1竣工付款申请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承包人提交竣工付款申请单的期限：</w:t>
      </w:r>
      <w:r>
        <w:rPr>
          <w:rFonts w:hint="eastAsia" w:ascii="宋体" w:hAnsi="宋体" w:cs="宋体"/>
          <w:b/>
          <w:bCs/>
          <w:color w:val="auto"/>
          <w:sz w:val="24"/>
          <w:highlight w:val="none"/>
          <w:u w:val="single"/>
        </w:rPr>
        <w:t>工程竣工验收报告经发包人认可后的28天内。</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竣工付款申请单应包括的内容：</w:t>
      </w:r>
      <w:r>
        <w:rPr>
          <w:rFonts w:hint="eastAsia" w:ascii="宋体" w:hAnsi="宋体" w:cs="宋体"/>
          <w:b/>
          <w:bCs/>
          <w:color w:val="auto"/>
          <w:sz w:val="24"/>
          <w:highlight w:val="none"/>
          <w:u w:val="single"/>
        </w:rPr>
        <w:t>完整的竣工结算书及相关资料。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14.2竣工结算审核</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rPr>
        <w:t>14.2.1发包人审批竣工付款申请单的期限：</w:t>
      </w:r>
      <w:r>
        <w:rPr>
          <w:rFonts w:hint="eastAsia" w:ascii="宋体" w:hAnsi="宋体" w:cs="宋体"/>
          <w:b/>
          <w:bCs/>
          <w:color w:val="auto"/>
          <w:sz w:val="24"/>
          <w:highlight w:val="none"/>
          <w:u w:val="single"/>
        </w:rPr>
        <w:t>竣工结算书文件核对期限是（承包人未按照前述14.1中约定的时限内递交完整的竣工结算书文件及相关资料的，以下关于核对期限的约定将不对发包人产生效力）：</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（1）工程造价500万元以下的单项工程，从收到完整的竣工结算书之日起（20）工作日；</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（2）工程造价500-2000万元的单项工程，从收到完整的竣工结算书之日起（30）工作日；</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（3）工程造价2000-5000万元的单项工程，从收到完整的竣工结算书之日起（45）工作日；</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（4）工程造价5000万元以上的单项工程，从收到完整的竣工结算书之日起（60）工作日。</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发包人完成竣工付款的期限：</w:t>
      </w:r>
      <w:r>
        <w:rPr>
          <w:rFonts w:hint="eastAsia" w:ascii="宋体" w:hAnsi="宋体" w:cs="宋体"/>
          <w:b/>
          <w:color w:val="auto"/>
          <w:sz w:val="24"/>
          <w:highlight w:val="none"/>
          <w:u w:val="single"/>
        </w:rPr>
        <w:t>发包人在收到第三方审计单位出具的竣工结算审计结果文件后1个月内办理工程款结算审批会签。</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关于竣工付款证书异议部分复核的方式和程序：</w:t>
      </w:r>
      <w:r>
        <w:rPr>
          <w:rFonts w:hint="eastAsia" w:ascii="宋体" w:hAnsi="宋体" w:cs="宋体"/>
          <w:b/>
          <w:bCs/>
          <w:color w:val="auto"/>
          <w:sz w:val="24"/>
          <w:highlight w:val="none"/>
          <w:u w:val="single"/>
        </w:rPr>
        <w:t>1、发包人应在竣工结算书文件核对期限内核对。经核对需要承包人进一步补充资料和修改结算文件的，应在竣工结算书文件核对期限内一次性向承包人提出核对意见。发包人在竣工结算书文件核对期限内，不核对竣工结算或未提出核对意见的，视为承包人递交的竣工结算书已经发包人认可，发包人应据此向承包人支付工程结算价款。</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2、承包人在接到发包人提出的核对意见后，在20日内按发包人提出的合理要求补充资料、修改竣工结算文件，并再次提交发包人复核后批准。承包人在20日内不确认也未提出异议的，视为发包人提出的核对意见已经认可。</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3、发包人收到承包人再次提交的补充资料和修改的竣工结算文件后，在（20）日内予以复核，修正核对意见，并通知承包人。</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4、发、承包人均对修正核对意见无异议的，应于7日内在竣工结算核对意见上签字确认。</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14.2.2承包人在工程结算中应加强管理，本工程结算审核时，若工程结算审核核减率超过5％，承包人应承担核减额超过送审造价5%部分的核减追加费，核减追加费审查费以核减额超过送审造价5%部分为基数，按5%计算。</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14.2.3 承包人必须保证施工过程所提出的签证内容是合法的、真实的，并不由于发包人和监理工程师的确认而免除承包人的责任。</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14.2.4承包人未按14.1约定时间提交完整的竣工结算书及相关资料的，违约金的计算方法为：</w:t>
      </w:r>
      <w:r>
        <w:rPr>
          <w:rFonts w:hint="eastAsia" w:ascii="宋体" w:hAnsi="宋体" w:cs="宋体"/>
          <w:b/>
          <w:bCs/>
          <w:color w:val="auto"/>
          <w:sz w:val="24"/>
          <w:highlight w:val="none"/>
          <w:u w:val="single"/>
        </w:rPr>
        <w:t>每延误一天扣罚合同总价千分之五，直至扣完合同总价剩余款项为止</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14.4最终结清</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14.4.1最终结清申请单</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承包人提交最终结清申请单的份数：</w:t>
      </w:r>
      <w:r>
        <w:rPr>
          <w:rFonts w:hint="eastAsia" w:ascii="宋体" w:hAnsi="宋体" w:cs="宋体"/>
          <w:b/>
          <w:bCs/>
          <w:color w:val="auto"/>
          <w:sz w:val="24"/>
          <w:highlight w:val="none"/>
          <w:u w:val="single"/>
        </w:rPr>
        <w:t xml:space="preserve">  两份 </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承包人提交最终结算申请单的期限：</w:t>
      </w:r>
      <w:r>
        <w:rPr>
          <w:rFonts w:hint="eastAsia" w:ascii="宋体" w:hAnsi="宋体" w:cs="宋体"/>
          <w:b/>
          <w:bCs/>
          <w:color w:val="auto"/>
          <w:sz w:val="24"/>
          <w:highlight w:val="none"/>
          <w:u w:val="single"/>
        </w:rPr>
        <w:t xml:space="preserve">保修期满后7天内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14.4.2 最终结清证书和支付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（1）发包人完成最终结清申请单的审批并颁发最终结清证书的期限：</w:t>
      </w:r>
      <w:r>
        <w:rPr>
          <w:rFonts w:hint="eastAsia" w:ascii="宋体" w:hAnsi="宋体" w:cs="宋体"/>
          <w:b/>
          <w:bCs/>
          <w:color w:val="auto"/>
          <w:sz w:val="24"/>
          <w:highlight w:val="none"/>
          <w:u w:val="single"/>
        </w:rPr>
        <w:t>收到最终结清申请单后30天内。</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（2）发包人完成支付的期限：</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15、缺陷责任期与保修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15.2缺陷责任期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缺陷责任期的具体期限：工程缺陷责任期为24个月，以竣工验收合格后正式移交招标人之日起计算，至质保期满为止。如工程质量不能满足竣工验收要求的，整改期间施工单位必须继续免费质保至竣工验收合格为止。属于保修范围、内容的项目，施工单位收到保修通知并到达工程现场的合理时间为24小时内。对于涉及结构安全的质量问题，应当按照《建设工程质量管理条例》的规定，立即向当地建设行政主管部门和有关部门报告，采取安全防范措施，由原设计单位或具有相当资质等级的设计单位提出保修方案，施工单位组织验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15.3质量保证金</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关于是否扣留质量保证金的约定：</w:t>
      </w:r>
      <w:r>
        <w:rPr>
          <w:rFonts w:hint="eastAsia" w:ascii="宋体" w:hAnsi="宋体" w:cs="宋体"/>
          <w:b/>
          <w:bCs/>
          <w:color w:val="auto"/>
          <w:sz w:val="24"/>
          <w:highlight w:val="none"/>
          <w:u w:val="single"/>
        </w:rPr>
        <w:t>否</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u w:val="single"/>
        </w:rPr>
        <w:t xml:space="preserve">15.3.1 </w:t>
      </w:r>
      <w:r>
        <w:rPr>
          <w:rFonts w:hint="eastAsia" w:ascii="宋体" w:hAnsi="宋体" w:cs="宋体"/>
          <w:color w:val="auto"/>
          <w:sz w:val="24"/>
          <w:highlight w:val="none"/>
        </w:rPr>
        <w:t>质量保证金采用以下第</w:t>
      </w:r>
      <w:r>
        <w:rPr>
          <w:rFonts w:hint="eastAsia" w:ascii="宋体" w:hAnsi="宋体" w:cs="宋体"/>
          <w:b/>
          <w:bCs/>
          <w:color w:val="auto"/>
          <w:sz w:val="24"/>
          <w:highlight w:val="none"/>
          <w:u w:val="single"/>
        </w:rPr>
        <w:t xml:space="preserve"> </w:t>
      </w:r>
      <w:r>
        <w:rPr>
          <w:rFonts w:hint="eastAsia" w:ascii="宋体" w:hAnsi="宋体" w:cs="宋体"/>
          <w:b/>
          <w:bCs/>
          <w:color w:val="auto"/>
          <w:kern w:val="0"/>
          <w:sz w:val="24"/>
          <w:highlight w:val="none"/>
          <w:u w:val="single"/>
        </w:rPr>
        <w:t>/</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种方式：</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（1）质量保证金保函，保证金额为：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w:t>
      </w:r>
    </w:p>
    <w:p>
      <w:pPr>
        <w:autoSpaceDE w:val="0"/>
        <w:autoSpaceDN w:val="0"/>
        <w:spacing w:line="360" w:lineRule="auto"/>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（2）</w:t>
      </w:r>
      <w:r>
        <w:rPr>
          <w:rFonts w:hint="eastAsia" w:ascii="宋体" w:hAnsi="宋体" w:cs="宋体"/>
          <w:b/>
          <w:bCs/>
          <w:color w:val="auto"/>
          <w:sz w:val="24"/>
          <w:highlight w:val="none"/>
          <w:u w:val="single"/>
        </w:rPr>
        <w:t>/</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（3）其他方式:</w:t>
      </w:r>
      <w:r>
        <w:rPr>
          <w:rFonts w:hint="eastAsia" w:ascii="宋体" w:hAnsi="宋体" w:cs="宋体"/>
          <w:color w:val="auto"/>
          <w:kern w:val="0"/>
          <w:sz w:val="24"/>
          <w:highlight w:val="none"/>
          <w:u w:val="single"/>
        </w:rPr>
        <w:t xml:space="preserve">  /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15.3.2 质量保证金的扣留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质量保证金的扣留采取以下第</w:t>
      </w:r>
      <w:r>
        <w:rPr>
          <w:rFonts w:hint="eastAsia" w:ascii="宋体" w:hAnsi="宋体" w:cs="宋体"/>
          <w:color w:val="auto"/>
          <w:sz w:val="24"/>
          <w:highlight w:val="none"/>
          <w:u w:val="single"/>
        </w:rPr>
        <w:t>/</w:t>
      </w:r>
      <w:r>
        <w:rPr>
          <w:rFonts w:hint="eastAsia" w:ascii="宋体" w:hAnsi="宋体" w:cs="宋体"/>
          <w:color w:val="auto"/>
          <w:sz w:val="24"/>
          <w:highlight w:val="none"/>
        </w:rPr>
        <w:t>种方式：</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（1）在支付工程进度款时逐次扣留，在此情形下，质量保证金的计算基数不包括预付款的支付、扣回以及价格调整的金额；</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（2）工程竣工结算时一次性扣留质量保证金；</w:t>
      </w:r>
    </w:p>
    <w:p>
      <w:pPr>
        <w:autoSpaceDE w:val="0"/>
        <w:autoSpaceDN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（3）其他扣留方式：</w:t>
      </w:r>
      <w:r>
        <w:rPr>
          <w:rFonts w:hint="eastAsia" w:ascii="宋体" w:hAnsi="宋体" w:cs="宋体"/>
          <w:color w:val="auto"/>
          <w:kern w:val="0"/>
          <w:sz w:val="24"/>
          <w:highlight w:val="none"/>
          <w:u w:val="single"/>
        </w:rPr>
        <w:t>/。</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sz w:val="24"/>
          <w:highlight w:val="none"/>
        </w:rPr>
        <w:t>关于质量保证金的补充约定：</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15.4保修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15.4.1保修责任</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sz w:val="24"/>
          <w:highlight w:val="none"/>
        </w:rPr>
        <w:t>工程保修期为：</w:t>
      </w:r>
      <w:r>
        <w:rPr>
          <w:rFonts w:hint="eastAsia" w:ascii="宋体" w:hAnsi="宋体" w:cs="宋体"/>
          <w:b/>
          <w:bCs/>
          <w:color w:val="auto"/>
          <w:kern w:val="0"/>
          <w:sz w:val="24"/>
          <w:highlight w:val="none"/>
          <w:u w:val="single"/>
        </w:rPr>
        <w:t xml:space="preserve">  详见《工程质量保修书》</w:t>
      </w:r>
      <w:r>
        <w:rPr>
          <w:rFonts w:hint="eastAsia" w:ascii="宋体" w:hAnsi="宋体" w:cs="宋体"/>
          <w:color w:val="auto"/>
          <w:kern w:val="0"/>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15.4.3修复通知</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kern w:val="0"/>
          <w:sz w:val="24"/>
          <w:highlight w:val="none"/>
        </w:rPr>
        <w:t>承包人收到保修通知并到达工程现场的合理时间：</w:t>
      </w:r>
      <w:r>
        <w:rPr>
          <w:rFonts w:hint="eastAsia" w:ascii="宋体" w:hAnsi="宋体" w:cs="宋体"/>
          <w:b/>
          <w:bCs/>
          <w:color w:val="auto"/>
          <w:kern w:val="0"/>
          <w:sz w:val="24"/>
          <w:highlight w:val="none"/>
          <w:u w:val="single"/>
        </w:rPr>
        <w:t xml:space="preserve"> 24小时内</w:t>
      </w:r>
      <w:r>
        <w:rPr>
          <w:rFonts w:hint="eastAsia" w:ascii="宋体" w:hAnsi="宋体" w:cs="宋体"/>
          <w:color w:val="auto"/>
          <w:kern w:val="0"/>
          <w:sz w:val="24"/>
          <w:highlight w:val="none"/>
          <w:u w:val="singl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16、违约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16.1发包人违约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16.1.1发包人违约的情形</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发包人违约的其他情形：</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    16.1.2 发包人违约的责任</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发包人违约责任的承担方式和计算方法：</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（1）因发包人原因未能在计划开工日期前7天内下达开工通知的违约责任：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（2）因发包人原因未能按合同约定支付合同价款的违约责任：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（3）发包人违反第10.1款〔变更的范围〕第（2）项约定，自行实施被取消的工作或转由他人实施的违约责任：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（5）因发包人违反合同约定造成暂停施工的违约责任：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（6）发包人无正当理由没有在约定期限内发出复工指示，导致承包人无法复工的违约责任：</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（7）其他：</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16.1.3 因发包人违约解除合同</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承包人按16.1.1项〔发包人违约的情形〕约定暂停施工满</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天后发包人仍不纠正其违约行为并致使合同目的不能实现的，承包人有权解除合同。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 承包人违约</w:t>
      </w:r>
    </w:p>
    <w:p>
      <w:pPr>
        <w:spacing w:line="360" w:lineRule="auto"/>
        <w:ind w:firstLine="480" w:firstLineChars="200"/>
        <w:rPr>
          <w:rFonts w:ascii="宋体" w:hAnsi="宋体" w:cs="宋体"/>
          <w:strike/>
          <w:color w:val="auto"/>
          <w:kern w:val="0"/>
          <w:sz w:val="24"/>
          <w:highlight w:val="none"/>
        </w:rPr>
      </w:pPr>
      <w:r>
        <w:rPr>
          <w:rFonts w:hint="eastAsia" w:ascii="宋体" w:hAnsi="宋体" w:cs="宋体"/>
          <w:color w:val="auto"/>
          <w:kern w:val="0"/>
          <w:sz w:val="24"/>
          <w:highlight w:val="none"/>
        </w:rPr>
        <w:t xml:space="preserve">16.2.1 承包人违约的情形 </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承包人违约的其他情形：</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16.2.2承包人违约的责任</w:t>
      </w:r>
    </w:p>
    <w:p>
      <w:pPr>
        <w:spacing w:line="360" w:lineRule="auto"/>
        <w:ind w:firstLine="480" w:firstLineChars="200"/>
        <w:rPr>
          <w:rFonts w:ascii="宋体" w:hAnsi="宋体" w:cs="宋体"/>
          <w:b/>
          <w:bCs/>
          <w:color w:val="auto"/>
          <w:sz w:val="24"/>
          <w:highlight w:val="none"/>
          <w:u w:val="single"/>
        </w:rPr>
      </w:pPr>
      <w:r>
        <w:rPr>
          <w:rFonts w:hint="eastAsia" w:ascii="宋体" w:hAnsi="宋体" w:cs="宋体"/>
          <w:color w:val="auto"/>
          <w:kern w:val="0"/>
          <w:sz w:val="24"/>
          <w:highlight w:val="none"/>
        </w:rPr>
        <w:t>承包人违约责任的承担方式和计算方法：</w:t>
      </w:r>
      <w:r>
        <w:rPr>
          <w:rFonts w:hint="eastAsia" w:ascii="宋体" w:hAnsi="宋体" w:cs="宋体"/>
          <w:b/>
          <w:bCs/>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16.2.3 因承包人违约解除合同</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关于承包人违约解除合同的特别约定：</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发包人继续使用承包人在施工现场的材料、设备、临时工程、承包人文件和由承包人或以其名义编制的其他文件的费用承担方式：</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17、不可抗力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17.1不可抗力的确认</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sz w:val="24"/>
          <w:highlight w:val="none"/>
        </w:rPr>
        <w:t>除通用合同条款约定的不可抗力事件之外，视为不可抗力的其他情形：</w:t>
      </w:r>
      <w:r>
        <w:rPr>
          <w:rFonts w:hint="eastAsia" w:ascii="宋体" w:hAnsi="宋体" w:cs="宋体"/>
          <w:b/>
          <w:bCs/>
          <w:color w:val="auto"/>
          <w:sz w:val="24"/>
          <w:highlight w:val="none"/>
          <w:u w:val="single"/>
        </w:rPr>
        <w:t>不可抗力是指本合同生效后，发生不能预见并且对其发生和后果不能防止或避免的事件，且属地政府确认的灾害性事件，如地震(六级及六级以上)、台风(持续半小时10级及10级以上)、水灾(50年一遇及50年一遇以上)、非承包人引起的火灾（损失100万元及损失100万元以上）、战争等，致使直接影响本合同的履行或不能按约定的条件履行</w:t>
      </w:r>
      <w:r>
        <w:rPr>
          <w:rFonts w:hint="eastAsia" w:ascii="宋体" w:hAnsi="宋体" w:cs="宋体"/>
          <w:b/>
          <w:bCs/>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17.4因不可抗力解除合同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合同解除后，发包人应在商定或确定发包人应支付款项后</w:t>
      </w:r>
      <w:r>
        <w:rPr>
          <w:rFonts w:hint="eastAsia" w:ascii="宋体" w:hAnsi="宋体" w:cs="宋体"/>
          <w:color w:val="auto"/>
          <w:sz w:val="24"/>
          <w:highlight w:val="none"/>
          <w:u w:val="single"/>
        </w:rPr>
        <w:t>28</w:t>
      </w:r>
      <w:r>
        <w:rPr>
          <w:rFonts w:hint="eastAsia" w:ascii="宋体" w:hAnsi="宋体" w:cs="宋体"/>
          <w:color w:val="auto"/>
          <w:sz w:val="24"/>
          <w:highlight w:val="none"/>
        </w:rPr>
        <w:t xml:space="preserve">天内完成款项的支付。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18、保险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18.1工程保险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关于工程保险的特别约定：</w:t>
      </w:r>
      <w:r>
        <w:rPr>
          <w:rFonts w:hint="eastAsia" w:ascii="宋体" w:hAnsi="宋体" w:cs="宋体"/>
          <w:b/>
          <w:bCs/>
          <w:color w:val="auto"/>
          <w:kern w:val="0"/>
          <w:sz w:val="24"/>
          <w:highlight w:val="none"/>
          <w:u w:val="single"/>
        </w:rPr>
        <w:t>承包人应按国家、浙江省、杭州市有关规定办理相关保险并自行支付保费（主要包括：施工场地内自有人员办理意外伤害保险、施工机械设备办理保险等），其中涉及发包人保险利益的，应将发包人列为被保险人。发生事故，除保险公司理赔外，发包人不承担任何费用</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18.3其他保险</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关于其他保险的约定：</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承包人是否应为其施工设备等办理财产保险：</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18.7通知义务</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kern w:val="0"/>
          <w:sz w:val="24"/>
          <w:highlight w:val="none"/>
        </w:rPr>
        <w:t>关于变更保险合同时的通知义务的约定：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20、争议解决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20.3争议评审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合同当事人是否同意将工程争议提交争议评审小组决定：</w:t>
      </w:r>
      <w:r>
        <w:rPr>
          <w:rFonts w:hint="eastAsia" w:ascii="宋体" w:hAnsi="宋体" w:cs="宋体"/>
          <w:b/>
          <w:bCs/>
          <w:color w:val="auto"/>
          <w:sz w:val="24"/>
          <w:highlight w:val="none"/>
          <w:u w:val="single"/>
        </w:rPr>
        <w:t>不同意</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20.3.1争议评审小组的确定</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争议评审小组成员的确定：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选定争议评审员的期限：</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争议评审小组成员的报酬承担方式：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其他事项的约定：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autoSpaceDE w:val="0"/>
        <w:autoSpaceDN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20.3.2争议评审小组的决定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合同当事人关于本项的约定：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20.4仲裁或诉讼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因合同及合同有关事项发生的争议，双方当事人一致同意按下列解决方式中第</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 （2）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种方式解决：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提交 / 仲裁委员会申请仲裁</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u w:val="single"/>
        </w:rPr>
        <w:t>依法向 工程所在地 人民法院起诉</w:t>
      </w:r>
      <w:r>
        <w:rPr>
          <w:rFonts w:hint="eastAsia" w:ascii="宋体" w:hAnsi="宋体" w:cs="宋体"/>
          <w:color w:val="auto"/>
          <w:sz w:val="24"/>
          <w:highlight w:val="none"/>
        </w:rPr>
        <w:t>。</w:t>
      </w:r>
    </w:p>
    <w:p>
      <w:pPr>
        <w:spacing w:line="360" w:lineRule="auto"/>
        <w:ind w:firstLine="480" w:firstLineChars="200"/>
        <w:rPr>
          <w:rFonts w:ascii="宋体" w:hAnsi="宋体" w:cs="宋体"/>
          <w:b/>
          <w:color w:val="auto"/>
          <w:sz w:val="24"/>
          <w:highlight w:val="none"/>
          <w:u w:val="single"/>
        </w:rPr>
      </w:pPr>
      <w:r>
        <w:rPr>
          <w:rFonts w:hint="eastAsia" w:ascii="宋体" w:hAnsi="宋体" w:cs="宋体"/>
          <w:color w:val="auto"/>
          <w:sz w:val="24"/>
          <w:highlight w:val="none"/>
        </w:rPr>
        <w:t>21、其他补充事项的约定：</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xml:space="preserve"> 。</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协议书附件：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附件1：承包人承揽工程项目一览表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专用合同条款附件：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附件2：发包人供应材料设备一览表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附件3：工程质量保修书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附件4：主要建设工程文件目录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附件5：承包人用于本工程施工的机械设备表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附件6：承包人主要施工管理人员表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附件7：分包人主要施工管理人员表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附件8：履约担保格式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附件9：预付款担保格式</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附件10：支付担保格式</w:t>
      </w:r>
      <w:r>
        <w:rPr>
          <w:rFonts w:hint="eastAsia" w:ascii="宋体" w:hAnsi="宋体" w:cs="宋体"/>
          <w:b/>
          <w:color w:val="auto"/>
          <w:sz w:val="24"/>
          <w:highlight w:val="none"/>
        </w:rPr>
        <w:t>（财政性投资项目按相关规定执行）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附件11：暂估价一览表</w:t>
      </w:r>
    </w:p>
    <w:p>
      <w:pPr>
        <w:spacing w:line="360" w:lineRule="auto"/>
        <w:jc w:val="left"/>
        <w:rPr>
          <w:rFonts w:hAnsi="宋体"/>
          <w:color w:val="auto"/>
          <w:szCs w:val="21"/>
          <w:highlight w:val="none"/>
        </w:rPr>
      </w:pPr>
    </w:p>
    <w:p>
      <w:pPr>
        <w:spacing w:line="360" w:lineRule="auto"/>
        <w:jc w:val="left"/>
        <w:rPr>
          <w:rFonts w:hAnsi="宋体"/>
          <w:color w:val="auto"/>
          <w:szCs w:val="21"/>
          <w:highlight w:val="none"/>
        </w:rPr>
        <w:sectPr>
          <w:headerReference r:id="rId9" w:type="first"/>
          <w:footerReference r:id="rId12" w:type="first"/>
          <w:headerReference r:id="rId8" w:type="default"/>
          <w:footerReference r:id="rId10" w:type="default"/>
          <w:footerReference r:id="rId11" w:type="even"/>
          <w:pgSz w:w="11906" w:h="16838"/>
          <w:pgMar w:top="1418" w:right="1555" w:bottom="1418" w:left="1531" w:header="851" w:footer="992" w:gutter="0"/>
          <w:cols w:space="720" w:num="1"/>
          <w:titlePg/>
          <w:docGrid w:type="lines" w:linePitch="312" w:charSpace="0"/>
        </w:sectPr>
      </w:pPr>
    </w:p>
    <w:p>
      <w:pPr>
        <w:spacing w:before="156" w:beforeLines="50" w:after="156" w:afterLines="50" w:line="440" w:lineRule="exact"/>
        <w:jc w:val="left"/>
        <w:rPr>
          <w:rFonts w:hAnsi="宋体"/>
          <w:color w:val="auto"/>
          <w:sz w:val="24"/>
          <w:highlight w:val="none"/>
        </w:rPr>
      </w:pPr>
      <w:r>
        <w:rPr>
          <w:rFonts w:hint="eastAsia" w:hAnsi="宋体"/>
          <w:color w:val="auto"/>
          <w:sz w:val="24"/>
          <w:highlight w:val="none"/>
        </w:rPr>
        <w:t>附件1：</w:t>
      </w:r>
    </w:p>
    <w:p>
      <w:pPr>
        <w:spacing w:before="156" w:beforeLines="50" w:after="156" w:afterLines="50" w:line="440" w:lineRule="exact"/>
        <w:jc w:val="center"/>
        <w:rPr>
          <w:rFonts w:hAnsi="宋体"/>
          <w:color w:val="auto"/>
          <w:sz w:val="24"/>
          <w:highlight w:val="none"/>
        </w:rPr>
      </w:pPr>
      <w:r>
        <w:rPr>
          <w:rFonts w:hAnsi="宋体"/>
          <w:color w:val="auto"/>
          <w:sz w:val="24"/>
          <w:highlight w:val="none"/>
        </w:rPr>
        <w:t>承包人承揽工程项目一览表</w:t>
      </w:r>
    </w:p>
    <w:tbl>
      <w:tblPr>
        <w:tblStyle w:val="65"/>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单位工程名称</w:t>
            </w:r>
          </w:p>
        </w:tc>
        <w:tc>
          <w:tcPr>
            <w:tcW w:w="1843"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建设规模</w:t>
            </w:r>
          </w:p>
        </w:tc>
        <w:tc>
          <w:tcPr>
            <w:tcW w:w="1417"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建筑面积(</w:t>
            </w:r>
            <w:r>
              <w:rPr>
                <w:rFonts w:hint="eastAsia" w:hAnsi="宋体" w:cs="Times New Roman"/>
                <w:color w:val="auto"/>
                <w:highlight w:val="none"/>
                <w:lang w:val="en-US"/>
              </w:rPr>
              <w:t>m2</w:t>
            </w:r>
            <w:r>
              <w:rPr>
                <w:rFonts w:hAnsi="宋体" w:cs="Times New Roman"/>
                <w:color w:val="auto"/>
                <w:highlight w:val="none"/>
                <w:lang w:val="en-US"/>
              </w:rPr>
              <w:t>)</w:t>
            </w:r>
          </w:p>
        </w:tc>
        <w:tc>
          <w:tcPr>
            <w:tcW w:w="241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结构</w:t>
            </w:r>
            <w:r>
              <w:rPr>
                <w:rFonts w:hint="eastAsia" w:hAnsi="宋体" w:cs="Times New Roman"/>
                <w:color w:val="auto"/>
                <w:highlight w:val="none"/>
                <w:lang w:val="en-US"/>
              </w:rPr>
              <w:t>形式</w:t>
            </w:r>
          </w:p>
        </w:tc>
        <w:tc>
          <w:tcPr>
            <w:tcW w:w="85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层数</w:t>
            </w:r>
          </w:p>
        </w:tc>
        <w:tc>
          <w:tcPr>
            <w:tcW w:w="156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生产能力</w:t>
            </w:r>
          </w:p>
        </w:tc>
        <w:tc>
          <w:tcPr>
            <w:tcW w:w="2126"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设备安装内容</w:t>
            </w:r>
          </w:p>
        </w:tc>
        <w:tc>
          <w:tcPr>
            <w:tcW w:w="1417"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合同价格（元）</w:t>
            </w:r>
          </w:p>
        </w:tc>
        <w:tc>
          <w:tcPr>
            <w:tcW w:w="85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开工日期</w:t>
            </w:r>
          </w:p>
        </w:tc>
        <w:tc>
          <w:tcPr>
            <w:tcW w:w="85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6"/>
              <w:keepNext/>
              <w:spacing w:line="440" w:lineRule="exact"/>
              <w:ind w:left="63" w:right="63"/>
              <w:rPr>
                <w:rFonts w:hAnsi="宋体" w:cs="Times New Roman"/>
                <w:color w:val="auto"/>
                <w:highlight w:val="none"/>
                <w:lang w:val="en-US"/>
              </w:rPr>
            </w:pPr>
          </w:p>
        </w:tc>
        <w:tc>
          <w:tcPr>
            <w:tcW w:w="1843"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2410"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560" w:type="dxa"/>
            <w:vAlign w:val="center"/>
          </w:tcPr>
          <w:p>
            <w:pPr>
              <w:pStyle w:val="26"/>
              <w:keepNext/>
              <w:spacing w:line="440" w:lineRule="exact"/>
              <w:ind w:left="63" w:right="63"/>
              <w:rPr>
                <w:rFonts w:hAnsi="宋体" w:cs="Times New Roman"/>
                <w:color w:val="auto"/>
                <w:highlight w:val="none"/>
                <w:lang w:val="en-US"/>
              </w:rPr>
            </w:pPr>
          </w:p>
        </w:tc>
        <w:tc>
          <w:tcPr>
            <w:tcW w:w="2126"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6"/>
              <w:keepNext/>
              <w:spacing w:line="440" w:lineRule="exact"/>
              <w:ind w:left="63" w:right="63"/>
              <w:rPr>
                <w:rFonts w:hAnsi="宋体" w:cs="Times New Roman"/>
                <w:color w:val="auto"/>
                <w:highlight w:val="none"/>
                <w:lang w:val="en-US"/>
              </w:rPr>
            </w:pPr>
          </w:p>
        </w:tc>
        <w:tc>
          <w:tcPr>
            <w:tcW w:w="1843"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2410"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560" w:type="dxa"/>
            <w:vAlign w:val="center"/>
          </w:tcPr>
          <w:p>
            <w:pPr>
              <w:pStyle w:val="26"/>
              <w:keepNext/>
              <w:spacing w:line="440" w:lineRule="exact"/>
              <w:ind w:left="63" w:right="63"/>
              <w:rPr>
                <w:rFonts w:hAnsi="宋体" w:cs="Times New Roman"/>
                <w:color w:val="auto"/>
                <w:highlight w:val="none"/>
                <w:lang w:val="en-US"/>
              </w:rPr>
            </w:pPr>
          </w:p>
        </w:tc>
        <w:tc>
          <w:tcPr>
            <w:tcW w:w="2126"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6"/>
              <w:keepNext/>
              <w:spacing w:line="440" w:lineRule="exact"/>
              <w:ind w:left="63" w:right="63"/>
              <w:rPr>
                <w:rFonts w:hAnsi="宋体" w:cs="Times New Roman"/>
                <w:color w:val="auto"/>
                <w:highlight w:val="none"/>
                <w:lang w:val="en-US"/>
              </w:rPr>
            </w:pPr>
          </w:p>
        </w:tc>
        <w:tc>
          <w:tcPr>
            <w:tcW w:w="1843"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2410"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560" w:type="dxa"/>
            <w:vAlign w:val="center"/>
          </w:tcPr>
          <w:p>
            <w:pPr>
              <w:pStyle w:val="26"/>
              <w:keepNext/>
              <w:spacing w:line="440" w:lineRule="exact"/>
              <w:ind w:left="63" w:right="63"/>
              <w:rPr>
                <w:rFonts w:hAnsi="宋体" w:cs="Times New Roman"/>
                <w:color w:val="auto"/>
                <w:highlight w:val="none"/>
                <w:lang w:val="en-US"/>
              </w:rPr>
            </w:pPr>
          </w:p>
        </w:tc>
        <w:tc>
          <w:tcPr>
            <w:tcW w:w="2126"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8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41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56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212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7"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6"/>
              <w:keepNext/>
              <w:spacing w:line="440" w:lineRule="exact"/>
              <w:ind w:left="63" w:right="63"/>
              <w:rPr>
                <w:rFonts w:hAnsi="宋体" w:cs="Times New Roman"/>
                <w:color w:val="auto"/>
                <w:highlight w:val="none"/>
                <w:lang w:val="en-US"/>
              </w:rPr>
            </w:pPr>
          </w:p>
        </w:tc>
        <w:tc>
          <w:tcPr>
            <w:tcW w:w="1843"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2410"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560" w:type="dxa"/>
            <w:vAlign w:val="center"/>
          </w:tcPr>
          <w:p>
            <w:pPr>
              <w:pStyle w:val="26"/>
              <w:keepNext/>
              <w:spacing w:line="440" w:lineRule="exact"/>
              <w:ind w:left="63" w:right="63"/>
              <w:rPr>
                <w:rFonts w:hAnsi="宋体" w:cs="Times New Roman"/>
                <w:color w:val="auto"/>
                <w:highlight w:val="none"/>
                <w:lang w:val="en-US"/>
              </w:rPr>
            </w:pPr>
          </w:p>
        </w:tc>
        <w:tc>
          <w:tcPr>
            <w:tcW w:w="2126" w:type="dxa"/>
            <w:vAlign w:val="center"/>
          </w:tcPr>
          <w:p>
            <w:pPr>
              <w:pStyle w:val="26"/>
              <w:keepNext/>
              <w:spacing w:line="440" w:lineRule="exact"/>
              <w:ind w:left="63" w:right="63"/>
              <w:rPr>
                <w:rFonts w:hAnsi="宋体" w:cs="Times New Roman"/>
                <w:color w:val="auto"/>
                <w:highlight w:val="none"/>
                <w:lang w:val="en-US"/>
              </w:rPr>
            </w:pPr>
          </w:p>
        </w:tc>
        <w:tc>
          <w:tcPr>
            <w:tcW w:w="1417"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r>
    </w:tbl>
    <w:p>
      <w:pPr>
        <w:spacing w:line="440" w:lineRule="exact"/>
        <w:rPr>
          <w:rFonts w:hAnsi="宋体"/>
          <w:b/>
          <w:color w:val="auto"/>
          <w:sz w:val="24"/>
          <w:highlight w:val="none"/>
        </w:rPr>
        <w:sectPr>
          <w:pgSz w:w="16838" w:h="11906" w:orient="landscape"/>
          <w:pgMar w:top="1135" w:right="1418" w:bottom="1531" w:left="1418" w:header="851" w:footer="992" w:gutter="0"/>
          <w:cols w:space="720" w:num="1"/>
          <w:titlePg/>
          <w:docGrid w:type="linesAndChars" w:linePitch="312" w:charSpace="0"/>
        </w:sectPr>
      </w:pPr>
    </w:p>
    <w:p>
      <w:pPr>
        <w:spacing w:line="440" w:lineRule="exact"/>
        <w:rPr>
          <w:rFonts w:hAnsi="宋体"/>
          <w:color w:val="auto"/>
          <w:sz w:val="24"/>
          <w:highlight w:val="none"/>
        </w:rPr>
      </w:pPr>
      <w:r>
        <w:rPr>
          <w:rFonts w:hAnsi="宋体"/>
          <w:color w:val="auto"/>
          <w:sz w:val="24"/>
          <w:highlight w:val="none"/>
        </w:rPr>
        <w:t>附件2：</w:t>
      </w:r>
    </w:p>
    <w:p>
      <w:pPr>
        <w:spacing w:before="120" w:beforeLines="50" w:after="120" w:afterLines="50" w:line="440" w:lineRule="exact"/>
        <w:jc w:val="center"/>
        <w:rPr>
          <w:rFonts w:hAnsi="宋体"/>
          <w:color w:val="auto"/>
          <w:sz w:val="24"/>
          <w:highlight w:val="none"/>
        </w:rPr>
      </w:pPr>
      <w:r>
        <w:rPr>
          <w:rFonts w:hAnsi="宋体"/>
          <w:color w:val="auto"/>
          <w:sz w:val="24"/>
          <w:highlight w:val="none"/>
        </w:rPr>
        <w:t>发包人供应材料设备一览表</w:t>
      </w:r>
    </w:p>
    <w:tbl>
      <w:tblPr>
        <w:tblStyle w:val="65"/>
        <w:tblW w:w="94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89"/>
        <w:gridCol w:w="1276"/>
        <w:gridCol w:w="1162"/>
        <w:gridCol w:w="940"/>
        <w:gridCol w:w="851"/>
        <w:gridCol w:w="1044"/>
        <w:gridCol w:w="731"/>
        <w:gridCol w:w="851"/>
        <w:gridCol w:w="1314"/>
        <w:gridCol w:w="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89"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序号</w:t>
            </w:r>
          </w:p>
        </w:tc>
        <w:tc>
          <w:tcPr>
            <w:tcW w:w="1276"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 xml:space="preserve">  </w:t>
            </w:r>
            <w:r>
              <w:rPr>
                <w:rFonts w:hAnsi="宋体" w:cs="Times New Roman"/>
                <w:color w:val="auto"/>
                <w:highlight w:val="none"/>
                <w:lang w:val="en-US"/>
              </w:rPr>
              <w:t>材料、</w:t>
            </w:r>
          </w:p>
          <w:p>
            <w:pPr>
              <w:pStyle w:val="26"/>
              <w:keepNext/>
              <w:spacing w:line="440" w:lineRule="exact"/>
              <w:ind w:right="63"/>
              <w:rPr>
                <w:rFonts w:hAnsi="宋体" w:cs="Times New Roman"/>
                <w:color w:val="auto"/>
                <w:highlight w:val="none"/>
                <w:lang w:val="en-US"/>
              </w:rPr>
            </w:pPr>
            <w:r>
              <w:rPr>
                <w:rFonts w:hAnsi="宋体" w:cs="Times New Roman"/>
                <w:color w:val="auto"/>
                <w:highlight w:val="none"/>
                <w:lang w:val="en-US"/>
              </w:rPr>
              <w:t>设备品种</w:t>
            </w:r>
          </w:p>
        </w:tc>
        <w:tc>
          <w:tcPr>
            <w:tcW w:w="1162"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规格型号</w:t>
            </w:r>
          </w:p>
        </w:tc>
        <w:tc>
          <w:tcPr>
            <w:tcW w:w="94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单位</w:t>
            </w:r>
          </w:p>
        </w:tc>
        <w:tc>
          <w:tcPr>
            <w:tcW w:w="85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数量</w:t>
            </w:r>
          </w:p>
        </w:tc>
        <w:tc>
          <w:tcPr>
            <w:tcW w:w="104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单价</w:t>
            </w:r>
            <w:r>
              <w:rPr>
                <w:rFonts w:hint="eastAsia" w:hAnsi="宋体" w:cs="Times New Roman"/>
                <w:color w:val="auto"/>
                <w:highlight w:val="none"/>
                <w:lang w:val="en-US"/>
              </w:rPr>
              <w:t>（元）</w:t>
            </w:r>
          </w:p>
        </w:tc>
        <w:tc>
          <w:tcPr>
            <w:tcW w:w="73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质量等级</w:t>
            </w:r>
          </w:p>
        </w:tc>
        <w:tc>
          <w:tcPr>
            <w:tcW w:w="85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供应时间</w:t>
            </w:r>
          </w:p>
        </w:tc>
        <w:tc>
          <w:tcPr>
            <w:tcW w:w="131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送达地点</w:t>
            </w:r>
          </w:p>
        </w:tc>
        <w:tc>
          <w:tcPr>
            <w:tcW w:w="73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276"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162"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94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044"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731"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314"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73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27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162"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94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04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73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1"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31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730"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162" w:type="dxa"/>
            <w:vAlign w:val="center"/>
          </w:tcPr>
          <w:p>
            <w:pPr>
              <w:pStyle w:val="26"/>
              <w:keepNext/>
              <w:spacing w:line="440" w:lineRule="exact"/>
              <w:ind w:left="63" w:right="63"/>
              <w:rPr>
                <w:rFonts w:hAnsi="宋体" w:cs="Times New Roman"/>
                <w:color w:val="auto"/>
                <w:highlight w:val="none"/>
                <w:lang w:val="en-US"/>
              </w:rPr>
            </w:pPr>
          </w:p>
        </w:tc>
        <w:tc>
          <w:tcPr>
            <w:tcW w:w="940"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044" w:type="dxa"/>
            <w:vAlign w:val="center"/>
          </w:tcPr>
          <w:p>
            <w:pPr>
              <w:pStyle w:val="26"/>
              <w:keepNext/>
              <w:spacing w:line="440" w:lineRule="exact"/>
              <w:ind w:left="63" w:right="63"/>
              <w:rPr>
                <w:rFonts w:hAnsi="宋体" w:cs="Times New Roman"/>
                <w:color w:val="auto"/>
                <w:highlight w:val="none"/>
                <w:lang w:val="en-US"/>
              </w:rPr>
            </w:pPr>
          </w:p>
        </w:tc>
        <w:tc>
          <w:tcPr>
            <w:tcW w:w="731" w:type="dxa"/>
            <w:vAlign w:val="center"/>
          </w:tcPr>
          <w:p>
            <w:pPr>
              <w:pStyle w:val="26"/>
              <w:keepNext/>
              <w:spacing w:line="440" w:lineRule="exact"/>
              <w:ind w:left="63" w:right="63"/>
              <w:rPr>
                <w:rFonts w:hAnsi="宋体" w:cs="Times New Roman"/>
                <w:color w:val="auto"/>
                <w:highlight w:val="none"/>
                <w:lang w:val="en-US"/>
              </w:rPr>
            </w:pPr>
          </w:p>
        </w:tc>
        <w:tc>
          <w:tcPr>
            <w:tcW w:w="851" w:type="dxa"/>
            <w:vAlign w:val="center"/>
          </w:tcPr>
          <w:p>
            <w:pPr>
              <w:pStyle w:val="26"/>
              <w:keepNext/>
              <w:spacing w:line="440" w:lineRule="exact"/>
              <w:ind w:left="63" w:right="63"/>
              <w:rPr>
                <w:rFonts w:hAnsi="宋体" w:cs="Times New Roman"/>
                <w:color w:val="auto"/>
                <w:highlight w:val="none"/>
                <w:lang w:val="en-US"/>
              </w:rPr>
            </w:pPr>
          </w:p>
        </w:tc>
        <w:tc>
          <w:tcPr>
            <w:tcW w:w="1314" w:type="dxa"/>
            <w:vAlign w:val="center"/>
          </w:tcPr>
          <w:p>
            <w:pPr>
              <w:pStyle w:val="26"/>
              <w:keepNext/>
              <w:spacing w:line="440" w:lineRule="exact"/>
              <w:ind w:left="63" w:right="63"/>
              <w:rPr>
                <w:rFonts w:hAnsi="宋体" w:cs="Times New Roman"/>
                <w:color w:val="auto"/>
                <w:highlight w:val="none"/>
                <w:lang w:val="en-US"/>
              </w:rPr>
            </w:pPr>
          </w:p>
        </w:tc>
        <w:tc>
          <w:tcPr>
            <w:tcW w:w="730"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89" w:type="dxa"/>
            <w:vAlign w:val="center"/>
          </w:tcPr>
          <w:p>
            <w:pPr>
              <w:jc w:val="center"/>
              <w:rPr>
                <w:rFonts w:hAnsi="宋体"/>
                <w:color w:val="auto"/>
                <w:sz w:val="24"/>
                <w:highlight w:val="none"/>
              </w:rPr>
            </w:pPr>
          </w:p>
        </w:tc>
        <w:tc>
          <w:tcPr>
            <w:tcW w:w="1276" w:type="dxa"/>
            <w:vAlign w:val="center"/>
          </w:tcPr>
          <w:p>
            <w:pPr>
              <w:jc w:val="center"/>
              <w:rPr>
                <w:rFonts w:hAnsi="宋体"/>
                <w:color w:val="auto"/>
                <w:sz w:val="24"/>
                <w:highlight w:val="none"/>
              </w:rPr>
            </w:pPr>
          </w:p>
        </w:tc>
        <w:tc>
          <w:tcPr>
            <w:tcW w:w="1162" w:type="dxa"/>
            <w:vAlign w:val="center"/>
          </w:tcPr>
          <w:p>
            <w:pPr>
              <w:jc w:val="center"/>
              <w:rPr>
                <w:rFonts w:hAnsi="宋体"/>
                <w:color w:val="auto"/>
                <w:sz w:val="24"/>
                <w:highlight w:val="none"/>
              </w:rPr>
            </w:pPr>
          </w:p>
        </w:tc>
        <w:tc>
          <w:tcPr>
            <w:tcW w:w="940"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044" w:type="dxa"/>
            <w:vAlign w:val="center"/>
          </w:tcPr>
          <w:p>
            <w:pPr>
              <w:jc w:val="center"/>
              <w:rPr>
                <w:rFonts w:hAnsi="宋体"/>
                <w:color w:val="auto"/>
                <w:sz w:val="24"/>
                <w:highlight w:val="none"/>
              </w:rPr>
            </w:pPr>
          </w:p>
        </w:tc>
        <w:tc>
          <w:tcPr>
            <w:tcW w:w="731" w:type="dxa"/>
            <w:vAlign w:val="center"/>
          </w:tcPr>
          <w:p>
            <w:pPr>
              <w:jc w:val="center"/>
              <w:rPr>
                <w:rFonts w:hAnsi="宋体"/>
                <w:color w:val="auto"/>
                <w:sz w:val="24"/>
                <w:highlight w:val="none"/>
              </w:rPr>
            </w:pPr>
          </w:p>
        </w:tc>
        <w:tc>
          <w:tcPr>
            <w:tcW w:w="851" w:type="dxa"/>
            <w:vAlign w:val="center"/>
          </w:tcPr>
          <w:p>
            <w:pPr>
              <w:jc w:val="center"/>
              <w:rPr>
                <w:rFonts w:hAnsi="宋体"/>
                <w:color w:val="auto"/>
                <w:sz w:val="24"/>
                <w:highlight w:val="none"/>
              </w:rPr>
            </w:pPr>
          </w:p>
        </w:tc>
        <w:tc>
          <w:tcPr>
            <w:tcW w:w="1314" w:type="dxa"/>
            <w:vAlign w:val="center"/>
          </w:tcPr>
          <w:p>
            <w:pPr>
              <w:jc w:val="center"/>
              <w:rPr>
                <w:rFonts w:hAnsi="宋体"/>
                <w:color w:val="auto"/>
                <w:sz w:val="24"/>
                <w:highlight w:val="none"/>
              </w:rPr>
            </w:pPr>
          </w:p>
        </w:tc>
        <w:tc>
          <w:tcPr>
            <w:tcW w:w="730" w:type="dxa"/>
            <w:vAlign w:val="center"/>
          </w:tcPr>
          <w:p>
            <w:pPr>
              <w:jc w:val="center"/>
              <w:rPr>
                <w:rFonts w:hAnsi="宋体"/>
                <w:color w:val="auto"/>
                <w:sz w:val="24"/>
                <w:highlight w:val="none"/>
              </w:rPr>
            </w:pPr>
          </w:p>
        </w:tc>
      </w:tr>
    </w:tbl>
    <w:p>
      <w:pPr>
        <w:spacing w:line="440" w:lineRule="exact"/>
        <w:rPr>
          <w:rFonts w:hAnsi="宋体"/>
          <w:color w:val="auto"/>
          <w:sz w:val="24"/>
          <w:highlight w:val="none"/>
        </w:rPr>
      </w:pPr>
    </w:p>
    <w:p>
      <w:pPr>
        <w:spacing w:line="440" w:lineRule="exact"/>
        <w:rPr>
          <w:rFonts w:ascii="宋体"/>
          <w:color w:val="auto"/>
          <w:sz w:val="24"/>
          <w:highlight w:val="none"/>
        </w:rPr>
      </w:pPr>
      <w:r>
        <w:rPr>
          <w:rFonts w:hAnsi="宋体"/>
          <w:color w:val="auto"/>
          <w:sz w:val="24"/>
          <w:highlight w:val="none"/>
        </w:rPr>
        <w:br w:type="page"/>
      </w:r>
      <w:r>
        <w:rPr>
          <w:rFonts w:hint="eastAsia" w:ascii="宋体"/>
          <w:color w:val="auto"/>
          <w:sz w:val="24"/>
          <w:highlight w:val="none"/>
        </w:rPr>
        <w:t>附件</w:t>
      </w:r>
      <w:r>
        <w:rPr>
          <w:rFonts w:ascii="宋体"/>
          <w:color w:val="auto"/>
          <w:sz w:val="24"/>
          <w:highlight w:val="none"/>
        </w:rPr>
        <w:t>3</w:t>
      </w:r>
      <w:r>
        <w:rPr>
          <w:rFonts w:hint="eastAsia" w:ascii="宋体"/>
          <w:color w:val="auto"/>
          <w:sz w:val="24"/>
          <w:highlight w:val="none"/>
        </w:rPr>
        <w:t>：</w:t>
      </w:r>
    </w:p>
    <w:p>
      <w:pPr>
        <w:autoSpaceDE w:val="0"/>
        <w:autoSpaceDN w:val="0"/>
        <w:spacing w:line="360" w:lineRule="auto"/>
        <w:ind w:left="360" w:right="525" w:rightChars="250" w:firstLine="643"/>
        <w:jc w:val="center"/>
        <w:rPr>
          <w:rFonts w:ascii="宋体"/>
          <w:b/>
          <w:bCs/>
          <w:color w:val="auto"/>
          <w:kern w:val="0"/>
          <w:sz w:val="24"/>
          <w:highlight w:val="none"/>
        </w:rPr>
      </w:pPr>
      <w:r>
        <w:rPr>
          <w:rFonts w:hint="eastAsia" w:ascii="宋体"/>
          <w:b/>
          <w:bCs/>
          <w:color w:val="auto"/>
          <w:kern w:val="0"/>
          <w:sz w:val="24"/>
          <w:highlight w:val="none"/>
        </w:rPr>
        <w:t>房屋建筑工程质量保修书</w:t>
      </w:r>
    </w:p>
    <w:p>
      <w:pPr>
        <w:autoSpaceDE w:val="0"/>
        <w:autoSpaceDN w:val="0"/>
        <w:spacing w:line="400" w:lineRule="exact"/>
        <w:ind w:right="525" w:rightChars="250"/>
        <w:jc w:val="left"/>
        <w:rPr>
          <w:rFonts w:ascii="宋体"/>
          <w:color w:val="auto"/>
          <w:kern w:val="0"/>
          <w:sz w:val="24"/>
          <w:highlight w:val="none"/>
        </w:rPr>
      </w:pPr>
      <w:r>
        <w:rPr>
          <w:rFonts w:hint="eastAsia" w:ascii="宋体"/>
          <w:color w:val="auto"/>
          <w:kern w:val="0"/>
          <w:sz w:val="24"/>
          <w:highlight w:val="none"/>
        </w:rPr>
        <w:t>发</w:t>
      </w:r>
      <w:r>
        <w:rPr>
          <w:rFonts w:hint="eastAsia" w:ascii="宋体"/>
          <w:color w:val="auto"/>
          <w:sz w:val="24"/>
          <w:highlight w:val="none"/>
        </w:rPr>
        <w:t>包人（全称）：</w:t>
      </w:r>
      <w:r>
        <w:rPr>
          <w:rFonts w:hint="eastAsia" w:ascii="宋体"/>
          <w:color w:val="auto"/>
          <w:sz w:val="24"/>
          <w:highlight w:val="none"/>
          <w:u w:val="single"/>
        </w:rPr>
        <w:t xml:space="preserve">                    </w:t>
      </w:r>
    </w:p>
    <w:p>
      <w:pPr>
        <w:spacing w:line="400" w:lineRule="exact"/>
        <w:rPr>
          <w:rFonts w:ascii="宋体"/>
          <w:color w:val="auto"/>
          <w:sz w:val="24"/>
          <w:highlight w:val="none"/>
          <w:u w:val="single"/>
        </w:rPr>
      </w:pPr>
      <w:r>
        <w:rPr>
          <w:rFonts w:hint="eastAsia" w:ascii="宋体"/>
          <w:color w:val="auto"/>
          <w:sz w:val="24"/>
          <w:highlight w:val="none"/>
        </w:rPr>
        <w:t>承包人（全称）：</w:t>
      </w:r>
      <w:r>
        <w:rPr>
          <w:rFonts w:hint="eastAsia" w:ascii="宋体"/>
          <w:color w:val="auto"/>
          <w:sz w:val="24"/>
          <w:highlight w:val="none"/>
          <w:u w:val="single"/>
        </w:rPr>
        <w:t xml:space="preserve">                    </w:t>
      </w:r>
    </w:p>
    <w:p>
      <w:pPr>
        <w:autoSpaceDE w:val="0"/>
        <w:autoSpaceDN w:val="0"/>
        <w:spacing w:line="400" w:lineRule="exact"/>
        <w:ind w:right="360" w:firstLine="480" w:firstLineChars="200"/>
        <w:jc w:val="left"/>
        <w:rPr>
          <w:rFonts w:ascii="宋体"/>
          <w:color w:val="auto"/>
          <w:kern w:val="0"/>
          <w:sz w:val="24"/>
          <w:highlight w:val="none"/>
        </w:rPr>
      </w:pPr>
      <w:r>
        <w:rPr>
          <w:rFonts w:hint="eastAsia" w:ascii="宋体"/>
          <w:color w:val="auto"/>
          <w:kern w:val="0"/>
          <w:sz w:val="24"/>
          <w:highlight w:val="none"/>
        </w:rPr>
        <w:t>发包人、承包人根据《中华人民共和国建筑法》、《建设工程质量管理条例》和《房屋建筑工程质量保修办法》，经协商一致，对签定工程质量保修书。</w:t>
      </w:r>
    </w:p>
    <w:p>
      <w:pPr>
        <w:autoSpaceDE w:val="0"/>
        <w:autoSpaceDN w:val="0"/>
        <w:spacing w:line="400" w:lineRule="exact"/>
        <w:ind w:right="525" w:rightChars="250"/>
        <w:jc w:val="left"/>
        <w:rPr>
          <w:rFonts w:ascii="宋体"/>
          <w:b/>
          <w:bCs/>
          <w:color w:val="auto"/>
          <w:kern w:val="0"/>
          <w:sz w:val="24"/>
          <w:highlight w:val="none"/>
        </w:rPr>
      </w:pPr>
      <w:r>
        <w:rPr>
          <w:rFonts w:hint="eastAsia" w:ascii="宋体"/>
          <w:b/>
          <w:bCs/>
          <w:color w:val="auto"/>
          <w:kern w:val="0"/>
          <w:sz w:val="24"/>
          <w:highlight w:val="none"/>
        </w:rPr>
        <w:t>一、工程质量保修范围和内容</w:t>
      </w:r>
    </w:p>
    <w:p>
      <w:pPr>
        <w:autoSpaceDE w:val="0"/>
        <w:autoSpaceDN w:val="0"/>
        <w:spacing w:line="400" w:lineRule="exact"/>
        <w:ind w:right="360" w:firstLine="480" w:firstLineChars="200"/>
        <w:jc w:val="left"/>
        <w:rPr>
          <w:rFonts w:ascii="宋体"/>
          <w:color w:val="auto"/>
          <w:kern w:val="0"/>
          <w:sz w:val="24"/>
          <w:highlight w:val="none"/>
        </w:rPr>
      </w:pPr>
      <w:r>
        <w:rPr>
          <w:rFonts w:hint="eastAsia" w:ascii="宋体"/>
          <w:color w:val="auto"/>
          <w:kern w:val="0"/>
          <w:sz w:val="24"/>
          <w:highlight w:val="none"/>
        </w:rPr>
        <w:t>承包人在质量保修期内，按照有关法律、法规、规章的管理规定和双方约定，承担本工程质量保修责任。</w:t>
      </w:r>
    </w:p>
    <w:p>
      <w:pPr>
        <w:autoSpaceDE w:val="0"/>
        <w:autoSpaceDN w:val="0"/>
        <w:spacing w:line="400" w:lineRule="exact"/>
        <w:ind w:right="360" w:firstLine="480" w:firstLineChars="200"/>
        <w:jc w:val="left"/>
        <w:rPr>
          <w:rFonts w:ascii="宋体"/>
          <w:color w:val="auto"/>
          <w:kern w:val="0"/>
          <w:sz w:val="24"/>
          <w:highlight w:val="none"/>
        </w:rPr>
      </w:pPr>
      <w:r>
        <w:rPr>
          <w:rFonts w:hint="eastAsia" w:ascii="宋体"/>
          <w:color w:val="auto"/>
          <w:kern w:val="0"/>
          <w:sz w:val="24"/>
          <w:highlight w:val="none"/>
        </w:rPr>
        <w:t>质量保修范围包括地基基础工程、主体结构工程，屋面防水工程、外墙面防水工程的防渗漏，电气管线、给排水管道、设备安装和装修工程，以及双方约定的其他项目。具体保修的内容，双方约定如下：</w:t>
      </w:r>
      <w:r>
        <w:rPr>
          <w:rFonts w:ascii="宋体"/>
          <w:b/>
          <w:bCs/>
          <w:color w:val="auto"/>
          <w:kern w:val="0"/>
          <w:sz w:val="24"/>
          <w:highlight w:val="none"/>
          <w:u w:val="single"/>
        </w:rPr>
        <w:t xml:space="preserve"> </w:t>
      </w:r>
      <w:r>
        <w:rPr>
          <w:rFonts w:hint="eastAsia" w:ascii="宋体"/>
          <w:b/>
          <w:bCs/>
          <w:color w:val="auto"/>
          <w:kern w:val="0"/>
          <w:sz w:val="24"/>
          <w:highlight w:val="none"/>
          <w:u w:val="single"/>
        </w:rPr>
        <w:t>承包人承包范围内的所有内容</w:t>
      </w:r>
      <w:r>
        <w:rPr>
          <w:rFonts w:ascii="宋体"/>
          <w:b/>
          <w:bCs/>
          <w:color w:val="auto"/>
          <w:kern w:val="0"/>
          <w:sz w:val="24"/>
          <w:highlight w:val="none"/>
          <w:u w:val="single"/>
        </w:rPr>
        <w:t xml:space="preserve"> </w:t>
      </w:r>
      <w:r>
        <w:rPr>
          <w:rFonts w:hint="eastAsia" w:ascii="宋体"/>
          <w:b/>
          <w:bCs/>
          <w:color w:val="auto"/>
          <w:kern w:val="0"/>
          <w:sz w:val="24"/>
          <w:highlight w:val="none"/>
        </w:rPr>
        <w:t>。</w:t>
      </w:r>
    </w:p>
    <w:p>
      <w:pPr>
        <w:autoSpaceDE w:val="0"/>
        <w:autoSpaceDN w:val="0"/>
        <w:spacing w:line="400" w:lineRule="exact"/>
        <w:ind w:right="525" w:rightChars="250"/>
        <w:jc w:val="left"/>
        <w:rPr>
          <w:rFonts w:ascii="宋体"/>
          <w:b/>
          <w:bCs/>
          <w:color w:val="auto"/>
          <w:kern w:val="0"/>
          <w:sz w:val="24"/>
          <w:highlight w:val="none"/>
        </w:rPr>
      </w:pPr>
      <w:r>
        <w:rPr>
          <w:rFonts w:hint="eastAsia" w:ascii="宋体"/>
          <w:b/>
          <w:bCs/>
          <w:color w:val="auto"/>
          <w:kern w:val="0"/>
          <w:sz w:val="24"/>
          <w:highlight w:val="none"/>
        </w:rPr>
        <w:t>二、质量保修期</w:t>
      </w:r>
    </w:p>
    <w:p>
      <w:pPr>
        <w:autoSpaceDE w:val="0"/>
        <w:autoSpaceDN w:val="0"/>
        <w:spacing w:line="400" w:lineRule="exact"/>
        <w:ind w:right="-6" w:firstLine="480" w:firstLineChars="200"/>
        <w:jc w:val="left"/>
        <w:rPr>
          <w:rFonts w:ascii="宋体"/>
          <w:color w:val="auto"/>
          <w:kern w:val="0"/>
          <w:sz w:val="24"/>
          <w:highlight w:val="none"/>
        </w:rPr>
      </w:pPr>
      <w:r>
        <w:rPr>
          <w:rFonts w:hint="eastAsia" w:ascii="宋体"/>
          <w:color w:val="auto"/>
          <w:kern w:val="0"/>
          <w:sz w:val="24"/>
          <w:highlight w:val="none"/>
        </w:rPr>
        <w:t>双方根据《建设工程质量管理条例》及有关规定，约定本工程的质量保修期如下：</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1</w:t>
      </w:r>
      <w:r>
        <w:rPr>
          <w:rFonts w:hint="eastAsia" w:ascii="宋体"/>
          <w:color w:val="auto"/>
          <w:kern w:val="0"/>
          <w:sz w:val="24"/>
          <w:highlight w:val="none"/>
        </w:rPr>
        <w:t>、地基基础工程和主体结构工程为设计文件规定的该工程合理使用年限；</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2</w:t>
      </w:r>
      <w:r>
        <w:rPr>
          <w:rFonts w:hint="eastAsia" w:ascii="宋体"/>
          <w:color w:val="auto"/>
          <w:kern w:val="0"/>
          <w:sz w:val="24"/>
          <w:highlight w:val="none"/>
        </w:rPr>
        <w:t>、</w:t>
      </w:r>
      <w:r>
        <w:rPr>
          <w:rFonts w:hint="eastAsia" w:ascii="宋体" w:hAnsi="宋体"/>
          <w:color w:val="auto"/>
          <w:sz w:val="24"/>
          <w:highlight w:val="none"/>
        </w:rPr>
        <w:t>本工程屋面防水工程、外墙面防水工程的防渗漏</w:t>
      </w:r>
      <w:r>
        <w:rPr>
          <w:rFonts w:hint="eastAsia" w:ascii="宋体"/>
          <w:color w:val="auto"/>
          <w:kern w:val="0"/>
          <w:sz w:val="24"/>
          <w:highlight w:val="none"/>
        </w:rPr>
        <w:t>为</w:t>
      </w:r>
      <w:r>
        <w:rPr>
          <w:rFonts w:hint="eastAsia" w:ascii="宋体"/>
          <w:color w:val="auto"/>
          <w:kern w:val="0"/>
          <w:sz w:val="24"/>
          <w:highlight w:val="none"/>
          <w:u w:val="single"/>
        </w:rPr>
        <w:t xml:space="preserve">  5  </w:t>
      </w:r>
      <w:r>
        <w:rPr>
          <w:rFonts w:hint="eastAsia" w:ascii="宋体"/>
          <w:color w:val="auto"/>
          <w:kern w:val="0"/>
          <w:sz w:val="24"/>
          <w:highlight w:val="none"/>
        </w:rPr>
        <w:t>年；</w:t>
      </w:r>
    </w:p>
    <w:p>
      <w:pPr>
        <w:autoSpaceDE w:val="0"/>
        <w:autoSpaceDN w:val="0"/>
        <w:spacing w:line="400" w:lineRule="exact"/>
        <w:ind w:right="-6" w:firstLine="480" w:firstLineChars="200"/>
        <w:jc w:val="left"/>
        <w:rPr>
          <w:rFonts w:ascii="宋体"/>
          <w:color w:val="auto"/>
          <w:kern w:val="0"/>
          <w:sz w:val="24"/>
          <w:highlight w:val="none"/>
        </w:rPr>
      </w:pPr>
      <w:r>
        <w:rPr>
          <w:rFonts w:hint="eastAsia" w:ascii="宋体"/>
          <w:color w:val="auto"/>
          <w:kern w:val="0"/>
          <w:sz w:val="24"/>
          <w:highlight w:val="none"/>
        </w:rPr>
        <w:t>3、装修工程为</w:t>
      </w:r>
      <w:r>
        <w:rPr>
          <w:rFonts w:ascii="宋体"/>
          <w:color w:val="auto"/>
          <w:kern w:val="0"/>
          <w:sz w:val="24"/>
          <w:highlight w:val="none"/>
          <w:u w:val="single"/>
        </w:rPr>
        <w:t xml:space="preserve">  2  </w:t>
      </w:r>
      <w:r>
        <w:rPr>
          <w:rFonts w:hint="eastAsia" w:ascii="宋体"/>
          <w:color w:val="auto"/>
          <w:kern w:val="0"/>
          <w:sz w:val="24"/>
          <w:highlight w:val="none"/>
        </w:rPr>
        <w:t>年；</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4</w:t>
      </w:r>
      <w:r>
        <w:rPr>
          <w:rFonts w:hint="eastAsia" w:ascii="宋体"/>
          <w:color w:val="auto"/>
          <w:kern w:val="0"/>
          <w:sz w:val="24"/>
          <w:highlight w:val="none"/>
        </w:rPr>
        <w:t>、电气管线、给排水管道、设备安装工程为</w:t>
      </w:r>
      <w:r>
        <w:rPr>
          <w:rFonts w:ascii="宋体"/>
          <w:color w:val="auto"/>
          <w:kern w:val="0"/>
          <w:sz w:val="24"/>
          <w:highlight w:val="none"/>
          <w:u w:val="single"/>
        </w:rPr>
        <w:t xml:space="preserve">   2  </w:t>
      </w:r>
      <w:r>
        <w:rPr>
          <w:rFonts w:hint="eastAsia" w:ascii="宋体"/>
          <w:color w:val="auto"/>
          <w:kern w:val="0"/>
          <w:sz w:val="24"/>
          <w:highlight w:val="none"/>
        </w:rPr>
        <w:t>年；</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5</w:t>
      </w:r>
      <w:r>
        <w:rPr>
          <w:rFonts w:hint="eastAsia" w:ascii="宋体"/>
          <w:color w:val="auto"/>
          <w:kern w:val="0"/>
          <w:sz w:val="24"/>
          <w:highlight w:val="none"/>
        </w:rPr>
        <w:t>、供热与供冷系统为</w:t>
      </w:r>
      <w:r>
        <w:rPr>
          <w:rFonts w:ascii="宋体"/>
          <w:color w:val="auto"/>
          <w:kern w:val="0"/>
          <w:sz w:val="24"/>
          <w:highlight w:val="none"/>
          <w:u w:val="single"/>
        </w:rPr>
        <w:t xml:space="preserve">   2  </w:t>
      </w:r>
      <w:r>
        <w:rPr>
          <w:rFonts w:hint="eastAsia" w:ascii="宋体"/>
          <w:color w:val="auto"/>
          <w:kern w:val="0"/>
          <w:sz w:val="24"/>
          <w:highlight w:val="none"/>
        </w:rPr>
        <w:t>个采暖期、供冷期；</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6</w:t>
      </w:r>
      <w:r>
        <w:rPr>
          <w:rFonts w:hint="eastAsia" w:ascii="宋体"/>
          <w:color w:val="auto"/>
          <w:kern w:val="0"/>
          <w:sz w:val="24"/>
          <w:highlight w:val="none"/>
        </w:rPr>
        <w:t>、住宅小区内的给排水设施、道路等配套工程为</w:t>
      </w:r>
      <w:r>
        <w:rPr>
          <w:rFonts w:ascii="宋体"/>
          <w:color w:val="auto"/>
          <w:kern w:val="0"/>
          <w:sz w:val="24"/>
          <w:highlight w:val="none"/>
          <w:u w:val="single"/>
        </w:rPr>
        <w:t xml:space="preserve">   2   </w:t>
      </w:r>
      <w:r>
        <w:rPr>
          <w:rFonts w:hint="eastAsia" w:ascii="宋体"/>
          <w:color w:val="auto"/>
          <w:kern w:val="0"/>
          <w:sz w:val="24"/>
          <w:highlight w:val="none"/>
        </w:rPr>
        <w:t>年；</w:t>
      </w:r>
    </w:p>
    <w:p>
      <w:pPr>
        <w:autoSpaceDE w:val="0"/>
        <w:autoSpaceDN w:val="0"/>
        <w:spacing w:line="400" w:lineRule="exact"/>
        <w:ind w:right="-6" w:firstLine="480" w:firstLineChars="200"/>
        <w:jc w:val="left"/>
        <w:rPr>
          <w:rFonts w:ascii="宋体"/>
          <w:color w:val="auto"/>
          <w:kern w:val="0"/>
          <w:sz w:val="24"/>
          <w:highlight w:val="none"/>
        </w:rPr>
      </w:pPr>
      <w:r>
        <w:rPr>
          <w:rFonts w:ascii="宋体"/>
          <w:color w:val="auto"/>
          <w:kern w:val="0"/>
          <w:sz w:val="24"/>
          <w:highlight w:val="none"/>
        </w:rPr>
        <w:t>7</w:t>
      </w:r>
      <w:r>
        <w:rPr>
          <w:rFonts w:hint="eastAsia" w:ascii="宋体"/>
          <w:color w:val="auto"/>
          <w:kern w:val="0"/>
          <w:sz w:val="24"/>
          <w:highlight w:val="none"/>
        </w:rPr>
        <w:t>、其他项目保修期限：</w:t>
      </w:r>
      <w:r>
        <w:rPr>
          <w:rFonts w:ascii="宋体"/>
          <w:color w:val="auto"/>
          <w:kern w:val="0"/>
          <w:sz w:val="24"/>
          <w:highlight w:val="none"/>
          <w:u w:val="single"/>
        </w:rPr>
        <w:t xml:space="preserve">   2   </w:t>
      </w:r>
      <w:r>
        <w:rPr>
          <w:rFonts w:hint="eastAsia" w:ascii="宋体"/>
          <w:color w:val="auto"/>
          <w:kern w:val="0"/>
          <w:sz w:val="24"/>
          <w:highlight w:val="none"/>
        </w:rPr>
        <w:t>年。</w:t>
      </w:r>
    </w:p>
    <w:p>
      <w:pPr>
        <w:autoSpaceDE w:val="0"/>
        <w:autoSpaceDN w:val="0"/>
        <w:spacing w:line="400" w:lineRule="exact"/>
        <w:ind w:right="-6" w:firstLine="480" w:firstLineChars="200"/>
        <w:jc w:val="left"/>
        <w:rPr>
          <w:rFonts w:ascii="宋体"/>
          <w:color w:val="auto"/>
          <w:kern w:val="0"/>
          <w:sz w:val="24"/>
          <w:highlight w:val="none"/>
          <w:u w:val="single"/>
        </w:rPr>
      </w:pPr>
      <w:r>
        <w:rPr>
          <w:rFonts w:hint="eastAsia" w:ascii="宋体"/>
          <w:color w:val="auto"/>
          <w:kern w:val="0"/>
          <w:sz w:val="24"/>
          <w:highlight w:val="none"/>
          <w:u w:val="single"/>
        </w:rPr>
        <w:t>质量保修期自工程整体移交接收单位之日起计算。</w:t>
      </w:r>
      <w:r>
        <w:rPr>
          <w:rFonts w:ascii="宋体"/>
          <w:color w:val="auto"/>
          <w:kern w:val="0"/>
          <w:sz w:val="24"/>
          <w:highlight w:val="none"/>
          <w:u w:val="single"/>
        </w:rPr>
        <w:t xml:space="preserve"> </w:t>
      </w:r>
    </w:p>
    <w:p>
      <w:pPr>
        <w:numPr>
          <w:ilvl w:val="0"/>
          <w:numId w:val="1"/>
        </w:numPr>
        <w:autoSpaceDE w:val="0"/>
        <w:autoSpaceDN w:val="0"/>
        <w:spacing w:line="400" w:lineRule="exact"/>
        <w:ind w:right="525" w:rightChars="250"/>
        <w:jc w:val="left"/>
        <w:rPr>
          <w:rFonts w:ascii="宋体"/>
          <w:b/>
          <w:bCs/>
          <w:color w:val="auto"/>
          <w:kern w:val="0"/>
          <w:sz w:val="24"/>
          <w:highlight w:val="none"/>
        </w:rPr>
      </w:pPr>
      <w:r>
        <w:rPr>
          <w:rFonts w:hint="eastAsia" w:ascii="宋体"/>
          <w:b/>
          <w:bCs/>
          <w:color w:val="auto"/>
          <w:kern w:val="0"/>
          <w:sz w:val="24"/>
          <w:highlight w:val="none"/>
        </w:rPr>
        <w:t>质量保修责任</w:t>
      </w:r>
    </w:p>
    <w:p>
      <w:pPr>
        <w:widowControl/>
        <w:spacing w:line="400" w:lineRule="exact"/>
        <w:ind w:firstLine="480" w:firstLineChars="200"/>
        <w:rPr>
          <w:rFonts w:ascii="宋体"/>
          <w:color w:val="auto"/>
          <w:sz w:val="24"/>
          <w:highlight w:val="none"/>
        </w:rPr>
      </w:pPr>
      <w:r>
        <w:rPr>
          <w:rFonts w:ascii="宋体"/>
          <w:color w:val="auto"/>
          <w:sz w:val="24"/>
          <w:highlight w:val="none"/>
        </w:rPr>
        <w:t>1</w:t>
      </w:r>
      <w:r>
        <w:rPr>
          <w:rFonts w:hint="eastAsia" w:ascii="宋体"/>
          <w:color w:val="auto"/>
          <w:sz w:val="24"/>
          <w:highlight w:val="none"/>
        </w:rPr>
        <w:t>、属于保修范围和内容的项目，承包人应在接到修理通知之日后</w:t>
      </w:r>
      <w:r>
        <w:rPr>
          <w:rFonts w:ascii="宋体"/>
          <w:color w:val="auto"/>
          <w:sz w:val="24"/>
          <w:highlight w:val="none"/>
        </w:rPr>
        <w:t>24</w:t>
      </w:r>
      <w:r>
        <w:rPr>
          <w:rFonts w:hint="eastAsia" w:ascii="宋体"/>
          <w:color w:val="auto"/>
          <w:sz w:val="24"/>
          <w:highlight w:val="none"/>
        </w:rPr>
        <w:t>小时内派人修理。承包人不在约定期限内派人修理，发包人可委托其他人员修理，产生的费用由承包人加倍支付。</w:t>
      </w:r>
    </w:p>
    <w:p>
      <w:pPr>
        <w:widowControl/>
        <w:spacing w:line="400" w:lineRule="exact"/>
        <w:ind w:firstLine="480" w:firstLineChars="200"/>
        <w:rPr>
          <w:rFonts w:ascii="宋体"/>
          <w:color w:val="auto"/>
          <w:sz w:val="24"/>
          <w:highlight w:val="none"/>
        </w:rPr>
      </w:pPr>
      <w:r>
        <w:rPr>
          <w:rFonts w:ascii="宋体"/>
          <w:color w:val="auto"/>
          <w:sz w:val="24"/>
          <w:highlight w:val="none"/>
        </w:rPr>
        <w:t>2</w:t>
      </w:r>
      <w:r>
        <w:rPr>
          <w:rFonts w:hint="eastAsia" w:ascii="宋体"/>
          <w:color w:val="auto"/>
          <w:sz w:val="24"/>
          <w:highlight w:val="none"/>
        </w:rPr>
        <w:t>、发生紧急抢修事故的，承包人接到事故通知后，应立即（2小时内）到达事故现场抢修。</w:t>
      </w:r>
    </w:p>
    <w:p>
      <w:pPr>
        <w:widowControl/>
        <w:spacing w:line="400" w:lineRule="exact"/>
        <w:ind w:firstLine="480" w:firstLineChars="200"/>
        <w:rPr>
          <w:rFonts w:ascii="宋体"/>
          <w:color w:val="auto"/>
          <w:sz w:val="24"/>
          <w:highlight w:val="none"/>
        </w:rPr>
      </w:pPr>
      <w:r>
        <w:rPr>
          <w:rFonts w:ascii="宋体"/>
          <w:color w:val="auto"/>
          <w:sz w:val="24"/>
          <w:highlight w:val="none"/>
        </w:rPr>
        <w:t>3</w:t>
      </w:r>
      <w:r>
        <w:rPr>
          <w:rFonts w:hint="eastAsia" w:ascii="宋体"/>
          <w:color w:val="auto"/>
          <w:sz w:val="24"/>
          <w:highlight w:val="none"/>
        </w:rPr>
        <w:t>、对涉及结构安全的质量问题，应当按照《房屋建筑工程质量保修办法》的规定，立即向当地建设行政主管部门报告，采取安全防范措施；由原设计单位或具有相当资质等级的设计单位提出保修方案，承包人组织验收。</w:t>
      </w:r>
    </w:p>
    <w:p>
      <w:pPr>
        <w:snapToGrid w:val="0"/>
        <w:spacing w:line="400" w:lineRule="exact"/>
        <w:ind w:firstLine="480" w:firstLineChars="200"/>
        <w:jc w:val="left"/>
        <w:rPr>
          <w:rFonts w:ascii="宋体"/>
          <w:color w:val="auto"/>
          <w:sz w:val="24"/>
          <w:highlight w:val="none"/>
        </w:rPr>
      </w:pPr>
      <w:r>
        <w:rPr>
          <w:rFonts w:ascii="宋体"/>
          <w:color w:val="auto"/>
          <w:kern w:val="0"/>
          <w:sz w:val="24"/>
          <w:highlight w:val="none"/>
        </w:rPr>
        <w:t>4</w:t>
      </w:r>
      <w:r>
        <w:rPr>
          <w:rFonts w:hint="eastAsia" w:ascii="宋体"/>
          <w:color w:val="auto"/>
          <w:kern w:val="0"/>
          <w:sz w:val="24"/>
          <w:highlight w:val="none"/>
        </w:rPr>
        <w:t>、</w:t>
      </w:r>
      <w:r>
        <w:rPr>
          <w:rFonts w:hint="eastAsia" w:ascii="宋体"/>
          <w:color w:val="auto"/>
          <w:sz w:val="24"/>
          <w:highlight w:val="none"/>
        </w:rPr>
        <w:t>遇下列特殊情况时，在承包人到达之前，承包人同意发包人可以先行采取应急措施处理：</w:t>
      </w:r>
    </w:p>
    <w:p>
      <w:pPr>
        <w:snapToGrid w:val="0"/>
        <w:spacing w:line="400" w:lineRule="exact"/>
        <w:ind w:firstLine="480" w:firstLineChars="200"/>
        <w:jc w:val="left"/>
        <w:rPr>
          <w:rFonts w:ascii="宋体"/>
          <w:color w:val="auto"/>
          <w:sz w:val="24"/>
          <w:highlight w:val="none"/>
        </w:rPr>
      </w:pPr>
      <w:r>
        <w:rPr>
          <w:rFonts w:ascii="宋体"/>
          <w:color w:val="auto"/>
          <w:sz w:val="24"/>
          <w:highlight w:val="none"/>
        </w:rPr>
        <w:t>4</w:t>
      </w:r>
      <w:r>
        <w:rPr>
          <w:rFonts w:hint="eastAsia" w:ascii="宋体"/>
          <w:color w:val="auto"/>
          <w:sz w:val="24"/>
          <w:highlight w:val="none"/>
        </w:rPr>
        <w:t>．</w:t>
      </w:r>
      <w:r>
        <w:rPr>
          <w:rFonts w:ascii="宋体"/>
          <w:color w:val="auto"/>
          <w:sz w:val="24"/>
          <w:highlight w:val="none"/>
        </w:rPr>
        <w:t>1</w:t>
      </w:r>
      <w:r>
        <w:rPr>
          <w:rFonts w:hint="eastAsia" w:ascii="宋体"/>
          <w:color w:val="auto"/>
          <w:sz w:val="24"/>
          <w:highlight w:val="none"/>
        </w:rPr>
        <w:t>发生紧急抢修事故时，为避免损失进一步扩大；</w:t>
      </w:r>
    </w:p>
    <w:p>
      <w:pPr>
        <w:autoSpaceDE w:val="0"/>
        <w:autoSpaceDN w:val="0"/>
        <w:spacing w:line="400" w:lineRule="exact"/>
        <w:ind w:right="360" w:firstLine="480" w:firstLineChars="200"/>
        <w:jc w:val="left"/>
        <w:rPr>
          <w:rFonts w:ascii="宋体"/>
          <w:color w:val="auto"/>
          <w:kern w:val="0"/>
          <w:sz w:val="24"/>
          <w:highlight w:val="none"/>
        </w:rPr>
      </w:pPr>
      <w:r>
        <w:rPr>
          <w:rFonts w:ascii="宋体"/>
          <w:color w:val="auto"/>
          <w:kern w:val="0"/>
          <w:sz w:val="24"/>
          <w:highlight w:val="none"/>
        </w:rPr>
        <w:t>4</w:t>
      </w:r>
      <w:r>
        <w:rPr>
          <w:rFonts w:hint="eastAsia" w:ascii="宋体"/>
          <w:color w:val="auto"/>
          <w:kern w:val="0"/>
          <w:sz w:val="24"/>
          <w:highlight w:val="none"/>
        </w:rPr>
        <w:t>．</w:t>
      </w:r>
      <w:r>
        <w:rPr>
          <w:rFonts w:ascii="宋体"/>
          <w:color w:val="auto"/>
          <w:kern w:val="0"/>
          <w:sz w:val="24"/>
          <w:highlight w:val="none"/>
        </w:rPr>
        <w:t>2</w:t>
      </w:r>
      <w:r>
        <w:rPr>
          <w:rFonts w:hint="eastAsia" w:ascii="宋体"/>
          <w:color w:val="auto"/>
          <w:kern w:val="0"/>
          <w:sz w:val="24"/>
          <w:highlight w:val="none"/>
        </w:rPr>
        <w:t>直接影响到业主正常生活，威胁业主人身财产及公司财产安全时。</w:t>
      </w:r>
    </w:p>
    <w:p>
      <w:pPr>
        <w:autoSpaceDE w:val="0"/>
        <w:autoSpaceDN w:val="0"/>
        <w:spacing w:line="400" w:lineRule="exact"/>
        <w:ind w:right="525" w:rightChars="250"/>
        <w:jc w:val="left"/>
        <w:rPr>
          <w:rFonts w:ascii="宋体"/>
          <w:b/>
          <w:bCs/>
          <w:color w:val="auto"/>
          <w:kern w:val="0"/>
          <w:sz w:val="24"/>
          <w:highlight w:val="none"/>
        </w:rPr>
      </w:pPr>
      <w:r>
        <w:rPr>
          <w:rFonts w:hint="eastAsia" w:ascii="宋体"/>
          <w:b/>
          <w:bCs/>
          <w:color w:val="auto"/>
          <w:kern w:val="0"/>
          <w:sz w:val="24"/>
          <w:highlight w:val="none"/>
        </w:rPr>
        <w:t>四、保修费用</w:t>
      </w:r>
    </w:p>
    <w:p>
      <w:pPr>
        <w:autoSpaceDE w:val="0"/>
        <w:autoSpaceDN w:val="0"/>
        <w:spacing w:line="400" w:lineRule="exact"/>
        <w:ind w:right="525" w:rightChars="250" w:firstLine="480" w:firstLineChars="200"/>
        <w:jc w:val="left"/>
        <w:rPr>
          <w:rFonts w:ascii="宋体"/>
          <w:color w:val="auto"/>
          <w:kern w:val="0"/>
          <w:sz w:val="24"/>
          <w:highlight w:val="none"/>
        </w:rPr>
      </w:pPr>
      <w:r>
        <w:rPr>
          <w:rFonts w:hint="eastAsia" w:ascii="宋体"/>
          <w:color w:val="auto"/>
          <w:kern w:val="0"/>
          <w:sz w:val="24"/>
          <w:highlight w:val="none"/>
        </w:rPr>
        <w:t>保修费用由造成质量缺陷的责任方承担。</w:t>
      </w:r>
    </w:p>
    <w:p>
      <w:pPr>
        <w:autoSpaceDE w:val="0"/>
        <w:autoSpaceDN w:val="0"/>
        <w:spacing w:line="400" w:lineRule="exact"/>
        <w:ind w:right="525" w:rightChars="250"/>
        <w:jc w:val="left"/>
        <w:rPr>
          <w:rFonts w:ascii="宋体"/>
          <w:b/>
          <w:bCs/>
          <w:color w:val="auto"/>
          <w:kern w:val="0"/>
          <w:sz w:val="24"/>
          <w:highlight w:val="none"/>
        </w:rPr>
      </w:pPr>
      <w:r>
        <w:rPr>
          <w:rFonts w:hint="eastAsia" w:ascii="宋体"/>
          <w:b/>
          <w:bCs/>
          <w:color w:val="auto"/>
          <w:kern w:val="0"/>
          <w:sz w:val="24"/>
          <w:highlight w:val="none"/>
        </w:rPr>
        <w:t>五、其他</w:t>
      </w:r>
    </w:p>
    <w:p>
      <w:pPr>
        <w:autoSpaceDE w:val="0"/>
        <w:autoSpaceDN w:val="0"/>
        <w:spacing w:line="400" w:lineRule="exact"/>
        <w:ind w:right="525" w:rightChars="250" w:firstLine="480" w:firstLineChars="200"/>
        <w:jc w:val="left"/>
        <w:rPr>
          <w:color w:val="auto"/>
          <w:kern w:val="0"/>
          <w:sz w:val="24"/>
          <w:highlight w:val="none"/>
          <w:u w:val="single"/>
        </w:rPr>
      </w:pPr>
      <w:r>
        <w:rPr>
          <w:rFonts w:hint="eastAsia" w:ascii="宋体"/>
          <w:color w:val="auto"/>
          <w:kern w:val="0"/>
          <w:sz w:val="24"/>
          <w:highlight w:val="none"/>
        </w:rPr>
        <w:t>双方约定的其他工程质量保修事宜：</w:t>
      </w:r>
    </w:p>
    <w:p>
      <w:pPr>
        <w:autoSpaceDE w:val="0"/>
        <w:autoSpaceDN w:val="0"/>
        <w:spacing w:line="400" w:lineRule="exact"/>
        <w:ind w:right="360" w:firstLine="480" w:firstLineChars="200"/>
        <w:jc w:val="left"/>
        <w:rPr>
          <w:rFonts w:ascii="宋体"/>
          <w:color w:val="auto"/>
          <w:kern w:val="0"/>
          <w:sz w:val="24"/>
          <w:highlight w:val="none"/>
        </w:rPr>
      </w:pPr>
      <w:r>
        <w:rPr>
          <w:rFonts w:hint="eastAsia" w:ascii="宋体"/>
          <w:color w:val="auto"/>
          <w:kern w:val="0"/>
          <w:sz w:val="24"/>
          <w:highlight w:val="none"/>
        </w:rPr>
        <w:t>本工程质量保修书，由施工合同发包人、承包人双方在施工合同签订时共同签署，作为施工合同附件，其有效期限至保修期满。</w:t>
      </w:r>
    </w:p>
    <w:p>
      <w:pPr>
        <w:autoSpaceDE w:val="0"/>
        <w:autoSpaceDN w:val="0"/>
        <w:spacing w:line="400" w:lineRule="exact"/>
        <w:ind w:left="593" w:leftChars="225" w:right="525" w:rightChars="250" w:hanging="120" w:hangingChars="50"/>
        <w:jc w:val="left"/>
        <w:rPr>
          <w:rFonts w:ascii="宋体"/>
          <w:color w:val="auto"/>
          <w:kern w:val="0"/>
          <w:sz w:val="24"/>
          <w:highlight w:val="none"/>
        </w:rPr>
      </w:pPr>
    </w:p>
    <w:p>
      <w:pPr>
        <w:autoSpaceDE w:val="0"/>
        <w:autoSpaceDN w:val="0"/>
        <w:spacing w:line="400" w:lineRule="exact"/>
        <w:ind w:left="593" w:leftChars="225" w:right="525" w:rightChars="250" w:hanging="120" w:hangingChars="50"/>
        <w:jc w:val="left"/>
        <w:rPr>
          <w:rFonts w:ascii="宋体"/>
          <w:color w:val="auto"/>
          <w:kern w:val="0"/>
          <w:sz w:val="24"/>
          <w:highlight w:val="none"/>
        </w:rPr>
      </w:pPr>
      <w:r>
        <w:rPr>
          <w:rFonts w:hint="eastAsia" w:ascii="宋体"/>
          <w:color w:val="auto"/>
          <w:kern w:val="0"/>
          <w:sz w:val="24"/>
          <w:highlight w:val="none"/>
        </w:rPr>
        <w:t>发包人（公章）：</w:t>
      </w:r>
      <w:r>
        <w:rPr>
          <w:rFonts w:ascii="宋体"/>
          <w:color w:val="auto"/>
          <w:kern w:val="0"/>
          <w:sz w:val="24"/>
          <w:highlight w:val="none"/>
        </w:rPr>
        <w:t xml:space="preserve">         </w:t>
      </w:r>
      <w:r>
        <w:rPr>
          <w:rFonts w:hint="eastAsia" w:ascii="宋体"/>
          <w:color w:val="auto"/>
          <w:kern w:val="0"/>
          <w:sz w:val="24"/>
          <w:highlight w:val="none"/>
        </w:rPr>
        <w:t xml:space="preserve">    </w:t>
      </w:r>
      <w:r>
        <w:rPr>
          <w:rFonts w:ascii="宋体"/>
          <w:color w:val="auto"/>
          <w:kern w:val="0"/>
          <w:sz w:val="24"/>
          <w:highlight w:val="none"/>
        </w:rPr>
        <w:t xml:space="preserve">              </w:t>
      </w:r>
      <w:r>
        <w:rPr>
          <w:rFonts w:hint="eastAsia" w:ascii="宋体"/>
          <w:color w:val="auto"/>
          <w:kern w:val="0"/>
          <w:sz w:val="24"/>
          <w:highlight w:val="none"/>
        </w:rPr>
        <w:t>承包人（公章）：</w:t>
      </w:r>
    </w:p>
    <w:p>
      <w:pPr>
        <w:autoSpaceDE w:val="0"/>
        <w:autoSpaceDN w:val="0"/>
        <w:spacing w:line="400" w:lineRule="exact"/>
        <w:ind w:left="593" w:leftChars="225" w:right="525" w:rightChars="250" w:hanging="120" w:hangingChars="50"/>
        <w:jc w:val="left"/>
        <w:rPr>
          <w:rFonts w:ascii="宋体"/>
          <w:color w:val="auto"/>
          <w:kern w:val="0"/>
          <w:sz w:val="24"/>
          <w:highlight w:val="none"/>
        </w:rPr>
      </w:pPr>
      <w:r>
        <w:rPr>
          <w:rFonts w:ascii="宋体"/>
          <w:color w:val="auto"/>
          <w:kern w:val="0"/>
          <w:sz w:val="24"/>
          <w:highlight w:val="none"/>
        </w:rPr>
        <w:t xml:space="preserve">               </w:t>
      </w:r>
    </w:p>
    <w:p>
      <w:pPr>
        <w:autoSpaceDE w:val="0"/>
        <w:autoSpaceDN w:val="0"/>
        <w:spacing w:line="400" w:lineRule="exact"/>
        <w:ind w:left="593" w:leftChars="225" w:right="525" w:rightChars="250" w:hanging="120" w:hangingChars="50"/>
        <w:jc w:val="left"/>
        <w:rPr>
          <w:rFonts w:ascii="宋体"/>
          <w:color w:val="auto"/>
          <w:kern w:val="0"/>
          <w:sz w:val="24"/>
          <w:highlight w:val="none"/>
        </w:rPr>
      </w:pPr>
      <w:r>
        <w:rPr>
          <w:rFonts w:hint="eastAsia" w:ascii="宋体"/>
          <w:color w:val="auto"/>
          <w:kern w:val="0"/>
          <w:sz w:val="24"/>
          <w:highlight w:val="none"/>
        </w:rPr>
        <w:t>法定代表人（签字或盖章）：</w:t>
      </w:r>
      <w:r>
        <w:rPr>
          <w:rFonts w:ascii="宋体"/>
          <w:color w:val="auto"/>
          <w:kern w:val="0"/>
          <w:sz w:val="24"/>
          <w:highlight w:val="none"/>
        </w:rPr>
        <w:t xml:space="preserve">             </w:t>
      </w:r>
      <w:r>
        <w:rPr>
          <w:rFonts w:hint="eastAsia" w:ascii="宋体"/>
          <w:color w:val="auto"/>
          <w:kern w:val="0"/>
          <w:sz w:val="24"/>
          <w:highlight w:val="none"/>
        </w:rPr>
        <w:t xml:space="preserve">    法定代表人（签字或盖章）</w:t>
      </w:r>
    </w:p>
    <w:p>
      <w:pPr>
        <w:autoSpaceDE w:val="0"/>
        <w:autoSpaceDN w:val="0"/>
        <w:spacing w:line="400" w:lineRule="exact"/>
        <w:ind w:left="593" w:leftChars="225" w:right="525" w:rightChars="250" w:hanging="120" w:hangingChars="50"/>
        <w:jc w:val="left"/>
        <w:rPr>
          <w:rFonts w:ascii="宋体"/>
          <w:color w:val="auto"/>
          <w:kern w:val="0"/>
          <w:sz w:val="24"/>
          <w:highlight w:val="none"/>
        </w:rPr>
      </w:pPr>
    </w:p>
    <w:p>
      <w:pPr>
        <w:spacing w:line="400" w:lineRule="exact"/>
        <w:ind w:firstLine="1200" w:firstLineChars="500"/>
        <w:rPr>
          <w:rFonts w:ascii="宋体"/>
          <w:color w:val="auto"/>
          <w:sz w:val="24"/>
          <w:highlight w:val="none"/>
        </w:rPr>
      </w:pPr>
      <w:r>
        <w:rPr>
          <w:rFonts w:hint="eastAsia" w:ascii="宋体"/>
          <w:color w:val="auto"/>
          <w:sz w:val="24"/>
          <w:highlight w:val="none"/>
          <w:u w:val="single"/>
        </w:rPr>
        <w:t xml:space="preserve">     </w:t>
      </w:r>
      <w:r>
        <w:rPr>
          <w:rFonts w:hint="eastAsia" w:ascii="宋体"/>
          <w:color w:val="auto"/>
          <w:sz w:val="24"/>
          <w:highlight w:val="none"/>
        </w:rPr>
        <w:t>年  月  日</w:t>
      </w:r>
      <w:r>
        <w:rPr>
          <w:rFonts w:ascii="宋体"/>
          <w:color w:val="auto"/>
          <w:sz w:val="24"/>
          <w:highlight w:val="none"/>
        </w:rPr>
        <w:t xml:space="preserve">                          </w:t>
      </w:r>
      <w:r>
        <w:rPr>
          <w:rFonts w:hint="eastAsia" w:ascii="宋体"/>
          <w:color w:val="auto"/>
          <w:sz w:val="24"/>
          <w:highlight w:val="none"/>
        </w:rPr>
        <w:t xml:space="preserve">   </w:t>
      </w:r>
      <w:r>
        <w:rPr>
          <w:rFonts w:ascii="宋体"/>
          <w:color w:val="auto"/>
          <w:sz w:val="24"/>
          <w:highlight w:val="none"/>
        </w:rPr>
        <w:t xml:space="preserve">  </w:t>
      </w:r>
      <w:r>
        <w:rPr>
          <w:rFonts w:ascii="宋体"/>
          <w:color w:val="auto"/>
          <w:sz w:val="24"/>
          <w:highlight w:val="none"/>
          <w:u w:val="single"/>
        </w:rPr>
        <w:t xml:space="preserve"> </w:t>
      </w:r>
      <w:r>
        <w:rPr>
          <w:rFonts w:hint="eastAsia" w:ascii="宋体"/>
          <w:color w:val="auto"/>
          <w:sz w:val="24"/>
          <w:highlight w:val="none"/>
          <w:u w:val="single"/>
        </w:rPr>
        <w:t xml:space="preserve">   </w:t>
      </w:r>
      <w:r>
        <w:rPr>
          <w:rFonts w:hint="eastAsia" w:ascii="宋体"/>
          <w:color w:val="auto"/>
          <w:sz w:val="24"/>
          <w:highlight w:val="none"/>
        </w:rPr>
        <w:t>年  月  日</w:t>
      </w:r>
    </w:p>
    <w:p>
      <w:pPr>
        <w:spacing w:line="400" w:lineRule="exact"/>
        <w:rPr>
          <w:rFonts w:hAnsi="宋体"/>
          <w:color w:val="auto"/>
          <w:sz w:val="24"/>
          <w:highlight w:val="none"/>
        </w:rPr>
        <w:sectPr>
          <w:headerReference r:id="rId14" w:type="first"/>
          <w:footerReference r:id="rId16" w:type="first"/>
          <w:headerReference r:id="rId13" w:type="default"/>
          <w:footerReference r:id="rId15" w:type="default"/>
          <w:pgSz w:w="11906" w:h="16838"/>
          <w:pgMar w:top="1440" w:right="1080" w:bottom="1440" w:left="1080" w:header="851" w:footer="992" w:gutter="0"/>
          <w:cols w:space="720" w:num="1"/>
          <w:titlePg/>
          <w:docGrid w:linePitch="312" w:charSpace="0"/>
        </w:sectPr>
      </w:pPr>
    </w:p>
    <w:p>
      <w:pPr>
        <w:spacing w:line="400" w:lineRule="exact"/>
        <w:rPr>
          <w:rFonts w:hAnsi="宋体"/>
          <w:color w:val="auto"/>
          <w:sz w:val="24"/>
          <w:highlight w:val="none"/>
        </w:rPr>
      </w:pPr>
      <w:r>
        <w:rPr>
          <w:rFonts w:hAnsi="宋体"/>
          <w:color w:val="auto"/>
          <w:sz w:val="24"/>
          <w:highlight w:val="none"/>
        </w:rPr>
        <w:t>附件4：</w:t>
      </w:r>
    </w:p>
    <w:p>
      <w:pPr>
        <w:spacing w:before="120" w:beforeLines="50" w:after="120" w:afterLines="50" w:line="440" w:lineRule="exact"/>
        <w:jc w:val="center"/>
        <w:rPr>
          <w:rFonts w:hAnsi="宋体"/>
          <w:color w:val="auto"/>
          <w:sz w:val="24"/>
          <w:highlight w:val="none"/>
        </w:rPr>
      </w:pPr>
      <w:r>
        <w:rPr>
          <w:rFonts w:hAnsi="宋体"/>
          <w:color w:val="auto"/>
          <w:sz w:val="24"/>
          <w:highlight w:val="none"/>
        </w:rPr>
        <w:t>主要建设工程文件目录</w:t>
      </w:r>
    </w:p>
    <w:tbl>
      <w:tblPr>
        <w:tblStyle w:val="65"/>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文件名称</w:t>
            </w:r>
          </w:p>
        </w:tc>
        <w:tc>
          <w:tcPr>
            <w:tcW w:w="1276"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套数</w:t>
            </w:r>
          </w:p>
        </w:tc>
        <w:tc>
          <w:tcPr>
            <w:tcW w:w="145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费用</w:t>
            </w:r>
            <w:r>
              <w:rPr>
                <w:rFonts w:hint="eastAsia" w:hAnsi="宋体" w:cs="Times New Roman"/>
                <w:color w:val="auto"/>
                <w:highlight w:val="none"/>
                <w:lang w:val="en-US"/>
              </w:rPr>
              <w:t>（元）</w:t>
            </w:r>
          </w:p>
        </w:tc>
        <w:tc>
          <w:tcPr>
            <w:tcW w:w="1243"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质量</w:t>
            </w:r>
          </w:p>
        </w:tc>
        <w:tc>
          <w:tcPr>
            <w:tcW w:w="1450" w:type="dxa"/>
            <w:tcBorders>
              <w:top w:val="single" w:color="auto" w:sz="12" w:space="0"/>
              <w:bottom w:val="double" w:color="auto" w:sz="6" w:space="0"/>
            </w:tcBorders>
          </w:tcPr>
          <w:p>
            <w:pPr>
              <w:spacing w:line="440" w:lineRule="exact"/>
              <w:jc w:val="center"/>
              <w:rPr>
                <w:rFonts w:hAnsi="宋体"/>
                <w:color w:val="auto"/>
                <w:sz w:val="24"/>
                <w:highlight w:val="none"/>
              </w:rPr>
            </w:pPr>
            <w:r>
              <w:rPr>
                <w:rFonts w:hAnsi="宋体"/>
                <w:color w:val="auto"/>
                <w:sz w:val="24"/>
                <w:highlight w:val="none"/>
              </w:rPr>
              <w:t>移交时间</w:t>
            </w:r>
          </w:p>
        </w:tc>
        <w:tc>
          <w:tcPr>
            <w:tcW w:w="1667" w:type="dxa"/>
            <w:tcBorders>
              <w:top w:val="single" w:color="auto" w:sz="12" w:space="0"/>
              <w:bottom w:val="double" w:color="auto" w:sz="6" w:space="0"/>
            </w:tcBorders>
          </w:tcPr>
          <w:p>
            <w:pPr>
              <w:spacing w:line="440" w:lineRule="exact"/>
              <w:jc w:val="center"/>
              <w:rPr>
                <w:rFonts w:hAnsi="宋体"/>
                <w:color w:val="auto"/>
                <w:sz w:val="24"/>
                <w:highlight w:val="none"/>
              </w:rPr>
            </w:pPr>
            <w:r>
              <w:rPr>
                <w:rFonts w:hAnsi="宋体"/>
                <w:color w:val="auto"/>
                <w:sz w:val="24"/>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276"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5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243"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5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667"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276"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243"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667"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6"/>
              <w:keepNext/>
              <w:spacing w:line="440" w:lineRule="exact"/>
              <w:ind w:left="63" w:right="63"/>
              <w:rPr>
                <w:rFonts w:hAnsi="宋体" w:cs="Times New Roman"/>
                <w:color w:val="auto"/>
                <w:highlight w:val="none"/>
                <w:lang w:val="en-US"/>
              </w:rPr>
            </w:pPr>
          </w:p>
        </w:tc>
        <w:tc>
          <w:tcPr>
            <w:tcW w:w="1276"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243" w:type="dxa"/>
            <w:vAlign w:val="center"/>
          </w:tcPr>
          <w:p>
            <w:pPr>
              <w:pStyle w:val="26"/>
              <w:keepNext/>
              <w:spacing w:line="440" w:lineRule="exact"/>
              <w:ind w:left="63" w:right="63"/>
              <w:rPr>
                <w:rFonts w:hAnsi="宋体" w:cs="Times New Roman"/>
                <w:color w:val="auto"/>
                <w:highlight w:val="none"/>
                <w:lang w:val="en-US"/>
              </w:rPr>
            </w:pPr>
          </w:p>
        </w:tc>
        <w:tc>
          <w:tcPr>
            <w:tcW w:w="1450" w:type="dxa"/>
            <w:vAlign w:val="center"/>
          </w:tcPr>
          <w:p>
            <w:pPr>
              <w:pStyle w:val="26"/>
              <w:keepNext/>
              <w:spacing w:line="440" w:lineRule="exact"/>
              <w:ind w:left="63" w:right="63"/>
              <w:rPr>
                <w:rFonts w:hAnsi="宋体" w:cs="Times New Roman"/>
                <w:color w:val="auto"/>
                <w:highlight w:val="none"/>
                <w:lang w:val="en-US"/>
              </w:rPr>
            </w:pPr>
          </w:p>
        </w:tc>
        <w:tc>
          <w:tcPr>
            <w:tcW w:w="1667"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Ansi="宋体"/>
                <w:color w:val="auto"/>
                <w:sz w:val="24"/>
                <w:highlight w:val="none"/>
              </w:rPr>
            </w:pPr>
          </w:p>
        </w:tc>
        <w:tc>
          <w:tcPr>
            <w:tcW w:w="1276" w:type="dxa"/>
          </w:tcPr>
          <w:p>
            <w:pPr>
              <w:rPr>
                <w:rFonts w:hAnsi="宋体"/>
                <w:color w:val="auto"/>
                <w:sz w:val="24"/>
                <w:highlight w:val="none"/>
              </w:rPr>
            </w:pPr>
          </w:p>
        </w:tc>
        <w:tc>
          <w:tcPr>
            <w:tcW w:w="1450" w:type="dxa"/>
          </w:tcPr>
          <w:p>
            <w:pPr>
              <w:rPr>
                <w:rFonts w:hAnsi="宋体"/>
                <w:color w:val="auto"/>
                <w:sz w:val="24"/>
                <w:highlight w:val="none"/>
              </w:rPr>
            </w:pPr>
          </w:p>
        </w:tc>
        <w:tc>
          <w:tcPr>
            <w:tcW w:w="1243" w:type="dxa"/>
          </w:tcPr>
          <w:p>
            <w:pPr>
              <w:rPr>
                <w:rFonts w:hAnsi="宋体"/>
                <w:color w:val="auto"/>
                <w:sz w:val="24"/>
                <w:highlight w:val="none"/>
              </w:rPr>
            </w:pPr>
          </w:p>
        </w:tc>
        <w:tc>
          <w:tcPr>
            <w:tcW w:w="1450" w:type="dxa"/>
          </w:tcPr>
          <w:p>
            <w:pPr>
              <w:rPr>
                <w:rFonts w:hAnsi="宋体"/>
                <w:color w:val="auto"/>
                <w:sz w:val="24"/>
                <w:highlight w:val="none"/>
              </w:rPr>
            </w:pPr>
          </w:p>
        </w:tc>
        <w:tc>
          <w:tcPr>
            <w:tcW w:w="1667" w:type="dxa"/>
          </w:tcPr>
          <w:p>
            <w:pPr>
              <w:rPr>
                <w:rFonts w:hAnsi="宋体"/>
                <w:color w:val="auto"/>
                <w:sz w:val="24"/>
                <w:highlight w:val="none"/>
              </w:rPr>
            </w:pPr>
          </w:p>
        </w:tc>
      </w:tr>
    </w:tbl>
    <w:p>
      <w:pPr>
        <w:spacing w:line="440" w:lineRule="exact"/>
        <w:rPr>
          <w:rFonts w:hAnsi="宋体"/>
          <w:color w:val="auto"/>
          <w:sz w:val="24"/>
          <w:highlight w:val="none"/>
        </w:rPr>
      </w:pPr>
    </w:p>
    <w:p>
      <w:pPr>
        <w:spacing w:line="440" w:lineRule="exact"/>
        <w:rPr>
          <w:rFonts w:hAnsi="宋体"/>
          <w:color w:val="auto"/>
          <w:sz w:val="24"/>
          <w:highlight w:val="none"/>
        </w:rPr>
      </w:pPr>
      <w:r>
        <w:rPr>
          <w:rFonts w:hAnsi="宋体"/>
          <w:color w:val="auto"/>
          <w:sz w:val="24"/>
          <w:highlight w:val="none"/>
        </w:rPr>
        <w:br w:type="page"/>
      </w:r>
      <w:r>
        <w:rPr>
          <w:rFonts w:hAnsi="宋体"/>
          <w:color w:val="auto"/>
          <w:sz w:val="24"/>
          <w:highlight w:val="none"/>
        </w:rPr>
        <w:t>附</w:t>
      </w:r>
      <w:bookmarkStart w:id="401" w:name="_Toc296346728"/>
      <w:bookmarkStart w:id="402" w:name="_Toc296891267"/>
      <w:bookmarkStart w:id="403" w:name="_Toc296503227"/>
      <w:bookmarkStart w:id="404" w:name="_Toc296347226"/>
      <w:bookmarkStart w:id="405" w:name="_Toc296891055"/>
      <w:bookmarkStart w:id="406" w:name="_Toc296944566"/>
      <w:bookmarkStart w:id="407" w:name="_Toc267261698"/>
      <w:r>
        <w:rPr>
          <w:rFonts w:hAnsi="宋体"/>
          <w:color w:val="auto"/>
          <w:sz w:val="24"/>
          <w:highlight w:val="none"/>
        </w:rPr>
        <w:t>件5：</w:t>
      </w:r>
    </w:p>
    <w:bookmarkEnd w:id="401"/>
    <w:bookmarkEnd w:id="402"/>
    <w:bookmarkEnd w:id="403"/>
    <w:bookmarkEnd w:id="404"/>
    <w:bookmarkEnd w:id="405"/>
    <w:bookmarkEnd w:id="406"/>
    <w:bookmarkEnd w:id="407"/>
    <w:p>
      <w:pPr>
        <w:spacing w:before="120" w:beforeLines="50" w:after="120" w:afterLines="50" w:line="440" w:lineRule="exact"/>
        <w:jc w:val="center"/>
        <w:rPr>
          <w:rFonts w:hAnsi="宋体"/>
          <w:color w:val="auto"/>
          <w:sz w:val="24"/>
          <w:highlight w:val="none"/>
        </w:rPr>
      </w:pPr>
      <w:r>
        <w:rPr>
          <w:rFonts w:hAnsi="宋体"/>
          <w:color w:val="auto"/>
          <w:sz w:val="24"/>
          <w:highlight w:val="none"/>
        </w:rPr>
        <w:t>承包人用于本工程施工的机械设备表</w:t>
      </w:r>
    </w:p>
    <w:tbl>
      <w:tblPr>
        <w:tblStyle w:val="65"/>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序号</w:t>
            </w:r>
          </w:p>
        </w:tc>
        <w:tc>
          <w:tcPr>
            <w:tcW w:w="1418"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机械或设备名称</w:t>
            </w:r>
          </w:p>
        </w:tc>
        <w:tc>
          <w:tcPr>
            <w:tcW w:w="85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规格型号</w:t>
            </w:r>
          </w:p>
        </w:tc>
        <w:tc>
          <w:tcPr>
            <w:tcW w:w="1058"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数量</w:t>
            </w:r>
          </w:p>
        </w:tc>
        <w:tc>
          <w:tcPr>
            <w:tcW w:w="88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产地</w:t>
            </w:r>
          </w:p>
        </w:tc>
        <w:tc>
          <w:tcPr>
            <w:tcW w:w="102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制造年份</w:t>
            </w:r>
          </w:p>
        </w:tc>
        <w:tc>
          <w:tcPr>
            <w:tcW w:w="148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额定功率(kW)</w:t>
            </w:r>
          </w:p>
        </w:tc>
        <w:tc>
          <w:tcPr>
            <w:tcW w:w="1020"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生产能力</w:t>
            </w:r>
          </w:p>
        </w:tc>
        <w:tc>
          <w:tcPr>
            <w:tcW w:w="92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18"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058"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88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02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48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1020"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c>
          <w:tcPr>
            <w:tcW w:w="921" w:type="dxa"/>
            <w:tcBorders>
              <w:top w:val="double" w:color="auto" w:sz="6" w:space="0"/>
              <w:bottom w:val="single" w:color="auto" w:sz="6" w:space="0"/>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18"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5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058"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88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02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48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020"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921"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850" w:type="dxa"/>
            <w:vAlign w:val="center"/>
          </w:tcPr>
          <w:p>
            <w:pPr>
              <w:pStyle w:val="26"/>
              <w:keepNext/>
              <w:spacing w:line="440" w:lineRule="exact"/>
              <w:ind w:left="63" w:right="63"/>
              <w:rPr>
                <w:rFonts w:hAnsi="宋体" w:cs="Times New Roman"/>
                <w:color w:val="auto"/>
                <w:highlight w:val="none"/>
                <w:lang w:val="en-US"/>
              </w:rPr>
            </w:pPr>
          </w:p>
        </w:tc>
        <w:tc>
          <w:tcPr>
            <w:tcW w:w="1058" w:type="dxa"/>
            <w:vAlign w:val="center"/>
          </w:tcPr>
          <w:p>
            <w:pPr>
              <w:pStyle w:val="26"/>
              <w:keepNext/>
              <w:spacing w:line="440" w:lineRule="exact"/>
              <w:ind w:left="63" w:right="63"/>
              <w:rPr>
                <w:rFonts w:hAnsi="宋体" w:cs="Times New Roman"/>
                <w:color w:val="auto"/>
                <w:highlight w:val="none"/>
                <w:lang w:val="en-US"/>
              </w:rPr>
            </w:pPr>
          </w:p>
        </w:tc>
        <w:tc>
          <w:tcPr>
            <w:tcW w:w="8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1480" w:type="dxa"/>
            <w:vAlign w:val="center"/>
          </w:tcPr>
          <w:p>
            <w:pPr>
              <w:pStyle w:val="26"/>
              <w:keepNext/>
              <w:spacing w:line="440" w:lineRule="exact"/>
              <w:ind w:left="63" w:right="63"/>
              <w:rPr>
                <w:rFonts w:hAnsi="宋体" w:cs="Times New Roman"/>
                <w:color w:val="auto"/>
                <w:highlight w:val="none"/>
                <w:lang w:val="en-US"/>
              </w:rPr>
            </w:pPr>
          </w:p>
        </w:tc>
        <w:tc>
          <w:tcPr>
            <w:tcW w:w="1020" w:type="dxa"/>
            <w:vAlign w:val="center"/>
          </w:tcPr>
          <w:p>
            <w:pPr>
              <w:pStyle w:val="26"/>
              <w:keepNext/>
              <w:spacing w:line="440" w:lineRule="exact"/>
              <w:ind w:left="63" w:right="63"/>
              <w:rPr>
                <w:rFonts w:hAnsi="宋体" w:cs="Times New Roman"/>
                <w:color w:val="auto"/>
                <w:highlight w:val="none"/>
                <w:lang w:val="en-US"/>
              </w:rPr>
            </w:pPr>
          </w:p>
        </w:tc>
        <w:tc>
          <w:tcPr>
            <w:tcW w:w="921"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Ansi="宋体"/>
                <w:color w:val="auto"/>
                <w:sz w:val="24"/>
                <w:highlight w:val="none"/>
              </w:rPr>
            </w:pPr>
          </w:p>
        </w:tc>
        <w:tc>
          <w:tcPr>
            <w:tcW w:w="1418" w:type="dxa"/>
          </w:tcPr>
          <w:p>
            <w:pPr>
              <w:rPr>
                <w:rFonts w:hAnsi="宋体"/>
                <w:color w:val="auto"/>
                <w:sz w:val="24"/>
                <w:highlight w:val="none"/>
              </w:rPr>
            </w:pPr>
          </w:p>
        </w:tc>
        <w:tc>
          <w:tcPr>
            <w:tcW w:w="850" w:type="dxa"/>
          </w:tcPr>
          <w:p>
            <w:pPr>
              <w:rPr>
                <w:rFonts w:hAnsi="宋体"/>
                <w:color w:val="auto"/>
                <w:sz w:val="24"/>
                <w:highlight w:val="none"/>
              </w:rPr>
            </w:pPr>
          </w:p>
        </w:tc>
        <w:tc>
          <w:tcPr>
            <w:tcW w:w="1058" w:type="dxa"/>
          </w:tcPr>
          <w:p>
            <w:pPr>
              <w:rPr>
                <w:rFonts w:hAnsi="宋体"/>
                <w:color w:val="auto"/>
                <w:sz w:val="24"/>
                <w:highlight w:val="none"/>
              </w:rPr>
            </w:pPr>
          </w:p>
        </w:tc>
        <w:tc>
          <w:tcPr>
            <w:tcW w:w="880" w:type="dxa"/>
          </w:tcPr>
          <w:p>
            <w:pPr>
              <w:rPr>
                <w:rFonts w:hAnsi="宋体"/>
                <w:color w:val="auto"/>
                <w:sz w:val="24"/>
                <w:highlight w:val="none"/>
              </w:rPr>
            </w:pPr>
          </w:p>
        </w:tc>
        <w:tc>
          <w:tcPr>
            <w:tcW w:w="1020" w:type="dxa"/>
          </w:tcPr>
          <w:p>
            <w:pPr>
              <w:rPr>
                <w:rFonts w:hAnsi="宋体"/>
                <w:color w:val="auto"/>
                <w:sz w:val="24"/>
                <w:highlight w:val="none"/>
              </w:rPr>
            </w:pPr>
          </w:p>
        </w:tc>
        <w:tc>
          <w:tcPr>
            <w:tcW w:w="1480" w:type="dxa"/>
          </w:tcPr>
          <w:p>
            <w:pPr>
              <w:rPr>
                <w:rFonts w:hAnsi="宋体"/>
                <w:color w:val="auto"/>
                <w:sz w:val="24"/>
                <w:highlight w:val="none"/>
              </w:rPr>
            </w:pPr>
          </w:p>
        </w:tc>
        <w:tc>
          <w:tcPr>
            <w:tcW w:w="1020" w:type="dxa"/>
          </w:tcPr>
          <w:p>
            <w:pPr>
              <w:rPr>
                <w:rFonts w:hAnsi="宋体"/>
                <w:color w:val="auto"/>
                <w:sz w:val="24"/>
                <w:highlight w:val="none"/>
              </w:rPr>
            </w:pPr>
          </w:p>
        </w:tc>
        <w:tc>
          <w:tcPr>
            <w:tcW w:w="921" w:type="dxa"/>
          </w:tcPr>
          <w:p>
            <w:pPr>
              <w:rPr>
                <w:rFonts w:hAnsi="宋体"/>
                <w:color w:val="auto"/>
                <w:sz w:val="24"/>
                <w:highlight w:val="none"/>
              </w:rPr>
            </w:pPr>
          </w:p>
        </w:tc>
      </w:tr>
    </w:tbl>
    <w:p>
      <w:pPr>
        <w:spacing w:line="440" w:lineRule="exact"/>
        <w:rPr>
          <w:rFonts w:hAnsi="宋体"/>
          <w:color w:val="auto"/>
          <w:sz w:val="24"/>
          <w:highlight w:val="none"/>
        </w:rPr>
      </w:pPr>
    </w:p>
    <w:p>
      <w:pPr>
        <w:spacing w:line="440" w:lineRule="exact"/>
        <w:rPr>
          <w:rFonts w:hAnsi="宋体"/>
          <w:color w:val="auto"/>
          <w:sz w:val="24"/>
          <w:highlight w:val="none"/>
        </w:rPr>
      </w:pPr>
      <w:r>
        <w:rPr>
          <w:rFonts w:hAnsi="宋体"/>
          <w:color w:val="auto"/>
          <w:sz w:val="24"/>
          <w:highlight w:val="none"/>
        </w:rPr>
        <w:br w:type="page"/>
      </w:r>
      <w:r>
        <w:rPr>
          <w:rFonts w:hint="eastAsia" w:hAnsi="宋体"/>
          <w:color w:val="auto"/>
          <w:sz w:val="24"/>
          <w:highlight w:val="none"/>
        </w:rPr>
        <w:t>附</w:t>
      </w:r>
      <w:bookmarkStart w:id="408" w:name="_Toc296891056"/>
      <w:bookmarkStart w:id="409" w:name="_Toc296891268"/>
      <w:bookmarkStart w:id="410" w:name="_Toc296347227"/>
      <w:bookmarkStart w:id="411" w:name="_Toc267261699"/>
      <w:bookmarkStart w:id="412" w:name="_Toc296346729"/>
      <w:bookmarkStart w:id="413" w:name="_Toc296503228"/>
      <w:bookmarkStart w:id="414" w:name="_Toc296944567"/>
      <w:r>
        <w:rPr>
          <w:rFonts w:hint="eastAsia" w:hAnsi="宋体"/>
          <w:color w:val="auto"/>
          <w:sz w:val="24"/>
          <w:highlight w:val="none"/>
        </w:rPr>
        <w:t>件</w:t>
      </w:r>
      <w:r>
        <w:rPr>
          <w:rFonts w:hAnsi="宋体"/>
          <w:color w:val="auto"/>
          <w:sz w:val="24"/>
          <w:highlight w:val="none"/>
        </w:rPr>
        <w:t>6</w:t>
      </w:r>
      <w:r>
        <w:rPr>
          <w:rFonts w:hint="eastAsia" w:hAnsi="宋体"/>
          <w:color w:val="auto"/>
          <w:sz w:val="24"/>
          <w:highlight w:val="none"/>
        </w:rPr>
        <w:t>：</w:t>
      </w:r>
    </w:p>
    <w:bookmarkEnd w:id="408"/>
    <w:bookmarkEnd w:id="409"/>
    <w:bookmarkEnd w:id="410"/>
    <w:bookmarkEnd w:id="411"/>
    <w:bookmarkEnd w:id="412"/>
    <w:bookmarkEnd w:id="413"/>
    <w:bookmarkEnd w:id="414"/>
    <w:p>
      <w:pPr>
        <w:spacing w:before="120" w:beforeLines="50" w:after="120" w:afterLines="50" w:line="440" w:lineRule="exact"/>
        <w:jc w:val="center"/>
        <w:rPr>
          <w:rFonts w:hAnsi="宋体"/>
          <w:color w:val="auto"/>
          <w:sz w:val="24"/>
          <w:highlight w:val="none"/>
        </w:rPr>
      </w:pPr>
      <w:r>
        <w:rPr>
          <w:rFonts w:hint="eastAsia" w:hAnsi="宋体"/>
          <w:color w:val="auto"/>
          <w:sz w:val="24"/>
          <w:highlight w:val="none"/>
        </w:rPr>
        <w:t>承包人主要施工管理人员表</w:t>
      </w:r>
    </w:p>
    <w:tbl>
      <w:tblPr>
        <w:tblStyle w:val="65"/>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名</w:t>
            </w:r>
            <w:r>
              <w:rPr>
                <w:rFonts w:hAnsi="宋体" w:cs="Times New Roman"/>
                <w:color w:val="auto"/>
                <w:highlight w:val="none"/>
                <w:lang w:val="en-US"/>
              </w:rPr>
              <w:t xml:space="preserve">    </w:t>
            </w:r>
            <w:r>
              <w:rPr>
                <w:rFonts w:hint="eastAsia" w:hAnsi="宋体" w:cs="Times New Roman"/>
                <w:color w:val="auto"/>
                <w:highlight w:val="none"/>
                <w:lang w:val="en-US"/>
              </w:rPr>
              <w:t>称</w:t>
            </w:r>
          </w:p>
        </w:tc>
        <w:tc>
          <w:tcPr>
            <w:tcW w:w="1418"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姓名</w:t>
            </w:r>
          </w:p>
        </w:tc>
        <w:tc>
          <w:tcPr>
            <w:tcW w:w="113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职务</w:t>
            </w:r>
          </w:p>
        </w:tc>
        <w:tc>
          <w:tcPr>
            <w:tcW w:w="113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职称</w:t>
            </w:r>
          </w:p>
        </w:tc>
        <w:tc>
          <w:tcPr>
            <w:tcW w:w="4252"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项目主管</w:t>
            </w:r>
          </w:p>
        </w:tc>
        <w:tc>
          <w:tcPr>
            <w:tcW w:w="1418"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4252"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nil"/>
            </w:tcBorders>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其他人员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项目经理</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strike/>
                <w:color w:val="auto"/>
                <w:highlight w:val="none"/>
                <w:lang w:val="en-US"/>
              </w:rPr>
            </w:pPr>
            <w:r>
              <w:rPr>
                <w:rFonts w:hint="eastAsia" w:hAnsi="宋体" w:cs="Times New Roman"/>
                <w:color w:val="auto"/>
                <w:highlight w:val="none"/>
                <w:lang w:val="en-US"/>
              </w:rPr>
              <w:t>技术负责人</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造价管理</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质量员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施工员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资料员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材料员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专职安全生产管理人员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其他人员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418"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4252"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r>
    </w:tbl>
    <w:p>
      <w:pPr>
        <w:spacing w:line="440" w:lineRule="exact"/>
        <w:rPr>
          <w:rFonts w:hAnsi="宋体"/>
          <w:color w:val="auto"/>
          <w:sz w:val="24"/>
          <w:highlight w:val="none"/>
        </w:rPr>
      </w:pPr>
      <w:r>
        <w:rPr>
          <w:rFonts w:hAnsi="宋体"/>
          <w:color w:val="auto"/>
          <w:sz w:val="24"/>
          <w:highlight w:val="none"/>
        </w:rPr>
        <w:br w:type="page"/>
      </w:r>
      <w:bookmarkStart w:id="415" w:name="_Toc267261701"/>
      <w:r>
        <w:rPr>
          <w:rFonts w:hint="eastAsia" w:hAnsi="宋体"/>
          <w:color w:val="auto"/>
          <w:sz w:val="24"/>
          <w:highlight w:val="none"/>
        </w:rPr>
        <w:t>附件7：</w:t>
      </w:r>
    </w:p>
    <w:p>
      <w:pPr>
        <w:spacing w:before="120" w:beforeLines="50" w:after="120" w:afterLines="50" w:line="440" w:lineRule="exact"/>
        <w:jc w:val="center"/>
        <w:rPr>
          <w:rFonts w:hAnsi="宋体"/>
          <w:color w:val="auto"/>
          <w:sz w:val="24"/>
          <w:highlight w:val="none"/>
        </w:rPr>
      </w:pPr>
      <w:r>
        <w:rPr>
          <w:rFonts w:hint="eastAsia" w:hAnsi="宋体"/>
          <w:color w:val="auto"/>
          <w:sz w:val="24"/>
          <w:highlight w:val="none"/>
        </w:rPr>
        <w:t>分包人主要施工管理人员表</w:t>
      </w:r>
    </w:p>
    <w:tbl>
      <w:tblPr>
        <w:tblStyle w:val="65"/>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名</w:t>
            </w:r>
            <w:r>
              <w:rPr>
                <w:rFonts w:hAnsi="宋体" w:cs="Times New Roman"/>
                <w:color w:val="auto"/>
                <w:highlight w:val="none"/>
                <w:lang w:val="en-US"/>
              </w:rPr>
              <w:t xml:space="preserve">    </w:t>
            </w:r>
            <w:r>
              <w:rPr>
                <w:rFonts w:hint="eastAsia" w:hAnsi="宋体" w:cs="Times New Roman"/>
                <w:color w:val="auto"/>
                <w:highlight w:val="none"/>
                <w:lang w:val="en-US"/>
              </w:rPr>
              <w:t>称</w:t>
            </w:r>
          </w:p>
        </w:tc>
        <w:tc>
          <w:tcPr>
            <w:tcW w:w="1418"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姓名</w:t>
            </w:r>
          </w:p>
        </w:tc>
        <w:tc>
          <w:tcPr>
            <w:tcW w:w="113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职务</w:t>
            </w:r>
          </w:p>
        </w:tc>
        <w:tc>
          <w:tcPr>
            <w:tcW w:w="1134"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职称</w:t>
            </w:r>
          </w:p>
        </w:tc>
        <w:tc>
          <w:tcPr>
            <w:tcW w:w="4252" w:type="dxa"/>
            <w:tcBorders>
              <w:top w:val="single" w:color="auto" w:sz="12" w:space="0"/>
              <w:bottom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项目主管</w:t>
            </w:r>
          </w:p>
        </w:tc>
        <w:tc>
          <w:tcPr>
            <w:tcW w:w="1418"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top w:val="nil"/>
            </w:tcBorders>
            <w:vAlign w:val="center"/>
          </w:tcPr>
          <w:p>
            <w:pPr>
              <w:pStyle w:val="26"/>
              <w:keepNext/>
              <w:spacing w:line="440" w:lineRule="exact"/>
              <w:ind w:left="63" w:right="63"/>
              <w:rPr>
                <w:rFonts w:hAnsi="宋体" w:cs="Times New Roman"/>
                <w:color w:val="auto"/>
                <w:highlight w:val="none"/>
                <w:lang w:val="en-US"/>
              </w:rPr>
            </w:pPr>
          </w:p>
        </w:tc>
        <w:tc>
          <w:tcPr>
            <w:tcW w:w="4252" w:type="dxa"/>
            <w:tcBorders>
              <w:top w:val="nil"/>
            </w:tcBorders>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nil"/>
            </w:tcBorders>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其他人员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项目经理</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strike/>
                <w:color w:val="auto"/>
                <w:highlight w:val="none"/>
                <w:lang w:val="en-US"/>
              </w:rPr>
            </w:pPr>
            <w:r>
              <w:rPr>
                <w:rFonts w:hint="eastAsia" w:hAnsi="宋体" w:cs="Times New Roman"/>
                <w:color w:val="auto"/>
                <w:highlight w:val="none"/>
                <w:lang w:val="en-US"/>
              </w:rPr>
              <w:t>技术负责人</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造价管理</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质量员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施工员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资料员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材料员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专职安全生产管理人员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6"/>
              <w:keepNext/>
              <w:spacing w:line="440" w:lineRule="exact"/>
              <w:ind w:left="63" w:right="63"/>
              <w:rPr>
                <w:rFonts w:hAnsi="宋体" w:cs="Times New Roman"/>
                <w:color w:val="auto"/>
                <w:highlight w:val="none"/>
                <w:lang w:val="en-US"/>
              </w:rPr>
            </w:pPr>
            <w:r>
              <w:rPr>
                <w:rFonts w:hint="eastAsia" w:hAnsi="宋体" w:cs="Times New Roman"/>
                <w:color w:val="auto"/>
                <w:highlight w:val="none"/>
                <w:lang w:val="en-US"/>
              </w:rPr>
              <w:t>其他人员</w:t>
            </w: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6"/>
              <w:keepNext/>
              <w:spacing w:line="440" w:lineRule="exact"/>
              <w:ind w:left="63" w:right="63"/>
              <w:rPr>
                <w:rFonts w:hAnsi="宋体" w:cs="Times New Roman"/>
                <w:color w:val="auto"/>
                <w:highlight w:val="none"/>
                <w:lang w:val="en-US"/>
              </w:rPr>
            </w:pPr>
          </w:p>
        </w:tc>
        <w:tc>
          <w:tcPr>
            <w:tcW w:w="1418"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1134" w:type="dxa"/>
            <w:vAlign w:val="center"/>
          </w:tcPr>
          <w:p>
            <w:pPr>
              <w:pStyle w:val="26"/>
              <w:keepNext/>
              <w:spacing w:line="440" w:lineRule="exact"/>
              <w:ind w:left="63" w:right="63"/>
              <w:rPr>
                <w:rFonts w:hAnsi="宋体" w:cs="Times New Roman"/>
                <w:color w:val="auto"/>
                <w:highlight w:val="none"/>
                <w:lang w:val="en-US"/>
              </w:rPr>
            </w:pPr>
          </w:p>
        </w:tc>
        <w:tc>
          <w:tcPr>
            <w:tcW w:w="4252" w:type="dxa"/>
            <w:vAlign w:val="center"/>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418"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1134"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c>
          <w:tcPr>
            <w:tcW w:w="4252" w:type="dxa"/>
            <w:tcBorders>
              <w:bottom w:val="single" w:color="auto" w:sz="12" w:space="0"/>
            </w:tcBorders>
            <w:vAlign w:val="center"/>
          </w:tcPr>
          <w:p>
            <w:pPr>
              <w:pStyle w:val="26"/>
              <w:keepNext/>
              <w:spacing w:line="440" w:lineRule="exact"/>
              <w:ind w:left="63" w:right="63"/>
              <w:rPr>
                <w:rFonts w:hAnsi="宋体" w:cs="Times New Roman"/>
                <w:color w:val="auto"/>
                <w:highlight w:val="none"/>
                <w:lang w:val="en-US"/>
              </w:rPr>
            </w:pPr>
          </w:p>
        </w:tc>
      </w:tr>
    </w:tbl>
    <w:p>
      <w:pPr>
        <w:rPr>
          <w:rFonts w:hAnsi="宋体"/>
          <w:color w:val="auto"/>
          <w:sz w:val="24"/>
          <w:highlight w:val="none"/>
        </w:rPr>
      </w:pPr>
    </w:p>
    <w:p>
      <w:pPr>
        <w:spacing w:line="440" w:lineRule="exact"/>
        <w:rPr>
          <w:rFonts w:hAnsi="宋体"/>
          <w:color w:val="auto"/>
          <w:sz w:val="24"/>
          <w:highlight w:val="none"/>
        </w:rPr>
      </w:pPr>
    </w:p>
    <w:p>
      <w:pPr>
        <w:spacing w:line="440" w:lineRule="exact"/>
        <w:rPr>
          <w:rFonts w:hAnsi="宋体"/>
          <w:color w:val="auto"/>
          <w:sz w:val="24"/>
          <w:highlight w:val="none"/>
        </w:rPr>
      </w:pPr>
      <w:r>
        <w:rPr>
          <w:rFonts w:hAnsi="宋体"/>
          <w:color w:val="auto"/>
          <w:sz w:val="24"/>
          <w:highlight w:val="none"/>
        </w:rPr>
        <w:br w:type="page"/>
      </w:r>
      <w:r>
        <w:rPr>
          <w:rFonts w:hAnsi="宋体"/>
          <w:color w:val="auto"/>
          <w:sz w:val="24"/>
          <w:highlight w:val="none"/>
        </w:rPr>
        <w:t>附</w:t>
      </w:r>
      <w:bookmarkStart w:id="416" w:name="_Toc296346732"/>
      <w:bookmarkStart w:id="417" w:name="_Toc296891271"/>
      <w:bookmarkStart w:id="418" w:name="_Toc296503231"/>
      <w:bookmarkStart w:id="419" w:name="_Toc296891059"/>
      <w:bookmarkStart w:id="420" w:name="_Toc296347230"/>
      <w:bookmarkStart w:id="421" w:name="_Toc296944570"/>
      <w:r>
        <w:rPr>
          <w:rFonts w:hAnsi="宋体"/>
          <w:color w:val="auto"/>
          <w:sz w:val="24"/>
          <w:highlight w:val="none"/>
        </w:rPr>
        <w:t>件8：</w:t>
      </w:r>
    </w:p>
    <w:bookmarkEnd w:id="415"/>
    <w:bookmarkEnd w:id="416"/>
    <w:bookmarkEnd w:id="417"/>
    <w:bookmarkEnd w:id="418"/>
    <w:bookmarkEnd w:id="419"/>
    <w:bookmarkEnd w:id="420"/>
    <w:bookmarkEnd w:id="421"/>
    <w:p>
      <w:pPr>
        <w:spacing w:before="120" w:beforeLines="50" w:after="120" w:afterLines="50" w:line="440" w:lineRule="exact"/>
        <w:jc w:val="center"/>
        <w:rPr>
          <w:rFonts w:hAnsi="宋体"/>
          <w:color w:val="auto"/>
          <w:sz w:val="24"/>
          <w:highlight w:val="none"/>
        </w:rPr>
      </w:pPr>
      <w:r>
        <w:rPr>
          <w:rFonts w:hAnsi="宋体"/>
          <w:color w:val="auto"/>
          <w:sz w:val="24"/>
          <w:highlight w:val="none"/>
        </w:rPr>
        <w:t>履约担保</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（发包人名称）：</w:t>
      </w:r>
    </w:p>
    <w:p>
      <w:pPr>
        <w:spacing w:line="440" w:lineRule="exact"/>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鉴于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（发包人名称，以下简称“发包人”）与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（承包人名称）（以下称“承包人”）于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1.担保金额人民币（大写）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2.担保有效期自你方与承包人签订的合同生效之日起至你方签发或应签发工程接收证书之日止。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4.你方和承包人按合同约定变更合同时，我方承担本担保规定的义务不变。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5.因本保函发生的纠纷，可由双方协商解决，协商不成的，任何一方均可向工程所在地人民法院起诉。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6.本保函自我方法定代表人（或其授权代理人）签字并加盖公章之日起生效。</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担 保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spacing w:line="360" w:lineRule="auto"/>
        <w:jc w:val="left"/>
        <w:rPr>
          <w:rFonts w:ascii="宋体" w:hAnsi="宋体" w:cs="宋体"/>
          <w:color w:val="auto"/>
          <w:szCs w:val="21"/>
          <w:highlight w:val="none"/>
          <w:u w:val="single"/>
        </w:rPr>
      </w:pPr>
    </w:p>
    <w:p>
      <w:pPr>
        <w:spacing w:line="360" w:lineRule="auto"/>
        <w:ind w:left="1329" w:hanging="1329" w:hangingChars="633"/>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ind w:left="1519" w:hanging="1519" w:hangingChars="633"/>
        <w:rPr>
          <w:rFonts w:hAnsi="宋体"/>
          <w:color w:val="auto"/>
          <w:sz w:val="24"/>
          <w:highlight w:val="none"/>
        </w:rPr>
      </w:pPr>
      <w:r>
        <w:rPr>
          <w:rFonts w:hAnsi="宋体"/>
          <w:color w:val="auto"/>
          <w:sz w:val="24"/>
          <w:highlight w:val="none"/>
        </w:rPr>
        <w:br w:type="page"/>
      </w:r>
      <w:r>
        <w:rPr>
          <w:rFonts w:hAnsi="宋体"/>
          <w:color w:val="auto"/>
          <w:sz w:val="24"/>
          <w:highlight w:val="none"/>
        </w:rPr>
        <w:t>附</w:t>
      </w:r>
      <w:bookmarkStart w:id="422" w:name="_Toc296944571"/>
      <w:bookmarkStart w:id="423" w:name="_Toc296891060"/>
      <w:bookmarkStart w:id="424" w:name="_Toc296891272"/>
      <w:bookmarkStart w:id="425" w:name="_Toc296503232"/>
      <w:bookmarkStart w:id="426" w:name="_Toc296347231"/>
      <w:bookmarkStart w:id="427" w:name="_Toc296346733"/>
      <w:bookmarkStart w:id="428" w:name="_Toc267261702"/>
      <w:r>
        <w:rPr>
          <w:rFonts w:hAnsi="宋体"/>
          <w:color w:val="auto"/>
          <w:sz w:val="24"/>
          <w:highlight w:val="none"/>
        </w:rPr>
        <w:t>件9 ：</w:t>
      </w:r>
    </w:p>
    <w:bookmarkEnd w:id="422"/>
    <w:bookmarkEnd w:id="423"/>
    <w:bookmarkEnd w:id="424"/>
    <w:bookmarkEnd w:id="425"/>
    <w:bookmarkEnd w:id="426"/>
    <w:bookmarkEnd w:id="427"/>
    <w:bookmarkEnd w:id="428"/>
    <w:p>
      <w:pPr>
        <w:spacing w:before="120" w:beforeLines="50" w:after="120" w:afterLines="50" w:line="440" w:lineRule="exact"/>
        <w:jc w:val="center"/>
        <w:rPr>
          <w:rFonts w:hAnsi="宋体"/>
          <w:color w:val="auto"/>
          <w:sz w:val="24"/>
          <w:highlight w:val="none"/>
        </w:rPr>
      </w:pPr>
      <w:r>
        <w:rPr>
          <w:rFonts w:hAnsi="宋体"/>
          <w:color w:val="auto"/>
          <w:sz w:val="24"/>
          <w:highlight w:val="none"/>
        </w:rPr>
        <w:t>预付款担保</w:t>
      </w:r>
    </w:p>
    <w:p>
      <w:pPr>
        <w:spacing w:line="360" w:lineRule="auto"/>
        <w:rPr>
          <w:rFonts w:hAnsi="宋体"/>
          <w:color w:val="auto"/>
          <w:szCs w:val="21"/>
          <w:highlight w:val="none"/>
        </w:rPr>
      </w:pPr>
      <w:r>
        <w:rPr>
          <w:rFonts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Ansi="宋体"/>
          <w:color w:val="auto"/>
          <w:szCs w:val="21"/>
          <w:highlight w:val="none"/>
          <w:u w:val="single"/>
        </w:rPr>
        <w:t xml:space="preserve"> </w:t>
      </w:r>
      <w:r>
        <w:rPr>
          <w:rFonts w:hAnsi="宋体"/>
          <w:color w:val="auto"/>
          <w:szCs w:val="21"/>
          <w:highlight w:val="none"/>
        </w:rPr>
        <w:t xml:space="preserve"> （发包人名称）：</w:t>
      </w:r>
    </w:p>
    <w:p>
      <w:pPr>
        <w:spacing w:line="360" w:lineRule="auto"/>
        <w:rPr>
          <w:rFonts w:hAnsi="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（承包人名称）（以下称“承包人”）与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（发包人名称）（以下简称“发包人”）于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日签订的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1.担保金额人民币（大写）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2.担保有效期自预付款支付给承包人起生效，至你方签发的进度款支付证书说明已完全扣清止。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4.你方和承包人按合同约定变更合同时，我方承担本保函规定的义务不变。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5.因本保函发生的纠纷，可由双方协商解决，协商不成的，任何一方均可向工程所在地人民法院起诉。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6.本保函自我方法定代表人（或其授权代理人）签字并加盖公章之日起生效。</w:t>
      </w:r>
    </w:p>
    <w:p>
      <w:pPr>
        <w:spacing w:line="360" w:lineRule="auto"/>
        <w:rPr>
          <w:rFonts w:ascii="宋体" w:hAnsi="宋体" w:cs="宋体"/>
          <w:color w:val="auto"/>
          <w:szCs w:val="21"/>
          <w:highlight w:val="none"/>
        </w:rPr>
      </w:pPr>
    </w:p>
    <w:p>
      <w:pPr>
        <w:spacing w:line="360" w:lineRule="auto"/>
        <w:rPr>
          <w:rFonts w:hAnsi="宋体"/>
          <w:color w:val="auto"/>
          <w:szCs w:val="21"/>
          <w:highlight w:val="none"/>
        </w:rPr>
      </w:pPr>
    </w:p>
    <w:p>
      <w:pPr>
        <w:spacing w:line="360" w:lineRule="auto"/>
        <w:rPr>
          <w:rFonts w:hAnsi="宋体"/>
          <w:color w:val="auto"/>
          <w:szCs w:val="21"/>
          <w:highlight w:val="none"/>
        </w:rPr>
      </w:pPr>
      <w:r>
        <w:rPr>
          <w:rFonts w:hAnsi="宋体"/>
          <w:color w:val="auto"/>
          <w:szCs w:val="21"/>
          <w:highlight w:val="none"/>
        </w:rPr>
        <w:t>担保人：</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（盖单位章）</w:t>
      </w:r>
    </w:p>
    <w:p>
      <w:pPr>
        <w:spacing w:line="360" w:lineRule="auto"/>
        <w:rPr>
          <w:rFonts w:hAnsi="宋体"/>
          <w:color w:val="auto"/>
          <w:szCs w:val="21"/>
          <w:highlight w:val="none"/>
        </w:rPr>
      </w:pPr>
      <w:r>
        <w:rPr>
          <w:rFonts w:hAnsi="宋体"/>
          <w:color w:val="auto"/>
          <w:szCs w:val="21"/>
          <w:highlight w:val="none"/>
        </w:rPr>
        <w:t>法定代表人或其委托代理人：</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（签字）</w:t>
      </w:r>
    </w:p>
    <w:p>
      <w:pPr>
        <w:spacing w:line="360" w:lineRule="auto"/>
        <w:rPr>
          <w:rFonts w:hAnsi="宋体"/>
          <w:color w:val="auto"/>
          <w:szCs w:val="21"/>
          <w:highlight w:val="none"/>
        </w:rPr>
      </w:pPr>
      <w:r>
        <w:rPr>
          <w:rFonts w:hAnsi="宋体"/>
          <w:color w:val="auto"/>
          <w:szCs w:val="21"/>
          <w:highlight w:val="none"/>
        </w:rPr>
        <w:t>地    址：</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Ansi="宋体"/>
          <w:color w:val="auto"/>
          <w:szCs w:val="21"/>
          <w:highlight w:val="none"/>
          <w:u w:val="single"/>
        </w:rPr>
        <w:tab/>
      </w:r>
    </w:p>
    <w:p>
      <w:pPr>
        <w:spacing w:line="360" w:lineRule="auto"/>
        <w:rPr>
          <w:rFonts w:hAnsi="宋体"/>
          <w:color w:val="auto"/>
          <w:szCs w:val="21"/>
          <w:highlight w:val="none"/>
          <w:u w:val="single"/>
        </w:rPr>
      </w:pPr>
      <w:r>
        <w:rPr>
          <w:rFonts w:hAnsi="宋体"/>
          <w:color w:val="auto"/>
          <w:szCs w:val="21"/>
          <w:highlight w:val="none"/>
        </w:rPr>
        <w:t>邮政编码：</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Ansi="宋体"/>
          <w:color w:val="auto"/>
          <w:szCs w:val="21"/>
          <w:highlight w:val="none"/>
          <w:u w:val="single"/>
        </w:rPr>
        <w:tab/>
      </w:r>
    </w:p>
    <w:p>
      <w:pPr>
        <w:spacing w:line="360" w:lineRule="auto"/>
        <w:rPr>
          <w:rFonts w:hAnsi="宋体"/>
          <w:color w:val="auto"/>
          <w:szCs w:val="21"/>
          <w:highlight w:val="none"/>
          <w:u w:val="single"/>
        </w:rPr>
      </w:pPr>
      <w:r>
        <w:rPr>
          <w:rFonts w:hAnsi="宋体"/>
          <w:color w:val="auto"/>
          <w:szCs w:val="21"/>
          <w:highlight w:val="none"/>
        </w:rPr>
        <w:t>电    话：</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Ansi="宋体"/>
          <w:color w:val="auto"/>
          <w:szCs w:val="21"/>
          <w:highlight w:val="none"/>
          <w:u w:val="single"/>
        </w:rPr>
        <w:tab/>
      </w:r>
    </w:p>
    <w:p>
      <w:pPr>
        <w:spacing w:line="360" w:lineRule="auto"/>
        <w:rPr>
          <w:rFonts w:hAnsi="宋体"/>
          <w:color w:val="auto"/>
          <w:szCs w:val="21"/>
          <w:highlight w:val="none"/>
          <w:u w:val="single"/>
        </w:rPr>
      </w:pPr>
      <w:r>
        <w:rPr>
          <w:rFonts w:hAnsi="宋体"/>
          <w:color w:val="auto"/>
          <w:szCs w:val="21"/>
          <w:highlight w:val="none"/>
        </w:rPr>
        <w:t>传    真：</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int="eastAsia" w:hAnsi="宋体"/>
          <w:color w:val="auto"/>
          <w:szCs w:val="21"/>
          <w:highlight w:val="none"/>
          <w:u w:val="single"/>
        </w:rPr>
        <w:t xml:space="preserve">                   </w:t>
      </w:r>
      <w:r>
        <w:rPr>
          <w:rFonts w:hAnsi="宋体"/>
          <w:color w:val="auto"/>
          <w:szCs w:val="21"/>
          <w:highlight w:val="none"/>
          <w:u w:val="single"/>
        </w:rPr>
        <w:tab/>
      </w:r>
      <w:r>
        <w:rPr>
          <w:rFonts w:hAnsi="宋体"/>
          <w:color w:val="auto"/>
          <w:szCs w:val="21"/>
          <w:highlight w:val="none"/>
          <w:u w:val="single"/>
        </w:rPr>
        <w:tab/>
      </w:r>
      <w:r>
        <w:rPr>
          <w:rFonts w:hAnsi="宋体"/>
          <w:color w:val="auto"/>
          <w:szCs w:val="21"/>
          <w:highlight w:val="none"/>
          <w:u w:val="single"/>
        </w:rPr>
        <w:tab/>
      </w:r>
    </w:p>
    <w:p>
      <w:pPr>
        <w:spacing w:line="360" w:lineRule="auto"/>
        <w:rPr>
          <w:rFonts w:hAnsi="宋体"/>
          <w:color w:val="auto"/>
          <w:szCs w:val="21"/>
          <w:highlight w:val="none"/>
        </w:rPr>
      </w:pPr>
      <w:r>
        <w:rPr>
          <w:rFonts w:hAnsi="宋体"/>
          <w:color w:val="auto"/>
          <w:szCs w:val="21"/>
          <w:highlight w:val="none"/>
        </w:rPr>
        <w:t xml:space="preserve">              </w:t>
      </w:r>
      <w:r>
        <w:rPr>
          <w:rFonts w:hAnsi="宋体"/>
          <w:color w:val="auto"/>
          <w:szCs w:val="21"/>
          <w:highlight w:val="none"/>
          <w:u w:val="single"/>
        </w:rPr>
        <w:t xml:space="preserve">               </w:t>
      </w:r>
      <w:r>
        <w:rPr>
          <w:rFonts w:hAnsi="宋体"/>
          <w:color w:val="auto"/>
          <w:szCs w:val="21"/>
          <w:highlight w:val="none"/>
        </w:rPr>
        <w:t>年</w:t>
      </w:r>
      <w:r>
        <w:rPr>
          <w:rFonts w:hAnsi="宋体"/>
          <w:color w:val="auto"/>
          <w:szCs w:val="21"/>
          <w:highlight w:val="none"/>
          <w:u w:val="single"/>
        </w:rPr>
        <w:t xml:space="preserve">      </w:t>
      </w:r>
      <w:r>
        <w:rPr>
          <w:rFonts w:hAnsi="宋体"/>
          <w:color w:val="auto"/>
          <w:szCs w:val="21"/>
          <w:highlight w:val="none"/>
        </w:rPr>
        <w:t>月</w:t>
      </w:r>
      <w:r>
        <w:rPr>
          <w:rFonts w:hAnsi="宋体"/>
          <w:color w:val="auto"/>
          <w:szCs w:val="21"/>
          <w:highlight w:val="none"/>
          <w:u w:val="single"/>
        </w:rPr>
        <w:t xml:space="preserve">      </w:t>
      </w:r>
      <w:r>
        <w:rPr>
          <w:rFonts w:hAnsi="宋体"/>
          <w:color w:val="auto"/>
          <w:szCs w:val="21"/>
          <w:highlight w:val="none"/>
        </w:rPr>
        <w:t>日</w:t>
      </w:r>
    </w:p>
    <w:p>
      <w:pPr>
        <w:spacing w:line="440" w:lineRule="exact"/>
        <w:rPr>
          <w:rFonts w:hAnsi="宋体"/>
          <w:color w:val="auto"/>
          <w:sz w:val="24"/>
          <w:highlight w:val="none"/>
        </w:rPr>
      </w:pPr>
      <w:r>
        <w:rPr>
          <w:rFonts w:hAnsi="宋体"/>
          <w:b/>
          <w:color w:val="auto"/>
          <w:sz w:val="24"/>
          <w:highlight w:val="none"/>
        </w:rPr>
        <w:br w:type="page"/>
      </w:r>
      <w:r>
        <w:rPr>
          <w:rFonts w:hAnsi="宋体"/>
          <w:color w:val="auto"/>
          <w:sz w:val="24"/>
          <w:highlight w:val="none"/>
        </w:rPr>
        <w:t>附</w:t>
      </w:r>
      <w:bookmarkStart w:id="429" w:name="_Toc296891061"/>
      <w:bookmarkStart w:id="430" w:name="_Toc296347232"/>
      <w:bookmarkStart w:id="431" w:name="_Toc296503233"/>
      <w:bookmarkStart w:id="432" w:name="_Toc296944572"/>
      <w:bookmarkStart w:id="433" w:name="_Toc296891273"/>
      <w:bookmarkStart w:id="434" w:name="_Toc296346734"/>
      <w:r>
        <w:rPr>
          <w:rFonts w:hAnsi="宋体"/>
          <w:color w:val="auto"/>
          <w:sz w:val="24"/>
          <w:highlight w:val="none"/>
        </w:rPr>
        <w:t xml:space="preserve">件10:  </w:t>
      </w:r>
    </w:p>
    <w:bookmarkEnd w:id="429"/>
    <w:bookmarkEnd w:id="430"/>
    <w:bookmarkEnd w:id="431"/>
    <w:bookmarkEnd w:id="432"/>
    <w:bookmarkEnd w:id="433"/>
    <w:bookmarkEnd w:id="434"/>
    <w:p>
      <w:pPr>
        <w:spacing w:before="120" w:beforeLines="50" w:after="120" w:afterLines="50" w:line="440" w:lineRule="exact"/>
        <w:jc w:val="center"/>
        <w:rPr>
          <w:rFonts w:hAnsi="宋体"/>
          <w:color w:val="auto"/>
          <w:sz w:val="24"/>
          <w:highlight w:val="none"/>
        </w:rPr>
      </w:pPr>
      <w:r>
        <w:rPr>
          <w:rFonts w:hAnsi="宋体"/>
          <w:color w:val="auto"/>
          <w:sz w:val="24"/>
          <w:highlight w:val="none"/>
        </w:rPr>
        <w:t>支付担保</w:t>
      </w:r>
    </w:p>
    <w:p>
      <w:pPr>
        <w:spacing w:line="440" w:lineRule="exact"/>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w:t>
      </w:r>
    </w:p>
    <w:p>
      <w:pPr>
        <w:spacing w:line="440" w:lineRule="exact"/>
        <w:jc w:val="left"/>
        <w:rPr>
          <w:rFonts w:ascii="宋体" w:hAnsi="宋体" w:cs="宋体"/>
          <w:color w:val="auto"/>
          <w:szCs w:val="21"/>
          <w:highlight w:val="none"/>
        </w:rPr>
      </w:pP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鉴于你方作为承包人已经与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（发包人名称）（以下称“发包人”）于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日签订了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（工程名称）《建设工程施工合同》（以下称“主合同”），应发包人的申请，我方愿就发包人履行主合同约定的工程款支付义务以保证的方式向你方提供如下担保：</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一、保证的范围及保证金额</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1.我方的保证范围是主合同约定的工程款。</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2.本保函所称主合同约定的工程款是指主合同约定的除工程质量保证金以外的合同价款。</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3.我方保证的金额是主合同约定的工程款的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%，数额最高不超过人民币元（大写：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二、保证的方式及保证期间</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1.我方保证的方式为：连带责任保证。</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2.我方保证的期间为：自本合同生效之日起至主合同约定的工程款支付完毕之日后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日内。</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3.你方与发包人协议变更工程款支付日期的，经我方书面同意后，保证期间按照变更后的支付日期做相应调整。</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三、承担保证责任的形式</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我方承担保证责任的形式是代为支付。发包人未按主合同约定向你方支付工程款的，由我方在保证金额内代为支付。</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四、代偿的安排</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1.你方要求我方承担保证责任的，应向我方发出书面索赔通知及发包人未支付主合同约定工程款的证明材料。索赔通知应写明要求索赔的金额，支付款项应到达的账号。</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2.在出现你方与发包人因工程质量发生争议，发包人拒绝向你方支付工程款的情形时，你方要求我方履行保证责任代为支付的，需提供符合相应条件要求的工程质量检测机构出具的质量说明材料。</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3.我方收到你方的书面索赔通知及相应的证明材料后７天内无条件支付。</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五、保证责任的解除</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1.在本保函承诺的保证期间内，你方未书面向我方主张保证责任的，自保证期间届满次日起，我方保证责任解除。</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2.发包人按主合同约定履行了工程款的全部支付义务的，自本保函承诺的保证期间届满次日起，我方保证责任解除。</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3.我方按照本保函向你方履行保证责任所支付金额达到本保函保证金额时，自我方向你方支付（支付款项从我方账户划出）之日起，保证责任即解除。</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4.按照法律法规的规定或出现应解除我方保证责任的其他情形的，我方在本保函项下的保证责任亦解除。</w:t>
      </w:r>
    </w:p>
    <w:p>
      <w:pPr>
        <w:spacing w:line="312" w:lineRule="auto"/>
        <w:jc w:val="left"/>
        <w:rPr>
          <w:rFonts w:ascii="宋体" w:hAnsi="宋体" w:cs="宋体"/>
          <w:color w:val="auto"/>
          <w:szCs w:val="21"/>
          <w:highlight w:val="none"/>
        </w:rPr>
      </w:pP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5.我方解除保证责任后，你方应自我方保证责任解除之日起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个工作日内，将本保函原件返还我方。</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六、免责条款</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1.因你方违约致使发包人不能履行义务的，我方不承担保证责任。</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2.依照法律法规的规定或你方与发包人的另行约定，免除发包人部分或全部义务的，我方亦免除其相应的保证责任。</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3.你方与发包人协议变更主合同的，如加重发包人责任致使我方保证责任加重的，需征得我方书面同意，否则我方不再承担因此而加重部分的保证责任，但主合同第10条〔变更〕约定的变更不受本款限制。</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4.因不可抗力造成发包人不能履行义务的，我方不承担保证责任。</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七、争议解决</w:t>
      </w:r>
    </w:p>
    <w:p>
      <w:pPr>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因本保函或本保函相关事项发生的纠纷，可由双方协商解决，协商不成的，按下列第</w:t>
      </w:r>
      <w:r>
        <w:rPr>
          <w:rFonts w:hint="eastAsia" w:ascii="宋体" w:hAnsi="宋体" w:cs="宋体"/>
          <w:color w:val="auto"/>
          <w:szCs w:val="21"/>
          <w:highlight w:val="none"/>
          <w:u w:val="single"/>
        </w:rPr>
        <w:t>（2）</w:t>
      </w:r>
      <w:r>
        <w:rPr>
          <w:rFonts w:hint="eastAsia" w:ascii="宋体" w:hAnsi="宋体" w:cs="宋体"/>
          <w:color w:val="auto"/>
          <w:szCs w:val="21"/>
          <w:highlight w:val="none"/>
        </w:rPr>
        <w:t>种方式解决：</w:t>
      </w:r>
    </w:p>
    <w:p>
      <w:pPr>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仲裁委员会申请仲裁；</w:t>
      </w:r>
    </w:p>
    <w:p>
      <w:pPr>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（2）向</w:t>
      </w:r>
      <w:r>
        <w:rPr>
          <w:rFonts w:hint="eastAsia" w:ascii="宋体" w:hAnsi="宋体" w:cs="宋体"/>
          <w:color w:val="auto"/>
          <w:szCs w:val="21"/>
          <w:highlight w:val="none"/>
          <w:u w:val="single"/>
        </w:rPr>
        <w:t>工程所在地</w:t>
      </w:r>
      <w:r>
        <w:rPr>
          <w:rFonts w:hint="eastAsia" w:ascii="宋体" w:hAnsi="宋体" w:cs="宋体"/>
          <w:color w:val="auto"/>
          <w:szCs w:val="21"/>
          <w:highlight w:val="none"/>
        </w:rPr>
        <w:t>人民法院起诉。</w:t>
      </w:r>
    </w:p>
    <w:p>
      <w:pPr>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八、保函的生效</w:t>
      </w:r>
    </w:p>
    <w:p>
      <w:pPr>
        <w:spacing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本保函自我方法定代表人（或其授权代理人）签字并加盖公章之日起生效。</w:t>
      </w:r>
    </w:p>
    <w:p>
      <w:pPr>
        <w:spacing w:line="312" w:lineRule="auto"/>
        <w:ind w:firstLine="420" w:firstLineChars="200"/>
        <w:jc w:val="left"/>
        <w:rPr>
          <w:rFonts w:ascii="宋体" w:hAnsi="宋体" w:cs="宋体"/>
          <w:color w:val="auto"/>
          <w:szCs w:val="21"/>
          <w:highlight w:val="none"/>
        </w:rPr>
      </w:pPr>
    </w:p>
    <w:p>
      <w:pPr>
        <w:spacing w:line="312" w:lineRule="auto"/>
        <w:ind w:firstLine="420" w:firstLineChars="200"/>
        <w:jc w:val="left"/>
        <w:rPr>
          <w:rFonts w:ascii="宋体" w:hAnsi="宋体" w:cs="宋体"/>
          <w:color w:val="auto"/>
          <w:szCs w:val="21"/>
          <w:highlight w:val="none"/>
        </w:rPr>
      </w:pPr>
    </w:p>
    <w:p>
      <w:pPr>
        <w:spacing w:line="312" w:lineRule="auto"/>
        <w:ind w:right="600"/>
        <w:jc w:val="left"/>
        <w:rPr>
          <w:rFonts w:ascii="宋体" w:hAnsi="宋体" w:cs="宋体"/>
          <w:color w:val="auto"/>
          <w:szCs w:val="21"/>
          <w:highlight w:val="none"/>
        </w:rPr>
      </w:pPr>
      <w:r>
        <w:rPr>
          <w:rFonts w:hint="eastAsia" w:ascii="宋体" w:hAnsi="宋体" w:cs="宋体"/>
          <w:color w:val="auto"/>
          <w:szCs w:val="21"/>
          <w:highlight w:val="none"/>
        </w:rPr>
        <w:t>担保人：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12" w:lineRule="auto"/>
        <w:ind w:right="1200"/>
        <w:rPr>
          <w:rFonts w:ascii="宋体" w:hAnsi="宋体" w:cs="宋体"/>
          <w:color w:val="auto"/>
          <w:szCs w:val="21"/>
          <w:highlight w:val="none"/>
        </w:rPr>
      </w:pPr>
      <w:r>
        <w:rPr>
          <w:rFonts w:hint="eastAsia" w:ascii="宋体" w:hAnsi="宋体" w:cs="宋体"/>
          <w:color w:val="auto"/>
          <w:szCs w:val="21"/>
          <w:highlight w:val="none"/>
        </w:rPr>
        <w:t>法定代表人或委托代理人：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12" w:lineRule="auto"/>
        <w:jc w:val="lef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spacing w:line="312" w:lineRule="auto"/>
        <w:jc w:val="left"/>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pacing w:line="312" w:lineRule="auto"/>
        <w:jc w:val="left"/>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spacing w:line="312" w:lineRule="auto"/>
        <w:ind w:right="150" w:firstLine="420" w:firstLineChars="200"/>
        <w:jc w:val="left"/>
        <w:rPr>
          <w:rFonts w:ascii="宋体" w:hAnsi="宋体" w:cs="宋体"/>
          <w:color w:val="auto"/>
          <w:szCs w:val="21"/>
          <w:highlight w:val="none"/>
          <w:u w:val="single"/>
        </w:rPr>
      </w:pPr>
    </w:p>
    <w:p>
      <w:pPr>
        <w:spacing w:line="312" w:lineRule="auto"/>
        <w:ind w:right="150" w:firstLine="420" w:firstLineChars="200"/>
        <w:jc w:val="left"/>
        <w:rPr>
          <w:rFonts w:hAnsi="宋体"/>
          <w:color w:val="auto"/>
          <w:sz w:val="24"/>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rPr>
          <w:rFonts w:hAnsi="宋体"/>
          <w:color w:val="auto"/>
          <w:sz w:val="24"/>
          <w:highlight w:val="none"/>
        </w:rPr>
      </w:pPr>
      <w:r>
        <w:rPr>
          <w:rFonts w:hAnsi="宋体"/>
          <w:color w:val="auto"/>
          <w:sz w:val="24"/>
          <w:highlight w:val="none"/>
        </w:rPr>
        <w:br w:type="page"/>
      </w:r>
      <w:r>
        <w:rPr>
          <w:rFonts w:hAnsi="宋体"/>
          <w:color w:val="auto"/>
          <w:sz w:val="24"/>
          <w:highlight w:val="none"/>
        </w:rPr>
        <w:t>附件11：</w:t>
      </w:r>
    </w:p>
    <w:p>
      <w:pPr>
        <w:spacing w:before="120" w:beforeLines="50" w:after="120" w:afterLines="50" w:line="440" w:lineRule="exact"/>
        <w:jc w:val="center"/>
        <w:rPr>
          <w:rFonts w:hAnsi="宋体"/>
          <w:color w:val="auto"/>
          <w:sz w:val="24"/>
          <w:highlight w:val="none"/>
        </w:rPr>
      </w:pPr>
      <w:r>
        <w:rPr>
          <w:rFonts w:hAnsi="宋体"/>
          <w:color w:val="auto"/>
          <w:sz w:val="24"/>
          <w:highlight w:val="none"/>
        </w:rPr>
        <w:t>11-1：材料暂估价表</w:t>
      </w:r>
    </w:p>
    <w:tbl>
      <w:tblPr>
        <w:tblStyle w:val="6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序号</w:t>
            </w:r>
          </w:p>
        </w:tc>
        <w:tc>
          <w:tcPr>
            <w:tcW w:w="198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名称</w:t>
            </w:r>
          </w:p>
        </w:tc>
        <w:tc>
          <w:tcPr>
            <w:tcW w:w="85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单位</w:t>
            </w:r>
          </w:p>
        </w:tc>
        <w:tc>
          <w:tcPr>
            <w:tcW w:w="77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数量</w:t>
            </w:r>
          </w:p>
        </w:tc>
        <w:tc>
          <w:tcPr>
            <w:tcW w:w="1352"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单价</w:t>
            </w:r>
            <w:r>
              <w:rPr>
                <w:rFonts w:hint="eastAsia" w:hAnsi="宋体" w:cs="Times New Roman"/>
                <w:color w:val="auto"/>
                <w:highlight w:val="none"/>
                <w:lang w:val="en-US"/>
              </w:rPr>
              <w:t>（元）</w:t>
            </w:r>
          </w:p>
        </w:tc>
        <w:tc>
          <w:tcPr>
            <w:tcW w:w="1418"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合价</w:t>
            </w:r>
            <w:r>
              <w:rPr>
                <w:rFonts w:hint="eastAsia" w:hAnsi="宋体" w:cs="Times New Roman"/>
                <w:color w:val="auto"/>
                <w:highlight w:val="none"/>
                <w:lang w:val="en-US"/>
              </w:rPr>
              <w:t>（元）</w:t>
            </w:r>
          </w:p>
        </w:tc>
        <w:tc>
          <w:tcPr>
            <w:tcW w:w="170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98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77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352"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418"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70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6"/>
              <w:keepNext/>
              <w:spacing w:line="440" w:lineRule="exact"/>
              <w:ind w:left="63" w:right="63"/>
              <w:rPr>
                <w:rFonts w:hAnsi="宋体" w:cs="Times New Roman"/>
                <w:color w:val="auto"/>
                <w:highlight w:val="none"/>
                <w:lang w:val="en-US"/>
              </w:rPr>
            </w:pPr>
          </w:p>
        </w:tc>
        <w:tc>
          <w:tcPr>
            <w:tcW w:w="1984" w:type="dxa"/>
            <w:tcBorders>
              <w:top w:val="nil"/>
            </w:tcBorders>
          </w:tcPr>
          <w:p>
            <w:pPr>
              <w:pStyle w:val="26"/>
              <w:keepNext/>
              <w:spacing w:line="440" w:lineRule="exact"/>
              <w:ind w:left="63" w:right="63"/>
              <w:rPr>
                <w:rFonts w:hAnsi="宋体" w:cs="Times New Roman"/>
                <w:color w:val="auto"/>
                <w:highlight w:val="none"/>
                <w:lang w:val="en-US"/>
              </w:rPr>
            </w:pPr>
          </w:p>
        </w:tc>
        <w:tc>
          <w:tcPr>
            <w:tcW w:w="851" w:type="dxa"/>
            <w:tcBorders>
              <w:top w:val="nil"/>
            </w:tcBorders>
          </w:tcPr>
          <w:p>
            <w:pPr>
              <w:pStyle w:val="26"/>
              <w:keepNext/>
              <w:spacing w:line="440" w:lineRule="exact"/>
              <w:ind w:left="63" w:right="63"/>
              <w:rPr>
                <w:rFonts w:hAnsi="宋体" w:cs="Times New Roman"/>
                <w:color w:val="auto"/>
                <w:highlight w:val="none"/>
                <w:lang w:val="en-US"/>
              </w:rPr>
            </w:pPr>
          </w:p>
        </w:tc>
        <w:tc>
          <w:tcPr>
            <w:tcW w:w="774" w:type="dxa"/>
            <w:tcBorders>
              <w:top w:val="nil"/>
            </w:tcBorders>
          </w:tcPr>
          <w:p>
            <w:pPr>
              <w:pStyle w:val="26"/>
              <w:keepNext/>
              <w:spacing w:line="440" w:lineRule="exact"/>
              <w:ind w:left="63" w:right="63"/>
              <w:rPr>
                <w:rFonts w:hAnsi="宋体" w:cs="Times New Roman"/>
                <w:color w:val="auto"/>
                <w:highlight w:val="none"/>
                <w:lang w:val="en-US"/>
              </w:rPr>
            </w:pPr>
          </w:p>
        </w:tc>
        <w:tc>
          <w:tcPr>
            <w:tcW w:w="1352" w:type="dxa"/>
            <w:tcBorders>
              <w:top w:val="nil"/>
            </w:tcBorders>
          </w:tcPr>
          <w:p>
            <w:pPr>
              <w:pStyle w:val="26"/>
              <w:keepNext/>
              <w:spacing w:line="440" w:lineRule="exact"/>
              <w:ind w:left="63" w:right="63"/>
              <w:rPr>
                <w:rFonts w:hAnsi="宋体" w:cs="Times New Roman"/>
                <w:color w:val="auto"/>
                <w:highlight w:val="none"/>
                <w:lang w:val="en-US"/>
              </w:rPr>
            </w:pPr>
          </w:p>
        </w:tc>
        <w:tc>
          <w:tcPr>
            <w:tcW w:w="1418" w:type="dxa"/>
            <w:tcBorders>
              <w:top w:val="nil"/>
            </w:tcBorders>
          </w:tcPr>
          <w:p>
            <w:pPr>
              <w:pStyle w:val="26"/>
              <w:keepNext/>
              <w:spacing w:line="440" w:lineRule="exact"/>
              <w:ind w:left="63" w:right="63"/>
              <w:rPr>
                <w:rFonts w:hAnsi="宋体" w:cs="Times New Roman"/>
                <w:color w:val="auto"/>
                <w:highlight w:val="none"/>
                <w:lang w:val="en-US"/>
              </w:rPr>
            </w:pPr>
          </w:p>
        </w:tc>
        <w:tc>
          <w:tcPr>
            <w:tcW w:w="1701" w:type="dxa"/>
            <w:tcBorders>
              <w:top w:val="nil"/>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bl>
    <w:p>
      <w:pPr>
        <w:spacing w:before="120" w:beforeLines="50" w:after="120" w:afterLines="50" w:line="440" w:lineRule="exact"/>
        <w:rPr>
          <w:rFonts w:hAnsi="宋体"/>
          <w:color w:val="auto"/>
          <w:sz w:val="24"/>
          <w:highlight w:val="none"/>
        </w:rPr>
      </w:pPr>
    </w:p>
    <w:p>
      <w:pPr>
        <w:spacing w:before="120" w:beforeLines="50" w:after="120" w:afterLines="50" w:line="440" w:lineRule="exact"/>
        <w:jc w:val="center"/>
        <w:rPr>
          <w:rFonts w:hAnsi="宋体"/>
          <w:color w:val="auto"/>
          <w:sz w:val="24"/>
          <w:highlight w:val="none"/>
        </w:rPr>
      </w:pPr>
      <w:r>
        <w:rPr>
          <w:rFonts w:hAnsi="宋体"/>
          <w:color w:val="auto"/>
          <w:sz w:val="24"/>
          <w:highlight w:val="none"/>
        </w:rPr>
        <w:br w:type="page"/>
      </w:r>
      <w:r>
        <w:rPr>
          <w:rFonts w:hAnsi="宋体"/>
          <w:color w:val="auto"/>
          <w:sz w:val="24"/>
          <w:highlight w:val="none"/>
        </w:rPr>
        <w:t>11-2：工程设备暂估价表</w:t>
      </w:r>
    </w:p>
    <w:tbl>
      <w:tblPr>
        <w:tblStyle w:val="6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序号</w:t>
            </w:r>
          </w:p>
        </w:tc>
        <w:tc>
          <w:tcPr>
            <w:tcW w:w="198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名称</w:t>
            </w:r>
          </w:p>
        </w:tc>
        <w:tc>
          <w:tcPr>
            <w:tcW w:w="85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单位</w:t>
            </w:r>
          </w:p>
        </w:tc>
        <w:tc>
          <w:tcPr>
            <w:tcW w:w="77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数量</w:t>
            </w:r>
          </w:p>
        </w:tc>
        <w:tc>
          <w:tcPr>
            <w:tcW w:w="1352"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单价</w:t>
            </w:r>
            <w:r>
              <w:rPr>
                <w:rFonts w:hint="eastAsia" w:hAnsi="宋体" w:cs="Times New Roman"/>
                <w:color w:val="auto"/>
                <w:highlight w:val="none"/>
                <w:lang w:val="en-US"/>
              </w:rPr>
              <w:t>（元）</w:t>
            </w:r>
          </w:p>
        </w:tc>
        <w:tc>
          <w:tcPr>
            <w:tcW w:w="1418"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合价</w:t>
            </w:r>
            <w:r>
              <w:rPr>
                <w:rFonts w:hint="eastAsia" w:hAnsi="宋体" w:cs="Times New Roman"/>
                <w:color w:val="auto"/>
                <w:highlight w:val="none"/>
                <w:lang w:val="en-US"/>
              </w:rPr>
              <w:t>（元）</w:t>
            </w:r>
          </w:p>
        </w:tc>
        <w:tc>
          <w:tcPr>
            <w:tcW w:w="170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98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77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352"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418"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70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6"/>
              <w:keepNext/>
              <w:spacing w:line="440" w:lineRule="exact"/>
              <w:ind w:left="63" w:right="63"/>
              <w:rPr>
                <w:rFonts w:hAnsi="宋体" w:cs="Times New Roman"/>
                <w:color w:val="auto"/>
                <w:highlight w:val="none"/>
                <w:lang w:val="en-US"/>
              </w:rPr>
            </w:pPr>
          </w:p>
        </w:tc>
        <w:tc>
          <w:tcPr>
            <w:tcW w:w="1984" w:type="dxa"/>
            <w:tcBorders>
              <w:top w:val="nil"/>
            </w:tcBorders>
          </w:tcPr>
          <w:p>
            <w:pPr>
              <w:pStyle w:val="26"/>
              <w:keepNext/>
              <w:spacing w:line="440" w:lineRule="exact"/>
              <w:ind w:left="63" w:right="63"/>
              <w:rPr>
                <w:rFonts w:hAnsi="宋体" w:cs="Times New Roman"/>
                <w:color w:val="auto"/>
                <w:highlight w:val="none"/>
                <w:lang w:val="en-US"/>
              </w:rPr>
            </w:pPr>
          </w:p>
        </w:tc>
        <w:tc>
          <w:tcPr>
            <w:tcW w:w="851" w:type="dxa"/>
            <w:tcBorders>
              <w:top w:val="nil"/>
            </w:tcBorders>
          </w:tcPr>
          <w:p>
            <w:pPr>
              <w:pStyle w:val="26"/>
              <w:keepNext/>
              <w:spacing w:line="440" w:lineRule="exact"/>
              <w:ind w:left="63" w:right="63"/>
              <w:rPr>
                <w:rFonts w:hAnsi="宋体" w:cs="Times New Roman"/>
                <w:color w:val="auto"/>
                <w:highlight w:val="none"/>
                <w:lang w:val="en-US"/>
              </w:rPr>
            </w:pPr>
          </w:p>
        </w:tc>
        <w:tc>
          <w:tcPr>
            <w:tcW w:w="774" w:type="dxa"/>
            <w:tcBorders>
              <w:top w:val="nil"/>
            </w:tcBorders>
          </w:tcPr>
          <w:p>
            <w:pPr>
              <w:pStyle w:val="26"/>
              <w:keepNext/>
              <w:spacing w:line="440" w:lineRule="exact"/>
              <w:ind w:left="63" w:right="63"/>
              <w:rPr>
                <w:rFonts w:hAnsi="宋体" w:cs="Times New Roman"/>
                <w:color w:val="auto"/>
                <w:highlight w:val="none"/>
                <w:lang w:val="en-US"/>
              </w:rPr>
            </w:pPr>
          </w:p>
        </w:tc>
        <w:tc>
          <w:tcPr>
            <w:tcW w:w="1352" w:type="dxa"/>
            <w:tcBorders>
              <w:top w:val="nil"/>
            </w:tcBorders>
          </w:tcPr>
          <w:p>
            <w:pPr>
              <w:pStyle w:val="26"/>
              <w:keepNext/>
              <w:spacing w:line="440" w:lineRule="exact"/>
              <w:ind w:left="63" w:right="63"/>
              <w:rPr>
                <w:rFonts w:hAnsi="宋体" w:cs="Times New Roman"/>
                <w:color w:val="auto"/>
                <w:highlight w:val="none"/>
                <w:lang w:val="en-US"/>
              </w:rPr>
            </w:pPr>
          </w:p>
        </w:tc>
        <w:tc>
          <w:tcPr>
            <w:tcW w:w="1418" w:type="dxa"/>
            <w:tcBorders>
              <w:top w:val="nil"/>
            </w:tcBorders>
          </w:tcPr>
          <w:p>
            <w:pPr>
              <w:pStyle w:val="26"/>
              <w:keepNext/>
              <w:spacing w:line="440" w:lineRule="exact"/>
              <w:ind w:left="63" w:right="63"/>
              <w:rPr>
                <w:rFonts w:hAnsi="宋体" w:cs="Times New Roman"/>
                <w:color w:val="auto"/>
                <w:highlight w:val="none"/>
                <w:lang w:val="en-US"/>
              </w:rPr>
            </w:pPr>
          </w:p>
        </w:tc>
        <w:tc>
          <w:tcPr>
            <w:tcW w:w="1701" w:type="dxa"/>
            <w:tcBorders>
              <w:top w:val="nil"/>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bl>
    <w:p>
      <w:pPr>
        <w:spacing w:line="440" w:lineRule="exact"/>
        <w:rPr>
          <w:rFonts w:hAnsi="宋体"/>
          <w:color w:val="auto"/>
          <w:sz w:val="24"/>
          <w:highlight w:val="none"/>
        </w:rPr>
      </w:pPr>
    </w:p>
    <w:p>
      <w:pPr>
        <w:spacing w:before="120" w:beforeLines="50" w:after="120" w:afterLines="50" w:line="440" w:lineRule="exact"/>
        <w:jc w:val="center"/>
        <w:rPr>
          <w:rFonts w:hAnsi="宋体"/>
          <w:color w:val="auto"/>
          <w:sz w:val="24"/>
          <w:highlight w:val="none"/>
        </w:rPr>
      </w:pPr>
      <w:r>
        <w:rPr>
          <w:rFonts w:hAnsi="宋体"/>
          <w:color w:val="auto"/>
          <w:sz w:val="24"/>
          <w:highlight w:val="none"/>
        </w:rPr>
        <w:br w:type="page"/>
      </w:r>
      <w:r>
        <w:rPr>
          <w:rFonts w:hAnsi="宋体"/>
          <w:color w:val="auto"/>
          <w:sz w:val="24"/>
          <w:highlight w:val="none"/>
        </w:rPr>
        <w:t>11-3：专业工程暂估价表</w:t>
      </w:r>
    </w:p>
    <w:tbl>
      <w:tblPr>
        <w:tblStyle w:val="6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序号</w:t>
            </w:r>
          </w:p>
        </w:tc>
        <w:tc>
          <w:tcPr>
            <w:tcW w:w="198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名称</w:t>
            </w:r>
          </w:p>
        </w:tc>
        <w:tc>
          <w:tcPr>
            <w:tcW w:w="85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单位</w:t>
            </w:r>
          </w:p>
        </w:tc>
        <w:tc>
          <w:tcPr>
            <w:tcW w:w="774"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数量</w:t>
            </w:r>
          </w:p>
        </w:tc>
        <w:tc>
          <w:tcPr>
            <w:tcW w:w="1352"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单价</w:t>
            </w:r>
            <w:r>
              <w:rPr>
                <w:rFonts w:hint="eastAsia" w:hAnsi="宋体" w:cs="Times New Roman"/>
                <w:color w:val="auto"/>
                <w:highlight w:val="none"/>
                <w:lang w:val="en-US"/>
              </w:rPr>
              <w:t>（元）</w:t>
            </w:r>
          </w:p>
        </w:tc>
        <w:tc>
          <w:tcPr>
            <w:tcW w:w="1418"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合价</w:t>
            </w:r>
            <w:r>
              <w:rPr>
                <w:rFonts w:hint="eastAsia" w:hAnsi="宋体" w:cs="Times New Roman"/>
                <w:color w:val="auto"/>
                <w:highlight w:val="none"/>
                <w:lang w:val="en-US"/>
              </w:rPr>
              <w:t>（元）</w:t>
            </w:r>
          </w:p>
        </w:tc>
        <w:tc>
          <w:tcPr>
            <w:tcW w:w="1701" w:type="dxa"/>
            <w:tcBorders>
              <w:top w:val="single" w:color="auto" w:sz="12" w:space="0"/>
              <w:bottom w:val="double" w:color="auto" w:sz="6" w:space="0"/>
            </w:tcBorders>
          </w:tcPr>
          <w:p>
            <w:pPr>
              <w:pStyle w:val="26"/>
              <w:keepNext/>
              <w:spacing w:line="440" w:lineRule="exact"/>
              <w:ind w:left="63" w:right="63"/>
              <w:rPr>
                <w:rFonts w:hAnsi="宋体" w:cs="Times New Roman"/>
                <w:color w:val="auto"/>
                <w:highlight w:val="none"/>
                <w:lang w:val="en-US"/>
              </w:rPr>
            </w:pPr>
            <w:r>
              <w:rPr>
                <w:rFonts w:hAnsi="宋体" w:cs="Times New Roman"/>
                <w:color w:val="auto"/>
                <w:highlight w:val="none"/>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98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85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774"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352"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418"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c>
          <w:tcPr>
            <w:tcW w:w="1701" w:type="dxa"/>
            <w:tcBorders>
              <w:top w:val="double" w:color="auto" w:sz="6" w:space="0"/>
              <w:bottom w:val="single" w:color="auto" w:sz="6" w:space="0"/>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6"/>
              <w:keepNext/>
              <w:spacing w:line="440" w:lineRule="exact"/>
              <w:ind w:left="63" w:right="63"/>
              <w:rPr>
                <w:rFonts w:hAnsi="宋体" w:cs="Times New Roman"/>
                <w:color w:val="auto"/>
                <w:highlight w:val="none"/>
                <w:lang w:val="en-US"/>
              </w:rPr>
            </w:pPr>
          </w:p>
        </w:tc>
        <w:tc>
          <w:tcPr>
            <w:tcW w:w="1984" w:type="dxa"/>
            <w:tcBorders>
              <w:top w:val="nil"/>
            </w:tcBorders>
          </w:tcPr>
          <w:p>
            <w:pPr>
              <w:pStyle w:val="26"/>
              <w:keepNext/>
              <w:spacing w:line="440" w:lineRule="exact"/>
              <w:ind w:left="63" w:right="63"/>
              <w:rPr>
                <w:rFonts w:hAnsi="宋体" w:cs="Times New Roman"/>
                <w:color w:val="auto"/>
                <w:highlight w:val="none"/>
                <w:lang w:val="en-US"/>
              </w:rPr>
            </w:pPr>
          </w:p>
        </w:tc>
        <w:tc>
          <w:tcPr>
            <w:tcW w:w="851" w:type="dxa"/>
            <w:tcBorders>
              <w:top w:val="nil"/>
            </w:tcBorders>
          </w:tcPr>
          <w:p>
            <w:pPr>
              <w:pStyle w:val="26"/>
              <w:keepNext/>
              <w:spacing w:line="440" w:lineRule="exact"/>
              <w:ind w:left="63" w:right="63"/>
              <w:rPr>
                <w:rFonts w:hAnsi="宋体" w:cs="Times New Roman"/>
                <w:color w:val="auto"/>
                <w:highlight w:val="none"/>
                <w:lang w:val="en-US"/>
              </w:rPr>
            </w:pPr>
          </w:p>
        </w:tc>
        <w:tc>
          <w:tcPr>
            <w:tcW w:w="774" w:type="dxa"/>
            <w:tcBorders>
              <w:top w:val="nil"/>
            </w:tcBorders>
          </w:tcPr>
          <w:p>
            <w:pPr>
              <w:pStyle w:val="26"/>
              <w:keepNext/>
              <w:spacing w:line="440" w:lineRule="exact"/>
              <w:ind w:left="63" w:right="63"/>
              <w:rPr>
                <w:rFonts w:hAnsi="宋体" w:cs="Times New Roman"/>
                <w:color w:val="auto"/>
                <w:highlight w:val="none"/>
                <w:lang w:val="en-US"/>
              </w:rPr>
            </w:pPr>
          </w:p>
        </w:tc>
        <w:tc>
          <w:tcPr>
            <w:tcW w:w="1352" w:type="dxa"/>
            <w:tcBorders>
              <w:top w:val="nil"/>
            </w:tcBorders>
          </w:tcPr>
          <w:p>
            <w:pPr>
              <w:pStyle w:val="26"/>
              <w:keepNext/>
              <w:spacing w:line="440" w:lineRule="exact"/>
              <w:ind w:left="63" w:right="63"/>
              <w:rPr>
                <w:rFonts w:hAnsi="宋体" w:cs="Times New Roman"/>
                <w:color w:val="auto"/>
                <w:highlight w:val="none"/>
                <w:lang w:val="en-US"/>
              </w:rPr>
            </w:pPr>
          </w:p>
        </w:tc>
        <w:tc>
          <w:tcPr>
            <w:tcW w:w="1418" w:type="dxa"/>
            <w:tcBorders>
              <w:top w:val="nil"/>
            </w:tcBorders>
          </w:tcPr>
          <w:p>
            <w:pPr>
              <w:pStyle w:val="26"/>
              <w:keepNext/>
              <w:spacing w:line="440" w:lineRule="exact"/>
              <w:ind w:left="63" w:right="63"/>
              <w:rPr>
                <w:rFonts w:hAnsi="宋体" w:cs="Times New Roman"/>
                <w:color w:val="auto"/>
                <w:highlight w:val="none"/>
                <w:lang w:val="en-US"/>
              </w:rPr>
            </w:pPr>
          </w:p>
        </w:tc>
        <w:tc>
          <w:tcPr>
            <w:tcW w:w="1701" w:type="dxa"/>
            <w:tcBorders>
              <w:top w:val="nil"/>
            </w:tcBorders>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6"/>
              <w:keepNext/>
              <w:spacing w:line="440" w:lineRule="exact"/>
              <w:ind w:left="63" w:right="63"/>
              <w:rPr>
                <w:rFonts w:hAnsi="宋体" w:cs="Times New Roman"/>
                <w:color w:val="auto"/>
                <w:highlight w:val="none"/>
                <w:lang w:val="en-US"/>
              </w:rPr>
            </w:pPr>
          </w:p>
        </w:tc>
        <w:tc>
          <w:tcPr>
            <w:tcW w:w="1984" w:type="dxa"/>
          </w:tcPr>
          <w:p>
            <w:pPr>
              <w:pStyle w:val="26"/>
              <w:keepNext/>
              <w:spacing w:line="440" w:lineRule="exact"/>
              <w:ind w:left="63" w:right="63"/>
              <w:rPr>
                <w:rFonts w:hAnsi="宋体" w:cs="Times New Roman"/>
                <w:color w:val="auto"/>
                <w:highlight w:val="none"/>
                <w:lang w:val="en-US"/>
              </w:rPr>
            </w:pPr>
          </w:p>
        </w:tc>
        <w:tc>
          <w:tcPr>
            <w:tcW w:w="851" w:type="dxa"/>
          </w:tcPr>
          <w:p>
            <w:pPr>
              <w:pStyle w:val="26"/>
              <w:keepNext/>
              <w:spacing w:line="440" w:lineRule="exact"/>
              <w:ind w:left="63" w:right="63"/>
              <w:rPr>
                <w:rFonts w:hAnsi="宋体" w:cs="Times New Roman"/>
                <w:color w:val="auto"/>
                <w:highlight w:val="none"/>
                <w:lang w:val="en-US"/>
              </w:rPr>
            </w:pPr>
          </w:p>
        </w:tc>
        <w:tc>
          <w:tcPr>
            <w:tcW w:w="774" w:type="dxa"/>
          </w:tcPr>
          <w:p>
            <w:pPr>
              <w:pStyle w:val="26"/>
              <w:keepNext/>
              <w:spacing w:line="440" w:lineRule="exact"/>
              <w:ind w:left="63" w:right="63"/>
              <w:rPr>
                <w:rFonts w:hAnsi="宋体" w:cs="Times New Roman"/>
                <w:color w:val="auto"/>
                <w:highlight w:val="none"/>
                <w:lang w:val="en-US"/>
              </w:rPr>
            </w:pPr>
          </w:p>
        </w:tc>
        <w:tc>
          <w:tcPr>
            <w:tcW w:w="1352" w:type="dxa"/>
          </w:tcPr>
          <w:p>
            <w:pPr>
              <w:pStyle w:val="26"/>
              <w:keepNext/>
              <w:spacing w:line="440" w:lineRule="exact"/>
              <w:ind w:left="63" w:right="63"/>
              <w:rPr>
                <w:rFonts w:hAnsi="宋体" w:cs="Times New Roman"/>
                <w:color w:val="auto"/>
                <w:highlight w:val="none"/>
                <w:lang w:val="en-US"/>
              </w:rPr>
            </w:pPr>
          </w:p>
        </w:tc>
        <w:tc>
          <w:tcPr>
            <w:tcW w:w="1418" w:type="dxa"/>
          </w:tcPr>
          <w:p>
            <w:pPr>
              <w:pStyle w:val="26"/>
              <w:keepNext/>
              <w:spacing w:line="440" w:lineRule="exact"/>
              <w:ind w:left="63" w:right="63"/>
              <w:rPr>
                <w:rFonts w:hAnsi="宋体" w:cs="Times New Roman"/>
                <w:color w:val="auto"/>
                <w:highlight w:val="none"/>
                <w:lang w:val="en-US"/>
              </w:rPr>
            </w:pPr>
          </w:p>
        </w:tc>
        <w:tc>
          <w:tcPr>
            <w:tcW w:w="1701" w:type="dxa"/>
          </w:tcPr>
          <w:p>
            <w:pPr>
              <w:pStyle w:val="26"/>
              <w:keepNext/>
              <w:spacing w:line="440" w:lineRule="exact"/>
              <w:ind w:left="63" w:right="63"/>
              <w:rPr>
                <w:rFonts w:hAnsi="宋体" w:cs="Times New Roman"/>
                <w:color w:val="auto"/>
                <w:highlight w:val="none"/>
                <w:lang w:val="en-US"/>
              </w:rPr>
            </w:pPr>
          </w:p>
        </w:tc>
      </w:tr>
    </w:tbl>
    <w:p>
      <w:pPr>
        <w:pStyle w:val="29"/>
        <w:spacing w:after="120"/>
        <w:rPr>
          <w:color w:val="auto"/>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sectPr>
          <w:headerReference r:id="rId17" w:type="first"/>
          <w:footerReference r:id="rId19" w:type="first"/>
          <w:footerReference r:id="rId18"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9"/>
      <w:r>
        <w:rPr>
          <w:rFonts w:hint="eastAsia" w:ascii="宋体" w:hAnsi="宋体" w:cs="宋体"/>
          <w:b/>
          <w:color w:val="auto"/>
          <w:sz w:val="36"/>
          <w:szCs w:val="20"/>
          <w:highlight w:val="none"/>
        </w:rPr>
        <w:t xml:space="preserve"> </w:t>
      </w:r>
      <w:bookmarkEnd w:id="400"/>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）中小企业声明函………………………………………………………（页码）</w:t>
      </w:r>
    </w:p>
    <w:p>
      <w:pPr>
        <w:snapToGrid w:val="0"/>
        <w:spacing w:line="360" w:lineRule="auto"/>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杭州市春蕾中学、浙江豪圣建设项目管理有限公司：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我方参与春蕾中学两校区维修工程【项目编号：HSZB-2024-291】政府采购活动，郑重承诺：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.专门面向中小企业，工程全部由符合政策要求的中小企业（或小微企业）承建的，提供相应的中小企业声明函（附件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），联合协议中中小企业合同金额应当达到竞争性磋商公告载明的比例；如果供应商本身提供所有标的均由中小企业承建的，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），分包意向协议中中小企业合同金额应当达到竞争性磋商公告载明的比例；如果供应商本身提供所有标的均由中小企业承建，</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pStyle w:val="694"/>
        <w:keepNext w:val="0"/>
        <w:pageBreakBefore w:val="0"/>
        <w:tabs>
          <w:tab w:val="clear" w:pos="720"/>
        </w:tabs>
        <w:snapToGrid w:val="0"/>
        <w:spacing w:before="120" w:after="120"/>
        <w:ind w:firstLine="643"/>
        <w:outlineLvl w:val="9"/>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（根据竞争性磋商公告本项目的特定资格要求提供相应的材料；未要求的，无需提供）</w:t>
      </w:r>
    </w:p>
    <w:p>
      <w:pPr>
        <w:pStyle w:val="694"/>
        <w:keepNext w:val="0"/>
        <w:pageBreakBefore w:val="0"/>
        <w:tabs>
          <w:tab w:val="clear" w:pos="720"/>
        </w:tabs>
        <w:snapToGrid w:val="0"/>
        <w:spacing w:before="120" w:after="120"/>
        <w:ind w:firstLine="643"/>
        <w:outlineLvl w:val="9"/>
        <w:rPr>
          <w:rFonts w:hint="eastAsia" w:ascii="宋体" w:hAnsi="宋体" w:eastAsia="宋体" w:cs="宋体"/>
          <w:b w:val="0"/>
          <w:bCs/>
          <w:color w:val="auto"/>
          <w:sz w:val="24"/>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五、中小企业声明函</w:t>
      </w:r>
      <w:bookmarkStart w:id="435" w:name="_Hlk101259491"/>
      <w:r>
        <w:rPr>
          <w:rFonts w:hint="eastAsia" w:ascii="宋体" w:hAnsi="宋体" w:eastAsia="宋体" w:cs="宋体"/>
          <w:b/>
          <w:color w:val="auto"/>
          <w:kern w:val="0"/>
          <w:sz w:val="32"/>
          <w:szCs w:val="32"/>
          <w:highlight w:val="none"/>
          <w:lang w:val="en-US" w:eastAsia="zh-CN" w:bidi="ar-SA"/>
        </w:rPr>
        <w:t>（如果有）</w:t>
      </w:r>
      <w:bookmarkEnd w:id="435"/>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jc w:val="center"/>
        <w:rPr>
          <w:rFonts w:ascii="宋体" w:hAnsi="宋体" w:cs="宋体"/>
          <w:color w:val="auto"/>
          <w:sz w:val="24"/>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5"/>
        <w:rPr>
          <w:rFonts w:ascii="宋体" w:hAnsi="宋体" w:cs="宋体"/>
          <w:b w:val="0"/>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响应函……………………………………………………………………………（页码）</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2）授权委托书或法定代表人（单位负责人、自然人本人）身份证明</w:t>
      </w:r>
      <w:r>
        <w:rPr>
          <w:rFonts w:hint="eastAsia" w:ascii="宋体" w:hAnsi="宋体" w:cs="宋体"/>
          <w:color w:val="auto"/>
          <w:sz w:val="24"/>
          <w:highlight w:val="none"/>
        </w:rPr>
        <w:t>……………（页码）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）评审标准相应的商务技术资料……………………………………………………（页码）（</w:t>
      </w:r>
      <w:r>
        <w:rPr>
          <w:rFonts w:ascii="宋体" w:hAnsi="宋体" w:cs="宋体"/>
          <w:color w:val="auto"/>
          <w:sz w:val="24"/>
          <w:highlight w:val="none"/>
        </w:rPr>
        <w:t>6</w:t>
      </w:r>
      <w:r>
        <w:rPr>
          <w:rFonts w:hint="eastAsia" w:ascii="宋体" w:hAnsi="宋体" w:cs="宋体"/>
          <w:color w:val="auto"/>
          <w:sz w:val="24"/>
          <w:highlight w:val="none"/>
        </w:rPr>
        <w:t>）商务技术偏离表……………………………………………………………………（页码）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lang w:val="zh-CN"/>
        </w:rPr>
        <w:t>（</w:t>
      </w:r>
      <w:r>
        <w:rPr>
          <w:rFonts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p>
    <w:p>
      <w:pPr>
        <w:snapToGrid w:val="0"/>
        <w:spacing w:line="360" w:lineRule="auto"/>
        <w:jc w:val="center"/>
        <w:rPr>
          <w:rFonts w:ascii="宋体" w:hAnsi="宋体" w:cs="宋体"/>
          <w:b/>
          <w:color w:val="auto"/>
          <w:kern w:val="0"/>
          <w:sz w:val="24"/>
          <w:szCs w:val="32"/>
          <w:highlight w:val="none"/>
          <w:lang w:val="zh-CN"/>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一、响应函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杭州市春蕾中学、浙江豪圣建设项目管理有限公司：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我方参加你方组织的春蕾中学两校区维修工程【项目编号：HSZB-2024-291】采购的有关活动，并对此项目提交响应文件及报价。为此：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1、我方承诺响应文件有效期从提交响应文件的截止之日起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本响应文件在响应文件有效期满之前均具有约束力。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2、我方的响应文件包括以下内容：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2.2.1响应函；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评审标准相应的商务技术资料；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2.3.1报价单；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2.3.2已标价工程量清单；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2.3.3中小企业声明函（如果有）。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3、我方承诺除商务技术偏离表列出的偏离外，我方响应采购文件的全部要求。对响应文件中材料的真实性、合法性负责。</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4、如我方成交，我方承诺：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4.3按照采购文件要求提交履约保证金；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供应商名称（电子签名）：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授权委托书（适用于非联合体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杭州市春蕾中学、浙江豪圣建设项目管理有限公司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春蕾中学两校区维修工程【项目编号：HSZB-2024-291】</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杭州市春蕾中学、浙江豪圣建设项目管理有限公司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春蕾中学两校区维修工程【项目编号：HSZB-2024-291】</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法定代表人、单位负责人或自然人本人</w:t>
      </w:r>
      <w:r>
        <w:rPr>
          <w:rFonts w:hint="eastAsia" w:ascii="宋体" w:hAnsi="宋体" w:cs="宋体"/>
          <w:b/>
          <w:bCs/>
          <w:color w:val="auto"/>
          <w:sz w:val="32"/>
          <w:szCs w:val="32"/>
          <w:highlight w:val="none"/>
        </w:rPr>
        <w:t>的身份证明（适用于法定代表人、单位负责人或者自然人本人代表供应商参加响应）</w:t>
      </w:r>
    </w:p>
    <w:p>
      <w:pPr>
        <w:pStyle w:val="15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三、分包意向协议</w:t>
      </w:r>
    </w:p>
    <w:p>
      <w:pPr>
        <w:widowControl/>
        <w:spacing w:line="360" w:lineRule="auto"/>
        <w:ind w:firstLine="120" w:firstLineChars="50"/>
        <w:jc w:val="left"/>
        <w:rPr>
          <w:rFonts w:ascii="宋体" w:hAnsi="宋体" w:cs="宋体"/>
          <w:color w:val="auto"/>
          <w:sz w:val="24"/>
          <w:highlight w:val="none"/>
        </w:rPr>
      </w:pPr>
      <w:bookmarkStart w:id="436" w:name="_Hlk101169080"/>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；采购人不同意分包或者供应商成交后不以分包方式履行合同的，则不需要提供。</w:t>
      </w:r>
      <w:r>
        <w:rPr>
          <w:rFonts w:hint="eastAsia" w:ascii="宋体" w:hAnsi="宋体" w:cs="宋体"/>
          <w:color w:val="auto"/>
          <w:sz w:val="24"/>
          <w:highlight w:val="none"/>
        </w:rPr>
        <w:t>]</w:t>
      </w:r>
    </w:p>
    <w:bookmarkEnd w:id="436"/>
    <w:p>
      <w:pPr>
        <w:snapToGrid w:val="0"/>
        <w:spacing w:line="360" w:lineRule="auto"/>
        <w:rPr>
          <w:rFonts w:ascii="宋体" w:hAnsi="宋体" w:cs="宋体"/>
          <w:color w:val="auto"/>
          <w:kern w:val="0"/>
          <w:sz w:val="24"/>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四、符合性审查资料</w:t>
      </w:r>
    </w:p>
    <w:p>
      <w:pPr>
        <w:jc w:val="center"/>
        <w:rPr>
          <w:rFonts w:ascii="宋体" w:hAnsi="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响应文件中的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响应文件按照采购文件要求签署、盖章。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需要使用电子签名或者签字盖章的响应文件的组成部分</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pStyle w:val="5"/>
              <w:jc w:val="both"/>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响应文件中承诺的响应文件有效期不少于采购文件中载明的响应文件有效期。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响应函</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响应文件满足采购文件的其它实质性要求。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采购文件其它实质性要求相应的材料（“▲” 系指实质性要求条款，采购文件无其它实质性要求的，无需提供）</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五、评审标准相应的商务技术资料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（按采购文件第四部分评审办法前附表中“响应文件中评审标准相应的商务技术资料目录”提供资料。）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六、商务技术偏离表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采购文件章节及具体内容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响应文件章节及具体内容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供应商保证：除商务技术偏离表列出的偏离外，供应商响应采购文件的全部要求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sectPr>
          <w:footerReference r:id="rId21" w:type="first"/>
          <w:footerReference r:id="rId20" w:type="default"/>
          <w:pgSz w:w="11906" w:h="16838"/>
          <w:pgMar w:top="1440" w:right="1080" w:bottom="1440" w:left="1080" w:header="851" w:footer="992" w:gutter="0"/>
          <w:cols w:space="720" w:num="1"/>
          <w:titlePg/>
          <w:docGrid w:linePitch="312" w:charSpace="0"/>
        </w:sectPr>
      </w:pPr>
    </w:p>
    <w:p>
      <w:pPr>
        <w:snapToGrid w:val="0"/>
        <w:jc w:val="center"/>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杭州市春蕾中学、浙江豪圣建设项目管理有限公司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报价单…………………………………………………………………………（页码）</w:t>
      </w:r>
    </w:p>
    <w:p>
      <w:pPr>
        <w:spacing w:line="360" w:lineRule="auto"/>
        <w:rPr>
          <w:color w:val="auto"/>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（3）已标价工程量清单……………………………………………………………（页码）</w:t>
      </w:r>
    </w:p>
    <w:p>
      <w:pPr>
        <w:pStyle w:val="2"/>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footerReference r:id="rId24" w:type="first"/>
          <w:headerReference r:id="rId22" w:type="default"/>
          <w:footerReference r:id="rId23" w:type="default"/>
          <w:pgSz w:w="11906" w:h="16838"/>
          <w:pgMar w:top="1440" w:right="1080" w:bottom="1440" w:left="1080"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一、报价单</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杭州市春蕾中学、浙江豪圣建设项目管理有限公司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宋体" w:hAnsi="宋体" w:cs="宋体"/>
          <w:color w:val="auto"/>
          <w:sz w:val="24"/>
          <w:highlight w:val="none"/>
        </w:rPr>
        <w:t>春蕾中学两校区维修工程</w:t>
      </w:r>
      <w:r>
        <w:rPr>
          <w:rFonts w:hint="eastAsia" w:ascii="宋体" w:hAnsi="宋体" w:cs="宋体"/>
          <w:color w:val="auto"/>
          <w:kern w:val="0"/>
          <w:sz w:val="24"/>
          <w:highlight w:val="none"/>
          <w:lang w:val="zh-CN"/>
        </w:rPr>
        <w:t>【项目编号：</w:t>
      </w:r>
      <w:r>
        <w:rPr>
          <w:rFonts w:hint="eastAsia" w:ascii="宋体" w:hAnsi="宋体" w:cs="宋体"/>
          <w:color w:val="auto"/>
          <w:sz w:val="24"/>
          <w:highlight w:val="none"/>
        </w:rPr>
        <w:t>HSZB-2024-291】的实施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报价单(单位均为人民币元)</w:t>
      </w:r>
    </w:p>
    <w:tbl>
      <w:tblPr>
        <w:tblStyle w:val="6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施工范围</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施工工期</w:t>
            </w:r>
          </w:p>
        </w:tc>
        <w:tc>
          <w:tcPr>
            <w:tcW w:w="255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项目经理</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执业证书信息</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2552"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磋商报价（小写）</w:t>
            </w:r>
          </w:p>
        </w:tc>
        <w:tc>
          <w:tcPr>
            <w:tcW w:w="7655" w:type="dxa"/>
            <w:gridSpan w:val="3"/>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磋商报价（大写）</w:t>
            </w:r>
          </w:p>
        </w:tc>
        <w:tc>
          <w:tcPr>
            <w:tcW w:w="7655"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响应文件含有采购人不能接受的附加条件，响应文件无效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采购内容未包含在《报价单》名称栏中，供应商不能作出合理解释的，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响应文件含有采购人不能接受的附加条件的，响应文件无效。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40" w:right="1080" w:bottom="1440" w:left="1080" w:header="851" w:footer="992" w:gutter="0"/>
          <w:cols w:space="720" w:num="1"/>
          <w:titlePg/>
          <w:docGrid w:linePitch="312" w:charSpace="0"/>
        </w:sectPr>
      </w:pPr>
    </w:p>
    <w:p>
      <w:pPr>
        <w:pStyle w:val="694"/>
        <w:keepNext w:val="0"/>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二、报价情况说明（如果有）</w:t>
      </w:r>
    </w:p>
    <w:p>
      <w:pPr>
        <w:snapToGrid w:val="0"/>
        <w:spacing w:before="120" w:after="120"/>
        <w:rPr>
          <w:color w:val="auto"/>
          <w:highlight w:val="none"/>
        </w:rPr>
      </w:pPr>
    </w:p>
    <w:p>
      <w:pPr>
        <w:tabs>
          <w:tab w:val="left" w:pos="1313"/>
        </w:tabs>
        <w:snapToGrid w:val="0"/>
        <w:spacing w:before="120" w:after="120"/>
        <w:jc w:val="left"/>
        <w:rPr>
          <w:rFonts w:ascii="宋体" w:hAnsi="宋体" w:cs="宋体"/>
          <w:color w:val="auto"/>
          <w:sz w:val="24"/>
          <w:highlight w:val="none"/>
        </w:rPr>
      </w:pPr>
      <w:r>
        <w:rPr>
          <w:rFonts w:hint="eastAsia" w:ascii="宋体" w:hAnsi="宋体" w:cs="宋体"/>
          <w:color w:val="auto"/>
          <w:sz w:val="24"/>
          <w:highlight w:val="none"/>
        </w:rPr>
        <w:t>（如供应商报价低于项目预算</w:t>
      </w:r>
      <w:r>
        <w:rPr>
          <w:rFonts w:ascii="宋体" w:hAnsi="宋体" w:cs="宋体"/>
          <w:color w:val="auto"/>
          <w:sz w:val="24"/>
          <w:highlight w:val="none"/>
        </w:rPr>
        <w:t>50%的，应当提交本文档，详细阐述不影响产品质量或者诚信履约的具体原因</w:t>
      </w:r>
      <w:r>
        <w:rPr>
          <w:rFonts w:hint="eastAsia" w:ascii="宋体" w:hAnsi="宋体" w:cs="宋体"/>
          <w:color w:val="auto"/>
          <w:sz w:val="24"/>
          <w:highlight w:val="none"/>
        </w:rPr>
        <w:t>）</w:t>
      </w: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4"/>
        <w:keepNext w:val="0"/>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三、已标价工程量清单</w:t>
      </w:r>
    </w:p>
    <w:p>
      <w:pPr>
        <w:ind w:right="420"/>
        <w:rPr>
          <w:rFonts w:ascii="宋体" w:hAnsi="宋体" w:cs="宋体"/>
          <w:color w:val="auto"/>
          <w:sz w:val="24"/>
          <w:highlight w:val="none"/>
        </w:rPr>
      </w:pPr>
      <w:r>
        <w:rPr>
          <w:rFonts w:hint="eastAsia" w:ascii="宋体" w:hAnsi="宋体" w:cs="宋体"/>
          <w:color w:val="auto"/>
          <w:sz w:val="24"/>
          <w:highlight w:val="none"/>
        </w:rPr>
        <w:t xml:space="preserve">注：按采购文件工程量清单编制 </w:t>
      </w:r>
    </w:p>
    <w:p>
      <w:pPr>
        <w:pStyle w:val="64"/>
        <w:ind w:firstLine="480"/>
        <w:rPr>
          <w:rFonts w:cs="宋体"/>
          <w:color w:val="auto"/>
          <w:sz w:val="24"/>
          <w:highlight w:val="none"/>
        </w:rPr>
      </w:pPr>
    </w:p>
    <w:p>
      <w:pPr>
        <w:pStyle w:val="64"/>
        <w:ind w:firstLine="480"/>
        <w:rPr>
          <w:rFonts w:cs="宋体"/>
          <w:color w:val="auto"/>
          <w:sz w:val="24"/>
          <w:highlight w:val="none"/>
        </w:rPr>
        <w:sectPr>
          <w:footerReference r:id="rId28" w:type="first"/>
          <w:headerReference r:id="rId25" w:type="default"/>
          <w:footerReference r:id="rId26" w:type="default"/>
          <w:footerReference r:id="rId27" w:type="even"/>
          <w:pgSz w:w="11906" w:h="16838"/>
          <w:pgMar w:top="1440" w:right="1080" w:bottom="1440" w:left="1080" w:header="851" w:footer="992" w:gutter="0"/>
          <w:cols w:space="720" w:num="1"/>
          <w:titlePg/>
          <w:docGrid w:linePitch="312" w:charSpace="0"/>
        </w:sect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437" w:name="_Toc465665161"/>
      <w:r>
        <w:rPr>
          <w:rFonts w:hint="eastAsia" w:ascii="宋体" w:hAnsi="宋体" w:cs="宋体"/>
          <w:color w:val="auto"/>
          <w:highlight w:val="none"/>
        </w:rPr>
        <w:t>附件</w:t>
      </w:r>
      <w:bookmarkEnd w:id="437"/>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38" w:name="OLE_LINK14"/>
      <w:bookmarkStart w:id="439" w:name="OLE_LINK13"/>
      <w:r>
        <w:rPr>
          <w:rFonts w:hint="eastAsia" w:ascii="宋体" w:hAnsi="宋体" w:cs="宋体"/>
          <w:b/>
          <w:color w:val="auto"/>
          <w:spacing w:val="6"/>
          <w:sz w:val="32"/>
          <w:szCs w:val="32"/>
          <w:highlight w:val="none"/>
        </w:rPr>
        <w:t>残疾人福利性单位声明函</w:t>
      </w:r>
    </w:p>
    <w:bookmarkEnd w:id="438"/>
    <w:bookmarkEnd w:id="43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杭州市春蕾中学、浙江豪圣建设项目管理有限公司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(供应商全称)是中华人民共和国依法登记注册的合法企业，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你方组织的春蕾中学两校区维修工程项目【项目编号：HSZB-2024-291】</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供应商（法定名称章）：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w:t>供应商</w:t>
      </w:r>
      <w:r>
        <w:rPr>
          <w:rFonts w:hint="eastAsia" w:ascii="宋体" w:hAnsi="宋体" w:cs="宋体"/>
          <w:color w:val="auto"/>
          <w:sz w:val="24"/>
          <w:highlight w:val="none"/>
        </w:rPr>
        <w:t>法定名称章（印模）                供应商“XX专用章”（印模）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（以联合体形式参与的，提供联合协议；本项目不接受联合体或者供应商不以联合体形式参与的，则不需要提供）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春蕾中学两校区维修工程【项目编号：HSZB-2024-291】</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授权代表根据采购文件规定及</w:t>
      </w:r>
      <w:r>
        <w:rPr>
          <w:rFonts w:hint="eastAsia" w:ascii="宋体" w:hAnsi="宋体" w:cs="宋体"/>
          <w:color w:val="auto"/>
          <w:kern w:val="0"/>
          <w:sz w:val="24"/>
          <w:highlight w:val="none"/>
        </w:rPr>
        <w:t>响应内容</w:t>
      </w:r>
      <w:r>
        <w:rPr>
          <w:rFonts w:hint="eastAsia" w:ascii="宋体" w:hAnsi="宋体" w:cs="宋体"/>
          <w:color w:val="auto"/>
          <w:kern w:val="0"/>
          <w:sz w:val="24"/>
          <w:highlight w:val="none"/>
          <w:lang w:val="zh-CN"/>
        </w:rPr>
        <w:t>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中，分工如下：</w:t>
      </w:r>
    </w:p>
    <w:p>
      <w:pPr>
        <w:snapToGrid w:val="0"/>
        <w:spacing w:line="360" w:lineRule="auto"/>
        <w:ind w:firstLine="576"/>
        <w:rPr>
          <w:rFonts w:ascii="宋体" w:hAnsi="宋体" w:cs="宋体"/>
          <w:color w:val="auto"/>
          <w:kern w:val="0"/>
          <w:sz w:val="24"/>
          <w:highlight w:val="none"/>
          <w:lang w:val="zh-CN"/>
        </w:rPr>
      </w:pPr>
      <w:bookmarkStart w:id="440"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440"/>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提供的全部工程由小微企业承建，其合同份额占到合同总金额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w:t>
      </w:r>
      <w:r>
        <w:rPr>
          <w:rFonts w:hint="eastAsia" w:ascii="宋体" w:hAnsi="宋体" w:cs="宋体"/>
          <w:b/>
          <w:color w:val="auto"/>
          <w:kern w:val="0"/>
          <w:sz w:val="24"/>
          <w:highlight w:val="none"/>
        </w:rPr>
        <w:t>磋商</w:t>
      </w:r>
      <w:r>
        <w:rPr>
          <w:rFonts w:hint="eastAsia" w:ascii="宋体" w:hAnsi="宋体" w:cs="宋体"/>
          <w:b/>
          <w:color w:val="auto"/>
          <w:kern w:val="0"/>
          <w:sz w:val="24"/>
          <w:highlight w:val="none"/>
          <w:lang w:val="zh-CN"/>
        </w:rPr>
        <w:t>的，联合协议约定小微企业的合同份额占到合同总金额30%以上的，对联合体报价给予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五、如果成交，</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春蕾中学两校区维修工程【项目编号：HSZB-2024-291】</w:t>
      </w:r>
      <w:r>
        <w:rPr>
          <w:rFonts w:hint="eastAsia" w:ascii="宋体" w:hAnsi="宋体" w:cs="宋体"/>
          <w:color w:val="auto"/>
          <w:kern w:val="0"/>
          <w:sz w:val="24"/>
          <w:highlight w:val="none"/>
          <w:lang w:val="zh-CN"/>
        </w:rPr>
        <w:t>的成交供应商，将依法采取分包方式履行合同。</w:t>
      </w: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……）提供的工程全部由小微企业承建，</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41"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要求合同分包形式参加的项目或采购包，供应商按采购文件第一部分竞争性磋商公告申请人的资格要求中规定的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441"/>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snapToGrid w:val="0"/>
        <w:spacing w:line="360" w:lineRule="auto"/>
        <w:ind w:firstLine="5640" w:firstLineChars="23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7</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杭州市春蕾中学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春蕾中学两校区维修工程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春蕾中学两校区维修工程</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建筑业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firstLine="480" w:firstLineChars="200"/>
        <w:rPr>
          <w:rFonts w:ascii="宋体" w:hAnsi="宋体" w:cs="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sectPr>
          <w:pgSz w:w="11906" w:h="16838"/>
          <w:pgMar w:top="1440" w:right="1080" w:bottom="1440" w:left="1080" w:header="851" w:footer="992" w:gutter="0"/>
          <w:cols w:space="720" w:num="1"/>
          <w:titlePg/>
          <w:docGrid w:linePitch="312" w:charSpace="0"/>
        </w:sect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附件8：工程量清单（另附）</w:t>
      </w:r>
    </w:p>
    <w:p>
      <w:pPr>
        <w:spacing w:line="360" w:lineRule="auto"/>
        <w:rPr>
          <w:rFonts w:ascii="宋体" w:hAnsi="宋体" w:cs="宋体"/>
          <w:b/>
          <w:color w:val="auto"/>
          <w:spacing w:val="6"/>
          <w:sz w:val="32"/>
          <w:szCs w:val="32"/>
          <w:highlight w:val="none"/>
        </w:r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附件9：图纸（另附）</w:t>
      </w:r>
    </w:p>
    <w:p>
      <w:pPr>
        <w:widowControl/>
        <w:adjustRightInd/>
        <w:jc w:val="left"/>
        <w:rPr>
          <w:b/>
          <w:bCs/>
          <w:color w:val="auto"/>
          <w:sz w:val="32"/>
          <w:szCs w:val="32"/>
          <w:highlight w:val="none"/>
        </w:rPr>
      </w:pPr>
      <w:r>
        <w:rPr>
          <w:color w:val="auto"/>
          <w:highlight w:val="none"/>
        </w:rPr>
        <w:br w:type="page"/>
      </w:r>
    </w:p>
    <w:p>
      <w:pPr>
        <w:pStyle w:val="6"/>
        <w:numPr>
          <w:ilvl w:val="255"/>
          <w:numId w:val="0"/>
        </w:numPr>
        <w:rPr>
          <w:color w:val="auto"/>
          <w:highlight w:val="none"/>
        </w:rPr>
      </w:pPr>
      <w:r>
        <w:rPr>
          <w:color w:val="auto"/>
          <w:highlight w:val="none"/>
        </w:rPr>
        <w:t>其它</w:t>
      </w:r>
    </w:p>
    <w:p>
      <w:pPr>
        <w:pStyle w:val="37"/>
        <w:ind w:firstLine="640"/>
        <w:rPr>
          <w:color w:val="auto"/>
          <w:highlight w:val="none"/>
        </w:rPr>
      </w:pPr>
      <w:r>
        <w:rPr>
          <w:rFonts w:hint="eastAsia"/>
          <w:color w:val="auto"/>
          <w:highlight w:val="none"/>
        </w:rPr>
        <w:t>（以下文件及规定如与最新规定不一致，以最新发布的为准）</w:t>
      </w:r>
    </w:p>
    <w:p>
      <w:pPr>
        <w:pStyle w:val="6"/>
        <w:ind w:firstLine="643" w:firstLineChars="200"/>
        <w:rPr>
          <w:color w:val="auto"/>
          <w:highlight w:val="none"/>
        </w:rPr>
      </w:pPr>
      <w:r>
        <w:rPr>
          <w:rFonts w:hint="eastAsia"/>
          <w:color w:val="auto"/>
          <w:highlight w:val="none"/>
        </w:rPr>
        <w:t>关于调整优化节能产品、环境标志产品政府采购执行机制的通知（财库[2019]9号）</w:t>
      </w:r>
    </w:p>
    <w:tbl>
      <w:tblPr>
        <w:tblStyle w:val="65"/>
        <w:tblW w:w="9145" w:type="dxa"/>
        <w:jc w:val="center"/>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rPr>
          <w:jc w:val="center"/>
        </w:trPr>
        <w:tc>
          <w:tcPr>
            <w:tcW w:w="9145" w:type="dxa"/>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财政部 发展改革委 生态环境部 市场监管总局</w:t>
            </w: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关于调整优化节能产品、环境标志产品政府采购执行机制的通知</w:t>
            </w: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财库〔2019〕9号</w:t>
            </w:r>
          </w:p>
          <w:p>
            <w:pPr>
              <w:spacing w:line="360" w:lineRule="auto"/>
              <w:jc w:val="center"/>
              <w:rPr>
                <w:rFonts w:ascii="仿宋" w:hAnsi="仿宋" w:eastAsia="仿宋"/>
                <w:b/>
                <w:color w:val="auto"/>
                <w:sz w:val="24"/>
                <w:highlight w:val="none"/>
              </w:rPr>
            </w:pPr>
          </w:p>
          <w:p>
            <w:pPr>
              <w:spacing w:line="360" w:lineRule="auto"/>
              <w:ind w:firstLine="487"/>
              <w:rPr>
                <w:rFonts w:ascii="仿宋" w:hAnsi="仿宋" w:eastAsia="仿宋"/>
                <w:b/>
                <w:color w:val="auto"/>
                <w:sz w:val="24"/>
                <w:highlight w:val="none"/>
              </w:rPr>
            </w:pPr>
            <w:r>
              <w:rPr>
                <w:rFonts w:ascii="仿宋" w:hAnsi="仿宋" w:eastAsia="仿宋"/>
                <w:b/>
                <w:color w:val="auto"/>
                <w:sz w:val="24"/>
                <w:highlight w:val="none"/>
              </w:rPr>
              <w:t>有关中央预算单位，各省、自治区、直辖市、计划单列市财政厅（局）、发展改革委（经信委、工信委、工信厅、经信局）、生态环境厅（局）、市场监管部门，新疆生产建设兵团财政局、发展改革委、工信委、环境保护局、市场监管局：</w:t>
            </w:r>
          </w:p>
          <w:p>
            <w:pPr>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为落实“放管服”改革要求，完善政府绿色采购政策，简化节能（节水）产品、环境标志产品政府采购执行机制，优化供应商参与政府采购活动的市场环境，现就节能产品、环境标志产品政府采购有关事项通知如下：</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一、对政府采购节能产品、环境标志产品实施品目清单管理。</w:t>
            </w:r>
            <w:r>
              <w:rPr>
                <w:rFonts w:ascii="仿宋" w:hAnsi="仿宋" w:eastAsia="仿宋"/>
                <w:color w:val="auto"/>
                <w:sz w:val="24"/>
                <w:highlight w:val="none"/>
              </w:rPr>
              <w:t>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二、依据品目清单和认证证书实施政府优先采购和强制采购。</w:t>
            </w:r>
            <w:r>
              <w:rPr>
                <w:rFonts w:ascii="仿宋" w:hAnsi="仿宋" w:eastAsia="仿宋"/>
                <w:color w:val="auto"/>
                <w:sz w:val="24"/>
                <w:highlight w:val="none"/>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三、逐步扩大节能产品、环境标志产品认证机构范围。</w:t>
            </w:r>
            <w:r>
              <w:rPr>
                <w:rFonts w:ascii="仿宋" w:hAnsi="仿宋" w:eastAsia="仿宋"/>
                <w:color w:val="auto"/>
                <w:sz w:val="24"/>
                <w:highlight w:val="none"/>
              </w:rPr>
              <w:t>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四、发布认证机构和获证产品信息。</w:t>
            </w:r>
            <w:r>
              <w:rPr>
                <w:rFonts w:ascii="仿宋" w:hAnsi="仿宋" w:eastAsia="仿宋"/>
                <w:color w:val="auto"/>
                <w:sz w:val="24"/>
                <w:highlight w:val="none"/>
              </w:rPr>
              <w:t>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五、加大政府绿色采购力度。</w:t>
            </w:r>
            <w:r>
              <w:rPr>
                <w:rFonts w:ascii="仿宋" w:hAnsi="仿宋" w:eastAsia="仿宋"/>
                <w:color w:val="auto"/>
                <w:sz w:val="24"/>
                <w:highlight w:val="none"/>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6" w:firstLineChars="177"/>
              <w:rPr>
                <w:rFonts w:ascii="仿宋" w:hAnsi="仿宋" w:eastAsia="仿宋"/>
                <w:color w:val="auto"/>
                <w:sz w:val="24"/>
                <w:highlight w:val="none"/>
              </w:rPr>
            </w:pPr>
            <w:r>
              <w:rPr>
                <w:rFonts w:ascii="仿宋" w:hAnsi="仿宋" w:eastAsia="仿宋"/>
                <w:b/>
                <w:color w:val="auto"/>
                <w:sz w:val="24"/>
                <w:highlight w:val="none"/>
              </w:rPr>
              <w:t>六、本通知自2019年4月1日起执行。</w:t>
            </w:r>
            <w:r>
              <w:rPr>
                <w:rFonts w:ascii="仿宋" w:hAnsi="仿宋" w:eastAsia="仿宋"/>
                <w:color w:val="auto"/>
                <w:sz w:val="24"/>
                <w:highlight w:val="none"/>
              </w:rPr>
              <w:t>《财政部 生态环境部关于调整公布第二十二期环境标志产品政府采购清单的通知》（财库〔2018〕70号）和《财政部 国家发展改革委关于调整公布第二十四期节能产品政府采购清单的通知》（财库〔2018〕73号）同时停止执行。</w:t>
            </w:r>
          </w:p>
          <w:p>
            <w:pPr>
              <w:spacing w:line="360" w:lineRule="auto"/>
              <w:jc w:val="right"/>
              <w:rPr>
                <w:rFonts w:ascii="仿宋" w:hAnsi="仿宋" w:eastAsia="仿宋"/>
                <w:color w:val="auto"/>
                <w:sz w:val="24"/>
                <w:highlight w:val="none"/>
              </w:rPr>
            </w:pPr>
            <w:r>
              <w:rPr>
                <w:rFonts w:ascii="仿宋" w:hAnsi="仿宋" w:eastAsia="仿宋"/>
                <w:color w:val="auto"/>
                <w:sz w:val="24"/>
                <w:highlight w:val="none"/>
              </w:rPr>
              <w:t>财政部 发展改革委 生态环境部 市场监管总局</w:t>
            </w:r>
          </w:p>
          <w:p>
            <w:pPr>
              <w:spacing w:line="360" w:lineRule="auto"/>
              <w:jc w:val="right"/>
              <w:rPr>
                <w:rFonts w:ascii="华文中宋" w:hAnsi="华文中宋" w:eastAsia="华文中宋"/>
                <w:color w:val="auto"/>
                <w:kern w:val="0"/>
                <w:sz w:val="30"/>
                <w:szCs w:val="30"/>
                <w:highlight w:val="none"/>
              </w:rPr>
            </w:pPr>
            <w:r>
              <w:rPr>
                <w:rFonts w:ascii="仿宋" w:hAnsi="仿宋" w:eastAsia="仿宋"/>
                <w:color w:val="auto"/>
                <w:sz w:val="24"/>
                <w:highlight w:val="none"/>
              </w:rPr>
              <w:t>2019年2月1日</w:t>
            </w:r>
          </w:p>
        </w:tc>
      </w:tr>
    </w:tbl>
    <w:p>
      <w:pPr>
        <w:widowControl/>
        <w:shd w:val="clear" w:color="auto" w:fill="FFFFFF"/>
        <w:spacing w:line="360" w:lineRule="auto"/>
        <w:jc w:val="center"/>
        <w:textAlignment w:val="baseline"/>
        <w:rPr>
          <w:rFonts w:ascii="华文中宋" w:hAnsi="华文中宋" w:eastAsia="华文中宋" w:cs="宋体"/>
          <w:color w:val="auto"/>
          <w:kern w:val="0"/>
          <w:sz w:val="30"/>
          <w:szCs w:val="30"/>
          <w:highlight w:val="none"/>
        </w:rPr>
      </w:pPr>
    </w:p>
    <w:p>
      <w:pPr>
        <w:widowControl/>
        <w:spacing w:line="360" w:lineRule="auto"/>
        <w:jc w:val="right"/>
        <w:rPr>
          <w:rFonts w:ascii="inherit" w:hAnsi="inherit" w:eastAsia="仿宋" w:cs="宋体"/>
          <w:color w:val="auto"/>
          <w:kern w:val="0"/>
          <w:sz w:val="24"/>
          <w:szCs w:val="28"/>
          <w:highlight w:val="none"/>
        </w:rPr>
      </w:pPr>
    </w:p>
    <w:p>
      <w:pPr>
        <w:pStyle w:val="6"/>
        <w:rPr>
          <w:color w:val="auto"/>
          <w:szCs w:val="28"/>
          <w:highlight w:val="none"/>
        </w:rPr>
      </w:pPr>
      <w:r>
        <w:rPr>
          <w:rFonts w:hint="eastAsia" w:ascii="inherit" w:hAnsi="inherit" w:eastAsia="仿宋"/>
          <w:color w:val="auto"/>
          <w:szCs w:val="28"/>
          <w:highlight w:val="none"/>
        </w:rPr>
        <w:br w:type="page"/>
      </w:r>
      <w:bookmarkStart w:id="442" w:name="_Toc7488757"/>
      <w:bookmarkStart w:id="443" w:name="_Toc7492526"/>
      <w:bookmarkStart w:id="444" w:name="_Toc7988473"/>
      <w:bookmarkStart w:id="445" w:name="_Toc24471816"/>
      <w:bookmarkStart w:id="446" w:name="_Toc17428347"/>
      <w:bookmarkStart w:id="447" w:name="_Toc7574703"/>
      <w:bookmarkStart w:id="448" w:name="_Toc20358290"/>
      <w:bookmarkStart w:id="449" w:name="_Toc10432456"/>
      <w:bookmarkStart w:id="450" w:name="_Toc7663595"/>
      <w:bookmarkStart w:id="451" w:name="_Toc7664195"/>
      <w:bookmarkStart w:id="452" w:name="_Toc7542914"/>
      <w:bookmarkStart w:id="453" w:name="_Toc7993639"/>
      <w:bookmarkStart w:id="454" w:name="_Toc25765008"/>
      <w:bookmarkStart w:id="455" w:name="_Toc7988419"/>
      <w:bookmarkStart w:id="456" w:name="_Toc7668948"/>
      <w:bookmarkStart w:id="457" w:name="_Toc8007003"/>
      <w:bookmarkStart w:id="458" w:name="_Toc17428252"/>
      <w:r>
        <w:rPr>
          <w:rFonts w:hint="eastAsia" w:ascii="inherit" w:hAnsi="inherit" w:eastAsia="仿宋"/>
          <w:color w:val="auto"/>
          <w:szCs w:val="28"/>
          <w:highlight w:val="none"/>
        </w:rPr>
        <w:t xml:space="preserve">  </w:t>
      </w:r>
      <w:r>
        <w:rPr>
          <w:color w:val="auto"/>
          <w:highlight w:val="none"/>
        </w:rPr>
        <w:t>关于印发节能产品政府采购品目清单的通知</w:t>
      </w:r>
      <w:r>
        <w:rPr>
          <w:rFonts w:hint="eastAsia"/>
          <w:color w:val="auto"/>
          <w:highlight w:val="none"/>
        </w:rPr>
        <w:t>（</w:t>
      </w:r>
      <w:r>
        <w:rPr>
          <w:color w:val="auto"/>
          <w:highlight w:val="none"/>
        </w:rPr>
        <w:t>财库〔2019〕19号</w:t>
      </w:r>
      <w:r>
        <w:rPr>
          <w:rFonts w:hint="eastAsia"/>
          <w:color w:val="auto"/>
          <w:highlight w:val="none"/>
        </w:rPr>
        <w: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bl>
      <w:tblPr>
        <w:tblStyle w:val="65"/>
        <w:tblW w:w="9145" w:type="dxa"/>
        <w:jc w:val="center"/>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rPr>
          <w:jc w:val="center"/>
        </w:trPr>
        <w:tc>
          <w:tcPr>
            <w:tcW w:w="9145" w:type="dxa"/>
          </w:tcPr>
          <w:p>
            <w:pPr>
              <w:widowControl/>
              <w:spacing w:line="360" w:lineRule="auto"/>
              <w:jc w:val="center"/>
              <w:rPr>
                <w:rFonts w:ascii="华文中宋" w:hAnsi="华文中宋" w:eastAsia="华文中宋" w:cs="宋体"/>
                <w:b/>
                <w:color w:val="auto"/>
                <w:kern w:val="0"/>
                <w:sz w:val="32"/>
                <w:highlight w:val="none"/>
              </w:rPr>
            </w:pPr>
            <w:r>
              <w:rPr>
                <w:rFonts w:ascii="华文中宋" w:hAnsi="华文中宋" w:eastAsia="华文中宋" w:cs="宋体"/>
                <w:b/>
                <w:color w:val="auto"/>
                <w:kern w:val="0"/>
                <w:sz w:val="32"/>
                <w:highlight w:val="none"/>
              </w:rPr>
              <w:t>关于印发节能产品政府采购品目清单的通知</w:t>
            </w:r>
          </w:p>
          <w:p>
            <w:pPr>
              <w:widowControl/>
              <w:spacing w:line="360" w:lineRule="auto"/>
              <w:jc w:val="center"/>
              <w:rPr>
                <w:rFonts w:ascii="仿宋" w:hAnsi="仿宋" w:eastAsia="仿宋" w:cs="宋体"/>
                <w:color w:val="auto"/>
                <w:kern w:val="0"/>
                <w:sz w:val="28"/>
                <w:highlight w:val="none"/>
              </w:rPr>
            </w:pPr>
            <w:r>
              <w:rPr>
                <w:rFonts w:ascii="华文中宋" w:hAnsi="华文中宋" w:eastAsia="华文中宋" w:cs="宋体"/>
                <w:b/>
                <w:color w:val="auto"/>
                <w:kern w:val="0"/>
                <w:sz w:val="32"/>
                <w:highlight w:val="none"/>
              </w:rPr>
              <w:t>财库〔2019〕19号</w:t>
            </w:r>
          </w:p>
          <w:p>
            <w:pPr>
              <w:widowControl/>
              <w:spacing w:line="360" w:lineRule="auto"/>
              <w:jc w:val="center"/>
              <w:rPr>
                <w:rFonts w:ascii="仿宋" w:hAnsi="仿宋" w:eastAsia="仿宋" w:cs="宋体"/>
                <w:color w:val="auto"/>
                <w:kern w:val="0"/>
                <w:sz w:val="28"/>
                <w:highlight w:val="none"/>
              </w:rPr>
            </w:pPr>
          </w:p>
          <w:p>
            <w:pPr>
              <w:widowControl/>
              <w:spacing w:line="360" w:lineRule="auto"/>
              <w:jc w:val="left"/>
              <w:rPr>
                <w:rFonts w:ascii="仿宋" w:hAnsi="仿宋" w:eastAsia="仿宋" w:cs="宋体"/>
                <w:b/>
                <w:color w:val="auto"/>
                <w:kern w:val="0"/>
                <w:sz w:val="28"/>
                <w:highlight w:val="none"/>
              </w:rPr>
            </w:pPr>
            <w:r>
              <w:rPr>
                <w:rFonts w:ascii="仿宋" w:hAnsi="仿宋" w:eastAsia="仿宋" w:cs="宋体"/>
                <w:b/>
                <w:color w:val="auto"/>
                <w:kern w:val="0"/>
                <w:sz w:val="28"/>
                <w:highlight w:val="none"/>
              </w:rPr>
              <w:t>有关中央预算单位，各省、自治区、直辖市、计划单列市财政厅（局）、发展改革委（经信委、工信委、工信厅、经信局），新疆生产建设兵团财政局、发展改革委：</w:t>
            </w:r>
          </w:p>
          <w:p>
            <w:pPr>
              <w:widowControl/>
              <w:spacing w:line="360" w:lineRule="auto"/>
              <w:jc w:val="left"/>
              <w:rPr>
                <w:rFonts w:ascii="仿宋" w:hAnsi="仿宋" w:eastAsia="仿宋" w:cs="宋体"/>
                <w:color w:val="auto"/>
                <w:kern w:val="0"/>
                <w:sz w:val="28"/>
                <w:highlight w:val="none"/>
              </w:rPr>
            </w:pPr>
          </w:p>
          <w:p>
            <w:pPr>
              <w:widowControl/>
              <w:spacing w:line="360" w:lineRule="auto"/>
              <w:ind w:firstLine="565" w:firstLineChars="202"/>
              <w:jc w:val="left"/>
              <w:rPr>
                <w:rFonts w:ascii="仿宋" w:hAnsi="仿宋" w:eastAsia="仿宋" w:cs="宋体"/>
                <w:color w:val="auto"/>
                <w:kern w:val="0"/>
                <w:sz w:val="28"/>
                <w:highlight w:val="none"/>
              </w:rPr>
            </w:pPr>
            <w:r>
              <w:rPr>
                <w:rFonts w:ascii="仿宋" w:hAnsi="仿宋" w:eastAsia="仿宋" w:cs="宋体"/>
                <w:color w:val="auto"/>
                <w:kern w:val="0"/>
                <w:sz w:val="28"/>
                <w:highlight w:val="none"/>
              </w:rPr>
              <w:t>根据《财政部发展改革委</w:t>
            </w:r>
            <w:r>
              <w:rPr>
                <w:rFonts w:ascii="宋体" w:hAnsi="宋体" w:eastAsia="仿宋" w:cs="宋体"/>
                <w:color w:val="auto"/>
                <w:kern w:val="0"/>
                <w:sz w:val="28"/>
                <w:highlight w:val="none"/>
              </w:rPr>
              <w:t> </w:t>
            </w:r>
            <w:r>
              <w:rPr>
                <w:rFonts w:ascii="仿宋" w:hAnsi="仿宋" w:eastAsia="仿宋" w:cs="宋体"/>
                <w:color w:val="auto"/>
                <w:kern w:val="0"/>
                <w:sz w:val="28"/>
                <w:highlight w:val="none"/>
              </w:rPr>
              <w:t>生态环境部</w:t>
            </w:r>
            <w:r>
              <w:rPr>
                <w:rFonts w:ascii="宋体" w:hAnsi="宋体" w:eastAsia="仿宋" w:cs="宋体"/>
                <w:color w:val="auto"/>
                <w:kern w:val="0"/>
                <w:sz w:val="28"/>
                <w:highlight w:val="none"/>
              </w:rPr>
              <w:t> </w:t>
            </w:r>
            <w:r>
              <w:rPr>
                <w:rFonts w:ascii="仿宋" w:hAnsi="仿宋" w:eastAsia="仿宋" w:cs="宋体"/>
                <w:color w:val="auto"/>
                <w:kern w:val="0"/>
                <w:sz w:val="28"/>
                <w:highlight w:val="none"/>
              </w:rPr>
              <w:t>市场监管总局关于调整优化节能产品</w:t>
            </w:r>
            <w:r>
              <w:rPr>
                <w:rFonts w:ascii="宋体" w:hAnsi="宋体" w:eastAsia="仿宋" w:cs="宋体"/>
                <w:color w:val="auto"/>
                <w:kern w:val="0"/>
                <w:sz w:val="28"/>
                <w:highlight w:val="none"/>
              </w:rPr>
              <w:t> </w:t>
            </w:r>
            <w:r>
              <w:rPr>
                <w:rFonts w:ascii="仿宋" w:hAnsi="仿宋" w:eastAsia="仿宋" w:cs="宋体"/>
                <w:color w:val="auto"/>
                <w:kern w:val="0"/>
                <w:sz w:val="28"/>
                <w:highlight w:val="none"/>
              </w:rPr>
              <w:t>环境标志产品政府采购执行机制的通知》（财库〔2019〕9号），我们研究制定节能产品政府采购品目清单，现印发给你们，请遵照执行。</w:t>
            </w:r>
          </w:p>
          <w:p>
            <w:pPr>
              <w:widowControl/>
              <w:spacing w:line="360" w:lineRule="auto"/>
              <w:jc w:val="left"/>
              <w:rPr>
                <w:rFonts w:ascii="仿宋" w:hAnsi="仿宋" w:eastAsia="仿宋" w:cs="宋体"/>
                <w:color w:val="auto"/>
                <w:kern w:val="0"/>
                <w:sz w:val="28"/>
                <w:highlight w:val="none"/>
              </w:rPr>
            </w:pPr>
          </w:p>
          <w:p>
            <w:pPr>
              <w:widowControl/>
              <w:spacing w:line="360" w:lineRule="auto"/>
              <w:jc w:val="left"/>
              <w:rPr>
                <w:rFonts w:ascii="仿宋" w:hAnsi="仿宋" w:eastAsia="仿宋" w:cs="宋体"/>
                <w:color w:val="auto"/>
                <w:kern w:val="0"/>
                <w:sz w:val="28"/>
                <w:highlight w:val="none"/>
              </w:rPr>
            </w:pPr>
          </w:p>
          <w:p>
            <w:pPr>
              <w:widowControl/>
              <w:spacing w:line="360" w:lineRule="auto"/>
              <w:jc w:val="left"/>
              <w:rPr>
                <w:rFonts w:ascii="仿宋" w:hAnsi="仿宋" w:eastAsia="仿宋" w:cs="宋体"/>
                <w:color w:val="auto"/>
                <w:kern w:val="0"/>
                <w:sz w:val="28"/>
                <w:highlight w:val="none"/>
              </w:rPr>
            </w:pPr>
          </w:p>
          <w:p>
            <w:pPr>
              <w:widowControl/>
              <w:spacing w:line="360" w:lineRule="auto"/>
              <w:jc w:val="left"/>
              <w:rPr>
                <w:rFonts w:ascii="仿宋" w:hAnsi="仿宋" w:eastAsia="仿宋" w:cs="宋体"/>
                <w:color w:val="auto"/>
                <w:kern w:val="0"/>
                <w:sz w:val="28"/>
                <w:highlight w:val="none"/>
              </w:rPr>
            </w:pPr>
          </w:p>
          <w:p>
            <w:pPr>
              <w:widowControl/>
              <w:spacing w:line="360" w:lineRule="auto"/>
              <w:jc w:val="left"/>
              <w:rPr>
                <w:rFonts w:ascii="仿宋" w:hAnsi="仿宋" w:eastAsia="仿宋" w:cs="宋体"/>
                <w:color w:val="auto"/>
                <w:kern w:val="0"/>
                <w:sz w:val="28"/>
                <w:highlight w:val="none"/>
              </w:rPr>
            </w:pPr>
            <w:r>
              <w:rPr>
                <w:rFonts w:ascii="仿宋" w:hAnsi="仿宋" w:eastAsia="仿宋" w:cs="宋体"/>
                <w:color w:val="auto"/>
                <w:kern w:val="0"/>
                <w:sz w:val="28"/>
                <w:highlight w:val="none"/>
              </w:rPr>
              <w:t>附件：节能产品政府采购品目清单</w:t>
            </w:r>
          </w:p>
          <w:p>
            <w:pPr>
              <w:widowControl/>
              <w:spacing w:line="360" w:lineRule="auto"/>
              <w:jc w:val="left"/>
              <w:rPr>
                <w:rFonts w:ascii="仿宋" w:hAnsi="仿宋" w:eastAsia="仿宋" w:cs="宋体"/>
                <w:color w:val="auto"/>
                <w:kern w:val="0"/>
                <w:sz w:val="28"/>
                <w:highlight w:val="none"/>
              </w:rPr>
            </w:pPr>
          </w:p>
          <w:p>
            <w:pPr>
              <w:widowControl/>
              <w:spacing w:line="360" w:lineRule="auto"/>
              <w:jc w:val="left"/>
              <w:rPr>
                <w:rFonts w:ascii="仿宋" w:hAnsi="仿宋" w:eastAsia="仿宋" w:cs="宋体"/>
                <w:color w:val="auto"/>
                <w:kern w:val="0"/>
                <w:sz w:val="28"/>
                <w:highlight w:val="none"/>
              </w:rPr>
            </w:pPr>
          </w:p>
          <w:p>
            <w:pPr>
              <w:widowControl/>
              <w:spacing w:line="360" w:lineRule="auto"/>
              <w:jc w:val="right"/>
              <w:rPr>
                <w:rFonts w:ascii="仿宋" w:hAnsi="仿宋" w:eastAsia="仿宋" w:cs="宋体"/>
                <w:color w:val="auto"/>
                <w:kern w:val="0"/>
                <w:sz w:val="28"/>
                <w:highlight w:val="none"/>
              </w:rPr>
            </w:pPr>
            <w:r>
              <w:rPr>
                <w:rFonts w:ascii="仿宋" w:hAnsi="仿宋" w:eastAsia="仿宋" w:cs="宋体"/>
                <w:color w:val="auto"/>
                <w:kern w:val="0"/>
                <w:sz w:val="28"/>
                <w:highlight w:val="none"/>
              </w:rPr>
              <w:t>财政部</w:t>
            </w:r>
            <w:r>
              <w:rPr>
                <w:rFonts w:hint="eastAsia" w:ascii="仿宋" w:hAnsi="仿宋" w:eastAsia="仿宋" w:cs="宋体"/>
                <w:color w:val="auto"/>
                <w:kern w:val="0"/>
                <w:sz w:val="28"/>
                <w:highlight w:val="none"/>
              </w:rPr>
              <w:t xml:space="preserve">  </w:t>
            </w:r>
            <w:r>
              <w:rPr>
                <w:rFonts w:ascii="仿宋" w:hAnsi="仿宋" w:eastAsia="仿宋" w:cs="宋体"/>
                <w:color w:val="auto"/>
                <w:kern w:val="0"/>
                <w:sz w:val="28"/>
                <w:highlight w:val="none"/>
              </w:rPr>
              <w:t>发展改革委</w:t>
            </w:r>
          </w:p>
          <w:p>
            <w:pPr>
              <w:widowControl/>
              <w:spacing w:line="360" w:lineRule="auto"/>
              <w:jc w:val="right"/>
              <w:rPr>
                <w:rFonts w:ascii="华文中宋" w:hAnsi="华文中宋" w:eastAsia="华文中宋" w:cs="宋体"/>
                <w:b/>
                <w:color w:val="auto"/>
                <w:kern w:val="0"/>
                <w:sz w:val="32"/>
                <w:highlight w:val="none"/>
              </w:rPr>
            </w:pPr>
            <w:r>
              <w:rPr>
                <w:rFonts w:ascii="仿宋" w:hAnsi="仿宋" w:eastAsia="仿宋" w:cs="宋体"/>
                <w:color w:val="auto"/>
                <w:kern w:val="0"/>
                <w:sz w:val="28"/>
                <w:highlight w:val="none"/>
              </w:rPr>
              <w:t>2019年4月2日</w:t>
            </w:r>
          </w:p>
        </w:tc>
      </w:tr>
    </w:tbl>
    <w:p>
      <w:pPr>
        <w:widowControl/>
        <w:spacing w:line="360" w:lineRule="auto"/>
        <w:jc w:val="center"/>
        <w:rPr>
          <w:rFonts w:ascii="华文中宋" w:hAnsi="华文中宋" w:eastAsia="华文中宋" w:cs="宋体"/>
          <w:b/>
          <w:color w:val="auto"/>
          <w:kern w:val="0"/>
          <w:sz w:val="32"/>
          <w:highlight w:val="none"/>
        </w:rPr>
      </w:pPr>
    </w:p>
    <w:p>
      <w:pPr>
        <w:widowControl/>
        <w:spacing w:line="360" w:lineRule="auto"/>
        <w:jc w:val="right"/>
        <w:rPr>
          <w:color w:val="auto"/>
          <w:highlight w:val="none"/>
        </w:rPr>
      </w:pPr>
    </w:p>
    <w:p>
      <w:pPr>
        <w:keepNext/>
        <w:widowControl/>
        <w:adjustRightInd/>
        <w:rPr>
          <w:color w:val="auto"/>
          <w:highlight w:val="none"/>
        </w:rPr>
      </w:pPr>
      <w:r>
        <w:rPr>
          <w:rFonts w:hint="eastAsia" w:ascii="inherit" w:hAnsi="inherit"/>
          <w:color w:val="auto"/>
          <w:highlight w:val="none"/>
        </w:rPr>
        <w:br w:type="page"/>
      </w:r>
      <w:r>
        <w:rPr>
          <w:rFonts w:hint="eastAsia"/>
          <w:color w:val="auto"/>
          <w:highlight w:val="none"/>
        </w:rPr>
        <w:t>附：节能产品政府采购品目清单</w:t>
      </w:r>
    </w:p>
    <w:tbl>
      <w:tblPr>
        <w:tblStyle w:val="65"/>
        <w:tblW w:w="9940"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209"/>
        <w:gridCol w:w="1807"/>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品目序号</w:t>
            </w:r>
          </w:p>
        </w:tc>
        <w:tc>
          <w:tcPr>
            <w:tcW w:w="5949" w:type="dxa"/>
            <w:gridSpan w:val="3"/>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名称</w:t>
            </w:r>
          </w:p>
        </w:tc>
        <w:tc>
          <w:tcPr>
            <w:tcW w:w="3301"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A020101计算机设备</w:t>
            </w:r>
          </w:p>
        </w:tc>
        <w:tc>
          <w:tcPr>
            <w:tcW w:w="2209"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A02010104</w:t>
            </w:r>
            <w:r>
              <w:rPr>
                <w:rFonts w:ascii="宋体" w:hAnsi="宋体"/>
                <w:b/>
                <w:color w:val="auto"/>
                <w:w w:val="90"/>
                <w:szCs w:val="21"/>
                <w:highlight w:val="none"/>
              </w:rPr>
              <w:t>台式计算机</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A02010105</w:t>
            </w:r>
            <w:r>
              <w:rPr>
                <w:rFonts w:ascii="宋体" w:hAnsi="宋体"/>
                <w:b/>
                <w:color w:val="auto"/>
                <w:w w:val="90"/>
                <w:szCs w:val="21"/>
                <w:highlight w:val="none"/>
              </w:rPr>
              <w:t>便携式计算</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A02010107</w:t>
            </w:r>
            <w:r>
              <w:rPr>
                <w:rFonts w:ascii="宋体" w:hAnsi="宋体"/>
                <w:b/>
                <w:color w:val="auto"/>
                <w:w w:val="90"/>
                <w:szCs w:val="21"/>
                <w:highlight w:val="none"/>
              </w:rPr>
              <w:t>平板式微型计算机</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A020106输入输出设备</w:t>
            </w:r>
          </w:p>
        </w:tc>
        <w:tc>
          <w:tcPr>
            <w:tcW w:w="2209"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A02010601打印设备</w:t>
            </w:r>
          </w:p>
        </w:tc>
        <w:tc>
          <w:tcPr>
            <w:tcW w:w="1807" w:type="dxa"/>
            <w:vAlign w:val="center"/>
          </w:tcPr>
          <w:p>
            <w:pPr>
              <w:jc w:val="left"/>
              <w:rPr>
                <w:rFonts w:ascii="宋体" w:hAnsi="宋体"/>
                <w:color w:val="auto"/>
                <w:w w:val="90"/>
                <w:szCs w:val="21"/>
                <w:highlight w:val="none"/>
              </w:rPr>
            </w:pPr>
            <w:r>
              <w:rPr>
                <w:rFonts w:hint="eastAsia" w:ascii="宋体" w:hAnsi="宋体" w:cs="宋体"/>
                <w:b/>
                <w:bCs/>
                <w:color w:val="auto"/>
                <w:w w:val="90"/>
                <w:szCs w:val="21"/>
                <w:highlight w:val="none"/>
              </w:rPr>
              <w:t>A0201060101喷墨打印机</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A0201060102激光打印机</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A0201060104针式打印机</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A02010604显示设备</w:t>
            </w:r>
          </w:p>
        </w:tc>
        <w:tc>
          <w:tcPr>
            <w:tcW w:w="1807"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A0201060401液晶显示器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A02010609图形图像输入设备</w:t>
            </w:r>
          </w:p>
        </w:tc>
        <w:tc>
          <w:tcPr>
            <w:tcW w:w="1807" w:type="dxa"/>
            <w:vAlign w:val="center"/>
          </w:tcPr>
          <w:p>
            <w:pPr>
              <w:jc w:val="left"/>
              <w:rPr>
                <w:rFonts w:ascii="宋体" w:hAnsi="宋体"/>
                <w:color w:val="auto"/>
                <w:w w:val="90"/>
                <w:szCs w:val="21"/>
                <w:highlight w:val="none"/>
              </w:rPr>
            </w:pPr>
            <w:r>
              <w:rPr>
                <w:rFonts w:ascii="宋体" w:hAnsi="宋体"/>
                <w:color w:val="auto"/>
                <w:w w:val="90"/>
                <w:szCs w:val="21"/>
                <w:highlight w:val="none"/>
              </w:rPr>
              <w:t>A0201060901扫描仪</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3</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A020202投影仪</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4</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w:t>
            </w:r>
            <w:r>
              <w:rPr>
                <w:rFonts w:hint="eastAsia" w:ascii="宋体" w:hAnsi="宋体"/>
                <w:color w:val="auto"/>
                <w:w w:val="90"/>
                <w:szCs w:val="21"/>
                <w:highlight w:val="none"/>
              </w:rPr>
              <w:t>204352</w:t>
            </w:r>
            <w:r>
              <w:rPr>
                <w:rFonts w:ascii="宋体" w:hAnsi="宋体"/>
                <w:color w:val="auto"/>
                <w:w w:val="90"/>
                <w:szCs w:val="21"/>
                <w:highlight w:val="none"/>
              </w:rPr>
              <w:t>多功能一体机</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5</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A020519泵</w:t>
            </w: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A02051901离心泵</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6</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A020523制冷空调设备</w:t>
            </w:r>
          </w:p>
        </w:tc>
        <w:tc>
          <w:tcPr>
            <w:tcW w:w="2209"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A02052301</w:t>
            </w:r>
            <w:r>
              <w:rPr>
                <w:rFonts w:ascii="宋体" w:hAnsi="宋体"/>
                <w:b/>
                <w:color w:val="auto"/>
                <w:w w:val="90"/>
                <w:szCs w:val="21"/>
                <w:highlight w:val="none"/>
              </w:rPr>
              <w:t>制冷压缩机</w:t>
            </w: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冷水机组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b/>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水源热泵机组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b/>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溴化锂吸收式冷水机组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A02052305</w:t>
            </w:r>
            <w:r>
              <w:rPr>
                <w:rFonts w:ascii="宋体" w:hAnsi="宋体"/>
                <w:b/>
                <w:color w:val="auto"/>
                <w:w w:val="90"/>
                <w:szCs w:val="21"/>
                <w:highlight w:val="none"/>
              </w:rPr>
              <w:t>空调机组</w:t>
            </w: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多联式空调（热泵）机组(制冷量&gt;14000W)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b/>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单元式空气调节机(制冷量&gt;14000W)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A02052309</w:t>
            </w:r>
            <w:r>
              <w:rPr>
                <w:rFonts w:ascii="宋体" w:hAnsi="宋体"/>
                <w:b/>
                <w:color w:val="auto"/>
                <w:w w:val="90"/>
                <w:szCs w:val="21"/>
                <w:highlight w:val="none"/>
              </w:rPr>
              <w:t>专用制冷、空调设备</w:t>
            </w: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机房空调</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A02052399其他制冷空调设备</w:t>
            </w:r>
          </w:p>
        </w:tc>
        <w:tc>
          <w:tcPr>
            <w:tcW w:w="1807" w:type="dxa"/>
            <w:vAlign w:val="center"/>
          </w:tcPr>
          <w:p>
            <w:pPr>
              <w:jc w:val="left"/>
              <w:rPr>
                <w:rFonts w:ascii="宋体" w:hAnsi="宋体"/>
                <w:color w:val="auto"/>
                <w:w w:val="90"/>
                <w:szCs w:val="21"/>
                <w:highlight w:val="none"/>
              </w:rPr>
            </w:pPr>
            <w:r>
              <w:rPr>
                <w:rFonts w:ascii="宋体" w:hAnsi="宋体"/>
                <w:color w:val="auto"/>
                <w:w w:val="90"/>
                <w:szCs w:val="21"/>
                <w:highlight w:val="none"/>
              </w:rPr>
              <w:t>冷却塔</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《机械通风冷却塔 第 1 部分：中小型开式冷却塔》（GB/T 7190.1）</w:t>
            </w:r>
          </w:p>
          <w:p>
            <w:pPr>
              <w:jc w:val="left"/>
              <w:rPr>
                <w:rFonts w:ascii="宋体" w:hAnsi="宋体"/>
                <w:color w:val="auto"/>
                <w:w w:val="90"/>
                <w:szCs w:val="21"/>
                <w:highlight w:val="none"/>
              </w:rPr>
            </w:pPr>
            <w:r>
              <w:rPr>
                <w:rFonts w:ascii="宋体" w:hAnsi="宋体"/>
                <w:color w:val="auto"/>
                <w:w w:val="90"/>
                <w:szCs w:val="21"/>
                <w:highlight w:val="none"/>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7</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A020601电机</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8</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A020602变压器</w:t>
            </w: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配电变压器</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9</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A020609</w:t>
            </w:r>
            <w:r>
              <w:rPr>
                <w:rFonts w:ascii="宋体" w:hAnsi="宋体"/>
                <w:b/>
                <w:color w:val="auto"/>
                <w:w w:val="90"/>
                <w:szCs w:val="21"/>
                <w:highlight w:val="none"/>
              </w:rPr>
              <w:t>镇流器</w:t>
            </w: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管型荧光灯镇流器</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10</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A020618 生活用电器</w:t>
            </w: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A0206180101电冰箱</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《家用电冰箱耗电量限定值及能效等级》（GB</w:t>
            </w:r>
            <w:r>
              <w:rPr>
                <w:rFonts w:ascii="宋体" w:hAnsi="宋体"/>
                <w:color w:val="auto"/>
                <w:w w:val="90"/>
                <w:szCs w:val="21"/>
                <w:highlight w:val="none"/>
              </w:rPr>
              <w:tab/>
            </w:r>
            <w:r>
              <w:rPr>
                <w:rFonts w:ascii="宋体" w:hAnsi="宋体"/>
                <w:color w:val="auto"/>
                <w:w w:val="90"/>
                <w:szCs w:val="21"/>
                <w:highlight w:val="none"/>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A0206180203</w:t>
            </w:r>
            <w:r>
              <w:rPr>
                <w:rFonts w:ascii="宋体" w:hAnsi="宋体"/>
                <w:b/>
                <w:color w:val="auto"/>
                <w:w w:val="90"/>
                <w:szCs w:val="21"/>
                <w:highlight w:val="none"/>
              </w:rPr>
              <w:t>空调机</w:t>
            </w: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房间空气调节器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《转速可控型房间空气调节器能效限定值及能效等级》（GB</w:t>
            </w:r>
            <w:r>
              <w:rPr>
                <w:rFonts w:hint="eastAsia" w:ascii="宋体" w:hAnsi="宋体"/>
                <w:color w:val="auto"/>
                <w:w w:val="90"/>
                <w:szCs w:val="21"/>
                <w:highlight w:val="none"/>
              </w:rPr>
              <w:t xml:space="preserve"> </w:t>
            </w:r>
            <w:r>
              <w:rPr>
                <w:rFonts w:ascii="宋体" w:hAnsi="宋体"/>
                <w:color w:val="auto"/>
                <w:w w:val="90"/>
                <w:szCs w:val="21"/>
                <w:highlight w:val="none"/>
              </w:rPr>
              <w:t>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b/>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多联式空调（热泵）机组（制冷量≤ 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b/>
                <w:color w:val="auto"/>
                <w:w w:val="90"/>
                <w:szCs w:val="21"/>
                <w:highlight w:val="none"/>
              </w:rPr>
            </w:pPr>
          </w:p>
        </w:tc>
        <w:tc>
          <w:tcPr>
            <w:tcW w:w="1807" w:type="dxa"/>
            <w:vAlign w:val="center"/>
          </w:tcPr>
          <w:p>
            <w:pPr>
              <w:jc w:val="left"/>
              <w:rPr>
                <w:rFonts w:ascii="宋体" w:hAnsi="宋体"/>
                <w:b/>
                <w:color w:val="auto"/>
                <w:w w:val="90"/>
                <w:szCs w:val="21"/>
                <w:highlight w:val="none"/>
              </w:rPr>
            </w:pPr>
            <w:r>
              <w:rPr>
                <w:rFonts w:ascii="宋体" w:hAnsi="宋体"/>
                <w:b/>
                <w:color w:val="auto"/>
                <w:w w:val="90"/>
                <w:szCs w:val="21"/>
                <w:highlight w:val="none"/>
              </w:rPr>
              <w:t>单元式空气调节机(制冷量≤14000W)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A0206180301洗衣机</w:t>
            </w:r>
          </w:p>
        </w:tc>
        <w:tc>
          <w:tcPr>
            <w:tcW w:w="1807" w:type="dxa"/>
            <w:vAlign w:val="center"/>
          </w:tcPr>
          <w:p>
            <w:pPr>
              <w:jc w:val="left"/>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A02061808热水器</w:t>
            </w:r>
          </w:p>
        </w:tc>
        <w:tc>
          <w:tcPr>
            <w:tcW w:w="1807" w:type="dxa"/>
            <w:vAlign w:val="center"/>
          </w:tcPr>
          <w:p>
            <w:pPr>
              <w:jc w:val="left"/>
              <w:rPr>
                <w:rFonts w:ascii="宋体" w:hAnsi="宋体"/>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电热水器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《储水式电热水器能效限定值及能效等级》（GB</w:t>
            </w:r>
            <w:r>
              <w:rPr>
                <w:rFonts w:hint="eastAsia" w:ascii="宋体" w:hAnsi="宋体"/>
                <w:color w:val="auto"/>
                <w:w w:val="90"/>
                <w:szCs w:val="21"/>
                <w:highlight w:val="none"/>
              </w:rPr>
              <w:t xml:space="preserve"> </w:t>
            </w:r>
            <w:r>
              <w:rPr>
                <w:rFonts w:ascii="宋体" w:hAnsi="宋体"/>
                <w:color w:val="auto"/>
                <w:w w:val="90"/>
                <w:szCs w:val="21"/>
                <w:highlight w:val="none"/>
              </w:rPr>
              <w:t>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color w:val="auto"/>
                <w:w w:val="90"/>
                <w:szCs w:val="21"/>
                <w:highlight w:val="none"/>
              </w:rPr>
            </w:pPr>
          </w:p>
        </w:tc>
        <w:tc>
          <w:tcPr>
            <w:tcW w:w="1807" w:type="dxa"/>
            <w:vAlign w:val="center"/>
          </w:tcPr>
          <w:p>
            <w:pPr>
              <w:jc w:val="left"/>
              <w:rPr>
                <w:rFonts w:ascii="宋体" w:hAnsi="宋体"/>
                <w:color w:val="auto"/>
                <w:w w:val="90"/>
                <w:szCs w:val="21"/>
                <w:highlight w:val="none"/>
              </w:rPr>
            </w:pPr>
            <w:r>
              <w:rPr>
                <w:rFonts w:ascii="宋体" w:hAnsi="宋体"/>
                <w:color w:val="auto"/>
                <w:w w:val="90"/>
                <w:szCs w:val="21"/>
                <w:highlight w:val="none"/>
              </w:rPr>
              <w:t>燃气热水器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color w:val="auto"/>
                <w:w w:val="90"/>
                <w:szCs w:val="21"/>
                <w:highlight w:val="none"/>
              </w:rPr>
            </w:pPr>
          </w:p>
        </w:tc>
        <w:tc>
          <w:tcPr>
            <w:tcW w:w="1807" w:type="dxa"/>
            <w:vAlign w:val="center"/>
          </w:tcPr>
          <w:p>
            <w:pPr>
              <w:jc w:val="left"/>
              <w:rPr>
                <w:rFonts w:ascii="宋体" w:hAnsi="宋体"/>
                <w:color w:val="auto"/>
                <w:w w:val="90"/>
                <w:szCs w:val="21"/>
                <w:highlight w:val="none"/>
              </w:rPr>
            </w:pPr>
            <w:r>
              <w:rPr>
                <w:rFonts w:ascii="宋体" w:hAnsi="宋体"/>
                <w:color w:val="auto"/>
                <w:w w:val="90"/>
                <w:szCs w:val="21"/>
                <w:highlight w:val="none"/>
              </w:rPr>
              <w:t>热泵热水器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Merge w:val="continue"/>
            <w:vAlign w:val="center"/>
          </w:tcPr>
          <w:p>
            <w:pPr>
              <w:jc w:val="left"/>
              <w:rPr>
                <w:rFonts w:ascii="宋体" w:hAnsi="宋体"/>
                <w:color w:val="auto"/>
                <w:w w:val="90"/>
                <w:szCs w:val="21"/>
                <w:highlight w:val="none"/>
              </w:rPr>
            </w:pPr>
          </w:p>
        </w:tc>
        <w:tc>
          <w:tcPr>
            <w:tcW w:w="1807" w:type="dxa"/>
            <w:vAlign w:val="center"/>
          </w:tcPr>
          <w:p>
            <w:pPr>
              <w:jc w:val="left"/>
              <w:rPr>
                <w:rFonts w:ascii="宋体" w:hAnsi="宋体"/>
                <w:color w:val="auto"/>
                <w:w w:val="90"/>
                <w:szCs w:val="21"/>
                <w:highlight w:val="none"/>
              </w:rPr>
            </w:pPr>
            <w:r>
              <w:rPr>
                <w:rFonts w:ascii="宋体" w:hAnsi="宋体"/>
                <w:color w:val="auto"/>
                <w:w w:val="90"/>
                <w:szCs w:val="21"/>
                <w:highlight w:val="none"/>
              </w:rPr>
              <w:t>太阳能热水系统</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11</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A020619 照明设备</w:t>
            </w:r>
          </w:p>
        </w:tc>
        <w:tc>
          <w:tcPr>
            <w:tcW w:w="2209"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普通照明用双端荧光灯</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LED道路/隧道照明产品</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LED筒灯</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普通照明用非定向自镇流LED灯</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12</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A020910</w:t>
            </w:r>
            <w:r>
              <w:rPr>
                <w:rFonts w:ascii="宋体" w:hAnsi="宋体"/>
                <w:b/>
                <w:color w:val="auto"/>
                <w:w w:val="90"/>
                <w:szCs w:val="21"/>
                <w:highlight w:val="none"/>
              </w:rPr>
              <w:t>电视设备</w:t>
            </w: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A02091001普通电视设备（电视机）</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13</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A020911</w:t>
            </w:r>
            <w:r>
              <w:rPr>
                <w:rFonts w:ascii="宋体" w:hAnsi="宋体"/>
                <w:b/>
                <w:color w:val="auto"/>
                <w:w w:val="90"/>
                <w:szCs w:val="21"/>
                <w:highlight w:val="none"/>
              </w:rPr>
              <w:t>视频设备</w:t>
            </w: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A02091107视频监控设备</w:t>
            </w:r>
          </w:p>
        </w:tc>
        <w:tc>
          <w:tcPr>
            <w:tcW w:w="1807" w:type="dxa"/>
            <w:vAlign w:val="center"/>
          </w:tcPr>
          <w:p>
            <w:pPr>
              <w:jc w:val="center"/>
              <w:rPr>
                <w:rFonts w:ascii="宋体" w:hAnsi="宋体"/>
                <w:b/>
                <w:color w:val="auto"/>
                <w:w w:val="90"/>
                <w:szCs w:val="21"/>
                <w:highlight w:val="none"/>
              </w:rPr>
            </w:pPr>
            <w:r>
              <w:rPr>
                <w:rFonts w:ascii="宋体" w:hAnsi="宋体"/>
                <w:b/>
                <w:color w:val="auto"/>
                <w:w w:val="90"/>
                <w:szCs w:val="21"/>
                <w:highlight w:val="none"/>
              </w:rPr>
              <w:t>监视器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14</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A031210饮食炊事机械</w:t>
            </w:r>
          </w:p>
        </w:tc>
        <w:tc>
          <w:tcPr>
            <w:tcW w:w="2209" w:type="dxa"/>
            <w:vAlign w:val="center"/>
          </w:tcPr>
          <w:p>
            <w:pPr>
              <w:jc w:val="left"/>
              <w:rPr>
                <w:rFonts w:ascii="宋体" w:hAnsi="宋体"/>
                <w:color w:val="auto"/>
                <w:w w:val="90"/>
                <w:szCs w:val="21"/>
                <w:highlight w:val="none"/>
              </w:rPr>
            </w:pPr>
            <w:r>
              <w:rPr>
                <w:rFonts w:ascii="宋体" w:hAnsi="宋体"/>
                <w:color w:val="auto"/>
                <w:w w:val="90"/>
                <w:szCs w:val="21"/>
                <w:highlight w:val="none"/>
              </w:rPr>
              <w:t>商用燃气灶具</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15</w:t>
            </w:r>
          </w:p>
        </w:tc>
        <w:tc>
          <w:tcPr>
            <w:tcW w:w="1933"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A060805</w:t>
            </w:r>
            <w:r>
              <w:rPr>
                <w:rFonts w:ascii="宋体" w:hAnsi="宋体"/>
                <w:b/>
                <w:color w:val="auto"/>
                <w:w w:val="90"/>
                <w:szCs w:val="21"/>
                <w:highlight w:val="none"/>
              </w:rPr>
              <w:t>便器</w:t>
            </w: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坐便器</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《坐便器水效限定值及水效等级</w:t>
            </w:r>
          </w:p>
          <w:p>
            <w:pPr>
              <w:jc w:val="left"/>
              <w:rPr>
                <w:rFonts w:ascii="宋体" w:hAnsi="宋体"/>
                <w:color w:val="auto"/>
                <w:w w:val="90"/>
                <w:szCs w:val="21"/>
                <w:highlight w:val="none"/>
              </w:rPr>
            </w:pPr>
            <w:r>
              <w:rPr>
                <w:rFonts w:ascii="宋体" w:hAnsi="宋体"/>
                <w:color w:val="auto"/>
                <w:w w:val="90"/>
                <w:szCs w:val="21"/>
                <w:highlight w:val="none"/>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b/>
                <w:color w:val="auto"/>
                <w:w w:val="90"/>
                <w:szCs w:val="21"/>
                <w:highlight w:val="none"/>
              </w:rPr>
            </w:pP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蹲便器</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b/>
                <w:color w:val="auto"/>
                <w:w w:val="90"/>
                <w:szCs w:val="21"/>
                <w:highlight w:val="none"/>
              </w:rPr>
            </w:pPr>
          </w:p>
        </w:tc>
        <w:tc>
          <w:tcPr>
            <w:tcW w:w="2209" w:type="dxa"/>
            <w:vAlign w:val="center"/>
          </w:tcPr>
          <w:p>
            <w:pPr>
              <w:jc w:val="left"/>
              <w:rPr>
                <w:rFonts w:ascii="宋体" w:hAnsi="宋体"/>
                <w:b/>
                <w:color w:val="auto"/>
                <w:w w:val="90"/>
                <w:szCs w:val="21"/>
                <w:highlight w:val="none"/>
              </w:rPr>
            </w:pPr>
            <w:r>
              <w:rPr>
                <w:rFonts w:ascii="宋体" w:hAnsi="宋体"/>
                <w:b/>
                <w:color w:val="auto"/>
                <w:w w:val="90"/>
                <w:szCs w:val="21"/>
                <w:highlight w:val="none"/>
              </w:rPr>
              <w:t>小便器</w:t>
            </w: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16</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A060806</w:t>
            </w:r>
            <w:r>
              <w:rPr>
                <w:rFonts w:ascii="宋体" w:hAnsi="宋体"/>
                <w:b/>
                <w:color w:val="auto"/>
                <w:w w:val="90"/>
                <w:szCs w:val="21"/>
                <w:highlight w:val="none"/>
              </w:rPr>
              <w:t>水嘴</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17</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A060807便器冲洗阀</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ascii="宋体" w:hAnsi="宋体"/>
                <w:color w:val="auto"/>
                <w:w w:val="90"/>
                <w:szCs w:val="21"/>
                <w:highlight w:val="none"/>
              </w:rPr>
              <w:t>18</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A060810淋浴器</w:t>
            </w:r>
          </w:p>
        </w:tc>
        <w:tc>
          <w:tcPr>
            <w:tcW w:w="2209" w:type="dxa"/>
            <w:vAlign w:val="center"/>
          </w:tcPr>
          <w:p>
            <w:pPr>
              <w:jc w:val="left"/>
              <w:rPr>
                <w:rFonts w:ascii="宋体" w:hAnsi="宋体"/>
                <w:color w:val="auto"/>
                <w:w w:val="90"/>
                <w:szCs w:val="21"/>
                <w:highlight w:val="none"/>
              </w:rPr>
            </w:pPr>
          </w:p>
        </w:tc>
        <w:tc>
          <w:tcPr>
            <w:tcW w:w="1807"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《淋浴器用水效率限定值及用水效率等级》（GB 28378）</w:t>
            </w:r>
          </w:p>
        </w:tc>
      </w:tr>
    </w:tbl>
    <w:p>
      <w:pPr>
        <w:spacing w:line="360" w:lineRule="auto"/>
        <w:ind w:left="-850" w:leftChars="-405" w:right="-1050" w:rightChars="-500" w:firstLine="382" w:firstLineChars="201"/>
        <w:rPr>
          <w:rFonts w:ascii="宋体" w:hAnsi="宋体"/>
          <w:b/>
          <w:color w:val="auto"/>
          <w:w w:val="90"/>
          <w:highlight w:val="none"/>
        </w:rPr>
      </w:pPr>
      <w:r>
        <w:rPr>
          <w:rFonts w:ascii="宋体" w:hAnsi="宋体"/>
          <w:b/>
          <w:color w:val="auto"/>
          <w:w w:val="90"/>
          <w:highlight w:val="none"/>
        </w:rPr>
        <w:t>注：</w:t>
      </w:r>
      <w:r>
        <w:rPr>
          <w:rFonts w:hint="eastAsia" w:ascii="宋体" w:hAnsi="宋体"/>
          <w:b/>
          <w:color w:val="auto"/>
          <w:w w:val="90"/>
          <w:highlight w:val="none"/>
        </w:rPr>
        <w:t>1、</w:t>
      </w:r>
      <w:r>
        <w:rPr>
          <w:rFonts w:ascii="宋体" w:hAnsi="宋体"/>
          <w:b/>
          <w:color w:val="auto"/>
          <w:w w:val="90"/>
          <w:highlight w:val="none"/>
        </w:rPr>
        <w:t>节能产品认证应依据相关国家标准的最新版本，依据国家标准中二级能效（水效）指标。</w:t>
      </w:r>
    </w:p>
    <w:p>
      <w:pPr>
        <w:spacing w:line="360" w:lineRule="auto"/>
        <w:ind w:left="-850" w:leftChars="-405" w:right="-1050" w:rightChars="-500" w:firstLine="382" w:firstLineChars="201"/>
        <w:rPr>
          <w:rFonts w:ascii="宋体" w:hAnsi="宋体"/>
          <w:b/>
          <w:color w:val="auto"/>
          <w:w w:val="90"/>
          <w:highlight w:val="none"/>
        </w:rPr>
      </w:pPr>
      <w:r>
        <w:rPr>
          <w:rFonts w:hint="eastAsia" w:ascii="宋体" w:hAnsi="宋体"/>
          <w:b/>
          <w:color w:val="auto"/>
          <w:w w:val="90"/>
          <w:highlight w:val="none"/>
        </w:rPr>
        <w:t>2、</w:t>
      </w:r>
      <w:r>
        <w:rPr>
          <w:rFonts w:ascii="宋体" w:hAnsi="宋体"/>
          <w:b/>
          <w:color w:val="auto"/>
          <w:w w:val="90"/>
          <w:highlight w:val="none"/>
        </w:rPr>
        <w:t>上述产品中认证标准发生变更的，依据原认证标准获得的、仍在有效期内的认证证书可使用至2019年6月1日。</w:t>
      </w:r>
    </w:p>
    <w:p>
      <w:pPr>
        <w:spacing w:line="360" w:lineRule="auto"/>
        <w:ind w:left="-850" w:leftChars="-405" w:right="-1050" w:rightChars="-500" w:firstLine="382" w:firstLineChars="201"/>
        <w:rPr>
          <w:color w:val="auto"/>
          <w:highlight w:val="none"/>
        </w:rPr>
      </w:pPr>
      <w:r>
        <w:rPr>
          <w:rFonts w:hint="eastAsia" w:ascii="宋体" w:hAnsi="宋体"/>
          <w:b/>
          <w:color w:val="auto"/>
          <w:w w:val="90"/>
          <w:highlight w:val="none"/>
        </w:rPr>
        <w:t>3、</w:t>
      </w:r>
      <w:r>
        <w:rPr>
          <w:rFonts w:ascii="宋体" w:hAnsi="宋体"/>
          <w:b/>
          <w:color w:val="auto"/>
          <w:w w:val="90"/>
          <w:highlight w:val="none"/>
        </w:rPr>
        <w:t>以“</w:t>
      </w:r>
      <w:r>
        <w:rPr>
          <w:rFonts w:hint="eastAsia" w:ascii="宋体" w:hAnsi="宋体" w:cs="宋体"/>
          <w:b/>
          <w:color w:val="auto"/>
          <w:w w:val="90"/>
          <w:highlight w:val="none"/>
        </w:rPr>
        <w:t>★</w:t>
      </w:r>
      <w:r>
        <w:rPr>
          <w:rFonts w:ascii="宋体" w:hAnsi="宋体" w:cs="Calibri"/>
          <w:b/>
          <w:color w:val="auto"/>
          <w:w w:val="90"/>
          <w:highlight w:val="none"/>
        </w:rPr>
        <w:t>”</w:t>
      </w:r>
      <w:r>
        <w:rPr>
          <w:rFonts w:ascii="宋体" w:hAnsi="宋体"/>
          <w:b/>
          <w:color w:val="auto"/>
          <w:w w:val="90"/>
          <w:highlight w:val="none"/>
        </w:rPr>
        <w:t>标注的为政府强制采购产品。</w:t>
      </w:r>
    </w:p>
    <w:p>
      <w:pPr>
        <w:pStyle w:val="6"/>
        <w:rPr>
          <w:color w:val="auto"/>
          <w:highlight w:val="none"/>
        </w:rPr>
      </w:pPr>
      <w:r>
        <w:rPr>
          <w:rFonts w:hint="eastAsia" w:ascii="inherit" w:hAnsi="inherit" w:eastAsia="仿宋" w:cs="宋体"/>
          <w:color w:val="auto"/>
          <w:sz w:val="24"/>
          <w:szCs w:val="28"/>
          <w:highlight w:val="none"/>
        </w:rPr>
        <w:br w:type="page"/>
      </w:r>
      <w:bookmarkStart w:id="459" w:name="_Toc10432457"/>
      <w:bookmarkStart w:id="460" w:name="_Toc7542915"/>
      <w:bookmarkStart w:id="461" w:name="_Toc7488758"/>
      <w:bookmarkStart w:id="462" w:name="_Toc17428348"/>
      <w:bookmarkStart w:id="463" w:name="_Toc7663596"/>
      <w:bookmarkStart w:id="464" w:name="_Toc20358291"/>
      <w:bookmarkStart w:id="465" w:name="_Toc25765009"/>
      <w:bookmarkStart w:id="466" w:name="_Toc7574704"/>
      <w:bookmarkStart w:id="467" w:name="_Toc7492527"/>
      <w:bookmarkStart w:id="468" w:name="_Toc7988474"/>
      <w:bookmarkStart w:id="469" w:name="_Toc7988420"/>
      <w:bookmarkStart w:id="470" w:name="_Toc7993640"/>
      <w:bookmarkStart w:id="471" w:name="_Toc7664196"/>
      <w:bookmarkStart w:id="472" w:name="_Toc17428253"/>
      <w:bookmarkStart w:id="473" w:name="_Toc8007004"/>
      <w:bookmarkStart w:id="474" w:name="_Toc24471817"/>
      <w:bookmarkStart w:id="475" w:name="_Toc7668949"/>
      <w:r>
        <w:rPr>
          <w:rFonts w:hint="eastAsia" w:ascii="inherit" w:hAnsi="inherit" w:eastAsia="仿宋" w:cs="宋体"/>
          <w:color w:val="auto"/>
          <w:sz w:val="24"/>
          <w:szCs w:val="28"/>
          <w:highlight w:val="none"/>
        </w:rPr>
        <w:t xml:space="preserve">  </w:t>
      </w:r>
      <w:r>
        <w:rPr>
          <w:rFonts w:hint="eastAsia"/>
          <w:color w:val="auto"/>
          <w:highlight w:val="none"/>
        </w:rPr>
        <w:t>关于印发环境标志产品政府采购品目清单的通知（财库〔2019〕18号）</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jc w:val="center"/>
        <w:rPr>
          <w:rFonts w:ascii="inherit" w:hAnsi="inherit" w:eastAsia="仿宋" w:cs="宋体"/>
          <w:color w:val="auto"/>
          <w:kern w:val="0"/>
          <w:sz w:val="24"/>
          <w:szCs w:val="28"/>
          <w:highlight w:val="none"/>
        </w:rPr>
      </w:pPr>
    </w:p>
    <w:p>
      <w:pPr>
        <w:jc w:val="center"/>
        <w:rPr>
          <w:rFonts w:ascii="华文中宋" w:hAnsi="华文中宋" w:eastAsia="华文中宋" w:cs="宋体"/>
          <w:b/>
          <w:color w:val="auto"/>
          <w:kern w:val="0"/>
          <w:sz w:val="32"/>
          <w:highlight w:val="none"/>
        </w:rPr>
      </w:pPr>
      <w:r>
        <w:rPr>
          <w:rFonts w:hint="eastAsia" w:ascii="华文中宋" w:hAnsi="华文中宋" w:eastAsia="华文中宋" w:cs="宋体"/>
          <w:b/>
          <w:color w:val="auto"/>
          <w:kern w:val="0"/>
          <w:sz w:val="32"/>
          <w:highlight w:val="none"/>
        </w:rPr>
        <w:t>关于印发环境标志产品政府采购品目清单的通知</w:t>
      </w:r>
    </w:p>
    <w:p>
      <w:pPr>
        <w:jc w:val="center"/>
        <w:rPr>
          <w:color w:val="auto"/>
          <w:highlight w:val="none"/>
        </w:rPr>
      </w:pPr>
      <w:r>
        <w:rPr>
          <w:rFonts w:hint="eastAsia" w:ascii="华文中宋" w:hAnsi="华文中宋" w:eastAsia="华文中宋" w:cs="宋体"/>
          <w:b/>
          <w:color w:val="auto"/>
          <w:kern w:val="0"/>
          <w:sz w:val="32"/>
          <w:highlight w:val="none"/>
        </w:rPr>
        <w:t>财库〔2019〕18号</w:t>
      </w:r>
    </w:p>
    <w:p>
      <w:pPr>
        <w:spacing w:line="360" w:lineRule="auto"/>
        <w:rPr>
          <w:rFonts w:ascii="仿宋" w:hAnsi="仿宋" w:eastAsia="仿宋" w:cs="宋体"/>
          <w:color w:val="auto"/>
          <w:kern w:val="0"/>
          <w:sz w:val="28"/>
          <w:highlight w:val="none"/>
        </w:rPr>
      </w:pPr>
    </w:p>
    <w:p>
      <w:pPr>
        <w:spacing w:line="360" w:lineRule="auto"/>
        <w:rPr>
          <w:rFonts w:ascii="仿宋" w:hAnsi="仿宋" w:eastAsia="仿宋" w:cs="宋体"/>
          <w:b/>
          <w:color w:val="auto"/>
          <w:kern w:val="0"/>
          <w:sz w:val="28"/>
          <w:highlight w:val="none"/>
        </w:rPr>
      </w:pPr>
      <w:r>
        <w:rPr>
          <w:rFonts w:hint="eastAsia" w:ascii="仿宋" w:hAnsi="仿宋" w:eastAsia="仿宋" w:cs="宋体"/>
          <w:b/>
          <w:color w:val="auto"/>
          <w:kern w:val="0"/>
          <w:sz w:val="28"/>
          <w:highlight w:val="none"/>
        </w:rPr>
        <w:t>有关中央预算单位，各省、自治区、直辖市、计划单列市财政厅（局）、生态环境厅（局），新疆生产建设兵团财政局、环境保护局：</w:t>
      </w:r>
    </w:p>
    <w:p>
      <w:pPr>
        <w:spacing w:line="360" w:lineRule="auto"/>
        <w:rPr>
          <w:rFonts w:ascii="仿宋" w:hAnsi="仿宋" w:eastAsia="仿宋" w:cs="宋体"/>
          <w:color w:val="auto"/>
          <w:kern w:val="0"/>
          <w:sz w:val="28"/>
          <w:highlight w:val="none"/>
        </w:rPr>
      </w:pPr>
    </w:p>
    <w:p>
      <w:pPr>
        <w:spacing w:line="360" w:lineRule="auto"/>
        <w:ind w:firstLine="565" w:firstLineChars="202"/>
        <w:rPr>
          <w:rFonts w:ascii="仿宋" w:hAnsi="仿宋" w:eastAsia="仿宋" w:cs="宋体"/>
          <w:color w:val="auto"/>
          <w:kern w:val="0"/>
          <w:sz w:val="28"/>
          <w:highlight w:val="none"/>
        </w:rPr>
      </w:pPr>
      <w:r>
        <w:rPr>
          <w:rFonts w:hint="eastAsia" w:ascii="仿宋" w:hAnsi="仿宋" w:eastAsia="仿宋" w:cs="宋体"/>
          <w:color w:val="auto"/>
          <w:kern w:val="0"/>
          <w:sz w:val="28"/>
          <w:highlight w:val="none"/>
        </w:rPr>
        <w:t>根据《财政部发展改革委 生态环境部 市场监管总局关于调整优化节能产品环境标志产品政府采购执行机制的通知》（财库〔2019〕9号），我们研究制定了环境标志产品政府采购品目清单，现印发给你们，请遵照执行。</w:t>
      </w:r>
    </w:p>
    <w:p>
      <w:pPr>
        <w:spacing w:line="360" w:lineRule="auto"/>
        <w:ind w:firstLine="565" w:firstLineChars="202"/>
        <w:rPr>
          <w:rFonts w:ascii="仿宋" w:hAnsi="仿宋" w:eastAsia="仿宋" w:cs="宋体"/>
          <w:color w:val="auto"/>
          <w:kern w:val="0"/>
          <w:sz w:val="28"/>
          <w:highlight w:val="none"/>
        </w:rPr>
      </w:pPr>
    </w:p>
    <w:p>
      <w:pPr>
        <w:spacing w:line="360" w:lineRule="auto"/>
        <w:rPr>
          <w:rFonts w:ascii="仿宋" w:hAnsi="仿宋" w:eastAsia="仿宋" w:cs="宋体"/>
          <w:color w:val="auto"/>
          <w:kern w:val="0"/>
          <w:sz w:val="28"/>
          <w:highlight w:val="none"/>
        </w:rPr>
      </w:pPr>
      <w:r>
        <w:rPr>
          <w:rFonts w:hint="eastAsia" w:ascii="仿宋" w:hAnsi="仿宋" w:eastAsia="仿宋" w:cs="宋体"/>
          <w:color w:val="auto"/>
          <w:kern w:val="0"/>
          <w:sz w:val="28"/>
          <w:highlight w:val="none"/>
        </w:rPr>
        <w:t>附件：环境标志产品政府采购品目清单</w:t>
      </w:r>
    </w:p>
    <w:p>
      <w:pPr>
        <w:spacing w:line="360" w:lineRule="auto"/>
        <w:ind w:firstLine="3360"/>
        <w:rPr>
          <w:rFonts w:ascii="宋体" w:hAnsi="宋体" w:cs="宋体"/>
          <w:color w:val="auto"/>
          <w:kern w:val="0"/>
          <w:sz w:val="28"/>
          <w:highlight w:val="none"/>
        </w:rPr>
      </w:pPr>
    </w:p>
    <w:p>
      <w:pPr>
        <w:spacing w:line="360" w:lineRule="auto"/>
        <w:jc w:val="right"/>
        <w:rPr>
          <w:rFonts w:ascii="仿宋" w:hAnsi="仿宋" w:eastAsia="仿宋" w:cs="宋体"/>
          <w:color w:val="auto"/>
          <w:kern w:val="0"/>
          <w:sz w:val="28"/>
          <w:highlight w:val="none"/>
        </w:rPr>
      </w:pPr>
      <w:r>
        <w:rPr>
          <w:rFonts w:hint="eastAsia" w:ascii="仿宋" w:hAnsi="仿宋" w:eastAsia="仿宋" w:cs="宋体"/>
          <w:color w:val="auto"/>
          <w:kern w:val="0"/>
          <w:sz w:val="28"/>
          <w:highlight w:val="none"/>
        </w:rPr>
        <w:t>财政部  生态环境部</w:t>
      </w:r>
    </w:p>
    <w:p>
      <w:pPr>
        <w:spacing w:line="360" w:lineRule="auto"/>
        <w:jc w:val="right"/>
        <w:rPr>
          <w:rFonts w:ascii="仿宋" w:hAnsi="仿宋" w:eastAsia="仿宋" w:cs="宋体"/>
          <w:color w:val="auto"/>
          <w:kern w:val="0"/>
          <w:sz w:val="28"/>
          <w:highlight w:val="none"/>
        </w:rPr>
      </w:pPr>
      <w:r>
        <w:rPr>
          <w:rFonts w:hint="eastAsia" w:ascii="仿宋" w:hAnsi="仿宋" w:eastAsia="仿宋" w:cs="宋体"/>
          <w:color w:val="auto"/>
          <w:kern w:val="0"/>
          <w:sz w:val="28"/>
          <w:highlight w:val="none"/>
        </w:rPr>
        <w:t>2019年3月29日</w:t>
      </w:r>
    </w:p>
    <w:p>
      <w:pPr>
        <w:keepNext/>
        <w:widowControl/>
        <w:adjustRightInd/>
        <w:rPr>
          <w:color w:val="auto"/>
          <w:highlight w:val="none"/>
        </w:rPr>
      </w:pPr>
      <w:r>
        <w:rPr>
          <w:color w:val="auto"/>
          <w:highlight w:val="none"/>
        </w:rPr>
        <w:br w:type="page"/>
      </w:r>
      <w:r>
        <w:rPr>
          <w:rFonts w:hint="eastAsia"/>
          <w:color w:val="auto"/>
          <w:highlight w:val="none"/>
        </w:rPr>
        <w:t>附：环境标志产品政府采购品目清单</w:t>
      </w:r>
    </w:p>
    <w:tbl>
      <w:tblPr>
        <w:tblStyle w:val="65"/>
        <w:tblW w:w="10207"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709"/>
        <w:gridCol w:w="1985"/>
        <w:gridCol w:w="2268"/>
        <w:gridCol w:w="1855"/>
        <w:gridCol w:w="3390"/>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jc w:val="center"/>
        </w:trPr>
        <w:tc>
          <w:tcPr>
            <w:tcW w:w="709"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品目序号</w:t>
            </w:r>
          </w:p>
        </w:tc>
        <w:tc>
          <w:tcPr>
            <w:tcW w:w="6108" w:type="dxa"/>
            <w:gridSpan w:val="3"/>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名称</w:t>
            </w:r>
          </w:p>
        </w:tc>
        <w:tc>
          <w:tcPr>
            <w:tcW w:w="3390"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A020101计算机设备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A02010103服务器</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HJ2507网络服务器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A02010104台式计算机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A02010105便携式计算机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A02010107平板式微型计算机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A02010108网络计算机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A02010109计算机工作站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A02010199其他计算机设备</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A020106输入输出设备</w:t>
            </w:r>
          </w:p>
        </w:tc>
        <w:tc>
          <w:tcPr>
            <w:tcW w:w="2268"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A02010601打印设备</w:t>
            </w: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A0201060101喷墨打印机</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Merge w:val="continue"/>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A0201060102激光打印机</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Merge w:val="continue"/>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A0201060103热式打印机</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Merge w:val="continue"/>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A0201060104针式打印机</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A02010604显示设备</w:t>
            </w: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A0201060401液晶显示器</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Merge w:val="continue"/>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A0201060499其他显示器</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A02010609图形图像输入设备</w:t>
            </w: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A0201060901扫描仪</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HJ2517扫描仪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3</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A020202投影仪</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HJ2516投影仪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A020201复印机</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5</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w:t>
            </w:r>
            <w:r>
              <w:rPr>
                <w:rFonts w:hint="eastAsia" w:ascii="宋体" w:hAnsi="宋体"/>
                <w:color w:val="auto"/>
                <w:w w:val="90"/>
                <w:szCs w:val="21"/>
                <w:highlight w:val="none"/>
              </w:rPr>
              <w:t>204352</w:t>
            </w:r>
            <w:r>
              <w:rPr>
                <w:rFonts w:ascii="宋体" w:hAnsi="宋体"/>
                <w:color w:val="auto"/>
                <w:w w:val="90"/>
                <w:szCs w:val="21"/>
                <w:highlight w:val="none"/>
              </w:rPr>
              <w:t>多功能一体机</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6</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A020210文印设备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A02021001速印机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HJ472数字式一体化速印机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7</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A020301载货汽车（含自卸汽车）</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8</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A020305乘用车（轿车）</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A02030501轿车</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A02030599其他乘用车（轿车）</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9</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A020306客车</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A02030601小型客车</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10</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A020307专用车辆</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A02030799其他专用汽车</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11</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A020523制冷空调设备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A02052301制冷压缩机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A02052305空调机组</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A02052309专用制冷、空调设备</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12</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A020618生活用电器</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A02061802空气调节电器</w:t>
            </w:r>
          </w:p>
        </w:tc>
        <w:tc>
          <w:tcPr>
            <w:tcW w:w="1855" w:type="dxa"/>
            <w:vAlign w:val="center"/>
          </w:tcPr>
          <w:p>
            <w:pPr>
              <w:rPr>
                <w:rFonts w:ascii="宋体" w:hAnsi="宋体"/>
                <w:color w:val="auto"/>
                <w:w w:val="90"/>
                <w:szCs w:val="21"/>
                <w:highlight w:val="none"/>
              </w:rPr>
            </w:pPr>
            <w:r>
              <w:rPr>
                <w:rFonts w:ascii="宋体" w:hAnsi="宋体"/>
                <w:color w:val="auto"/>
                <w:w w:val="90"/>
                <w:szCs w:val="21"/>
                <w:highlight w:val="none"/>
              </w:rPr>
              <w:t>A0206180203空调机</w:t>
            </w: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HJ2535房间空气调节器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A02061808热水器</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HJ/T362太阳能集热器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13</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A020619照明设备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A02061908室内照明灯具</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HJ2518照明光源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14</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A020810传真及数据数字通信设备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A02081001传真通信设备</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15</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A020910电视设备</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A02091001普通电视设备（电视机）</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A02091003特殊功能应用电视设备</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16</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A0601床类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A060101钢木床类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A060104木制床类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A060199其他床类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17</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A0602台、桌类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A060201钢木台、桌类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A060205木制台、桌类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A060299其他台、桌类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18</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A0603椅凳类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A060301金属骨架为主的椅凳类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A060302木骨架为主的椅凳类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A060399其他椅凳类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19</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A0604沙发类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A060499其他沙发类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20</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A0605柜类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A060501木质柜类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A060503金属质柜类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A060599其他柜类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21</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A0606架类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A060601木质架类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A060602金属质架类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22</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A0607屏风类</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A060701木质屏风类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A060702金属质屏风类</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23</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A060804水池</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24</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A060805便器</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25</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A060806水嘴</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HJ/T411水嘴</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26</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A0609组合家具</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27</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A0610家用家具零配件</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28</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A0699其他家具用具</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29</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A070101棉、化纤纺织及印染原料</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HJ2546纺织产品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30</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A090101复印纸（包括再生复印纸）</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HJ410文化用纸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31</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A090201鼓粉盒（包括再生鼓粉盒）</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32</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A100203人造板</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A10020301胶合板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A10020302纤维板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A10020303刨花板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A10020304细木工板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A10020399其他人造板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33</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w:t>
            </w:r>
            <w:r>
              <w:rPr>
                <w:rFonts w:hint="eastAsia" w:ascii="宋体" w:hAnsi="宋体"/>
                <w:color w:val="auto"/>
                <w:w w:val="90"/>
                <w:szCs w:val="21"/>
                <w:highlight w:val="none"/>
              </w:rPr>
              <w:t>204352</w:t>
            </w:r>
            <w:r>
              <w:rPr>
                <w:rFonts w:ascii="宋体" w:hAnsi="宋体"/>
                <w:color w:val="auto"/>
                <w:w w:val="90"/>
                <w:szCs w:val="21"/>
                <w:highlight w:val="none"/>
              </w:rPr>
              <w:t>二次加工材</w:t>
            </w:r>
            <w:r>
              <w:rPr>
                <w:rFonts w:hint="eastAsia" w:ascii="宋体" w:hAnsi="宋体"/>
                <w:color w:val="auto"/>
                <w:w w:val="90"/>
                <w:szCs w:val="21"/>
                <w:highlight w:val="none"/>
              </w:rPr>
              <w:t>，</w:t>
            </w:r>
            <w:r>
              <w:rPr>
                <w:rFonts w:ascii="宋体" w:hAnsi="宋体"/>
                <w:color w:val="auto"/>
                <w:w w:val="90"/>
                <w:szCs w:val="21"/>
                <w:highlight w:val="none"/>
              </w:rPr>
              <w:t>相关板材</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w:t>
            </w:r>
            <w:r>
              <w:rPr>
                <w:rFonts w:hint="eastAsia" w:ascii="宋体" w:hAnsi="宋体"/>
                <w:color w:val="auto"/>
                <w:w w:val="90"/>
                <w:szCs w:val="21"/>
                <w:highlight w:val="none"/>
              </w:rPr>
              <w:t>204352</w:t>
            </w:r>
            <w:r>
              <w:rPr>
                <w:rFonts w:ascii="宋体" w:hAnsi="宋体"/>
                <w:color w:val="auto"/>
                <w:w w:val="90"/>
                <w:szCs w:val="21"/>
                <w:highlight w:val="none"/>
              </w:rPr>
              <w:t>04人造板表面装饰板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w:t>
            </w:r>
            <w:r>
              <w:rPr>
                <w:rFonts w:hint="eastAsia" w:ascii="宋体" w:hAnsi="宋体"/>
                <w:color w:val="auto"/>
                <w:w w:val="90"/>
                <w:szCs w:val="21"/>
                <w:highlight w:val="none"/>
              </w:rPr>
              <w:t>204352</w:t>
            </w:r>
            <w:r>
              <w:rPr>
                <w:rFonts w:ascii="宋体" w:hAnsi="宋体"/>
                <w:color w:val="auto"/>
                <w:w w:val="90"/>
                <w:szCs w:val="21"/>
                <w:highlight w:val="none"/>
              </w:rPr>
              <w:t>04人造板表面装饰板（地板）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HJ571人造板及其制品/HJ2540木塑制品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34</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A100301水泥熟料及水泥</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A10030102水泥</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HJ2519水泥</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35</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A100303水泥混凝土制品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A10030301商品混凝土</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HJ/T412预拌混凝土</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36</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A100304纤维增强水泥制品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A10030402纤维增强硅酸钙板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A10030403无石棉纤维水泥制品</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37</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A100305轻质建筑材料及制品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A10030501石膏板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A10030503轻质隔墙条板</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38</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A100307建筑陶瓷制品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A10030701瓷质砖</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A10030704炻质砖</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A10030705陶质砖</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A10030799其他建筑陶瓷制品</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39</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A100309建筑防水卷材及制品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A10030901沥青和改性沥青防水卷材</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A10030903自粘防水卷材</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HJ455防水卷材</w:t>
            </w:r>
          </w:p>
        </w:tc>
      </w:tr>
      <w:tr>
        <w:tblPrEx>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A10030906高分子防水卷（片）材</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40</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A100310隔热、隔音人造矿物材料及其制品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A10031001矿物绝热和吸声材料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A10031002矿物材料制品</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41</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A100601功能性建筑涂料</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42</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A100399其他非金属矿物制品</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A10039901其他非金属建筑材料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HJ456刚性防水材料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43</w:t>
            </w:r>
          </w:p>
        </w:tc>
        <w:tc>
          <w:tcPr>
            <w:tcW w:w="1985" w:type="dxa"/>
            <w:vMerge w:val="restart"/>
            <w:vAlign w:val="center"/>
          </w:tcPr>
          <w:p>
            <w:pPr>
              <w:rPr>
                <w:rFonts w:ascii="宋体" w:hAnsi="宋体"/>
                <w:color w:val="auto"/>
                <w:w w:val="90"/>
                <w:szCs w:val="21"/>
                <w:highlight w:val="none"/>
              </w:rPr>
            </w:pPr>
            <w:r>
              <w:rPr>
                <w:rFonts w:ascii="宋体" w:hAnsi="宋体"/>
                <w:color w:val="auto"/>
                <w:w w:val="90"/>
                <w:szCs w:val="21"/>
                <w:highlight w:val="none"/>
              </w:rPr>
              <w:t>A100602墙面涂料</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A10060202合成树脂乳液内墙涂料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A10060203合成树脂乳液外墙涂料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olor w:val="auto"/>
                <w:w w:val="90"/>
                <w:szCs w:val="21"/>
                <w:highlight w:val="none"/>
              </w:rPr>
            </w:pPr>
          </w:p>
        </w:tc>
        <w:tc>
          <w:tcPr>
            <w:tcW w:w="1985" w:type="dxa"/>
            <w:vMerge w:val="continue"/>
            <w:vAlign w:val="center"/>
          </w:tcPr>
          <w:p>
            <w:pPr>
              <w:rPr>
                <w:rFonts w:ascii="宋体" w:hAnsi="宋体"/>
                <w:color w:val="auto"/>
                <w:w w:val="90"/>
                <w:szCs w:val="21"/>
                <w:highlight w:val="none"/>
              </w:rPr>
            </w:pP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A10060299其他墙面涂料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44</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A100604防水涂料</w:t>
            </w:r>
          </w:p>
        </w:tc>
        <w:tc>
          <w:tcPr>
            <w:tcW w:w="2268" w:type="dxa"/>
            <w:vAlign w:val="center"/>
          </w:tcPr>
          <w:p>
            <w:pPr>
              <w:rPr>
                <w:rFonts w:ascii="宋体" w:hAnsi="宋体"/>
                <w:color w:val="auto"/>
                <w:w w:val="90"/>
                <w:szCs w:val="21"/>
                <w:highlight w:val="none"/>
              </w:rPr>
            </w:pPr>
            <w:r>
              <w:rPr>
                <w:rFonts w:ascii="宋体" w:hAnsi="宋体"/>
                <w:color w:val="auto"/>
                <w:w w:val="90"/>
                <w:szCs w:val="21"/>
                <w:highlight w:val="none"/>
              </w:rPr>
              <w:t>A10060499其他防水涂料</w:t>
            </w: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45</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A100699其他建筑涂料</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46</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A100701门、门槛</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HJ/T237塑料门窗/HJ459木质门和钢质门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47</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A100702窗</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HJ/T237塑料门窗</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48</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A170108涂料（建筑涂料除外）</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49</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A170112密封用填料及类似品</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HJ2541胶粘剂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olor w:val="auto"/>
                <w:w w:val="90"/>
                <w:szCs w:val="21"/>
                <w:highlight w:val="none"/>
              </w:rPr>
            </w:pPr>
            <w:r>
              <w:rPr>
                <w:rFonts w:ascii="宋体" w:hAnsi="宋体"/>
                <w:color w:val="auto"/>
                <w:w w:val="90"/>
                <w:szCs w:val="21"/>
                <w:highlight w:val="none"/>
              </w:rPr>
              <w:t>50</w:t>
            </w:r>
          </w:p>
        </w:tc>
        <w:tc>
          <w:tcPr>
            <w:tcW w:w="1985" w:type="dxa"/>
            <w:vAlign w:val="center"/>
          </w:tcPr>
          <w:p>
            <w:pPr>
              <w:rPr>
                <w:rFonts w:ascii="宋体" w:hAnsi="宋体"/>
                <w:color w:val="auto"/>
                <w:w w:val="90"/>
                <w:szCs w:val="21"/>
                <w:highlight w:val="none"/>
              </w:rPr>
            </w:pPr>
            <w:r>
              <w:rPr>
                <w:rFonts w:ascii="宋体" w:hAnsi="宋体"/>
                <w:color w:val="auto"/>
                <w:w w:val="90"/>
                <w:szCs w:val="21"/>
                <w:highlight w:val="none"/>
              </w:rPr>
              <w:t>A180201塑料制品</w:t>
            </w:r>
          </w:p>
        </w:tc>
        <w:tc>
          <w:tcPr>
            <w:tcW w:w="2268" w:type="dxa"/>
            <w:vAlign w:val="center"/>
          </w:tcPr>
          <w:p>
            <w:pPr>
              <w:rPr>
                <w:rFonts w:ascii="宋体" w:hAnsi="宋体"/>
                <w:color w:val="auto"/>
                <w:w w:val="90"/>
                <w:szCs w:val="21"/>
                <w:highlight w:val="none"/>
              </w:rPr>
            </w:pPr>
          </w:p>
        </w:tc>
        <w:tc>
          <w:tcPr>
            <w:tcW w:w="1855" w:type="dxa"/>
            <w:vAlign w:val="center"/>
          </w:tcPr>
          <w:p>
            <w:pPr>
              <w:rPr>
                <w:rFonts w:ascii="宋体" w:hAnsi="宋体"/>
                <w:color w:val="auto"/>
                <w:w w:val="90"/>
                <w:szCs w:val="21"/>
                <w:highlight w:val="none"/>
              </w:rPr>
            </w:pPr>
          </w:p>
        </w:tc>
        <w:tc>
          <w:tcPr>
            <w:tcW w:w="3390" w:type="dxa"/>
            <w:vAlign w:val="center"/>
          </w:tcPr>
          <w:p>
            <w:pPr>
              <w:rPr>
                <w:rFonts w:ascii="宋体" w:hAnsi="宋体"/>
                <w:color w:val="auto"/>
                <w:w w:val="90"/>
                <w:szCs w:val="21"/>
                <w:highlight w:val="none"/>
              </w:rPr>
            </w:pPr>
            <w:r>
              <w:rPr>
                <w:rFonts w:ascii="宋体" w:hAnsi="宋体"/>
                <w:color w:val="auto"/>
                <w:w w:val="90"/>
                <w:szCs w:val="21"/>
                <w:highlight w:val="none"/>
              </w:rPr>
              <w:t>HJ/T226建筑用塑料管材/HJ/T231再生塑料制品</w:t>
            </w:r>
          </w:p>
        </w:tc>
      </w:tr>
    </w:tbl>
    <w:p>
      <w:pPr>
        <w:spacing w:line="360" w:lineRule="auto"/>
        <w:ind w:left="-850" w:leftChars="-405" w:right="-1050" w:rightChars="-500" w:firstLine="382" w:firstLineChars="201"/>
        <w:rPr>
          <w:rFonts w:ascii="宋体" w:hAnsi="宋体" w:cs="宋体"/>
          <w:color w:val="auto"/>
          <w:kern w:val="0"/>
          <w:sz w:val="28"/>
          <w:highlight w:val="none"/>
        </w:rPr>
      </w:pPr>
      <w:r>
        <w:rPr>
          <w:rFonts w:ascii="宋体" w:hAnsi="宋体"/>
          <w:b/>
          <w:color w:val="auto"/>
          <w:w w:val="90"/>
          <w:highlight w:val="none"/>
        </w:rPr>
        <w:t>注：环境标志产品认证应依据相关标准的最新版本</w:t>
      </w:r>
      <w:r>
        <w:rPr>
          <w:rFonts w:hint="eastAsia" w:ascii="宋体" w:hAnsi="宋体"/>
          <w:b/>
          <w:color w:val="auto"/>
          <w:w w:val="90"/>
          <w:highlight w:val="none"/>
        </w:rPr>
        <w:t>。</w:t>
      </w:r>
    </w:p>
    <w:p>
      <w:pPr>
        <w:pStyle w:val="6"/>
        <w:rPr>
          <w:color w:val="auto"/>
          <w:highlight w:val="none"/>
        </w:rPr>
      </w:pPr>
      <w:r>
        <w:rPr>
          <w:color w:val="auto"/>
          <w:highlight w:val="none"/>
        </w:rPr>
        <w:br w:type="page"/>
      </w:r>
      <w:bookmarkStart w:id="476" w:name="_Toc7492528"/>
      <w:bookmarkStart w:id="477" w:name="_Toc17428349"/>
      <w:bookmarkStart w:id="478" w:name="_Toc20358292"/>
      <w:bookmarkStart w:id="479" w:name="_Toc7664197"/>
      <w:bookmarkStart w:id="480" w:name="_Toc7988421"/>
      <w:bookmarkStart w:id="481" w:name="_Toc25765010"/>
      <w:bookmarkStart w:id="482" w:name="_Toc7668950"/>
      <w:bookmarkStart w:id="483" w:name="_Toc7988475"/>
      <w:bookmarkStart w:id="484" w:name="_Toc7574705"/>
      <w:bookmarkStart w:id="485" w:name="_Toc24471818"/>
      <w:bookmarkStart w:id="486" w:name="_Toc7488759"/>
      <w:bookmarkStart w:id="487" w:name="_Toc10432458"/>
      <w:bookmarkStart w:id="488" w:name="_Toc17428254"/>
      <w:bookmarkStart w:id="489" w:name="_Toc7663597"/>
      <w:bookmarkStart w:id="490" w:name="_Toc8007005"/>
      <w:bookmarkStart w:id="491" w:name="_Toc7993641"/>
      <w:bookmarkStart w:id="492" w:name="_Toc7542916"/>
      <w:r>
        <w:rPr>
          <w:rFonts w:hint="eastAsia"/>
          <w:color w:val="auto"/>
          <w:highlight w:val="none"/>
        </w:rPr>
        <w:t xml:space="preserve">    市场监管总局关于发布参与实施政府采购节能产品、环境标志产品认证机构名录的公告（2019年第16号）</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widowControl/>
        <w:shd w:val="clear" w:color="auto" w:fill="FFFFFF"/>
        <w:spacing w:before="68" w:after="299" w:line="360" w:lineRule="auto"/>
        <w:jc w:val="center"/>
        <w:textAlignment w:val="baseline"/>
        <w:rPr>
          <w:rFonts w:ascii="华文中宋" w:hAnsi="华文中宋" w:eastAsia="华文中宋" w:cs="宋体"/>
          <w:b/>
          <w:color w:val="auto"/>
          <w:kern w:val="0"/>
          <w:sz w:val="28"/>
          <w:highlight w:val="none"/>
        </w:rPr>
      </w:pPr>
    </w:p>
    <w:p>
      <w:pPr>
        <w:widowControl/>
        <w:shd w:val="clear" w:color="auto" w:fill="FFFFFF"/>
        <w:spacing w:before="68" w:after="299" w:line="360" w:lineRule="auto"/>
        <w:jc w:val="center"/>
        <w:textAlignment w:val="baseline"/>
        <w:rPr>
          <w:rFonts w:ascii="华文中宋" w:hAnsi="华文中宋" w:eastAsia="华文中宋" w:cs="宋体"/>
          <w:b/>
          <w:color w:val="auto"/>
          <w:kern w:val="0"/>
          <w:sz w:val="36"/>
          <w:highlight w:val="none"/>
        </w:rPr>
      </w:pPr>
      <w:r>
        <w:rPr>
          <w:rFonts w:hint="eastAsia" w:ascii="华文中宋" w:hAnsi="华文中宋" w:eastAsia="华文中宋" w:cs="宋体"/>
          <w:b/>
          <w:color w:val="auto"/>
          <w:kern w:val="0"/>
          <w:sz w:val="36"/>
          <w:highlight w:val="none"/>
        </w:rPr>
        <w:t>市场监管总局关于发布参与实施政府采购节能产品、环境</w:t>
      </w:r>
    </w:p>
    <w:p>
      <w:pPr>
        <w:widowControl/>
        <w:shd w:val="clear" w:color="auto" w:fill="FFFFFF"/>
        <w:spacing w:before="68" w:after="299" w:line="360" w:lineRule="auto"/>
        <w:jc w:val="center"/>
        <w:textAlignment w:val="baseline"/>
        <w:rPr>
          <w:rFonts w:ascii="华文中宋" w:hAnsi="华文中宋" w:eastAsia="华文中宋" w:cs="宋体"/>
          <w:b/>
          <w:color w:val="auto"/>
          <w:kern w:val="0"/>
          <w:sz w:val="24"/>
          <w:highlight w:val="none"/>
        </w:rPr>
      </w:pPr>
      <w:r>
        <w:rPr>
          <w:rFonts w:hint="eastAsia" w:ascii="华文中宋" w:hAnsi="华文中宋" w:eastAsia="华文中宋" w:cs="宋体"/>
          <w:b/>
          <w:color w:val="auto"/>
          <w:kern w:val="0"/>
          <w:sz w:val="36"/>
          <w:highlight w:val="none"/>
        </w:rPr>
        <w:t>标志产品认证机构名录的公告</w:t>
      </w:r>
    </w:p>
    <w:p>
      <w:pPr>
        <w:widowControl/>
        <w:shd w:val="clear" w:color="auto" w:fill="FFFFFF"/>
        <w:spacing w:before="68" w:after="299" w:line="360" w:lineRule="auto"/>
        <w:jc w:val="center"/>
        <w:textAlignment w:val="baseline"/>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2019年第16号</w:t>
      </w:r>
    </w:p>
    <w:p>
      <w:pPr>
        <w:widowControl/>
        <w:shd w:val="clear" w:color="auto" w:fill="FFFFFF"/>
        <w:spacing w:before="68" w:after="299" w:line="360" w:lineRule="auto"/>
        <w:ind w:firstLine="424" w:firstLineChars="177"/>
        <w:jc w:val="left"/>
        <w:textAlignment w:val="baseline"/>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spacing w:before="68" w:after="299" w:line="360" w:lineRule="auto"/>
        <w:ind w:firstLine="424" w:firstLineChars="177"/>
        <w:jc w:val="left"/>
        <w:textAlignment w:val="baseline"/>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自本公告发布后，新增认证机构应尽快完成政府采购认证信息系统对接，对接完成后方可开展相关认证工作。</w:t>
      </w:r>
    </w:p>
    <w:p>
      <w:pPr>
        <w:widowControl/>
        <w:shd w:val="clear" w:color="auto" w:fill="FFFFFF"/>
        <w:spacing w:before="68" w:after="299" w:line="360" w:lineRule="auto"/>
        <w:jc w:val="right"/>
        <w:textAlignment w:val="baseline"/>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市场监管总局</w:t>
      </w:r>
    </w:p>
    <w:p>
      <w:pPr>
        <w:widowControl/>
        <w:shd w:val="clear" w:color="auto" w:fill="FFFFFF"/>
        <w:spacing w:before="68" w:after="299" w:line="360" w:lineRule="auto"/>
        <w:jc w:val="right"/>
        <w:textAlignment w:val="baseline"/>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2019年4月3日</w:t>
      </w:r>
    </w:p>
    <w:p>
      <w:pPr>
        <w:keepNext/>
        <w:widowControl/>
        <w:adjustRightInd/>
        <w:rPr>
          <w:color w:val="auto"/>
          <w:highlight w:val="none"/>
        </w:rPr>
      </w:pPr>
      <w:r>
        <w:rPr>
          <w:color w:val="auto"/>
          <w:highlight w:val="none"/>
        </w:rPr>
        <w:br w:type="page"/>
      </w:r>
      <w:r>
        <w:rPr>
          <w:rFonts w:hint="eastAsia"/>
          <w:color w:val="auto"/>
          <w:highlight w:val="none"/>
        </w:rPr>
        <w:t>附1：参与实施政府采购节能产品认证机构名录</w:t>
      </w:r>
    </w:p>
    <w:tbl>
      <w:tblPr>
        <w:tblStyle w:val="65"/>
        <w:tblW w:w="9782"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8"/>
        <w:gridCol w:w="1134"/>
        <w:gridCol w:w="1347"/>
        <w:gridCol w:w="1402"/>
        <w:gridCol w:w="2070"/>
        <w:gridCol w:w="326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568"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序号</w:t>
            </w:r>
          </w:p>
        </w:tc>
        <w:tc>
          <w:tcPr>
            <w:tcW w:w="2481"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一级目录</w:t>
            </w:r>
          </w:p>
        </w:tc>
        <w:tc>
          <w:tcPr>
            <w:tcW w:w="3472"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二级目录</w:t>
            </w:r>
          </w:p>
        </w:tc>
        <w:tc>
          <w:tcPr>
            <w:tcW w:w="3261"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568" w:type="dxa"/>
            <w:vMerge w:val="continue"/>
            <w:shd w:val="clear" w:color="auto" w:fill="DAEEF3"/>
            <w:tcMar>
              <w:top w:w="0" w:type="dxa"/>
              <w:left w:w="0" w:type="dxa"/>
              <w:bottom w:w="0" w:type="dxa"/>
              <w:right w:w="0" w:type="dxa"/>
            </w:tcMar>
            <w:vAlign w:val="center"/>
          </w:tcPr>
          <w:p>
            <w:pPr>
              <w:spacing w:line="276" w:lineRule="auto"/>
              <w:jc w:val="center"/>
              <w:textAlignment w:val="baseline"/>
              <w:rPr>
                <w:rFonts w:ascii="仿宋" w:hAnsi="仿宋" w:eastAsia="仿宋" w:cs="宋体"/>
                <w:color w:val="auto"/>
                <w:w w:val="90"/>
                <w:kern w:val="0"/>
                <w:sz w:val="22"/>
                <w:szCs w:val="22"/>
                <w:highlight w:val="none"/>
              </w:rPr>
            </w:pPr>
          </w:p>
        </w:tc>
        <w:tc>
          <w:tcPr>
            <w:tcW w:w="1134" w:type="dxa"/>
            <w:shd w:val="clear" w:color="auto" w:fill="DAEEF3"/>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产品代码</w:t>
            </w:r>
          </w:p>
        </w:tc>
        <w:tc>
          <w:tcPr>
            <w:tcW w:w="1347"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产品名称</w:t>
            </w:r>
          </w:p>
        </w:tc>
        <w:tc>
          <w:tcPr>
            <w:tcW w:w="1402"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产品代码</w:t>
            </w:r>
          </w:p>
        </w:tc>
        <w:tc>
          <w:tcPr>
            <w:tcW w:w="2070"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b/>
                <w:color w:val="auto"/>
                <w:w w:val="90"/>
                <w:kern w:val="0"/>
                <w:sz w:val="22"/>
                <w:szCs w:val="22"/>
                <w:highlight w:val="none"/>
              </w:rPr>
            </w:pPr>
            <w:r>
              <w:rPr>
                <w:rFonts w:hint="eastAsia" w:ascii="仿宋" w:hAnsi="仿宋" w:eastAsia="仿宋" w:cs="宋体"/>
                <w:b/>
                <w:color w:val="auto"/>
                <w:w w:val="90"/>
                <w:kern w:val="0"/>
                <w:sz w:val="22"/>
                <w:szCs w:val="22"/>
                <w:highlight w:val="none"/>
              </w:rPr>
              <w:t>产品名称</w:t>
            </w:r>
          </w:p>
        </w:tc>
        <w:tc>
          <w:tcPr>
            <w:tcW w:w="3261" w:type="dxa"/>
            <w:vMerge w:val="continue"/>
            <w:shd w:val="clear" w:color="auto" w:fill="DAEEF3"/>
            <w:tcMar>
              <w:top w:w="0" w:type="dxa"/>
              <w:left w:w="0" w:type="dxa"/>
              <w:bottom w:w="0" w:type="dxa"/>
              <w:right w:w="0" w:type="dxa"/>
            </w:tcMar>
            <w:vAlign w:val="center"/>
          </w:tcPr>
          <w:p>
            <w:pPr>
              <w:spacing w:line="276" w:lineRule="auto"/>
              <w:jc w:val="left"/>
              <w:textAlignment w:val="baseline"/>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A020101</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计算机设备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A02010104</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台式计算机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北京赛西认证有限责任公司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中国网络安全审查技术与认证中心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A02010105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便携式计算机</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A02010107</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平板式微型计算机</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2</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A020106</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输入输出设备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A02010601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打印设备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A02010604</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显示设备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A02010609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图形图像输入设备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A020202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投影仪</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A020204352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多功能一体机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泵</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A02051901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离心泵</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电能（北京）认证中心有限公司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6</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A020523</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制冷空调设备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A02052301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制冷压缩机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合肥通用机械产品认证有限公司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A02052305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空调机组</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A02052309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专用制冷、空调设备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A02052399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其他制冷空调设备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A020601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电能（北京）认证中心有限公司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变压器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电能（北京）认证中心有限公司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9</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A020609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镇流器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深圳市计量质量检测研究院</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10</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A020618</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生活用电器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A0206180101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电冰箱</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A0206180203</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空调机</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中家院（北京）检测认证有限公司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A0206180301</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洗衣机</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仿宋" w:hAnsi="仿宋" w:eastAsia="仿宋"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A02061808</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热水器</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威凯认证检测有限公司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中家院（北京）检测认证有限公司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合肥通用机械产品认证有限公司</w:t>
            </w:r>
            <w:r>
              <w:rPr>
                <w:rFonts w:ascii="仿宋" w:hAnsi="仿宋" w:eastAsia="仿宋" w:cs="宋体"/>
                <w:color w:val="auto"/>
                <w:w w:val="90"/>
                <w:kern w:val="0"/>
                <w:sz w:val="22"/>
                <w:szCs w:val="22"/>
                <w:highlight w:val="none"/>
              </w:rPr>
              <w:t>(</w:t>
            </w:r>
            <w:r>
              <w:rPr>
                <w:rFonts w:hint="eastAsia" w:ascii="仿宋" w:hAnsi="仿宋" w:eastAsia="仿宋" w:cs="宋体"/>
                <w:color w:val="auto"/>
                <w:w w:val="90"/>
                <w:kern w:val="0"/>
                <w:sz w:val="22"/>
                <w:szCs w:val="22"/>
                <w:highlight w:val="none"/>
              </w:rPr>
              <w:t>范围仅限于“热泵热水器”</w:t>
            </w:r>
            <w:r>
              <w:rPr>
                <w:rFonts w:ascii="仿宋" w:hAnsi="仿宋" w:eastAsia="仿宋" w:cs="宋体"/>
                <w:color w:val="auto"/>
                <w:w w:val="90"/>
                <w:kern w:val="0"/>
                <w:sz w:val="22"/>
                <w:szCs w:val="22"/>
                <w:highlight w:val="none"/>
              </w:rPr>
              <w:t>)</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11</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A020619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照明设备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深圳市计量质量检测研究院</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12</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A020910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电视设备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A02091001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普通电视设备（电视机）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北京泰瑞特认证有限责任公司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A020911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视频设备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A02091107</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视频监控设备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A031210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饮食炊事机械</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北京鉴衡认证中心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A060805</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便器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中国质量认证中心</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北京新华节水产品认证有限公司</w:t>
            </w:r>
          </w:p>
          <w:p>
            <w:pPr>
              <w:widowControl/>
              <w:spacing w:line="276" w:lineRule="auto"/>
              <w:jc w:val="left"/>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16</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A060806</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水嘴</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A060807</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便器冲洗阀</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18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A060810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r>
              <w:rPr>
                <w:rFonts w:hint="eastAsia" w:ascii="仿宋" w:hAnsi="仿宋" w:eastAsia="仿宋" w:cs="宋体"/>
                <w:color w:val="auto"/>
                <w:w w:val="90"/>
                <w:kern w:val="0"/>
                <w:sz w:val="22"/>
                <w:szCs w:val="22"/>
                <w:highlight w:val="none"/>
              </w:rPr>
              <w:t>淋浴器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仿宋" w:hAnsi="仿宋" w:eastAsia="仿宋" w:cs="宋体"/>
                <w:color w:val="auto"/>
                <w:w w:val="90"/>
                <w:kern w:val="0"/>
                <w:sz w:val="22"/>
                <w:szCs w:val="22"/>
                <w:highlight w:val="none"/>
              </w:rPr>
            </w:pPr>
          </w:p>
        </w:tc>
      </w:tr>
    </w:tbl>
    <w:p>
      <w:pPr>
        <w:keepNext/>
        <w:widowControl/>
        <w:adjustRightInd/>
        <w:rPr>
          <w:color w:val="auto"/>
          <w:highlight w:val="none"/>
        </w:rPr>
      </w:pPr>
      <w:r>
        <w:rPr>
          <w:rFonts w:hint="eastAsia"/>
          <w:color w:val="auto"/>
          <w:highlight w:val="none"/>
        </w:rPr>
        <w:t>附2：参与实施政府采购环境标志产品认证机构名录</w:t>
      </w:r>
    </w:p>
    <w:tbl>
      <w:tblPr>
        <w:tblStyle w:val="65"/>
        <w:tblW w:w="9782"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8"/>
        <w:gridCol w:w="6643"/>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jc w:val="center"/>
        </w:trPr>
        <w:tc>
          <w:tcPr>
            <w:tcW w:w="851"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kern w:val="0"/>
                <w:sz w:val="22"/>
                <w:szCs w:val="22"/>
                <w:highlight w:val="none"/>
              </w:rPr>
            </w:pPr>
            <w:r>
              <w:rPr>
                <w:rFonts w:hint="eastAsia" w:ascii="仿宋" w:hAnsi="仿宋" w:eastAsia="仿宋" w:cs="宋体"/>
                <w:b/>
                <w:color w:val="auto"/>
                <w:kern w:val="0"/>
                <w:sz w:val="22"/>
                <w:szCs w:val="22"/>
                <w:highlight w:val="none"/>
              </w:rPr>
              <w:t>序号</w:t>
            </w:r>
          </w:p>
        </w:tc>
        <w:tc>
          <w:tcPr>
            <w:tcW w:w="2288"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kern w:val="0"/>
                <w:sz w:val="22"/>
                <w:szCs w:val="22"/>
                <w:highlight w:val="none"/>
              </w:rPr>
            </w:pPr>
            <w:r>
              <w:rPr>
                <w:rFonts w:hint="eastAsia" w:ascii="仿宋" w:hAnsi="仿宋" w:eastAsia="仿宋" w:cs="宋体"/>
                <w:b/>
                <w:color w:val="auto"/>
                <w:kern w:val="0"/>
                <w:sz w:val="22"/>
                <w:szCs w:val="22"/>
                <w:highlight w:val="none"/>
              </w:rPr>
              <w:t>目录</w:t>
            </w:r>
          </w:p>
        </w:tc>
        <w:tc>
          <w:tcPr>
            <w:tcW w:w="6643"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b/>
                <w:color w:val="auto"/>
                <w:kern w:val="0"/>
                <w:sz w:val="22"/>
                <w:szCs w:val="22"/>
                <w:highlight w:val="none"/>
              </w:rPr>
            </w:pPr>
            <w:r>
              <w:rPr>
                <w:rFonts w:hint="eastAsia" w:ascii="仿宋" w:hAnsi="仿宋" w:eastAsia="仿宋" w:cs="宋体"/>
                <w:b/>
                <w:color w:val="auto"/>
                <w:kern w:val="0"/>
                <w:sz w:val="22"/>
                <w:szCs w:val="22"/>
                <w:highlight w:val="none"/>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851"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1</w:t>
            </w:r>
          </w:p>
        </w:tc>
        <w:tc>
          <w:tcPr>
            <w:tcW w:w="228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环境标志产品</w:t>
            </w:r>
          </w:p>
        </w:tc>
        <w:tc>
          <w:tcPr>
            <w:tcW w:w="6643"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中环联合（北京）认证中心有限公司</w:t>
            </w:r>
          </w:p>
          <w:p>
            <w:pPr>
              <w:widowControl/>
              <w:spacing w:line="276" w:lineRule="auto"/>
              <w:jc w:val="left"/>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中标合信（北京）认证有限公司</w:t>
            </w:r>
          </w:p>
          <w:p>
            <w:pPr>
              <w:widowControl/>
              <w:spacing w:line="276" w:lineRule="auto"/>
              <w:jc w:val="left"/>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中环协（北京）认证有限公司</w:t>
            </w:r>
          </w:p>
          <w:p>
            <w:pPr>
              <w:widowControl/>
              <w:spacing w:line="276" w:lineRule="auto"/>
              <w:jc w:val="left"/>
              <w:textAlignment w:val="baseline"/>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天津华诚认证有限公司</w:t>
            </w:r>
          </w:p>
        </w:tc>
      </w:tr>
    </w:tbl>
    <w:p>
      <w:pPr>
        <w:pStyle w:val="29"/>
        <w:rPr>
          <w:color w:val="auto"/>
          <w:highlight w:val="none"/>
        </w:rPr>
      </w:pPr>
    </w:p>
    <w:p>
      <w:pPr>
        <w:pStyle w:val="29"/>
        <w:rPr>
          <w:color w:val="auto"/>
          <w:highlight w:val="none"/>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inherit">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127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127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127</w:t>
    </w:r>
    <w:r>
      <w:rPr>
        <w:rFonts w:hint="eastAsia" w:ascii="仿宋_GB2312" w:eastAsia="仿宋_GB2312"/>
        <w:kern w:val="0"/>
        <w:szCs w:val="21"/>
      </w:rPr>
      <w:fldChar w:fldCharType="end"/>
    </w:r>
    <w:bookmarkStart w:id="493" w:name="_Toc36110187"/>
    <w:bookmarkStart w:id="494" w:name="_Toc131845147"/>
    <w:bookmarkStart w:id="495" w:name="_Toc91899912"/>
    <w:bookmarkStart w:id="496" w:name="_Toc164085800"/>
    <w:r>
      <w:rPr>
        <w:rFonts w:hint="eastAsia" w:ascii="仿宋_GB2312" w:eastAsia="仿宋_GB2312"/>
        <w:kern w:val="0"/>
        <w:szCs w:val="21"/>
      </w:rPr>
      <w:t xml:space="preserve"> 页</w:t>
    </w:r>
    <w:bookmarkEnd w:id="493"/>
    <w:bookmarkEnd w:id="494"/>
    <w:bookmarkEnd w:id="495"/>
    <w:bookmarkEnd w:id="49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page" w:x="5731" w:y="34"/>
      <w:rPr>
        <w:rStyle w:val="75"/>
      </w:rPr>
    </w:pPr>
    <w:r>
      <w:fldChar w:fldCharType="begin"/>
    </w:r>
    <w:r>
      <w:rPr>
        <w:rStyle w:val="75"/>
      </w:rPr>
      <w:instrText xml:space="preserve">PAGE  </w:instrText>
    </w:r>
    <w:r>
      <w:fldChar w:fldCharType="separate"/>
    </w:r>
    <w:r>
      <w:rPr>
        <w:rStyle w:val="75"/>
      </w:rPr>
      <w:t>67</w:t>
    </w:r>
    <w:r>
      <w:fldChar w:fldCharType="end"/>
    </w:r>
  </w:p>
  <w:p>
    <w:pPr>
      <w:pStyle w:val="4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Style w:val="75"/>
      </w:rPr>
    </w:pPr>
    <w:r>
      <w:fldChar w:fldCharType="begin"/>
    </w:r>
    <w:r>
      <w:rPr>
        <w:rStyle w:val="75"/>
      </w:rPr>
      <w:instrText xml:space="preserve"> PAGE  \* MERGEFORMAT </w:instrText>
    </w:r>
    <w:r>
      <w:fldChar w:fldCharType="separate"/>
    </w:r>
    <w:r>
      <w:rPr>
        <w:rStyle w:val="75"/>
      </w:rPr>
      <w:t>68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E102D"/>
    <w:multiLevelType w:val="singleLevel"/>
    <w:tmpl w:val="8B1E102D"/>
    <w:lvl w:ilvl="0" w:tentative="0">
      <w:start w:val="1"/>
      <w:numFmt w:val="decimal"/>
      <w:suff w:val="nothing"/>
      <w:lvlText w:val="（%1）"/>
      <w:lvlJc w:val="left"/>
    </w:lvl>
  </w:abstractNum>
  <w:abstractNum w:abstractNumId="1">
    <w:nsid w:val="6461A2AA"/>
    <w:multiLevelType w:val="multilevel"/>
    <w:tmpl w:val="6461A2AA"/>
    <w:lvl w:ilvl="0" w:tentative="0">
      <w:start w:val="3"/>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ZDFlNjVkMWYzNmQ3ODhhNTEyYjU0YzkyNmYyOD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710"/>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6EFD"/>
    <w:rsid w:val="000270F2"/>
    <w:rsid w:val="00027540"/>
    <w:rsid w:val="00030572"/>
    <w:rsid w:val="00030A97"/>
    <w:rsid w:val="00030CB3"/>
    <w:rsid w:val="0003206A"/>
    <w:rsid w:val="000326A7"/>
    <w:rsid w:val="00032760"/>
    <w:rsid w:val="00032EA0"/>
    <w:rsid w:val="000331B0"/>
    <w:rsid w:val="0003353E"/>
    <w:rsid w:val="000336D4"/>
    <w:rsid w:val="0003462B"/>
    <w:rsid w:val="00034C66"/>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E98"/>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9D9"/>
    <w:rsid w:val="00060C48"/>
    <w:rsid w:val="00061A3C"/>
    <w:rsid w:val="00061C48"/>
    <w:rsid w:val="000638C5"/>
    <w:rsid w:val="00064278"/>
    <w:rsid w:val="000646CA"/>
    <w:rsid w:val="000660DF"/>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463"/>
    <w:rsid w:val="00082AD4"/>
    <w:rsid w:val="00083471"/>
    <w:rsid w:val="00083E07"/>
    <w:rsid w:val="00084D27"/>
    <w:rsid w:val="00084ED6"/>
    <w:rsid w:val="0008580E"/>
    <w:rsid w:val="00085A0E"/>
    <w:rsid w:val="00085C4F"/>
    <w:rsid w:val="00086EFD"/>
    <w:rsid w:val="00086F8A"/>
    <w:rsid w:val="00087031"/>
    <w:rsid w:val="0008756B"/>
    <w:rsid w:val="00090243"/>
    <w:rsid w:val="000904F6"/>
    <w:rsid w:val="00090918"/>
    <w:rsid w:val="00090ED8"/>
    <w:rsid w:val="00090F9F"/>
    <w:rsid w:val="0009145F"/>
    <w:rsid w:val="0009184E"/>
    <w:rsid w:val="00091B4E"/>
    <w:rsid w:val="00092467"/>
    <w:rsid w:val="00092FE9"/>
    <w:rsid w:val="000936BF"/>
    <w:rsid w:val="0009382F"/>
    <w:rsid w:val="00093A30"/>
    <w:rsid w:val="00093AA9"/>
    <w:rsid w:val="00094342"/>
    <w:rsid w:val="000945BA"/>
    <w:rsid w:val="00095954"/>
    <w:rsid w:val="000960BA"/>
    <w:rsid w:val="0009662A"/>
    <w:rsid w:val="0009690D"/>
    <w:rsid w:val="00096DFF"/>
    <w:rsid w:val="000A01B2"/>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F09"/>
    <w:rsid w:val="000B21F0"/>
    <w:rsid w:val="000B268D"/>
    <w:rsid w:val="000B291B"/>
    <w:rsid w:val="000B2A57"/>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22F"/>
    <w:rsid w:val="000C4727"/>
    <w:rsid w:val="000C47AE"/>
    <w:rsid w:val="000C51AD"/>
    <w:rsid w:val="000C5374"/>
    <w:rsid w:val="000C5598"/>
    <w:rsid w:val="000C5EC0"/>
    <w:rsid w:val="000C6162"/>
    <w:rsid w:val="000C64CC"/>
    <w:rsid w:val="000C6688"/>
    <w:rsid w:val="000C692E"/>
    <w:rsid w:val="000C6B28"/>
    <w:rsid w:val="000C72D7"/>
    <w:rsid w:val="000C7BEB"/>
    <w:rsid w:val="000D0124"/>
    <w:rsid w:val="000D11E5"/>
    <w:rsid w:val="000D19E8"/>
    <w:rsid w:val="000D1EAD"/>
    <w:rsid w:val="000D1FA1"/>
    <w:rsid w:val="000D2834"/>
    <w:rsid w:val="000D28B9"/>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6E0E"/>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1C57"/>
    <w:rsid w:val="00151F9A"/>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4B43"/>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3FD0"/>
    <w:rsid w:val="00184466"/>
    <w:rsid w:val="00184DBF"/>
    <w:rsid w:val="001852A8"/>
    <w:rsid w:val="001856EF"/>
    <w:rsid w:val="0018620A"/>
    <w:rsid w:val="00186EB0"/>
    <w:rsid w:val="00187121"/>
    <w:rsid w:val="00187243"/>
    <w:rsid w:val="00187C29"/>
    <w:rsid w:val="001905A7"/>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3C7"/>
    <w:rsid w:val="001A66A6"/>
    <w:rsid w:val="001A6A90"/>
    <w:rsid w:val="001A6BAF"/>
    <w:rsid w:val="001A6BBB"/>
    <w:rsid w:val="001A79A2"/>
    <w:rsid w:val="001B040A"/>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960"/>
    <w:rsid w:val="001E17E3"/>
    <w:rsid w:val="001E2052"/>
    <w:rsid w:val="001E2492"/>
    <w:rsid w:val="001E257C"/>
    <w:rsid w:val="001E2588"/>
    <w:rsid w:val="001E286C"/>
    <w:rsid w:val="001E2F34"/>
    <w:rsid w:val="001E35EE"/>
    <w:rsid w:val="001E4B2C"/>
    <w:rsid w:val="001E507F"/>
    <w:rsid w:val="001E56C2"/>
    <w:rsid w:val="001E59FB"/>
    <w:rsid w:val="001E7F81"/>
    <w:rsid w:val="001F066F"/>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1F6"/>
    <w:rsid w:val="00211A94"/>
    <w:rsid w:val="002126F2"/>
    <w:rsid w:val="00213478"/>
    <w:rsid w:val="00214028"/>
    <w:rsid w:val="002141C3"/>
    <w:rsid w:val="002141DC"/>
    <w:rsid w:val="0021440C"/>
    <w:rsid w:val="00214479"/>
    <w:rsid w:val="002144F3"/>
    <w:rsid w:val="002146C3"/>
    <w:rsid w:val="00215334"/>
    <w:rsid w:val="00215514"/>
    <w:rsid w:val="00215708"/>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3CF"/>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A9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2FEF"/>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37"/>
    <w:rsid w:val="0027244F"/>
    <w:rsid w:val="00272D14"/>
    <w:rsid w:val="00273052"/>
    <w:rsid w:val="002739CE"/>
    <w:rsid w:val="00273C5F"/>
    <w:rsid w:val="002741D4"/>
    <w:rsid w:val="002743AC"/>
    <w:rsid w:val="0027499D"/>
    <w:rsid w:val="002751CA"/>
    <w:rsid w:val="0027544D"/>
    <w:rsid w:val="00277196"/>
    <w:rsid w:val="002775ED"/>
    <w:rsid w:val="002778AB"/>
    <w:rsid w:val="002802A5"/>
    <w:rsid w:val="002806C8"/>
    <w:rsid w:val="00280CFB"/>
    <w:rsid w:val="00280D24"/>
    <w:rsid w:val="002815C4"/>
    <w:rsid w:val="00281BCB"/>
    <w:rsid w:val="00281C76"/>
    <w:rsid w:val="0028316D"/>
    <w:rsid w:val="00283296"/>
    <w:rsid w:val="0028517D"/>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1C"/>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54"/>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B40"/>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A7B"/>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8DD"/>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7FA"/>
    <w:rsid w:val="00344BBF"/>
    <w:rsid w:val="0034509B"/>
    <w:rsid w:val="00345644"/>
    <w:rsid w:val="00345D0E"/>
    <w:rsid w:val="00345D7A"/>
    <w:rsid w:val="0034607E"/>
    <w:rsid w:val="003460F7"/>
    <w:rsid w:val="00346A96"/>
    <w:rsid w:val="00346B6D"/>
    <w:rsid w:val="00346BA3"/>
    <w:rsid w:val="00346C69"/>
    <w:rsid w:val="00347356"/>
    <w:rsid w:val="0035005C"/>
    <w:rsid w:val="00350896"/>
    <w:rsid w:val="00350C31"/>
    <w:rsid w:val="00350C9F"/>
    <w:rsid w:val="00350D9A"/>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28"/>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17F"/>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1DA"/>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69D"/>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5A"/>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3B13"/>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2EB"/>
    <w:rsid w:val="00414909"/>
    <w:rsid w:val="00415034"/>
    <w:rsid w:val="00415B1A"/>
    <w:rsid w:val="00415DFD"/>
    <w:rsid w:val="00416208"/>
    <w:rsid w:val="0041690F"/>
    <w:rsid w:val="004169D3"/>
    <w:rsid w:val="00416C2B"/>
    <w:rsid w:val="00416D41"/>
    <w:rsid w:val="00416E70"/>
    <w:rsid w:val="00417264"/>
    <w:rsid w:val="004178E5"/>
    <w:rsid w:val="004210C0"/>
    <w:rsid w:val="004211DD"/>
    <w:rsid w:val="00421762"/>
    <w:rsid w:val="00421D4B"/>
    <w:rsid w:val="00421ED8"/>
    <w:rsid w:val="00422907"/>
    <w:rsid w:val="00423125"/>
    <w:rsid w:val="00423309"/>
    <w:rsid w:val="004233AD"/>
    <w:rsid w:val="00424446"/>
    <w:rsid w:val="004245B1"/>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103"/>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B1"/>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180"/>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049"/>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45F"/>
    <w:rsid w:val="004B6E50"/>
    <w:rsid w:val="004B728F"/>
    <w:rsid w:val="004B7317"/>
    <w:rsid w:val="004B75B2"/>
    <w:rsid w:val="004B75C6"/>
    <w:rsid w:val="004B7A16"/>
    <w:rsid w:val="004C02C5"/>
    <w:rsid w:val="004C0BF0"/>
    <w:rsid w:val="004C0D40"/>
    <w:rsid w:val="004C0D94"/>
    <w:rsid w:val="004C114F"/>
    <w:rsid w:val="004C11A9"/>
    <w:rsid w:val="004C1DDD"/>
    <w:rsid w:val="004C27CF"/>
    <w:rsid w:val="004C2CA7"/>
    <w:rsid w:val="004C3592"/>
    <w:rsid w:val="004C45C8"/>
    <w:rsid w:val="004C4F8F"/>
    <w:rsid w:val="004C5F4B"/>
    <w:rsid w:val="004C612E"/>
    <w:rsid w:val="004C61B8"/>
    <w:rsid w:val="004C69FE"/>
    <w:rsid w:val="004C6C0A"/>
    <w:rsid w:val="004C6C6D"/>
    <w:rsid w:val="004C6F65"/>
    <w:rsid w:val="004C77FF"/>
    <w:rsid w:val="004C7A0B"/>
    <w:rsid w:val="004C7DB0"/>
    <w:rsid w:val="004C7FFC"/>
    <w:rsid w:val="004D0223"/>
    <w:rsid w:val="004D0C4C"/>
    <w:rsid w:val="004D16A3"/>
    <w:rsid w:val="004D1934"/>
    <w:rsid w:val="004D1E41"/>
    <w:rsid w:val="004D1F9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1F1"/>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2487"/>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097"/>
    <w:rsid w:val="005224BC"/>
    <w:rsid w:val="00522928"/>
    <w:rsid w:val="00522FF1"/>
    <w:rsid w:val="00523946"/>
    <w:rsid w:val="0052397A"/>
    <w:rsid w:val="005256D6"/>
    <w:rsid w:val="005256F4"/>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AC3"/>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2ED1"/>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45C"/>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263"/>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0DC6"/>
    <w:rsid w:val="005F1470"/>
    <w:rsid w:val="005F15A9"/>
    <w:rsid w:val="005F2807"/>
    <w:rsid w:val="005F28B8"/>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180"/>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63"/>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27BA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E6B"/>
    <w:rsid w:val="006628BB"/>
    <w:rsid w:val="00662D3D"/>
    <w:rsid w:val="00662F1F"/>
    <w:rsid w:val="00663D15"/>
    <w:rsid w:val="00664AAD"/>
    <w:rsid w:val="00665030"/>
    <w:rsid w:val="00665670"/>
    <w:rsid w:val="006659EA"/>
    <w:rsid w:val="006661E8"/>
    <w:rsid w:val="00666424"/>
    <w:rsid w:val="0066676C"/>
    <w:rsid w:val="006673B9"/>
    <w:rsid w:val="0066790C"/>
    <w:rsid w:val="00667FF0"/>
    <w:rsid w:val="00670C7C"/>
    <w:rsid w:val="00671480"/>
    <w:rsid w:val="006717E7"/>
    <w:rsid w:val="00671CB9"/>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64"/>
    <w:rsid w:val="006C46C7"/>
    <w:rsid w:val="006C4767"/>
    <w:rsid w:val="006C4A1A"/>
    <w:rsid w:val="006C4D02"/>
    <w:rsid w:val="006C53A4"/>
    <w:rsid w:val="006C54DF"/>
    <w:rsid w:val="006C5D5D"/>
    <w:rsid w:val="006C627E"/>
    <w:rsid w:val="006C6303"/>
    <w:rsid w:val="006C6A51"/>
    <w:rsid w:val="006C6EBD"/>
    <w:rsid w:val="006C75C9"/>
    <w:rsid w:val="006C7E04"/>
    <w:rsid w:val="006C7F79"/>
    <w:rsid w:val="006D0004"/>
    <w:rsid w:val="006D015F"/>
    <w:rsid w:val="006D060E"/>
    <w:rsid w:val="006D0681"/>
    <w:rsid w:val="006D0A80"/>
    <w:rsid w:val="006D0AE8"/>
    <w:rsid w:val="006D135C"/>
    <w:rsid w:val="006D2F72"/>
    <w:rsid w:val="006D43C1"/>
    <w:rsid w:val="006D465F"/>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391"/>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6FB3"/>
    <w:rsid w:val="00707967"/>
    <w:rsid w:val="00710257"/>
    <w:rsid w:val="00710587"/>
    <w:rsid w:val="0071078A"/>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27DEA"/>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761"/>
    <w:rsid w:val="007444E6"/>
    <w:rsid w:val="0074592C"/>
    <w:rsid w:val="00745C91"/>
    <w:rsid w:val="00746098"/>
    <w:rsid w:val="00746D58"/>
    <w:rsid w:val="00747578"/>
    <w:rsid w:val="00750A94"/>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61"/>
    <w:rsid w:val="007778AE"/>
    <w:rsid w:val="00780032"/>
    <w:rsid w:val="00780636"/>
    <w:rsid w:val="00780822"/>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09E"/>
    <w:rsid w:val="00794158"/>
    <w:rsid w:val="007943CE"/>
    <w:rsid w:val="00794509"/>
    <w:rsid w:val="00794E46"/>
    <w:rsid w:val="007952DE"/>
    <w:rsid w:val="00795479"/>
    <w:rsid w:val="00796292"/>
    <w:rsid w:val="007965D9"/>
    <w:rsid w:val="00796BA2"/>
    <w:rsid w:val="007972D5"/>
    <w:rsid w:val="0079778D"/>
    <w:rsid w:val="00797D73"/>
    <w:rsid w:val="007A006C"/>
    <w:rsid w:val="007A0789"/>
    <w:rsid w:val="007A11DF"/>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3F80"/>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3E5"/>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141"/>
    <w:rsid w:val="007D445F"/>
    <w:rsid w:val="007D4DED"/>
    <w:rsid w:val="007D5BA2"/>
    <w:rsid w:val="007D5ED3"/>
    <w:rsid w:val="007D682F"/>
    <w:rsid w:val="007D6FB9"/>
    <w:rsid w:val="007D6FFA"/>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1"/>
    <w:rsid w:val="00801D63"/>
    <w:rsid w:val="00803443"/>
    <w:rsid w:val="0080348B"/>
    <w:rsid w:val="00803D82"/>
    <w:rsid w:val="00803D98"/>
    <w:rsid w:val="00804D71"/>
    <w:rsid w:val="008052CE"/>
    <w:rsid w:val="0080548A"/>
    <w:rsid w:val="008058D0"/>
    <w:rsid w:val="00805965"/>
    <w:rsid w:val="00806A4C"/>
    <w:rsid w:val="0080705B"/>
    <w:rsid w:val="0080723C"/>
    <w:rsid w:val="00807F71"/>
    <w:rsid w:val="0081000F"/>
    <w:rsid w:val="0081137A"/>
    <w:rsid w:val="00812657"/>
    <w:rsid w:val="00812A1A"/>
    <w:rsid w:val="00812DFF"/>
    <w:rsid w:val="008135BD"/>
    <w:rsid w:val="0081362F"/>
    <w:rsid w:val="00813824"/>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403"/>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AF8"/>
    <w:rsid w:val="00845B14"/>
    <w:rsid w:val="008465B4"/>
    <w:rsid w:val="00846D25"/>
    <w:rsid w:val="00850013"/>
    <w:rsid w:val="008500DD"/>
    <w:rsid w:val="00850A0A"/>
    <w:rsid w:val="00850A94"/>
    <w:rsid w:val="00851E96"/>
    <w:rsid w:val="00851F1C"/>
    <w:rsid w:val="00852C6D"/>
    <w:rsid w:val="00852FA5"/>
    <w:rsid w:val="00853F7D"/>
    <w:rsid w:val="00855021"/>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4B"/>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2E3"/>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0D2F"/>
    <w:rsid w:val="0089122E"/>
    <w:rsid w:val="008912A7"/>
    <w:rsid w:val="0089183A"/>
    <w:rsid w:val="008920B4"/>
    <w:rsid w:val="008925EB"/>
    <w:rsid w:val="0089275E"/>
    <w:rsid w:val="00892B43"/>
    <w:rsid w:val="00893432"/>
    <w:rsid w:val="00893936"/>
    <w:rsid w:val="00893CE2"/>
    <w:rsid w:val="00893F41"/>
    <w:rsid w:val="00895144"/>
    <w:rsid w:val="00895355"/>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242"/>
    <w:rsid w:val="008D3381"/>
    <w:rsid w:val="008D33FE"/>
    <w:rsid w:val="008D3B9F"/>
    <w:rsid w:val="008D3D02"/>
    <w:rsid w:val="008D3D5A"/>
    <w:rsid w:val="008D4226"/>
    <w:rsid w:val="008D4D7C"/>
    <w:rsid w:val="008D5432"/>
    <w:rsid w:val="008D54C0"/>
    <w:rsid w:val="008D5558"/>
    <w:rsid w:val="008D555E"/>
    <w:rsid w:val="008D5806"/>
    <w:rsid w:val="008D5ED9"/>
    <w:rsid w:val="008D7247"/>
    <w:rsid w:val="008D7567"/>
    <w:rsid w:val="008E081B"/>
    <w:rsid w:val="008E0EE4"/>
    <w:rsid w:val="008E12BE"/>
    <w:rsid w:val="008E13FD"/>
    <w:rsid w:val="008E1C24"/>
    <w:rsid w:val="008E2626"/>
    <w:rsid w:val="008E27A9"/>
    <w:rsid w:val="008E314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0B5"/>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46E"/>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638"/>
    <w:rsid w:val="009609AF"/>
    <w:rsid w:val="00960DE4"/>
    <w:rsid w:val="00960E5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C0A"/>
    <w:rsid w:val="009A5FAE"/>
    <w:rsid w:val="009A677E"/>
    <w:rsid w:val="009A6B3A"/>
    <w:rsid w:val="009A70A3"/>
    <w:rsid w:val="009A713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B24"/>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7F7"/>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C7E"/>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3FB"/>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CD"/>
    <w:rsid w:val="00A63685"/>
    <w:rsid w:val="00A63EA5"/>
    <w:rsid w:val="00A64545"/>
    <w:rsid w:val="00A645AC"/>
    <w:rsid w:val="00A64C79"/>
    <w:rsid w:val="00A65EFB"/>
    <w:rsid w:val="00A66E28"/>
    <w:rsid w:val="00A67429"/>
    <w:rsid w:val="00A677E7"/>
    <w:rsid w:val="00A67CE9"/>
    <w:rsid w:val="00A67F6D"/>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696F"/>
    <w:rsid w:val="00A772F2"/>
    <w:rsid w:val="00A77828"/>
    <w:rsid w:val="00A77BAA"/>
    <w:rsid w:val="00A800F9"/>
    <w:rsid w:val="00A803A6"/>
    <w:rsid w:val="00A8073D"/>
    <w:rsid w:val="00A80D02"/>
    <w:rsid w:val="00A815FB"/>
    <w:rsid w:val="00A81AEB"/>
    <w:rsid w:val="00A82D32"/>
    <w:rsid w:val="00A82EAE"/>
    <w:rsid w:val="00A82FC7"/>
    <w:rsid w:val="00A847F9"/>
    <w:rsid w:val="00A84D2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12A"/>
    <w:rsid w:val="00AA634D"/>
    <w:rsid w:val="00AA6F6C"/>
    <w:rsid w:val="00AA721D"/>
    <w:rsid w:val="00AA7519"/>
    <w:rsid w:val="00AA790A"/>
    <w:rsid w:val="00AB02EA"/>
    <w:rsid w:val="00AB0D81"/>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BDC"/>
    <w:rsid w:val="00AD2AB1"/>
    <w:rsid w:val="00AD3132"/>
    <w:rsid w:val="00AD3DA6"/>
    <w:rsid w:val="00AD3EDE"/>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218"/>
    <w:rsid w:val="00AE4546"/>
    <w:rsid w:val="00AE6575"/>
    <w:rsid w:val="00AE71EE"/>
    <w:rsid w:val="00AE7368"/>
    <w:rsid w:val="00AF03CF"/>
    <w:rsid w:val="00AF0A0A"/>
    <w:rsid w:val="00AF14FC"/>
    <w:rsid w:val="00AF1ED2"/>
    <w:rsid w:val="00AF1F4E"/>
    <w:rsid w:val="00AF2302"/>
    <w:rsid w:val="00AF262A"/>
    <w:rsid w:val="00AF3557"/>
    <w:rsid w:val="00AF3C5A"/>
    <w:rsid w:val="00AF3F86"/>
    <w:rsid w:val="00AF4CEE"/>
    <w:rsid w:val="00AF4F4A"/>
    <w:rsid w:val="00AF584C"/>
    <w:rsid w:val="00AF5D84"/>
    <w:rsid w:val="00AF6476"/>
    <w:rsid w:val="00AF654A"/>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D86"/>
    <w:rsid w:val="00B1767E"/>
    <w:rsid w:val="00B20760"/>
    <w:rsid w:val="00B2125C"/>
    <w:rsid w:val="00B21676"/>
    <w:rsid w:val="00B219E1"/>
    <w:rsid w:val="00B21ECF"/>
    <w:rsid w:val="00B22150"/>
    <w:rsid w:val="00B226DE"/>
    <w:rsid w:val="00B22FB5"/>
    <w:rsid w:val="00B23B2C"/>
    <w:rsid w:val="00B241D5"/>
    <w:rsid w:val="00B24BE9"/>
    <w:rsid w:val="00B254CD"/>
    <w:rsid w:val="00B2551D"/>
    <w:rsid w:val="00B25F8C"/>
    <w:rsid w:val="00B260BE"/>
    <w:rsid w:val="00B2644B"/>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6D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8E4"/>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260"/>
    <w:rsid w:val="00B7543D"/>
    <w:rsid w:val="00B755B6"/>
    <w:rsid w:val="00B75977"/>
    <w:rsid w:val="00B75A48"/>
    <w:rsid w:val="00B75CC0"/>
    <w:rsid w:val="00B76021"/>
    <w:rsid w:val="00B76C12"/>
    <w:rsid w:val="00B76FCD"/>
    <w:rsid w:val="00B76FFF"/>
    <w:rsid w:val="00B7764D"/>
    <w:rsid w:val="00B776D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2C7"/>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37"/>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75"/>
    <w:rsid w:val="00BE7F4D"/>
    <w:rsid w:val="00BF03C0"/>
    <w:rsid w:val="00BF0EBF"/>
    <w:rsid w:val="00BF1534"/>
    <w:rsid w:val="00BF2021"/>
    <w:rsid w:val="00BF21D4"/>
    <w:rsid w:val="00BF2DDC"/>
    <w:rsid w:val="00BF32DE"/>
    <w:rsid w:val="00BF4A15"/>
    <w:rsid w:val="00BF4E0E"/>
    <w:rsid w:val="00BF4E27"/>
    <w:rsid w:val="00BF4F7C"/>
    <w:rsid w:val="00BF537B"/>
    <w:rsid w:val="00BF5849"/>
    <w:rsid w:val="00BF5901"/>
    <w:rsid w:val="00BF626A"/>
    <w:rsid w:val="00BF688E"/>
    <w:rsid w:val="00BF6D77"/>
    <w:rsid w:val="00BF704C"/>
    <w:rsid w:val="00BF739A"/>
    <w:rsid w:val="00BF7EF5"/>
    <w:rsid w:val="00C00BF6"/>
    <w:rsid w:val="00C01146"/>
    <w:rsid w:val="00C01427"/>
    <w:rsid w:val="00C0234A"/>
    <w:rsid w:val="00C0247B"/>
    <w:rsid w:val="00C0378E"/>
    <w:rsid w:val="00C04314"/>
    <w:rsid w:val="00C049E1"/>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AC9"/>
    <w:rsid w:val="00C12ECB"/>
    <w:rsid w:val="00C148B2"/>
    <w:rsid w:val="00C14ABD"/>
    <w:rsid w:val="00C151E0"/>
    <w:rsid w:val="00C155A8"/>
    <w:rsid w:val="00C159FD"/>
    <w:rsid w:val="00C15B31"/>
    <w:rsid w:val="00C15F66"/>
    <w:rsid w:val="00C1604F"/>
    <w:rsid w:val="00C166D4"/>
    <w:rsid w:val="00C168E5"/>
    <w:rsid w:val="00C1696D"/>
    <w:rsid w:val="00C16C90"/>
    <w:rsid w:val="00C173A5"/>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382"/>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A4C"/>
    <w:rsid w:val="00C51B04"/>
    <w:rsid w:val="00C51DB5"/>
    <w:rsid w:val="00C53CE9"/>
    <w:rsid w:val="00C5531B"/>
    <w:rsid w:val="00C55375"/>
    <w:rsid w:val="00C5570F"/>
    <w:rsid w:val="00C56C98"/>
    <w:rsid w:val="00C56DE1"/>
    <w:rsid w:val="00C56DEE"/>
    <w:rsid w:val="00C57120"/>
    <w:rsid w:val="00C571D5"/>
    <w:rsid w:val="00C575D4"/>
    <w:rsid w:val="00C611D8"/>
    <w:rsid w:val="00C61223"/>
    <w:rsid w:val="00C61246"/>
    <w:rsid w:val="00C618A8"/>
    <w:rsid w:val="00C61A1A"/>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1BDE"/>
    <w:rsid w:val="00CB2913"/>
    <w:rsid w:val="00CB3266"/>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990"/>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727"/>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4AC"/>
    <w:rsid w:val="00CF475F"/>
    <w:rsid w:val="00CF5008"/>
    <w:rsid w:val="00CF5069"/>
    <w:rsid w:val="00CF5E34"/>
    <w:rsid w:val="00CF6707"/>
    <w:rsid w:val="00CF7101"/>
    <w:rsid w:val="00CF7327"/>
    <w:rsid w:val="00CF7385"/>
    <w:rsid w:val="00CF7539"/>
    <w:rsid w:val="00CF75C6"/>
    <w:rsid w:val="00CF7B77"/>
    <w:rsid w:val="00CF7DF5"/>
    <w:rsid w:val="00CF7EEF"/>
    <w:rsid w:val="00D001D2"/>
    <w:rsid w:val="00D00970"/>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0C5C"/>
    <w:rsid w:val="00D11FE3"/>
    <w:rsid w:val="00D12393"/>
    <w:rsid w:val="00D12945"/>
    <w:rsid w:val="00D12C86"/>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8D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293"/>
    <w:rsid w:val="00D5064C"/>
    <w:rsid w:val="00D50C94"/>
    <w:rsid w:val="00D511E7"/>
    <w:rsid w:val="00D517ED"/>
    <w:rsid w:val="00D5251C"/>
    <w:rsid w:val="00D52F56"/>
    <w:rsid w:val="00D539DA"/>
    <w:rsid w:val="00D54A50"/>
    <w:rsid w:val="00D54FFD"/>
    <w:rsid w:val="00D55110"/>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4C78"/>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0B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A88"/>
    <w:rsid w:val="00D9384E"/>
    <w:rsid w:val="00D93AEE"/>
    <w:rsid w:val="00D93BDE"/>
    <w:rsid w:val="00D9413E"/>
    <w:rsid w:val="00D94C8D"/>
    <w:rsid w:val="00D95F88"/>
    <w:rsid w:val="00D96698"/>
    <w:rsid w:val="00D96876"/>
    <w:rsid w:val="00D96940"/>
    <w:rsid w:val="00D96B12"/>
    <w:rsid w:val="00D96F59"/>
    <w:rsid w:val="00D9705A"/>
    <w:rsid w:val="00DA0175"/>
    <w:rsid w:val="00DA099C"/>
    <w:rsid w:val="00DA0E91"/>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30"/>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8B3"/>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180"/>
    <w:rsid w:val="00DE466B"/>
    <w:rsid w:val="00DE48F4"/>
    <w:rsid w:val="00DE5563"/>
    <w:rsid w:val="00DE5C19"/>
    <w:rsid w:val="00DE5D48"/>
    <w:rsid w:val="00DE6157"/>
    <w:rsid w:val="00DE6E4D"/>
    <w:rsid w:val="00DE7498"/>
    <w:rsid w:val="00DE75EF"/>
    <w:rsid w:val="00DE7611"/>
    <w:rsid w:val="00DE7B20"/>
    <w:rsid w:val="00DE7D19"/>
    <w:rsid w:val="00DF04F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DF774C"/>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949"/>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EF9"/>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C8E"/>
    <w:rsid w:val="00E5352D"/>
    <w:rsid w:val="00E5448E"/>
    <w:rsid w:val="00E54E0D"/>
    <w:rsid w:val="00E55247"/>
    <w:rsid w:val="00E558E5"/>
    <w:rsid w:val="00E55B3C"/>
    <w:rsid w:val="00E55B5C"/>
    <w:rsid w:val="00E56795"/>
    <w:rsid w:val="00E56EC6"/>
    <w:rsid w:val="00E57932"/>
    <w:rsid w:val="00E606C4"/>
    <w:rsid w:val="00E60811"/>
    <w:rsid w:val="00E60AB8"/>
    <w:rsid w:val="00E6103E"/>
    <w:rsid w:val="00E6107C"/>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891"/>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0FC"/>
    <w:rsid w:val="00EB4DEE"/>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A0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994"/>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6BA"/>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1CA"/>
    <w:rsid w:val="00F3265C"/>
    <w:rsid w:val="00F32C4A"/>
    <w:rsid w:val="00F33262"/>
    <w:rsid w:val="00F343EE"/>
    <w:rsid w:val="00F353F4"/>
    <w:rsid w:val="00F35494"/>
    <w:rsid w:val="00F35607"/>
    <w:rsid w:val="00F356F4"/>
    <w:rsid w:val="00F359AB"/>
    <w:rsid w:val="00F35DBA"/>
    <w:rsid w:val="00F3619D"/>
    <w:rsid w:val="00F366B9"/>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336"/>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30"/>
    <w:rsid w:val="00F54E5E"/>
    <w:rsid w:val="00F551DB"/>
    <w:rsid w:val="00F55810"/>
    <w:rsid w:val="00F559BE"/>
    <w:rsid w:val="00F56571"/>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4F64"/>
    <w:rsid w:val="00F652BE"/>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1A2"/>
    <w:rsid w:val="00F97A34"/>
    <w:rsid w:val="00F97E4A"/>
    <w:rsid w:val="00F97EA1"/>
    <w:rsid w:val="00FA003A"/>
    <w:rsid w:val="00FA05C8"/>
    <w:rsid w:val="00FA05E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3FC2"/>
    <w:rsid w:val="00FB5138"/>
    <w:rsid w:val="00FB547F"/>
    <w:rsid w:val="00FB5A71"/>
    <w:rsid w:val="00FB63F6"/>
    <w:rsid w:val="00FB7823"/>
    <w:rsid w:val="00FC05B2"/>
    <w:rsid w:val="00FC08B3"/>
    <w:rsid w:val="00FC09D7"/>
    <w:rsid w:val="00FC0ABE"/>
    <w:rsid w:val="00FC1269"/>
    <w:rsid w:val="00FC1981"/>
    <w:rsid w:val="00FC22D0"/>
    <w:rsid w:val="00FC2B7B"/>
    <w:rsid w:val="00FC38D4"/>
    <w:rsid w:val="00FC391E"/>
    <w:rsid w:val="00FC39B3"/>
    <w:rsid w:val="00FC3BB7"/>
    <w:rsid w:val="00FC3D95"/>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6C6"/>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454"/>
    <w:rsid w:val="00FF0B4F"/>
    <w:rsid w:val="00FF0F58"/>
    <w:rsid w:val="00FF183C"/>
    <w:rsid w:val="00FF1A06"/>
    <w:rsid w:val="00FF1AD3"/>
    <w:rsid w:val="00FF1B46"/>
    <w:rsid w:val="00FF219D"/>
    <w:rsid w:val="00FF2A7B"/>
    <w:rsid w:val="00FF3D2B"/>
    <w:rsid w:val="00FF49B4"/>
    <w:rsid w:val="00FF49F4"/>
    <w:rsid w:val="00FF564D"/>
    <w:rsid w:val="00FF5C6A"/>
    <w:rsid w:val="00FF651D"/>
    <w:rsid w:val="00FF6843"/>
    <w:rsid w:val="00FF6C25"/>
    <w:rsid w:val="010651D9"/>
    <w:rsid w:val="011F6449"/>
    <w:rsid w:val="01236AFB"/>
    <w:rsid w:val="019F7441"/>
    <w:rsid w:val="01B37585"/>
    <w:rsid w:val="01C65DA5"/>
    <w:rsid w:val="01D55165"/>
    <w:rsid w:val="01DF6BF8"/>
    <w:rsid w:val="01E70DB5"/>
    <w:rsid w:val="01EC2C57"/>
    <w:rsid w:val="025F0711"/>
    <w:rsid w:val="026B2E25"/>
    <w:rsid w:val="02824D4D"/>
    <w:rsid w:val="02A10DA1"/>
    <w:rsid w:val="02DC4B10"/>
    <w:rsid w:val="02DD76CE"/>
    <w:rsid w:val="02F36323"/>
    <w:rsid w:val="02F5619C"/>
    <w:rsid w:val="0326446A"/>
    <w:rsid w:val="032D5555"/>
    <w:rsid w:val="036634D2"/>
    <w:rsid w:val="03A27858"/>
    <w:rsid w:val="03DD35E4"/>
    <w:rsid w:val="03F040A4"/>
    <w:rsid w:val="04076900"/>
    <w:rsid w:val="041A5A3B"/>
    <w:rsid w:val="042311BA"/>
    <w:rsid w:val="042B157A"/>
    <w:rsid w:val="04330D71"/>
    <w:rsid w:val="048F763B"/>
    <w:rsid w:val="049F330E"/>
    <w:rsid w:val="04AA775C"/>
    <w:rsid w:val="04AF1889"/>
    <w:rsid w:val="04C64E6C"/>
    <w:rsid w:val="04F66F48"/>
    <w:rsid w:val="05251E14"/>
    <w:rsid w:val="05A16594"/>
    <w:rsid w:val="05A7762D"/>
    <w:rsid w:val="060E5941"/>
    <w:rsid w:val="06110FAF"/>
    <w:rsid w:val="061E21DC"/>
    <w:rsid w:val="06493CA7"/>
    <w:rsid w:val="065A6178"/>
    <w:rsid w:val="066F1CF3"/>
    <w:rsid w:val="06930BB8"/>
    <w:rsid w:val="07245D42"/>
    <w:rsid w:val="07264C62"/>
    <w:rsid w:val="0779354C"/>
    <w:rsid w:val="07A46B95"/>
    <w:rsid w:val="08061376"/>
    <w:rsid w:val="08452D77"/>
    <w:rsid w:val="086401F8"/>
    <w:rsid w:val="08661343"/>
    <w:rsid w:val="08751CAA"/>
    <w:rsid w:val="087E4C40"/>
    <w:rsid w:val="08923AEE"/>
    <w:rsid w:val="08A871D0"/>
    <w:rsid w:val="08D66AD6"/>
    <w:rsid w:val="08DA33A3"/>
    <w:rsid w:val="08E80F13"/>
    <w:rsid w:val="09187C60"/>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C0DEC"/>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084140"/>
    <w:rsid w:val="12255233"/>
    <w:rsid w:val="12437C74"/>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B4878"/>
    <w:rsid w:val="154A6454"/>
    <w:rsid w:val="15762120"/>
    <w:rsid w:val="16A8729C"/>
    <w:rsid w:val="16B33777"/>
    <w:rsid w:val="16BC70A7"/>
    <w:rsid w:val="16C6339E"/>
    <w:rsid w:val="16D8458B"/>
    <w:rsid w:val="172F2D79"/>
    <w:rsid w:val="17557BEF"/>
    <w:rsid w:val="17D349C1"/>
    <w:rsid w:val="17F83142"/>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646BF6"/>
    <w:rsid w:val="1F904124"/>
    <w:rsid w:val="1FE868A9"/>
    <w:rsid w:val="20034907"/>
    <w:rsid w:val="20173E4B"/>
    <w:rsid w:val="204E48BC"/>
    <w:rsid w:val="205D3338"/>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B299E"/>
    <w:rsid w:val="271D34C8"/>
    <w:rsid w:val="276142BF"/>
    <w:rsid w:val="27783712"/>
    <w:rsid w:val="27907362"/>
    <w:rsid w:val="28333E1D"/>
    <w:rsid w:val="28454BD6"/>
    <w:rsid w:val="28455253"/>
    <w:rsid w:val="28551971"/>
    <w:rsid w:val="285B1C53"/>
    <w:rsid w:val="289F7086"/>
    <w:rsid w:val="28C32028"/>
    <w:rsid w:val="28CC490F"/>
    <w:rsid w:val="28DE40AA"/>
    <w:rsid w:val="291445DD"/>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5621C8"/>
    <w:rsid w:val="2F946CCB"/>
    <w:rsid w:val="2FD25781"/>
    <w:rsid w:val="2FDC745C"/>
    <w:rsid w:val="2FFD7934"/>
    <w:rsid w:val="30733ACD"/>
    <w:rsid w:val="308C3862"/>
    <w:rsid w:val="309379D8"/>
    <w:rsid w:val="30A270F7"/>
    <w:rsid w:val="30DF1478"/>
    <w:rsid w:val="30EC586F"/>
    <w:rsid w:val="319C6071"/>
    <w:rsid w:val="31A11ECE"/>
    <w:rsid w:val="31AC537E"/>
    <w:rsid w:val="31E3679B"/>
    <w:rsid w:val="31E732FD"/>
    <w:rsid w:val="32517576"/>
    <w:rsid w:val="32BE5C2C"/>
    <w:rsid w:val="32C27EE3"/>
    <w:rsid w:val="32D63C1D"/>
    <w:rsid w:val="32FB6478"/>
    <w:rsid w:val="332410BB"/>
    <w:rsid w:val="33263B3F"/>
    <w:rsid w:val="336963EB"/>
    <w:rsid w:val="33816EEB"/>
    <w:rsid w:val="33EB55CD"/>
    <w:rsid w:val="33EC4C02"/>
    <w:rsid w:val="340D2360"/>
    <w:rsid w:val="3410665D"/>
    <w:rsid w:val="34211214"/>
    <w:rsid w:val="342E63AB"/>
    <w:rsid w:val="344F264A"/>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53784"/>
    <w:rsid w:val="373F410B"/>
    <w:rsid w:val="37EE7094"/>
    <w:rsid w:val="38296C89"/>
    <w:rsid w:val="383002EB"/>
    <w:rsid w:val="38586797"/>
    <w:rsid w:val="38BC0149"/>
    <w:rsid w:val="38D87D1C"/>
    <w:rsid w:val="39636459"/>
    <w:rsid w:val="396B7F6C"/>
    <w:rsid w:val="39B417A9"/>
    <w:rsid w:val="39FC5695"/>
    <w:rsid w:val="3A006D8E"/>
    <w:rsid w:val="3A204F94"/>
    <w:rsid w:val="3A3651E5"/>
    <w:rsid w:val="3A744481"/>
    <w:rsid w:val="3A8C7BEF"/>
    <w:rsid w:val="3A906246"/>
    <w:rsid w:val="3ADB1C7A"/>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6176D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27FD1"/>
    <w:rsid w:val="43C77C27"/>
    <w:rsid w:val="43DE09EE"/>
    <w:rsid w:val="44002FAD"/>
    <w:rsid w:val="441C37AA"/>
    <w:rsid w:val="444E18F2"/>
    <w:rsid w:val="449101DD"/>
    <w:rsid w:val="44D515C0"/>
    <w:rsid w:val="44DE1391"/>
    <w:rsid w:val="451B225C"/>
    <w:rsid w:val="452410C9"/>
    <w:rsid w:val="45317DFB"/>
    <w:rsid w:val="456D3CE4"/>
    <w:rsid w:val="4579042C"/>
    <w:rsid w:val="457F0571"/>
    <w:rsid w:val="45851176"/>
    <w:rsid w:val="45C55BC2"/>
    <w:rsid w:val="45C63B94"/>
    <w:rsid w:val="45E43F70"/>
    <w:rsid w:val="460E7DA5"/>
    <w:rsid w:val="46422483"/>
    <w:rsid w:val="4659254A"/>
    <w:rsid w:val="465B0637"/>
    <w:rsid w:val="465E3F0D"/>
    <w:rsid w:val="466A16E6"/>
    <w:rsid w:val="46893F2B"/>
    <w:rsid w:val="46C444E6"/>
    <w:rsid w:val="46C4686E"/>
    <w:rsid w:val="477B778F"/>
    <w:rsid w:val="478203EC"/>
    <w:rsid w:val="47B025FA"/>
    <w:rsid w:val="4809698F"/>
    <w:rsid w:val="4811697D"/>
    <w:rsid w:val="487A3E25"/>
    <w:rsid w:val="488B5503"/>
    <w:rsid w:val="48937E21"/>
    <w:rsid w:val="489A0361"/>
    <w:rsid w:val="48A8102D"/>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2060E"/>
    <w:rsid w:val="4AB82D0F"/>
    <w:rsid w:val="4AEB7664"/>
    <w:rsid w:val="4AFD7C19"/>
    <w:rsid w:val="4B0567D1"/>
    <w:rsid w:val="4B236AAE"/>
    <w:rsid w:val="4B2F799D"/>
    <w:rsid w:val="4B707271"/>
    <w:rsid w:val="4B9739F7"/>
    <w:rsid w:val="4BEE2503"/>
    <w:rsid w:val="4BF727EA"/>
    <w:rsid w:val="4C245A30"/>
    <w:rsid w:val="4CB6685F"/>
    <w:rsid w:val="4CC367FE"/>
    <w:rsid w:val="4D077F3C"/>
    <w:rsid w:val="4D123355"/>
    <w:rsid w:val="4D2A3B31"/>
    <w:rsid w:val="4D312C52"/>
    <w:rsid w:val="4D905305"/>
    <w:rsid w:val="4D964A72"/>
    <w:rsid w:val="4D9C1254"/>
    <w:rsid w:val="4D9E5B15"/>
    <w:rsid w:val="4E793892"/>
    <w:rsid w:val="4E800872"/>
    <w:rsid w:val="4EC569ED"/>
    <w:rsid w:val="4ED50EA1"/>
    <w:rsid w:val="4EEC050C"/>
    <w:rsid w:val="4F104EC3"/>
    <w:rsid w:val="4F47354A"/>
    <w:rsid w:val="4F911C54"/>
    <w:rsid w:val="4FE625E0"/>
    <w:rsid w:val="5021480F"/>
    <w:rsid w:val="505C30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1A366F"/>
    <w:rsid w:val="534C1537"/>
    <w:rsid w:val="53544462"/>
    <w:rsid w:val="5397158E"/>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002B6"/>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1E26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843A1C"/>
    <w:rsid w:val="5B873E3F"/>
    <w:rsid w:val="5C02690E"/>
    <w:rsid w:val="5C196DA7"/>
    <w:rsid w:val="5C2A048C"/>
    <w:rsid w:val="5C4D2220"/>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3E15D3"/>
    <w:rsid w:val="69627681"/>
    <w:rsid w:val="6977531D"/>
    <w:rsid w:val="698336F8"/>
    <w:rsid w:val="69CC2BFF"/>
    <w:rsid w:val="69FD55B8"/>
    <w:rsid w:val="6A0B1C62"/>
    <w:rsid w:val="6A2406C8"/>
    <w:rsid w:val="6A3B7666"/>
    <w:rsid w:val="6A9A1ADF"/>
    <w:rsid w:val="6ADE0BD1"/>
    <w:rsid w:val="6AE81378"/>
    <w:rsid w:val="6AE96859"/>
    <w:rsid w:val="6B147746"/>
    <w:rsid w:val="6B24787C"/>
    <w:rsid w:val="6B573233"/>
    <w:rsid w:val="6B5B6274"/>
    <w:rsid w:val="6B935D53"/>
    <w:rsid w:val="6BF370E7"/>
    <w:rsid w:val="6C1316F7"/>
    <w:rsid w:val="6C196F71"/>
    <w:rsid w:val="6C226FCB"/>
    <w:rsid w:val="6C31226F"/>
    <w:rsid w:val="6C517EC7"/>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48279F"/>
    <w:rsid w:val="71D43752"/>
    <w:rsid w:val="71F1796A"/>
    <w:rsid w:val="71FB63D5"/>
    <w:rsid w:val="72154626"/>
    <w:rsid w:val="72262B5D"/>
    <w:rsid w:val="72283FF7"/>
    <w:rsid w:val="722E7212"/>
    <w:rsid w:val="723A0474"/>
    <w:rsid w:val="725923E4"/>
    <w:rsid w:val="72864BF7"/>
    <w:rsid w:val="729023FC"/>
    <w:rsid w:val="73C0646E"/>
    <w:rsid w:val="742222F5"/>
    <w:rsid w:val="74476126"/>
    <w:rsid w:val="744A10D5"/>
    <w:rsid w:val="74706664"/>
    <w:rsid w:val="747F3682"/>
    <w:rsid w:val="749C4185"/>
    <w:rsid w:val="75067759"/>
    <w:rsid w:val="752E6DCD"/>
    <w:rsid w:val="7551380D"/>
    <w:rsid w:val="755D394A"/>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36DC3"/>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A2F92"/>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64F7"/>
    <w:rsid w:val="7CE27788"/>
    <w:rsid w:val="7D0C32F1"/>
    <w:rsid w:val="7D0F408D"/>
    <w:rsid w:val="7D491C6C"/>
    <w:rsid w:val="7D5429C0"/>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BB7FA927"/>
    <w:rsid w:val="EFF72F48"/>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customStyle="1" w:styleId="2">
    <w:name w:val="正文空2字"/>
    <w:basedOn w:val="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
    <w:name w:val="左对齐正文"/>
    <w:qFormat/>
    <w:uiPriority w:val="99"/>
    <w:rPr>
      <w:rFonts w:ascii="Calibri" w:hAnsi="Calibri" w:eastAsia="仿宋_GB2312" w:cs="Calibri"/>
      <w:kern w:val="2"/>
      <w:sz w:val="32"/>
      <w:szCs w:val="32"/>
      <w:lang w:val="en-US" w:eastAsia="zh-CN" w:bidi="ar-SA"/>
    </w:rPr>
  </w:style>
  <w:style w:type="paragraph" w:styleId="7">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toa heading"/>
    <w:basedOn w:val="1"/>
    <w:next w:val="1"/>
    <w:qFormat/>
    <w:uiPriority w:val="0"/>
    <w:pPr>
      <w:spacing w:before="120"/>
    </w:pPr>
    <w:rPr>
      <w:rFonts w:ascii="Arial" w:hAnsi="Arial" w:cs="Arial"/>
      <w:sz w:val="24"/>
    </w:rPr>
  </w:style>
  <w:style w:type="paragraph" w:styleId="22">
    <w:name w:val="annotation text"/>
    <w:basedOn w:val="1"/>
    <w:link w:val="345"/>
    <w:qFormat/>
    <w:uiPriority w:val="99"/>
    <w:pPr>
      <w:jc w:val="left"/>
    </w:pPr>
  </w:style>
  <w:style w:type="paragraph" w:styleId="23">
    <w:name w:val="Salutation"/>
    <w:basedOn w:val="1"/>
    <w:next w:val="1"/>
    <w:link w:val="299"/>
    <w:qFormat/>
    <w:uiPriority w:val="0"/>
    <w:rPr>
      <w:rFonts w:ascii="仿宋_GB2312" w:eastAsia="仿宋_GB2312"/>
      <w:sz w:val="28"/>
      <w:szCs w:val="20"/>
    </w:rPr>
  </w:style>
  <w:style w:type="paragraph" w:styleId="24">
    <w:name w:val="Body Text 3"/>
    <w:basedOn w:val="1"/>
    <w:link w:val="33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431"/>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28"/>
    <w:link w:val="322"/>
    <w:qFormat/>
    <w:uiPriority w:val="0"/>
    <w:pPr>
      <w:ind w:firstLine="420"/>
    </w:pPr>
    <w:rPr>
      <w:rFonts w:hAnsi="Calibri" w:cs="Times New Roman"/>
      <w:snapToGrid/>
      <w:szCs w:val="20"/>
    </w:rPr>
  </w:style>
  <w:style w:type="paragraph" w:styleId="28">
    <w:name w:val="toc 6"/>
    <w:basedOn w:val="1"/>
    <w:next w:val="1"/>
    <w:qFormat/>
    <w:uiPriority w:val="0"/>
    <w:pPr>
      <w:ind w:left="2100" w:leftChars="1000"/>
    </w:pPr>
  </w:style>
  <w:style w:type="paragraph" w:styleId="29">
    <w:name w:val="Body Text Indent"/>
    <w:basedOn w:val="1"/>
    <w:next w:val="1"/>
    <w:link w:val="266"/>
    <w:qFormat/>
    <w:uiPriority w:val="0"/>
    <w:pPr>
      <w:spacing w:line="480" w:lineRule="exact"/>
      <w:ind w:firstLine="480" w:firstLineChars="200"/>
    </w:pPr>
    <w:rPr>
      <w:rFonts w:ascii="宋体" w:hAnsi="宋体"/>
      <w:sz w:val="24"/>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link w:val="126"/>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2"/>
    <w:qFormat/>
    <w:uiPriority w:val="0"/>
    <w:pPr>
      <w:ind w:left="100" w:leftChars="2500"/>
    </w:pPr>
    <w:rPr>
      <w:rFonts w:ascii="宋体"/>
      <w:sz w:val="24"/>
      <w:szCs w:val="21"/>
      <w:lang w:val="zh-CN"/>
    </w:rPr>
  </w:style>
  <w:style w:type="paragraph" w:styleId="41">
    <w:name w:val="Body Text Indent 2"/>
    <w:basedOn w:val="1"/>
    <w:link w:val="309"/>
    <w:qFormat/>
    <w:uiPriority w:val="0"/>
    <w:pPr>
      <w:spacing w:line="360" w:lineRule="auto"/>
      <w:ind w:firstLine="601"/>
      <w:textAlignment w:val="baseline"/>
    </w:pPr>
    <w:rPr>
      <w:rFonts w:ascii="宋体"/>
      <w:kern w:val="0"/>
      <w:sz w:val="28"/>
      <w:szCs w:val="20"/>
    </w:rPr>
  </w:style>
  <w:style w:type="paragraph" w:styleId="42">
    <w:name w:val="endnote text"/>
    <w:basedOn w:val="1"/>
    <w:link w:val="933"/>
    <w:qFormat/>
    <w:uiPriority w:val="0"/>
    <w:rPr>
      <w:lang w:val="zh-CN"/>
    </w:rPr>
  </w:style>
  <w:style w:type="paragraph" w:styleId="43">
    <w:name w:val="Balloon Text"/>
    <w:basedOn w:val="1"/>
    <w:link w:val="189"/>
    <w:qFormat/>
    <w:uiPriority w:val="0"/>
    <w:rPr>
      <w:sz w:val="18"/>
      <w:szCs w:val="18"/>
    </w:rPr>
  </w:style>
  <w:style w:type="paragraph" w:styleId="44">
    <w:name w:val="footer"/>
    <w:basedOn w:val="1"/>
    <w:link w:val="384"/>
    <w:qFormat/>
    <w:uiPriority w:val="99"/>
    <w:pPr>
      <w:tabs>
        <w:tab w:val="center" w:pos="4153"/>
        <w:tab w:val="right" w:pos="8306"/>
      </w:tabs>
      <w:snapToGrid w:val="0"/>
      <w:jc w:val="left"/>
    </w:pPr>
    <w:rPr>
      <w:sz w:val="18"/>
      <w:szCs w:val="18"/>
    </w:rPr>
  </w:style>
  <w:style w:type="paragraph" w:styleId="45">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311"/>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6"/>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3"/>
    <w:qFormat/>
    <w:uiPriority w:val="0"/>
    <w:pPr>
      <w:spacing w:after="120" w:line="480" w:lineRule="auto"/>
    </w:pPr>
  </w:style>
  <w:style w:type="paragraph" w:styleId="60">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2"/>
    <w:next w:val="22"/>
    <w:link w:val="97"/>
    <w:qFormat/>
    <w:uiPriority w:val="0"/>
    <w:rPr>
      <w:b/>
      <w:bCs/>
    </w:rPr>
  </w:style>
  <w:style w:type="paragraph" w:styleId="64">
    <w:name w:val="Body Text First Indent 2"/>
    <w:basedOn w:val="29"/>
    <w:link w:val="122"/>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character" w:styleId="82">
    <w:name w:val="footnote reference"/>
    <w:basedOn w:val="72"/>
    <w:qFormat/>
    <w:uiPriority w:val="0"/>
    <w:rPr>
      <w:vertAlign w:val="superscript"/>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3"/>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4"/>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2"/>
    <w:qFormat/>
    <w:uiPriority w:val="0"/>
    <w:rPr>
      <w:rFonts w:ascii="Arial" w:hAnsi="Arial" w:eastAsia="黑体" w:cs="Arial"/>
      <w:snapToGrid w:val="0"/>
      <w:kern w:val="0"/>
      <w:szCs w:val="21"/>
    </w:rPr>
  </w:style>
  <w:style w:type="character" w:customStyle="1" w:styleId="126">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51"/>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40"/>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3"/>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2"/>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4"/>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9">
    <w:name w:val="列出段落1"/>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9"/>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2"/>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3"/>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60"/>
    <w:qFormat/>
    <w:uiPriority w:val="0"/>
    <w:rPr>
      <w:rFonts w:ascii="黑体" w:hAnsi="Courier New" w:eastAsia="黑体"/>
    </w:rPr>
  </w:style>
  <w:style w:type="character" w:customStyle="1" w:styleId="303">
    <w:name w:val="正文文本 2 Char1"/>
    <w:link w:val="59"/>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41"/>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4"/>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27"/>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4"/>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2"/>
    <w:qFormat/>
    <w:uiPriority w:val="99"/>
    <w:rPr>
      <w:kern w:val="2"/>
      <w:sz w:val="21"/>
      <w:szCs w:val="24"/>
    </w:rPr>
  </w:style>
  <w:style w:type="character" w:customStyle="1" w:styleId="346">
    <w:name w:val="签名 Char"/>
    <w:link w:val="46"/>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6"/>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4"/>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5"/>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2"/>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7"/>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32">
    <w:name w:val="gray6"/>
    <w:basedOn w:val="72"/>
    <w:qFormat/>
    <w:uiPriority w:val="0"/>
    <w:rPr>
      <w:rFonts w:ascii="Arial" w:hAnsi="Arial" w:eastAsia="黑体" w:cs="Arial"/>
      <w:snapToGrid w:val="0"/>
      <w:kern w:val="0"/>
      <w:szCs w:val="21"/>
    </w:rPr>
  </w:style>
  <w:style w:type="character" w:customStyle="1" w:styleId="433">
    <w:name w:val="hui"/>
    <w:basedOn w:val="72"/>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4"/>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6"/>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9"/>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1"/>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7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6"/>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9"/>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20"/>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9"/>
    <w:next w:val="1"/>
    <w:qFormat/>
    <w:uiPriority w:val="0"/>
    <w:pPr>
      <w:tabs>
        <w:tab w:val="left" w:pos="1080"/>
      </w:tabs>
      <w:ind w:left="1080" w:hanging="1080"/>
    </w:pPr>
  </w:style>
  <w:style w:type="paragraph" w:customStyle="1" w:styleId="898">
    <w:name w:val="数字标题1"/>
    <w:basedOn w:val="4"/>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4"/>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42"/>
    <w:qFormat/>
    <w:uiPriority w:val="0"/>
    <w:rPr>
      <w:kern w:val="2"/>
      <w:sz w:val="21"/>
      <w:szCs w:val="24"/>
      <w:lang w:val="zh-CN"/>
    </w:rPr>
  </w:style>
  <w:style w:type="character" w:customStyle="1" w:styleId="934">
    <w:name w:val="无间隔 字符"/>
    <w:link w:val="484"/>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59"/>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2"/>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样式 标题 2 + Times New Roman 四号 非加粗 段前: 5 磅 段后: 0 磅 行距: 固定值 20..."/>
    <w:basedOn w:val="5"/>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6">
    <w:name w:val="p16"/>
    <w:basedOn w:val="1"/>
    <w:qFormat/>
    <w:uiPriority w:val="0"/>
    <w:pPr>
      <w:widowControl/>
      <w:spacing w:before="100" w:after="100"/>
      <w:jc w:val="left"/>
    </w:pPr>
    <w:rPr>
      <w:rFonts w:ascii="宋体" w:hAnsi="宋体" w:cs="宋体"/>
      <w:color w:val="000000"/>
      <w:kern w:val="0"/>
      <w:sz w:val="24"/>
    </w:rPr>
  </w:style>
  <w:style w:type="paragraph" w:customStyle="1" w:styleId="96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969">
    <w:name w:val="Unresolved Mention"/>
    <w:basedOn w:val="72"/>
    <w:semiHidden/>
    <w:unhideWhenUsed/>
    <w:qFormat/>
    <w:uiPriority w:val="99"/>
    <w:rPr>
      <w:color w:val="605E5C"/>
      <w:shd w:val="clear" w:color="auto" w:fill="E1DFDD"/>
    </w:rPr>
  </w:style>
  <w:style w:type="paragraph" w:customStyle="1" w:styleId="970">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styleId="971">
    <w:name w:val="List Paragraph"/>
    <w:basedOn w:val="1"/>
    <w:qFormat/>
    <w:uiPriority w:val="0"/>
  </w:style>
  <w:style w:type="table" w:customStyle="1" w:styleId="972">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header" Target="header9.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FB938-65B0-48BF-88F8-D73DF33D33FF}">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123</Pages>
  <Words>60606</Words>
  <Characters>66009</Characters>
  <Lines>564</Lines>
  <Paragraphs>159</Paragraphs>
  <TotalTime>3</TotalTime>
  <ScaleCrop>false</ScaleCrop>
  <LinksUpToDate>false</LinksUpToDate>
  <CharactersWithSpaces>72803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2024-06-12T07:33:00Z</dcterms:created>
  <dc:creator>玥</dc:creator>
  <cp:lastModifiedBy>mo    ne</cp:lastModifiedBy>
  <cp:lastPrinted>2021-12-27T11:06:00Z</cp:lastPrinted>
  <dcterms:modified xsi:type="dcterms:W3CDTF">2024-06-16T12:22:18Z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855B7432850E4509BA46C656CC095026</vt:lpwstr>
  </property>
  <property fmtid="{D5CDD505-2E9C-101B-9397-08002B2CF9AE}" pid="5" name="commondata">
    <vt:lpwstr>eyJoZGlkIjoiNGNlMmFkMDQ1NDY0ZmRiM2Q0NjY4NTFjN2IwMTllYjMifQ==</vt:lpwstr>
  </property>
</Properties>
</file>